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19942" w14:textId="77777777" w:rsidR="00034F63" w:rsidRPr="00460DA7" w:rsidRDefault="00034F63" w:rsidP="00034F63">
      <w:pPr>
        <w:pStyle w:val="Title"/>
        <w:jc w:val="center"/>
        <w:rPr>
          <w:color w:val="FF0000"/>
        </w:rPr>
      </w:pPr>
    </w:p>
    <w:p w14:paraId="01C170F1" w14:textId="77777777" w:rsidR="00034F63" w:rsidRDefault="00034F63" w:rsidP="00034F63">
      <w:pPr>
        <w:pStyle w:val="Title"/>
        <w:jc w:val="center"/>
      </w:pPr>
    </w:p>
    <w:p w14:paraId="751679AE" w14:textId="77777777" w:rsidR="00034F63" w:rsidRPr="00A665BE" w:rsidRDefault="00034F63" w:rsidP="00034F63">
      <w:pPr>
        <w:pStyle w:val="Title"/>
        <w:jc w:val="center"/>
      </w:pPr>
      <w:r w:rsidRPr="00A665BE">
        <w:rPr>
          <w:noProof/>
        </w:rPr>
        <w:drawing>
          <wp:inline distT="0" distB="0" distL="0" distR="0" wp14:anchorId="75B1AF80" wp14:editId="3CA6A947">
            <wp:extent cx="2487168" cy="429768"/>
            <wp:effectExtent l="0" t="0" r="0" b="8890"/>
            <wp:docPr id="799313979" name="Picture 799313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7168" cy="429768"/>
                    </a:xfrm>
                    <a:prstGeom prst="rect">
                      <a:avLst/>
                    </a:prstGeom>
                    <a:noFill/>
                    <a:ln>
                      <a:noFill/>
                    </a:ln>
                  </pic:spPr>
                </pic:pic>
              </a:graphicData>
            </a:graphic>
          </wp:inline>
        </w:drawing>
      </w:r>
    </w:p>
    <w:p w14:paraId="7A4707E3" w14:textId="77777777" w:rsidR="00034F63" w:rsidRPr="00A665BE" w:rsidRDefault="00034F63" w:rsidP="00034F63">
      <w:pPr>
        <w:pStyle w:val="Title"/>
        <w:jc w:val="center"/>
      </w:pPr>
    </w:p>
    <w:p w14:paraId="1206942A" w14:textId="77777777" w:rsidR="00034F63" w:rsidRPr="00A665BE" w:rsidRDefault="00034F63" w:rsidP="00034F63">
      <w:pPr>
        <w:pStyle w:val="Title"/>
        <w:jc w:val="center"/>
      </w:pPr>
    </w:p>
    <w:p w14:paraId="216EDD1C" w14:textId="1EBC3DA9" w:rsidR="00034F63" w:rsidRPr="00A665BE" w:rsidRDefault="00034F63" w:rsidP="00034F63">
      <w:pPr>
        <w:pStyle w:val="Title"/>
        <w:jc w:val="center"/>
      </w:pPr>
      <w:r w:rsidRPr="00A665BE">
        <w:t>Q</w:t>
      </w:r>
      <w:r w:rsidR="000942C9">
        <w:t>1</w:t>
      </w:r>
      <w:r w:rsidRPr="00A665BE">
        <w:t xml:space="preserve"> 202</w:t>
      </w:r>
      <w:r w:rsidR="000942C9">
        <w:t>6</w:t>
      </w:r>
      <w:r w:rsidRPr="00A665BE">
        <w:t xml:space="preserve"> Large Load Economic Development Report</w:t>
      </w:r>
    </w:p>
    <w:p w14:paraId="35254A72" w14:textId="77777777" w:rsidR="00034F63" w:rsidRPr="00A665BE" w:rsidRDefault="00034F63" w:rsidP="00034F63"/>
    <w:p w14:paraId="72A5D7FE" w14:textId="2FA952CF" w:rsidR="00034F63" w:rsidRPr="00A665BE" w:rsidRDefault="00BB3E6F" w:rsidP="00034F63">
      <w:pPr>
        <w:jc w:val="center"/>
        <w:rPr>
          <w:sz w:val="40"/>
          <w:szCs w:val="40"/>
        </w:rPr>
      </w:pPr>
      <w:r w:rsidRPr="00CC409F">
        <w:rPr>
          <w:sz w:val="40"/>
          <w:szCs w:val="40"/>
        </w:rPr>
        <w:t>May 15</w:t>
      </w:r>
      <w:r w:rsidR="00034F63" w:rsidRPr="00CC409F">
        <w:rPr>
          <w:sz w:val="40"/>
          <w:szCs w:val="40"/>
        </w:rPr>
        <w:t>, 202</w:t>
      </w:r>
      <w:r w:rsidR="004B5524" w:rsidRPr="00CC409F">
        <w:rPr>
          <w:sz w:val="40"/>
          <w:szCs w:val="40"/>
        </w:rPr>
        <w:t>6</w:t>
      </w:r>
    </w:p>
    <w:p w14:paraId="5F5C30A5" w14:textId="77777777" w:rsidR="00034F63" w:rsidRPr="00A665BE" w:rsidRDefault="00034F63" w:rsidP="00034F63">
      <w:pPr>
        <w:jc w:val="center"/>
        <w:rPr>
          <w:sz w:val="40"/>
          <w:szCs w:val="40"/>
        </w:rPr>
      </w:pPr>
    </w:p>
    <w:p w14:paraId="6EC31011" w14:textId="77777777" w:rsidR="00034F63" w:rsidRPr="00A665BE" w:rsidRDefault="00034F63" w:rsidP="00034F63">
      <w:pPr>
        <w:jc w:val="center"/>
        <w:rPr>
          <w:sz w:val="40"/>
          <w:szCs w:val="40"/>
        </w:rPr>
      </w:pPr>
    </w:p>
    <w:p w14:paraId="4C4C4C1E" w14:textId="77777777" w:rsidR="00034F63" w:rsidRPr="00A665BE" w:rsidRDefault="00034F63" w:rsidP="00034F63">
      <w:pPr>
        <w:jc w:val="center"/>
        <w:rPr>
          <w:sz w:val="40"/>
          <w:szCs w:val="40"/>
        </w:rPr>
      </w:pPr>
    </w:p>
    <w:p w14:paraId="1236B949" w14:textId="00A5E822" w:rsidR="00FD0D8B" w:rsidRPr="00A665BE" w:rsidRDefault="00034F63" w:rsidP="00034F63">
      <w:pPr>
        <w:jc w:val="center"/>
        <w:rPr>
          <w:sz w:val="40"/>
          <w:szCs w:val="40"/>
        </w:rPr>
      </w:pPr>
      <w:r w:rsidRPr="00A665BE">
        <w:rPr>
          <w:sz w:val="40"/>
          <w:szCs w:val="40"/>
        </w:rPr>
        <w:t xml:space="preserve">Docket No. </w:t>
      </w:r>
      <w:r w:rsidR="00235A2B">
        <w:rPr>
          <w:sz w:val="40"/>
          <w:szCs w:val="40"/>
        </w:rPr>
        <w:t>56002</w:t>
      </w:r>
    </w:p>
    <w:p w14:paraId="3E8CC77C" w14:textId="77777777" w:rsidR="00034F63" w:rsidRPr="00A665BE" w:rsidRDefault="00034F63" w:rsidP="00034F63">
      <w:pPr>
        <w:jc w:val="center"/>
        <w:rPr>
          <w:sz w:val="40"/>
          <w:szCs w:val="40"/>
        </w:rPr>
      </w:pPr>
    </w:p>
    <w:p w14:paraId="24279C1D" w14:textId="77777777" w:rsidR="00034F63" w:rsidRPr="00A665BE" w:rsidRDefault="00034F63" w:rsidP="00034F63">
      <w:pPr>
        <w:jc w:val="center"/>
        <w:rPr>
          <w:sz w:val="40"/>
          <w:szCs w:val="40"/>
        </w:rPr>
      </w:pPr>
    </w:p>
    <w:p w14:paraId="7D5D5BFB" w14:textId="77777777" w:rsidR="00034F63" w:rsidRPr="00A665BE" w:rsidRDefault="00034F63" w:rsidP="00034F63">
      <w:pPr>
        <w:jc w:val="center"/>
        <w:rPr>
          <w:sz w:val="40"/>
          <w:szCs w:val="40"/>
        </w:rPr>
      </w:pPr>
    </w:p>
    <w:p w14:paraId="41420CF3" w14:textId="77777777" w:rsidR="00034F63" w:rsidRPr="00A665BE" w:rsidRDefault="00034F63" w:rsidP="00034F63">
      <w:pPr>
        <w:jc w:val="center"/>
        <w:rPr>
          <w:sz w:val="40"/>
          <w:szCs w:val="40"/>
        </w:rPr>
      </w:pPr>
    </w:p>
    <w:p w14:paraId="414A8A93" w14:textId="77777777" w:rsidR="00034F63" w:rsidRPr="00A665BE" w:rsidRDefault="00034F63" w:rsidP="00034F63">
      <w:pPr>
        <w:jc w:val="center"/>
        <w:rPr>
          <w:sz w:val="40"/>
          <w:szCs w:val="40"/>
        </w:rPr>
      </w:pPr>
    </w:p>
    <w:p w14:paraId="672860D4" w14:textId="77777777" w:rsidR="00034F63" w:rsidRPr="00A665BE" w:rsidRDefault="00034F63" w:rsidP="00034F63">
      <w:pPr>
        <w:jc w:val="center"/>
        <w:rPr>
          <w:sz w:val="40"/>
          <w:szCs w:val="40"/>
        </w:rPr>
      </w:pPr>
    </w:p>
    <w:p w14:paraId="752CA0C5" w14:textId="77777777" w:rsidR="00034F63" w:rsidRPr="00A665BE" w:rsidRDefault="00034F63" w:rsidP="00034F63">
      <w:pPr>
        <w:pStyle w:val="Heading1"/>
        <w:rPr>
          <w:sz w:val="32"/>
          <w:szCs w:val="32"/>
        </w:rPr>
      </w:pPr>
      <w:r w:rsidRPr="00A665BE">
        <w:rPr>
          <w:sz w:val="32"/>
          <w:szCs w:val="32"/>
        </w:rPr>
        <w:lastRenderedPageBreak/>
        <w:t>Introduction</w:t>
      </w:r>
    </w:p>
    <w:p w14:paraId="4C209D87" w14:textId="0DDAA7D8" w:rsidR="00034F63" w:rsidRPr="00A665BE" w:rsidRDefault="00034F63" w:rsidP="00034F63">
      <w:pPr>
        <w:jc w:val="both"/>
      </w:pPr>
      <w:r w:rsidRPr="00A665BE">
        <w:t xml:space="preserve">Georgia Power has a responsibility to serve the needs of its customers — today and for generations to come. Our long-term integrated resource planning processes, along with the Georgia Public Service Commission’s triennial Integrated Resource Plan </w:t>
      </w:r>
      <w:r w:rsidR="00D3528D">
        <w:t>(“IRP”)</w:t>
      </w:r>
      <w:r w:rsidRPr="00A665BE">
        <w:t xml:space="preserve"> proceedings, serve as the foundation of our ability to provide clean, safe, reliable, and affordable energy to Georgians and to serve the state’s growing economy. Georgia is the number one state </w:t>
      </w:r>
      <w:r w:rsidR="00E94593">
        <w:t>in which</w:t>
      </w:r>
      <w:r w:rsidRPr="00A665BE">
        <w:t xml:space="preserve"> to do business due in large part to the effectiveness of this planning process that </w:t>
      </w:r>
      <w:r w:rsidR="004F0DD2">
        <w:t xml:space="preserve">helps </w:t>
      </w:r>
      <w:r w:rsidRPr="00A665BE">
        <w:t xml:space="preserve">ensure we </w:t>
      </w:r>
      <w:r w:rsidR="00FD23A3" w:rsidRPr="00A665BE">
        <w:t>can</w:t>
      </w:r>
      <w:r w:rsidRPr="00A665BE">
        <w:t xml:space="preserve"> meet energy demands today and in the future. </w:t>
      </w:r>
    </w:p>
    <w:p w14:paraId="1A48168B" w14:textId="115F097A" w:rsidR="00034F63" w:rsidRPr="00A665BE" w:rsidRDefault="00034F63" w:rsidP="00034F63">
      <w:pPr>
        <w:jc w:val="both"/>
      </w:pPr>
      <w:r w:rsidRPr="00A665BE">
        <w:t xml:space="preserve">Since the Company’s last large load quarterly report in </w:t>
      </w:r>
      <w:r w:rsidR="00BB3E6F">
        <w:t>February</w:t>
      </w:r>
      <w:r w:rsidRPr="00A665BE">
        <w:t xml:space="preserve">, Georgia’s economy </w:t>
      </w:r>
      <w:r w:rsidR="0046547C">
        <w:t xml:space="preserve">has </w:t>
      </w:r>
      <w:r w:rsidR="0046547C" w:rsidRPr="00A665BE">
        <w:t>continue</w:t>
      </w:r>
      <w:r w:rsidR="0046547C">
        <w:t>d</w:t>
      </w:r>
      <w:r w:rsidR="0046547C" w:rsidRPr="00A665BE">
        <w:t xml:space="preserve"> </w:t>
      </w:r>
      <w:r w:rsidRPr="00A665BE">
        <w:t>to prosper. And as the state’s economic prospects remain bright, the trends leading up to the 2023 IRP Update filing</w:t>
      </w:r>
      <w:r w:rsidR="00345919">
        <w:t xml:space="preserve"> and as presented in the 2025 IRP</w:t>
      </w:r>
      <w:r w:rsidRPr="00A665BE">
        <w:t xml:space="preserve"> </w:t>
      </w:r>
      <w:r w:rsidR="00F87DC7">
        <w:t xml:space="preserve">and 2029-2031 </w:t>
      </w:r>
      <w:r w:rsidR="00730AD7">
        <w:t>All-</w:t>
      </w:r>
      <w:r w:rsidR="00F87DC7">
        <w:t xml:space="preserve">Source RFP </w:t>
      </w:r>
      <w:r w:rsidR="00A8033A" w:rsidRPr="00A8033A">
        <w:t xml:space="preserve">and 2028-2031 Supplemental Resources </w:t>
      </w:r>
      <w:r w:rsidR="00F87DC7">
        <w:t xml:space="preserve">Certification proceedings </w:t>
      </w:r>
      <w:r w:rsidRPr="00A665BE">
        <w:t xml:space="preserve">remain </w:t>
      </w:r>
      <w:r w:rsidR="009D10DE">
        <w:t xml:space="preserve">largely </w:t>
      </w:r>
      <w:r w:rsidRPr="00A665BE">
        <w:t xml:space="preserve">consistent, having now continued for more than </w:t>
      </w:r>
      <w:r w:rsidR="00BB3E6F">
        <w:t>two</w:t>
      </w:r>
      <w:r w:rsidRPr="00A665BE">
        <w:t xml:space="preserve"> year</w:t>
      </w:r>
      <w:r w:rsidR="00CB3D68">
        <w:t>s</w:t>
      </w:r>
      <w:r w:rsidRPr="00A665BE">
        <w:t>.</w:t>
      </w:r>
      <w:r w:rsidR="00B64A17" w:rsidRPr="00A665BE">
        <w:t xml:space="preserve"> </w:t>
      </w:r>
    </w:p>
    <w:p w14:paraId="5A958572" w14:textId="05FB558E" w:rsidR="00034F63" w:rsidRPr="00A665BE" w:rsidRDefault="00034F63" w:rsidP="00034F63">
      <w:pPr>
        <w:jc w:val="both"/>
      </w:pPr>
      <w:r w:rsidRPr="00A665BE">
        <w:t xml:space="preserve">The latest data continue to support Georgia Power’s </w:t>
      </w:r>
      <w:r w:rsidR="00423884">
        <w:t>projec</w:t>
      </w:r>
      <w:r w:rsidR="00423884" w:rsidRPr="00A665BE">
        <w:t xml:space="preserve">tion </w:t>
      </w:r>
      <w:r w:rsidR="00423884">
        <w:t>o</w:t>
      </w:r>
      <w:r w:rsidRPr="00A665BE">
        <w:t xml:space="preserve">f continued and robust economic growth in Georgia and the timing of new large load customers. </w:t>
      </w:r>
      <w:r w:rsidR="00D369B8">
        <w:t>This report highlights the following developments</w:t>
      </w:r>
      <w:r w:rsidRPr="00A665BE">
        <w:t>:</w:t>
      </w:r>
    </w:p>
    <w:p w14:paraId="7E69EEF8" w14:textId="160DDFF6" w:rsidR="00D369B8" w:rsidRDefault="00D369B8" w:rsidP="00034F63">
      <w:pPr>
        <w:pStyle w:val="ListParagraph"/>
        <w:numPr>
          <w:ilvl w:val="0"/>
          <w:numId w:val="1"/>
        </w:numPr>
        <w:spacing w:line="278" w:lineRule="auto"/>
        <w:jc w:val="both"/>
        <w:rPr>
          <w:b/>
          <w:bCs/>
        </w:rPr>
      </w:pPr>
      <w:r>
        <w:rPr>
          <w:b/>
          <w:bCs/>
        </w:rPr>
        <w:t xml:space="preserve">The size of commitments </w:t>
      </w:r>
      <w:r w:rsidR="007954F4">
        <w:rPr>
          <w:b/>
          <w:bCs/>
        </w:rPr>
        <w:t>(Contracts for Electric Service plus Requests for Service)</w:t>
      </w:r>
      <w:r>
        <w:rPr>
          <w:b/>
          <w:bCs/>
        </w:rPr>
        <w:t xml:space="preserve"> from large load customers for reliable service from Georgia Power increased.</w:t>
      </w:r>
    </w:p>
    <w:p w14:paraId="2DF1057C" w14:textId="49549AB7" w:rsidR="00D369B8" w:rsidRDefault="00D369B8" w:rsidP="00276B08">
      <w:pPr>
        <w:pStyle w:val="ListParagraph"/>
        <w:numPr>
          <w:ilvl w:val="1"/>
          <w:numId w:val="1"/>
        </w:numPr>
        <w:spacing w:line="278" w:lineRule="auto"/>
        <w:jc w:val="both"/>
        <w:rPr>
          <w:b/>
          <w:bCs/>
        </w:rPr>
      </w:pPr>
      <w:r>
        <w:t xml:space="preserve">As of </w:t>
      </w:r>
      <w:r w:rsidR="00D82234">
        <w:t>March</w:t>
      </w:r>
      <w:r>
        <w:t xml:space="preserve"> 3</w:t>
      </w:r>
      <w:r w:rsidR="004B5524">
        <w:t>1</w:t>
      </w:r>
      <w:r>
        <w:t>, 202</w:t>
      </w:r>
      <w:r w:rsidR="00D82234">
        <w:t>6</w:t>
      </w:r>
      <w:r>
        <w:t xml:space="preserve">, the portfolio of large load customers committed to receiving service from Georgia Power has grown by </w:t>
      </w:r>
      <w:r w:rsidR="009C081E">
        <w:t>5</w:t>
      </w:r>
      <w:r w:rsidR="004B5524">
        <w:t xml:space="preserve">00 </w:t>
      </w:r>
      <w:r>
        <w:t xml:space="preserve">MW, reaching a total of </w:t>
      </w:r>
      <w:r w:rsidR="009C081E">
        <w:t>12,</w:t>
      </w:r>
      <w:r w:rsidR="00BB3E6F">
        <w:t>4</w:t>
      </w:r>
      <w:r w:rsidR="009C081E">
        <w:t xml:space="preserve">00 </w:t>
      </w:r>
      <w:r>
        <w:t>MW</w:t>
      </w:r>
      <w:r w:rsidR="002C029E">
        <w:rPr>
          <w:rStyle w:val="FootnoteReference"/>
        </w:rPr>
        <w:footnoteReference w:id="2"/>
      </w:r>
      <w:r>
        <w:t xml:space="preserve"> across </w:t>
      </w:r>
      <w:r w:rsidR="00BE0A0D">
        <w:t>31</w:t>
      </w:r>
      <w:r>
        <w:t xml:space="preserve"> customers. By the winter of 2028/2029, these customers </w:t>
      </w:r>
      <w:r w:rsidR="00133C70">
        <w:t xml:space="preserve">will </w:t>
      </w:r>
      <w:r>
        <w:t xml:space="preserve">represent a load of </w:t>
      </w:r>
      <w:r w:rsidR="00BE0A0D">
        <w:t>7,800</w:t>
      </w:r>
      <w:r>
        <w:t xml:space="preserve"> MW.</w:t>
      </w:r>
    </w:p>
    <w:p w14:paraId="6BD42D57" w14:textId="5D902861" w:rsidR="00034F63" w:rsidRPr="00A665BE" w:rsidRDefault="00034F63" w:rsidP="00034F63">
      <w:pPr>
        <w:pStyle w:val="ListParagraph"/>
        <w:numPr>
          <w:ilvl w:val="0"/>
          <w:numId w:val="1"/>
        </w:numPr>
        <w:spacing w:line="278" w:lineRule="auto"/>
        <w:jc w:val="both"/>
        <w:rPr>
          <w:b/>
          <w:bCs/>
        </w:rPr>
      </w:pPr>
      <w:r w:rsidRPr="00A665BE">
        <w:rPr>
          <w:b/>
          <w:bCs/>
        </w:rPr>
        <w:t>Large load customers continue to materialize and progress with construction.</w:t>
      </w:r>
    </w:p>
    <w:p w14:paraId="45DC5B2A" w14:textId="056330D2" w:rsidR="00034F63" w:rsidRPr="00A665BE" w:rsidRDefault="007C30BD" w:rsidP="00034F63">
      <w:pPr>
        <w:pStyle w:val="ListParagraph"/>
        <w:numPr>
          <w:ilvl w:val="1"/>
          <w:numId w:val="1"/>
        </w:numPr>
        <w:spacing w:line="278" w:lineRule="auto"/>
        <w:jc w:val="both"/>
      </w:pPr>
      <w:r>
        <w:t>T</w:t>
      </w:r>
      <w:r w:rsidR="00C96D4A">
        <w:t xml:space="preserve">he amount of load </w:t>
      </w:r>
      <w:r w:rsidR="00034F63" w:rsidRPr="00A665BE">
        <w:t>that ha</w:t>
      </w:r>
      <w:r w:rsidR="00C96D4A">
        <w:t>s</w:t>
      </w:r>
      <w:r w:rsidR="00034F63" w:rsidRPr="00A665BE">
        <w:t xml:space="preserve"> broken ground </w:t>
      </w:r>
      <w:r w:rsidR="00E00FD1">
        <w:t xml:space="preserve">continues </w:t>
      </w:r>
      <w:r w:rsidR="004B5524">
        <w:t>to rise this</w:t>
      </w:r>
      <w:r w:rsidR="00C96D4A">
        <w:t xml:space="preserve"> quarter, </w:t>
      </w:r>
      <w:r w:rsidR="00D369B8">
        <w:t xml:space="preserve">now </w:t>
      </w:r>
      <w:r w:rsidR="00034F63" w:rsidRPr="00A665BE">
        <w:t>represent</w:t>
      </w:r>
      <w:r w:rsidR="00C96D4A">
        <w:t>ing</w:t>
      </w:r>
      <w:r w:rsidR="00034F63" w:rsidRPr="00A665BE">
        <w:t xml:space="preserve"> </w:t>
      </w:r>
      <w:r w:rsidR="00E33F08">
        <w:t>8,</w:t>
      </w:r>
      <w:r w:rsidR="00BB3E6F">
        <w:t>500</w:t>
      </w:r>
      <w:r w:rsidR="00EE3D13">
        <w:t xml:space="preserve"> </w:t>
      </w:r>
      <w:r w:rsidR="00034F63" w:rsidRPr="00A665BE">
        <w:t xml:space="preserve">MW </w:t>
      </w:r>
      <w:r w:rsidR="00D369B8">
        <w:t xml:space="preserve">out </w:t>
      </w:r>
      <w:r w:rsidR="00034F63" w:rsidRPr="00A665BE">
        <w:t xml:space="preserve">of </w:t>
      </w:r>
      <w:r w:rsidR="00E33F08">
        <w:t>12,</w:t>
      </w:r>
      <w:r w:rsidR="00BB3E6F">
        <w:t>4</w:t>
      </w:r>
      <w:r w:rsidR="00E33F08">
        <w:t>00</w:t>
      </w:r>
      <w:r w:rsidR="00034F63" w:rsidRPr="00A665BE">
        <w:t xml:space="preserve"> MW of customer commitments </w:t>
      </w:r>
      <w:r w:rsidR="00F80954">
        <w:t>through</w:t>
      </w:r>
      <w:r w:rsidR="00F80954" w:rsidRPr="00A665BE">
        <w:t xml:space="preserve"> </w:t>
      </w:r>
      <w:r w:rsidR="00034F63" w:rsidRPr="00A665BE">
        <w:t xml:space="preserve">the </w:t>
      </w:r>
      <w:r w:rsidR="004B5524">
        <w:t>mid-2030s</w:t>
      </w:r>
      <w:r w:rsidR="00034F63" w:rsidRPr="00A665BE">
        <w:t>.</w:t>
      </w:r>
    </w:p>
    <w:p w14:paraId="31A23E23" w14:textId="6DB42C26" w:rsidR="00034F63" w:rsidRPr="00A665BE" w:rsidRDefault="00034F63" w:rsidP="00034F63">
      <w:pPr>
        <w:pStyle w:val="ListParagraph"/>
        <w:numPr>
          <w:ilvl w:val="1"/>
          <w:numId w:val="1"/>
        </w:numPr>
        <w:spacing w:line="278" w:lineRule="auto"/>
        <w:jc w:val="both"/>
      </w:pPr>
      <w:r w:rsidRPr="00A665BE">
        <w:t xml:space="preserve">Table 1 in this report provides a summary of the construction status of the </w:t>
      </w:r>
      <w:r w:rsidR="00E33F08">
        <w:t>31</w:t>
      </w:r>
      <w:r w:rsidRPr="00A665BE">
        <w:t xml:space="preserve"> large load projects that</w:t>
      </w:r>
      <w:r w:rsidR="00E16B87" w:rsidRPr="00A665BE">
        <w:t>, at a minimum,</w:t>
      </w:r>
      <w:r w:rsidRPr="00A665BE">
        <w:t xml:space="preserve"> have executed a Request for Electric Service (“RFS”) as of </w:t>
      </w:r>
      <w:r w:rsidR="00E33F08">
        <w:t xml:space="preserve">March </w:t>
      </w:r>
      <w:r w:rsidRPr="00A665BE">
        <w:t>3</w:t>
      </w:r>
      <w:r w:rsidR="004B5524">
        <w:t>1</w:t>
      </w:r>
      <w:r w:rsidRPr="00A665BE">
        <w:t>, 202</w:t>
      </w:r>
      <w:r w:rsidR="00BB3E6F">
        <w:t>6</w:t>
      </w:r>
      <w:r w:rsidRPr="00A665BE">
        <w:t xml:space="preserve">. </w:t>
      </w:r>
      <w:r w:rsidR="004B5524">
        <w:t>Twenty</w:t>
      </w:r>
      <w:r w:rsidR="00E33F08">
        <w:t xml:space="preserve">-one </w:t>
      </w:r>
      <w:r w:rsidRPr="00A665BE">
        <w:t>of these projects have broken ground</w:t>
      </w:r>
      <w:r w:rsidR="0085244C">
        <w:t>, including</w:t>
      </w:r>
      <w:r w:rsidR="008F2A07">
        <w:t xml:space="preserve"> ten </w:t>
      </w:r>
      <w:r w:rsidR="00DF5FD3">
        <w:t xml:space="preserve">that are </w:t>
      </w:r>
      <w:r w:rsidR="008F2A07">
        <w:t>currently online</w:t>
      </w:r>
      <w:r w:rsidR="00144113">
        <w:t xml:space="preserve">. The remaining </w:t>
      </w:r>
      <w:r w:rsidR="00E33F08">
        <w:t>ten</w:t>
      </w:r>
      <w:r w:rsidR="00FE4C02" w:rsidRPr="00A665BE">
        <w:t xml:space="preserve"> </w:t>
      </w:r>
      <w:r w:rsidR="000B7037">
        <w:t>commitments</w:t>
      </w:r>
      <w:r w:rsidR="00144113">
        <w:t xml:space="preserve"> </w:t>
      </w:r>
      <w:r w:rsidRPr="00A665BE">
        <w:t>are pending construction.</w:t>
      </w:r>
    </w:p>
    <w:p w14:paraId="7918258A" w14:textId="518542A0" w:rsidR="00D369B8" w:rsidRPr="00A665BE" w:rsidRDefault="00D369B8" w:rsidP="00D369B8">
      <w:pPr>
        <w:pStyle w:val="ListParagraph"/>
        <w:numPr>
          <w:ilvl w:val="0"/>
          <w:numId w:val="1"/>
        </w:numPr>
        <w:spacing w:line="278" w:lineRule="auto"/>
        <w:jc w:val="both"/>
        <w:rPr>
          <w:b/>
          <w:bCs/>
        </w:rPr>
      </w:pPr>
      <w:r w:rsidRPr="00A665BE">
        <w:rPr>
          <w:b/>
          <w:bCs/>
        </w:rPr>
        <w:t xml:space="preserve">The pipeline of potential economic development projects </w:t>
      </w:r>
      <w:r w:rsidR="004B5524">
        <w:rPr>
          <w:b/>
          <w:bCs/>
        </w:rPr>
        <w:t>increased</w:t>
      </w:r>
      <w:r w:rsidR="00FC1A47">
        <w:rPr>
          <w:b/>
          <w:bCs/>
        </w:rPr>
        <w:t xml:space="preserve"> </w:t>
      </w:r>
      <w:r w:rsidR="004B5524">
        <w:rPr>
          <w:b/>
          <w:bCs/>
        </w:rPr>
        <w:t>significantly</w:t>
      </w:r>
      <w:r w:rsidRPr="00A665BE">
        <w:rPr>
          <w:b/>
          <w:bCs/>
        </w:rPr>
        <w:t xml:space="preserve">. </w:t>
      </w:r>
    </w:p>
    <w:p w14:paraId="2E6510BA" w14:textId="7C2F27FD" w:rsidR="00D369B8" w:rsidRPr="00A665BE" w:rsidRDefault="00D369B8" w:rsidP="00D369B8">
      <w:pPr>
        <w:pStyle w:val="ListParagraph"/>
        <w:numPr>
          <w:ilvl w:val="1"/>
          <w:numId w:val="1"/>
        </w:numPr>
        <w:spacing w:line="278" w:lineRule="auto"/>
        <w:jc w:val="both"/>
      </w:pPr>
      <w:r w:rsidRPr="00A665BE">
        <w:t xml:space="preserve">As of </w:t>
      </w:r>
      <w:r w:rsidR="00E33F08">
        <w:t>March</w:t>
      </w:r>
      <w:r w:rsidRPr="00A665BE">
        <w:t xml:space="preserve"> 3</w:t>
      </w:r>
      <w:r w:rsidR="004B5524">
        <w:t>1</w:t>
      </w:r>
      <w:r w:rsidRPr="00A665BE">
        <w:t>, 202</w:t>
      </w:r>
      <w:r w:rsidR="00BB3E6F">
        <w:t>6</w:t>
      </w:r>
      <w:r w:rsidRPr="00A665BE">
        <w:t xml:space="preserve">, the total pipeline of economic development projects through the mid-2030s has </w:t>
      </w:r>
      <w:r w:rsidR="004B5524">
        <w:t>increased</w:t>
      </w:r>
      <w:r w:rsidRPr="00A665BE">
        <w:t xml:space="preserve"> by</w:t>
      </w:r>
      <w:r w:rsidR="006E05C9">
        <w:t xml:space="preserve"> </w:t>
      </w:r>
      <w:r w:rsidR="00E02089">
        <w:t>7</w:t>
      </w:r>
      <w:r w:rsidR="006E05C9">
        <w:t>,</w:t>
      </w:r>
      <w:r w:rsidR="00E02089">
        <w:t>1</w:t>
      </w:r>
      <w:r w:rsidR="006E05C9">
        <w:t>00</w:t>
      </w:r>
      <w:r w:rsidRPr="00A665BE">
        <w:t xml:space="preserve"> MW</w:t>
      </w:r>
      <w:r w:rsidR="004B5008">
        <w:t xml:space="preserve"> </w:t>
      </w:r>
      <w:r w:rsidRPr="00A665BE">
        <w:t>to</w:t>
      </w:r>
      <w:r w:rsidR="004B5008">
        <w:t xml:space="preserve"> </w:t>
      </w:r>
      <w:r w:rsidR="006E05C9">
        <w:t>76,</w:t>
      </w:r>
      <w:r w:rsidR="00E02089">
        <w:t>2</w:t>
      </w:r>
      <w:r w:rsidR="006E05C9">
        <w:t xml:space="preserve">00 </w:t>
      </w:r>
      <w:r w:rsidRPr="00A665BE">
        <w:t xml:space="preserve">MW. Of this, </w:t>
      </w:r>
      <w:r w:rsidR="006E05C9">
        <w:t>7</w:t>
      </w:r>
      <w:r w:rsidR="00E02089">
        <w:t>3</w:t>
      </w:r>
      <w:r w:rsidR="006E05C9">
        <w:t>,</w:t>
      </w:r>
      <w:r w:rsidR="00E02089">
        <w:t>1</w:t>
      </w:r>
      <w:r w:rsidR="006E05C9">
        <w:t>00</w:t>
      </w:r>
      <w:r w:rsidRPr="00A665BE">
        <w:t xml:space="preserve"> MW represents large load economic development projects.</w:t>
      </w:r>
    </w:p>
    <w:p w14:paraId="763F7121" w14:textId="08E4868C" w:rsidR="00D369B8" w:rsidRPr="00A665BE" w:rsidRDefault="00D369B8" w:rsidP="00D369B8">
      <w:pPr>
        <w:pStyle w:val="ListParagraph"/>
        <w:numPr>
          <w:ilvl w:val="1"/>
          <w:numId w:val="1"/>
        </w:numPr>
        <w:spacing w:line="278" w:lineRule="auto"/>
        <w:jc w:val="both"/>
      </w:pPr>
      <w:r w:rsidRPr="00A665BE">
        <w:lastRenderedPageBreak/>
        <w:t xml:space="preserve">For the near-term </w:t>
      </w:r>
      <w:r w:rsidR="00E00FD1">
        <w:t>(</w:t>
      </w:r>
      <w:r w:rsidRPr="00A665BE">
        <w:t>winter of 2028/2029</w:t>
      </w:r>
      <w:r w:rsidR="00E00FD1">
        <w:t>)</w:t>
      </w:r>
      <w:r w:rsidRPr="00A665BE">
        <w:t xml:space="preserve">, the large load economic development pipeline has </w:t>
      </w:r>
      <w:r w:rsidR="004B5008">
        <w:t>in</w:t>
      </w:r>
      <w:r w:rsidRPr="00A665BE">
        <w:t xml:space="preserve">creased by </w:t>
      </w:r>
      <w:r w:rsidR="004B5008">
        <w:t>2,1</w:t>
      </w:r>
      <w:r w:rsidR="00357734">
        <w:t xml:space="preserve">00 </w:t>
      </w:r>
      <w:r w:rsidRPr="00A665BE">
        <w:t xml:space="preserve">MW to </w:t>
      </w:r>
      <w:r w:rsidR="00357734">
        <w:t>2</w:t>
      </w:r>
      <w:r w:rsidR="004B5008">
        <w:t>3</w:t>
      </w:r>
      <w:r w:rsidR="00357734">
        <w:t>,</w:t>
      </w:r>
      <w:r w:rsidR="004B5008">
        <w:t>6</w:t>
      </w:r>
      <w:r w:rsidR="00357734">
        <w:t>00</w:t>
      </w:r>
      <w:r w:rsidRPr="00A665BE">
        <w:t xml:space="preserve"> MW.</w:t>
      </w:r>
    </w:p>
    <w:p w14:paraId="4E5BF4F5" w14:textId="77777777" w:rsidR="00A7242B" w:rsidRPr="00A665BE" w:rsidRDefault="00A7242B" w:rsidP="00276B08"/>
    <w:p w14:paraId="4CF9333C" w14:textId="17866653" w:rsidR="00A7242B" w:rsidRPr="00A665BE" w:rsidRDefault="00FF7361" w:rsidP="00A7242B">
      <w:pPr>
        <w:jc w:val="both"/>
      </w:pPr>
      <w:r w:rsidRPr="00A665BE">
        <w:t xml:space="preserve">This </w:t>
      </w:r>
      <w:r w:rsidR="00FE4C02">
        <w:t>Q</w:t>
      </w:r>
      <w:r w:rsidR="004B5008">
        <w:t>1</w:t>
      </w:r>
      <w:r w:rsidR="00FE4C02">
        <w:t xml:space="preserve"> 202</w:t>
      </w:r>
      <w:r w:rsidR="004B5008">
        <w:t>6</w:t>
      </w:r>
      <w:r w:rsidRPr="00A665BE">
        <w:t xml:space="preserve"> Large Load Economic Development Report is provided in accordance with the Order Adopting Stipulated Agreement issued by the Commission in approving the Stipulation in Georgia Power’s 2023 IRP Update in Docket No. 55378 and Order Adopting Stipulation in Georgia Power’s 2025 IRP in Docket No. 56002. To keep the Commission informed during this period of extraordinary </w:t>
      </w:r>
      <w:r w:rsidR="00DB03CD">
        <w:t xml:space="preserve">projected </w:t>
      </w:r>
      <w:r w:rsidRPr="00A665BE">
        <w:t>economic growth, Item 2 from the 2023 IRP Update Stipulation requires the Company to file quarterly reports that include information identified in Attachment A of the Stipulation and any other pertinent information about large load economic development activity in the 2023 IRP Update Load Forecast and any changes since the previous update.</w:t>
      </w:r>
      <w:r w:rsidRPr="00A665BE">
        <w:rPr>
          <w:rFonts w:ascii="Arial" w:hAnsi="Arial" w:cs="Arial"/>
        </w:rPr>
        <w:t> </w:t>
      </w:r>
      <w:r w:rsidRPr="00A665BE">
        <w:t xml:space="preserve">Details about the existing, new, and former projects in the pipeline are provided in the attachment to this report. In addition, as agreed to in the 2025 IRP Stipulation, the Company has included the </w:t>
      </w:r>
      <w:r w:rsidR="00E45528">
        <w:t xml:space="preserve">entry </w:t>
      </w:r>
      <w:r w:rsidRPr="00A665BE">
        <w:t>date</w:t>
      </w:r>
      <w:r w:rsidR="00E45528">
        <w:t xml:space="preserve"> and announced load</w:t>
      </w:r>
      <w:r w:rsidR="009C0DAC">
        <w:t xml:space="preserve"> for</w:t>
      </w:r>
      <w:r w:rsidRPr="00A665BE">
        <w:t xml:space="preserve"> any new project </w:t>
      </w:r>
      <w:r w:rsidR="009C0DAC" w:rsidRPr="00A665BE">
        <w:t>enter</w:t>
      </w:r>
      <w:r w:rsidR="009C0DAC">
        <w:t>ing</w:t>
      </w:r>
      <w:r w:rsidR="009C0DAC" w:rsidRPr="00A665BE">
        <w:t xml:space="preserve"> </w:t>
      </w:r>
      <w:r w:rsidRPr="00A665BE">
        <w:t xml:space="preserve">the large load pipeline </w:t>
      </w:r>
      <w:r w:rsidR="00B05DDA">
        <w:t>and identified the</w:t>
      </w:r>
      <w:r w:rsidRPr="00A665BE">
        <w:t xml:space="preserve"> new large load projects that have </w:t>
      </w:r>
      <w:proofErr w:type="gramStart"/>
      <w:r w:rsidRPr="00A665BE">
        <w:t>entered into</w:t>
      </w:r>
      <w:proofErr w:type="gramEnd"/>
      <w:r w:rsidRPr="00A665BE">
        <w:t xml:space="preserve"> a Contract for Electric Service. </w:t>
      </w:r>
    </w:p>
    <w:p w14:paraId="773992FC" w14:textId="77777777" w:rsidR="00A7242B" w:rsidRPr="00A665BE" w:rsidRDefault="00A7242B" w:rsidP="00A7242B">
      <w:pPr>
        <w:pStyle w:val="Heading1"/>
        <w:rPr>
          <w:sz w:val="32"/>
          <w:szCs w:val="32"/>
        </w:rPr>
      </w:pPr>
      <w:r w:rsidRPr="00A665BE">
        <w:rPr>
          <w:sz w:val="32"/>
          <w:szCs w:val="32"/>
        </w:rPr>
        <w:t>Changes in the Economic Development Pipeline</w:t>
      </w:r>
    </w:p>
    <w:p w14:paraId="76C8D504" w14:textId="3E4CB603" w:rsidR="00A7242B" w:rsidRPr="00A665BE" w:rsidRDefault="00A7242B" w:rsidP="00A7242B">
      <w:pPr>
        <w:jc w:val="both"/>
      </w:pPr>
      <w:r w:rsidRPr="00A665BE">
        <w:t xml:space="preserve">Since the </w:t>
      </w:r>
      <w:r w:rsidR="004B5008">
        <w:t>fourth</w:t>
      </w:r>
      <w:r w:rsidR="009F3B9F" w:rsidRPr="00A665BE">
        <w:t xml:space="preserve"> quarter 2025 </w:t>
      </w:r>
      <w:r w:rsidRPr="00A665BE">
        <w:t xml:space="preserve">report, as of </w:t>
      </w:r>
      <w:r w:rsidR="004B5008">
        <w:t>March</w:t>
      </w:r>
      <w:r w:rsidRPr="00A665BE">
        <w:t xml:space="preserve"> </w:t>
      </w:r>
      <w:r w:rsidR="00A743EB" w:rsidRPr="00A665BE">
        <w:t>3</w:t>
      </w:r>
      <w:r w:rsidR="00357734">
        <w:t>1</w:t>
      </w:r>
      <w:r w:rsidRPr="00A665BE">
        <w:t>, 202</w:t>
      </w:r>
      <w:r w:rsidR="004B5008">
        <w:t>6</w:t>
      </w:r>
      <w:r w:rsidRPr="00A665BE">
        <w:t xml:space="preserve">, the total pipeline of economic development projects through the mid-2030s has </w:t>
      </w:r>
      <w:r w:rsidR="00357734">
        <w:t>increased</w:t>
      </w:r>
      <w:r w:rsidRPr="00A665BE">
        <w:t xml:space="preserve"> from </w:t>
      </w:r>
      <w:r w:rsidR="004B5008">
        <w:t>69,100</w:t>
      </w:r>
      <w:r w:rsidRPr="00A665BE">
        <w:t xml:space="preserve"> MW to </w:t>
      </w:r>
      <w:r w:rsidR="004B5008">
        <w:t>76,</w:t>
      </w:r>
      <w:r w:rsidR="00E02089">
        <w:t>2</w:t>
      </w:r>
      <w:r w:rsidR="004B5008">
        <w:t>00</w:t>
      </w:r>
      <w:r w:rsidRPr="00A665BE">
        <w:t xml:space="preserve"> MW – a</w:t>
      </w:r>
      <w:r w:rsidR="00357734">
        <w:t>n</w:t>
      </w:r>
      <w:r w:rsidR="00A743EB" w:rsidRPr="00A665BE">
        <w:t xml:space="preserve"> </w:t>
      </w:r>
      <w:r w:rsidR="00357734">
        <w:t>increase</w:t>
      </w:r>
      <w:r w:rsidRPr="00A665BE">
        <w:t xml:space="preserve"> of </w:t>
      </w:r>
      <w:r w:rsidR="00E02089">
        <w:t>7</w:t>
      </w:r>
      <w:r w:rsidR="004B5008">
        <w:t>,</w:t>
      </w:r>
      <w:r w:rsidR="000F72E0">
        <w:t>1</w:t>
      </w:r>
      <w:r w:rsidR="00357734">
        <w:t xml:space="preserve">00 </w:t>
      </w:r>
      <w:r w:rsidR="00A743EB" w:rsidRPr="00A665BE">
        <w:t>MW</w:t>
      </w:r>
      <w:r w:rsidRPr="00A665BE">
        <w:t xml:space="preserve">. Of the </w:t>
      </w:r>
      <w:r w:rsidR="004B5008">
        <w:t>76</w:t>
      </w:r>
      <w:r w:rsidR="00357734">
        <w:t>,</w:t>
      </w:r>
      <w:r w:rsidR="00E02089">
        <w:t>2</w:t>
      </w:r>
      <w:r w:rsidR="00357734">
        <w:t>00</w:t>
      </w:r>
      <w:r w:rsidR="009F3B9F" w:rsidRPr="00A665BE">
        <w:t xml:space="preserve"> </w:t>
      </w:r>
      <w:r w:rsidRPr="00A665BE">
        <w:t xml:space="preserve">MW in the total pipeline, </w:t>
      </w:r>
      <w:r w:rsidR="004B5008">
        <w:t>7</w:t>
      </w:r>
      <w:r w:rsidR="00E02089">
        <w:t>3</w:t>
      </w:r>
      <w:r w:rsidR="00357734">
        <w:t>,</w:t>
      </w:r>
      <w:r w:rsidR="00E02089">
        <w:t>1</w:t>
      </w:r>
      <w:r w:rsidR="00357734">
        <w:t>00</w:t>
      </w:r>
      <w:r w:rsidRPr="00A665BE">
        <w:t xml:space="preserve"> MW represent large load economic development projects.</w:t>
      </w:r>
      <w:r w:rsidRPr="00A665BE">
        <w:rPr>
          <w:rStyle w:val="FootnoteReference"/>
        </w:rPr>
        <w:footnoteReference w:id="3"/>
      </w:r>
      <w:r w:rsidRPr="00A665BE">
        <w:t xml:space="preserve"> The large load projects have </w:t>
      </w:r>
      <w:r w:rsidR="00357734">
        <w:t>increased</w:t>
      </w:r>
      <w:r w:rsidRPr="00A665BE">
        <w:t xml:space="preserve"> by a net </w:t>
      </w:r>
      <w:r w:rsidR="004B5008">
        <w:t>7</w:t>
      </w:r>
      <w:r w:rsidR="00357734">
        <w:t>,</w:t>
      </w:r>
      <w:r w:rsidR="000F72E0">
        <w:t>3</w:t>
      </w:r>
      <w:r w:rsidR="6936C739">
        <w:t>00</w:t>
      </w:r>
      <w:r w:rsidRPr="00A665BE">
        <w:t xml:space="preserve"> MW, resulting from the following changes since the last report:</w:t>
      </w:r>
    </w:p>
    <w:p w14:paraId="11A0E3E1" w14:textId="1FEF7100" w:rsidR="00A7242B" w:rsidRPr="00A665BE" w:rsidRDefault="004B5008" w:rsidP="00A7242B">
      <w:pPr>
        <w:pStyle w:val="ListParagraph"/>
        <w:numPr>
          <w:ilvl w:val="0"/>
          <w:numId w:val="2"/>
        </w:numPr>
        <w:jc w:val="both"/>
      </w:pPr>
      <w:r>
        <w:t>12,</w:t>
      </w:r>
      <w:r w:rsidR="005C27C3">
        <w:t xml:space="preserve">600 </w:t>
      </w:r>
      <w:r w:rsidR="00A7242B" w:rsidRPr="00A665BE">
        <w:t xml:space="preserve">MW that entered the </w:t>
      </w:r>
      <w:proofErr w:type="gramStart"/>
      <w:r w:rsidR="00A7242B" w:rsidRPr="00A665BE">
        <w:t>pipeline;</w:t>
      </w:r>
      <w:proofErr w:type="gramEnd"/>
      <w:r w:rsidR="00A7242B" w:rsidRPr="00A665BE">
        <w:t xml:space="preserve"> </w:t>
      </w:r>
    </w:p>
    <w:p w14:paraId="29C9F107" w14:textId="3FCED3A8" w:rsidR="00374B8B" w:rsidRPr="00A665BE" w:rsidRDefault="00374B8B" w:rsidP="00374B8B">
      <w:pPr>
        <w:pStyle w:val="ListParagraph"/>
        <w:numPr>
          <w:ilvl w:val="0"/>
          <w:numId w:val="2"/>
        </w:numPr>
        <w:jc w:val="both"/>
      </w:pPr>
      <w:r w:rsidRPr="00A665BE">
        <w:t xml:space="preserve">A net </w:t>
      </w:r>
      <w:r w:rsidR="00357734">
        <w:t>decrease</w:t>
      </w:r>
      <w:r w:rsidRPr="00A665BE">
        <w:t xml:space="preserve"> of </w:t>
      </w:r>
      <w:r w:rsidR="004B5008">
        <w:t>2,</w:t>
      </w:r>
      <w:r w:rsidR="005C27C3">
        <w:t>500</w:t>
      </w:r>
      <w:r w:rsidR="00357734">
        <w:t xml:space="preserve"> </w:t>
      </w:r>
      <w:r w:rsidRPr="00A665BE">
        <w:t xml:space="preserve">MW for projects in the pipeline that </w:t>
      </w:r>
      <w:r w:rsidR="00312553">
        <w:t>modified</w:t>
      </w:r>
      <w:r w:rsidR="00312553" w:rsidRPr="00A665BE">
        <w:t xml:space="preserve"> </w:t>
      </w:r>
      <w:r w:rsidRPr="00A665BE">
        <w:t>their projected load</w:t>
      </w:r>
      <w:r w:rsidR="00312553">
        <w:t>;</w:t>
      </w:r>
      <w:r w:rsidR="00C122F6">
        <w:t xml:space="preserve"> and</w:t>
      </w:r>
    </w:p>
    <w:p w14:paraId="6452F817" w14:textId="7C9AB8E2" w:rsidR="00A7242B" w:rsidRPr="00A665BE" w:rsidRDefault="000F72E0" w:rsidP="00A7242B">
      <w:pPr>
        <w:pStyle w:val="ListParagraph"/>
        <w:numPr>
          <w:ilvl w:val="0"/>
          <w:numId w:val="2"/>
        </w:numPr>
        <w:jc w:val="both"/>
      </w:pPr>
      <w:r>
        <w:t>2,</w:t>
      </w:r>
      <w:r w:rsidR="008F1231">
        <w:t>9</w:t>
      </w:r>
      <w:r>
        <w:t>00</w:t>
      </w:r>
      <w:r w:rsidR="00A7242B" w:rsidRPr="00A665BE">
        <w:t xml:space="preserve"> MW that exited the pipeline</w:t>
      </w:r>
      <w:r w:rsidR="00312553">
        <w:t>.</w:t>
      </w:r>
    </w:p>
    <w:p w14:paraId="6E448D21" w14:textId="572ED04D" w:rsidR="00A7242B" w:rsidRPr="00A665BE" w:rsidRDefault="00A7242B" w:rsidP="00A7242B">
      <w:pPr>
        <w:jc w:val="both"/>
      </w:pPr>
      <w:r w:rsidRPr="00A665BE">
        <w:t xml:space="preserve">Since our last report, in the near-term (winter of 2028/2029), the total pipeline of projects has </w:t>
      </w:r>
      <w:r w:rsidR="004B5008">
        <w:t>in</w:t>
      </w:r>
      <w:r w:rsidR="00A743EB" w:rsidRPr="00A665BE">
        <w:t>creased</w:t>
      </w:r>
      <w:r w:rsidRPr="00A665BE">
        <w:t xml:space="preserve"> by </w:t>
      </w:r>
      <w:r w:rsidR="004B5008">
        <w:t>2,1</w:t>
      </w:r>
      <w:r w:rsidR="00357734">
        <w:t>00</w:t>
      </w:r>
      <w:r w:rsidRPr="00A665BE">
        <w:t xml:space="preserve"> MW to </w:t>
      </w:r>
      <w:r w:rsidR="00357734">
        <w:t>2</w:t>
      </w:r>
      <w:r w:rsidR="004B5008">
        <w:t>6</w:t>
      </w:r>
      <w:r w:rsidR="00357734">
        <w:t>,</w:t>
      </w:r>
      <w:r w:rsidR="004B5008">
        <w:t>2</w:t>
      </w:r>
      <w:r w:rsidR="00357734">
        <w:t>00</w:t>
      </w:r>
      <w:r w:rsidRPr="00A665BE">
        <w:t xml:space="preserve"> MW, </w:t>
      </w:r>
      <w:r w:rsidR="00FF7361" w:rsidRPr="00A665BE">
        <w:t>and</w:t>
      </w:r>
      <w:r w:rsidRPr="00A665BE">
        <w:t xml:space="preserve"> the large load economic development pipeline has </w:t>
      </w:r>
      <w:r w:rsidR="004B5008">
        <w:t>in</w:t>
      </w:r>
      <w:r w:rsidR="00A743EB" w:rsidRPr="00A665BE">
        <w:t>creased</w:t>
      </w:r>
      <w:r w:rsidRPr="00A665BE">
        <w:t xml:space="preserve"> by </w:t>
      </w:r>
      <w:r w:rsidR="004B5008">
        <w:t>2,100</w:t>
      </w:r>
      <w:r w:rsidRPr="00A665BE">
        <w:t xml:space="preserve"> MW to </w:t>
      </w:r>
      <w:r w:rsidR="004B5008">
        <w:t>23,600</w:t>
      </w:r>
      <w:r w:rsidRPr="00A665BE">
        <w:t xml:space="preserve"> MW</w:t>
      </w:r>
      <w:r w:rsidR="0082716A">
        <w:t>, driven primarily by</w:t>
      </w:r>
      <w:r w:rsidR="00D25C60">
        <w:t xml:space="preserve"> </w:t>
      </w:r>
      <w:r w:rsidR="005C27C3">
        <w:t>new projects entering the pipeline</w:t>
      </w:r>
      <w:r w:rsidRPr="00A665BE">
        <w:t>. Further details about the existing, new, and former projects in the pipeline are provided in the attachment to this report.</w:t>
      </w:r>
    </w:p>
    <w:p w14:paraId="6D1C5D7E" w14:textId="77777777" w:rsidR="00A7242B" w:rsidRPr="00A665BE" w:rsidRDefault="00A7242B" w:rsidP="00A7242B">
      <w:pPr>
        <w:pStyle w:val="Heading1"/>
        <w:rPr>
          <w:sz w:val="32"/>
          <w:szCs w:val="32"/>
        </w:rPr>
      </w:pPr>
      <w:r w:rsidRPr="00A665BE">
        <w:rPr>
          <w:sz w:val="32"/>
          <w:szCs w:val="32"/>
        </w:rPr>
        <w:lastRenderedPageBreak/>
        <w:t>Changes in Commitments from Large Load Customers</w:t>
      </w:r>
    </w:p>
    <w:p w14:paraId="0AED5FF0" w14:textId="70263378" w:rsidR="00012E3B" w:rsidRDefault="00357734" w:rsidP="00DB73FD">
      <w:pPr>
        <w:jc w:val="both"/>
      </w:pPr>
      <w:r>
        <w:t>Just as</w:t>
      </w:r>
      <w:r w:rsidR="00A7242B" w:rsidRPr="00A665BE">
        <w:t xml:space="preserve"> the total and large load economic development pipelines have </w:t>
      </w:r>
      <w:r>
        <w:t>increased</w:t>
      </w:r>
      <w:r w:rsidR="00A7242B" w:rsidRPr="00A665BE">
        <w:t xml:space="preserve">, the </w:t>
      </w:r>
      <w:r w:rsidR="004A2E6D" w:rsidRPr="00A665BE">
        <w:t>number</w:t>
      </w:r>
      <w:r w:rsidR="00A7242B" w:rsidRPr="00A665BE">
        <w:t xml:space="preserve"> of commitments to Georgia Power for </w:t>
      </w:r>
      <w:r w:rsidR="00FF7361" w:rsidRPr="00A665BE">
        <w:t xml:space="preserve">electric </w:t>
      </w:r>
      <w:r w:rsidR="00A7242B" w:rsidRPr="00A665BE">
        <w:t xml:space="preserve">service from large load customers </w:t>
      </w:r>
      <w:r w:rsidR="001A17C8">
        <w:t>has</w:t>
      </w:r>
      <w:r w:rsidR="001A17C8" w:rsidRPr="00A665BE">
        <w:t xml:space="preserve"> </w:t>
      </w:r>
      <w:r w:rsidR="00A743EB" w:rsidRPr="00A665BE">
        <w:t>grown</w:t>
      </w:r>
      <w:r w:rsidR="00A7242B" w:rsidRPr="00A665BE">
        <w:t>.</w:t>
      </w:r>
      <w:r w:rsidR="00E065EF" w:rsidRPr="00A665BE">
        <w:t xml:space="preserve"> </w:t>
      </w:r>
      <w:r>
        <w:t>This increase in</w:t>
      </w:r>
      <w:r w:rsidR="00C96D76">
        <w:t xml:space="preserve"> commitments </w:t>
      </w:r>
      <w:r w:rsidR="00F87DC7">
        <w:t>brings the level of</w:t>
      </w:r>
      <w:r w:rsidR="00C96D76">
        <w:t xml:space="preserve"> total commitments to 1</w:t>
      </w:r>
      <w:r w:rsidR="006607C4">
        <w:t>2,4</w:t>
      </w:r>
      <w:r w:rsidR="00C96D76">
        <w:t>00 MW</w:t>
      </w:r>
      <w:r w:rsidR="00D25C60">
        <w:t>, reflecting an increase of 500 MW</w:t>
      </w:r>
      <w:r w:rsidR="00C96D76">
        <w:t xml:space="preserve">. </w:t>
      </w:r>
      <w:r w:rsidR="003F40CC" w:rsidRPr="00A665BE">
        <w:t>Since the last report</w:t>
      </w:r>
      <w:r w:rsidR="3685E5CB">
        <w:t>,</w:t>
      </w:r>
      <w:r w:rsidR="003F40CC" w:rsidRPr="00A665BE">
        <w:t xml:space="preserve"> a</w:t>
      </w:r>
      <w:r w:rsidR="00E065EF" w:rsidRPr="00A665BE">
        <w:t xml:space="preserve">n additional customer </w:t>
      </w:r>
      <w:r>
        <w:t>has</w:t>
      </w:r>
      <w:r w:rsidR="00E065EF" w:rsidRPr="00A665BE">
        <w:t xml:space="preserve"> broken ground</w:t>
      </w:r>
      <w:r w:rsidR="003F40CC" w:rsidRPr="00A665BE">
        <w:t>,</w:t>
      </w:r>
      <w:r w:rsidR="00E065EF" w:rsidRPr="00A665BE">
        <w:t xml:space="preserve"> </w:t>
      </w:r>
      <w:r w:rsidR="003F40CC" w:rsidRPr="00A665BE">
        <w:t>reflecting an</w:t>
      </w:r>
      <w:r w:rsidR="00E065EF" w:rsidRPr="00A665BE">
        <w:t xml:space="preserve"> increas</w:t>
      </w:r>
      <w:r w:rsidR="003F40CC" w:rsidRPr="00A665BE">
        <w:t>e in the long-term</w:t>
      </w:r>
      <w:r w:rsidR="00E065EF" w:rsidRPr="00A665BE">
        <w:t xml:space="preserve"> load from </w:t>
      </w:r>
      <w:r w:rsidR="006607C4">
        <w:t>8,0</w:t>
      </w:r>
      <w:r>
        <w:t>00</w:t>
      </w:r>
      <w:r w:rsidR="00E065EF" w:rsidRPr="00A665BE">
        <w:t xml:space="preserve"> </w:t>
      </w:r>
      <w:r w:rsidR="00E92FA5">
        <w:t>MW</w:t>
      </w:r>
      <w:r w:rsidR="00E065EF" w:rsidRPr="00A665BE">
        <w:t xml:space="preserve"> </w:t>
      </w:r>
      <w:r w:rsidR="005E02C4" w:rsidRPr="00A665BE">
        <w:t>in Q</w:t>
      </w:r>
      <w:r w:rsidR="00D25C60">
        <w:t>4</w:t>
      </w:r>
      <w:r w:rsidR="005E02C4" w:rsidRPr="00A665BE">
        <w:t xml:space="preserve"> 2025 </w:t>
      </w:r>
      <w:r w:rsidR="00E065EF" w:rsidRPr="00A665BE">
        <w:t xml:space="preserve">to </w:t>
      </w:r>
      <w:r>
        <w:t>8,</w:t>
      </w:r>
      <w:r w:rsidR="006607C4">
        <w:t>5</w:t>
      </w:r>
      <w:r>
        <w:t>00</w:t>
      </w:r>
      <w:r w:rsidR="005E02C4" w:rsidRPr="00A665BE">
        <w:t xml:space="preserve"> </w:t>
      </w:r>
      <w:r w:rsidR="00E92FA5">
        <w:t>MW</w:t>
      </w:r>
      <w:r w:rsidR="005E02C4" w:rsidRPr="00A665BE">
        <w:t xml:space="preserve"> in Q</w:t>
      </w:r>
      <w:r w:rsidR="006607C4">
        <w:t>1</w:t>
      </w:r>
      <w:r w:rsidR="005E02C4" w:rsidRPr="00A665BE">
        <w:t xml:space="preserve"> 202</w:t>
      </w:r>
      <w:r w:rsidR="006607C4">
        <w:t>6</w:t>
      </w:r>
      <w:r w:rsidR="00AB275A" w:rsidRPr="00A665BE">
        <w:t>.</w:t>
      </w:r>
    </w:p>
    <w:p w14:paraId="6C4F86F0" w14:textId="74CB5161" w:rsidR="00A7242B" w:rsidRPr="00A665BE" w:rsidRDefault="00A7242B" w:rsidP="00276B08">
      <w:pPr>
        <w:jc w:val="both"/>
      </w:pPr>
      <w:r w:rsidRPr="00A665BE">
        <w:t xml:space="preserve">Table 1 below provides a summary of the construction status of the </w:t>
      </w:r>
      <w:r w:rsidR="006607C4">
        <w:t>31</w:t>
      </w:r>
      <w:r w:rsidR="00FE735B" w:rsidRPr="00A665BE">
        <w:t xml:space="preserve"> </w:t>
      </w:r>
      <w:r w:rsidRPr="00A665BE">
        <w:t>committed large load projects, all of which</w:t>
      </w:r>
      <w:r w:rsidRPr="00A665BE" w:rsidDel="00F97FCB">
        <w:t xml:space="preserve"> </w:t>
      </w:r>
      <w:r w:rsidRPr="00A665BE">
        <w:t xml:space="preserve">have executed an RFS with Georgia Power. </w:t>
      </w:r>
      <w:r w:rsidR="00357734">
        <w:t>Twenty</w:t>
      </w:r>
      <w:r w:rsidR="006607C4">
        <w:t>-one</w:t>
      </w:r>
      <w:r w:rsidRPr="00A665BE">
        <w:t xml:space="preserve"> of these projects have broken ground</w:t>
      </w:r>
      <w:r w:rsidR="00872D87">
        <w:t>,</w:t>
      </w:r>
      <w:r w:rsidRPr="00A665BE">
        <w:t xml:space="preserve"> and </w:t>
      </w:r>
      <w:r w:rsidR="006607C4">
        <w:t>ten</w:t>
      </w:r>
      <w:r w:rsidR="009812CD" w:rsidRPr="00A665BE">
        <w:t xml:space="preserve"> </w:t>
      </w:r>
      <w:r w:rsidRPr="00A665BE">
        <w:t xml:space="preserve">are pending construction. This evidence indicates that these </w:t>
      </w:r>
      <w:proofErr w:type="gramStart"/>
      <w:r w:rsidRPr="00A665BE">
        <w:t>large load</w:t>
      </w:r>
      <w:proofErr w:type="gramEnd"/>
      <w:r w:rsidRPr="00A665BE">
        <w:t xml:space="preserve"> customers are materializing and making progress without material delays. In the </w:t>
      </w:r>
      <w:r w:rsidR="007A5C9F" w:rsidRPr="00A665BE">
        <w:t xml:space="preserve">near </w:t>
      </w:r>
      <w:r w:rsidRPr="00A665BE">
        <w:t xml:space="preserve">term, projects that have broken ground </w:t>
      </w:r>
      <w:r w:rsidR="00D25C60">
        <w:t>now</w:t>
      </w:r>
      <w:r w:rsidR="00357734">
        <w:t xml:space="preserve"> </w:t>
      </w:r>
      <w:r w:rsidRPr="00A665BE">
        <w:t xml:space="preserve">represent </w:t>
      </w:r>
      <w:r w:rsidR="00357734">
        <w:t>6,</w:t>
      </w:r>
      <w:r w:rsidR="006607C4">
        <w:t>8</w:t>
      </w:r>
      <w:r w:rsidR="00357734">
        <w:t>00</w:t>
      </w:r>
      <w:r w:rsidRPr="00A665BE">
        <w:t xml:space="preserve"> MW of the total </w:t>
      </w:r>
      <w:r w:rsidR="006607C4">
        <w:t>7</w:t>
      </w:r>
      <w:r w:rsidR="00357734">
        <w:t>,</w:t>
      </w:r>
      <w:r w:rsidR="006607C4">
        <w:t>8</w:t>
      </w:r>
      <w:r w:rsidR="00357734">
        <w:t>00</w:t>
      </w:r>
      <w:r w:rsidRPr="00A665BE">
        <w:t xml:space="preserve"> MW of customer commitments for the winter of 2028/2029.</w:t>
      </w:r>
    </w:p>
    <w:p w14:paraId="64964B54" w14:textId="11E79C94" w:rsidR="00FB0392" w:rsidRPr="00A665BE" w:rsidRDefault="003D0514" w:rsidP="006607C4">
      <w:pPr>
        <w:jc w:val="center"/>
        <w:rPr>
          <w:b/>
          <w:bCs/>
          <w:sz w:val="20"/>
          <w:szCs w:val="20"/>
        </w:rPr>
      </w:pPr>
      <w:r w:rsidRPr="008F2A07">
        <w:rPr>
          <w:b/>
          <w:sz w:val="20"/>
        </w:rPr>
        <w:t xml:space="preserve">Table 1. Summary of </w:t>
      </w:r>
      <w:proofErr w:type="gramStart"/>
      <w:r w:rsidRPr="008F2A07">
        <w:rPr>
          <w:b/>
          <w:sz w:val="20"/>
        </w:rPr>
        <w:t>Committed Customers</w:t>
      </w:r>
      <w:proofErr w:type="gramEnd"/>
    </w:p>
    <w:p w14:paraId="158E8AED" w14:textId="76CB5F96" w:rsidR="00A7242B" w:rsidRPr="00A665BE" w:rsidRDefault="00E03736" w:rsidP="00482DFF">
      <w:pPr>
        <w:jc w:val="center"/>
      </w:pPr>
      <w:r w:rsidRPr="00E03736">
        <w:rPr>
          <w:noProof/>
        </w:rPr>
        <w:drawing>
          <wp:inline distT="0" distB="0" distL="0" distR="0" wp14:anchorId="49F004CA" wp14:editId="2707702D">
            <wp:extent cx="5528188" cy="4766310"/>
            <wp:effectExtent l="0" t="0" r="0" b="0"/>
            <wp:docPr id="1410591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591189"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528188" cy="4766310"/>
                    </a:xfrm>
                    <a:prstGeom prst="rect">
                      <a:avLst/>
                    </a:prstGeom>
                    <a:noFill/>
                    <a:ln>
                      <a:noFill/>
                    </a:ln>
                  </pic:spPr>
                </pic:pic>
              </a:graphicData>
            </a:graphic>
          </wp:inline>
        </w:drawing>
      </w:r>
    </w:p>
    <w:p w14:paraId="3B0D753F" w14:textId="77777777" w:rsidR="003D0514" w:rsidRPr="00A665BE" w:rsidRDefault="003D0514" w:rsidP="00A7242B"/>
    <w:p w14:paraId="06A506FE" w14:textId="77777777" w:rsidR="003D0514" w:rsidRPr="00A665BE" w:rsidRDefault="003D0514" w:rsidP="008F2A07">
      <w:pPr>
        <w:jc w:val="both"/>
      </w:pPr>
      <w:r w:rsidRPr="00A665BE">
        <w:t>Table 2 below provides a summary of the changes in the economic development pipeline, commitments from large load customers, and announced load ramps for projects that have broken ground.</w:t>
      </w:r>
    </w:p>
    <w:p w14:paraId="0409EB4F" w14:textId="57030FA4" w:rsidR="003D0514" w:rsidRPr="00A665BE" w:rsidRDefault="003D0514" w:rsidP="003D0514">
      <w:pPr>
        <w:keepNext/>
        <w:jc w:val="center"/>
        <w:rPr>
          <w:b/>
          <w:bCs/>
        </w:rPr>
      </w:pPr>
      <w:r w:rsidRPr="00A665BE">
        <w:rPr>
          <w:b/>
          <w:bCs/>
        </w:rPr>
        <w:t>Table 2. Summary of Pipeline Changes (approximate MW)</w:t>
      </w:r>
    </w:p>
    <w:p w14:paraId="68ED5812" w14:textId="1B470643" w:rsidR="00393B35" w:rsidRPr="006607C4" w:rsidRDefault="00AF192C" w:rsidP="006607C4">
      <w:pPr>
        <w:keepNext/>
        <w:jc w:val="center"/>
        <w:rPr>
          <w:sz w:val="24"/>
          <w:szCs w:val="24"/>
        </w:rPr>
      </w:pPr>
      <w:r w:rsidRPr="00AF192C">
        <w:rPr>
          <w:noProof/>
        </w:rPr>
        <w:drawing>
          <wp:inline distT="0" distB="0" distL="0" distR="0" wp14:anchorId="0D799987" wp14:editId="3C02B678">
            <wp:extent cx="5766517" cy="1121410"/>
            <wp:effectExtent l="0" t="0" r="5715" b="2540"/>
            <wp:docPr id="625640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640039"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66517" cy="1121410"/>
                    </a:xfrm>
                    <a:prstGeom prst="rect">
                      <a:avLst/>
                    </a:prstGeom>
                    <a:noFill/>
                    <a:ln>
                      <a:noFill/>
                    </a:ln>
                  </pic:spPr>
                </pic:pic>
              </a:graphicData>
            </a:graphic>
          </wp:inline>
        </w:drawing>
      </w:r>
    </w:p>
    <w:p w14:paraId="3B5D04E3" w14:textId="15DD6160" w:rsidR="003D0514" w:rsidRPr="00A665BE" w:rsidRDefault="003D0514" w:rsidP="003D0514">
      <w:pPr>
        <w:pStyle w:val="Heading1"/>
      </w:pPr>
      <w:r w:rsidRPr="00A665BE">
        <w:t>Conclusion</w:t>
      </w:r>
    </w:p>
    <w:p w14:paraId="7A91590B" w14:textId="7B21F789" w:rsidR="003D0514" w:rsidRPr="00A665BE" w:rsidRDefault="003D0514" w:rsidP="003D0514">
      <w:pPr>
        <w:jc w:val="both"/>
      </w:pPr>
      <w:r w:rsidRPr="00A665BE">
        <w:t xml:space="preserve">Since </w:t>
      </w:r>
      <w:r w:rsidR="00D25C60">
        <w:t xml:space="preserve">February </w:t>
      </w:r>
      <w:r w:rsidR="006607C4">
        <w:t>2026</w:t>
      </w:r>
      <w:r w:rsidRPr="00A665BE">
        <w:t xml:space="preserve">: </w:t>
      </w:r>
    </w:p>
    <w:p w14:paraId="1718A958" w14:textId="42121CB0" w:rsidR="00FC1A47" w:rsidRPr="00A665BE" w:rsidRDefault="00FC1A47" w:rsidP="00FC1A47">
      <w:pPr>
        <w:pStyle w:val="ListParagraph"/>
        <w:numPr>
          <w:ilvl w:val="0"/>
          <w:numId w:val="3"/>
        </w:numPr>
        <w:spacing w:line="240" w:lineRule="auto"/>
        <w:jc w:val="both"/>
        <w:rPr>
          <w:rFonts w:eastAsia="Times New Roman"/>
        </w:rPr>
      </w:pPr>
      <w:r w:rsidRPr="00A665BE">
        <w:rPr>
          <w:rFonts w:eastAsia="Times New Roman"/>
        </w:rPr>
        <w:t xml:space="preserve">Customer commitments increased </w:t>
      </w:r>
      <w:r>
        <w:rPr>
          <w:rFonts w:eastAsia="Times New Roman"/>
        </w:rPr>
        <w:t xml:space="preserve">by </w:t>
      </w:r>
      <w:r w:rsidR="006607C4">
        <w:rPr>
          <w:rFonts w:eastAsia="Times New Roman"/>
        </w:rPr>
        <w:t>5</w:t>
      </w:r>
      <w:r w:rsidR="00393B35">
        <w:rPr>
          <w:rFonts w:eastAsia="Times New Roman"/>
        </w:rPr>
        <w:t>00</w:t>
      </w:r>
      <w:r>
        <w:rPr>
          <w:rFonts w:eastAsia="Times New Roman"/>
        </w:rPr>
        <w:t xml:space="preserve"> MW </w:t>
      </w:r>
      <w:r w:rsidRPr="00A665BE">
        <w:rPr>
          <w:rFonts w:eastAsia="Times New Roman"/>
        </w:rPr>
        <w:t xml:space="preserve">to </w:t>
      </w:r>
      <w:r w:rsidR="00393B35">
        <w:rPr>
          <w:rFonts w:eastAsia="Times New Roman"/>
        </w:rPr>
        <w:t>1</w:t>
      </w:r>
      <w:r w:rsidR="006607C4">
        <w:rPr>
          <w:rFonts w:eastAsia="Times New Roman"/>
        </w:rPr>
        <w:t>2,4</w:t>
      </w:r>
      <w:r w:rsidR="00393B35">
        <w:rPr>
          <w:rFonts w:eastAsia="Times New Roman"/>
        </w:rPr>
        <w:t>00</w:t>
      </w:r>
      <w:r w:rsidRPr="00A665BE">
        <w:rPr>
          <w:rFonts w:eastAsia="Times New Roman"/>
        </w:rPr>
        <w:t xml:space="preserve"> MW</w:t>
      </w:r>
      <w:r>
        <w:rPr>
          <w:rFonts w:eastAsia="Times New Roman"/>
        </w:rPr>
        <w:t>,</w:t>
      </w:r>
      <w:r w:rsidRPr="00A665BE">
        <w:rPr>
          <w:rFonts w:eastAsia="Times New Roman"/>
        </w:rPr>
        <w:t xml:space="preserve"> and near-term commitments </w:t>
      </w:r>
      <w:r w:rsidR="006607C4">
        <w:rPr>
          <w:rFonts w:eastAsia="Times New Roman"/>
        </w:rPr>
        <w:t>in</w:t>
      </w:r>
      <w:r w:rsidR="00393B35" w:rsidRPr="00A665BE">
        <w:rPr>
          <w:rFonts w:eastAsia="Times New Roman"/>
        </w:rPr>
        <w:t>creased</w:t>
      </w:r>
      <w:r w:rsidRPr="00A665BE">
        <w:rPr>
          <w:rFonts w:eastAsia="Times New Roman"/>
        </w:rPr>
        <w:t xml:space="preserve"> </w:t>
      </w:r>
      <w:r w:rsidR="00393B35">
        <w:rPr>
          <w:rFonts w:eastAsia="Times New Roman"/>
        </w:rPr>
        <w:t>900</w:t>
      </w:r>
      <w:r w:rsidRPr="00A665BE">
        <w:rPr>
          <w:rFonts w:eastAsia="Times New Roman"/>
        </w:rPr>
        <w:t xml:space="preserve"> MW to </w:t>
      </w:r>
      <w:r w:rsidR="006607C4">
        <w:rPr>
          <w:rFonts w:eastAsia="Times New Roman"/>
        </w:rPr>
        <w:t>7</w:t>
      </w:r>
      <w:r w:rsidR="00393B35">
        <w:rPr>
          <w:rFonts w:eastAsia="Times New Roman"/>
        </w:rPr>
        <w:t>,</w:t>
      </w:r>
      <w:r w:rsidR="006607C4">
        <w:rPr>
          <w:rFonts w:eastAsia="Times New Roman"/>
        </w:rPr>
        <w:t>8</w:t>
      </w:r>
      <w:r w:rsidR="00393B35">
        <w:rPr>
          <w:rFonts w:eastAsia="Times New Roman"/>
        </w:rPr>
        <w:t xml:space="preserve">00 </w:t>
      </w:r>
      <w:proofErr w:type="gramStart"/>
      <w:r w:rsidRPr="00A665BE">
        <w:rPr>
          <w:rFonts w:eastAsia="Times New Roman"/>
        </w:rPr>
        <w:t>MW</w:t>
      </w:r>
      <w:r w:rsidR="00291729">
        <w:rPr>
          <w:rFonts w:eastAsia="Times New Roman"/>
        </w:rPr>
        <w:t>;</w:t>
      </w:r>
      <w:proofErr w:type="gramEnd"/>
    </w:p>
    <w:p w14:paraId="41BBA15C" w14:textId="4BE35165" w:rsidR="00291729" w:rsidRDefault="00FC1A47" w:rsidP="003D0514">
      <w:pPr>
        <w:pStyle w:val="ListParagraph"/>
        <w:numPr>
          <w:ilvl w:val="0"/>
          <w:numId w:val="3"/>
        </w:numPr>
        <w:spacing w:after="0" w:line="240" w:lineRule="auto"/>
        <w:jc w:val="both"/>
        <w:rPr>
          <w:rFonts w:eastAsia="Times New Roman"/>
        </w:rPr>
      </w:pPr>
      <w:r>
        <w:rPr>
          <w:rFonts w:eastAsia="Times New Roman"/>
        </w:rPr>
        <w:t xml:space="preserve">Projects that have broken ground </w:t>
      </w:r>
      <w:r w:rsidR="00393B35">
        <w:rPr>
          <w:rFonts w:eastAsia="Times New Roman"/>
        </w:rPr>
        <w:t>increased</w:t>
      </w:r>
      <w:r w:rsidR="00291729">
        <w:rPr>
          <w:rFonts w:eastAsia="Times New Roman"/>
        </w:rPr>
        <w:t xml:space="preserve">, now representing approximately </w:t>
      </w:r>
      <w:r w:rsidR="00393B35">
        <w:rPr>
          <w:rFonts w:eastAsia="Times New Roman"/>
        </w:rPr>
        <w:t>8,</w:t>
      </w:r>
      <w:r w:rsidR="006607C4">
        <w:rPr>
          <w:rFonts w:eastAsia="Times New Roman"/>
        </w:rPr>
        <w:t>5</w:t>
      </w:r>
      <w:r w:rsidR="00393B35">
        <w:rPr>
          <w:rFonts w:eastAsia="Times New Roman"/>
        </w:rPr>
        <w:t>00</w:t>
      </w:r>
      <w:r w:rsidR="00291729">
        <w:rPr>
          <w:rFonts w:eastAsia="Times New Roman"/>
        </w:rPr>
        <w:t xml:space="preserve"> </w:t>
      </w:r>
      <w:proofErr w:type="gramStart"/>
      <w:r w:rsidR="00291729">
        <w:rPr>
          <w:rFonts w:eastAsia="Times New Roman"/>
        </w:rPr>
        <w:t>MW;</w:t>
      </w:r>
      <w:proofErr w:type="gramEnd"/>
    </w:p>
    <w:p w14:paraId="3512005F" w14:textId="4C68A2CC" w:rsidR="003D0514" w:rsidRPr="00A665BE" w:rsidRDefault="003D0514" w:rsidP="003D0514">
      <w:pPr>
        <w:pStyle w:val="ListParagraph"/>
        <w:numPr>
          <w:ilvl w:val="0"/>
          <w:numId w:val="3"/>
        </w:numPr>
        <w:spacing w:after="0" w:line="240" w:lineRule="auto"/>
        <w:jc w:val="both"/>
        <w:rPr>
          <w:rFonts w:eastAsia="Times New Roman"/>
        </w:rPr>
      </w:pPr>
      <w:r w:rsidRPr="00A665BE">
        <w:rPr>
          <w:rFonts w:eastAsia="Times New Roman"/>
        </w:rPr>
        <w:t xml:space="preserve">The total economic development pipeline has </w:t>
      </w:r>
      <w:r w:rsidR="00393B35">
        <w:rPr>
          <w:rFonts w:eastAsia="Times New Roman"/>
        </w:rPr>
        <w:t>increased</w:t>
      </w:r>
      <w:r w:rsidRPr="00A665BE">
        <w:rPr>
          <w:rFonts w:eastAsia="Times New Roman"/>
        </w:rPr>
        <w:t xml:space="preserve"> from approximately </w:t>
      </w:r>
      <w:r w:rsidR="006607C4">
        <w:rPr>
          <w:rFonts w:eastAsia="Times New Roman"/>
        </w:rPr>
        <w:t>69</w:t>
      </w:r>
      <w:r w:rsidR="00393B35">
        <w:rPr>
          <w:rFonts w:eastAsia="Times New Roman"/>
        </w:rPr>
        <w:t>,</w:t>
      </w:r>
      <w:r w:rsidR="006607C4">
        <w:rPr>
          <w:rFonts w:eastAsia="Times New Roman"/>
        </w:rPr>
        <w:t>1</w:t>
      </w:r>
      <w:r w:rsidR="00393B35">
        <w:rPr>
          <w:rFonts w:eastAsia="Times New Roman"/>
        </w:rPr>
        <w:t>00</w:t>
      </w:r>
      <w:r w:rsidRPr="00A665BE">
        <w:rPr>
          <w:rFonts w:eastAsia="Times New Roman"/>
        </w:rPr>
        <w:t xml:space="preserve"> MW to approximately </w:t>
      </w:r>
      <w:r w:rsidR="006607C4">
        <w:rPr>
          <w:rFonts w:eastAsia="Times New Roman"/>
        </w:rPr>
        <w:t>76</w:t>
      </w:r>
      <w:r w:rsidR="00393B35">
        <w:rPr>
          <w:rFonts w:eastAsia="Times New Roman"/>
        </w:rPr>
        <w:t>,</w:t>
      </w:r>
      <w:r w:rsidR="00AF192C">
        <w:rPr>
          <w:rFonts w:eastAsia="Times New Roman"/>
        </w:rPr>
        <w:t>2</w:t>
      </w:r>
      <w:r w:rsidR="00393B35">
        <w:rPr>
          <w:rFonts w:eastAsia="Times New Roman"/>
        </w:rPr>
        <w:t>00</w:t>
      </w:r>
      <w:r w:rsidRPr="00A665BE">
        <w:rPr>
          <w:rFonts w:eastAsia="Times New Roman"/>
        </w:rPr>
        <w:t xml:space="preserve"> MW through the mid-2030s, representing a</w:t>
      </w:r>
      <w:r w:rsidR="00393B35">
        <w:rPr>
          <w:rFonts w:eastAsia="Times New Roman"/>
        </w:rPr>
        <w:t xml:space="preserve">n increase </w:t>
      </w:r>
      <w:r w:rsidRPr="00A665BE">
        <w:rPr>
          <w:rFonts w:eastAsia="Times New Roman"/>
        </w:rPr>
        <w:t>of</w:t>
      </w:r>
      <w:r w:rsidR="0007705F" w:rsidRPr="00A665BE">
        <w:rPr>
          <w:rFonts w:eastAsia="Times New Roman"/>
        </w:rPr>
        <w:t xml:space="preserve"> </w:t>
      </w:r>
      <w:r w:rsidR="00AF192C">
        <w:rPr>
          <w:rFonts w:eastAsia="Times New Roman"/>
        </w:rPr>
        <w:t>7</w:t>
      </w:r>
      <w:r w:rsidR="00393B35">
        <w:rPr>
          <w:rFonts w:eastAsia="Times New Roman"/>
        </w:rPr>
        <w:t>,</w:t>
      </w:r>
      <w:r w:rsidR="00AF192C">
        <w:rPr>
          <w:rFonts w:eastAsia="Times New Roman"/>
        </w:rPr>
        <w:t>1</w:t>
      </w:r>
      <w:r w:rsidR="00393B35">
        <w:rPr>
          <w:rFonts w:eastAsia="Times New Roman"/>
        </w:rPr>
        <w:t>00</w:t>
      </w:r>
      <w:r w:rsidRPr="00A665BE">
        <w:rPr>
          <w:rFonts w:eastAsia="Times New Roman"/>
        </w:rPr>
        <w:t xml:space="preserve"> MW</w:t>
      </w:r>
      <w:r w:rsidR="00E62DC2" w:rsidRPr="00A665BE">
        <w:rPr>
          <w:rFonts w:eastAsia="Times New Roman"/>
        </w:rPr>
        <w:t>;</w:t>
      </w:r>
      <w:r w:rsidR="00291729">
        <w:rPr>
          <w:rFonts w:eastAsia="Times New Roman"/>
        </w:rPr>
        <w:t xml:space="preserve"> and</w:t>
      </w:r>
    </w:p>
    <w:p w14:paraId="0EA4FC47" w14:textId="41D834A5" w:rsidR="003D0514" w:rsidRPr="00A665BE" w:rsidRDefault="003D0514" w:rsidP="00276B08">
      <w:pPr>
        <w:pStyle w:val="ListParagraph"/>
        <w:numPr>
          <w:ilvl w:val="0"/>
          <w:numId w:val="3"/>
        </w:numPr>
        <w:jc w:val="both"/>
        <w:rPr>
          <w:rFonts w:eastAsia="Times New Roman"/>
        </w:rPr>
      </w:pPr>
      <w:r w:rsidRPr="00A665BE">
        <w:rPr>
          <w:rFonts w:eastAsia="Times New Roman"/>
        </w:rPr>
        <w:t xml:space="preserve">Near-term 2028/2029 large loads have </w:t>
      </w:r>
      <w:r w:rsidR="006607C4">
        <w:rPr>
          <w:rFonts w:eastAsia="Times New Roman"/>
        </w:rPr>
        <w:t>in</w:t>
      </w:r>
      <w:r w:rsidRPr="00A665BE">
        <w:rPr>
          <w:rFonts w:eastAsia="Times New Roman"/>
        </w:rPr>
        <w:t xml:space="preserve">creased by </w:t>
      </w:r>
      <w:r w:rsidR="006607C4">
        <w:rPr>
          <w:rFonts w:eastAsia="Times New Roman"/>
        </w:rPr>
        <w:t>2</w:t>
      </w:r>
      <w:r w:rsidR="00F87DC7">
        <w:rPr>
          <w:rFonts w:eastAsia="Times New Roman"/>
        </w:rPr>
        <w:t>,</w:t>
      </w:r>
      <w:r w:rsidR="006607C4">
        <w:rPr>
          <w:rFonts w:eastAsia="Times New Roman"/>
        </w:rPr>
        <w:t>1</w:t>
      </w:r>
      <w:r w:rsidR="00F87DC7">
        <w:rPr>
          <w:rFonts w:eastAsia="Times New Roman"/>
        </w:rPr>
        <w:t>00</w:t>
      </w:r>
      <w:r w:rsidR="00823D03" w:rsidRPr="00A665BE">
        <w:rPr>
          <w:rFonts w:eastAsia="Times New Roman"/>
        </w:rPr>
        <w:t xml:space="preserve"> </w:t>
      </w:r>
      <w:r w:rsidRPr="00A665BE">
        <w:rPr>
          <w:rFonts w:eastAsia="Times New Roman"/>
        </w:rPr>
        <w:t>MW</w:t>
      </w:r>
      <w:r w:rsidR="00291729">
        <w:rPr>
          <w:rFonts w:eastAsia="Times New Roman"/>
        </w:rPr>
        <w:t>.</w:t>
      </w:r>
    </w:p>
    <w:p w14:paraId="3E619996" w14:textId="77777777" w:rsidR="003D0514" w:rsidRPr="00A665BE" w:rsidRDefault="003D0514" w:rsidP="003D0514">
      <w:pPr>
        <w:jc w:val="both"/>
      </w:pPr>
      <w:r w:rsidRPr="00A665BE">
        <w:t>Since the filing of the 2023 IRP Update in October 2023:</w:t>
      </w:r>
    </w:p>
    <w:p w14:paraId="5C2EDCBD" w14:textId="2AD8ED89" w:rsidR="00FC1A47" w:rsidRPr="00A665BE" w:rsidRDefault="00FC1A47" w:rsidP="00FC1A47">
      <w:pPr>
        <w:pStyle w:val="ListParagraph"/>
        <w:numPr>
          <w:ilvl w:val="0"/>
          <w:numId w:val="3"/>
        </w:numPr>
        <w:spacing w:after="0" w:line="240" w:lineRule="auto"/>
        <w:jc w:val="both"/>
        <w:rPr>
          <w:rFonts w:eastAsia="Times New Roman"/>
        </w:rPr>
      </w:pPr>
      <w:r w:rsidRPr="00A665BE">
        <w:rPr>
          <w:rFonts w:eastAsia="Times New Roman"/>
        </w:rPr>
        <w:t>Customer commitments expanded from 3,6</w:t>
      </w:r>
      <w:r w:rsidR="00393B35">
        <w:rPr>
          <w:rFonts w:eastAsia="Times New Roman"/>
        </w:rPr>
        <w:t>00</w:t>
      </w:r>
      <w:r w:rsidRPr="00A665BE">
        <w:rPr>
          <w:rFonts w:eastAsia="Times New Roman"/>
        </w:rPr>
        <w:t xml:space="preserve"> MW </w:t>
      </w:r>
      <w:r w:rsidR="00393B35">
        <w:rPr>
          <w:rFonts w:eastAsia="Times New Roman"/>
        </w:rPr>
        <w:t>to 1</w:t>
      </w:r>
      <w:r w:rsidR="006607C4">
        <w:rPr>
          <w:rFonts w:eastAsia="Times New Roman"/>
        </w:rPr>
        <w:t>2</w:t>
      </w:r>
      <w:r w:rsidR="00393B35">
        <w:rPr>
          <w:rFonts w:eastAsia="Times New Roman"/>
        </w:rPr>
        <w:t>,</w:t>
      </w:r>
      <w:r w:rsidR="006607C4">
        <w:rPr>
          <w:rFonts w:eastAsia="Times New Roman"/>
        </w:rPr>
        <w:t>4</w:t>
      </w:r>
      <w:r w:rsidR="00393B35">
        <w:rPr>
          <w:rFonts w:eastAsia="Times New Roman"/>
        </w:rPr>
        <w:t>00</w:t>
      </w:r>
      <w:r w:rsidRPr="00A665BE">
        <w:rPr>
          <w:rFonts w:eastAsia="Times New Roman"/>
        </w:rPr>
        <w:t xml:space="preserve"> MW, representing an increase of </w:t>
      </w:r>
      <w:r w:rsidR="00393B35">
        <w:rPr>
          <w:rFonts w:eastAsia="Times New Roman"/>
        </w:rPr>
        <w:t>8,</w:t>
      </w:r>
      <w:r w:rsidR="006607C4">
        <w:rPr>
          <w:rFonts w:eastAsia="Times New Roman"/>
        </w:rPr>
        <w:t>8</w:t>
      </w:r>
      <w:r w:rsidR="00393B35">
        <w:rPr>
          <w:rFonts w:eastAsia="Times New Roman"/>
        </w:rPr>
        <w:t>00</w:t>
      </w:r>
      <w:r w:rsidRPr="00A665BE">
        <w:rPr>
          <w:rFonts w:eastAsia="Times New Roman"/>
        </w:rPr>
        <w:t xml:space="preserve"> </w:t>
      </w:r>
      <w:proofErr w:type="gramStart"/>
      <w:r w:rsidRPr="00A665BE">
        <w:rPr>
          <w:rFonts w:eastAsia="Times New Roman"/>
        </w:rPr>
        <w:t>MW</w:t>
      </w:r>
      <w:r w:rsidR="00291729">
        <w:rPr>
          <w:rFonts w:eastAsia="Times New Roman"/>
        </w:rPr>
        <w:t>;</w:t>
      </w:r>
      <w:proofErr w:type="gramEnd"/>
    </w:p>
    <w:p w14:paraId="414DF4CC" w14:textId="047D77D2" w:rsidR="003D0514" w:rsidRPr="00A665BE" w:rsidRDefault="003D0514" w:rsidP="003D0514">
      <w:pPr>
        <w:pStyle w:val="ListParagraph"/>
        <w:numPr>
          <w:ilvl w:val="0"/>
          <w:numId w:val="3"/>
        </w:numPr>
        <w:spacing w:after="0" w:line="240" w:lineRule="auto"/>
        <w:jc w:val="both"/>
        <w:rPr>
          <w:rFonts w:eastAsia="Times New Roman"/>
        </w:rPr>
      </w:pPr>
      <w:r w:rsidRPr="00A665BE">
        <w:rPr>
          <w:rFonts w:eastAsia="Times New Roman"/>
        </w:rPr>
        <w:t xml:space="preserve">The total economic development pipeline has expanded from approximately 17,000 MW to approximately </w:t>
      </w:r>
      <w:r w:rsidR="006607C4">
        <w:rPr>
          <w:rFonts w:eastAsia="Times New Roman"/>
        </w:rPr>
        <w:t>76</w:t>
      </w:r>
      <w:r w:rsidR="00393B35">
        <w:rPr>
          <w:rFonts w:eastAsia="Times New Roman"/>
        </w:rPr>
        <w:t>,</w:t>
      </w:r>
      <w:r w:rsidR="0039092E">
        <w:rPr>
          <w:rFonts w:eastAsia="Times New Roman"/>
        </w:rPr>
        <w:t>2</w:t>
      </w:r>
      <w:r w:rsidR="00393B35">
        <w:rPr>
          <w:rFonts w:eastAsia="Times New Roman"/>
        </w:rPr>
        <w:t>00</w:t>
      </w:r>
      <w:r w:rsidRPr="00A665BE">
        <w:rPr>
          <w:rFonts w:eastAsia="Times New Roman"/>
        </w:rPr>
        <w:t xml:space="preserve"> MW through the mid-2030s, representing an increase of </w:t>
      </w:r>
      <w:r w:rsidR="00393B35">
        <w:rPr>
          <w:rFonts w:eastAsia="Times New Roman"/>
        </w:rPr>
        <w:t>5</w:t>
      </w:r>
      <w:r w:rsidR="006607C4">
        <w:rPr>
          <w:rFonts w:eastAsia="Times New Roman"/>
        </w:rPr>
        <w:t>9</w:t>
      </w:r>
      <w:r w:rsidR="00393B35">
        <w:rPr>
          <w:rFonts w:eastAsia="Times New Roman"/>
        </w:rPr>
        <w:t>,</w:t>
      </w:r>
      <w:r w:rsidR="0039092E">
        <w:rPr>
          <w:rFonts w:eastAsia="Times New Roman"/>
        </w:rPr>
        <w:t>2</w:t>
      </w:r>
      <w:r w:rsidR="00393B35">
        <w:rPr>
          <w:rFonts w:eastAsia="Times New Roman"/>
        </w:rPr>
        <w:t>00</w:t>
      </w:r>
      <w:r w:rsidRPr="00A665BE">
        <w:rPr>
          <w:rFonts w:eastAsia="Times New Roman"/>
        </w:rPr>
        <w:t xml:space="preserve"> MW</w:t>
      </w:r>
      <w:r w:rsidR="00E62DC2" w:rsidRPr="00A665BE">
        <w:rPr>
          <w:rFonts w:eastAsia="Times New Roman"/>
        </w:rPr>
        <w:t>;</w:t>
      </w:r>
      <w:r w:rsidR="00291729">
        <w:rPr>
          <w:rFonts w:eastAsia="Times New Roman"/>
        </w:rPr>
        <w:t xml:space="preserve"> and</w:t>
      </w:r>
    </w:p>
    <w:p w14:paraId="66B4FFC3" w14:textId="5C6A5CDF" w:rsidR="003D0514" w:rsidRPr="00A665BE" w:rsidRDefault="003D0514" w:rsidP="003D0514">
      <w:pPr>
        <w:pStyle w:val="ListParagraph"/>
        <w:numPr>
          <w:ilvl w:val="0"/>
          <w:numId w:val="3"/>
        </w:numPr>
        <w:spacing w:after="0" w:line="240" w:lineRule="auto"/>
        <w:jc w:val="both"/>
        <w:rPr>
          <w:rFonts w:eastAsia="Times New Roman"/>
        </w:rPr>
      </w:pPr>
      <w:r w:rsidRPr="00A665BE">
        <w:rPr>
          <w:rFonts w:eastAsia="Times New Roman"/>
        </w:rPr>
        <w:t xml:space="preserve">Near-term 2028/2029 large loads have increased by approximately </w:t>
      </w:r>
      <w:r w:rsidR="00393B35">
        <w:rPr>
          <w:rFonts w:eastAsia="Times New Roman"/>
        </w:rPr>
        <w:t>1</w:t>
      </w:r>
      <w:r w:rsidR="006607C4">
        <w:rPr>
          <w:rFonts w:eastAsia="Times New Roman"/>
        </w:rPr>
        <w:t>3</w:t>
      </w:r>
      <w:r w:rsidR="00393B35">
        <w:rPr>
          <w:rFonts w:eastAsia="Times New Roman"/>
        </w:rPr>
        <w:t>,</w:t>
      </w:r>
      <w:r w:rsidR="006607C4">
        <w:rPr>
          <w:rFonts w:eastAsia="Times New Roman"/>
        </w:rPr>
        <w:t>1</w:t>
      </w:r>
      <w:r w:rsidR="00393B35">
        <w:rPr>
          <w:rFonts w:eastAsia="Times New Roman"/>
        </w:rPr>
        <w:t>00</w:t>
      </w:r>
      <w:r w:rsidRPr="00A665BE">
        <w:rPr>
          <w:rFonts w:eastAsia="Times New Roman"/>
        </w:rPr>
        <w:t xml:space="preserve"> MW</w:t>
      </w:r>
      <w:r w:rsidR="00291729">
        <w:rPr>
          <w:rFonts w:eastAsia="Times New Roman"/>
        </w:rPr>
        <w:t>.</w:t>
      </w:r>
    </w:p>
    <w:p w14:paraId="40A82149" w14:textId="77777777" w:rsidR="003D0514" w:rsidRPr="00A665BE" w:rsidRDefault="003D0514" w:rsidP="003D0514">
      <w:pPr>
        <w:pStyle w:val="ListParagraph"/>
        <w:spacing w:after="0" w:line="240" w:lineRule="auto"/>
        <w:contextualSpacing w:val="0"/>
        <w:jc w:val="both"/>
        <w:rPr>
          <w:rFonts w:eastAsia="Times New Roman"/>
          <w:color w:val="FF0000"/>
        </w:rPr>
      </w:pPr>
    </w:p>
    <w:p w14:paraId="0D11B78D" w14:textId="74BD02BC" w:rsidR="003D0514" w:rsidRPr="00A665BE" w:rsidRDefault="003D0514" w:rsidP="003D0514">
      <w:pPr>
        <w:jc w:val="both"/>
      </w:pPr>
      <w:r w:rsidRPr="00A665BE">
        <w:t xml:space="preserve">This information </w:t>
      </w:r>
      <w:proofErr w:type="gramStart"/>
      <w:r w:rsidRPr="00A665BE">
        <w:t>evidences</w:t>
      </w:r>
      <w:proofErr w:type="gramEnd"/>
      <w:r w:rsidRPr="00A665BE" w:rsidDel="00E969A7">
        <w:t xml:space="preserve"> </w:t>
      </w:r>
      <w:r w:rsidRPr="00A665BE">
        <w:t>that Georgia Power’s load forecast is materializing and that the constructive outcome</w:t>
      </w:r>
      <w:r w:rsidR="00F87DC7">
        <w:t>s</w:t>
      </w:r>
      <w:r w:rsidRPr="00A665BE">
        <w:t xml:space="preserve"> of the 2023 IRP Update</w:t>
      </w:r>
      <w:r w:rsidR="00F87DC7">
        <w:t xml:space="preserve">, 2025 IRP, and 2029-2031 </w:t>
      </w:r>
      <w:r w:rsidR="00730AD7">
        <w:t>All-</w:t>
      </w:r>
      <w:r w:rsidR="00F87DC7">
        <w:t xml:space="preserve">Source RFP </w:t>
      </w:r>
      <w:r w:rsidR="005241BA" w:rsidRPr="005241BA">
        <w:t xml:space="preserve">and 2028-2031 Supplemental Resources </w:t>
      </w:r>
      <w:r w:rsidR="00F87DC7">
        <w:t>Certification</w:t>
      </w:r>
      <w:r w:rsidR="00D679E7">
        <w:t>s</w:t>
      </w:r>
      <w:r w:rsidRPr="00A665BE">
        <w:t xml:space="preserve"> </w:t>
      </w:r>
      <w:r w:rsidR="005241BA">
        <w:t>are</w:t>
      </w:r>
      <w:r w:rsidRPr="00A665BE">
        <w:t xml:space="preserve"> supportive of economic growth in Georgia.</w:t>
      </w:r>
    </w:p>
    <w:p w14:paraId="4BFAF82E" w14:textId="46238D33" w:rsidR="003D0514" w:rsidRPr="00823D03" w:rsidRDefault="003D0514" w:rsidP="00FB0392">
      <w:pPr>
        <w:jc w:val="both"/>
      </w:pPr>
      <w:r w:rsidRPr="00A665BE">
        <w:t xml:space="preserve">The Company will continue to monitor economic growth </w:t>
      </w:r>
      <w:r w:rsidR="00957538">
        <w:t xml:space="preserve">projections </w:t>
      </w:r>
      <w:r w:rsidRPr="00A665BE">
        <w:t xml:space="preserve">and will keep the Commission </w:t>
      </w:r>
      <w:proofErr w:type="gramStart"/>
      <w:r w:rsidRPr="00A665BE">
        <w:t>apprised</w:t>
      </w:r>
      <w:proofErr w:type="gramEnd"/>
      <w:r w:rsidRPr="00A665BE">
        <w:t xml:space="preserve"> of large load activity consistent with the requirements of the Commission’s Order Adopting </w:t>
      </w:r>
      <w:r w:rsidR="00DE5CA3">
        <w:t xml:space="preserve">Stipulation </w:t>
      </w:r>
      <w:r w:rsidRPr="00A665BE">
        <w:t xml:space="preserve">in the </w:t>
      </w:r>
      <w:r w:rsidR="00DE5CA3" w:rsidRPr="00A665BE">
        <w:t>202</w:t>
      </w:r>
      <w:r w:rsidR="00DE5CA3">
        <w:t>5</w:t>
      </w:r>
      <w:r w:rsidR="00DE5CA3" w:rsidRPr="00A665BE">
        <w:t xml:space="preserve"> </w:t>
      </w:r>
      <w:r w:rsidRPr="00A665BE">
        <w:t>IRP.</w:t>
      </w:r>
    </w:p>
    <w:sectPr w:rsidR="003D0514" w:rsidRPr="00823D03" w:rsidSect="00A7242B">
      <w:headerReference w:type="default" r:id="rId11"/>
      <w:footerReference w:type="default" r:id="rId12"/>
      <w:head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A717" w14:textId="77777777" w:rsidR="00FD2C44" w:rsidRDefault="00FD2C44" w:rsidP="00034F63">
      <w:pPr>
        <w:spacing w:after="0" w:line="240" w:lineRule="auto"/>
      </w:pPr>
      <w:r>
        <w:separator/>
      </w:r>
    </w:p>
  </w:endnote>
  <w:endnote w:type="continuationSeparator" w:id="0">
    <w:p w14:paraId="2992AB9E" w14:textId="77777777" w:rsidR="00FD2C44" w:rsidRDefault="00FD2C44" w:rsidP="00034F63">
      <w:pPr>
        <w:spacing w:after="0" w:line="240" w:lineRule="auto"/>
      </w:pPr>
      <w:r>
        <w:continuationSeparator/>
      </w:r>
    </w:p>
  </w:endnote>
  <w:endnote w:type="continuationNotice" w:id="1">
    <w:p w14:paraId="600C5A89" w14:textId="77777777" w:rsidR="00FD2C44" w:rsidRDefault="00FD2C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197717"/>
      <w:docPartObj>
        <w:docPartGallery w:val="Page Numbers (Bottom of Page)"/>
        <w:docPartUnique/>
      </w:docPartObj>
    </w:sdtPr>
    <w:sdtEndPr>
      <w:rPr>
        <w:noProof/>
      </w:rPr>
    </w:sdtEndPr>
    <w:sdtContent>
      <w:p w14:paraId="23BD917E" w14:textId="5E7C498E" w:rsidR="00A7242B" w:rsidRDefault="00A724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CE32DD" w14:textId="77777777" w:rsidR="00A7242B" w:rsidRDefault="00A72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2069E" w14:textId="77777777" w:rsidR="00FD2C44" w:rsidRDefault="00FD2C44" w:rsidP="00034F63">
      <w:pPr>
        <w:spacing w:after="0" w:line="240" w:lineRule="auto"/>
      </w:pPr>
      <w:r>
        <w:separator/>
      </w:r>
    </w:p>
  </w:footnote>
  <w:footnote w:type="continuationSeparator" w:id="0">
    <w:p w14:paraId="28A245E4" w14:textId="77777777" w:rsidR="00FD2C44" w:rsidRDefault="00FD2C44" w:rsidP="00034F63">
      <w:pPr>
        <w:spacing w:after="0" w:line="240" w:lineRule="auto"/>
      </w:pPr>
      <w:r>
        <w:continuationSeparator/>
      </w:r>
    </w:p>
  </w:footnote>
  <w:footnote w:type="continuationNotice" w:id="1">
    <w:p w14:paraId="24B0785B" w14:textId="77777777" w:rsidR="00FD2C44" w:rsidRDefault="00FD2C44">
      <w:pPr>
        <w:spacing w:after="0" w:line="240" w:lineRule="auto"/>
      </w:pPr>
    </w:p>
  </w:footnote>
  <w:footnote w:id="2">
    <w:p w14:paraId="4DC041AF" w14:textId="50CA3B67" w:rsidR="002C029E" w:rsidRDefault="002C029E">
      <w:pPr>
        <w:pStyle w:val="FootnoteText"/>
      </w:pPr>
      <w:r>
        <w:rPr>
          <w:rStyle w:val="FootnoteReference"/>
        </w:rPr>
        <w:footnoteRef/>
      </w:r>
      <w:r>
        <w:t xml:space="preserve"> </w:t>
      </w:r>
      <w:r w:rsidRPr="002C029E">
        <w:rPr>
          <w:sz w:val="18"/>
          <w:szCs w:val="18"/>
        </w:rPr>
        <w:t xml:space="preserve">The values in this report are based on activity through 3/31/2026. There were commitments added totaling 3,200 MW in April of 2026 that are not included in these </w:t>
      </w:r>
      <w:r w:rsidR="00EF65DC" w:rsidRPr="00EF65DC">
        <w:rPr>
          <w:sz w:val="18"/>
          <w:szCs w:val="18"/>
        </w:rPr>
        <w:t>values, which will be included in the second quarter report.</w:t>
      </w:r>
    </w:p>
  </w:footnote>
  <w:footnote w:id="3">
    <w:p w14:paraId="56E719E2" w14:textId="77777777" w:rsidR="00A7242B" w:rsidRPr="001172BF" w:rsidRDefault="00A7242B" w:rsidP="00A7242B">
      <w:pPr>
        <w:pStyle w:val="FootnoteText"/>
      </w:pPr>
      <w:r>
        <w:rPr>
          <w:rStyle w:val="FootnoteReference"/>
        </w:rPr>
        <w:footnoteRef/>
      </w:r>
      <w:r>
        <w:t xml:space="preserve"> Large load economic development projects represent those </w:t>
      </w:r>
      <w:r>
        <w:rPr>
          <w:i/>
          <w:iCs/>
        </w:rPr>
        <w:t>above</w:t>
      </w:r>
      <w:r>
        <w:t xml:space="preserve"> the Company’s organic load growth thresholds for commercial and industrial load.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77A1" w14:textId="77C70A15" w:rsidR="00034F63" w:rsidRPr="009F196B" w:rsidRDefault="00034F63" w:rsidP="00034F63">
    <w:pPr>
      <w:pStyle w:val="NoSpacing"/>
      <w:jc w:val="center"/>
      <w:rPr>
        <w:b/>
        <w:bCs/>
      </w:rPr>
    </w:pPr>
    <w:r w:rsidRPr="00381D67">
      <w:rPr>
        <w:b/>
        <w:bCs/>
      </w:rPr>
      <w:t xml:space="preserve">Docket No. </w:t>
    </w:r>
    <w:r w:rsidR="00235A2B">
      <w:rPr>
        <w:b/>
        <w:bCs/>
      </w:rPr>
      <w:t>56002</w:t>
    </w:r>
  </w:p>
  <w:p w14:paraId="09DA4272" w14:textId="024E8B49" w:rsidR="00034F63" w:rsidRPr="009F196B" w:rsidRDefault="00034F63" w:rsidP="00034F63">
    <w:pPr>
      <w:pStyle w:val="NoSpacing"/>
      <w:jc w:val="center"/>
      <w:rPr>
        <w:b/>
        <w:bCs/>
      </w:rPr>
    </w:pPr>
    <w:r w:rsidRPr="009F196B">
      <w:rPr>
        <w:b/>
        <w:bCs/>
      </w:rPr>
      <w:t xml:space="preserve">Georgia Power Company's </w:t>
    </w:r>
    <w:r w:rsidR="00235A2B">
      <w:rPr>
        <w:b/>
        <w:bCs/>
      </w:rPr>
      <w:t>202</w:t>
    </w:r>
    <w:r w:rsidR="000942C9">
      <w:rPr>
        <w:b/>
        <w:bCs/>
      </w:rPr>
      <w:t>6</w:t>
    </w:r>
    <w:r w:rsidR="00235A2B">
      <w:rPr>
        <w:b/>
        <w:bCs/>
      </w:rPr>
      <w:t xml:space="preserve"> </w:t>
    </w:r>
    <w:r w:rsidRPr="009F196B">
      <w:rPr>
        <w:b/>
        <w:bCs/>
      </w:rPr>
      <w:t xml:space="preserve">Integrated Resource Plan </w:t>
    </w:r>
  </w:p>
  <w:p w14:paraId="1533BE06" w14:textId="3734C84C" w:rsidR="00034F63" w:rsidRPr="009F196B" w:rsidRDefault="00034F63" w:rsidP="00034F63">
    <w:pPr>
      <w:pStyle w:val="NoSpacing"/>
      <w:jc w:val="center"/>
      <w:rPr>
        <w:b/>
        <w:bCs/>
      </w:rPr>
    </w:pPr>
    <w:r w:rsidRPr="009F196B">
      <w:rPr>
        <w:b/>
        <w:bCs/>
      </w:rPr>
      <w:t xml:space="preserve">Large Load Economic Development </w:t>
    </w:r>
    <w:r w:rsidRPr="00381D67">
      <w:rPr>
        <w:b/>
        <w:bCs/>
      </w:rPr>
      <w:t>Report Q</w:t>
    </w:r>
    <w:r w:rsidR="000942C9">
      <w:rPr>
        <w:b/>
        <w:bCs/>
      </w:rPr>
      <w:t>1</w:t>
    </w:r>
    <w:r w:rsidRPr="00381D67">
      <w:rPr>
        <w:b/>
        <w:bCs/>
      </w:rPr>
      <w:t xml:space="preserve"> 202</w:t>
    </w:r>
    <w:r w:rsidR="000942C9">
      <w:rPr>
        <w:b/>
        <w:bCs/>
      </w:rPr>
      <w:t>6</w:t>
    </w:r>
  </w:p>
  <w:p w14:paraId="7D0D9EE7" w14:textId="5189CEFE" w:rsidR="00034F63" w:rsidRPr="00E1473F" w:rsidRDefault="00E1473F" w:rsidP="00034F63">
    <w:pPr>
      <w:pStyle w:val="NoSpacing"/>
      <w:jc w:val="center"/>
      <w:rPr>
        <w:b/>
        <w:bCs/>
      </w:rPr>
    </w:pPr>
    <w:r w:rsidRPr="00E1473F">
      <w:rPr>
        <w:b/>
        <w:bCs/>
        <w:szCs w:val="24"/>
      </w:rPr>
      <w:t>PUBLIC DISCLOSURE</w:t>
    </w:r>
  </w:p>
  <w:p w14:paraId="0E960300" w14:textId="77777777" w:rsidR="00034F63" w:rsidRPr="009F196B" w:rsidRDefault="00034F63" w:rsidP="00034F63">
    <w:pPr>
      <w:pStyle w:val="NoSpacing"/>
      <w:jc w:val="center"/>
      <w:rPr>
        <w:b/>
        <w:bCs/>
      </w:rPr>
    </w:pPr>
    <w:r w:rsidRPr="009F196B">
      <w:rPr>
        <w:b/>
        <w:bCs/>
      </w:rPr>
      <w:t>_______________________________________________________________________</w:t>
    </w:r>
  </w:p>
  <w:p w14:paraId="340C75E7" w14:textId="77777777" w:rsidR="00034F63" w:rsidRDefault="00034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3321" w14:textId="4561F775" w:rsidR="00034F63" w:rsidRPr="00E1473F" w:rsidRDefault="00E1473F" w:rsidP="00E1473F">
    <w:pPr>
      <w:pStyle w:val="Header"/>
      <w:jc w:val="center"/>
    </w:pPr>
    <w:r w:rsidRPr="00E1473F">
      <w:rPr>
        <w:b/>
        <w:bCs/>
      </w:rPr>
      <w:t>PUBLIC DISCLOSURE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16665"/>
    <w:multiLevelType w:val="hybridMultilevel"/>
    <w:tmpl w:val="5BB6C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852542"/>
    <w:multiLevelType w:val="hybridMultilevel"/>
    <w:tmpl w:val="B4BA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402DB0"/>
    <w:multiLevelType w:val="hybridMultilevel"/>
    <w:tmpl w:val="E1423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56448646">
    <w:abstractNumId w:val="0"/>
  </w:num>
  <w:num w:numId="2" w16cid:durableId="1588686544">
    <w:abstractNumId w:val="1"/>
  </w:num>
  <w:num w:numId="3" w16cid:durableId="316082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6E2ECF"/>
    <w:rsid w:val="00006C74"/>
    <w:rsid w:val="00012E3B"/>
    <w:rsid w:val="00030BBF"/>
    <w:rsid w:val="000314A1"/>
    <w:rsid w:val="00034F63"/>
    <w:rsid w:val="00036CD8"/>
    <w:rsid w:val="000405D5"/>
    <w:rsid w:val="000505CB"/>
    <w:rsid w:val="00051601"/>
    <w:rsid w:val="00071E95"/>
    <w:rsid w:val="00071ED9"/>
    <w:rsid w:val="0007705F"/>
    <w:rsid w:val="00082805"/>
    <w:rsid w:val="00082E11"/>
    <w:rsid w:val="0008550D"/>
    <w:rsid w:val="000856D0"/>
    <w:rsid w:val="000942C9"/>
    <w:rsid w:val="000A1646"/>
    <w:rsid w:val="000A3F3B"/>
    <w:rsid w:val="000A4C66"/>
    <w:rsid w:val="000A7D00"/>
    <w:rsid w:val="000B042B"/>
    <w:rsid w:val="000B2DC2"/>
    <w:rsid w:val="000B7037"/>
    <w:rsid w:val="000C5C17"/>
    <w:rsid w:val="000C750A"/>
    <w:rsid w:val="000E3580"/>
    <w:rsid w:val="000E5DA4"/>
    <w:rsid w:val="000F046B"/>
    <w:rsid w:val="000F54D5"/>
    <w:rsid w:val="000F72E0"/>
    <w:rsid w:val="0010012A"/>
    <w:rsid w:val="001117D2"/>
    <w:rsid w:val="00112241"/>
    <w:rsid w:val="00117EE5"/>
    <w:rsid w:val="00123730"/>
    <w:rsid w:val="00133C70"/>
    <w:rsid w:val="00135DF4"/>
    <w:rsid w:val="001379F9"/>
    <w:rsid w:val="00143B34"/>
    <w:rsid w:val="00143EEF"/>
    <w:rsid w:val="0014409A"/>
    <w:rsid w:val="00144113"/>
    <w:rsid w:val="00151D4E"/>
    <w:rsid w:val="0016578C"/>
    <w:rsid w:val="00170A81"/>
    <w:rsid w:val="0017174D"/>
    <w:rsid w:val="00171C07"/>
    <w:rsid w:val="00172EF4"/>
    <w:rsid w:val="00175FF6"/>
    <w:rsid w:val="00187721"/>
    <w:rsid w:val="00196255"/>
    <w:rsid w:val="001A17C8"/>
    <w:rsid w:val="001B0729"/>
    <w:rsid w:val="001C4D9F"/>
    <w:rsid w:val="001D787F"/>
    <w:rsid w:val="001E1AEF"/>
    <w:rsid w:val="001E72BB"/>
    <w:rsid w:val="001F4D4C"/>
    <w:rsid w:val="002019B1"/>
    <w:rsid w:val="0020474C"/>
    <w:rsid w:val="00205974"/>
    <w:rsid w:val="00210250"/>
    <w:rsid w:val="00212A50"/>
    <w:rsid w:val="002130F6"/>
    <w:rsid w:val="00214A97"/>
    <w:rsid w:val="00215E9E"/>
    <w:rsid w:val="00217910"/>
    <w:rsid w:val="00217D29"/>
    <w:rsid w:val="00222960"/>
    <w:rsid w:val="00222DDE"/>
    <w:rsid w:val="00224042"/>
    <w:rsid w:val="0022497D"/>
    <w:rsid w:val="00235A2B"/>
    <w:rsid w:val="0025199D"/>
    <w:rsid w:val="002519F8"/>
    <w:rsid w:val="00261F00"/>
    <w:rsid w:val="0026783C"/>
    <w:rsid w:val="00270A8F"/>
    <w:rsid w:val="00271E01"/>
    <w:rsid w:val="002723A8"/>
    <w:rsid w:val="0027251B"/>
    <w:rsid w:val="00276B08"/>
    <w:rsid w:val="00285428"/>
    <w:rsid w:val="00286706"/>
    <w:rsid w:val="00291729"/>
    <w:rsid w:val="00295569"/>
    <w:rsid w:val="002B1A97"/>
    <w:rsid w:val="002B3D0C"/>
    <w:rsid w:val="002C029E"/>
    <w:rsid w:val="002C1D81"/>
    <w:rsid w:val="002C407B"/>
    <w:rsid w:val="002C4DBB"/>
    <w:rsid w:val="002C580A"/>
    <w:rsid w:val="002C7AD9"/>
    <w:rsid w:val="002D5398"/>
    <w:rsid w:val="002E04B2"/>
    <w:rsid w:val="002F23AF"/>
    <w:rsid w:val="002F41D7"/>
    <w:rsid w:val="002F648D"/>
    <w:rsid w:val="00300744"/>
    <w:rsid w:val="0030099C"/>
    <w:rsid w:val="0030257A"/>
    <w:rsid w:val="003101AE"/>
    <w:rsid w:val="00312553"/>
    <w:rsid w:val="003134A1"/>
    <w:rsid w:val="00323B8E"/>
    <w:rsid w:val="00325D2F"/>
    <w:rsid w:val="00326DF0"/>
    <w:rsid w:val="003274B6"/>
    <w:rsid w:val="00333A77"/>
    <w:rsid w:val="003341D3"/>
    <w:rsid w:val="003426DD"/>
    <w:rsid w:val="00343887"/>
    <w:rsid w:val="00343D97"/>
    <w:rsid w:val="00345919"/>
    <w:rsid w:val="00345984"/>
    <w:rsid w:val="00351B8B"/>
    <w:rsid w:val="00352559"/>
    <w:rsid w:val="0035327D"/>
    <w:rsid w:val="00354903"/>
    <w:rsid w:val="00355BE8"/>
    <w:rsid w:val="00357734"/>
    <w:rsid w:val="00363BA7"/>
    <w:rsid w:val="00365DCC"/>
    <w:rsid w:val="003725F5"/>
    <w:rsid w:val="00374B8B"/>
    <w:rsid w:val="003778D7"/>
    <w:rsid w:val="00381D67"/>
    <w:rsid w:val="0039092E"/>
    <w:rsid w:val="0039185F"/>
    <w:rsid w:val="00393B35"/>
    <w:rsid w:val="003A4D26"/>
    <w:rsid w:val="003A4EC2"/>
    <w:rsid w:val="003B25FA"/>
    <w:rsid w:val="003B702A"/>
    <w:rsid w:val="003C2599"/>
    <w:rsid w:val="003C5EDC"/>
    <w:rsid w:val="003C6B17"/>
    <w:rsid w:val="003D0514"/>
    <w:rsid w:val="003D3EA8"/>
    <w:rsid w:val="003E11D4"/>
    <w:rsid w:val="003E4AF1"/>
    <w:rsid w:val="003E5D28"/>
    <w:rsid w:val="003E7397"/>
    <w:rsid w:val="003F40CC"/>
    <w:rsid w:val="00400C4B"/>
    <w:rsid w:val="004013BE"/>
    <w:rsid w:val="00403DBC"/>
    <w:rsid w:val="00407A7D"/>
    <w:rsid w:val="004102FD"/>
    <w:rsid w:val="0041074D"/>
    <w:rsid w:val="00411CDB"/>
    <w:rsid w:val="004148AF"/>
    <w:rsid w:val="00420907"/>
    <w:rsid w:val="004223B2"/>
    <w:rsid w:val="00423884"/>
    <w:rsid w:val="00424A13"/>
    <w:rsid w:val="00427B5B"/>
    <w:rsid w:val="004335E2"/>
    <w:rsid w:val="0043369B"/>
    <w:rsid w:val="00435FCD"/>
    <w:rsid w:val="00437478"/>
    <w:rsid w:val="00443963"/>
    <w:rsid w:val="00443DCC"/>
    <w:rsid w:val="004444CD"/>
    <w:rsid w:val="00455121"/>
    <w:rsid w:val="00461BC0"/>
    <w:rsid w:val="0046547C"/>
    <w:rsid w:val="004728FF"/>
    <w:rsid w:val="004813D0"/>
    <w:rsid w:val="00482DFF"/>
    <w:rsid w:val="00485401"/>
    <w:rsid w:val="00485C16"/>
    <w:rsid w:val="00486D6F"/>
    <w:rsid w:val="00491AAC"/>
    <w:rsid w:val="00491D9B"/>
    <w:rsid w:val="00492784"/>
    <w:rsid w:val="004A2E6D"/>
    <w:rsid w:val="004B5008"/>
    <w:rsid w:val="004B5524"/>
    <w:rsid w:val="004B6A3B"/>
    <w:rsid w:val="004D1973"/>
    <w:rsid w:val="004D2F83"/>
    <w:rsid w:val="004E43E9"/>
    <w:rsid w:val="004F0DD2"/>
    <w:rsid w:val="004F2239"/>
    <w:rsid w:val="004F558A"/>
    <w:rsid w:val="004F6F12"/>
    <w:rsid w:val="0050295D"/>
    <w:rsid w:val="00505A07"/>
    <w:rsid w:val="00513F3F"/>
    <w:rsid w:val="00516E35"/>
    <w:rsid w:val="005241BA"/>
    <w:rsid w:val="005255F3"/>
    <w:rsid w:val="00530D4D"/>
    <w:rsid w:val="00534CBB"/>
    <w:rsid w:val="00534D7A"/>
    <w:rsid w:val="00537580"/>
    <w:rsid w:val="00537A50"/>
    <w:rsid w:val="005430D7"/>
    <w:rsid w:val="00543211"/>
    <w:rsid w:val="00545E8D"/>
    <w:rsid w:val="00552BED"/>
    <w:rsid w:val="00554224"/>
    <w:rsid w:val="00560364"/>
    <w:rsid w:val="00572D4F"/>
    <w:rsid w:val="00575337"/>
    <w:rsid w:val="00577328"/>
    <w:rsid w:val="005849B2"/>
    <w:rsid w:val="005857ED"/>
    <w:rsid w:val="00595361"/>
    <w:rsid w:val="005968B9"/>
    <w:rsid w:val="005A1490"/>
    <w:rsid w:val="005A5180"/>
    <w:rsid w:val="005A588D"/>
    <w:rsid w:val="005A7D93"/>
    <w:rsid w:val="005B2967"/>
    <w:rsid w:val="005B4BB3"/>
    <w:rsid w:val="005C1A78"/>
    <w:rsid w:val="005C1D03"/>
    <w:rsid w:val="005C27C3"/>
    <w:rsid w:val="005C41E0"/>
    <w:rsid w:val="005C5672"/>
    <w:rsid w:val="005C7853"/>
    <w:rsid w:val="005D465D"/>
    <w:rsid w:val="005D4C56"/>
    <w:rsid w:val="005E02C4"/>
    <w:rsid w:val="005E0C6F"/>
    <w:rsid w:val="005E65CC"/>
    <w:rsid w:val="005E7D97"/>
    <w:rsid w:val="005F0812"/>
    <w:rsid w:val="005F3411"/>
    <w:rsid w:val="006138D5"/>
    <w:rsid w:val="00614FAB"/>
    <w:rsid w:val="0064486F"/>
    <w:rsid w:val="00644891"/>
    <w:rsid w:val="00647C66"/>
    <w:rsid w:val="006543D1"/>
    <w:rsid w:val="006560A9"/>
    <w:rsid w:val="0065628D"/>
    <w:rsid w:val="00657948"/>
    <w:rsid w:val="00660769"/>
    <w:rsid w:val="006607C4"/>
    <w:rsid w:val="00660C32"/>
    <w:rsid w:val="006620C7"/>
    <w:rsid w:val="00670E12"/>
    <w:rsid w:val="006743E0"/>
    <w:rsid w:val="006765B2"/>
    <w:rsid w:val="00680B8B"/>
    <w:rsid w:val="00681207"/>
    <w:rsid w:val="00682534"/>
    <w:rsid w:val="0068381E"/>
    <w:rsid w:val="00683D32"/>
    <w:rsid w:val="00695DF3"/>
    <w:rsid w:val="006970E3"/>
    <w:rsid w:val="006A1EF6"/>
    <w:rsid w:val="006A6441"/>
    <w:rsid w:val="006B15AC"/>
    <w:rsid w:val="006B7F5D"/>
    <w:rsid w:val="006C1E57"/>
    <w:rsid w:val="006C1ED9"/>
    <w:rsid w:val="006C54FB"/>
    <w:rsid w:val="006C74CB"/>
    <w:rsid w:val="006D465F"/>
    <w:rsid w:val="006D7550"/>
    <w:rsid w:val="006E05C9"/>
    <w:rsid w:val="006E2ECF"/>
    <w:rsid w:val="006F4F49"/>
    <w:rsid w:val="00700233"/>
    <w:rsid w:val="00720703"/>
    <w:rsid w:val="007268C9"/>
    <w:rsid w:val="00730691"/>
    <w:rsid w:val="00730AD7"/>
    <w:rsid w:val="00732437"/>
    <w:rsid w:val="00733185"/>
    <w:rsid w:val="00735922"/>
    <w:rsid w:val="0074208F"/>
    <w:rsid w:val="0075750F"/>
    <w:rsid w:val="00761822"/>
    <w:rsid w:val="00762539"/>
    <w:rsid w:val="00762CC0"/>
    <w:rsid w:val="0076783F"/>
    <w:rsid w:val="0077355B"/>
    <w:rsid w:val="00783DE6"/>
    <w:rsid w:val="00785899"/>
    <w:rsid w:val="007905F8"/>
    <w:rsid w:val="007914AF"/>
    <w:rsid w:val="007941D9"/>
    <w:rsid w:val="007954F4"/>
    <w:rsid w:val="00795862"/>
    <w:rsid w:val="00797225"/>
    <w:rsid w:val="00797244"/>
    <w:rsid w:val="00797F95"/>
    <w:rsid w:val="007A5C9F"/>
    <w:rsid w:val="007A63C5"/>
    <w:rsid w:val="007A6B67"/>
    <w:rsid w:val="007B08B5"/>
    <w:rsid w:val="007B340D"/>
    <w:rsid w:val="007C0254"/>
    <w:rsid w:val="007C30BD"/>
    <w:rsid w:val="007C7DE6"/>
    <w:rsid w:val="007E1A9A"/>
    <w:rsid w:val="007E2B95"/>
    <w:rsid w:val="007E42A8"/>
    <w:rsid w:val="007E4E3A"/>
    <w:rsid w:val="007F25A6"/>
    <w:rsid w:val="007F4DD6"/>
    <w:rsid w:val="00801DC8"/>
    <w:rsid w:val="00807C68"/>
    <w:rsid w:val="00814AE8"/>
    <w:rsid w:val="00814F8B"/>
    <w:rsid w:val="00821CD3"/>
    <w:rsid w:val="00823D03"/>
    <w:rsid w:val="0082716A"/>
    <w:rsid w:val="008313E0"/>
    <w:rsid w:val="00840EE0"/>
    <w:rsid w:val="008454D1"/>
    <w:rsid w:val="0085244C"/>
    <w:rsid w:val="008669D5"/>
    <w:rsid w:val="00866F45"/>
    <w:rsid w:val="00872D87"/>
    <w:rsid w:val="00885807"/>
    <w:rsid w:val="00886D52"/>
    <w:rsid w:val="00887B4B"/>
    <w:rsid w:val="00890F73"/>
    <w:rsid w:val="00893F50"/>
    <w:rsid w:val="008A13EC"/>
    <w:rsid w:val="008B2861"/>
    <w:rsid w:val="008B3BD8"/>
    <w:rsid w:val="008C2067"/>
    <w:rsid w:val="008D7EE1"/>
    <w:rsid w:val="008E64C3"/>
    <w:rsid w:val="008F04E3"/>
    <w:rsid w:val="008F1231"/>
    <w:rsid w:val="008F2A07"/>
    <w:rsid w:val="008F352A"/>
    <w:rsid w:val="008F3A08"/>
    <w:rsid w:val="008F63D8"/>
    <w:rsid w:val="009103FD"/>
    <w:rsid w:val="00911AED"/>
    <w:rsid w:val="0093018C"/>
    <w:rsid w:val="009367BF"/>
    <w:rsid w:val="009402C7"/>
    <w:rsid w:val="009465E5"/>
    <w:rsid w:val="00954F05"/>
    <w:rsid w:val="00956DC2"/>
    <w:rsid w:val="00957538"/>
    <w:rsid w:val="00965BF9"/>
    <w:rsid w:val="0097247C"/>
    <w:rsid w:val="009812CD"/>
    <w:rsid w:val="009831A9"/>
    <w:rsid w:val="00986929"/>
    <w:rsid w:val="009B0288"/>
    <w:rsid w:val="009B7521"/>
    <w:rsid w:val="009B765A"/>
    <w:rsid w:val="009C081E"/>
    <w:rsid w:val="009C0DAC"/>
    <w:rsid w:val="009D10DE"/>
    <w:rsid w:val="009D522C"/>
    <w:rsid w:val="009F3B9F"/>
    <w:rsid w:val="00A006E9"/>
    <w:rsid w:val="00A153D8"/>
    <w:rsid w:val="00A2038B"/>
    <w:rsid w:val="00A23409"/>
    <w:rsid w:val="00A26A6F"/>
    <w:rsid w:val="00A2709A"/>
    <w:rsid w:val="00A31B74"/>
    <w:rsid w:val="00A32844"/>
    <w:rsid w:val="00A343B3"/>
    <w:rsid w:val="00A35D85"/>
    <w:rsid w:val="00A4083F"/>
    <w:rsid w:val="00A47564"/>
    <w:rsid w:val="00A47976"/>
    <w:rsid w:val="00A50AC4"/>
    <w:rsid w:val="00A55453"/>
    <w:rsid w:val="00A55D90"/>
    <w:rsid w:val="00A57492"/>
    <w:rsid w:val="00A62ACB"/>
    <w:rsid w:val="00A6378F"/>
    <w:rsid w:val="00A665BE"/>
    <w:rsid w:val="00A7242B"/>
    <w:rsid w:val="00A743EB"/>
    <w:rsid w:val="00A76E1D"/>
    <w:rsid w:val="00A76EDB"/>
    <w:rsid w:val="00A8033A"/>
    <w:rsid w:val="00A81A5B"/>
    <w:rsid w:val="00A824CD"/>
    <w:rsid w:val="00A839C1"/>
    <w:rsid w:val="00A850E4"/>
    <w:rsid w:val="00A85CC0"/>
    <w:rsid w:val="00A93176"/>
    <w:rsid w:val="00A93FFB"/>
    <w:rsid w:val="00AA40CE"/>
    <w:rsid w:val="00AB275A"/>
    <w:rsid w:val="00AB6DD5"/>
    <w:rsid w:val="00AC337F"/>
    <w:rsid w:val="00AC3D61"/>
    <w:rsid w:val="00AD026F"/>
    <w:rsid w:val="00AD5C5F"/>
    <w:rsid w:val="00AE0B31"/>
    <w:rsid w:val="00AE1DC8"/>
    <w:rsid w:val="00AE614B"/>
    <w:rsid w:val="00AE7731"/>
    <w:rsid w:val="00AF192C"/>
    <w:rsid w:val="00AF2636"/>
    <w:rsid w:val="00AF2CB0"/>
    <w:rsid w:val="00AF46EC"/>
    <w:rsid w:val="00AF7B7F"/>
    <w:rsid w:val="00B023BC"/>
    <w:rsid w:val="00B0497B"/>
    <w:rsid w:val="00B05DDA"/>
    <w:rsid w:val="00B17077"/>
    <w:rsid w:val="00B17079"/>
    <w:rsid w:val="00B177F0"/>
    <w:rsid w:val="00B36415"/>
    <w:rsid w:val="00B37CB7"/>
    <w:rsid w:val="00B40D3A"/>
    <w:rsid w:val="00B41F52"/>
    <w:rsid w:val="00B423BF"/>
    <w:rsid w:val="00B47C66"/>
    <w:rsid w:val="00B51B5B"/>
    <w:rsid w:val="00B53970"/>
    <w:rsid w:val="00B53979"/>
    <w:rsid w:val="00B610F1"/>
    <w:rsid w:val="00B624F7"/>
    <w:rsid w:val="00B64A17"/>
    <w:rsid w:val="00B65638"/>
    <w:rsid w:val="00B7009A"/>
    <w:rsid w:val="00B715C3"/>
    <w:rsid w:val="00B734CD"/>
    <w:rsid w:val="00B75BEC"/>
    <w:rsid w:val="00B8285A"/>
    <w:rsid w:val="00B90BF0"/>
    <w:rsid w:val="00B91043"/>
    <w:rsid w:val="00B94457"/>
    <w:rsid w:val="00B94A6B"/>
    <w:rsid w:val="00B94BC3"/>
    <w:rsid w:val="00BA0136"/>
    <w:rsid w:val="00BA6327"/>
    <w:rsid w:val="00BB3E6F"/>
    <w:rsid w:val="00BC51E7"/>
    <w:rsid w:val="00BC5C4E"/>
    <w:rsid w:val="00BD1300"/>
    <w:rsid w:val="00BD6450"/>
    <w:rsid w:val="00BD6C43"/>
    <w:rsid w:val="00BD6E29"/>
    <w:rsid w:val="00BD7344"/>
    <w:rsid w:val="00BE0A0D"/>
    <w:rsid w:val="00BE5380"/>
    <w:rsid w:val="00BF61A4"/>
    <w:rsid w:val="00C122F6"/>
    <w:rsid w:val="00C15256"/>
    <w:rsid w:val="00C1745F"/>
    <w:rsid w:val="00C24054"/>
    <w:rsid w:val="00C25421"/>
    <w:rsid w:val="00C2610A"/>
    <w:rsid w:val="00C325E2"/>
    <w:rsid w:val="00C40682"/>
    <w:rsid w:val="00C478E6"/>
    <w:rsid w:val="00C5718E"/>
    <w:rsid w:val="00C6048A"/>
    <w:rsid w:val="00C61E32"/>
    <w:rsid w:val="00C65038"/>
    <w:rsid w:val="00C7153D"/>
    <w:rsid w:val="00C71608"/>
    <w:rsid w:val="00C742C7"/>
    <w:rsid w:val="00C747BA"/>
    <w:rsid w:val="00C81E85"/>
    <w:rsid w:val="00C8429D"/>
    <w:rsid w:val="00C87545"/>
    <w:rsid w:val="00C96D4A"/>
    <w:rsid w:val="00C96D76"/>
    <w:rsid w:val="00CA121C"/>
    <w:rsid w:val="00CB3D68"/>
    <w:rsid w:val="00CB47A5"/>
    <w:rsid w:val="00CB73DD"/>
    <w:rsid w:val="00CC1501"/>
    <w:rsid w:val="00CC1E73"/>
    <w:rsid w:val="00CC28F4"/>
    <w:rsid w:val="00CC409F"/>
    <w:rsid w:val="00CC48D5"/>
    <w:rsid w:val="00CD11DD"/>
    <w:rsid w:val="00CD37B0"/>
    <w:rsid w:val="00D00FDC"/>
    <w:rsid w:val="00D017E8"/>
    <w:rsid w:val="00D059A4"/>
    <w:rsid w:val="00D205CC"/>
    <w:rsid w:val="00D25C60"/>
    <w:rsid w:val="00D30D87"/>
    <w:rsid w:val="00D31235"/>
    <w:rsid w:val="00D333CB"/>
    <w:rsid w:val="00D34012"/>
    <w:rsid w:val="00D3528D"/>
    <w:rsid w:val="00D369B8"/>
    <w:rsid w:val="00D4118B"/>
    <w:rsid w:val="00D45011"/>
    <w:rsid w:val="00D477DF"/>
    <w:rsid w:val="00D526E8"/>
    <w:rsid w:val="00D55473"/>
    <w:rsid w:val="00D66170"/>
    <w:rsid w:val="00D679E7"/>
    <w:rsid w:val="00D7434A"/>
    <w:rsid w:val="00D74E50"/>
    <w:rsid w:val="00D76333"/>
    <w:rsid w:val="00D77576"/>
    <w:rsid w:val="00D82234"/>
    <w:rsid w:val="00D83FCB"/>
    <w:rsid w:val="00D84162"/>
    <w:rsid w:val="00DA051C"/>
    <w:rsid w:val="00DA1D7E"/>
    <w:rsid w:val="00DA39BD"/>
    <w:rsid w:val="00DB03CD"/>
    <w:rsid w:val="00DB1989"/>
    <w:rsid w:val="00DB3411"/>
    <w:rsid w:val="00DB5928"/>
    <w:rsid w:val="00DB73FD"/>
    <w:rsid w:val="00DB798B"/>
    <w:rsid w:val="00DB7B4C"/>
    <w:rsid w:val="00DE0482"/>
    <w:rsid w:val="00DE243C"/>
    <w:rsid w:val="00DE2DBC"/>
    <w:rsid w:val="00DE31BA"/>
    <w:rsid w:val="00DE5CA3"/>
    <w:rsid w:val="00DF5E52"/>
    <w:rsid w:val="00DF5FD3"/>
    <w:rsid w:val="00E00FD1"/>
    <w:rsid w:val="00E02089"/>
    <w:rsid w:val="00E03736"/>
    <w:rsid w:val="00E0655C"/>
    <w:rsid w:val="00E065EF"/>
    <w:rsid w:val="00E06B86"/>
    <w:rsid w:val="00E07D32"/>
    <w:rsid w:val="00E1068E"/>
    <w:rsid w:val="00E1473F"/>
    <w:rsid w:val="00E16B87"/>
    <w:rsid w:val="00E20003"/>
    <w:rsid w:val="00E26F4B"/>
    <w:rsid w:val="00E32929"/>
    <w:rsid w:val="00E32F87"/>
    <w:rsid w:val="00E33A5C"/>
    <w:rsid w:val="00E33F08"/>
    <w:rsid w:val="00E345F4"/>
    <w:rsid w:val="00E34E73"/>
    <w:rsid w:val="00E3525B"/>
    <w:rsid w:val="00E35FA2"/>
    <w:rsid w:val="00E45528"/>
    <w:rsid w:val="00E47696"/>
    <w:rsid w:val="00E51006"/>
    <w:rsid w:val="00E55A95"/>
    <w:rsid w:val="00E62DC2"/>
    <w:rsid w:val="00E66B90"/>
    <w:rsid w:val="00E76051"/>
    <w:rsid w:val="00E829C5"/>
    <w:rsid w:val="00E84B0E"/>
    <w:rsid w:val="00E872A7"/>
    <w:rsid w:val="00E92FA5"/>
    <w:rsid w:val="00E94593"/>
    <w:rsid w:val="00E956CA"/>
    <w:rsid w:val="00EA3DFF"/>
    <w:rsid w:val="00EA65EF"/>
    <w:rsid w:val="00EB6324"/>
    <w:rsid w:val="00EC3744"/>
    <w:rsid w:val="00EC68DD"/>
    <w:rsid w:val="00ED0C3A"/>
    <w:rsid w:val="00ED236B"/>
    <w:rsid w:val="00EE3D13"/>
    <w:rsid w:val="00EE55BD"/>
    <w:rsid w:val="00EE655F"/>
    <w:rsid w:val="00EE7C55"/>
    <w:rsid w:val="00EF2ED1"/>
    <w:rsid w:val="00EF308D"/>
    <w:rsid w:val="00EF65DC"/>
    <w:rsid w:val="00EF68A3"/>
    <w:rsid w:val="00F03FCB"/>
    <w:rsid w:val="00F06C7E"/>
    <w:rsid w:val="00F078BB"/>
    <w:rsid w:val="00F07D4C"/>
    <w:rsid w:val="00F1374E"/>
    <w:rsid w:val="00F151FD"/>
    <w:rsid w:val="00F16C53"/>
    <w:rsid w:val="00F211A2"/>
    <w:rsid w:val="00F23261"/>
    <w:rsid w:val="00F2673C"/>
    <w:rsid w:val="00F3625C"/>
    <w:rsid w:val="00F3680B"/>
    <w:rsid w:val="00F42D05"/>
    <w:rsid w:val="00F45C6B"/>
    <w:rsid w:val="00F513C4"/>
    <w:rsid w:val="00F55142"/>
    <w:rsid w:val="00F5624F"/>
    <w:rsid w:val="00F651B6"/>
    <w:rsid w:val="00F72987"/>
    <w:rsid w:val="00F73C24"/>
    <w:rsid w:val="00F73F4C"/>
    <w:rsid w:val="00F80954"/>
    <w:rsid w:val="00F825E6"/>
    <w:rsid w:val="00F87DC7"/>
    <w:rsid w:val="00F87FF0"/>
    <w:rsid w:val="00F90D9F"/>
    <w:rsid w:val="00F95C41"/>
    <w:rsid w:val="00FB018C"/>
    <w:rsid w:val="00FB0392"/>
    <w:rsid w:val="00FB1134"/>
    <w:rsid w:val="00FB2152"/>
    <w:rsid w:val="00FB33B9"/>
    <w:rsid w:val="00FB6EA4"/>
    <w:rsid w:val="00FC1A47"/>
    <w:rsid w:val="00FC68EB"/>
    <w:rsid w:val="00FD0979"/>
    <w:rsid w:val="00FD09F7"/>
    <w:rsid w:val="00FD0D8B"/>
    <w:rsid w:val="00FD23A3"/>
    <w:rsid w:val="00FD2C44"/>
    <w:rsid w:val="00FD3DF8"/>
    <w:rsid w:val="00FE0964"/>
    <w:rsid w:val="00FE210B"/>
    <w:rsid w:val="00FE3026"/>
    <w:rsid w:val="00FE3425"/>
    <w:rsid w:val="00FE3ADC"/>
    <w:rsid w:val="00FE4C02"/>
    <w:rsid w:val="00FE735B"/>
    <w:rsid w:val="00FF21BB"/>
    <w:rsid w:val="00FF6957"/>
    <w:rsid w:val="00FF7361"/>
    <w:rsid w:val="013791EA"/>
    <w:rsid w:val="01BF6808"/>
    <w:rsid w:val="0699FBDB"/>
    <w:rsid w:val="10DEF60A"/>
    <w:rsid w:val="11301564"/>
    <w:rsid w:val="175BB9F6"/>
    <w:rsid w:val="1CAADB97"/>
    <w:rsid w:val="287126A5"/>
    <w:rsid w:val="2CF73C50"/>
    <w:rsid w:val="2D12C7D8"/>
    <w:rsid w:val="2E136B24"/>
    <w:rsid w:val="3159F724"/>
    <w:rsid w:val="32AE049E"/>
    <w:rsid w:val="361A34D4"/>
    <w:rsid w:val="3677CCB5"/>
    <w:rsid w:val="3685E5CB"/>
    <w:rsid w:val="39303641"/>
    <w:rsid w:val="3CDA92CE"/>
    <w:rsid w:val="4B2833B8"/>
    <w:rsid w:val="4CD51571"/>
    <w:rsid w:val="4FCFD77B"/>
    <w:rsid w:val="538FE998"/>
    <w:rsid w:val="5435AE44"/>
    <w:rsid w:val="557DF003"/>
    <w:rsid w:val="56D2AACD"/>
    <w:rsid w:val="60512A9B"/>
    <w:rsid w:val="60F3373E"/>
    <w:rsid w:val="6592301F"/>
    <w:rsid w:val="67237953"/>
    <w:rsid w:val="680C484E"/>
    <w:rsid w:val="690DEE9A"/>
    <w:rsid w:val="6936C739"/>
    <w:rsid w:val="696081B7"/>
    <w:rsid w:val="6B2CF74D"/>
    <w:rsid w:val="6C4EC589"/>
    <w:rsid w:val="6F4AE583"/>
    <w:rsid w:val="732A2E4D"/>
    <w:rsid w:val="74043CAF"/>
    <w:rsid w:val="745CB90D"/>
    <w:rsid w:val="75F9D7E8"/>
    <w:rsid w:val="7997E2C1"/>
    <w:rsid w:val="7E378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C38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F63"/>
    <w:pPr>
      <w:spacing w:line="259" w:lineRule="auto"/>
    </w:pPr>
    <w:rPr>
      <w:sz w:val="22"/>
      <w:szCs w:val="22"/>
    </w:rPr>
  </w:style>
  <w:style w:type="paragraph" w:styleId="Heading1">
    <w:name w:val="heading 1"/>
    <w:basedOn w:val="Normal"/>
    <w:next w:val="Normal"/>
    <w:link w:val="Heading1Char"/>
    <w:uiPriority w:val="9"/>
    <w:qFormat/>
    <w:rsid w:val="006E2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E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E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E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E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E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E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E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E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E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E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E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E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ECF"/>
    <w:rPr>
      <w:rFonts w:eastAsiaTheme="majorEastAsia" w:cstheme="majorBidi"/>
      <w:color w:val="272727" w:themeColor="text1" w:themeTint="D8"/>
    </w:rPr>
  </w:style>
  <w:style w:type="paragraph" w:styleId="Title">
    <w:name w:val="Title"/>
    <w:basedOn w:val="Normal"/>
    <w:next w:val="Normal"/>
    <w:link w:val="TitleChar"/>
    <w:uiPriority w:val="10"/>
    <w:qFormat/>
    <w:rsid w:val="006E2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ECF"/>
    <w:pPr>
      <w:spacing w:before="160"/>
      <w:jc w:val="center"/>
    </w:pPr>
    <w:rPr>
      <w:i/>
      <w:iCs/>
      <w:color w:val="404040" w:themeColor="text1" w:themeTint="BF"/>
    </w:rPr>
  </w:style>
  <w:style w:type="character" w:customStyle="1" w:styleId="QuoteChar">
    <w:name w:val="Quote Char"/>
    <w:basedOn w:val="DefaultParagraphFont"/>
    <w:link w:val="Quote"/>
    <w:uiPriority w:val="29"/>
    <w:rsid w:val="006E2ECF"/>
    <w:rPr>
      <w:i/>
      <w:iCs/>
      <w:color w:val="404040" w:themeColor="text1" w:themeTint="BF"/>
    </w:rPr>
  </w:style>
  <w:style w:type="paragraph" w:styleId="ListParagraph">
    <w:name w:val="List Paragraph"/>
    <w:basedOn w:val="Normal"/>
    <w:uiPriority w:val="34"/>
    <w:qFormat/>
    <w:rsid w:val="006E2ECF"/>
    <w:pPr>
      <w:ind w:left="720"/>
      <w:contextualSpacing/>
    </w:pPr>
  </w:style>
  <w:style w:type="character" w:styleId="IntenseEmphasis">
    <w:name w:val="Intense Emphasis"/>
    <w:basedOn w:val="DefaultParagraphFont"/>
    <w:uiPriority w:val="21"/>
    <w:qFormat/>
    <w:rsid w:val="006E2ECF"/>
    <w:rPr>
      <w:i/>
      <w:iCs/>
      <w:color w:val="0F4761" w:themeColor="accent1" w:themeShade="BF"/>
    </w:rPr>
  </w:style>
  <w:style w:type="paragraph" w:styleId="IntenseQuote">
    <w:name w:val="Intense Quote"/>
    <w:basedOn w:val="Normal"/>
    <w:next w:val="Normal"/>
    <w:link w:val="IntenseQuoteChar"/>
    <w:uiPriority w:val="30"/>
    <w:qFormat/>
    <w:rsid w:val="006E2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ECF"/>
    <w:rPr>
      <w:i/>
      <w:iCs/>
      <w:color w:val="0F4761" w:themeColor="accent1" w:themeShade="BF"/>
    </w:rPr>
  </w:style>
  <w:style w:type="character" w:styleId="IntenseReference">
    <w:name w:val="Intense Reference"/>
    <w:basedOn w:val="DefaultParagraphFont"/>
    <w:uiPriority w:val="32"/>
    <w:qFormat/>
    <w:rsid w:val="006E2ECF"/>
    <w:rPr>
      <w:b/>
      <w:bCs/>
      <w:smallCaps/>
      <w:color w:val="0F4761" w:themeColor="accent1" w:themeShade="BF"/>
      <w:spacing w:val="5"/>
    </w:rPr>
  </w:style>
  <w:style w:type="paragraph" w:styleId="Header">
    <w:name w:val="header"/>
    <w:basedOn w:val="Normal"/>
    <w:link w:val="HeaderChar"/>
    <w:uiPriority w:val="99"/>
    <w:unhideWhenUsed/>
    <w:rsid w:val="00034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F63"/>
  </w:style>
  <w:style w:type="paragraph" w:styleId="Footer">
    <w:name w:val="footer"/>
    <w:basedOn w:val="Normal"/>
    <w:link w:val="FooterChar"/>
    <w:uiPriority w:val="99"/>
    <w:unhideWhenUsed/>
    <w:rsid w:val="00034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F63"/>
  </w:style>
  <w:style w:type="paragraph" w:styleId="NoSpacing">
    <w:name w:val="No Spacing"/>
    <w:uiPriority w:val="1"/>
    <w:qFormat/>
    <w:rsid w:val="00034F63"/>
    <w:pPr>
      <w:spacing w:after="0" w:line="240" w:lineRule="auto"/>
    </w:pPr>
    <w:rPr>
      <w:sz w:val="22"/>
      <w:szCs w:val="22"/>
    </w:rPr>
  </w:style>
  <w:style w:type="paragraph" w:styleId="FootnoteText">
    <w:name w:val="footnote text"/>
    <w:basedOn w:val="Normal"/>
    <w:link w:val="FootnoteTextChar"/>
    <w:uiPriority w:val="99"/>
    <w:semiHidden/>
    <w:unhideWhenUsed/>
    <w:rsid w:val="00A724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42B"/>
    <w:rPr>
      <w:sz w:val="20"/>
      <w:szCs w:val="20"/>
    </w:rPr>
  </w:style>
  <w:style w:type="character" w:styleId="FootnoteReference">
    <w:name w:val="footnote reference"/>
    <w:basedOn w:val="DefaultParagraphFont"/>
    <w:uiPriority w:val="99"/>
    <w:semiHidden/>
    <w:unhideWhenUsed/>
    <w:rsid w:val="00A7242B"/>
    <w:rPr>
      <w:vertAlign w:val="superscript"/>
    </w:rPr>
  </w:style>
  <w:style w:type="paragraph" w:styleId="Revision">
    <w:name w:val="Revision"/>
    <w:hidden/>
    <w:uiPriority w:val="99"/>
    <w:semiHidden/>
    <w:rsid w:val="00C96D4A"/>
    <w:pPr>
      <w:spacing w:after="0" w:line="240" w:lineRule="auto"/>
    </w:pPr>
    <w:rPr>
      <w:sz w:val="22"/>
      <w:szCs w:val="22"/>
    </w:rPr>
  </w:style>
  <w:style w:type="character" w:styleId="CommentReference">
    <w:name w:val="annotation reference"/>
    <w:basedOn w:val="DefaultParagraphFont"/>
    <w:uiPriority w:val="99"/>
    <w:semiHidden/>
    <w:unhideWhenUsed/>
    <w:rsid w:val="003725F5"/>
    <w:rPr>
      <w:sz w:val="16"/>
      <w:szCs w:val="16"/>
    </w:rPr>
  </w:style>
  <w:style w:type="paragraph" w:styleId="CommentText">
    <w:name w:val="annotation text"/>
    <w:basedOn w:val="Normal"/>
    <w:link w:val="CommentTextChar"/>
    <w:uiPriority w:val="99"/>
    <w:unhideWhenUsed/>
    <w:rsid w:val="003725F5"/>
    <w:pPr>
      <w:spacing w:line="240" w:lineRule="auto"/>
    </w:pPr>
    <w:rPr>
      <w:sz w:val="20"/>
      <w:szCs w:val="20"/>
    </w:rPr>
  </w:style>
  <w:style w:type="character" w:customStyle="1" w:styleId="CommentTextChar">
    <w:name w:val="Comment Text Char"/>
    <w:basedOn w:val="DefaultParagraphFont"/>
    <w:link w:val="CommentText"/>
    <w:uiPriority w:val="99"/>
    <w:rsid w:val="003725F5"/>
    <w:rPr>
      <w:sz w:val="20"/>
      <w:szCs w:val="20"/>
    </w:rPr>
  </w:style>
  <w:style w:type="paragraph" w:styleId="CommentSubject">
    <w:name w:val="annotation subject"/>
    <w:basedOn w:val="CommentText"/>
    <w:next w:val="CommentText"/>
    <w:link w:val="CommentSubjectChar"/>
    <w:uiPriority w:val="99"/>
    <w:semiHidden/>
    <w:unhideWhenUsed/>
    <w:rsid w:val="003725F5"/>
    <w:rPr>
      <w:b/>
      <w:bCs/>
    </w:rPr>
  </w:style>
  <w:style w:type="character" w:customStyle="1" w:styleId="CommentSubjectChar">
    <w:name w:val="Comment Subject Char"/>
    <w:basedOn w:val="CommentTextChar"/>
    <w:link w:val="CommentSubject"/>
    <w:uiPriority w:val="99"/>
    <w:semiHidden/>
    <w:rsid w:val="003725F5"/>
    <w:rPr>
      <w:b/>
      <w:bCs/>
      <w:sz w:val="20"/>
      <w:szCs w:val="20"/>
    </w:rPr>
  </w:style>
  <w:style w:type="table" w:styleId="TableGrid">
    <w:name w:val="Table Grid"/>
    <w:basedOn w:val="TableNormal"/>
    <w:uiPriority w:val="39"/>
    <w:rsid w:val="00393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93B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EF2E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4308">
      <w:bodyDiv w:val="1"/>
      <w:marLeft w:val="0"/>
      <w:marRight w:val="0"/>
      <w:marTop w:val="0"/>
      <w:marBottom w:val="0"/>
      <w:divBdr>
        <w:top w:val="none" w:sz="0" w:space="0" w:color="auto"/>
        <w:left w:val="none" w:sz="0" w:space="0" w:color="auto"/>
        <w:bottom w:val="none" w:sz="0" w:space="0" w:color="auto"/>
        <w:right w:val="none" w:sz="0" w:space="0" w:color="auto"/>
      </w:divBdr>
    </w:div>
    <w:div w:id="228150162">
      <w:bodyDiv w:val="1"/>
      <w:marLeft w:val="0"/>
      <w:marRight w:val="0"/>
      <w:marTop w:val="0"/>
      <w:marBottom w:val="0"/>
      <w:divBdr>
        <w:top w:val="none" w:sz="0" w:space="0" w:color="auto"/>
        <w:left w:val="none" w:sz="0" w:space="0" w:color="auto"/>
        <w:bottom w:val="none" w:sz="0" w:space="0" w:color="auto"/>
        <w:right w:val="none" w:sz="0" w:space="0" w:color="auto"/>
      </w:divBdr>
    </w:div>
    <w:div w:id="917714703">
      <w:bodyDiv w:val="1"/>
      <w:marLeft w:val="0"/>
      <w:marRight w:val="0"/>
      <w:marTop w:val="0"/>
      <w:marBottom w:val="0"/>
      <w:divBdr>
        <w:top w:val="none" w:sz="0" w:space="0" w:color="auto"/>
        <w:left w:val="none" w:sz="0" w:space="0" w:color="auto"/>
        <w:bottom w:val="none" w:sz="0" w:space="0" w:color="auto"/>
        <w:right w:val="none" w:sz="0" w:space="0" w:color="auto"/>
      </w:divBdr>
    </w:div>
    <w:div w:id="1080252135">
      <w:bodyDiv w:val="1"/>
      <w:marLeft w:val="0"/>
      <w:marRight w:val="0"/>
      <w:marTop w:val="0"/>
      <w:marBottom w:val="0"/>
      <w:divBdr>
        <w:top w:val="none" w:sz="0" w:space="0" w:color="auto"/>
        <w:left w:val="none" w:sz="0" w:space="0" w:color="auto"/>
        <w:bottom w:val="none" w:sz="0" w:space="0" w:color="auto"/>
        <w:right w:val="none" w:sz="0" w:space="0" w:color="auto"/>
      </w:divBdr>
    </w:div>
    <w:div w:id="1148857864">
      <w:bodyDiv w:val="1"/>
      <w:marLeft w:val="0"/>
      <w:marRight w:val="0"/>
      <w:marTop w:val="0"/>
      <w:marBottom w:val="0"/>
      <w:divBdr>
        <w:top w:val="none" w:sz="0" w:space="0" w:color="auto"/>
        <w:left w:val="none" w:sz="0" w:space="0" w:color="auto"/>
        <w:bottom w:val="none" w:sz="0" w:space="0" w:color="auto"/>
        <w:right w:val="none" w:sz="0" w:space="0" w:color="auto"/>
      </w:divBdr>
    </w:div>
    <w:div w:id="1322853485">
      <w:bodyDiv w:val="1"/>
      <w:marLeft w:val="0"/>
      <w:marRight w:val="0"/>
      <w:marTop w:val="0"/>
      <w:marBottom w:val="0"/>
      <w:divBdr>
        <w:top w:val="none" w:sz="0" w:space="0" w:color="auto"/>
        <w:left w:val="none" w:sz="0" w:space="0" w:color="auto"/>
        <w:bottom w:val="none" w:sz="0" w:space="0" w:color="auto"/>
        <w:right w:val="none" w:sz="0" w:space="0" w:color="auto"/>
      </w:divBdr>
    </w:div>
    <w:div w:id="1496919102">
      <w:bodyDiv w:val="1"/>
      <w:marLeft w:val="0"/>
      <w:marRight w:val="0"/>
      <w:marTop w:val="0"/>
      <w:marBottom w:val="0"/>
      <w:divBdr>
        <w:top w:val="none" w:sz="0" w:space="0" w:color="auto"/>
        <w:left w:val="none" w:sz="0" w:space="0" w:color="auto"/>
        <w:bottom w:val="none" w:sz="0" w:space="0" w:color="auto"/>
        <w:right w:val="none" w:sz="0" w:space="0" w:color="auto"/>
      </w:divBdr>
    </w:div>
    <w:div w:id="195581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FC8FDDA475A6489937379202BF903C" ma:contentTypeVersion="13" ma:contentTypeDescription="Create a new document." ma:contentTypeScope="" ma:versionID="55982b824ab11c4009c74b834127b189">
  <xsd:schema xmlns:xsd="http://www.w3.org/2001/XMLSchema" xmlns:xs="http://www.w3.org/2001/XMLSchema" xmlns:p="http://schemas.microsoft.com/office/2006/metadata/properties" xmlns:ns2="2c6143fb-81cf-42e8-b363-0be5ed14d38e" xmlns:ns3="cbe59ca4-1681-4172-aa6d-1808b4c5252e" targetNamespace="http://schemas.microsoft.com/office/2006/metadata/properties" ma:root="true" ma:fieldsID="c427b95833a2220802bbae6e4c03aa83" ns2:_="" ns3:_="">
    <xsd:import namespace="2c6143fb-81cf-42e8-b363-0be5ed14d38e"/>
    <xsd:import namespace="cbe59ca4-1681-4172-aa6d-1808b4c525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143fb-81cf-42e8-b363-0be5ed14d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c0b944-1297-42fa-b789-cd23fa32fe0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59ca4-1681-4172-aa6d-1808b4c525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ef2156-c138-4f91-8c06-bc1e5459692e}" ma:internalName="TaxCatchAll" ma:showField="CatchAllData" ma:web="cbe59ca4-1681-4172-aa6d-1808b4c525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6143fb-81cf-42e8-b363-0be5ed14d38e">
      <Terms xmlns="http://schemas.microsoft.com/office/infopath/2007/PartnerControls"/>
    </lcf76f155ced4ddcb4097134ff3c332f>
    <TaxCatchAll xmlns="cbe59ca4-1681-4172-aa6d-1808b4c5252e" xsi:nil="true"/>
  </documentManagement>
</p:properties>
</file>

<file path=customXml/itemProps1.xml><?xml version="1.0" encoding="utf-8"?>
<ds:datastoreItem xmlns:ds="http://schemas.openxmlformats.org/officeDocument/2006/customXml" ds:itemID="{43DFB690-18EE-4626-A911-95C62E9A378E}">
  <ds:schemaRefs>
    <ds:schemaRef ds:uri="http://schemas.openxmlformats.org/officeDocument/2006/bibliography"/>
  </ds:schemaRefs>
</ds:datastoreItem>
</file>

<file path=customXml/itemProps2.xml><?xml version="1.0" encoding="utf-8"?>
<ds:datastoreItem xmlns:ds="http://schemas.openxmlformats.org/officeDocument/2006/customXml" ds:itemID="{D6CC8556-09F5-4441-BA06-797E07EAAECD}"/>
</file>

<file path=customXml/itemProps3.xml><?xml version="1.0" encoding="utf-8"?>
<ds:datastoreItem xmlns:ds="http://schemas.openxmlformats.org/officeDocument/2006/customXml" ds:itemID="{7DB55A0D-65AC-4090-AD83-7E1FECEB58D7}"/>
</file>

<file path=customXml/itemProps4.xml><?xml version="1.0" encoding="utf-8"?>
<ds:datastoreItem xmlns:ds="http://schemas.openxmlformats.org/officeDocument/2006/customXml" ds:itemID="{987DDD46-46E7-4924-9B45-6C7A8F70A3DF}"/>
</file>

<file path=docMetadata/LabelInfo.xml><?xml version="1.0" encoding="utf-8"?>
<clbl:labelList xmlns:clbl="http://schemas.microsoft.com/office/2020/mipLabelMetadata">
  <clbl:label id="{c0a02e2d-1186-410a-8895-0a4a252ebf17}" enabled="0" method="" siteId="{c0a02e2d-1186-410a-8895-0a4a252ebf17}"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2026-05-14T12:49:00Z</dcterms:created>
  <dcterms:modified xsi:type="dcterms:W3CDTF">2026-05-14T12:49:00Z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MSIP_Label_ed3826ce-7c18-471d-9596-93de5bae332e_Enabled">
    <vt:lpwstr>true</vt:lpwstr>
  </property>
  <property fmtid="{D5CDD505-2E9C-101B-9397-08002B2CF9AE}" pid="4" name="MSIP_Label_ed3826ce-7c18-471d-9596-93de5bae332e_SetDate">
    <vt:lpwstr>2026-05-14T12:49:33Z</vt:lpwstr>
  </property>
  <property fmtid="{D5CDD505-2E9C-101B-9397-08002B2CF9AE}" pid="5" name="MSIP_Label_ed3826ce-7c18-471d-9596-93de5bae332e_Method">
    <vt:lpwstr>Standard</vt:lpwstr>
  </property>
  <property fmtid="{D5CDD505-2E9C-101B-9397-08002B2CF9AE}" pid="6" name="MSIP_Label_ed3826ce-7c18-471d-9596-93de5bae332e_Name">
    <vt:lpwstr>Internal</vt:lpwstr>
  </property>
  <property fmtid="{D5CDD505-2E9C-101B-9397-08002B2CF9AE}" pid="7" name="MSIP_Label_ed3826ce-7c18-471d-9596-93de5bae332e_SiteId">
    <vt:lpwstr>c0a02e2d-1186-410a-8895-0a4a252ebf17</vt:lpwstr>
  </property>
  <property fmtid="{D5CDD505-2E9C-101B-9397-08002B2CF9AE}" pid="8" name="MSIP_Label_ed3826ce-7c18-471d-9596-93de5bae332e_ActionId">
    <vt:lpwstr>821725b4-0217-4bfe-9040-3014ed2758aa</vt:lpwstr>
  </property>
  <property fmtid="{D5CDD505-2E9C-101B-9397-08002B2CF9AE}" pid="9" name="MSIP_Label_ed3826ce-7c18-471d-9596-93de5bae332e_ContentBits">
    <vt:lpwstr>0</vt:lpwstr>
  </property>
  <property fmtid="{D5CDD505-2E9C-101B-9397-08002B2CF9AE}" pid="10" name="MSIP_Label_ed3826ce-7c18-471d-9596-93de5bae332e_Tag">
    <vt:lpwstr>10, 3, 0, 1</vt:lpwstr>
  </property>
  <property fmtid="{D5CDD505-2E9C-101B-9397-08002B2CF9AE}" pid="11" name="MediaServiceImageTags">
    <vt:lpwstr/>
  </property>
  <property fmtid="{D5CDD505-2E9C-101B-9397-08002B2CF9AE}" pid="12" name="ContentTypeId">
    <vt:lpwstr>0x01010019FC8FDDA475A6489937379202BF903C</vt:lpwstr>
  </property>
  <property fmtid="{D5CDD505-2E9C-101B-9397-08002B2CF9AE}" pid="13" name="docLang">
    <vt:lpwstr>en</vt:lpwstr>
  </property>
</Properties>
</file>