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27C626FA" w:rsidR="001D0747" w:rsidRPr="00611A1D" w:rsidRDefault="00144EBB" w:rsidP="0006325A">
            <w:pPr>
              <w:tabs>
                <w:tab w:val="right" w:pos="4189"/>
              </w:tabs>
              <w:spacing w:line="276" w:lineRule="auto"/>
              <w:rPr>
                <w:rStyle w:val="Strong"/>
                <w:sz w:val="20"/>
                <w:szCs w:val="20"/>
              </w:rPr>
            </w:pPr>
            <w:r>
              <w:rPr>
                <w:rStyle w:val="Strong"/>
                <w:sz w:val="20"/>
                <w:szCs w:val="20"/>
              </w:rPr>
              <w:t>FITZ JOHNSON</w:t>
            </w:r>
            <w:r w:rsidR="00E92FA4" w:rsidRPr="00611A1D">
              <w:rPr>
                <w:rStyle w:val="Strong"/>
                <w:sz w:val="20"/>
                <w:szCs w:val="20"/>
              </w:rPr>
              <w:t>, Vice-Chairman</w:t>
            </w:r>
            <w:r w:rsidR="0006325A">
              <w:rPr>
                <w:rStyle w:val="Strong"/>
                <w:sz w:val="20"/>
                <w:szCs w:val="20"/>
              </w:rPr>
              <w:tab/>
              <w:t xml:space="preserve">   </w:t>
            </w:r>
          </w:p>
          <w:p w14:paraId="2E132CB5" w14:textId="4B424CC8" w:rsidR="006862E4" w:rsidRPr="00611A1D" w:rsidRDefault="00144EBB" w:rsidP="008065F6">
            <w:pPr>
              <w:spacing w:line="276" w:lineRule="auto"/>
              <w:rPr>
                <w:rStyle w:val="Strong"/>
                <w:sz w:val="20"/>
                <w:szCs w:val="20"/>
              </w:rPr>
            </w:pPr>
            <w:r>
              <w:rPr>
                <w:rStyle w:val="Strong"/>
                <w:sz w:val="20"/>
                <w:szCs w:val="20"/>
              </w:rPr>
              <w:t>TIM G. ECHOLS</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REN “BUBBA” McDONALD</w:t>
            </w:r>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REECE McALISTER</w:t>
            </w:r>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4FA364AD" w14:textId="77777777" w:rsidR="009E6D0D" w:rsidRDefault="009E6D0D" w:rsidP="009E6D0D">
      <w:pPr>
        <w:rPr>
          <w:rFonts w:ascii="Arial" w:hAnsi="Arial"/>
          <w:b/>
        </w:rPr>
      </w:pPr>
    </w:p>
    <w:tbl>
      <w:tblPr>
        <w:tblW w:w="4357" w:type="dxa"/>
        <w:jc w:val="center"/>
        <w:tblLayout w:type="fixed"/>
        <w:tblCellMar>
          <w:left w:w="84" w:type="dxa"/>
          <w:right w:w="84" w:type="dxa"/>
        </w:tblCellMar>
        <w:tblLook w:val="04A0" w:firstRow="1" w:lastRow="0" w:firstColumn="1" w:lastColumn="0" w:noHBand="0" w:noVBand="1"/>
      </w:tblPr>
      <w:tblGrid>
        <w:gridCol w:w="4357"/>
      </w:tblGrid>
      <w:tr w:rsidR="00985115" w:rsidRPr="00AD0C8F" w14:paraId="4C881D50" w14:textId="77777777" w:rsidTr="00972C60">
        <w:trPr>
          <w:jc w:val="center"/>
        </w:trPr>
        <w:tc>
          <w:tcPr>
            <w:tcW w:w="4357" w:type="dxa"/>
          </w:tcPr>
          <w:p w14:paraId="25931D90" w14:textId="11ECEBE2" w:rsidR="00985115" w:rsidRPr="00AD0C8F" w:rsidRDefault="00985115" w:rsidP="005369ED">
            <w:pPr>
              <w:spacing w:line="276" w:lineRule="auto"/>
              <w:rPr>
                <w:rFonts w:cs="Arial"/>
                <w:b/>
                <w:bCs/>
                <w:szCs w:val="17"/>
              </w:rPr>
            </w:pPr>
            <w:r w:rsidRPr="00AD0C8F">
              <w:rPr>
                <w:rFonts w:cs="Arial"/>
                <w:b/>
                <w:bCs/>
                <w:szCs w:val="17"/>
              </w:rPr>
              <w:t xml:space="preserve"> </w:t>
            </w:r>
          </w:p>
        </w:tc>
      </w:tr>
    </w:tbl>
    <w:p w14:paraId="291E64BC" w14:textId="00B26689" w:rsidR="00985115" w:rsidRPr="00C14392" w:rsidRDefault="00985115" w:rsidP="00985115">
      <w:pPr>
        <w:pStyle w:val="DefinitionTerm"/>
        <w:jc w:val="center"/>
        <w:rPr>
          <w:b/>
          <w:bCs/>
        </w:rPr>
      </w:pPr>
      <w:r w:rsidRPr="00C14392">
        <w:rPr>
          <w:b/>
          <w:bCs/>
        </w:rPr>
        <w:t>DOCKET NO. 43</w:t>
      </w:r>
      <w:r w:rsidR="009B254C">
        <w:rPr>
          <w:b/>
          <w:bCs/>
        </w:rPr>
        <w:t>82</w:t>
      </w:r>
      <w:r>
        <w:rPr>
          <w:b/>
          <w:bCs/>
        </w:rPr>
        <w:t>0</w:t>
      </w:r>
    </w:p>
    <w:p w14:paraId="0E0B4B01" w14:textId="77777777" w:rsidR="00985115" w:rsidRPr="00C14392" w:rsidRDefault="00985115" w:rsidP="00985115">
      <w:pPr>
        <w:pStyle w:val="DefinitionList"/>
        <w:ind w:left="1080" w:hanging="720"/>
        <w:jc w:val="center"/>
        <w:rPr>
          <w:b/>
          <w:bCs/>
        </w:rPr>
      </w:pPr>
    </w:p>
    <w:p w14:paraId="1D4361C5" w14:textId="212AB0F9" w:rsidR="00985115" w:rsidRPr="00972C60" w:rsidRDefault="00985115" w:rsidP="00972C60">
      <w:pPr>
        <w:pStyle w:val="BlockText"/>
        <w:spacing w:after="0"/>
        <w:ind w:left="1440" w:hanging="1440"/>
        <w:jc w:val="center"/>
        <w:rPr>
          <w:b/>
        </w:rPr>
      </w:pPr>
      <w:r w:rsidRPr="00972C60">
        <w:rPr>
          <w:b/>
        </w:rPr>
        <w:t>IN RE:</w:t>
      </w:r>
      <w:r w:rsidRPr="00972C60">
        <w:rPr>
          <w:b/>
        </w:rPr>
        <w:tab/>
        <w:t xml:space="preserve">ATLANTA GAS LIGHT COMPANY’S ANNUAL DEPARTMENT OF TRANSPORTATION (DOT) PROJECT YEAR 2026 RIDER ADJUSTMENT FILING </w:t>
      </w:r>
    </w:p>
    <w:p w14:paraId="4FB86B14" w14:textId="77777777" w:rsidR="00985115" w:rsidRDefault="00985115" w:rsidP="000F7F45">
      <w:pPr>
        <w:spacing w:line="276" w:lineRule="auto"/>
        <w:jc w:val="center"/>
        <w:rPr>
          <w:rFonts w:cs="Arial"/>
          <w:b/>
          <w:bCs/>
          <w:szCs w:val="17"/>
        </w:rPr>
      </w:pPr>
    </w:p>
    <w:p w14:paraId="1CD96D9E" w14:textId="44144796" w:rsidR="000F7F45" w:rsidRDefault="005B0DDA" w:rsidP="000F7F45">
      <w:pPr>
        <w:spacing w:line="276" w:lineRule="auto"/>
        <w:jc w:val="center"/>
        <w:rPr>
          <w:rFonts w:cs="Arial"/>
          <w:b/>
          <w:bCs/>
          <w:szCs w:val="17"/>
        </w:rPr>
      </w:pPr>
      <w:r>
        <w:rPr>
          <w:rFonts w:cs="Arial"/>
          <w:b/>
          <w:bCs/>
          <w:szCs w:val="17"/>
        </w:rPr>
        <w:t xml:space="preserve">FINAL </w:t>
      </w:r>
      <w:r w:rsidR="000F7F45">
        <w:rPr>
          <w:rFonts w:cs="Arial"/>
          <w:b/>
          <w:bCs/>
          <w:szCs w:val="17"/>
        </w:rPr>
        <w:t>ORDER APPROVING ATLANTA GAS LIGHT COMPANY’S PETITION TO APPROVE THE 2026 DEPARTMENT OF TRANSPORTATION (</w:t>
      </w:r>
      <w:r>
        <w:rPr>
          <w:rFonts w:cs="Arial"/>
          <w:b/>
          <w:bCs/>
          <w:szCs w:val="17"/>
        </w:rPr>
        <w:t>“</w:t>
      </w:r>
      <w:r w:rsidR="000F7F45">
        <w:rPr>
          <w:rFonts w:cs="Arial"/>
          <w:b/>
          <w:bCs/>
          <w:szCs w:val="17"/>
        </w:rPr>
        <w:t>DOT</w:t>
      </w:r>
      <w:r>
        <w:rPr>
          <w:rFonts w:cs="Arial"/>
          <w:b/>
          <w:bCs/>
          <w:szCs w:val="17"/>
        </w:rPr>
        <w:t>”</w:t>
      </w:r>
      <w:r w:rsidR="000F7F45">
        <w:rPr>
          <w:rFonts w:cs="Arial"/>
          <w:b/>
          <w:bCs/>
          <w:szCs w:val="17"/>
        </w:rPr>
        <w:t>) RIDER ADJUSTMENT</w:t>
      </w:r>
    </w:p>
    <w:p w14:paraId="527287BD" w14:textId="7B41F434" w:rsidR="00D92997" w:rsidRPr="0089604C" w:rsidRDefault="00D92997" w:rsidP="0089604C">
      <w:pPr>
        <w:jc w:val="center"/>
        <w:rPr>
          <w:rFonts w:ascii="Arial" w:hAnsi="Arial"/>
        </w:rPr>
      </w:pPr>
    </w:p>
    <w:p w14:paraId="47B0A7A4" w14:textId="77777777" w:rsidR="00FC74C8" w:rsidRDefault="00FC74C8" w:rsidP="00972C60">
      <w:pPr>
        <w:pStyle w:val="ListParagraph"/>
        <w:numPr>
          <w:ilvl w:val="0"/>
          <w:numId w:val="2"/>
        </w:numPr>
        <w:jc w:val="center"/>
        <w:rPr>
          <w:b/>
          <w:sz w:val="24"/>
          <w:szCs w:val="24"/>
        </w:rPr>
      </w:pPr>
      <w:r w:rsidRPr="00DF08A7">
        <w:rPr>
          <w:b/>
          <w:sz w:val="24"/>
          <w:szCs w:val="24"/>
        </w:rPr>
        <w:t>Backgroun</w:t>
      </w:r>
      <w:r>
        <w:rPr>
          <w:b/>
          <w:sz w:val="24"/>
          <w:szCs w:val="24"/>
        </w:rPr>
        <w:t>d/Recovery Mechanism</w:t>
      </w:r>
    </w:p>
    <w:p w14:paraId="5F1C2155" w14:textId="77777777" w:rsidR="00FC74C8" w:rsidRDefault="00FC74C8" w:rsidP="00FC74C8">
      <w:pPr>
        <w:pStyle w:val="ListParagraph"/>
        <w:ind w:left="1080"/>
        <w:rPr>
          <w:b/>
          <w:sz w:val="24"/>
          <w:szCs w:val="24"/>
        </w:rPr>
      </w:pPr>
    </w:p>
    <w:p w14:paraId="5537A327" w14:textId="235E33E7" w:rsidR="00FC74C8" w:rsidRDefault="00FC74C8" w:rsidP="00FC74C8">
      <w:pPr>
        <w:ind w:firstLine="720"/>
        <w:jc w:val="both"/>
      </w:pPr>
      <w:r>
        <w:t>On July 2, 2024, the Commission approved Atlanta Gas Light Company’s (“AGLC”) 2025 – 2034 Integrated Capacity and Delivery Plan (“i-CDP”)</w:t>
      </w:r>
      <w:r w:rsidR="009B254C">
        <w:t xml:space="preserve"> in Docket No. 43820</w:t>
      </w:r>
      <w:r>
        <w:t xml:space="preserve">. The i-CDP is a comprehensive planning tool that provides a ten-year forecast of interstate, intrastate, and distribution capacity asset requirements. As part of this plan, the Commission approved the Department of Transportation (“DOT”) Rider. AGL is required to relocate its facilities in road rights-of-way when the state, county, or municipal entity makes significant changes to its roadways. The DOT Rider, Section 28 of AGL’s tariff, is designed to provide recovery related to the relocation of AGL facilities due to these roadway projects. </w:t>
      </w:r>
    </w:p>
    <w:p w14:paraId="68AA8034" w14:textId="77777777" w:rsidR="00FC74C8" w:rsidRDefault="00FC74C8" w:rsidP="00FC74C8">
      <w:pPr>
        <w:ind w:firstLine="720"/>
        <w:jc w:val="both"/>
      </w:pPr>
    </w:p>
    <w:p w14:paraId="527AF0E0" w14:textId="77777777" w:rsidR="00FC74C8" w:rsidRDefault="00FC74C8" w:rsidP="00FC74C8">
      <w:pPr>
        <w:ind w:firstLine="720"/>
      </w:pPr>
      <w:r>
        <w:t>By September 1</w:t>
      </w:r>
      <w:r w:rsidRPr="002728CE">
        <w:t>st</w:t>
      </w:r>
      <w:r>
        <w:t xml:space="preserve"> of each calendar year, AGL must file a petition with the Commission to support an adjustment of the DOT Rider rate to become effective the following January 1st. </w:t>
      </w:r>
      <w:r w:rsidRPr="00B100C1">
        <w:t>The filing must include the following:</w:t>
      </w:r>
    </w:p>
    <w:p w14:paraId="754EF796" w14:textId="77777777" w:rsidR="00FC74C8" w:rsidRPr="00B100C1" w:rsidRDefault="00FC74C8" w:rsidP="00FC74C8">
      <w:pPr>
        <w:ind w:firstLine="720"/>
      </w:pPr>
    </w:p>
    <w:p w14:paraId="517795D2" w14:textId="77777777" w:rsidR="00FC74C8" w:rsidRPr="00B100C1" w:rsidRDefault="00FC74C8" w:rsidP="00FC74C8">
      <w:pPr>
        <w:pStyle w:val="Default"/>
        <w:numPr>
          <w:ilvl w:val="1"/>
          <w:numId w:val="5"/>
        </w:numPr>
        <w:rPr>
          <w:rFonts w:ascii="Times New Roman" w:hAnsi="Times New Roman" w:cs="Times New Roman"/>
          <w:color w:val="auto"/>
        </w:rPr>
      </w:pPr>
      <w:r w:rsidRPr="00B100C1">
        <w:rPr>
          <w:rFonts w:ascii="Times New Roman" w:hAnsi="Times New Roman" w:cs="Times New Roman"/>
          <w:color w:val="auto"/>
        </w:rPr>
        <w:t xml:space="preserve">A pleading discussing the purpose of the filing. </w:t>
      </w:r>
    </w:p>
    <w:p w14:paraId="73BB67F6" w14:textId="77777777" w:rsidR="00FC74C8" w:rsidRPr="00B100C1" w:rsidRDefault="00FC74C8" w:rsidP="00FC74C8">
      <w:pPr>
        <w:pStyle w:val="Default"/>
        <w:numPr>
          <w:ilvl w:val="1"/>
          <w:numId w:val="5"/>
        </w:numPr>
        <w:rPr>
          <w:rFonts w:ascii="Times New Roman" w:hAnsi="Times New Roman" w:cs="Times New Roman"/>
          <w:color w:val="auto"/>
        </w:rPr>
      </w:pPr>
      <w:r w:rsidRPr="00B100C1">
        <w:rPr>
          <w:rFonts w:ascii="Times New Roman" w:hAnsi="Times New Roman" w:cs="Times New Roman"/>
          <w:color w:val="auto"/>
        </w:rPr>
        <w:t xml:space="preserve">A proposed DOT Project Rider rate for the following year. </w:t>
      </w:r>
    </w:p>
    <w:p w14:paraId="77903DED" w14:textId="77777777" w:rsidR="00FC74C8" w:rsidRPr="00B100C1" w:rsidRDefault="00FC74C8" w:rsidP="00FC74C8">
      <w:pPr>
        <w:pStyle w:val="Default"/>
        <w:numPr>
          <w:ilvl w:val="1"/>
          <w:numId w:val="5"/>
        </w:numPr>
        <w:rPr>
          <w:rFonts w:ascii="Times New Roman" w:hAnsi="Times New Roman" w:cs="Times New Roman"/>
          <w:color w:val="auto"/>
        </w:rPr>
      </w:pPr>
      <w:r w:rsidRPr="00B100C1">
        <w:rPr>
          <w:rFonts w:ascii="Times New Roman" w:hAnsi="Times New Roman" w:cs="Times New Roman"/>
          <w:color w:val="auto"/>
        </w:rPr>
        <w:t xml:space="preserve">A map showing locations of likely DOT related projects. </w:t>
      </w:r>
    </w:p>
    <w:p w14:paraId="73A4AD26" w14:textId="77777777" w:rsidR="00FC74C8" w:rsidRPr="00B100C1" w:rsidRDefault="00FC74C8" w:rsidP="00FC74C8">
      <w:pPr>
        <w:pStyle w:val="Default"/>
        <w:numPr>
          <w:ilvl w:val="1"/>
          <w:numId w:val="5"/>
        </w:numPr>
        <w:rPr>
          <w:rFonts w:ascii="Times New Roman" w:hAnsi="Times New Roman" w:cs="Times New Roman"/>
          <w:color w:val="auto"/>
        </w:rPr>
      </w:pPr>
      <w:r w:rsidRPr="00B100C1">
        <w:rPr>
          <w:rFonts w:ascii="Times New Roman" w:hAnsi="Times New Roman" w:cs="Times New Roman"/>
          <w:color w:val="auto"/>
        </w:rPr>
        <w:t xml:space="preserve">A list of known or ongoing DOT related projects. </w:t>
      </w:r>
    </w:p>
    <w:p w14:paraId="0F9374FB" w14:textId="77777777" w:rsidR="00FC74C8" w:rsidRPr="00B100C1" w:rsidRDefault="00FC74C8" w:rsidP="00FC74C8">
      <w:pPr>
        <w:pStyle w:val="Default"/>
        <w:numPr>
          <w:ilvl w:val="1"/>
          <w:numId w:val="5"/>
        </w:numPr>
        <w:rPr>
          <w:rFonts w:ascii="Times New Roman" w:hAnsi="Times New Roman" w:cs="Times New Roman"/>
          <w:color w:val="auto"/>
        </w:rPr>
      </w:pPr>
      <w:r w:rsidRPr="00B100C1">
        <w:rPr>
          <w:rFonts w:ascii="Times New Roman" w:hAnsi="Times New Roman" w:cs="Times New Roman"/>
          <w:color w:val="auto"/>
        </w:rPr>
        <w:lastRenderedPageBreak/>
        <w:t xml:space="preserve">As an electronic Excel spreadsheet, a proposed capital budget for the following calendar year that will include Allowance for Funds Used During Construction (“AFUDC”) and Overheads. </w:t>
      </w:r>
    </w:p>
    <w:p w14:paraId="26FB837F" w14:textId="77777777" w:rsidR="00FC74C8" w:rsidRPr="00B100C1" w:rsidRDefault="00FC74C8" w:rsidP="00FC74C8">
      <w:pPr>
        <w:pStyle w:val="Default"/>
        <w:numPr>
          <w:ilvl w:val="1"/>
          <w:numId w:val="5"/>
        </w:numPr>
        <w:rPr>
          <w:rFonts w:ascii="Times New Roman" w:hAnsi="Times New Roman" w:cs="Times New Roman"/>
          <w:color w:val="auto"/>
        </w:rPr>
      </w:pPr>
      <w:r w:rsidRPr="00B100C1">
        <w:rPr>
          <w:rFonts w:ascii="Times New Roman" w:hAnsi="Times New Roman" w:cs="Times New Roman"/>
          <w:color w:val="auto"/>
        </w:rPr>
        <w:t xml:space="preserve">An updated electronic Excel spreadsheet DOT Project Rider recovery model. </w:t>
      </w:r>
    </w:p>
    <w:p w14:paraId="19F06F76" w14:textId="77777777" w:rsidR="00FC74C8" w:rsidRDefault="00FC74C8" w:rsidP="00FC74C8">
      <w:pPr>
        <w:ind w:firstLine="720"/>
        <w:jc w:val="both"/>
      </w:pPr>
    </w:p>
    <w:p w14:paraId="37F0D0EB" w14:textId="4921FF43" w:rsidR="00FC74C8" w:rsidRDefault="00FC74C8" w:rsidP="00972C60">
      <w:pPr>
        <w:ind w:firstLine="720"/>
        <w:jc w:val="both"/>
      </w:pPr>
      <w:r w:rsidRPr="344B1A76">
        <w:t>The DOT Rider rate is a monthly charge and will be recovered for each rate class as follows:</w:t>
      </w:r>
    </w:p>
    <w:p w14:paraId="169E19DF" w14:textId="77777777" w:rsidR="00FC74C8" w:rsidRDefault="00FC74C8" w:rsidP="00FC74C8">
      <w:pPr>
        <w:ind w:firstLine="360"/>
        <w:jc w:val="both"/>
      </w:pPr>
    </w:p>
    <w:p w14:paraId="2C8B930D" w14:textId="77777777" w:rsidR="00FC74C8" w:rsidRPr="002728CE" w:rsidRDefault="00FC74C8" w:rsidP="00FC74C8">
      <w:pPr>
        <w:pStyle w:val="ListParagraph"/>
        <w:numPr>
          <w:ilvl w:val="0"/>
          <w:numId w:val="3"/>
        </w:numPr>
        <w:jc w:val="both"/>
        <w:rPr>
          <w:b/>
          <w:bCs/>
          <w:sz w:val="24"/>
          <w:szCs w:val="24"/>
        </w:rPr>
      </w:pPr>
      <w:r w:rsidRPr="344B1A76">
        <w:rPr>
          <w:sz w:val="24"/>
          <w:szCs w:val="24"/>
        </w:rPr>
        <w:t xml:space="preserve">R-1, G-10, AG-1, and S-51 Customers shall be charged an amount equal to the approved DOT Rider rate. </w:t>
      </w:r>
    </w:p>
    <w:p w14:paraId="01951EBC" w14:textId="77777777" w:rsidR="00FC74C8" w:rsidRPr="002728CE" w:rsidRDefault="00FC74C8" w:rsidP="00FC74C8">
      <w:pPr>
        <w:pStyle w:val="ListParagraph"/>
        <w:ind w:left="1080"/>
        <w:jc w:val="both"/>
        <w:rPr>
          <w:b/>
          <w:bCs/>
          <w:sz w:val="24"/>
          <w:szCs w:val="24"/>
        </w:rPr>
      </w:pPr>
    </w:p>
    <w:p w14:paraId="50C8D0F0" w14:textId="77777777" w:rsidR="00FC74C8" w:rsidRPr="002728CE" w:rsidRDefault="00FC74C8" w:rsidP="00FC74C8">
      <w:pPr>
        <w:pStyle w:val="ListParagraph"/>
        <w:numPr>
          <w:ilvl w:val="0"/>
          <w:numId w:val="3"/>
        </w:numPr>
        <w:jc w:val="both"/>
        <w:rPr>
          <w:b/>
          <w:bCs/>
          <w:sz w:val="24"/>
          <w:szCs w:val="24"/>
        </w:rPr>
      </w:pPr>
      <w:r w:rsidRPr="344B1A76">
        <w:rPr>
          <w:sz w:val="24"/>
          <w:szCs w:val="24"/>
        </w:rPr>
        <w:t xml:space="preserve">G-11 Customers shall be charged an amount equal to three times the approved DOT Rider rate. </w:t>
      </w:r>
    </w:p>
    <w:p w14:paraId="43045B55" w14:textId="77777777" w:rsidR="00FC74C8" w:rsidRPr="002728CE" w:rsidRDefault="00FC74C8" w:rsidP="00FC74C8">
      <w:pPr>
        <w:pStyle w:val="ListParagraph"/>
        <w:ind w:left="1080"/>
        <w:jc w:val="both"/>
        <w:rPr>
          <w:b/>
          <w:bCs/>
          <w:sz w:val="24"/>
          <w:szCs w:val="24"/>
        </w:rPr>
      </w:pPr>
    </w:p>
    <w:p w14:paraId="1930B083" w14:textId="77777777" w:rsidR="00FC74C8" w:rsidRPr="002728CE" w:rsidRDefault="00FC74C8" w:rsidP="00FC74C8">
      <w:pPr>
        <w:pStyle w:val="ListParagraph"/>
        <w:numPr>
          <w:ilvl w:val="0"/>
          <w:numId w:val="3"/>
        </w:numPr>
        <w:jc w:val="both"/>
        <w:rPr>
          <w:b/>
          <w:bCs/>
          <w:sz w:val="24"/>
          <w:szCs w:val="24"/>
        </w:rPr>
      </w:pPr>
      <w:r w:rsidRPr="344B1A76">
        <w:rPr>
          <w:sz w:val="24"/>
          <w:szCs w:val="24"/>
        </w:rPr>
        <w:t>G-12 Customers shall be charged an amount equal to 25 times the approved DOT Rider rate.</w:t>
      </w:r>
    </w:p>
    <w:p w14:paraId="7BF042E4" w14:textId="77777777" w:rsidR="00FC74C8" w:rsidRPr="003C2925" w:rsidRDefault="00FC74C8" w:rsidP="00FC74C8">
      <w:pPr>
        <w:pStyle w:val="ListParagraph"/>
        <w:ind w:left="1080"/>
        <w:jc w:val="both"/>
        <w:rPr>
          <w:b/>
          <w:bCs/>
          <w:sz w:val="24"/>
          <w:szCs w:val="24"/>
        </w:rPr>
      </w:pPr>
    </w:p>
    <w:p w14:paraId="4B431299" w14:textId="77777777" w:rsidR="00FC74C8" w:rsidRDefault="00FC74C8" w:rsidP="00972C60">
      <w:pPr>
        <w:ind w:firstLine="720"/>
        <w:jc w:val="both"/>
      </w:pPr>
      <w:r w:rsidRPr="344B1A76">
        <w:t>AGL will file with the Commission a DOT Rider quarterly report for approved DOT capital budgets. The quarterly report will include the following reporting as an electronic Excel spreadsheet with the following worksheets:</w:t>
      </w:r>
    </w:p>
    <w:p w14:paraId="0042B122" w14:textId="77777777" w:rsidR="00FC74C8" w:rsidRDefault="00FC74C8" w:rsidP="00FC74C8">
      <w:pPr>
        <w:ind w:firstLine="360"/>
        <w:jc w:val="both"/>
      </w:pPr>
    </w:p>
    <w:p w14:paraId="672D5577" w14:textId="77777777" w:rsidR="00FC74C8" w:rsidRPr="002728CE" w:rsidRDefault="00FC74C8" w:rsidP="00FC74C8">
      <w:pPr>
        <w:pStyle w:val="ListParagraph"/>
        <w:numPr>
          <w:ilvl w:val="0"/>
          <w:numId w:val="4"/>
        </w:numPr>
        <w:jc w:val="both"/>
        <w:rPr>
          <w:sz w:val="24"/>
          <w:szCs w:val="24"/>
        </w:rPr>
      </w:pPr>
      <w:r w:rsidRPr="344B1A76">
        <w:rPr>
          <w:sz w:val="24"/>
          <w:szCs w:val="24"/>
        </w:rPr>
        <w:t xml:space="preserve">DOT Rider Capital Budget Reporting: The comprehensive capital budget reporting shall be for Commission approved capital budgets. </w:t>
      </w:r>
    </w:p>
    <w:p w14:paraId="5134A6EC" w14:textId="77777777" w:rsidR="00FC74C8" w:rsidRPr="002728CE" w:rsidRDefault="00FC74C8" w:rsidP="00FC74C8">
      <w:pPr>
        <w:pStyle w:val="ListParagraph"/>
        <w:numPr>
          <w:ilvl w:val="0"/>
          <w:numId w:val="4"/>
        </w:numPr>
        <w:jc w:val="both"/>
        <w:rPr>
          <w:sz w:val="24"/>
          <w:szCs w:val="24"/>
        </w:rPr>
      </w:pPr>
      <w:r w:rsidRPr="344B1A76">
        <w:rPr>
          <w:sz w:val="24"/>
          <w:szCs w:val="24"/>
        </w:rPr>
        <w:t xml:space="preserve">DOT Project Costing Ledger: The project costing ledger shall include all the details for the ongoing project activities. </w:t>
      </w:r>
    </w:p>
    <w:p w14:paraId="6BF48CC4" w14:textId="77777777" w:rsidR="00FC74C8" w:rsidRPr="00F16D38" w:rsidRDefault="00FC74C8" w:rsidP="00FC74C8">
      <w:pPr>
        <w:pStyle w:val="ListParagraph"/>
        <w:numPr>
          <w:ilvl w:val="0"/>
          <w:numId w:val="4"/>
        </w:numPr>
        <w:jc w:val="both"/>
        <w:rPr>
          <w:sz w:val="24"/>
          <w:szCs w:val="24"/>
        </w:rPr>
      </w:pPr>
      <w:r w:rsidRPr="344B1A76">
        <w:rPr>
          <w:sz w:val="24"/>
          <w:szCs w:val="24"/>
        </w:rPr>
        <w:t>DOT Rider Rate Model: An updated comprehensive rate model shall be provided each quarter.</w:t>
      </w:r>
      <w:r w:rsidRPr="002728CE">
        <w:rPr>
          <w:sz w:val="24"/>
          <w:szCs w:val="24"/>
        </w:rPr>
        <w:t xml:space="preserve"> </w:t>
      </w:r>
    </w:p>
    <w:p w14:paraId="1FC91DA9" w14:textId="77777777" w:rsidR="00FC74C8" w:rsidRDefault="00FC74C8" w:rsidP="00FC74C8">
      <w:pPr>
        <w:jc w:val="both"/>
      </w:pPr>
    </w:p>
    <w:p w14:paraId="0183A9F3" w14:textId="77777777" w:rsidR="00FC74C8" w:rsidRPr="002C1B98" w:rsidRDefault="00FC74C8" w:rsidP="00972C60">
      <w:pPr>
        <w:ind w:firstLine="720"/>
        <w:jc w:val="both"/>
      </w:pPr>
      <w:r>
        <w:t xml:space="preserve">Each quarter, the Staff reviews AGL’s quarterly DOT reports. The Staff reviews the rider model and the capital budget reporting to determine if AGL </w:t>
      </w:r>
      <w:proofErr w:type="gramStart"/>
      <w:r>
        <w:t>is in compliance with</w:t>
      </w:r>
      <w:proofErr w:type="gramEnd"/>
      <w:r>
        <w:t xml:space="preserve"> Commission i-CDP orders and in compliance with its DOT tariff. On a routine basis, the Staff will communicate with AGL to resolve issues. </w:t>
      </w:r>
    </w:p>
    <w:p w14:paraId="6F0A5993" w14:textId="77777777" w:rsidR="005B0DDA" w:rsidRPr="00972C60" w:rsidRDefault="005B0DDA" w:rsidP="00972C60">
      <w:pPr>
        <w:jc w:val="both"/>
      </w:pPr>
    </w:p>
    <w:p w14:paraId="417117EA" w14:textId="77777777" w:rsidR="00FC74C8" w:rsidRDefault="00FC74C8" w:rsidP="00972C60">
      <w:pPr>
        <w:pStyle w:val="ListParagraph"/>
        <w:numPr>
          <w:ilvl w:val="0"/>
          <w:numId w:val="2"/>
        </w:numPr>
        <w:jc w:val="center"/>
        <w:rPr>
          <w:b/>
          <w:sz w:val="24"/>
          <w:szCs w:val="24"/>
        </w:rPr>
      </w:pPr>
      <w:r>
        <w:rPr>
          <w:b/>
          <w:sz w:val="24"/>
          <w:szCs w:val="24"/>
        </w:rPr>
        <w:t xml:space="preserve">AGL 2026 Annual </w:t>
      </w:r>
      <w:r w:rsidRPr="00767ED6">
        <w:rPr>
          <w:b/>
          <w:sz w:val="24"/>
          <w:szCs w:val="24"/>
        </w:rPr>
        <w:t>DOT Rider Filing</w:t>
      </w:r>
    </w:p>
    <w:p w14:paraId="2AAF5505" w14:textId="77777777" w:rsidR="00FC74C8" w:rsidRDefault="00FC74C8" w:rsidP="00FC74C8">
      <w:pPr>
        <w:pStyle w:val="ListParagraph"/>
        <w:ind w:left="1080"/>
        <w:jc w:val="both"/>
        <w:rPr>
          <w:b/>
          <w:sz w:val="24"/>
          <w:szCs w:val="24"/>
        </w:rPr>
      </w:pPr>
    </w:p>
    <w:p w14:paraId="235D7D48" w14:textId="77777777" w:rsidR="00FC74C8" w:rsidRPr="00767ED6" w:rsidRDefault="00FC74C8" w:rsidP="00FC74C8">
      <w:pPr>
        <w:ind w:firstLine="720"/>
        <w:jc w:val="both"/>
        <w:rPr>
          <w:b/>
        </w:rPr>
      </w:pPr>
      <w:r>
        <w:t xml:space="preserve">On September 2, 2025, </w:t>
      </w:r>
      <w:r w:rsidRPr="00B76A99">
        <w:t xml:space="preserve">AGL filed the </w:t>
      </w:r>
      <w:r>
        <w:t xml:space="preserve">2026 </w:t>
      </w:r>
      <w:r w:rsidRPr="00B76A99">
        <w:t xml:space="preserve">Annual DOT Rider </w:t>
      </w:r>
      <w:r>
        <w:t>request.</w:t>
      </w:r>
      <w:r>
        <w:rPr>
          <w:b/>
        </w:rPr>
        <w:t xml:space="preserve"> </w:t>
      </w:r>
      <w:r w:rsidRPr="00FD12EA">
        <w:t>The filing contain</w:t>
      </w:r>
      <w:r>
        <w:t>ed</w:t>
      </w:r>
      <w:r w:rsidRPr="00FD12EA">
        <w:t xml:space="preserve"> a map of the known AGL DOT projects, a list of the known DOT projects, the capital budget</w:t>
      </w:r>
      <w:r>
        <w:t xml:space="preserve">, and the DOT Rider model. As provided in </w:t>
      </w:r>
      <w:r w:rsidRPr="00656649">
        <w:rPr>
          <w:b/>
          <w:bCs/>
        </w:rPr>
        <w:t>Table-1</w:t>
      </w:r>
      <w:r>
        <w:t xml:space="preserve"> below, the rider rate for Residential R-1, Multi-Family G-10, Agriculture AG-1, and Seasonal Gas Service S-51 is proposed at </w:t>
      </w:r>
      <w:r w:rsidRPr="00B6052C">
        <w:t>$0.57 per customer per month. The General Delivery Service G-11 Class rate will be three times the Residential rate, or $1.71 per customer per month. The High Demand G-12 gas users will have a rate twenty-five times the Residential rate, or $14.25 per customer per month.</w:t>
      </w:r>
      <w:r>
        <w:t xml:space="preserve"> </w:t>
      </w:r>
    </w:p>
    <w:p w14:paraId="549BEC2D" w14:textId="77777777" w:rsidR="00FC74C8" w:rsidRDefault="00FC74C8" w:rsidP="00FC74C8">
      <w:pPr>
        <w:ind w:firstLine="360"/>
        <w:contextualSpacing/>
        <w:jc w:val="both"/>
      </w:pPr>
    </w:p>
    <w:p w14:paraId="15D0F00C" w14:textId="206CC7A6" w:rsidR="009545FB" w:rsidRDefault="005B0DDA" w:rsidP="00972C60">
      <w:pPr>
        <w:contextualSpacing/>
        <w:jc w:val="both"/>
        <w:rPr>
          <w:b/>
          <w:bCs/>
        </w:rPr>
      </w:pPr>
      <w:r w:rsidRPr="00EB4CA4">
        <w:rPr>
          <w:b/>
          <w:bCs/>
          <w:noProof/>
        </w:rPr>
        <w:lastRenderedPageBreak/>
        <w:drawing>
          <wp:anchor distT="0" distB="0" distL="114300" distR="114300" simplePos="0" relativeHeight="251659264" behindDoc="1" locked="0" layoutInCell="1" allowOverlap="1" wp14:anchorId="22DC79B6" wp14:editId="486F7CDF">
            <wp:simplePos x="0" y="0"/>
            <wp:positionH relativeFrom="margin">
              <wp:posOffset>-1270</wp:posOffset>
            </wp:positionH>
            <wp:positionV relativeFrom="paragraph">
              <wp:posOffset>196850</wp:posOffset>
            </wp:positionV>
            <wp:extent cx="5944235" cy="1760220"/>
            <wp:effectExtent l="0" t="0" r="0" b="0"/>
            <wp:wrapSquare wrapText="bothSides"/>
            <wp:docPr id="36218787"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8787" name="Picture 1" descr="Tab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944235" cy="1760220"/>
                    </a:xfrm>
                    <a:prstGeom prst="rect">
                      <a:avLst/>
                    </a:prstGeom>
                  </pic:spPr>
                </pic:pic>
              </a:graphicData>
            </a:graphic>
            <wp14:sizeRelH relativeFrom="margin">
              <wp14:pctWidth>0</wp14:pctWidth>
            </wp14:sizeRelH>
            <wp14:sizeRelV relativeFrom="margin">
              <wp14:pctHeight>0</wp14:pctHeight>
            </wp14:sizeRelV>
          </wp:anchor>
        </w:drawing>
      </w:r>
      <w:r w:rsidR="00FC74C8" w:rsidRPr="00656649">
        <w:rPr>
          <w:b/>
          <w:bCs/>
        </w:rPr>
        <w:t xml:space="preserve">Table-1: </w:t>
      </w:r>
      <w:r w:rsidR="00FC74C8" w:rsidRPr="00B6052C">
        <w:rPr>
          <w:b/>
          <w:bCs/>
        </w:rPr>
        <w:t>2026 DOT Rates &amp; Revenues</w:t>
      </w:r>
    </w:p>
    <w:p w14:paraId="632FE38A" w14:textId="77777777" w:rsidR="00972C60" w:rsidRDefault="00972C60" w:rsidP="00972C60">
      <w:pPr>
        <w:contextualSpacing/>
        <w:jc w:val="both"/>
        <w:rPr>
          <w:b/>
          <w:bCs/>
        </w:rPr>
      </w:pPr>
    </w:p>
    <w:p w14:paraId="08DF6507" w14:textId="77777777" w:rsidR="00972C60" w:rsidRDefault="00972C60" w:rsidP="00972C60">
      <w:pPr>
        <w:contextualSpacing/>
        <w:jc w:val="both"/>
        <w:rPr>
          <w:b/>
          <w:snapToGrid w:val="0"/>
        </w:rPr>
      </w:pPr>
    </w:p>
    <w:p w14:paraId="6CFC7BD7" w14:textId="5DBA48FC" w:rsidR="00FC74C8" w:rsidRPr="00972C60" w:rsidRDefault="00FC74C8" w:rsidP="00972C60">
      <w:pPr>
        <w:pStyle w:val="ListParagraph"/>
        <w:numPr>
          <w:ilvl w:val="0"/>
          <w:numId w:val="2"/>
        </w:numPr>
        <w:spacing w:after="200" w:line="276" w:lineRule="auto"/>
        <w:jc w:val="center"/>
        <w:rPr>
          <w:b/>
          <w:sz w:val="24"/>
          <w:szCs w:val="24"/>
        </w:rPr>
      </w:pPr>
      <w:r w:rsidRPr="00972C60">
        <w:rPr>
          <w:b/>
          <w:snapToGrid w:val="0"/>
          <w:sz w:val="24"/>
          <w:szCs w:val="24"/>
        </w:rPr>
        <w:t>Staff's Analysis</w:t>
      </w:r>
    </w:p>
    <w:p w14:paraId="2D27E835" w14:textId="77777777" w:rsidR="00FC74C8" w:rsidRPr="00723B8E" w:rsidRDefault="00FC74C8" w:rsidP="00FC74C8">
      <w:pPr>
        <w:pStyle w:val="ListParagraph"/>
        <w:ind w:left="1080"/>
        <w:jc w:val="both"/>
        <w:rPr>
          <w:b/>
          <w:sz w:val="24"/>
          <w:szCs w:val="24"/>
        </w:rPr>
      </w:pPr>
    </w:p>
    <w:p w14:paraId="6F0411E4" w14:textId="77777777" w:rsidR="00FC74C8" w:rsidRDefault="00FC74C8" w:rsidP="00FC74C8">
      <w:pPr>
        <w:ind w:firstLine="720"/>
        <w:jc w:val="both"/>
      </w:pPr>
      <w:r w:rsidRPr="00B100C1">
        <w:t>The Staff began its review and due diligence of the contents of the filing, ensuring that the company provided all information required in its tariff. While reviewing, Staff noticed a lack of detail in the petition. As a result, Staff contacted AGL, requesting that the company refile to specify whether the surcharge mentioned in the petition is a monthly or annual rate. Additionally, Staff requested that the company provide the adjusted surcharge for each rate class and provide whether it is the monthly or annual rate. On October 3</w:t>
      </w:r>
      <w:r w:rsidRPr="002728CE">
        <w:t>rd</w:t>
      </w:r>
      <w:r w:rsidRPr="00B100C1">
        <w:t>, AGL filed the requested information. Staff reviewed the model and its contents for accuracy and ensured the contents were in ac</w:t>
      </w:r>
      <w:r>
        <w:t>cor</w:t>
      </w:r>
      <w:r w:rsidRPr="00B100C1">
        <w:t>dance with Tariff Section 28(2) (A) – (F)</w:t>
      </w:r>
      <w:r>
        <w:t>.</w:t>
      </w:r>
      <w:r w:rsidRPr="00B100C1">
        <w:t xml:space="preserve"> Additionally, Staff analyzed the proposed rate changes and the 2026 DOT capital budget, comparing both the rates and capital budget to past annual and quarterly filings.  </w:t>
      </w:r>
    </w:p>
    <w:p w14:paraId="6A907974" w14:textId="77777777" w:rsidR="005B0DDA" w:rsidRDefault="005B0DDA" w:rsidP="00445AAC">
      <w:pPr>
        <w:jc w:val="both"/>
        <w:rPr>
          <w:b/>
          <w:bCs/>
        </w:rPr>
      </w:pPr>
    </w:p>
    <w:p w14:paraId="0A2F5377" w14:textId="6C133A04" w:rsidR="00FC74C8" w:rsidRDefault="00FC74C8" w:rsidP="00FC74C8">
      <w:pPr>
        <w:ind w:firstLine="720"/>
        <w:jc w:val="both"/>
        <w:rPr>
          <w:b/>
          <w:bCs/>
        </w:rPr>
      </w:pPr>
      <w:r w:rsidRPr="00656649">
        <w:rPr>
          <w:b/>
          <w:bCs/>
        </w:rPr>
        <w:t>Table-</w:t>
      </w:r>
      <w:r>
        <w:rPr>
          <w:b/>
          <w:bCs/>
        </w:rPr>
        <w:t>2</w:t>
      </w:r>
      <w:r w:rsidRPr="00656649">
        <w:rPr>
          <w:b/>
          <w:bCs/>
        </w:rPr>
        <w:t xml:space="preserve">: </w:t>
      </w:r>
      <w:r>
        <w:rPr>
          <w:b/>
          <w:bCs/>
        </w:rPr>
        <w:t xml:space="preserve">2025 and </w:t>
      </w:r>
      <w:r w:rsidRPr="00B6052C">
        <w:rPr>
          <w:b/>
          <w:bCs/>
        </w:rPr>
        <w:t xml:space="preserve">2026 DOT Rate </w:t>
      </w:r>
      <w:r>
        <w:rPr>
          <w:b/>
          <w:bCs/>
        </w:rPr>
        <w:t>Comparison</w:t>
      </w:r>
    </w:p>
    <w:p w14:paraId="54A1A49E" w14:textId="4681C0F0" w:rsidR="00FC74C8" w:rsidRDefault="00FC74C8" w:rsidP="00FC74C8">
      <w:pPr>
        <w:ind w:firstLine="720"/>
        <w:jc w:val="both"/>
      </w:pPr>
    </w:p>
    <w:p w14:paraId="5569F2B1" w14:textId="38A597E0" w:rsidR="00FC74C8" w:rsidRDefault="00FC74C8" w:rsidP="00FC74C8">
      <w:pPr>
        <w:ind w:firstLine="720"/>
        <w:jc w:val="both"/>
      </w:pPr>
      <w:r w:rsidRPr="00F876A3">
        <w:rPr>
          <w:noProof/>
        </w:rPr>
        <w:drawing>
          <wp:anchor distT="0" distB="0" distL="114300" distR="114300" simplePos="0" relativeHeight="251660288" behindDoc="0" locked="0" layoutInCell="1" allowOverlap="1" wp14:anchorId="561FCB95" wp14:editId="43C03FEC">
            <wp:simplePos x="0" y="0"/>
            <wp:positionH relativeFrom="margin">
              <wp:align>right</wp:align>
            </wp:positionH>
            <wp:positionV relativeFrom="paragraph">
              <wp:posOffset>261390</wp:posOffset>
            </wp:positionV>
            <wp:extent cx="5943600" cy="1242060"/>
            <wp:effectExtent l="0" t="0" r="0" b="0"/>
            <wp:wrapSquare wrapText="bothSides"/>
            <wp:docPr id="1316246371" name="Picture 1"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46371" name="Picture 1" descr="A picture containing graphical user interfac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943600" cy="1242060"/>
                    </a:xfrm>
                    <a:prstGeom prst="rect">
                      <a:avLst/>
                    </a:prstGeom>
                  </pic:spPr>
                </pic:pic>
              </a:graphicData>
            </a:graphic>
            <wp14:sizeRelH relativeFrom="margin">
              <wp14:pctWidth>0</wp14:pctWidth>
            </wp14:sizeRelH>
            <wp14:sizeRelV relativeFrom="margin">
              <wp14:pctHeight>0</wp14:pctHeight>
            </wp14:sizeRelV>
          </wp:anchor>
        </w:drawing>
      </w:r>
    </w:p>
    <w:p w14:paraId="2DBF33B5" w14:textId="1AF479C1" w:rsidR="003638B3" w:rsidRDefault="003638B3">
      <w:pPr>
        <w:spacing w:after="200" w:line="276" w:lineRule="auto"/>
      </w:pPr>
    </w:p>
    <w:p w14:paraId="58351791" w14:textId="26FF5DD3" w:rsidR="00FC74C8" w:rsidRDefault="00FC74C8" w:rsidP="00FC74C8">
      <w:pPr>
        <w:ind w:firstLine="720"/>
        <w:jc w:val="both"/>
      </w:pPr>
      <w:r>
        <w:t>Staff’s review led to an inquiry with AGL requesting an explanation of the high level of the proposed rate increase. Staff also requested that the AFUDC and Overhead costs related to the 2026 DOT projects be provided. On October 13</w:t>
      </w:r>
      <w:r w:rsidRPr="002728CE">
        <w:t>th</w:t>
      </w:r>
      <w:r>
        <w:t>, the company provided responses and Staff reviewed them.</w:t>
      </w:r>
    </w:p>
    <w:p w14:paraId="3EAA8F2E" w14:textId="77777777" w:rsidR="00FC74C8" w:rsidRPr="005A57E9" w:rsidRDefault="00FC74C8" w:rsidP="00FC74C8">
      <w:pPr>
        <w:ind w:firstLine="720"/>
        <w:jc w:val="both"/>
      </w:pPr>
    </w:p>
    <w:p w14:paraId="07D5EB2C" w14:textId="75626395" w:rsidR="00FC74C8" w:rsidRDefault="00FC74C8" w:rsidP="00FC74C8">
      <w:pPr>
        <w:ind w:firstLine="720"/>
      </w:pPr>
      <w:r>
        <w:t xml:space="preserve">Among AGL’s responses was an explanation </w:t>
      </w:r>
      <w:r w:rsidRPr="008964D0">
        <w:t>of the 338% increase from the current rate to the proposed rate increase</w:t>
      </w:r>
      <w:r>
        <w:t xml:space="preserve"> (</w:t>
      </w:r>
      <w:r w:rsidRPr="00BA591E">
        <w:rPr>
          <w:b/>
          <w:bCs/>
        </w:rPr>
        <w:t>Table-2</w:t>
      </w:r>
      <w:r>
        <w:t xml:space="preserve">). The drivers of the 2026 rate increase were threefold: (1) </w:t>
      </w:r>
      <w:r>
        <w:lastRenderedPageBreak/>
        <w:t xml:space="preserve">recovery of the 2025 under-recovered balance, (2) recovery of the revenue requirement related to the 2025 Plant in service (“Plant”) and Cost of Removals (“Removals”), and (3) the projected 2026 Plant and Removal amounts. Additionally, budgeted costs for 2025 and 2026 Plant and Removals have increased compared to projections in the </w:t>
      </w:r>
      <w:r w:rsidRPr="00850012">
        <w:t>2025 – 2034</w:t>
      </w:r>
      <w:r>
        <w:t xml:space="preserve"> i-CDP, increasing the revenue requirement and the rider rate.</w:t>
      </w:r>
    </w:p>
    <w:p w14:paraId="6EDC9C5D" w14:textId="77777777" w:rsidR="00FC74C8" w:rsidRDefault="00FC74C8" w:rsidP="00FC74C8">
      <w:pPr>
        <w:ind w:firstLine="720"/>
      </w:pPr>
    </w:p>
    <w:p w14:paraId="34ABB420" w14:textId="77777777" w:rsidR="00FC74C8" w:rsidRDefault="00FC74C8" w:rsidP="00FC74C8">
      <w:pPr>
        <w:ind w:firstLine="720"/>
      </w:pPr>
      <w:r w:rsidRPr="00B312B5">
        <w:t>The 2025 DOT rates did not recover the full revenue requirement</w:t>
      </w:r>
      <w:r>
        <w:rPr>
          <w:color w:val="4F81BD" w:themeColor="accent1"/>
        </w:rPr>
        <w:t xml:space="preserve">. </w:t>
      </w:r>
      <w:r w:rsidRPr="00B312B5">
        <w:t>The revenue requirement for 2025</w:t>
      </w:r>
      <w:r>
        <w:t xml:space="preserve"> </w:t>
      </w:r>
      <w:r w:rsidRPr="00B312B5">
        <w:t>was</w:t>
      </w:r>
      <w:r>
        <w:t xml:space="preserve"> </w:t>
      </w:r>
      <w:r w:rsidRPr="00B312B5">
        <w:t>$3.8 million</w:t>
      </w:r>
      <w:r>
        <w:t>; h</w:t>
      </w:r>
      <w:r w:rsidRPr="00B312B5">
        <w:t>owever</w:t>
      </w:r>
      <w:r>
        <w:t xml:space="preserve">, </w:t>
      </w:r>
      <w:r w:rsidRPr="00B312B5">
        <w:t xml:space="preserve">the company collected approximately $3 million from customers, leaving </w:t>
      </w:r>
      <w:r>
        <w:t xml:space="preserve">an </w:t>
      </w:r>
      <w:r w:rsidRPr="00A71F98">
        <w:t>$</w:t>
      </w:r>
      <w:r w:rsidRPr="00C3725C">
        <w:t>838,000 under</w:t>
      </w:r>
      <w:r>
        <w:t>-</w:t>
      </w:r>
      <w:r w:rsidRPr="00C3725C">
        <w:t>recovery balance</w:t>
      </w:r>
      <w:r w:rsidRPr="00B312B5">
        <w:t xml:space="preserve">. </w:t>
      </w:r>
      <w:r>
        <w:t>I</w:t>
      </w:r>
      <w:r w:rsidRPr="00B312B5">
        <w:t>ncreasing rate</w:t>
      </w:r>
      <w:r>
        <w:t>s</w:t>
      </w:r>
      <w:r w:rsidRPr="00B312B5">
        <w:t xml:space="preserve"> by $0.03 </w:t>
      </w:r>
      <w:r>
        <w:t xml:space="preserve">would allow the company to recover </w:t>
      </w:r>
      <w:r w:rsidRPr="00817329">
        <w:t>the 2025 under</w:t>
      </w:r>
      <w:r>
        <w:t>-</w:t>
      </w:r>
      <w:r w:rsidRPr="00817329">
        <w:t>recovery</w:t>
      </w:r>
      <w:r>
        <w:t xml:space="preserve"> balance</w:t>
      </w:r>
      <w:r w:rsidRPr="00B312B5">
        <w:t xml:space="preserve">. </w:t>
      </w:r>
    </w:p>
    <w:p w14:paraId="72F2CE80" w14:textId="77777777" w:rsidR="00FC74C8" w:rsidRPr="005D2786" w:rsidRDefault="00FC74C8" w:rsidP="00FC74C8">
      <w:pPr>
        <w:ind w:firstLine="720"/>
        <w:rPr>
          <w:color w:val="4F81BD" w:themeColor="accent1"/>
        </w:rPr>
      </w:pPr>
    </w:p>
    <w:p w14:paraId="3A2A11DB" w14:textId="77777777" w:rsidR="00FC74C8" w:rsidRDefault="00FC74C8" w:rsidP="00FC74C8">
      <w:pPr>
        <w:ind w:firstLine="720"/>
      </w:pPr>
      <w:r w:rsidRPr="008A0BC8">
        <w:t xml:space="preserve">The recovery of the revenue requirement related to 2025 Plant and Removals </w:t>
      </w:r>
      <w:r>
        <w:t>will increase rates by</w:t>
      </w:r>
      <w:r w:rsidRPr="008A0BC8">
        <w:t xml:space="preserve"> $0.20. If there were no spending in 2026, the </w:t>
      </w:r>
      <w:r>
        <w:t xml:space="preserve">2026 </w:t>
      </w:r>
      <w:r w:rsidRPr="008A0BC8">
        <w:t xml:space="preserve">revenue requirement would still increase due to carrying charges and depreciation expenses related to 2025 Plant and Removals. A $0.20 rate increase </w:t>
      </w:r>
      <w:r w:rsidRPr="008964D0">
        <w:t>will allow the company to recover these costs</w:t>
      </w:r>
      <w:r w:rsidRPr="008A0BC8">
        <w:t>.</w:t>
      </w:r>
      <w:r w:rsidRPr="009711C4">
        <w:t xml:space="preserve"> </w:t>
      </w:r>
    </w:p>
    <w:p w14:paraId="639BE06D" w14:textId="77777777" w:rsidR="00FC74C8" w:rsidRPr="009711C4" w:rsidRDefault="00FC74C8" w:rsidP="00FC74C8">
      <w:pPr>
        <w:ind w:firstLine="720"/>
      </w:pPr>
    </w:p>
    <w:p w14:paraId="7AFBDD6A" w14:textId="77777777" w:rsidR="00FC74C8" w:rsidRDefault="00FC74C8" w:rsidP="00FC74C8">
      <w:pPr>
        <w:ind w:firstLine="720"/>
      </w:pPr>
      <w:r w:rsidRPr="009711C4">
        <w:t xml:space="preserve">Lastly, the projected 2026 Plant and Removals amounts </w:t>
      </w:r>
      <w:r>
        <w:t>will increase rates by</w:t>
      </w:r>
      <w:r w:rsidRPr="009711C4">
        <w:t xml:space="preserve"> $0.21. The proposed </w:t>
      </w:r>
      <w:r>
        <w:t>monthly rider rate</w:t>
      </w:r>
      <w:r w:rsidRPr="009711C4">
        <w:t xml:space="preserve"> is a $0.44 increase from the 2025 </w:t>
      </w:r>
      <w:r>
        <w:t xml:space="preserve">monthly rider rate, as seen in </w:t>
      </w:r>
      <w:r w:rsidRPr="008A0BC8">
        <w:rPr>
          <w:b/>
          <w:bCs/>
        </w:rPr>
        <w:t>Table-2</w:t>
      </w:r>
      <w:r>
        <w:t xml:space="preserve"> above</w:t>
      </w:r>
      <w:r w:rsidRPr="009711C4">
        <w:t>.</w:t>
      </w:r>
      <w:r w:rsidRPr="008A0BC8">
        <w:t xml:space="preserve"> The increase of $0.44 </w:t>
      </w:r>
      <w:r>
        <w:t xml:space="preserve">is composed of a </w:t>
      </w:r>
      <w:r w:rsidRPr="008A0BC8">
        <w:t>$0.03</w:t>
      </w:r>
      <w:r>
        <w:t xml:space="preserve"> increase</w:t>
      </w:r>
      <w:r w:rsidRPr="008A0BC8">
        <w:t xml:space="preserve"> for the </w:t>
      </w:r>
      <w:r>
        <w:t xml:space="preserve">recovery of the </w:t>
      </w:r>
      <w:r w:rsidRPr="008A0BC8">
        <w:t>2025 under-recovery</w:t>
      </w:r>
      <w:r>
        <w:t xml:space="preserve"> balance</w:t>
      </w:r>
      <w:r w:rsidRPr="008A0BC8">
        <w:t xml:space="preserve">, </w:t>
      </w:r>
      <w:r>
        <w:t xml:space="preserve">a </w:t>
      </w:r>
      <w:r w:rsidRPr="008A0BC8">
        <w:t xml:space="preserve">$0.20 </w:t>
      </w:r>
      <w:r>
        <w:t xml:space="preserve">increase </w:t>
      </w:r>
      <w:r w:rsidRPr="008A0BC8">
        <w:t xml:space="preserve">for 2025 Plant recovery, and </w:t>
      </w:r>
      <w:r>
        <w:t xml:space="preserve">a </w:t>
      </w:r>
      <w:r w:rsidRPr="008A0BC8">
        <w:t xml:space="preserve">$0.21 </w:t>
      </w:r>
      <w:r>
        <w:t xml:space="preserve">increase </w:t>
      </w:r>
      <w:r w:rsidRPr="008A0BC8">
        <w:t>for projected 2026 Plant</w:t>
      </w:r>
      <w:r>
        <w:t>. This</w:t>
      </w:r>
      <w:r w:rsidRPr="009711C4">
        <w:t xml:space="preserve"> result</w:t>
      </w:r>
      <w:r>
        <w:t>s</w:t>
      </w:r>
      <w:r w:rsidRPr="009711C4">
        <w:t xml:space="preserve"> in an </w:t>
      </w:r>
      <w:r>
        <w:t>over</w:t>
      </w:r>
      <w:r w:rsidRPr="009711C4">
        <w:t xml:space="preserve">-recovery of </w:t>
      </w:r>
      <w:r>
        <w:t xml:space="preserve">approximately </w:t>
      </w:r>
      <w:r w:rsidRPr="009711C4">
        <w:t>$218,211</w:t>
      </w:r>
      <w:r>
        <w:t xml:space="preserve"> in 2026</w:t>
      </w:r>
      <w:r w:rsidRPr="008A0BC8">
        <w:t>.</w:t>
      </w:r>
    </w:p>
    <w:p w14:paraId="358B354E" w14:textId="77777777" w:rsidR="00FC74C8" w:rsidRPr="009711C4" w:rsidRDefault="00FC74C8" w:rsidP="00FC74C8">
      <w:pPr>
        <w:ind w:firstLine="720"/>
      </w:pPr>
    </w:p>
    <w:p w14:paraId="62EF70A8" w14:textId="7D3380C0" w:rsidR="00D92997" w:rsidRDefault="00FC74C8" w:rsidP="00972C60">
      <w:pPr>
        <w:jc w:val="both"/>
      </w:pPr>
      <w:r w:rsidRPr="008A0BC8">
        <w:t>Staff found the revised filing to be whole and complete</w:t>
      </w:r>
      <w:r>
        <w:t>,</w:t>
      </w:r>
      <w:r w:rsidRPr="008A0BC8">
        <w:t xml:space="preserve"> </w:t>
      </w:r>
      <w:r>
        <w:t>with</w:t>
      </w:r>
      <w:r w:rsidRPr="008A0BC8">
        <w:t xml:space="preserve"> no material issues</w:t>
      </w:r>
    </w:p>
    <w:p w14:paraId="136CC86F" w14:textId="77777777" w:rsidR="00FC74C8" w:rsidRDefault="00FC74C8" w:rsidP="00FC74C8">
      <w:pPr>
        <w:ind w:firstLine="360"/>
        <w:jc w:val="both"/>
      </w:pPr>
    </w:p>
    <w:p w14:paraId="782AB623" w14:textId="77777777" w:rsidR="005B0DDA" w:rsidRPr="00FC74C8" w:rsidRDefault="005B0DDA" w:rsidP="00FC74C8">
      <w:pPr>
        <w:ind w:firstLine="360"/>
        <w:jc w:val="both"/>
      </w:pPr>
    </w:p>
    <w:p w14:paraId="6A1CB68F" w14:textId="77777777" w:rsidR="00FC74C8" w:rsidRDefault="00FC74C8" w:rsidP="00972C60">
      <w:pPr>
        <w:pStyle w:val="ListParagraph"/>
        <w:numPr>
          <w:ilvl w:val="0"/>
          <w:numId w:val="2"/>
        </w:numPr>
        <w:jc w:val="center"/>
        <w:rPr>
          <w:b/>
          <w:sz w:val="24"/>
          <w:szCs w:val="24"/>
        </w:rPr>
      </w:pPr>
      <w:r>
        <w:rPr>
          <w:b/>
          <w:sz w:val="24"/>
          <w:szCs w:val="24"/>
        </w:rPr>
        <w:t>Commission Decision</w:t>
      </w:r>
    </w:p>
    <w:p w14:paraId="6A94846E" w14:textId="77777777" w:rsidR="00FC74C8" w:rsidRDefault="00FC74C8" w:rsidP="00FC74C8">
      <w:pPr>
        <w:pStyle w:val="ListParagraph"/>
        <w:ind w:left="1080"/>
        <w:jc w:val="both"/>
        <w:rPr>
          <w:b/>
          <w:sz w:val="24"/>
          <w:szCs w:val="24"/>
        </w:rPr>
      </w:pPr>
    </w:p>
    <w:p w14:paraId="5EA97329" w14:textId="0AFDBF49" w:rsidR="00FC74C8" w:rsidRDefault="00FC74C8" w:rsidP="00972C60">
      <w:pPr>
        <w:spacing w:before="100" w:after="100"/>
        <w:ind w:firstLine="720"/>
        <w:jc w:val="both"/>
        <w:rPr>
          <w:rFonts w:eastAsiaTheme="minorHAnsi"/>
        </w:rPr>
      </w:pPr>
      <w:r>
        <w:rPr>
          <w:rFonts w:eastAsiaTheme="minorHAnsi"/>
        </w:rPr>
        <w:t>During the December 16,</w:t>
      </w:r>
      <w:r w:rsidR="00FC2FAD">
        <w:rPr>
          <w:rFonts w:eastAsiaTheme="minorHAnsi"/>
        </w:rPr>
        <w:t xml:space="preserve"> </w:t>
      </w:r>
      <w:r>
        <w:rPr>
          <w:rFonts w:eastAsiaTheme="minorHAnsi"/>
        </w:rPr>
        <w:t xml:space="preserve">2025 Administrative Session, the Commission approved </w:t>
      </w:r>
      <w:r w:rsidRPr="00113DCA">
        <w:rPr>
          <w:rFonts w:eastAsiaTheme="minorHAnsi"/>
        </w:rPr>
        <w:t>AGL’s proposed 202</w:t>
      </w:r>
      <w:r>
        <w:rPr>
          <w:rFonts w:eastAsiaTheme="minorHAnsi"/>
        </w:rPr>
        <w:t>6</w:t>
      </w:r>
      <w:r w:rsidRPr="00113DCA">
        <w:rPr>
          <w:rFonts w:eastAsiaTheme="minorHAnsi"/>
        </w:rPr>
        <w:t xml:space="preserve"> </w:t>
      </w:r>
      <w:r>
        <w:rPr>
          <w:rFonts w:eastAsiaTheme="minorHAnsi"/>
        </w:rPr>
        <w:t>DOT</w:t>
      </w:r>
      <w:r w:rsidRPr="00113DCA">
        <w:rPr>
          <w:rFonts w:eastAsiaTheme="minorHAnsi"/>
        </w:rPr>
        <w:t xml:space="preserve"> Rider</w:t>
      </w:r>
      <w:r>
        <w:rPr>
          <w:rFonts w:eastAsiaTheme="minorHAnsi"/>
        </w:rPr>
        <w:t xml:space="preserve"> Adjustment. The rate will be effective January 1, 2026, and the quarterly reports will be due </w:t>
      </w:r>
      <w:r>
        <w:t>forty-five (45) days after the end of each quarter</w:t>
      </w:r>
      <w:r>
        <w:rPr>
          <w:rFonts w:eastAsiaTheme="minorHAnsi"/>
        </w:rPr>
        <w:t>.</w:t>
      </w:r>
    </w:p>
    <w:p w14:paraId="38C165C8" w14:textId="77777777" w:rsidR="00FC74C8" w:rsidRDefault="00FC74C8" w:rsidP="00FC74C8">
      <w:pPr>
        <w:spacing w:after="220"/>
        <w:ind w:firstLine="720"/>
        <w:contextualSpacing/>
        <w:jc w:val="center"/>
        <w:rPr>
          <w:snapToGrid w:val="0"/>
        </w:rPr>
      </w:pPr>
    </w:p>
    <w:p w14:paraId="0AF132B1" w14:textId="77777777" w:rsidR="00FC2FAD" w:rsidRDefault="00FC2FAD" w:rsidP="00FC74C8">
      <w:pPr>
        <w:spacing w:after="220"/>
        <w:ind w:firstLine="720"/>
        <w:contextualSpacing/>
        <w:jc w:val="center"/>
        <w:rPr>
          <w:snapToGrid w:val="0"/>
        </w:rPr>
      </w:pPr>
    </w:p>
    <w:p w14:paraId="7A300EED" w14:textId="4C7A27D9" w:rsidR="00FC74C8" w:rsidRDefault="00FC74C8" w:rsidP="00972C60">
      <w:pPr>
        <w:spacing w:after="220"/>
        <w:ind w:firstLine="720"/>
        <w:contextualSpacing/>
        <w:jc w:val="center"/>
        <w:rPr>
          <w:snapToGrid w:val="0"/>
        </w:rPr>
      </w:pPr>
      <w:r>
        <w:rPr>
          <w:snapToGrid w:val="0"/>
        </w:rPr>
        <w:t>*   *   *   *   *</w:t>
      </w:r>
    </w:p>
    <w:p w14:paraId="52145A45" w14:textId="71D7FBB4" w:rsidR="00972C60" w:rsidRDefault="00445AAC" w:rsidP="00445AAC">
      <w:pPr>
        <w:spacing w:after="200" w:line="276" w:lineRule="auto"/>
        <w:rPr>
          <w:b/>
        </w:rPr>
      </w:pPr>
      <w:r>
        <w:rPr>
          <w:b/>
        </w:rPr>
        <w:br w:type="page"/>
      </w:r>
    </w:p>
    <w:p w14:paraId="7DA7C487" w14:textId="3BDF4355" w:rsidR="00FC74C8" w:rsidRDefault="00FC74C8" w:rsidP="00FC74C8">
      <w:pPr>
        <w:numPr>
          <w:ilvl w:val="0"/>
          <w:numId w:val="2"/>
        </w:numPr>
        <w:spacing w:after="200"/>
        <w:contextualSpacing/>
        <w:jc w:val="center"/>
        <w:rPr>
          <w:b/>
        </w:rPr>
      </w:pPr>
      <w:r>
        <w:rPr>
          <w:b/>
        </w:rPr>
        <w:lastRenderedPageBreak/>
        <w:t>Ordering Paragraphs</w:t>
      </w:r>
    </w:p>
    <w:p w14:paraId="282B6DC0" w14:textId="77777777" w:rsidR="00FC74C8" w:rsidRDefault="00FC74C8" w:rsidP="00FC74C8">
      <w:pPr>
        <w:widowControl w:val="0"/>
        <w:jc w:val="both"/>
        <w:rPr>
          <w:snapToGrid w:val="0"/>
          <w:szCs w:val="20"/>
        </w:rPr>
      </w:pPr>
    </w:p>
    <w:p w14:paraId="251E1839" w14:textId="7AE14810" w:rsidR="00FC74C8" w:rsidRDefault="00FC74C8" w:rsidP="00FC74C8">
      <w:pPr>
        <w:spacing w:after="220"/>
        <w:ind w:firstLine="720"/>
        <w:contextualSpacing/>
        <w:jc w:val="both"/>
      </w:pPr>
      <w:r>
        <w:rPr>
          <w:b/>
          <w:snapToGrid w:val="0"/>
        </w:rPr>
        <w:t xml:space="preserve">WHEREFORE IT IS </w:t>
      </w:r>
      <w:proofErr w:type="gramStart"/>
      <w:r>
        <w:rPr>
          <w:b/>
          <w:snapToGrid w:val="0"/>
        </w:rPr>
        <w:t>ORDERED,</w:t>
      </w:r>
      <w:proofErr w:type="gramEnd"/>
      <w:r>
        <w:rPr>
          <w:snapToGrid w:val="0"/>
        </w:rPr>
        <w:t xml:space="preserve"> that </w:t>
      </w:r>
      <w:r>
        <w:t>the Commission approves</w:t>
      </w:r>
      <w:r>
        <w:rPr>
          <w:rFonts w:eastAsiaTheme="minorHAnsi"/>
        </w:rPr>
        <w:t xml:space="preserve"> </w:t>
      </w:r>
      <w:r w:rsidRPr="00113DCA">
        <w:rPr>
          <w:rFonts w:eastAsiaTheme="minorHAnsi"/>
        </w:rPr>
        <w:t>AGL’s proposed 202</w:t>
      </w:r>
      <w:r>
        <w:rPr>
          <w:rFonts w:eastAsiaTheme="minorHAnsi"/>
        </w:rPr>
        <w:t>6</w:t>
      </w:r>
      <w:r w:rsidRPr="00113DCA">
        <w:rPr>
          <w:rFonts w:eastAsiaTheme="minorHAnsi"/>
        </w:rPr>
        <w:t xml:space="preserve"> </w:t>
      </w:r>
      <w:r>
        <w:rPr>
          <w:rFonts w:eastAsiaTheme="minorHAnsi"/>
        </w:rPr>
        <w:t>DOT</w:t>
      </w:r>
      <w:r w:rsidRPr="00113DCA">
        <w:rPr>
          <w:rFonts w:eastAsiaTheme="minorHAnsi"/>
        </w:rPr>
        <w:t xml:space="preserve"> Rider</w:t>
      </w:r>
      <w:r>
        <w:rPr>
          <w:rFonts w:eastAsiaTheme="minorHAnsi"/>
        </w:rPr>
        <w:t xml:space="preserve"> </w:t>
      </w:r>
      <w:r w:rsidR="00FC2FAD">
        <w:rPr>
          <w:rFonts w:eastAsiaTheme="minorHAnsi"/>
        </w:rPr>
        <w:t>Adjustment</w:t>
      </w:r>
      <w:r w:rsidR="005B0DDA">
        <w:rPr>
          <w:rFonts w:eastAsiaTheme="minorHAnsi"/>
        </w:rPr>
        <w:t xml:space="preserve"> with new rates effective January 1, 2026</w:t>
      </w:r>
      <w:r w:rsidR="00FC2FAD">
        <w:rPr>
          <w:rFonts w:eastAsiaTheme="minorHAnsi"/>
        </w:rPr>
        <w:t xml:space="preserve">. </w:t>
      </w:r>
    </w:p>
    <w:p w14:paraId="0E940266" w14:textId="77777777" w:rsidR="00FC74C8" w:rsidRDefault="00FC74C8" w:rsidP="00FC74C8">
      <w:pPr>
        <w:ind w:firstLine="720"/>
        <w:jc w:val="both"/>
        <w:rPr>
          <w:b/>
        </w:rPr>
      </w:pPr>
    </w:p>
    <w:p w14:paraId="5F2CC5AA" w14:textId="2887E246" w:rsidR="00FC74C8" w:rsidRDefault="00FC74C8" w:rsidP="00FC74C8">
      <w:pPr>
        <w:ind w:firstLine="720"/>
        <w:jc w:val="both"/>
      </w:pPr>
      <w:r>
        <w:rPr>
          <w:b/>
        </w:rPr>
        <w:t xml:space="preserve">ORDERED FURTHER, </w:t>
      </w:r>
      <w:r>
        <w:t>that all findings, conclusions, statements, and directives made by the Commission and contained in the foregoing sections of this Order are hereby adopted as findings of fact, conclusions of law, statements of regulatory policy, and orders of this Commission.</w:t>
      </w:r>
    </w:p>
    <w:p w14:paraId="53A7F6F4" w14:textId="77777777" w:rsidR="00FC74C8" w:rsidRDefault="00FC74C8" w:rsidP="00FC74C8">
      <w:pPr>
        <w:jc w:val="both"/>
      </w:pPr>
    </w:p>
    <w:p w14:paraId="6DB9D391" w14:textId="77777777" w:rsidR="00FC74C8" w:rsidRDefault="00FC74C8" w:rsidP="00FC74C8">
      <w:pPr>
        <w:ind w:firstLine="720"/>
        <w:jc w:val="both"/>
      </w:pPr>
      <w:r>
        <w:rPr>
          <w:b/>
        </w:rPr>
        <w:t>ORDERED FURTHER,</w:t>
      </w:r>
      <w:r>
        <w:t xml:space="preserve"> that a motion for reconsideration, rehearing, oral argument, or any other motion shall not stay the effective date of this Order, unless otherwise ordered by the Commission.</w:t>
      </w:r>
    </w:p>
    <w:p w14:paraId="0CF65538" w14:textId="77777777" w:rsidR="00FC74C8" w:rsidRDefault="00FC74C8" w:rsidP="00FC74C8">
      <w:pPr>
        <w:tabs>
          <w:tab w:val="left" w:pos="0"/>
        </w:tabs>
        <w:spacing w:after="120"/>
        <w:contextualSpacing/>
        <w:jc w:val="both"/>
        <w:rPr>
          <w:snapToGrid w:val="0"/>
          <w:sz w:val="16"/>
          <w:szCs w:val="16"/>
        </w:rPr>
      </w:pPr>
    </w:p>
    <w:p w14:paraId="612FFC6A" w14:textId="77777777" w:rsidR="00FC74C8" w:rsidRDefault="00FC74C8" w:rsidP="00FC74C8">
      <w:pPr>
        <w:widowControl w:val="0"/>
        <w:ind w:firstLine="720"/>
        <w:jc w:val="both"/>
        <w:rPr>
          <w:b/>
          <w:bCs/>
          <w:snapToGrid w:val="0"/>
        </w:rPr>
      </w:pPr>
      <w:r>
        <w:rPr>
          <w:b/>
          <w:bCs/>
          <w:snapToGrid w:val="0"/>
        </w:rPr>
        <w:t>ORDERED FURTHER</w:t>
      </w:r>
      <w:r>
        <w:rPr>
          <w:bCs/>
          <w:snapToGrid w:val="0"/>
        </w:rPr>
        <w:t>,</w:t>
      </w:r>
      <w:r>
        <w:rPr>
          <w:b/>
          <w:bCs/>
          <w:snapToGrid w:val="0"/>
        </w:rPr>
        <w:t xml:space="preserve"> </w:t>
      </w:r>
      <w:r>
        <w:rPr>
          <w:bCs/>
          <w:snapToGrid w:val="0"/>
        </w:rPr>
        <w:t xml:space="preserve">that jurisdiction over this matter is expressly retained for the purpose of entering such further Order or Orders as the Commission may deem just and proper. </w:t>
      </w:r>
    </w:p>
    <w:p w14:paraId="08F35BC2" w14:textId="77777777" w:rsidR="00FC74C8" w:rsidRDefault="00FC74C8" w:rsidP="00FC74C8">
      <w:pPr>
        <w:widowControl w:val="0"/>
        <w:jc w:val="both"/>
        <w:rPr>
          <w:b/>
          <w:bCs/>
          <w:snapToGrid w:val="0"/>
        </w:rPr>
      </w:pPr>
    </w:p>
    <w:p w14:paraId="7B13CE81" w14:textId="77777777" w:rsidR="00FC74C8" w:rsidRDefault="00FC74C8" w:rsidP="00FC74C8">
      <w:pPr>
        <w:widowControl w:val="0"/>
        <w:jc w:val="both"/>
        <w:rPr>
          <w:snapToGrid w:val="0"/>
          <w:szCs w:val="20"/>
        </w:rPr>
      </w:pPr>
    </w:p>
    <w:p w14:paraId="41E6316F" w14:textId="5829E823" w:rsidR="00FC74C8" w:rsidRDefault="00FC74C8" w:rsidP="00FC74C8">
      <w:pPr>
        <w:widowControl w:val="0"/>
        <w:ind w:firstLine="720"/>
        <w:jc w:val="both"/>
        <w:rPr>
          <w:bCs/>
          <w:snapToGrid w:val="0"/>
        </w:rPr>
      </w:pPr>
      <w:r>
        <w:rPr>
          <w:bCs/>
          <w:snapToGrid w:val="0"/>
        </w:rPr>
        <w:t>The above by action of the Commission in Administrative Session on the 16</w:t>
      </w:r>
      <w:r>
        <w:rPr>
          <w:bCs/>
          <w:snapToGrid w:val="0"/>
          <w:vertAlign w:val="superscript"/>
        </w:rPr>
        <w:t>th</w:t>
      </w:r>
      <w:r>
        <w:rPr>
          <w:bCs/>
          <w:snapToGrid w:val="0"/>
        </w:rPr>
        <w:t xml:space="preserve"> day of December 2025.</w:t>
      </w:r>
    </w:p>
    <w:p w14:paraId="370351DB" w14:textId="77777777" w:rsidR="00FC74C8" w:rsidRDefault="00FC74C8" w:rsidP="00FC74C8">
      <w:pPr>
        <w:widowControl w:val="0"/>
        <w:ind w:left="360"/>
        <w:contextualSpacing/>
        <w:jc w:val="both"/>
        <w:rPr>
          <w:snapToGrid w:val="0"/>
        </w:rPr>
      </w:pPr>
    </w:p>
    <w:p w14:paraId="156812EE" w14:textId="77777777" w:rsidR="00FC74C8" w:rsidRDefault="00FC74C8" w:rsidP="00FC74C8">
      <w:pPr>
        <w:widowControl w:val="0"/>
        <w:jc w:val="both"/>
        <w:rPr>
          <w:snapToGrid w:val="0"/>
        </w:rPr>
      </w:pPr>
    </w:p>
    <w:p w14:paraId="03DB7E98" w14:textId="77777777" w:rsidR="005B0DDA" w:rsidRDefault="005B0DDA" w:rsidP="00FC74C8">
      <w:pPr>
        <w:widowControl w:val="0"/>
        <w:jc w:val="both"/>
        <w:rPr>
          <w:snapToGrid w:val="0"/>
        </w:rPr>
      </w:pPr>
    </w:p>
    <w:p w14:paraId="375A72E3" w14:textId="77777777" w:rsidR="005B0DDA" w:rsidRDefault="005B0DDA" w:rsidP="00FC74C8">
      <w:pPr>
        <w:widowControl w:val="0"/>
        <w:jc w:val="both"/>
        <w:rPr>
          <w:snapToGrid w:val="0"/>
        </w:rPr>
      </w:pPr>
    </w:p>
    <w:p w14:paraId="54AAFC2B" w14:textId="77777777" w:rsidR="00FC74C8" w:rsidRDefault="00FC74C8" w:rsidP="00FC74C8">
      <w:pPr>
        <w:widowControl w:val="0"/>
        <w:jc w:val="both"/>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rPr>
        <w:tab/>
      </w:r>
      <w:r>
        <w:rPr>
          <w:snapToGrid w:val="0"/>
        </w:rPr>
        <w:tab/>
      </w:r>
      <w:r>
        <w:rPr>
          <w:snapToGrid w:val="0"/>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3E98D0F1" w14:textId="77777777" w:rsidR="00FC74C8" w:rsidRDefault="00FC74C8" w:rsidP="00FC74C8">
      <w:pPr>
        <w:widowControl w:val="0"/>
        <w:jc w:val="both"/>
        <w:rPr>
          <w:bCs/>
          <w:snapToGrid w:val="0"/>
        </w:rPr>
      </w:pPr>
      <w:r>
        <w:rPr>
          <w:bCs/>
          <w:snapToGrid w:val="0"/>
        </w:rPr>
        <w:t>Sallie Tanner</w:t>
      </w:r>
      <w:r>
        <w:rPr>
          <w:bCs/>
          <w:snapToGrid w:val="0"/>
        </w:rPr>
        <w:tab/>
      </w:r>
      <w:r>
        <w:rPr>
          <w:bCs/>
          <w:snapToGrid w:val="0"/>
        </w:rPr>
        <w:tab/>
      </w:r>
      <w:r>
        <w:rPr>
          <w:bCs/>
          <w:snapToGrid w:val="0"/>
        </w:rPr>
        <w:tab/>
      </w:r>
      <w:r>
        <w:rPr>
          <w:bCs/>
          <w:snapToGrid w:val="0"/>
        </w:rPr>
        <w:tab/>
      </w:r>
      <w:r>
        <w:rPr>
          <w:bCs/>
          <w:snapToGrid w:val="0"/>
        </w:rPr>
        <w:tab/>
      </w:r>
      <w:r>
        <w:rPr>
          <w:bCs/>
          <w:snapToGrid w:val="0"/>
        </w:rPr>
        <w:tab/>
      </w:r>
      <w:r>
        <w:rPr>
          <w:bCs/>
          <w:snapToGrid w:val="0"/>
        </w:rPr>
        <w:tab/>
        <w:t>Jason Shaw</w:t>
      </w:r>
    </w:p>
    <w:p w14:paraId="079486CB" w14:textId="77777777" w:rsidR="00FC74C8" w:rsidRDefault="00FC74C8" w:rsidP="00FC74C8">
      <w:pPr>
        <w:widowControl w:val="0"/>
        <w:jc w:val="both"/>
        <w:rPr>
          <w:bCs/>
          <w:snapToGrid w:val="0"/>
        </w:rPr>
      </w:pPr>
      <w:r>
        <w:rPr>
          <w:bCs/>
          <w:snapToGrid w:val="0"/>
        </w:rPr>
        <w:t>Executive Secretary</w:t>
      </w:r>
      <w:r>
        <w:rPr>
          <w:bCs/>
          <w:snapToGrid w:val="0"/>
        </w:rPr>
        <w:tab/>
      </w:r>
      <w:r>
        <w:rPr>
          <w:bCs/>
          <w:snapToGrid w:val="0"/>
        </w:rPr>
        <w:tab/>
      </w:r>
      <w:r>
        <w:rPr>
          <w:bCs/>
          <w:snapToGrid w:val="0"/>
        </w:rPr>
        <w:tab/>
      </w:r>
      <w:r>
        <w:rPr>
          <w:bCs/>
          <w:snapToGrid w:val="0"/>
        </w:rPr>
        <w:tab/>
      </w:r>
      <w:r>
        <w:rPr>
          <w:bCs/>
          <w:snapToGrid w:val="0"/>
        </w:rPr>
        <w:tab/>
      </w:r>
      <w:r>
        <w:rPr>
          <w:bCs/>
          <w:snapToGrid w:val="0"/>
        </w:rPr>
        <w:tab/>
        <w:t>Chairman</w:t>
      </w:r>
    </w:p>
    <w:p w14:paraId="6803DA08" w14:textId="77777777" w:rsidR="00FC74C8" w:rsidRDefault="00FC74C8" w:rsidP="00FC74C8">
      <w:pPr>
        <w:widowControl w:val="0"/>
        <w:ind w:left="360"/>
        <w:contextualSpacing/>
        <w:jc w:val="both"/>
        <w:rPr>
          <w:snapToGrid w:val="0"/>
          <w:szCs w:val="20"/>
        </w:rPr>
      </w:pPr>
    </w:p>
    <w:p w14:paraId="76D05F43" w14:textId="77777777" w:rsidR="00FC74C8" w:rsidRDefault="00FC74C8" w:rsidP="00FC74C8">
      <w:pPr>
        <w:widowControl w:val="0"/>
        <w:jc w:val="both"/>
        <w:rPr>
          <w:snapToGrid w:val="0"/>
          <w:u w:val="single"/>
        </w:rPr>
      </w:pPr>
    </w:p>
    <w:p w14:paraId="32E37EEF" w14:textId="77777777" w:rsidR="00FC74C8" w:rsidRDefault="00FC74C8" w:rsidP="00FC74C8">
      <w:pPr>
        <w:widowControl w:val="0"/>
        <w:jc w:val="both"/>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rPr>
        <w:tab/>
      </w:r>
      <w:r>
        <w:rPr>
          <w:snapToGrid w:val="0"/>
        </w:rPr>
        <w:tab/>
      </w:r>
      <w:r>
        <w:rPr>
          <w:snapToGrid w:val="0"/>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5C895863" w14:textId="77777777" w:rsidR="00FC74C8" w:rsidRDefault="00FC74C8" w:rsidP="00FC74C8">
      <w:pPr>
        <w:widowControl w:val="0"/>
        <w:jc w:val="both"/>
        <w:rPr>
          <w:snapToGrid w:val="0"/>
          <w:szCs w:val="20"/>
        </w:rPr>
      </w:pPr>
      <w:r>
        <w:rPr>
          <w:bCs/>
          <w:snapToGrid w:val="0"/>
          <w:szCs w:val="20"/>
        </w:rPr>
        <w:t>Date</w:t>
      </w:r>
      <w:r>
        <w:rPr>
          <w:snapToGrid w:val="0"/>
          <w:szCs w:val="20"/>
        </w:rPr>
        <w:tab/>
      </w:r>
      <w:r>
        <w:rPr>
          <w:snapToGrid w:val="0"/>
          <w:szCs w:val="20"/>
        </w:rPr>
        <w:tab/>
      </w:r>
      <w:r>
        <w:rPr>
          <w:snapToGrid w:val="0"/>
          <w:szCs w:val="20"/>
        </w:rPr>
        <w:tab/>
      </w:r>
      <w:r>
        <w:rPr>
          <w:snapToGrid w:val="0"/>
          <w:szCs w:val="20"/>
        </w:rPr>
        <w:tab/>
      </w:r>
      <w:r>
        <w:rPr>
          <w:snapToGrid w:val="0"/>
          <w:szCs w:val="20"/>
        </w:rPr>
        <w:tab/>
      </w:r>
      <w:r>
        <w:rPr>
          <w:snapToGrid w:val="0"/>
          <w:szCs w:val="20"/>
        </w:rPr>
        <w:tab/>
      </w:r>
      <w:r>
        <w:rPr>
          <w:snapToGrid w:val="0"/>
          <w:szCs w:val="20"/>
        </w:rPr>
        <w:tab/>
      </w:r>
      <w:r>
        <w:rPr>
          <w:snapToGrid w:val="0"/>
          <w:szCs w:val="20"/>
        </w:rPr>
        <w:tab/>
      </w:r>
      <w:r>
        <w:rPr>
          <w:bCs/>
          <w:snapToGrid w:val="0"/>
          <w:szCs w:val="20"/>
        </w:rPr>
        <w:t>Date</w:t>
      </w:r>
    </w:p>
    <w:p w14:paraId="284E97A7" w14:textId="77777777" w:rsidR="00FC74C8" w:rsidRPr="00877136" w:rsidRDefault="00FC74C8" w:rsidP="00DB7494">
      <w:pPr>
        <w:jc w:val="both"/>
        <w:rPr>
          <w:rFonts w:ascii="Century Gothic" w:hAnsi="Century Gothic" w:cs="Arial"/>
        </w:rPr>
      </w:pPr>
    </w:p>
    <w:sectPr w:rsidR="00FC74C8" w:rsidRPr="0087713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AB0C" w14:textId="77777777" w:rsidR="00AD7E32" w:rsidRDefault="00AD7E32" w:rsidP="009545FB">
      <w:r>
        <w:separator/>
      </w:r>
    </w:p>
  </w:endnote>
  <w:endnote w:type="continuationSeparator" w:id="0">
    <w:p w14:paraId="1B8D7D5F" w14:textId="77777777" w:rsidR="00AD7E32" w:rsidRDefault="00AD7E32" w:rsidP="0095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257B" w14:textId="77777777" w:rsidR="00445AAC" w:rsidRDefault="00445AAC" w:rsidP="00972C60">
    <w:pPr>
      <w:pStyle w:val="Footer"/>
      <w:jc w:val="center"/>
      <w:rPr>
        <w:color w:val="000000" w:themeColor="text1"/>
        <w:sz w:val="20"/>
        <w:szCs w:val="20"/>
      </w:rPr>
    </w:pPr>
  </w:p>
  <w:p w14:paraId="147FED9A" w14:textId="378D2397" w:rsidR="009545FB" w:rsidRPr="00972C60" w:rsidRDefault="009545FB" w:rsidP="00972C60">
    <w:pPr>
      <w:pStyle w:val="Footer"/>
      <w:jc w:val="center"/>
      <w:rPr>
        <w:color w:val="000000" w:themeColor="text1"/>
        <w:sz w:val="20"/>
        <w:szCs w:val="20"/>
      </w:rPr>
    </w:pPr>
    <w:r w:rsidRPr="00972C60">
      <w:rPr>
        <w:color w:val="000000" w:themeColor="text1"/>
        <w:sz w:val="20"/>
        <w:szCs w:val="20"/>
      </w:rPr>
      <w:t xml:space="preserve">DN 43820: </w:t>
    </w:r>
    <w:r w:rsidR="005B0DDA" w:rsidRPr="00972C60">
      <w:rPr>
        <w:color w:val="000000" w:themeColor="text1"/>
        <w:sz w:val="20"/>
        <w:szCs w:val="20"/>
      </w:rPr>
      <w:t xml:space="preserve">Final </w:t>
    </w:r>
    <w:r w:rsidRPr="00972C60">
      <w:rPr>
        <w:color w:val="000000" w:themeColor="text1"/>
        <w:sz w:val="20"/>
        <w:szCs w:val="20"/>
      </w:rPr>
      <w:t>Order Approving AGL’s 2026 DOT Rider</w:t>
    </w:r>
  </w:p>
  <w:p w14:paraId="361F3853" w14:textId="701B8A2A" w:rsidR="009545FB" w:rsidRPr="00972C60" w:rsidRDefault="009545FB">
    <w:pPr>
      <w:pStyle w:val="Footer"/>
      <w:jc w:val="center"/>
      <w:rPr>
        <w:color w:val="000000" w:themeColor="text1"/>
        <w:sz w:val="20"/>
        <w:szCs w:val="20"/>
      </w:rPr>
    </w:pPr>
    <w:r w:rsidRPr="00972C60">
      <w:rPr>
        <w:color w:val="000000" w:themeColor="text1"/>
        <w:sz w:val="20"/>
        <w:szCs w:val="20"/>
      </w:rPr>
      <w:t xml:space="preserve">Page </w:t>
    </w:r>
    <w:r w:rsidRPr="00972C60">
      <w:rPr>
        <w:color w:val="000000" w:themeColor="text1"/>
        <w:sz w:val="20"/>
        <w:szCs w:val="20"/>
      </w:rPr>
      <w:fldChar w:fldCharType="begin"/>
    </w:r>
    <w:r w:rsidRPr="00972C60">
      <w:rPr>
        <w:color w:val="000000" w:themeColor="text1"/>
        <w:sz w:val="20"/>
        <w:szCs w:val="20"/>
      </w:rPr>
      <w:instrText xml:space="preserve"> PAGE  \* Arabic  \* MERGEFORMAT </w:instrText>
    </w:r>
    <w:r w:rsidRPr="00972C60">
      <w:rPr>
        <w:color w:val="000000" w:themeColor="text1"/>
        <w:sz w:val="20"/>
        <w:szCs w:val="20"/>
      </w:rPr>
      <w:fldChar w:fldCharType="separate"/>
    </w:r>
    <w:r w:rsidRPr="00972C60">
      <w:rPr>
        <w:noProof/>
        <w:color w:val="000000" w:themeColor="text1"/>
        <w:sz w:val="20"/>
        <w:szCs w:val="20"/>
      </w:rPr>
      <w:t>2</w:t>
    </w:r>
    <w:r w:rsidRPr="00972C60">
      <w:rPr>
        <w:color w:val="000000" w:themeColor="text1"/>
        <w:sz w:val="20"/>
        <w:szCs w:val="20"/>
      </w:rPr>
      <w:fldChar w:fldCharType="end"/>
    </w:r>
    <w:r w:rsidRPr="00972C60">
      <w:rPr>
        <w:color w:val="000000" w:themeColor="text1"/>
        <w:sz w:val="20"/>
        <w:szCs w:val="20"/>
      </w:rPr>
      <w:t xml:space="preserve"> of </w:t>
    </w:r>
    <w:r w:rsidRPr="00972C60">
      <w:rPr>
        <w:color w:val="000000" w:themeColor="text1"/>
        <w:sz w:val="20"/>
        <w:szCs w:val="20"/>
      </w:rPr>
      <w:fldChar w:fldCharType="begin"/>
    </w:r>
    <w:r w:rsidRPr="00972C60">
      <w:rPr>
        <w:color w:val="000000" w:themeColor="text1"/>
        <w:sz w:val="20"/>
        <w:szCs w:val="20"/>
      </w:rPr>
      <w:instrText xml:space="preserve"> NUMPAGES  \* Arabic  \* MERGEFORMAT </w:instrText>
    </w:r>
    <w:r w:rsidRPr="00972C60">
      <w:rPr>
        <w:color w:val="000000" w:themeColor="text1"/>
        <w:sz w:val="20"/>
        <w:szCs w:val="20"/>
      </w:rPr>
      <w:fldChar w:fldCharType="separate"/>
    </w:r>
    <w:r w:rsidRPr="00972C60">
      <w:rPr>
        <w:noProof/>
        <w:color w:val="000000" w:themeColor="text1"/>
        <w:sz w:val="20"/>
        <w:szCs w:val="20"/>
      </w:rPr>
      <w:t>2</w:t>
    </w:r>
    <w:r w:rsidRPr="00972C60">
      <w:rPr>
        <w:color w:val="000000" w:themeColor="text1"/>
        <w:sz w:val="20"/>
        <w:szCs w:val="20"/>
      </w:rPr>
      <w:fldChar w:fldCharType="end"/>
    </w:r>
  </w:p>
  <w:p w14:paraId="3CE97CA6" w14:textId="77777777" w:rsidR="009545FB" w:rsidRDefault="00954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06ED" w14:textId="77777777" w:rsidR="00AD7E32" w:rsidRDefault="00AD7E32" w:rsidP="009545FB">
      <w:r>
        <w:separator/>
      </w:r>
    </w:p>
  </w:footnote>
  <w:footnote w:type="continuationSeparator" w:id="0">
    <w:p w14:paraId="296A787D" w14:textId="77777777" w:rsidR="00AD7E32" w:rsidRDefault="00AD7E32" w:rsidP="00954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0103B"/>
    <w:multiLevelType w:val="hybridMultilevel"/>
    <w:tmpl w:val="8C16C42C"/>
    <w:lvl w:ilvl="0" w:tplc="2E168A84">
      <w:start w:val="1"/>
      <w:numFmt w:val="lowerLetter"/>
      <w:lvlText w:val="%1."/>
      <w:lvlJc w:val="left"/>
      <w:pPr>
        <w:ind w:left="1080" w:hanging="360"/>
      </w:pPr>
      <w:rPr>
        <w:rFonts w:hint="default"/>
        <w:b w:val="0"/>
        <w:bCs/>
        <w:sz w:val="24"/>
      </w:rPr>
    </w:lvl>
    <w:lvl w:ilvl="1" w:tplc="69CC342C">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1D1AD3"/>
    <w:multiLevelType w:val="hybridMultilevel"/>
    <w:tmpl w:val="C2FCFAC0"/>
    <w:lvl w:ilvl="0" w:tplc="4AD09D04">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436566"/>
    <w:multiLevelType w:val="hybridMultilevel"/>
    <w:tmpl w:val="969454A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80553F"/>
    <w:multiLevelType w:val="hybridMultilevel"/>
    <w:tmpl w:val="C3E6F18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377376">
    <w:abstractNumId w:val="2"/>
  </w:num>
  <w:num w:numId="2" w16cid:durableId="115217310">
    <w:abstractNumId w:val="1"/>
  </w:num>
  <w:num w:numId="3" w16cid:durableId="1119300676">
    <w:abstractNumId w:val="0"/>
  </w:num>
  <w:num w:numId="4" w16cid:durableId="1790275854">
    <w:abstractNumId w:val="3"/>
  </w:num>
  <w:num w:numId="5" w16cid:durableId="139659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5442F"/>
    <w:rsid w:val="00057048"/>
    <w:rsid w:val="0006325A"/>
    <w:rsid w:val="00065FFA"/>
    <w:rsid w:val="000C4C48"/>
    <w:rsid w:val="000D1E6B"/>
    <w:rsid w:val="000F7F45"/>
    <w:rsid w:val="0010753E"/>
    <w:rsid w:val="001078BC"/>
    <w:rsid w:val="0011770D"/>
    <w:rsid w:val="00144EBB"/>
    <w:rsid w:val="001704C0"/>
    <w:rsid w:val="001C4F42"/>
    <w:rsid w:val="001D0747"/>
    <w:rsid w:val="001F00F3"/>
    <w:rsid w:val="00237B30"/>
    <w:rsid w:val="00255DDD"/>
    <w:rsid w:val="00291C03"/>
    <w:rsid w:val="002A3D95"/>
    <w:rsid w:val="002A61FE"/>
    <w:rsid w:val="002B5184"/>
    <w:rsid w:val="002C6DD1"/>
    <w:rsid w:val="00314C07"/>
    <w:rsid w:val="00317E55"/>
    <w:rsid w:val="003638B3"/>
    <w:rsid w:val="003A0D04"/>
    <w:rsid w:val="003B1182"/>
    <w:rsid w:val="003D01D9"/>
    <w:rsid w:val="003F2763"/>
    <w:rsid w:val="00415EA3"/>
    <w:rsid w:val="00445AAC"/>
    <w:rsid w:val="00453129"/>
    <w:rsid w:val="00461099"/>
    <w:rsid w:val="00467B71"/>
    <w:rsid w:val="00476AA2"/>
    <w:rsid w:val="0048564B"/>
    <w:rsid w:val="00494A05"/>
    <w:rsid w:val="004C622C"/>
    <w:rsid w:val="004D75CE"/>
    <w:rsid w:val="004D7BC6"/>
    <w:rsid w:val="00501DB6"/>
    <w:rsid w:val="005149A4"/>
    <w:rsid w:val="00521687"/>
    <w:rsid w:val="00521FEE"/>
    <w:rsid w:val="005529E4"/>
    <w:rsid w:val="005B0DDA"/>
    <w:rsid w:val="005F0153"/>
    <w:rsid w:val="005F2927"/>
    <w:rsid w:val="005F7054"/>
    <w:rsid w:val="00611A1D"/>
    <w:rsid w:val="006465C2"/>
    <w:rsid w:val="00670AF6"/>
    <w:rsid w:val="00673564"/>
    <w:rsid w:val="006862E4"/>
    <w:rsid w:val="006952CD"/>
    <w:rsid w:val="006A4919"/>
    <w:rsid w:val="006A5FC2"/>
    <w:rsid w:val="006B0F8C"/>
    <w:rsid w:val="006D6992"/>
    <w:rsid w:val="006E65D8"/>
    <w:rsid w:val="006F2A6C"/>
    <w:rsid w:val="00706F5F"/>
    <w:rsid w:val="007353CF"/>
    <w:rsid w:val="0074491D"/>
    <w:rsid w:val="00756CE7"/>
    <w:rsid w:val="00761035"/>
    <w:rsid w:val="007C40EE"/>
    <w:rsid w:val="007D1A4F"/>
    <w:rsid w:val="007E17BD"/>
    <w:rsid w:val="00810B63"/>
    <w:rsid w:val="00851625"/>
    <w:rsid w:val="00886BED"/>
    <w:rsid w:val="0089604C"/>
    <w:rsid w:val="00897E9B"/>
    <w:rsid w:val="008F38EF"/>
    <w:rsid w:val="00927CFB"/>
    <w:rsid w:val="00945A5F"/>
    <w:rsid w:val="009545FB"/>
    <w:rsid w:val="009572C5"/>
    <w:rsid w:val="00972C60"/>
    <w:rsid w:val="00985115"/>
    <w:rsid w:val="00994AB6"/>
    <w:rsid w:val="009A4D99"/>
    <w:rsid w:val="009A5086"/>
    <w:rsid w:val="009A6D98"/>
    <w:rsid w:val="009B254C"/>
    <w:rsid w:val="009B6DF0"/>
    <w:rsid w:val="009E6D0D"/>
    <w:rsid w:val="00A958CB"/>
    <w:rsid w:val="00AD7E32"/>
    <w:rsid w:val="00AF7496"/>
    <w:rsid w:val="00B11BEB"/>
    <w:rsid w:val="00B527C2"/>
    <w:rsid w:val="00B61290"/>
    <w:rsid w:val="00BA2184"/>
    <w:rsid w:val="00BA2A06"/>
    <w:rsid w:val="00BB05E4"/>
    <w:rsid w:val="00BC27C0"/>
    <w:rsid w:val="00BD2F2B"/>
    <w:rsid w:val="00BE68B2"/>
    <w:rsid w:val="00C36999"/>
    <w:rsid w:val="00C72BCF"/>
    <w:rsid w:val="00C85B65"/>
    <w:rsid w:val="00D03984"/>
    <w:rsid w:val="00D2462A"/>
    <w:rsid w:val="00D366CE"/>
    <w:rsid w:val="00D92997"/>
    <w:rsid w:val="00DB661B"/>
    <w:rsid w:val="00DB7494"/>
    <w:rsid w:val="00DC7E18"/>
    <w:rsid w:val="00DE40A2"/>
    <w:rsid w:val="00DF3BF5"/>
    <w:rsid w:val="00E01ABE"/>
    <w:rsid w:val="00E112AD"/>
    <w:rsid w:val="00E36319"/>
    <w:rsid w:val="00E87C44"/>
    <w:rsid w:val="00E92FA4"/>
    <w:rsid w:val="00F721DF"/>
    <w:rsid w:val="00F766FD"/>
    <w:rsid w:val="00FC2FAD"/>
    <w:rsid w:val="00FC74C8"/>
    <w:rsid w:val="00FC7B22"/>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ListParagraph">
    <w:name w:val="List Paragraph"/>
    <w:basedOn w:val="Normal"/>
    <w:uiPriority w:val="34"/>
    <w:qFormat/>
    <w:rsid w:val="00FC74C8"/>
    <w:pPr>
      <w:ind w:left="720"/>
      <w:contextualSpacing/>
    </w:pPr>
    <w:rPr>
      <w:sz w:val="20"/>
      <w:szCs w:val="20"/>
    </w:rPr>
  </w:style>
  <w:style w:type="paragraph" w:customStyle="1" w:styleId="Default">
    <w:name w:val="Default"/>
    <w:rsid w:val="00FC74C8"/>
    <w:pPr>
      <w:autoSpaceDE w:val="0"/>
      <w:autoSpaceDN w:val="0"/>
      <w:adjustRightInd w:val="0"/>
      <w:spacing w:after="0" w:line="240" w:lineRule="auto"/>
    </w:pPr>
    <w:rPr>
      <w:rFonts w:ascii="Arial" w:hAnsi="Arial" w:cs="Arial"/>
      <w:color w:val="000000"/>
      <w:sz w:val="24"/>
      <w:szCs w:val="24"/>
      <w14:ligatures w14:val="standardContextual"/>
    </w:rPr>
  </w:style>
  <w:style w:type="paragraph" w:styleId="Header">
    <w:name w:val="header"/>
    <w:basedOn w:val="Normal"/>
    <w:link w:val="HeaderChar"/>
    <w:uiPriority w:val="99"/>
    <w:unhideWhenUsed/>
    <w:rsid w:val="009545FB"/>
    <w:pPr>
      <w:tabs>
        <w:tab w:val="center" w:pos="4680"/>
        <w:tab w:val="right" w:pos="9360"/>
      </w:tabs>
    </w:pPr>
  </w:style>
  <w:style w:type="character" w:customStyle="1" w:styleId="HeaderChar">
    <w:name w:val="Header Char"/>
    <w:basedOn w:val="DefaultParagraphFont"/>
    <w:link w:val="Header"/>
    <w:uiPriority w:val="99"/>
    <w:rsid w:val="009545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45FB"/>
    <w:pPr>
      <w:tabs>
        <w:tab w:val="center" w:pos="4680"/>
        <w:tab w:val="right" w:pos="9360"/>
      </w:tabs>
    </w:pPr>
  </w:style>
  <w:style w:type="character" w:customStyle="1" w:styleId="FooterChar">
    <w:name w:val="Footer Char"/>
    <w:basedOn w:val="DefaultParagraphFont"/>
    <w:link w:val="Footer"/>
    <w:uiPriority w:val="99"/>
    <w:rsid w:val="009545FB"/>
    <w:rPr>
      <w:rFonts w:ascii="Times New Roman" w:eastAsia="Times New Roman" w:hAnsi="Times New Roman" w:cs="Times New Roman"/>
      <w:sz w:val="24"/>
      <w:szCs w:val="24"/>
    </w:rPr>
  </w:style>
  <w:style w:type="paragraph" w:styleId="Revision">
    <w:name w:val="Revision"/>
    <w:hidden/>
    <w:uiPriority w:val="99"/>
    <w:semiHidden/>
    <w:rsid w:val="00985115"/>
    <w:pPr>
      <w:spacing w:after="0" w:line="240" w:lineRule="auto"/>
    </w:pPr>
    <w:rPr>
      <w:rFonts w:ascii="Times New Roman" w:eastAsia="Times New Roman" w:hAnsi="Times New Roman" w:cs="Times New Roman"/>
      <w:sz w:val="24"/>
      <w:szCs w:val="24"/>
    </w:rPr>
  </w:style>
  <w:style w:type="paragraph" w:customStyle="1" w:styleId="DefinitionTerm">
    <w:name w:val="Definition Term"/>
    <w:basedOn w:val="Normal"/>
    <w:next w:val="DefinitionList"/>
    <w:rsid w:val="00985115"/>
    <w:pPr>
      <w:widowControl w:val="0"/>
    </w:pPr>
    <w:rPr>
      <w:snapToGrid w:val="0"/>
      <w:szCs w:val="20"/>
    </w:rPr>
  </w:style>
  <w:style w:type="paragraph" w:customStyle="1" w:styleId="DefinitionList">
    <w:name w:val="Definition List"/>
    <w:basedOn w:val="Normal"/>
    <w:next w:val="DefinitionTerm"/>
    <w:rsid w:val="00985115"/>
    <w:pPr>
      <w:widowControl w:val="0"/>
      <w:ind w:left="360"/>
    </w:pPr>
    <w:rPr>
      <w:snapToGrid w:val="0"/>
      <w:szCs w:val="20"/>
    </w:rPr>
  </w:style>
  <w:style w:type="paragraph" w:styleId="BlockText">
    <w:name w:val="Block Text"/>
    <w:basedOn w:val="Normal"/>
    <w:semiHidden/>
    <w:unhideWhenUsed/>
    <w:qFormat/>
    <w:rsid w:val="00985115"/>
    <w:pPr>
      <w:spacing w:after="240"/>
    </w:pPr>
    <w:rPr>
      <w:rFonts w:eastAsiaTheme="minorEastAsia" w:cstheme="minorBid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42622">
      <w:bodyDiv w:val="1"/>
      <w:marLeft w:val="0"/>
      <w:marRight w:val="0"/>
      <w:marTop w:val="0"/>
      <w:marBottom w:val="0"/>
      <w:divBdr>
        <w:top w:val="none" w:sz="0" w:space="0" w:color="auto"/>
        <w:left w:val="none" w:sz="0" w:space="0" w:color="auto"/>
        <w:bottom w:val="none" w:sz="0" w:space="0" w:color="auto"/>
        <w:right w:val="none" w:sz="0" w:space="0" w:color="auto"/>
      </w:divBdr>
    </w:div>
    <w:div w:id="115121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Nijah James</cp:lastModifiedBy>
  <cp:revision>2</cp:revision>
  <cp:lastPrinted>2024-01-17T15:07:00Z</cp:lastPrinted>
  <dcterms:created xsi:type="dcterms:W3CDTF">2025-12-16T15:57:00Z</dcterms:created>
  <dcterms:modified xsi:type="dcterms:W3CDTF">2025-12-16T15:57:00Z</dcterms:modified>
</cp:coreProperties>
</file>