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8EEA" w14:textId="77777777" w:rsidR="002F44FA" w:rsidRPr="00D011C1" w:rsidRDefault="002F44FA" w:rsidP="002F44FA">
      <w:pPr>
        <w:jc w:val="center"/>
        <w:rPr>
          <w:b/>
          <w:sz w:val="24"/>
          <w:szCs w:val="24"/>
        </w:rPr>
      </w:pPr>
      <w:r w:rsidRPr="00D011C1">
        <w:rPr>
          <w:b/>
          <w:sz w:val="24"/>
          <w:szCs w:val="24"/>
        </w:rPr>
        <w:t xml:space="preserve">BEFORE THE </w:t>
      </w:r>
    </w:p>
    <w:p w14:paraId="592CF160" w14:textId="77777777" w:rsidR="002F44FA" w:rsidRDefault="002F44FA" w:rsidP="002F44FA">
      <w:pPr>
        <w:tabs>
          <w:tab w:val="center" w:pos="4680"/>
          <w:tab w:val="left" w:pos="7832"/>
        </w:tabs>
        <w:rPr>
          <w:b/>
          <w:sz w:val="24"/>
          <w:szCs w:val="24"/>
        </w:rPr>
      </w:pPr>
      <w:r>
        <w:rPr>
          <w:b/>
          <w:sz w:val="24"/>
          <w:szCs w:val="24"/>
        </w:rPr>
        <w:tab/>
      </w:r>
      <w:r w:rsidRPr="00D011C1">
        <w:rPr>
          <w:b/>
          <w:sz w:val="24"/>
          <w:szCs w:val="24"/>
        </w:rPr>
        <w:t>GEORGIA PUBLIC SERVICE COMMISSION</w:t>
      </w:r>
    </w:p>
    <w:p w14:paraId="422373E7" w14:textId="77777777" w:rsidR="002F44FA" w:rsidRDefault="002F44FA" w:rsidP="002F44FA">
      <w:pPr>
        <w:tabs>
          <w:tab w:val="center" w:pos="4680"/>
          <w:tab w:val="left" w:pos="7832"/>
        </w:tabs>
        <w:rPr>
          <w:b/>
          <w:sz w:val="24"/>
          <w:szCs w:val="24"/>
        </w:rPr>
      </w:pPr>
    </w:p>
    <w:p w14:paraId="493798AC" w14:textId="391DAA85" w:rsidR="002F44FA" w:rsidRPr="00D011C1" w:rsidRDefault="002F44FA" w:rsidP="002F44FA">
      <w:pPr>
        <w:tabs>
          <w:tab w:val="center" w:pos="4680"/>
          <w:tab w:val="left" w:pos="7832"/>
        </w:tabs>
        <w:rPr>
          <w:b/>
          <w:sz w:val="24"/>
          <w:szCs w:val="24"/>
        </w:rPr>
      </w:pPr>
      <w:r>
        <w:rPr>
          <w:b/>
          <w:sz w:val="24"/>
          <w:szCs w:val="24"/>
        </w:rPr>
        <w:tab/>
      </w:r>
    </w:p>
    <w:p w14:paraId="74E8ED73" w14:textId="77777777" w:rsidR="002F44FA" w:rsidRPr="00D011C1" w:rsidRDefault="002F44FA" w:rsidP="002F44FA">
      <w:pPr>
        <w:spacing w:line="360" w:lineRule="auto"/>
        <w:rPr>
          <w:b/>
          <w:sz w:val="24"/>
          <w:szCs w:val="24"/>
        </w:rPr>
      </w:pPr>
      <w:r w:rsidRPr="00D011C1">
        <w:rPr>
          <w:b/>
          <w:sz w:val="24"/>
          <w:szCs w:val="24"/>
        </w:rPr>
        <w:t>In Re:</w:t>
      </w:r>
    </w:p>
    <w:p w14:paraId="26EA555B" w14:textId="5BE0278F" w:rsidR="002F44FA" w:rsidRPr="00D011C1" w:rsidRDefault="000A6F84" w:rsidP="002F44FA">
      <w:pPr>
        <w:rPr>
          <w:b/>
          <w:caps/>
          <w:sz w:val="24"/>
          <w:szCs w:val="24"/>
        </w:rPr>
      </w:pPr>
      <w:r>
        <w:rPr>
          <w:b/>
          <w:caps/>
          <w:sz w:val="24"/>
          <w:szCs w:val="24"/>
        </w:rPr>
        <w:t>GEORGIA POWER COMPANY’S</w:t>
      </w:r>
      <w:r w:rsidR="002F44FA" w:rsidRPr="00D011C1">
        <w:rPr>
          <w:b/>
          <w:caps/>
          <w:sz w:val="24"/>
          <w:szCs w:val="24"/>
        </w:rPr>
        <w:tab/>
      </w:r>
      <w:r w:rsidR="002F44FA">
        <w:rPr>
          <w:b/>
          <w:caps/>
          <w:sz w:val="24"/>
          <w:szCs w:val="24"/>
        </w:rPr>
        <w:tab/>
      </w:r>
      <w:r>
        <w:rPr>
          <w:b/>
          <w:caps/>
          <w:sz w:val="24"/>
          <w:szCs w:val="24"/>
        </w:rPr>
        <w:tab/>
      </w:r>
      <w:r w:rsidR="002F44FA" w:rsidRPr="00D011C1">
        <w:rPr>
          <w:b/>
          <w:caps/>
          <w:sz w:val="24"/>
          <w:szCs w:val="24"/>
        </w:rPr>
        <w:t>)</w:t>
      </w:r>
      <w:r w:rsidR="002F44FA" w:rsidRPr="00D011C1">
        <w:rPr>
          <w:b/>
          <w:caps/>
          <w:sz w:val="24"/>
          <w:szCs w:val="24"/>
        </w:rPr>
        <w:tab/>
        <w:t xml:space="preserve">Docket No. </w:t>
      </w:r>
      <w:r w:rsidR="002F44FA">
        <w:rPr>
          <w:b/>
          <w:caps/>
          <w:sz w:val="24"/>
          <w:szCs w:val="24"/>
        </w:rPr>
        <w:t>56</w:t>
      </w:r>
      <w:r>
        <w:rPr>
          <w:b/>
          <w:caps/>
          <w:sz w:val="24"/>
          <w:szCs w:val="24"/>
        </w:rPr>
        <w:t>298</w:t>
      </w:r>
    </w:p>
    <w:p w14:paraId="06D95236" w14:textId="40DF1C45" w:rsidR="002F44FA" w:rsidRDefault="000A6F84" w:rsidP="002F44FA">
      <w:pPr>
        <w:rPr>
          <w:b/>
          <w:sz w:val="24"/>
          <w:szCs w:val="24"/>
        </w:rPr>
      </w:pPr>
      <w:r>
        <w:rPr>
          <w:b/>
          <w:sz w:val="24"/>
          <w:szCs w:val="24"/>
        </w:rPr>
        <w:t>APPLICATION FOR THE CERTIFICATION</w:t>
      </w:r>
      <w:r w:rsidR="002F44FA" w:rsidRPr="00D011C1">
        <w:rPr>
          <w:b/>
          <w:sz w:val="24"/>
          <w:szCs w:val="24"/>
        </w:rPr>
        <w:tab/>
      </w:r>
      <w:r>
        <w:rPr>
          <w:b/>
          <w:sz w:val="24"/>
          <w:szCs w:val="24"/>
        </w:rPr>
        <w:tab/>
      </w:r>
      <w:r w:rsidR="002F44FA" w:rsidRPr="00D011C1">
        <w:rPr>
          <w:b/>
          <w:sz w:val="24"/>
          <w:szCs w:val="24"/>
        </w:rPr>
        <w:t>)</w:t>
      </w:r>
    </w:p>
    <w:p w14:paraId="2590EA70" w14:textId="2D4811C9" w:rsidR="000A6F84" w:rsidRDefault="000A6F84" w:rsidP="002F44FA">
      <w:pPr>
        <w:rPr>
          <w:b/>
          <w:sz w:val="24"/>
          <w:szCs w:val="24"/>
        </w:rPr>
      </w:pPr>
      <w:r>
        <w:rPr>
          <w:b/>
          <w:sz w:val="24"/>
          <w:szCs w:val="24"/>
        </w:rPr>
        <w:t>OF CAPACITY FROM THE 2029-2031</w:t>
      </w:r>
      <w:r>
        <w:rPr>
          <w:b/>
          <w:sz w:val="24"/>
          <w:szCs w:val="24"/>
        </w:rPr>
        <w:tab/>
      </w:r>
      <w:r>
        <w:rPr>
          <w:b/>
          <w:sz w:val="24"/>
          <w:szCs w:val="24"/>
        </w:rPr>
        <w:tab/>
      </w:r>
      <w:r>
        <w:rPr>
          <w:b/>
          <w:sz w:val="24"/>
          <w:szCs w:val="24"/>
        </w:rPr>
        <w:tab/>
        <w:t>)</w:t>
      </w:r>
    </w:p>
    <w:p w14:paraId="07651365" w14:textId="1ADBD47D" w:rsidR="000A6F84" w:rsidRPr="00D011C1" w:rsidRDefault="000A6F84" w:rsidP="002F44FA">
      <w:pPr>
        <w:rPr>
          <w:b/>
          <w:sz w:val="24"/>
          <w:szCs w:val="24"/>
        </w:rPr>
      </w:pPr>
      <w:r>
        <w:rPr>
          <w:b/>
          <w:sz w:val="24"/>
          <w:szCs w:val="24"/>
        </w:rPr>
        <w:t>ALL-SOURCE RFP</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p>
    <w:p w14:paraId="5A33A666" w14:textId="77777777" w:rsidR="002F44FA" w:rsidRPr="00D011C1" w:rsidRDefault="002F44FA" w:rsidP="002F44FA">
      <w:pPr>
        <w:jc w:val="center"/>
        <w:rPr>
          <w:b/>
          <w:sz w:val="24"/>
          <w:szCs w:val="24"/>
        </w:rPr>
      </w:pPr>
    </w:p>
    <w:p w14:paraId="0A838D85" w14:textId="36F2B8F7" w:rsidR="002F44FA" w:rsidRPr="00D011C1" w:rsidRDefault="002F44FA" w:rsidP="002F44FA">
      <w:pPr>
        <w:rPr>
          <w:b/>
          <w:caps/>
          <w:sz w:val="24"/>
          <w:szCs w:val="24"/>
        </w:rPr>
      </w:pPr>
      <w:r w:rsidRPr="00D011C1">
        <w:rPr>
          <w:b/>
          <w:caps/>
          <w:sz w:val="24"/>
          <w:szCs w:val="24"/>
        </w:rPr>
        <w:t>Georgia Power Company’s</w:t>
      </w:r>
      <w:r w:rsidRPr="00D011C1">
        <w:rPr>
          <w:b/>
          <w:caps/>
          <w:sz w:val="24"/>
          <w:szCs w:val="24"/>
        </w:rPr>
        <w:tab/>
      </w:r>
      <w:r>
        <w:rPr>
          <w:b/>
          <w:caps/>
          <w:sz w:val="24"/>
          <w:szCs w:val="24"/>
        </w:rPr>
        <w:tab/>
      </w:r>
      <w:r w:rsidR="000A6F84">
        <w:rPr>
          <w:b/>
          <w:caps/>
          <w:sz w:val="24"/>
          <w:szCs w:val="24"/>
        </w:rPr>
        <w:tab/>
      </w:r>
      <w:r w:rsidRPr="00D011C1">
        <w:rPr>
          <w:b/>
          <w:caps/>
          <w:sz w:val="24"/>
          <w:szCs w:val="24"/>
        </w:rPr>
        <w:t>)</w:t>
      </w:r>
      <w:r w:rsidRPr="00D011C1">
        <w:rPr>
          <w:b/>
          <w:caps/>
          <w:sz w:val="24"/>
          <w:szCs w:val="24"/>
        </w:rPr>
        <w:tab/>
        <w:t xml:space="preserve">Docket No. </w:t>
      </w:r>
      <w:r>
        <w:rPr>
          <w:b/>
          <w:caps/>
          <w:sz w:val="24"/>
          <w:szCs w:val="24"/>
        </w:rPr>
        <w:t>56</w:t>
      </w:r>
      <w:r w:rsidR="000A6F84">
        <w:rPr>
          <w:b/>
          <w:caps/>
          <w:sz w:val="24"/>
          <w:szCs w:val="24"/>
        </w:rPr>
        <w:t>310</w:t>
      </w:r>
    </w:p>
    <w:p w14:paraId="73D8E175" w14:textId="62214E6C" w:rsidR="002F44FA" w:rsidRDefault="002F44FA" w:rsidP="002F44FA">
      <w:pPr>
        <w:rPr>
          <w:b/>
          <w:caps/>
          <w:sz w:val="24"/>
          <w:szCs w:val="24"/>
        </w:rPr>
      </w:pPr>
      <w:r>
        <w:rPr>
          <w:b/>
          <w:caps/>
          <w:sz w:val="24"/>
          <w:szCs w:val="24"/>
        </w:rPr>
        <w:t xml:space="preserve">APPLICATION FOR THE CERTIFICATION, </w:t>
      </w:r>
      <w:r>
        <w:rPr>
          <w:b/>
          <w:caps/>
          <w:sz w:val="24"/>
          <w:szCs w:val="24"/>
        </w:rPr>
        <w:tab/>
      </w:r>
      <w:r w:rsidR="000A6F84">
        <w:rPr>
          <w:b/>
          <w:caps/>
          <w:sz w:val="24"/>
          <w:szCs w:val="24"/>
        </w:rPr>
        <w:tab/>
      </w:r>
      <w:r>
        <w:rPr>
          <w:b/>
          <w:caps/>
          <w:sz w:val="24"/>
          <w:szCs w:val="24"/>
        </w:rPr>
        <w:t>)</w:t>
      </w:r>
    </w:p>
    <w:p w14:paraId="624E43E8" w14:textId="46ADC42D" w:rsidR="002F44FA" w:rsidRDefault="000A6F84" w:rsidP="002F44FA">
      <w:pPr>
        <w:rPr>
          <w:b/>
          <w:caps/>
          <w:sz w:val="24"/>
          <w:szCs w:val="24"/>
        </w:rPr>
      </w:pPr>
      <w:r>
        <w:rPr>
          <w:b/>
          <w:caps/>
          <w:sz w:val="24"/>
          <w:szCs w:val="24"/>
        </w:rPr>
        <w:t>OF CAPACITY SUPPLEMENTAL RESOURCES</w:t>
      </w:r>
      <w:r w:rsidR="002F44FA">
        <w:rPr>
          <w:b/>
          <w:caps/>
          <w:sz w:val="24"/>
          <w:szCs w:val="24"/>
        </w:rPr>
        <w:tab/>
        <w:t>)</w:t>
      </w:r>
    </w:p>
    <w:p w14:paraId="0DB1E38C" w14:textId="77777777" w:rsidR="00394C6D" w:rsidRDefault="00394C6D" w:rsidP="009E7506">
      <w:pPr>
        <w:spacing w:line="360" w:lineRule="auto"/>
        <w:rPr>
          <w:b/>
          <w:sz w:val="24"/>
          <w:szCs w:val="24"/>
          <w:highlight w:val="yellow"/>
        </w:rPr>
      </w:pPr>
    </w:p>
    <w:p w14:paraId="3B4D0A3F" w14:textId="77777777" w:rsidR="009E7506" w:rsidRPr="00F31F50" w:rsidRDefault="009E7506" w:rsidP="009E7506">
      <w:pPr>
        <w:spacing w:line="360" w:lineRule="auto"/>
        <w:jc w:val="center"/>
        <w:rPr>
          <w:b/>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22"/>
      </w:tblGrid>
      <w:tr w:rsidR="009E7506" w:rsidRPr="00A65AF6" w14:paraId="6D836370" w14:textId="77777777" w:rsidTr="7DBEB32A">
        <w:trPr>
          <w:jc w:val="center"/>
        </w:trPr>
        <w:tc>
          <w:tcPr>
            <w:tcW w:w="5622" w:type="dxa"/>
          </w:tcPr>
          <w:p w14:paraId="26E00FF6" w14:textId="77777777" w:rsidR="009E7506" w:rsidRPr="00A65AF6" w:rsidRDefault="009E7506" w:rsidP="00AE5F1F">
            <w:pPr>
              <w:jc w:val="center"/>
              <w:rPr>
                <w:b/>
                <w:sz w:val="28"/>
                <w:szCs w:val="28"/>
              </w:rPr>
            </w:pPr>
          </w:p>
          <w:p w14:paraId="14D425CD" w14:textId="03CBA5CC" w:rsidR="0004758C" w:rsidRDefault="00C45D71" w:rsidP="00AE5F1F">
            <w:pPr>
              <w:jc w:val="center"/>
              <w:rPr>
                <w:rFonts w:eastAsia="Times New Roman"/>
                <w:sz w:val="28"/>
                <w:szCs w:val="28"/>
              </w:rPr>
            </w:pPr>
            <w:r>
              <w:rPr>
                <w:b/>
                <w:bCs/>
                <w:sz w:val="28"/>
                <w:szCs w:val="28"/>
              </w:rPr>
              <w:t>PUBLIC DISCLOSURE</w:t>
            </w:r>
          </w:p>
          <w:p w14:paraId="609BF020" w14:textId="77777777" w:rsidR="0004758C" w:rsidRDefault="0004758C" w:rsidP="00AE5F1F">
            <w:pPr>
              <w:jc w:val="center"/>
              <w:rPr>
                <w:b/>
                <w:sz w:val="28"/>
                <w:szCs w:val="28"/>
              </w:rPr>
            </w:pPr>
          </w:p>
          <w:p w14:paraId="7CD10D35" w14:textId="7C424168" w:rsidR="009E7506" w:rsidRPr="00A65AF6" w:rsidRDefault="009E7506" w:rsidP="00AE5F1F">
            <w:pPr>
              <w:jc w:val="center"/>
              <w:rPr>
                <w:b/>
                <w:sz w:val="28"/>
                <w:szCs w:val="28"/>
              </w:rPr>
            </w:pPr>
            <w:r w:rsidRPr="00A65AF6">
              <w:rPr>
                <w:b/>
                <w:sz w:val="28"/>
                <w:szCs w:val="28"/>
              </w:rPr>
              <w:t>DIRECT TESTIMONY</w:t>
            </w:r>
            <w:r>
              <w:rPr>
                <w:b/>
                <w:sz w:val="28"/>
                <w:szCs w:val="28"/>
              </w:rPr>
              <w:t xml:space="preserve"> AND EXHIBITS</w:t>
            </w:r>
          </w:p>
          <w:p w14:paraId="7AF496F9" w14:textId="77777777" w:rsidR="009E7506" w:rsidRPr="00A65AF6" w:rsidRDefault="009E7506" w:rsidP="00AE5F1F">
            <w:pPr>
              <w:jc w:val="center"/>
              <w:rPr>
                <w:b/>
                <w:sz w:val="28"/>
                <w:szCs w:val="28"/>
              </w:rPr>
            </w:pPr>
          </w:p>
          <w:p w14:paraId="1450BDE1" w14:textId="77777777" w:rsidR="009E7506" w:rsidRPr="00A65AF6" w:rsidRDefault="009E7506" w:rsidP="00AE5F1F">
            <w:pPr>
              <w:jc w:val="center"/>
              <w:rPr>
                <w:b/>
                <w:sz w:val="28"/>
                <w:szCs w:val="28"/>
              </w:rPr>
            </w:pPr>
            <w:r w:rsidRPr="00A65AF6">
              <w:rPr>
                <w:b/>
                <w:sz w:val="28"/>
                <w:szCs w:val="28"/>
              </w:rPr>
              <w:t>OF</w:t>
            </w:r>
          </w:p>
          <w:p w14:paraId="7891181B" w14:textId="77777777" w:rsidR="009E7506" w:rsidRPr="00A65AF6" w:rsidRDefault="009E7506" w:rsidP="00AE5F1F">
            <w:pPr>
              <w:jc w:val="center"/>
              <w:rPr>
                <w:b/>
                <w:sz w:val="28"/>
                <w:szCs w:val="28"/>
              </w:rPr>
            </w:pPr>
          </w:p>
          <w:p w14:paraId="15BFE80C" w14:textId="2AF1E8B8" w:rsidR="00F36023" w:rsidRPr="00044B31" w:rsidRDefault="00F36023" w:rsidP="00AE5F1F">
            <w:pPr>
              <w:jc w:val="center"/>
              <w:rPr>
                <w:b/>
                <w:sz w:val="28"/>
                <w:szCs w:val="28"/>
              </w:rPr>
            </w:pPr>
            <w:r w:rsidRPr="00044B31">
              <w:rPr>
                <w:b/>
                <w:sz w:val="28"/>
                <w:szCs w:val="28"/>
              </w:rPr>
              <w:t xml:space="preserve">ROBERT </w:t>
            </w:r>
            <w:r w:rsidR="001B1C52" w:rsidRPr="00044B31">
              <w:rPr>
                <w:b/>
                <w:sz w:val="28"/>
                <w:szCs w:val="28"/>
              </w:rPr>
              <w:t xml:space="preserve">L. </w:t>
            </w:r>
            <w:r w:rsidRPr="00044B31">
              <w:rPr>
                <w:b/>
                <w:sz w:val="28"/>
                <w:szCs w:val="28"/>
              </w:rPr>
              <w:t>TROKEY</w:t>
            </w:r>
          </w:p>
          <w:p w14:paraId="1B6750E4" w14:textId="77777777" w:rsidR="007C6054" w:rsidRPr="00044B31" w:rsidRDefault="007C6054" w:rsidP="00AE5F1F">
            <w:pPr>
              <w:jc w:val="center"/>
              <w:rPr>
                <w:b/>
                <w:sz w:val="28"/>
                <w:szCs w:val="28"/>
              </w:rPr>
            </w:pPr>
          </w:p>
          <w:p w14:paraId="486DDC0F" w14:textId="6BC7A4B1" w:rsidR="00B90D82" w:rsidRPr="00044B31" w:rsidRDefault="7DBEB32A" w:rsidP="7DBEB32A">
            <w:pPr>
              <w:jc w:val="center"/>
              <w:rPr>
                <w:b/>
                <w:bCs/>
                <w:sz w:val="28"/>
                <w:szCs w:val="28"/>
              </w:rPr>
            </w:pPr>
            <w:r w:rsidRPr="7DBEB32A">
              <w:rPr>
                <w:b/>
                <w:bCs/>
                <w:sz w:val="28"/>
                <w:szCs w:val="28"/>
              </w:rPr>
              <w:t xml:space="preserve">DYLAN </w:t>
            </w:r>
            <w:r w:rsidR="00572202">
              <w:rPr>
                <w:b/>
                <w:bCs/>
                <w:sz w:val="28"/>
                <w:szCs w:val="28"/>
              </w:rPr>
              <w:t xml:space="preserve">A. </w:t>
            </w:r>
            <w:r w:rsidRPr="7DBEB32A">
              <w:rPr>
                <w:b/>
                <w:bCs/>
                <w:sz w:val="28"/>
                <w:szCs w:val="28"/>
              </w:rPr>
              <w:t>DRUGAN</w:t>
            </w:r>
          </w:p>
          <w:p w14:paraId="25737560" w14:textId="77777777" w:rsidR="007C6054" w:rsidRPr="00044B31" w:rsidRDefault="007C6054" w:rsidP="00AE5F1F">
            <w:pPr>
              <w:jc w:val="center"/>
              <w:rPr>
                <w:b/>
                <w:sz w:val="28"/>
                <w:szCs w:val="28"/>
              </w:rPr>
            </w:pPr>
          </w:p>
          <w:p w14:paraId="5B99A646" w14:textId="77777777" w:rsidR="00B90D82" w:rsidRPr="00044B31" w:rsidRDefault="00B90D82" w:rsidP="00AE5F1F">
            <w:pPr>
              <w:jc w:val="center"/>
              <w:rPr>
                <w:b/>
                <w:sz w:val="28"/>
                <w:szCs w:val="28"/>
              </w:rPr>
            </w:pPr>
            <w:r w:rsidRPr="00044B31">
              <w:rPr>
                <w:b/>
                <w:sz w:val="28"/>
                <w:szCs w:val="28"/>
              </w:rPr>
              <w:t>AND</w:t>
            </w:r>
          </w:p>
          <w:p w14:paraId="6E3AB6AD" w14:textId="77777777" w:rsidR="007C6054" w:rsidRPr="00044B31" w:rsidRDefault="007C6054" w:rsidP="00AE5F1F">
            <w:pPr>
              <w:jc w:val="center"/>
              <w:rPr>
                <w:b/>
                <w:sz w:val="28"/>
                <w:szCs w:val="28"/>
              </w:rPr>
            </w:pPr>
          </w:p>
          <w:p w14:paraId="6B8640AD" w14:textId="284A769B" w:rsidR="00B90D82" w:rsidRPr="00044B31" w:rsidRDefault="00B90D82" w:rsidP="00AE5F1F">
            <w:pPr>
              <w:jc w:val="center"/>
              <w:rPr>
                <w:b/>
                <w:sz w:val="28"/>
                <w:szCs w:val="28"/>
              </w:rPr>
            </w:pPr>
            <w:r w:rsidRPr="00044B31">
              <w:rPr>
                <w:b/>
                <w:sz w:val="28"/>
                <w:szCs w:val="28"/>
              </w:rPr>
              <w:t>KARAN</w:t>
            </w:r>
            <w:r w:rsidR="00071755" w:rsidRPr="00044B31">
              <w:rPr>
                <w:b/>
                <w:sz w:val="28"/>
                <w:szCs w:val="28"/>
              </w:rPr>
              <w:t xml:space="preserve"> </w:t>
            </w:r>
            <w:r w:rsidRPr="00044B31">
              <w:rPr>
                <w:b/>
                <w:sz w:val="28"/>
                <w:szCs w:val="28"/>
              </w:rPr>
              <w:t>A</w:t>
            </w:r>
            <w:r w:rsidR="00071755" w:rsidRPr="00044B31">
              <w:rPr>
                <w:b/>
                <w:sz w:val="28"/>
                <w:szCs w:val="28"/>
              </w:rPr>
              <w:t>.</w:t>
            </w:r>
            <w:r w:rsidRPr="00044B31">
              <w:rPr>
                <w:b/>
                <w:sz w:val="28"/>
                <w:szCs w:val="28"/>
              </w:rPr>
              <w:t xml:space="preserve"> POL</w:t>
            </w:r>
          </w:p>
          <w:p w14:paraId="2A008986" w14:textId="77777777" w:rsidR="009E7506" w:rsidRPr="00A65AF6" w:rsidRDefault="009E7506" w:rsidP="00AE5F1F">
            <w:pPr>
              <w:jc w:val="center"/>
              <w:rPr>
                <w:b/>
                <w:sz w:val="28"/>
                <w:szCs w:val="28"/>
              </w:rPr>
            </w:pPr>
          </w:p>
          <w:p w14:paraId="71A8A308" w14:textId="77777777" w:rsidR="009E7506" w:rsidRPr="00A65AF6" w:rsidRDefault="009E7506" w:rsidP="00AE5F1F">
            <w:pPr>
              <w:jc w:val="center"/>
              <w:rPr>
                <w:b/>
                <w:sz w:val="28"/>
                <w:szCs w:val="28"/>
              </w:rPr>
            </w:pPr>
          </w:p>
        </w:tc>
      </w:tr>
    </w:tbl>
    <w:p w14:paraId="648AB180" w14:textId="77777777" w:rsidR="009E7506" w:rsidRPr="00A65AF6" w:rsidRDefault="009E7506" w:rsidP="009E7506">
      <w:pPr>
        <w:jc w:val="center"/>
        <w:rPr>
          <w:b/>
          <w:sz w:val="28"/>
          <w:szCs w:val="28"/>
        </w:rPr>
      </w:pPr>
    </w:p>
    <w:p w14:paraId="20BFFFC1" w14:textId="77777777" w:rsidR="00691593" w:rsidRDefault="00691593" w:rsidP="009E7506">
      <w:pPr>
        <w:jc w:val="center"/>
        <w:rPr>
          <w:b/>
          <w:sz w:val="28"/>
          <w:szCs w:val="28"/>
        </w:rPr>
      </w:pPr>
    </w:p>
    <w:p w14:paraId="00C35E04" w14:textId="77777777" w:rsidR="009E7506" w:rsidRPr="00A65AF6" w:rsidRDefault="009E7506" w:rsidP="009E7506">
      <w:pPr>
        <w:jc w:val="center"/>
        <w:rPr>
          <w:b/>
          <w:sz w:val="28"/>
          <w:szCs w:val="28"/>
        </w:rPr>
      </w:pPr>
      <w:r w:rsidRPr="00A65AF6">
        <w:rPr>
          <w:b/>
          <w:sz w:val="28"/>
          <w:szCs w:val="28"/>
        </w:rPr>
        <w:t xml:space="preserve">ON BEHALF OF THE </w:t>
      </w:r>
    </w:p>
    <w:p w14:paraId="61FA7D31" w14:textId="77777777" w:rsidR="009E7506" w:rsidRPr="00A65AF6" w:rsidRDefault="009E7506" w:rsidP="009E7506">
      <w:pPr>
        <w:jc w:val="center"/>
        <w:rPr>
          <w:b/>
          <w:sz w:val="28"/>
          <w:szCs w:val="28"/>
        </w:rPr>
      </w:pPr>
    </w:p>
    <w:p w14:paraId="61A1B46A" w14:textId="77777777" w:rsidR="009E7506" w:rsidRPr="00A65AF6" w:rsidRDefault="009E7506" w:rsidP="009E7506">
      <w:pPr>
        <w:jc w:val="center"/>
        <w:rPr>
          <w:b/>
          <w:sz w:val="28"/>
          <w:szCs w:val="28"/>
        </w:rPr>
      </w:pPr>
      <w:r w:rsidRPr="00A65AF6">
        <w:rPr>
          <w:b/>
          <w:sz w:val="28"/>
          <w:szCs w:val="28"/>
        </w:rPr>
        <w:t>GEORGIA PUBLIC SERVICE COMMISSION</w:t>
      </w:r>
    </w:p>
    <w:p w14:paraId="1393363B" w14:textId="77777777" w:rsidR="009E7506" w:rsidRDefault="009E7506" w:rsidP="009E7506">
      <w:pPr>
        <w:jc w:val="center"/>
        <w:rPr>
          <w:b/>
          <w:sz w:val="28"/>
          <w:szCs w:val="28"/>
        </w:rPr>
      </w:pPr>
      <w:r w:rsidRPr="00A65AF6">
        <w:rPr>
          <w:b/>
          <w:sz w:val="28"/>
          <w:szCs w:val="28"/>
        </w:rPr>
        <w:t>PUBLIC INTEREST ADVOCACY STAFF</w:t>
      </w:r>
    </w:p>
    <w:p w14:paraId="1194223E" w14:textId="77777777" w:rsidR="00691593" w:rsidRPr="00A65AF6" w:rsidRDefault="00691593" w:rsidP="009E7506">
      <w:pPr>
        <w:jc w:val="center"/>
        <w:rPr>
          <w:b/>
          <w:sz w:val="28"/>
          <w:szCs w:val="28"/>
        </w:rPr>
      </w:pPr>
    </w:p>
    <w:p w14:paraId="7AF26FD3" w14:textId="03F0C5A0" w:rsidR="009E7506" w:rsidRDefault="000A6F84" w:rsidP="581770A5">
      <w:pPr>
        <w:jc w:val="center"/>
        <w:rPr>
          <w:b/>
          <w:bCs/>
          <w:sz w:val="28"/>
          <w:szCs w:val="28"/>
        </w:rPr>
      </w:pPr>
      <w:r>
        <w:rPr>
          <w:b/>
          <w:bCs/>
          <w:sz w:val="28"/>
          <w:szCs w:val="28"/>
        </w:rPr>
        <w:t xml:space="preserve">NOVEMBER </w:t>
      </w:r>
      <w:r w:rsidR="006B715E">
        <w:rPr>
          <w:b/>
          <w:bCs/>
          <w:sz w:val="28"/>
          <w:szCs w:val="28"/>
        </w:rPr>
        <w:t>12</w:t>
      </w:r>
      <w:r w:rsidR="009E7506" w:rsidRPr="00071755">
        <w:rPr>
          <w:b/>
          <w:bCs/>
          <w:sz w:val="28"/>
          <w:szCs w:val="28"/>
        </w:rPr>
        <w:t>,</w:t>
      </w:r>
      <w:r w:rsidR="009E7506" w:rsidRPr="581770A5">
        <w:rPr>
          <w:b/>
          <w:bCs/>
          <w:sz w:val="28"/>
          <w:szCs w:val="28"/>
        </w:rPr>
        <w:t xml:space="preserve"> 20</w:t>
      </w:r>
      <w:r w:rsidR="00272160" w:rsidRPr="581770A5">
        <w:rPr>
          <w:b/>
          <w:bCs/>
          <w:sz w:val="28"/>
          <w:szCs w:val="28"/>
        </w:rPr>
        <w:t>2</w:t>
      </w:r>
      <w:r w:rsidR="00F30634">
        <w:rPr>
          <w:b/>
          <w:bCs/>
          <w:sz w:val="28"/>
          <w:szCs w:val="28"/>
        </w:rPr>
        <w:t>5</w:t>
      </w:r>
    </w:p>
    <w:p w14:paraId="7ACD75B7" w14:textId="77777777" w:rsidR="002A5D2D" w:rsidRDefault="002A5D2D" w:rsidP="009E7506">
      <w:pPr>
        <w:spacing w:line="480" w:lineRule="auto"/>
        <w:jc w:val="center"/>
        <w:rPr>
          <w:b/>
          <w:sz w:val="28"/>
          <w:szCs w:val="28"/>
          <w:u w:val="single"/>
        </w:rPr>
      </w:pPr>
    </w:p>
    <w:p w14:paraId="0BD4F579" w14:textId="56C895C8" w:rsidR="00143177" w:rsidRDefault="00143177">
      <w:pPr>
        <w:spacing w:after="160" w:line="259" w:lineRule="auto"/>
        <w:jc w:val="left"/>
        <w:rPr>
          <w:b/>
          <w:sz w:val="28"/>
          <w:szCs w:val="28"/>
          <w:u w:val="single"/>
        </w:rPr>
      </w:pPr>
    </w:p>
    <w:p w14:paraId="41B8E08C" w14:textId="3FA72F78" w:rsidR="009E7506" w:rsidRPr="007C1513" w:rsidRDefault="09FA8868" w:rsidP="6506DB8F">
      <w:pPr>
        <w:spacing w:line="480" w:lineRule="auto"/>
        <w:jc w:val="center"/>
        <w:rPr>
          <w:b/>
          <w:bCs/>
          <w:sz w:val="28"/>
          <w:szCs w:val="28"/>
          <w:u w:val="single"/>
        </w:rPr>
      </w:pPr>
      <w:r w:rsidRPr="6506DB8F">
        <w:rPr>
          <w:b/>
          <w:bCs/>
          <w:sz w:val="28"/>
          <w:szCs w:val="28"/>
          <w:u w:val="single"/>
        </w:rPr>
        <w:t>TABLE OF CONTENTS</w:t>
      </w:r>
    </w:p>
    <w:p w14:paraId="6C8B2E1A" w14:textId="77777777" w:rsidR="009E7506" w:rsidRPr="00152957" w:rsidRDefault="009E7506" w:rsidP="009352B6">
      <w:pPr>
        <w:spacing w:line="480" w:lineRule="auto"/>
        <w:ind w:right="2340"/>
        <w:jc w:val="center"/>
        <w:rPr>
          <w:b/>
          <w:sz w:val="24"/>
          <w:szCs w:val="24"/>
        </w:rPr>
      </w:pPr>
    </w:p>
    <w:p w14:paraId="7AAFADC9" w14:textId="04BF8603" w:rsidR="00BF0CC9" w:rsidRDefault="000E67F7">
      <w:pPr>
        <w:pStyle w:val="TOC1"/>
        <w:rPr>
          <w:rFonts w:asciiTheme="minorHAnsi" w:eastAsiaTheme="minorEastAsia" w:hAnsiTheme="minorHAnsi" w:cstheme="minorBidi"/>
          <w:noProof/>
          <w:kern w:val="2"/>
          <w:sz w:val="24"/>
          <w:szCs w:val="24"/>
          <w14:ligatures w14:val="standardContextual"/>
        </w:rPr>
      </w:pPr>
      <w:r>
        <w:fldChar w:fldCharType="begin"/>
      </w:r>
      <w:r w:rsidR="009E7506">
        <w:instrText>TOC \o "1-3" \z \u</w:instrText>
      </w:r>
      <w:r>
        <w:fldChar w:fldCharType="separate"/>
      </w:r>
      <w:r w:rsidR="00BF0CC9">
        <w:rPr>
          <w:noProof/>
        </w:rPr>
        <w:t>I.</w:t>
      </w:r>
      <w:r w:rsidR="00BF0CC9">
        <w:rPr>
          <w:rFonts w:asciiTheme="minorHAnsi" w:eastAsiaTheme="minorEastAsia" w:hAnsiTheme="minorHAnsi" w:cstheme="minorBidi"/>
          <w:noProof/>
          <w:kern w:val="2"/>
          <w:sz w:val="24"/>
          <w:szCs w:val="24"/>
          <w14:ligatures w14:val="standardContextual"/>
        </w:rPr>
        <w:tab/>
      </w:r>
      <w:r w:rsidR="00BF0CC9">
        <w:rPr>
          <w:noProof/>
        </w:rPr>
        <w:t>Introduction</w:t>
      </w:r>
      <w:r w:rsidR="00BF0CC9">
        <w:rPr>
          <w:noProof/>
          <w:webHidden/>
        </w:rPr>
        <w:tab/>
      </w:r>
      <w:r w:rsidR="00BF0CC9">
        <w:rPr>
          <w:noProof/>
          <w:webHidden/>
        </w:rPr>
        <w:fldChar w:fldCharType="begin"/>
      </w:r>
      <w:r w:rsidR="00BF0CC9">
        <w:rPr>
          <w:noProof/>
          <w:webHidden/>
        </w:rPr>
        <w:instrText xml:space="preserve"> PAGEREF _Toc213766862 \h </w:instrText>
      </w:r>
      <w:r w:rsidR="00BF0CC9">
        <w:rPr>
          <w:noProof/>
          <w:webHidden/>
        </w:rPr>
      </w:r>
      <w:r w:rsidR="00BF0CC9">
        <w:rPr>
          <w:noProof/>
          <w:webHidden/>
        </w:rPr>
        <w:fldChar w:fldCharType="separate"/>
      </w:r>
      <w:r w:rsidR="00BF0CC9">
        <w:rPr>
          <w:noProof/>
          <w:webHidden/>
        </w:rPr>
        <w:t>1</w:t>
      </w:r>
      <w:r w:rsidR="00BF0CC9">
        <w:rPr>
          <w:noProof/>
          <w:webHidden/>
        </w:rPr>
        <w:fldChar w:fldCharType="end"/>
      </w:r>
    </w:p>
    <w:p w14:paraId="40AAFED1" w14:textId="7A51ED92" w:rsidR="00BF0CC9" w:rsidRDefault="00BF0CC9">
      <w:pPr>
        <w:pStyle w:val="TOC1"/>
        <w:rPr>
          <w:rFonts w:asciiTheme="minorHAnsi" w:eastAsiaTheme="minorEastAsia" w:hAnsiTheme="minorHAnsi" w:cstheme="minorBidi"/>
          <w:noProof/>
          <w:kern w:val="2"/>
          <w:sz w:val="24"/>
          <w:szCs w:val="24"/>
          <w14:ligatures w14:val="standardContextual"/>
        </w:rPr>
      </w:pPr>
      <w:r>
        <w:rPr>
          <w:noProof/>
        </w:rPr>
        <w:t>II.</w:t>
      </w:r>
      <w:r>
        <w:rPr>
          <w:rFonts w:asciiTheme="minorHAnsi" w:eastAsiaTheme="minorEastAsia" w:hAnsiTheme="minorHAnsi" w:cstheme="minorBidi"/>
          <w:noProof/>
          <w:kern w:val="2"/>
          <w:sz w:val="24"/>
          <w:szCs w:val="24"/>
          <w14:ligatures w14:val="standardContextual"/>
        </w:rPr>
        <w:tab/>
      </w:r>
      <w:r>
        <w:rPr>
          <w:noProof/>
        </w:rPr>
        <w:t>Summary of Findings, Conclusions, and Recommendations</w:t>
      </w:r>
      <w:r>
        <w:rPr>
          <w:noProof/>
          <w:webHidden/>
        </w:rPr>
        <w:tab/>
      </w:r>
      <w:r>
        <w:rPr>
          <w:noProof/>
          <w:webHidden/>
        </w:rPr>
        <w:fldChar w:fldCharType="begin"/>
      </w:r>
      <w:r>
        <w:rPr>
          <w:noProof/>
          <w:webHidden/>
        </w:rPr>
        <w:instrText xml:space="preserve"> PAGEREF _Toc213766863 \h </w:instrText>
      </w:r>
      <w:r>
        <w:rPr>
          <w:noProof/>
          <w:webHidden/>
        </w:rPr>
      </w:r>
      <w:r>
        <w:rPr>
          <w:noProof/>
          <w:webHidden/>
        </w:rPr>
        <w:fldChar w:fldCharType="separate"/>
      </w:r>
      <w:r>
        <w:rPr>
          <w:noProof/>
          <w:webHidden/>
        </w:rPr>
        <w:t>3</w:t>
      </w:r>
      <w:r>
        <w:rPr>
          <w:noProof/>
          <w:webHidden/>
        </w:rPr>
        <w:fldChar w:fldCharType="end"/>
      </w:r>
    </w:p>
    <w:p w14:paraId="7AFE6912" w14:textId="7EFADCAE" w:rsidR="00BF0CC9" w:rsidRDefault="00BF0CC9">
      <w:pPr>
        <w:pStyle w:val="TOC1"/>
        <w:rPr>
          <w:rFonts w:asciiTheme="minorHAnsi" w:eastAsiaTheme="minorEastAsia" w:hAnsiTheme="minorHAnsi" w:cstheme="minorBidi"/>
          <w:noProof/>
          <w:kern w:val="2"/>
          <w:sz w:val="24"/>
          <w:szCs w:val="24"/>
          <w14:ligatures w14:val="standardContextual"/>
        </w:rPr>
      </w:pPr>
      <w:r>
        <w:rPr>
          <w:noProof/>
        </w:rPr>
        <w:t>III.</w:t>
      </w:r>
      <w:r>
        <w:rPr>
          <w:rFonts w:asciiTheme="minorHAnsi" w:eastAsiaTheme="minorEastAsia" w:hAnsiTheme="minorHAnsi" w:cstheme="minorBidi"/>
          <w:noProof/>
          <w:kern w:val="2"/>
          <w:sz w:val="24"/>
          <w:szCs w:val="24"/>
          <w14:ligatures w14:val="standardContextual"/>
        </w:rPr>
        <w:tab/>
      </w:r>
      <w:r>
        <w:rPr>
          <w:noProof/>
        </w:rPr>
        <w:t>Summary of Company Load Forecast</w:t>
      </w:r>
      <w:r>
        <w:rPr>
          <w:noProof/>
          <w:webHidden/>
        </w:rPr>
        <w:tab/>
      </w:r>
      <w:r>
        <w:rPr>
          <w:noProof/>
          <w:webHidden/>
        </w:rPr>
        <w:fldChar w:fldCharType="begin"/>
      </w:r>
      <w:r>
        <w:rPr>
          <w:noProof/>
          <w:webHidden/>
        </w:rPr>
        <w:instrText xml:space="preserve"> PAGEREF _Toc213766864 \h </w:instrText>
      </w:r>
      <w:r>
        <w:rPr>
          <w:noProof/>
          <w:webHidden/>
        </w:rPr>
      </w:r>
      <w:r>
        <w:rPr>
          <w:noProof/>
          <w:webHidden/>
        </w:rPr>
        <w:fldChar w:fldCharType="separate"/>
      </w:r>
      <w:r>
        <w:rPr>
          <w:noProof/>
          <w:webHidden/>
        </w:rPr>
        <w:t>8</w:t>
      </w:r>
      <w:r>
        <w:rPr>
          <w:noProof/>
          <w:webHidden/>
        </w:rPr>
        <w:fldChar w:fldCharType="end"/>
      </w:r>
    </w:p>
    <w:p w14:paraId="0D11CCE1" w14:textId="4DFC946D" w:rsidR="00BF0CC9" w:rsidRDefault="00BF0CC9">
      <w:pPr>
        <w:pStyle w:val="TOC1"/>
        <w:rPr>
          <w:rFonts w:asciiTheme="minorHAnsi" w:eastAsiaTheme="minorEastAsia" w:hAnsiTheme="minorHAnsi" w:cstheme="minorBidi"/>
          <w:noProof/>
          <w:kern w:val="2"/>
          <w:sz w:val="24"/>
          <w:szCs w:val="24"/>
          <w14:ligatures w14:val="standardContextual"/>
        </w:rPr>
      </w:pPr>
      <w:r>
        <w:rPr>
          <w:noProof/>
        </w:rPr>
        <w:t>IV.</w:t>
      </w:r>
      <w:r>
        <w:rPr>
          <w:rFonts w:asciiTheme="minorHAnsi" w:eastAsiaTheme="minorEastAsia" w:hAnsiTheme="minorHAnsi" w:cstheme="minorBidi"/>
          <w:noProof/>
          <w:kern w:val="2"/>
          <w:sz w:val="24"/>
          <w:szCs w:val="24"/>
          <w14:ligatures w14:val="standardContextual"/>
        </w:rPr>
        <w:tab/>
      </w:r>
      <w:r>
        <w:rPr>
          <w:noProof/>
        </w:rPr>
        <w:t>The Company’s load forecast continues to decrease in the near-term</w:t>
      </w:r>
      <w:r>
        <w:rPr>
          <w:noProof/>
          <w:webHidden/>
        </w:rPr>
        <w:tab/>
      </w:r>
      <w:r>
        <w:rPr>
          <w:noProof/>
          <w:webHidden/>
        </w:rPr>
        <w:fldChar w:fldCharType="begin"/>
      </w:r>
      <w:r>
        <w:rPr>
          <w:noProof/>
          <w:webHidden/>
        </w:rPr>
        <w:instrText xml:space="preserve"> PAGEREF _Toc213766865 \h </w:instrText>
      </w:r>
      <w:r>
        <w:rPr>
          <w:noProof/>
          <w:webHidden/>
        </w:rPr>
      </w:r>
      <w:r>
        <w:rPr>
          <w:noProof/>
          <w:webHidden/>
        </w:rPr>
        <w:fldChar w:fldCharType="separate"/>
      </w:r>
      <w:r>
        <w:rPr>
          <w:noProof/>
          <w:webHidden/>
        </w:rPr>
        <w:t>12</w:t>
      </w:r>
      <w:r>
        <w:rPr>
          <w:noProof/>
          <w:webHidden/>
        </w:rPr>
        <w:fldChar w:fldCharType="end"/>
      </w:r>
    </w:p>
    <w:p w14:paraId="7EED9898" w14:textId="6D483EB3" w:rsidR="00BF0CC9" w:rsidRDefault="00BF0CC9">
      <w:pPr>
        <w:pStyle w:val="TOC1"/>
        <w:rPr>
          <w:rFonts w:asciiTheme="minorHAnsi" w:eastAsiaTheme="minorEastAsia" w:hAnsiTheme="minorHAnsi" w:cstheme="minorBidi"/>
          <w:noProof/>
          <w:kern w:val="2"/>
          <w:sz w:val="24"/>
          <w:szCs w:val="24"/>
          <w14:ligatures w14:val="standardContextual"/>
        </w:rPr>
      </w:pPr>
      <w:r>
        <w:rPr>
          <w:noProof/>
        </w:rPr>
        <w:t>V.</w:t>
      </w:r>
      <w:r>
        <w:rPr>
          <w:rFonts w:asciiTheme="minorHAnsi" w:eastAsiaTheme="minorEastAsia" w:hAnsiTheme="minorHAnsi" w:cstheme="minorBidi"/>
          <w:noProof/>
          <w:kern w:val="2"/>
          <w:sz w:val="24"/>
          <w:szCs w:val="24"/>
          <w14:ligatures w14:val="standardContextual"/>
        </w:rPr>
        <w:tab/>
      </w:r>
      <w:r>
        <w:rPr>
          <w:noProof/>
        </w:rPr>
        <w:t>The LRM continues to materialize  significantly lower than forecasted by the Company.</w:t>
      </w:r>
      <w:r>
        <w:rPr>
          <w:noProof/>
          <w:webHidden/>
        </w:rPr>
        <w:tab/>
      </w:r>
      <w:r>
        <w:rPr>
          <w:noProof/>
          <w:webHidden/>
        </w:rPr>
        <w:fldChar w:fldCharType="begin"/>
      </w:r>
      <w:r>
        <w:rPr>
          <w:noProof/>
          <w:webHidden/>
        </w:rPr>
        <w:instrText xml:space="preserve"> PAGEREF _Toc213766866 \h </w:instrText>
      </w:r>
      <w:r>
        <w:rPr>
          <w:noProof/>
          <w:webHidden/>
        </w:rPr>
      </w:r>
      <w:r>
        <w:rPr>
          <w:noProof/>
          <w:webHidden/>
        </w:rPr>
        <w:fldChar w:fldCharType="separate"/>
      </w:r>
      <w:r>
        <w:rPr>
          <w:noProof/>
          <w:webHidden/>
        </w:rPr>
        <w:t>22</w:t>
      </w:r>
      <w:r>
        <w:rPr>
          <w:noProof/>
          <w:webHidden/>
        </w:rPr>
        <w:fldChar w:fldCharType="end"/>
      </w:r>
    </w:p>
    <w:p w14:paraId="7C03FCA5" w14:textId="42C932F2" w:rsidR="00BF0CC9" w:rsidRDefault="00BF0CC9">
      <w:pPr>
        <w:pStyle w:val="TOC1"/>
        <w:rPr>
          <w:rFonts w:asciiTheme="minorHAnsi" w:eastAsiaTheme="minorEastAsia" w:hAnsiTheme="minorHAnsi" w:cstheme="minorBidi"/>
          <w:noProof/>
          <w:kern w:val="2"/>
          <w:sz w:val="24"/>
          <w:szCs w:val="24"/>
          <w14:ligatures w14:val="standardContextual"/>
        </w:rPr>
      </w:pPr>
      <w:r>
        <w:rPr>
          <w:noProof/>
        </w:rPr>
        <w:t>VI.</w:t>
      </w:r>
      <w:r>
        <w:rPr>
          <w:rFonts w:asciiTheme="minorHAnsi" w:eastAsiaTheme="minorEastAsia" w:hAnsiTheme="minorHAnsi" w:cstheme="minorBidi"/>
          <w:noProof/>
          <w:kern w:val="2"/>
          <w:sz w:val="24"/>
          <w:szCs w:val="24"/>
          <w14:ligatures w14:val="standardContextual"/>
        </w:rPr>
        <w:tab/>
      </w:r>
      <w:r>
        <w:rPr>
          <w:noProof/>
        </w:rPr>
        <w:t>The B2026 load forecast uses incorrect load ramps for certain customers in the load realization model, over-estimating load growth.</w:t>
      </w:r>
      <w:r>
        <w:rPr>
          <w:noProof/>
          <w:webHidden/>
        </w:rPr>
        <w:tab/>
      </w:r>
      <w:r>
        <w:rPr>
          <w:noProof/>
          <w:webHidden/>
        </w:rPr>
        <w:fldChar w:fldCharType="begin"/>
      </w:r>
      <w:r>
        <w:rPr>
          <w:noProof/>
          <w:webHidden/>
        </w:rPr>
        <w:instrText xml:space="preserve"> PAGEREF _Toc213766867 \h </w:instrText>
      </w:r>
      <w:r>
        <w:rPr>
          <w:noProof/>
          <w:webHidden/>
        </w:rPr>
      </w:r>
      <w:r>
        <w:rPr>
          <w:noProof/>
          <w:webHidden/>
        </w:rPr>
        <w:fldChar w:fldCharType="separate"/>
      </w:r>
      <w:r>
        <w:rPr>
          <w:noProof/>
          <w:webHidden/>
        </w:rPr>
        <w:t>29</w:t>
      </w:r>
      <w:r>
        <w:rPr>
          <w:noProof/>
          <w:webHidden/>
        </w:rPr>
        <w:fldChar w:fldCharType="end"/>
      </w:r>
    </w:p>
    <w:p w14:paraId="400048D7" w14:textId="0E2EA8EB" w:rsidR="00BF0CC9" w:rsidRDefault="00BF0CC9">
      <w:pPr>
        <w:pStyle w:val="TOC1"/>
        <w:rPr>
          <w:rFonts w:asciiTheme="minorHAnsi" w:eastAsiaTheme="minorEastAsia" w:hAnsiTheme="minorHAnsi" w:cstheme="minorBidi"/>
          <w:noProof/>
          <w:kern w:val="2"/>
          <w:sz w:val="24"/>
          <w:szCs w:val="24"/>
          <w14:ligatures w14:val="standardContextual"/>
        </w:rPr>
      </w:pPr>
      <w:r>
        <w:rPr>
          <w:noProof/>
        </w:rPr>
        <w:t>VII.</w:t>
      </w:r>
      <w:r>
        <w:rPr>
          <w:rFonts w:asciiTheme="minorHAnsi" w:eastAsiaTheme="minorEastAsia" w:hAnsiTheme="minorHAnsi" w:cstheme="minorBidi"/>
          <w:noProof/>
          <w:kern w:val="2"/>
          <w:sz w:val="24"/>
          <w:szCs w:val="24"/>
          <w14:ligatures w14:val="standardContextual"/>
        </w:rPr>
        <w:tab/>
      </w:r>
      <w:r>
        <w:rPr>
          <w:noProof/>
        </w:rPr>
        <w:t>Load flexibility and contract revisions may further reduce the Company forecast</w:t>
      </w:r>
      <w:r>
        <w:rPr>
          <w:noProof/>
          <w:webHidden/>
        </w:rPr>
        <w:tab/>
      </w:r>
      <w:r>
        <w:rPr>
          <w:noProof/>
          <w:webHidden/>
        </w:rPr>
        <w:fldChar w:fldCharType="begin"/>
      </w:r>
      <w:r>
        <w:rPr>
          <w:noProof/>
          <w:webHidden/>
        </w:rPr>
        <w:instrText xml:space="preserve"> PAGEREF _Toc213766868 \h </w:instrText>
      </w:r>
      <w:r>
        <w:rPr>
          <w:noProof/>
          <w:webHidden/>
        </w:rPr>
      </w:r>
      <w:r>
        <w:rPr>
          <w:noProof/>
          <w:webHidden/>
        </w:rPr>
        <w:fldChar w:fldCharType="separate"/>
      </w:r>
      <w:r>
        <w:rPr>
          <w:noProof/>
          <w:webHidden/>
        </w:rPr>
        <w:t>29</w:t>
      </w:r>
      <w:r>
        <w:rPr>
          <w:noProof/>
          <w:webHidden/>
        </w:rPr>
        <w:fldChar w:fldCharType="end"/>
      </w:r>
    </w:p>
    <w:p w14:paraId="65F74688" w14:textId="05881A2C" w:rsidR="00BF0CC9" w:rsidRDefault="00BF0CC9">
      <w:pPr>
        <w:pStyle w:val="TOC1"/>
        <w:rPr>
          <w:rFonts w:asciiTheme="minorHAnsi" w:eastAsiaTheme="minorEastAsia" w:hAnsiTheme="minorHAnsi" w:cstheme="minorBidi"/>
          <w:noProof/>
          <w:kern w:val="2"/>
          <w:sz w:val="24"/>
          <w:szCs w:val="24"/>
          <w14:ligatures w14:val="standardContextual"/>
        </w:rPr>
      </w:pPr>
      <w:r>
        <w:rPr>
          <w:noProof/>
        </w:rPr>
        <w:t>VIII.</w:t>
      </w:r>
      <w:r>
        <w:rPr>
          <w:rFonts w:asciiTheme="minorHAnsi" w:eastAsiaTheme="minorEastAsia" w:hAnsiTheme="minorHAnsi" w:cstheme="minorBidi"/>
          <w:noProof/>
          <w:kern w:val="2"/>
          <w:sz w:val="24"/>
          <w:szCs w:val="24"/>
          <w14:ligatures w14:val="standardContextual"/>
        </w:rPr>
        <w:tab/>
      </w:r>
      <w:r>
        <w:rPr>
          <w:noProof/>
        </w:rPr>
        <w:t>Multiple factors justify an adjustment to the B2026 load forecast</w:t>
      </w:r>
      <w:r>
        <w:rPr>
          <w:noProof/>
          <w:webHidden/>
        </w:rPr>
        <w:tab/>
      </w:r>
      <w:r>
        <w:rPr>
          <w:noProof/>
          <w:webHidden/>
        </w:rPr>
        <w:fldChar w:fldCharType="begin"/>
      </w:r>
      <w:r>
        <w:rPr>
          <w:noProof/>
          <w:webHidden/>
        </w:rPr>
        <w:instrText xml:space="preserve"> PAGEREF _Toc213766869 \h </w:instrText>
      </w:r>
      <w:r>
        <w:rPr>
          <w:noProof/>
          <w:webHidden/>
        </w:rPr>
      </w:r>
      <w:r>
        <w:rPr>
          <w:noProof/>
          <w:webHidden/>
        </w:rPr>
        <w:fldChar w:fldCharType="separate"/>
      </w:r>
      <w:r>
        <w:rPr>
          <w:noProof/>
          <w:webHidden/>
        </w:rPr>
        <w:t>32</w:t>
      </w:r>
      <w:r>
        <w:rPr>
          <w:noProof/>
          <w:webHidden/>
        </w:rPr>
        <w:fldChar w:fldCharType="end"/>
      </w:r>
    </w:p>
    <w:p w14:paraId="5A59B4DC" w14:textId="05BBDBC7" w:rsidR="00BF0CC9" w:rsidRDefault="00BF0CC9">
      <w:pPr>
        <w:pStyle w:val="TOC1"/>
        <w:rPr>
          <w:rFonts w:asciiTheme="minorHAnsi" w:eastAsiaTheme="minorEastAsia" w:hAnsiTheme="minorHAnsi" w:cstheme="minorBidi"/>
          <w:noProof/>
          <w:kern w:val="2"/>
          <w:sz w:val="24"/>
          <w:szCs w:val="24"/>
          <w14:ligatures w14:val="standardContextual"/>
        </w:rPr>
      </w:pPr>
      <w:r>
        <w:rPr>
          <w:noProof/>
        </w:rPr>
        <w:t>IX.</w:t>
      </w:r>
      <w:r>
        <w:rPr>
          <w:rFonts w:asciiTheme="minorHAnsi" w:eastAsiaTheme="minorEastAsia" w:hAnsiTheme="minorHAnsi" w:cstheme="minorBidi"/>
          <w:noProof/>
          <w:kern w:val="2"/>
          <w:sz w:val="24"/>
          <w:szCs w:val="24"/>
          <w14:ligatures w14:val="standardContextual"/>
        </w:rPr>
        <w:tab/>
      </w:r>
      <w:r>
        <w:rPr>
          <w:noProof/>
        </w:rPr>
        <w:t>Conclusions &amp; Recommendations</w:t>
      </w:r>
      <w:r>
        <w:rPr>
          <w:noProof/>
          <w:webHidden/>
        </w:rPr>
        <w:tab/>
      </w:r>
      <w:r>
        <w:rPr>
          <w:noProof/>
          <w:webHidden/>
        </w:rPr>
        <w:fldChar w:fldCharType="begin"/>
      </w:r>
      <w:r>
        <w:rPr>
          <w:noProof/>
          <w:webHidden/>
        </w:rPr>
        <w:instrText xml:space="preserve"> PAGEREF _Toc213766870 \h </w:instrText>
      </w:r>
      <w:r>
        <w:rPr>
          <w:noProof/>
          <w:webHidden/>
        </w:rPr>
      </w:r>
      <w:r>
        <w:rPr>
          <w:noProof/>
          <w:webHidden/>
        </w:rPr>
        <w:fldChar w:fldCharType="separate"/>
      </w:r>
      <w:r>
        <w:rPr>
          <w:noProof/>
          <w:webHidden/>
        </w:rPr>
        <w:t>47</w:t>
      </w:r>
      <w:r>
        <w:rPr>
          <w:noProof/>
          <w:webHidden/>
        </w:rPr>
        <w:fldChar w:fldCharType="end"/>
      </w:r>
    </w:p>
    <w:p w14:paraId="7076CD90" w14:textId="3E7C3383" w:rsidR="00220F39" w:rsidRDefault="000E67F7" w:rsidP="008D762A">
      <w:pPr>
        <w:pStyle w:val="TOC1"/>
      </w:pPr>
      <w:r>
        <w:fldChar w:fldCharType="end"/>
      </w:r>
    </w:p>
    <w:p w14:paraId="265B8975" w14:textId="77777777" w:rsidR="00220F39" w:rsidRDefault="00220F39">
      <w:pPr>
        <w:spacing w:after="160" w:line="259" w:lineRule="auto"/>
        <w:jc w:val="left"/>
      </w:pPr>
      <w:r>
        <w:br w:type="page"/>
      </w:r>
    </w:p>
    <w:p w14:paraId="34FD6E75" w14:textId="64C45FB0" w:rsidR="00220F39" w:rsidRPr="00220F39" w:rsidRDefault="00220F39" w:rsidP="008D762A">
      <w:pPr>
        <w:pStyle w:val="TOC1"/>
        <w:rPr>
          <w:rFonts w:eastAsiaTheme="minorEastAsia"/>
          <w:b/>
          <w:bCs/>
          <w:noProof/>
          <w:kern w:val="2"/>
          <w:sz w:val="24"/>
          <w:szCs w:val="24"/>
          <w14:ligatures w14:val="standardContextual"/>
        </w:rPr>
      </w:pPr>
      <w:r w:rsidRPr="6409DE2E">
        <w:rPr>
          <w:rFonts w:eastAsiaTheme="minorEastAsia"/>
          <w:b/>
          <w:bCs/>
          <w:noProof/>
          <w:kern w:val="2"/>
          <w:sz w:val="24"/>
          <w:szCs w:val="24"/>
          <w14:ligatures w14:val="standardContextual"/>
        </w:rPr>
        <w:lastRenderedPageBreak/>
        <w:t>Table</w:t>
      </w:r>
      <w:r w:rsidRPr="00220F39">
        <w:rPr>
          <w:rFonts w:eastAsiaTheme="minorEastAsia"/>
          <w:b/>
          <w:bCs/>
          <w:noProof/>
          <w:kern w:val="2"/>
          <w:sz w:val="24"/>
          <w:szCs w:val="24"/>
          <w14:ligatures w14:val="standardContextual"/>
        </w:rPr>
        <w:t xml:space="preserve"> of Tables</w:t>
      </w:r>
    </w:p>
    <w:p w14:paraId="0C2ECF68" w14:textId="64FEC279" w:rsidR="00BF0CC9" w:rsidRDefault="00220F39">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13766871" w:history="1">
        <w:r w:rsidR="00BF0CC9" w:rsidRPr="00971D5B">
          <w:rPr>
            <w:rStyle w:val="Hyperlink"/>
            <w:noProof/>
          </w:rPr>
          <w:t>Table 1: B2026 Adjusted Summer Peak Forecast (MW)</w:t>
        </w:r>
        <w:r w:rsidR="00BF0CC9">
          <w:rPr>
            <w:noProof/>
            <w:webHidden/>
          </w:rPr>
          <w:tab/>
        </w:r>
        <w:r w:rsidR="00BF0CC9">
          <w:rPr>
            <w:noProof/>
            <w:webHidden/>
          </w:rPr>
          <w:fldChar w:fldCharType="begin"/>
        </w:r>
        <w:r w:rsidR="00BF0CC9">
          <w:rPr>
            <w:noProof/>
            <w:webHidden/>
          </w:rPr>
          <w:instrText xml:space="preserve"> PAGEREF _Toc213766871 \h </w:instrText>
        </w:r>
        <w:r w:rsidR="00BF0CC9">
          <w:rPr>
            <w:noProof/>
            <w:webHidden/>
          </w:rPr>
        </w:r>
        <w:r w:rsidR="00BF0CC9">
          <w:rPr>
            <w:noProof/>
            <w:webHidden/>
          </w:rPr>
          <w:fldChar w:fldCharType="separate"/>
        </w:r>
        <w:r w:rsidR="00BF0CC9">
          <w:rPr>
            <w:noProof/>
            <w:webHidden/>
          </w:rPr>
          <w:t>11</w:t>
        </w:r>
        <w:r w:rsidR="00BF0CC9">
          <w:rPr>
            <w:noProof/>
            <w:webHidden/>
          </w:rPr>
          <w:fldChar w:fldCharType="end"/>
        </w:r>
      </w:hyperlink>
    </w:p>
    <w:p w14:paraId="7AD77F8D" w14:textId="31643CF3"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72" w:history="1">
        <w:r w:rsidRPr="00971D5B">
          <w:rPr>
            <w:rStyle w:val="Hyperlink"/>
            <w:noProof/>
          </w:rPr>
          <w:t>Table 2: Large Load Contribution to B2026 Projected Summer Peak (%)</w:t>
        </w:r>
        <w:r>
          <w:rPr>
            <w:noProof/>
            <w:webHidden/>
          </w:rPr>
          <w:tab/>
        </w:r>
        <w:r>
          <w:rPr>
            <w:noProof/>
            <w:webHidden/>
          </w:rPr>
          <w:fldChar w:fldCharType="begin"/>
        </w:r>
        <w:r>
          <w:rPr>
            <w:noProof/>
            <w:webHidden/>
          </w:rPr>
          <w:instrText xml:space="preserve"> PAGEREF _Toc213766872 \h </w:instrText>
        </w:r>
        <w:r>
          <w:rPr>
            <w:noProof/>
            <w:webHidden/>
          </w:rPr>
        </w:r>
        <w:r>
          <w:rPr>
            <w:noProof/>
            <w:webHidden/>
          </w:rPr>
          <w:fldChar w:fldCharType="separate"/>
        </w:r>
        <w:r>
          <w:rPr>
            <w:noProof/>
            <w:webHidden/>
          </w:rPr>
          <w:t>12</w:t>
        </w:r>
        <w:r>
          <w:rPr>
            <w:noProof/>
            <w:webHidden/>
          </w:rPr>
          <w:fldChar w:fldCharType="end"/>
        </w:r>
      </w:hyperlink>
    </w:p>
    <w:p w14:paraId="38453BF5" w14:textId="577E6709"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73" w:history="1">
        <w:r w:rsidRPr="00971D5B">
          <w:rPr>
            <w:rStyle w:val="Hyperlink"/>
            <w:noProof/>
          </w:rPr>
          <w:t>Table 3: Near-Term Peak Forecast Comparison (MW)</w:t>
        </w:r>
        <w:r>
          <w:rPr>
            <w:noProof/>
            <w:webHidden/>
          </w:rPr>
          <w:tab/>
        </w:r>
        <w:r>
          <w:rPr>
            <w:noProof/>
            <w:webHidden/>
          </w:rPr>
          <w:fldChar w:fldCharType="begin"/>
        </w:r>
        <w:r>
          <w:rPr>
            <w:noProof/>
            <w:webHidden/>
          </w:rPr>
          <w:instrText xml:space="preserve"> PAGEREF _Toc213766873 \h </w:instrText>
        </w:r>
        <w:r>
          <w:rPr>
            <w:noProof/>
            <w:webHidden/>
          </w:rPr>
        </w:r>
        <w:r>
          <w:rPr>
            <w:noProof/>
            <w:webHidden/>
          </w:rPr>
          <w:fldChar w:fldCharType="separate"/>
        </w:r>
        <w:r>
          <w:rPr>
            <w:noProof/>
            <w:webHidden/>
          </w:rPr>
          <w:t>15</w:t>
        </w:r>
        <w:r>
          <w:rPr>
            <w:noProof/>
            <w:webHidden/>
          </w:rPr>
          <w:fldChar w:fldCharType="end"/>
        </w:r>
      </w:hyperlink>
    </w:p>
    <w:p w14:paraId="531A0A08" w14:textId="6A26520C"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74" w:history="1">
        <w:r w:rsidRPr="00971D5B">
          <w:rPr>
            <w:rStyle w:val="Hyperlink"/>
            <w:noProof/>
          </w:rPr>
          <w:t>Table 4: LRM Contributions to Near-Term Summer Coincident Peak Load Reductions  from the B2025 to B2026 Forecast (MW)</w:t>
        </w:r>
        <w:r>
          <w:rPr>
            <w:noProof/>
            <w:webHidden/>
          </w:rPr>
          <w:tab/>
        </w:r>
        <w:r>
          <w:rPr>
            <w:noProof/>
            <w:webHidden/>
          </w:rPr>
          <w:fldChar w:fldCharType="begin"/>
        </w:r>
        <w:r>
          <w:rPr>
            <w:noProof/>
            <w:webHidden/>
          </w:rPr>
          <w:instrText xml:space="preserve"> PAGEREF _Toc213766874 \h </w:instrText>
        </w:r>
        <w:r>
          <w:rPr>
            <w:noProof/>
            <w:webHidden/>
          </w:rPr>
        </w:r>
        <w:r>
          <w:rPr>
            <w:noProof/>
            <w:webHidden/>
          </w:rPr>
          <w:fldChar w:fldCharType="separate"/>
        </w:r>
        <w:r>
          <w:rPr>
            <w:noProof/>
            <w:webHidden/>
          </w:rPr>
          <w:t>16</w:t>
        </w:r>
        <w:r>
          <w:rPr>
            <w:noProof/>
            <w:webHidden/>
          </w:rPr>
          <w:fldChar w:fldCharType="end"/>
        </w:r>
      </w:hyperlink>
    </w:p>
    <w:p w14:paraId="28FFC18E" w14:textId="6DF2D774"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75" w:history="1">
        <w:r w:rsidRPr="00971D5B">
          <w:rPr>
            <w:rStyle w:val="Hyperlink"/>
            <w:noProof/>
          </w:rPr>
          <w:t>Table 5: Class Contributions to Long-Term Summer Coincident Peak Load Growth  from the B2025 to B2026 Forecast (MW)</w:t>
        </w:r>
        <w:r>
          <w:rPr>
            <w:noProof/>
            <w:webHidden/>
          </w:rPr>
          <w:tab/>
        </w:r>
        <w:r>
          <w:rPr>
            <w:noProof/>
            <w:webHidden/>
          </w:rPr>
          <w:fldChar w:fldCharType="begin"/>
        </w:r>
        <w:r>
          <w:rPr>
            <w:noProof/>
            <w:webHidden/>
          </w:rPr>
          <w:instrText xml:space="preserve"> PAGEREF _Toc213766875 \h </w:instrText>
        </w:r>
        <w:r>
          <w:rPr>
            <w:noProof/>
            <w:webHidden/>
          </w:rPr>
        </w:r>
        <w:r>
          <w:rPr>
            <w:noProof/>
            <w:webHidden/>
          </w:rPr>
          <w:fldChar w:fldCharType="separate"/>
        </w:r>
        <w:r>
          <w:rPr>
            <w:noProof/>
            <w:webHidden/>
          </w:rPr>
          <w:t>19</w:t>
        </w:r>
        <w:r>
          <w:rPr>
            <w:noProof/>
            <w:webHidden/>
          </w:rPr>
          <w:fldChar w:fldCharType="end"/>
        </w:r>
      </w:hyperlink>
    </w:p>
    <w:p w14:paraId="76B12698" w14:textId="7B99FBC9"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76" w:history="1">
        <w:r w:rsidRPr="00971D5B">
          <w:rPr>
            <w:rStyle w:val="Hyperlink"/>
            <w:noProof/>
          </w:rPr>
          <w:t>Table 6: Expected vs. Actual Materialization of LRM, Test Year 2025, Adjustment Basis</w:t>
        </w:r>
        <w:r>
          <w:rPr>
            <w:noProof/>
            <w:webHidden/>
          </w:rPr>
          <w:tab/>
        </w:r>
        <w:r>
          <w:rPr>
            <w:noProof/>
            <w:webHidden/>
          </w:rPr>
          <w:fldChar w:fldCharType="begin"/>
        </w:r>
        <w:r>
          <w:rPr>
            <w:noProof/>
            <w:webHidden/>
          </w:rPr>
          <w:instrText xml:space="preserve"> PAGEREF _Toc213766876 \h </w:instrText>
        </w:r>
        <w:r>
          <w:rPr>
            <w:noProof/>
            <w:webHidden/>
          </w:rPr>
        </w:r>
        <w:r>
          <w:rPr>
            <w:noProof/>
            <w:webHidden/>
          </w:rPr>
          <w:fldChar w:fldCharType="separate"/>
        </w:r>
        <w:r>
          <w:rPr>
            <w:noProof/>
            <w:webHidden/>
          </w:rPr>
          <w:t>23</w:t>
        </w:r>
        <w:r>
          <w:rPr>
            <w:noProof/>
            <w:webHidden/>
          </w:rPr>
          <w:fldChar w:fldCharType="end"/>
        </w:r>
      </w:hyperlink>
    </w:p>
    <w:p w14:paraId="05229666" w14:textId="5BD17D98"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77" w:history="1">
        <w:r w:rsidRPr="00971D5B">
          <w:rPr>
            <w:rStyle w:val="Hyperlink"/>
            <w:noProof/>
          </w:rPr>
          <w:t>Table 7: Segment Analysis of Reduced Materialization for Operating Projects vs. Expectations</w:t>
        </w:r>
        <w:r>
          <w:rPr>
            <w:noProof/>
            <w:webHidden/>
          </w:rPr>
          <w:tab/>
        </w:r>
        <w:r>
          <w:rPr>
            <w:noProof/>
            <w:webHidden/>
          </w:rPr>
          <w:fldChar w:fldCharType="begin"/>
        </w:r>
        <w:r>
          <w:rPr>
            <w:noProof/>
            <w:webHidden/>
          </w:rPr>
          <w:instrText xml:space="preserve"> PAGEREF _Toc213766877 \h </w:instrText>
        </w:r>
        <w:r>
          <w:rPr>
            <w:noProof/>
            <w:webHidden/>
          </w:rPr>
        </w:r>
        <w:r>
          <w:rPr>
            <w:noProof/>
            <w:webHidden/>
          </w:rPr>
          <w:fldChar w:fldCharType="separate"/>
        </w:r>
        <w:r>
          <w:rPr>
            <w:noProof/>
            <w:webHidden/>
          </w:rPr>
          <w:t>24</w:t>
        </w:r>
        <w:r>
          <w:rPr>
            <w:noProof/>
            <w:webHidden/>
          </w:rPr>
          <w:fldChar w:fldCharType="end"/>
        </w:r>
      </w:hyperlink>
    </w:p>
    <w:p w14:paraId="1AF0803A" w14:textId="455FCAF9"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78" w:history="1">
        <w:r w:rsidRPr="00971D5B">
          <w:rPr>
            <w:rStyle w:val="Hyperlink"/>
            <w:noProof/>
          </w:rPr>
          <w:t>Table 8: Reported Project Delays for Data Center Projects</w:t>
        </w:r>
        <w:r>
          <w:rPr>
            <w:noProof/>
            <w:webHidden/>
          </w:rPr>
          <w:tab/>
        </w:r>
        <w:r>
          <w:rPr>
            <w:noProof/>
            <w:webHidden/>
          </w:rPr>
          <w:fldChar w:fldCharType="begin"/>
        </w:r>
        <w:r>
          <w:rPr>
            <w:noProof/>
            <w:webHidden/>
          </w:rPr>
          <w:instrText xml:space="preserve"> PAGEREF _Toc213766878 \h </w:instrText>
        </w:r>
        <w:r>
          <w:rPr>
            <w:noProof/>
            <w:webHidden/>
          </w:rPr>
        </w:r>
        <w:r>
          <w:rPr>
            <w:noProof/>
            <w:webHidden/>
          </w:rPr>
          <w:fldChar w:fldCharType="separate"/>
        </w:r>
        <w:r>
          <w:rPr>
            <w:noProof/>
            <w:webHidden/>
          </w:rPr>
          <w:t>26</w:t>
        </w:r>
        <w:r>
          <w:rPr>
            <w:noProof/>
            <w:webHidden/>
          </w:rPr>
          <w:fldChar w:fldCharType="end"/>
        </w:r>
      </w:hyperlink>
    </w:p>
    <w:p w14:paraId="1773FB41" w14:textId="5629E2AB"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79" w:history="1">
        <w:r w:rsidRPr="00971D5B">
          <w:rPr>
            <w:rStyle w:val="Hyperlink"/>
            <w:noProof/>
          </w:rPr>
          <w:t>Table 9: Reported Project Removals for Data Center Projects</w:t>
        </w:r>
        <w:r>
          <w:rPr>
            <w:noProof/>
            <w:webHidden/>
          </w:rPr>
          <w:tab/>
        </w:r>
        <w:r>
          <w:rPr>
            <w:noProof/>
            <w:webHidden/>
          </w:rPr>
          <w:fldChar w:fldCharType="begin"/>
        </w:r>
        <w:r>
          <w:rPr>
            <w:noProof/>
            <w:webHidden/>
          </w:rPr>
          <w:instrText xml:space="preserve"> PAGEREF _Toc213766879 \h </w:instrText>
        </w:r>
        <w:r>
          <w:rPr>
            <w:noProof/>
            <w:webHidden/>
          </w:rPr>
        </w:r>
        <w:r>
          <w:rPr>
            <w:noProof/>
            <w:webHidden/>
          </w:rPr>
          <w:fldChar w:fldCharType="separate"/>
        </w:r>
        <w:r>
          <w:rPr>
            <w:noProof/>
            <w:webHidden/>
          </w:rPr>
          <w:t>28</w:t>
        </w:r>
        <w:r>
          <w:rPr>
            <w:noProof/>
            <w:webHidden/>
          </w:rPr>
          <w:fldChar w:fldCharType="end"/>
        </w:r>
      </w:hyperlink>
    </w:p>
    <w:p w14:paraId="577A9958" w14:textId="5E00BFFF"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0" w:history="1">
        <w:r w:rsidRPr="00971D5B">
          <w:rPr>
            <w:rStyle w:val="Hyperlink"/>
            <w:noProof/>
          </w:rPr>
          <w:t>Table 10: Adjustment Scenario Impact on B2026 Forecast</w:t>
        </w:r>
        <w:r>
          <w:rPr>
            <w:noProof/>
            <w:webHidden/>
          </w:rPr>
          <w:tab/>
        </w:r>
        <w:r>
          <w:rPr>
            <w:noProof/>
            <w:webHidden/>
          </w:rPr>
          <w:fldChar w:fldCharType="begin"/>
        </w:r>
        <w:r>
          <w:rPr>
            <w:noProof/>
            <w:webHidden/>
          </w:rPr>
          <w:instrText xml:space="preserve"> PAGEREF _Toc213766880 \h </w:instrText>
        </w:r>
        <w:r>
          <w:rPr>
            <w:noProof/>
            <w:webHidden/>
          </w:rPr>
        </w:r>
        <w:r>
          <w:rPr>
            <w:noProof/>
            <w:webHidden/>
          </w:rPr>
          <w:fldChar w:fldCharType="separate"/>
        </w:r>
        <w:r>
          <w:rPr>
            <w:noProof/>
            <w:webHidden/>
          </w:rPr>
          <w:t>34</w:t>
        </w:r>
        <w:r>
          <w:rPr>
            <w:noProof/>
            <w:webHidden/>
          </w:rPr>
          <w:fldChar w:fldCharType="end"/>
        </w:r>
      </w:hyperlink>
    </w:p>
    <w:p w14:paraId="1559AFAB" w14:textId="6F232FCA"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1" w:history="1">
        <w:r w:rsidRPr="00971D5B">
          <w:rPr>
            <w:rStyle w:val="Hyperlink"/>
            <w:noProof/>
          </w:rPr>
          <w:t>Table 11: LRM Implied Discount Factor</w:t>
        </w:r>
        <w:r>
          <w:rPr>
            <w:noProof/>
            <w:webHidden/>
          </w:rPr>
          <w:tab/>
        </w:r>
        <w:r>
          <w:rPr>
            <w:noProof/>
            <w:webHidden/>
          </w:rPr>
          <w:fldChar w:fldCharType="begin"/>
        </w:r>
        <w:r>
          <w:rPr>
            <w:noProof/>
            <w:webHidden/>
          </w:rPr>
          <w:instrText xml:space="preserve"> PAGEREF _Toc213766881 \h </w:instrText>
        </w:r>
        <w:r>
          <w:rPr>
            <w:noProof/>
            <w:webHidden/>
          </w:rPr>
        </w:r>
        <w:r>
          <w:rPr>
            <w:noProof/>
            <w:webHidden/>
          </w:rPr>
          <w:fldChar w:fldCharType="separate"/>
        </w:r>
        <w:r>
          <w:rPr>
            <w:noProof/>
            <w:webHidden/>
          </w:rPr>
          <w:t>36</w:t>
        </w:r>
        <w:r>
          <w:rPr>
            <w:noProof/>
            <w:webHidden/>
          </w:rPr>
          <w:fldChar w:fldCharType="end"/>
        </w:r>
      </w:hyperlink>
    </w:p>
    <w:p w14:paraId="2CB4FFC6" w14:textId="31B4781A"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2" w:history="1">
        <w:r w:rsidRPr="00971D5B">
          <w:rPr>
            <w:rStyle w:val="Hyperlink"/>
            <w:noProof/>
          </w:rPr>
          <w:t>Table 12: P1 Variable Options</w:t>
        </w:r>
        <w:r>
          <w:rPr>
            <w:noProof/>
            <w:webHidden/>
          </w:rPr>
          <w:tab/>
        </w:r>
        <w:r>
          <w:rPr>
            <w:noProof/>
            <w:webHidden/>
          </w:rPr>
          <w:fldChar w:fldCharType="begin"/>
        </w:r>
        <w:r>
          <w:rPr>
            <w:noProof/>
            <w:webHidden/>
          </w:rPr>
          <w:instrText xml:space="preserve"> PAGEREF _Toc213766882 \h </w:instrText>
        </w:r>
        <w:r>
          <w:rPr>
            <w:noProof/>
            <w:webHidden/>
          </w:rPr>
        </w:r>
        <w:r>
          <w:rPr>
            <w:noProof/>
            <w:webHidden/>
          </w:rPr>
          <w:fldChar w:fldCharType="separate"/>
        </w:r>
        <w:r>
          <w:rPr>
            <w:noProof/>
            <w:webHidden/>
          </w:rPr>
          <w:t>42</w:t>
        </w:r>
        <w:r>
          <w:rPr>
            <w:noProof/>
            <w:webHidden/>
          </w:rPr>
          <w:fldChar w:fldCharType="end"/>
        </w:r>
      </w:hyperlink>
    </w:p>
    <w:p w14:paraId="36C521CD" w14:textId="36980B4A"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3" w:history="1">
        <w:r w:rsidRPr="00971D5B">
          <w:rPr>
            <w:rStyle w:val="Hyperlink"/>
            <w:noProof/>
          </w:rPr>
          <w:t>Table 13: LRM P1 Assumption Comparison</w:t>
        </w:r>
        <w:r>
          <w:rPr>
            <w:noProof/>
            <w:webHidden/>
          </w:rPr>
          <w:tab/>
        </w:r>
        <w:r>
          <w:rPr>
            <w:noProof/>
            <w:webHidden/>
          </w:rPr>
          <w:fldChar w:fldCharType="begin"/>
        </w:r>
        <w:r>
          <w:rPr>
            <w:noProof/>
            <w:webHidden/>
          </w:rPr>
          <w:instrText xml:space="preserve"> PAGEREF _Toc213766883 \h </w:instrText>
        </w:r>
        <w:r>
          <w:rPr>
            <w:noProof/>
            <w:webHidden/>
          </w:rPr>
        </w:r>
        <w:r>
          <w:rPr>
            <w:noProof/>
            <w:webHidden/>
          </w:rPr>
          <w:fldChar w:fldCharType="separate"/>
        </w:r>
        <w:r>
          <w:rPr>
            <w:noProof/>
            <w:webHidden/>
          </w:rPr>
          <w:t>43</w:t>
        </w:r>
        <w:r>
          <w:rPr>
            <w:noProof/>
            <w:webHidden/>
          </w:rPr>
          <w:fldChar w:fldCharType="end"/>
        </w:r>
      </w:hyperlink>
    </w:p>
    <w:p w14:paraId="43AE8B44" w14:textId="513FB1CB"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4" w:history="1">
        <w:r w:rsidRPr="00971D5B">
          <w:rPr>
            <w:rStyle w:val="Hyperlink"/>
            <w:noProof/>
          </w:rPr>
          <w:t>Table 14: LRM Materialization Assumptions</w:t>
        </w:r>
        <w:r>
          <w:rPr>
            <w:noProof/>
            <w:webHidden/>
          </w:rPr>
          <w:tab/>
        </w:r>
        <w:r>
          <w:rPr>
            <w:noProof/>
            <w:webHidden/>
          </w:rPr>
          <w:fldChar w:fldCharType="begin"/>
        </w:r>
        <w:r>
          <w:rPr>
            <w:noProof/>
            <w:webHidden/>
          </w:rPr>
          <w:instrText xml:space="preserve"> PAGEREF _Toc213766884 \h </w:instrText>
        </w:r>
        <w:r>
          <w:rPr>
            <w:noProof/>
            <w:webHidden/>
          </w:rPr>
        </w:r>
        <w:r>
          <w:rPr>
            <w:noProof/>
            <w:webHidden/>
          </w:rPr>
          <w:fldChar w:fldCharType="separate"/>
        </w:r>
        <w:r>
          <w:rPr>
            <w:noProof/>
            <w:webHidden/>
          </w:rPr>
          <w:t>44</w:t>
        </w:r>
        <w:r>
          <w:rPr>
            <w:noProof/>
            <w:webHidden/>
          </w:rPr>
          <w:fldChar w:fldCharType="end"/>
        </w:r>
      </w:hyperlink>
    </w:p>
    <w:p w14:paraId="4931166A" w14:textId="1A2188B8" w:rsidR="00220F39" w:rsidRPr="00220F39" w:rsidRDefault="00220F39" w:rsidP="001342EA">
      <w:pPr>
        <w:spacing w:line="276" w:lineRule="auto"/>
      </w:pPr>
      <w:r>
        <w:fldChar w:fldCharType="end"/>
      </w:r>
    </w:p>
    <w:p w14:paraId="75DDE4C7" w14:textId="239C6151" w:rsidR="009E7506" w:rsidRPr="001342EA" w:rsidRDefault="00220F39" w:rsidP="001342EA">
      <w:pPr>
        <w:pStyle w:val="TOC1"/>
        <w:rPr>
          <w:rFonts w:eastAsiaTheme="minorEastAsia"/>
          <w:b/>
          <w:bCs/>
          <w:noProof/>
          <w:kern w:val="2"/>
          <w:sz w:val="24"/>
          <w:szCs w:val="24"/>
          <w14:ligatures w14:val="standardContextual"/>
        </w:rPr>
      </w:pPr>
      <w:r w:rsidRPr="00220F39">
        <w:rPr>
          <w:rFonts w:eastAsiaTheme="minorEastAsia"/>
          <w:b/>
          <w:bCs/>
          <w:noProof/>
          <w:kern w:val="2"/>
          <w:sz w:val="24"/>
          <w:szCs w:val="24"/>
          <w14:ligatures w14:val="standardContextual"/>
        </w:rPr>
        <w:t>Table of Figures</w:t>
      </w:r>
    </w:p>
    <w:p w14:paraId="211F11ED" w14:textId="339ED197" w:rsidR="00BF0CC9" w:rsidRDefault="001342EA">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b/>
          <w:bCs/>
          <w:sz w:val="24"/>
          <w:szCs w:val="24"/>
        </w:rPr>
        <w:fldChar w:fldCharType="begin"/>
      </w:r>
      <w:r>
        <w:rPr>
          <w:b/>
          <w:bCs/>
          <w:sz w:val="24"/>
          <w:szCs w:val="24"/>
        </w:rPr>
        <w:instrText xml:space="preserve"> TOC \h \z \c "Figure" </w:instrText>
      </w:r>
      <w:r>
        <w:rPr>
          <w:b/>
          <w:bCs/>
          <w:sz w:val="24"/>
          <w:szCs w:val="24"/>
        </w:rPr>
        <w:fldChar w:fldCharType="separate"/>
      </w:r>
      <w:hyperlink w:anchor="_Toc213766885" w:history="1">
        <w:r w:rsidR="00BF0CC9" w:rsidRPr="000B79E5">
          <w:rPr>
            <w:rStyle w:val="Hyperlink"/>
            <w:noProof/>
          </w:rPr>
          <w:t>Figure 1: B2026 Peak Forecast Summary</w:t>
        </w:r>
        <w:r w:rsidR="00BF0CC9">
          <w:rPr>
            <w:noProof/>
            <w:webHidden/>
          </w:rPr>
          <w:tab/>
        </w:r>
        <w:r w:rsidR="00BF0CC9">
          <w:rPr>
            <w:noProof/>
            <w:webHidden/>
          </w:rPr>
          <w:fldChar w:fldCharType="begin"/>
        </w:r>
        <w:r w:rsidR="00BF0CC9">
          <w:rPr>
            <w:noProof/>
            <w:webHidden/>
          </w:rPr>
          <w:instrText xml:space="preserve"> PAGEREF _Toc213766885 \h </w:instrText>
        </w:r>
        <w:r w:rsidR="00BF0CC9">
          <w:rPr>
            <w:noProof/>
            <w:webHidden/>
          </w:rPr>
        </w:r>
        <w:r w:rsidR="00BF0CC9">
          <w:rPr>
            <w:noProof/>
            <w:webHidden/>
          </w:rPr>
          <w:fldChar w:fldCharType="separate"/>
        </w:r>
        <w:r w:rsidR="00BF0CC9">
          <w:rPr>
            <w:noProof/>
            <w:webHidden/>
          </w:rPr>
          <w:t>9</w:t>
        </w:r>
        <w:r w:rsidR="00BF0CC9">
          <w:rPr>
            <w:noProof/>
            <w:webHidden/>
          </w:rPr>
          <w:fldChar w:fldCharType="end"/>
        </w:r>
      </w:hyperlink>
    </w:p>
    <w:p w14:paraId="3FFF66E6" w14:textId="70685D61"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6" w:history="1">
        <w:r w:rsidRPr="000B79E5">
          <w:rPr>
            <w:rStyle w:val="Hyperlink"/>
            <w:noProof/>
          </w:rPr>
          <w:t>Figure 2: Summer Peak Forecast Changes</w:t>
        </w:r>
        <w:r>
          <w:rPr>
            <w:noProof/>
            <w:webHidden/>
          </w:rPr>
          <w:tab/>
        </w:r>
        <w:r>
          <w:rPr>
            <w:noProof/>
            <w:webHidden/>
          </w:rPr>
          <w:fldChar w:fldCharType="begin"/>
        </w:r>
        <w:r>
          <w:rPr>
            <w:noProof/>
            <w:webHidden/>
          </w:rPr>
          <w:instrText xml:space="preserve"> PAGEREF _Toc213766886 \h </w:instrText>
        </w:r>
        <w:r>
          <w:rPr>
            <w:noProof/>
            <w:webHidden/>
          </w:rPr>
        </w:r>
        <w:r>
          <w:rPr>
            <w:noProof/>
            <w:webHidden/>
          </w:rPr>
          <w:fldChar w:fldCharType="separate"/>
        </w:r>
        <w:r>
          <w:rPr>
            <w:noProof/>
            <w:webHidden/>
          </w:rPr>
          <w:t>13</w:t>
        </w:r>
        <w:r>
          <w:rPr>
            <w:noProof/>
            <w:webHidden/>
          </w:rPr>
          <w:fldChar w:fldCharType="end"/>
        </w:r>
      </w:hyperlink>
    </w:p>
    <w:p w14:paraId="441B4911" w14:textId="39FDA298"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7" w:history="1">
        <w:r w:rsidRPr="000B79E5">
          <w:rPr>
            <w:rStyle w:val="Hyperlink"/>
            <w:noProof/>
          </w:rPr>
          <w:t>Figure 3: Winter Peak Forecast Changes</w:t>
        </w:r>
        <w:r>
          <w:rPr>
            <w:noProof/>
            <w:webHidden/>
          </w:rPr>
          <w:tab/>
        </w:r>
        <w:r>
          <w:rPr>
            <w:noProof/>
            <w:webHidden/>
          </w:rPr>
          <w:fldChar w:fldCharType="begin"/>
        </w:r>
        <w:r>
          <w:rPr>
            <w:noProof/>
            <w:webHidden/>
          </w:rPr>
          <w:instrText xml:space="preserve"> PAGEREF _Toc213766887 \h </w:instrText>
        </w:r>
        <w:r>
          <w:rPr>
            <w:noProof/>
            <w:webHidden/>
          </w:rPr>
        </w:r>
        <w:r>
          <w:rPr>
            <w:noProof/>
            <w:webHidden/>
          </w:rPr>
          <w:fldChar w:fldCharType="separate"/>
        </w:r>
        <w:r>
          <w:rPr>
            <w:noProof/>
            <w:webHidden/>
          </w:rPr>
          <w:t>13</w:t>
        </w:r>
        <w:r>
          <w:rPr>
            <w:noProof/>
            <w:webHidden/>
          </w:rPr>
          <w:fldChar w:fldCharType="end"/>
        </w:r>
      </w:hyperlink>
    </w:p>
    <w:p w14:paraId="65CEDDE6" w14:textId="6748C442"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8" w:history="1">
        <w:r w:rsidRPr="000B79E5">
          <w:rPr>
            <w:rStyle w:val="Hyperlink"/>
            <w:noProof/>
          </w:rPr>
          <w:t>Figure 4: Summer Peak Forecast, Near-Term Changes</w:t>
        </w:r>
        <w:r>
          <w:rPr>
            <w:noProof/>
            <w:webHidden/>
          </w:rPr>
          <w:tab/>
        </w:r>
        <w:r>
          <w:rPr>
            <w:noProof/>
            <w:webHidden/>
          </w:rPr>
          <w:fldChar w:fldCharType="begin"/>
        </w:r>
        <w:r>
          <w:rPr>
            <w:noProof/>
            <w:webHidden/>
          </w:rPr>
          <w:instrText xml:space="preserve"> PAGEREF _Toc213766888 \h </w:instrText>
        </w:r>
        <w:r>
          <w:rPr>
            <w:noProof/>
            <w:webHidden/>
          </w:rPr>
        </w:r>
        <w:r>
          <w:rPr>
            <w:noProof/>
            <w:webHidden/>
          </w:rPr>
          <w:fldChar w:fldCharType="separate"/>
        </w:r>
        <w:r>
          <w:rPr>
            <w:noProof/>
            <w:webHidden/>
          </w:rPr>
          <w:t>14</w:t>
        </w:r>
        <w:r>
          <w:rPr>
            <w:noProof/>
            <w:webHidden/>
          </w:rPr>
          <w:fldChar w:fldCharType="end"/>
        </w:r>
      </w:hyperlink>
    </w:p>
    <w:p w14:paraId="4C23C0C2" w14:textId="61C55467"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89" w:history="1">
        <w:r w:rsidRPr="000B79E5">
          <w:rPr>
            <w:rStyle w:val="Hyperlink"/>
            <w:noProof/>
          </w:rPr>
          <w:t>Figure 5: Winter Peak Forecast, Near-Term Changes</w:t>
        </w:r>
        <w:r>
          <w:rPr>
            <w:noProof/>
            <w:webHidden/>
          </w:rPr>
          <w:tab/>
        </w:r>
        <w:r>
          <w:rPr>
            <w:noProof/>
            <w:webHidden/>
          </w:rPr>
          <w:fldChar w:fldCharType="begin"/>
        </w:r>
        <w:r>
          <w:rPr>
            <w:noProof/>
            <w:webHidden/>
          </w:rPr>
          <w:instrText xml:space="preserve"> PAGEREF _Toc213766889 \h </w:instrText>
        </w:r>
        <w:r>
          <w:rPr>
            <w:noProof/>
            <w:webHidden/>
          </w:rPr>
        </w:r>
        <w:r>
          <w:rPr>
            <w:noProof/>
            <w:webHidden/>
          </w:rPr>
          <w:fldChar w:fldCharType="separate"/>
        </w:r>
        <w:r>
          <w:rPr>
            <w:noProof/>
            <w:webHidden/>
          </w:rPr>
          <w:t>14</w:t>
        </w:r>
        <w:r>
          <w:rPr>
            <w:noProof/>
            <w:webHidden/>
          </w:rPr>
          <w:fldChar w:fldCharType="end"/>
        </w:r>
      </w:hyperlink>
    </w:p>
    <w:p w14:paraId="12A6A427" w14:textId="496D88E3"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90" w:history="1">
        <w:r w:rsidRPr="000B79E5">
          <w:rPr>
            <w:rStyle w:val="Hyperlink"/>
            <w:noProof/>
          </w:rPr>
          <w:t>Figure 6: Changes to Load Realization Model Pipeline, Announced Load Basis (MW)</w:t>
        </w:r>
        <w:r>
          <w:rPr>
            <w:noProof/>
            <w:webHidden/>
          </w:rPr>
          <w:tab/>
        </w:r>
        <w:r>
          <w:rPr>
            <w:noProof/>
            <w:webHidden/>
          </w:rPr>
          <w:fldChar w:fldCharType="begin"/>
        </w:r>
        <w:r>
          <w:rPr>
            <w:noProof/>
            <w:webHidden/>
          </w:rPr>
          <w:instrText xml:space="preserve"> PAGEREF _Toc213766890 \h </w:instrText>
        </w:r>
        <w:r>
          <w:rPr>
            <w:noProof/>
            <w:webHidden/>
          </w:rPr>
        </w:r>
        <w:r>
          <w:rPr>
            <w:noProof/>
            <w:webHidden/>
          </w:rPr>
          <w:fldChar w:fldCharType="separate"/>
        </w:r>
        <w:r>
          <w:rPr>
            <w:noProof/>
            <w:webHidden/>
          </w:rPr>
          <w:t>20</w:t>
        </w:r>
        <w:r>
          <w:rPr>
            <w:noProof/>
            <w:webHidden/>
          </w:rPr>
          <w:fldChar w:fldCharType="end"/>
        </w:r>
      </w:hyperlink>
    </w:p>
    <w:p w14:paraId="1DF41F32" w14:textId="6A4D4918"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91" w:history="1">
        <w:r w:rsidRPr="000B79E5">
          <w:rPr>
            <w:rStyle w:val="Hyperlink"/>
            <w:noProof/>
          </w:rPr>
          <w:t>Figure 7: Adjustment Scenario Impact on B2026 Forecast</w:t>
        </w:r>
        <w:r>
          <w:rPr>
            <w:noProof/>
            <w:webHidden/>
          </w:rPr>
          <w:tab/>
        </w:r>
        <w:r>
          <w:rPr>
            <w:noProof/>
            <w:webHidden/>
          </w:rPr>
          <w:fldChar w:fldCharType="begin"/>
        </w:r>
        <w:r>
          <w:rPr>
            <w:noProof/>
            <w:webHidden/>
          </w:rPr>
          <w:instrText xml:space="preserve"> PAGEREF _Toc213766891 \h </w:instrText>
        </w:r>
        <w:r>
          <w:rPr>
            <w:noProof/>
            <w:webHidden/>
          </w:rPr>
        </w:r>
        <w:r>
          <w:rPr>
            <w:noProof/>
            <w:webHidden/>
          </w:rPr>
          <w:fldChar w:fldCharType="separate"/>
        </w:r>
        <w:r>
          <w:rPr>
            <w:noProof/>
            <w:webHidden/>
          </w:rPr>
          <w:t>34</w:t>
        </w:r>
        <w:r>
          <w:rPr>
            <w:noProof/>
            <w:webHidden/>
          </w:rPr>
          <w:fldChar w:fldCharType="end"/>
        </w:r>
      </w:hyperlink>
    </w:p>
    <w:p w14:paraId="395D8F64" w14:textId="625DC3C9"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92" w:history="1">
        <w:r w:rsidRPr="000B79E5">
          <w:rPr>
            <w:rStyle w:val="Hyperlink"/>
            <w:noProof/>
          </w:rPr>
          <w:t>Figure 8: Summer Peak Forecast Scenarios</w:t>
        </w:r>
        <w:r>
          <w:rPr>
            <w:noProof/>
            <w:webHidden/>
          </w:rPr>
          <w:tab/>
        </w:r>
        <w:r>
          <w:rPr>
            <w:noProof/>
            <w:webHidden/>
          </w:rPr>
          <w:fldChar w:fldCharType="begin"/>
        </w:r>
        <w:r>
          <w:rPr>
            <w:noProof/>
            <w:webHidden/>
          </w:rPr>
          <w:instrText xml:space="preserve"> PAGEREF _Toc213766892 \h </w:instrText>
        </w:r>
        <w:r>
          <w:rPr>
            <w:noProof/>
            <w:webHidden/>
          </w:rPr>
        </w:r>
        <w:r>
          <w:rPr>
            <w:noProof/>
            <w:webHidden/>
          </w:rPr>
          <w:fldChar w:fldCharType="separate"/>
        </w:r>
        <w:r>
          <w:rPr>
            <w:noProof/>
            <w:webHidden/>
          </w:rPr>
          <w:t>35</w:t>
        </w:r>
        <w:r>
          <w:rPr>
            <w:noProof/>
            <w:webHidden/>
          </w:rPr>
          <w:fldChar w:fldCharType="end"/>
        </w:r>
      </w:hyperlink>
    </w:p>
    <w:p w14:paraId="5552BB14" w14:textId="4EB89F5E"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93" w:history="1">
        <w:r w:rsidRPr="000B79E5">
          <w:rPr>
            <w:rStyle w:val="Hyperlink"/>
            <w:noProof/>
          </w:rPr>
          <w:t>Figure 9: Winter Peak Forecast Scenarios</w:t>
        </w:r>
        <w:r>
          <w:rPr>
            <w:noProof/>
            <w:webHidden/>
          </w:rPr>
          <w:tab/>
        </w:r>
        <w:r>
          <w:rPr>
            <w:noProof/>
            <w:webHidden/>
          </w:rPr>
          <w:fldChar w:fldCharType="begin"/>
        </w:r>
        <w:r>
          <w:rPr>
            <w:noProof/>
            <w:webHidden/>
          </w:rPr>
          <w:instrText xml:space="preserve"> PAGEREF _Toc213766893 \h </w:instrText>
        </w:r>
        <w:r>
          <w:rPr>
            <w:noProof/>
            <w:webHidden/>
          </w:rPr>
        </w:r>
        <w:r>
          <w:rPr>
            <w:noProof/>
            <w:webHidden/>
          </w:rPr>
          <w:fldChar w:fldCharType="separate"/>
        </w:r>
        <w:r>
          <w:rPr>
            <w:noProof/>
            <w:webHidden/>
          </w:rPr>
          <w:t>35</w:t>
        </w:r>
        <w:r>
          <w:rPr>
            <w:noProof/>
            <w:webHidden/>
          </w:rPr>
          <w:fldChar w:fldCharType="end"/>
        </w:r>
      </w:hyperlink>
    </w:p>
    <w:p w14:paraId="61DFE09B" w14:textId="2F23F8B9" w:rsidR="00BF0CC9" w:rsidRDefault="00BF0CC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3766894" w:history="1">
        <w:r w:rsidRPr="000B79E5">
          <w:rPr>
            <w:rStyle w:val="Hyperlink"/>
            <w:noProof/>
          </w:rPr>
          <w:t>Figure 10:  Comparison of Company Capacity Expansion Request to Staff Scenario 1 by Contract Status and Associated Customer Protections</w:t>
        </w:r>
        <w:r>
          <w:rPr>
            <w:noProof/>
            <w:webHidden/>
          </w:rPr>
          <w:tab/>
        </w:r>
        <w:r>
          <w:rPr>
            <w:noProof/>
            <w:webHidden/>
          </w:rPr>
          <w:fldChar w:fldCharType="begin"/>
        </w:r>
        <w:r>
          <w:rPr>
            <w:noProof/>
            <w:webHidden/>
          </w:rPr>
          <w:instrText xml:space="preserve"> PAGEREF _Toc213766894 \h </w:instrText>
        </w:r>
        <w:r>
          <w:rPr>
            <w:noProof/>
            <w:webHidden/>
          </w:rPr>
        </w:r>
        <w:r>
          <w:rPr>
            <w:noProof/>
            <w:webHidden/>
          </w:rPr>
          <w:fldChar w:fldCharType="separate"/>
        </w:r>
        <w:r>
          <w:rPr>
            <w:noProof/>
            <w:webHidden/>
          </w:rPr>
          <w:t>38</w:t>
        </w:r>
        <w:r>
          <w:rPr>
            <w:noProof/>
            <w:webHidden/>
          </w:rPr>
          <w:fldChar w:fldCharType="end"/>
        </w:r>
      </w:hyperlink>
    </w:p>
    <w:p w14:paraId="3FE2945B" w14:textId="64B87B30" w:rsidR="001342EA" w:rsidRPr="00BA5ADE" w:rsidRDefault="001342EA" w:rsidP="7BA46F63">
      <w:pPr>
        <w:spacing w:line="480" w:lineRule="auto"/>
        <w:ind w:right="2340"/>
        <w:jc w:val="left"/>
        <w:rPr>
          <w:b/>
          <w:bCs/>
          <w:sz w:val="24"/>
          <w:szCs w:val="24"/>
        </w:rPr>
        <w:sectPr w:rsidR="001342EA" w:rsidRPr="00BA5ADE" w:rsidSect="00BB7697">
          <w:headerReference w:type="default" r:id="rId11"/>
          <w:footerReference w:type="default" r:id="rId12"/>
          <w:pgSz w:w="12240" w:h="15840"/>
          <w:pgMar w:top="1440" w:right="1440" w:bottom="1440" w:left="1440" w:header="720" w:footer="720" w:gutter="0"/>
          <w:cols w:space="720"/>
          <w:docGrid w:linePitch="360"/>
        </w:sectPr>
      </w:pPr>
      <w:r>
        <w:rPr>
          <w:b/>
          <w:bCs/>
          <w:sz w:val="24"/>
          <w:szCs w:val="24"/>
        </w:rPr>
        <w:fldChar w:fldCharType="end"/>
      </w:r>
    </w:p>
    <w:p w14:paraId="72622BEA" w14:textId="77777777" w:rsidR="009E7506" w:rsidRPr="00F35F4C" w:rsidRDefault="009E7506" w:rsidP="009E7506">
      <w:pPr>
        <w:tabs>
          <w:tab w:val="left" w:pos="2160"/>
          <w:tab w:val="center" w:pos="4680"/>
          <w:tab w:val="right" w:pos="9360"/>
        </w:tabs>
        <w:spacing w:line="480" w:lineRule="auto"/>
        <w:jc w:val="left"/>
        <w:rPr>
          <w:rFonts w:eastAsia="Calibri"/>
          <w:b/>
          <w:sz w:val="24"/>
          <w:szCs w:val="24"/>
          <w:u w:val="single"/>
        </w:rPr>
      </w:pPr>
      <w:r w:rsidRPr="00F35F4C">
        <w:rPr>
          <w:rFonts w:eastAsia="Calibri"/>
          <w:b/>
          <w:sz w:val="24"/>
          <w:szCs w:val="24"/>
          <w:u w:val="single"/>
        </w:rPr>
        <w:lastRenderedPageBreak/>
        <w:t>Staff Exhibit #</w:t>
      </w:r>
      <w:r w:rsidRPr="00F35F4C">
        <w:rPr>
          <w:rFonts w:eastAsia="Calibri"/>
          <w:b/>
          <w:sz w:val="24"/>
          <w:szCs w:val="24"/>
        </w:rPr>
        <w:tab/>
      </w:r>
      <w:r w:rsidRPr="00F35F4C">
        <w:rPr>
          <w:rFonts w:eastAsia="Calibri"/>
          <w:b/>
          <w:sz w:val="24"/>
          <w:szCs w:val="24"/>
          <w:u w:val="single"/>
        </w:rPr>
        <w:t>Description</w:t>
      </w:r>
    </w:p>
    <w:p w14:paraId="3B3BAD70" w14:textId="41BB97FE" w:rsidR="009E7506" w:rsidRDefault="00333438" w:rsidP="009E7506">
      <w:pPr>
        <w:tabs>
          <w:tab w:val="left" w:pos="2160"/>
          <w:tab w:val="center" w:pos="4680"/>
          <w:tab w:val="right" w:pos="9360"/>
        </w:tabs>
        <w:spacing w:line="480" w:lineRule="auto"/>
        <w:jc w:val="left"/>
        <w:rPr>
          <w:rFonts w:eastAsia="Calibri"/>
          <w:sz w:val="24"/>
          <w:szCs w:val="24"/>
        </w:rPr>
      </w:pPr>
      <w:r>
        <w:rPr>
          <w:rFonts w:eastAsia="Calibri"/>
          <w:sz w:val="24"/>
          <w:szCs w:val="24"/>
        </w:rPr>
        <w:t>R</w:t>
      </w:r>
      <w:r w:rsidR="001B1C52">
        <w:rPr>
          <w:rFonts w:eastAsia="Calibri"/>
          <w:sz w:val="24"/>
          <w:szCs w:val="24"/>
        </w:rPr>
        <w:t>L</w:t>
      </w:r>
      <w:r w:rsidR="00FD1AF4">
        <w:rPr>
          <w:rFonts w:eastAsia="Calibri"/>
          <w:sz w:val="24"/>
          <w:szCs w:val="24"/>
        </w:rPr>
        <w:t>T</w:t>
      </w:r>
      <w:r w:rsidR="009E7506" w:rsidRPr="00F35F4C">
        <w:rPr>
          <w:rFonts w:eastAsia="Calibri"/>
          <w:sz w:val="24"/>
          <w:szCs w:val="24"/>
        </w:rPr>
        <w:t>-1</w:t>
      </w:r>
      <w:r w:rsidR="009E7506" w:rsidRPr="00F35F4C">
        <w:rPr>
          <w:rFonts w:eastAsia="Calibri"/>
          <w:sz w:val="24"/>
          <w:szCs w:val="24"/>
        </w:rPr>
        <w:tab/>
        <w:t xml:space="preserve">Resume of </w:t>
      </w:r>
      <w:r w:rsidR="00FD1AF4">
        <w:rPr>
          <w:rFonts w:eastAsia="Calibri"/>
          <w:sz w:val="24"/>
          <w:szCs w:val="24"/>
        </w:rPr>
        <w:t xml:space="preserve">Robert </w:t>
      </w:r>
      <w:r w:rsidR="006B6B6D">
        <w:rPr>
          <w:rFonts w:eastAsia="Calibri"/>
          <w:sz w:val="24"/>
          <w:szCs w:val="24"/>
        </w:rPr>
        <w:t xml:space="preserve">L. </w:t>
      </w:r>
      <w:r w:rsidR="00FD1AF4">
        <w:rPr>
          <w:rFonts w:eastAsia="Calibri"/>
          <w:sz w:val="24"/>
          <w:szCs w:val="24"/>
        </w:rPr>
        <w:t>Trokey</w:t>
      </w:r>
    </w:p>
    <w:p w14:paraId="3BE54438" w14:textId="7628D775" w:rsidR="00FD1AF4" w:rsidRDefault="7DBEB32A" w:rsidP="009E7506">
      <w:pPr>
        <w:tabs>
          <w:tab w:val="left" w:pos="2160"/>
          <w:tab w:val="center" w:pos="4680"/>
          <w:tab w:val="right" w:pos="9360"/>
        </w:tabs>
        <w:spacing w:line="480" w:lineRule="auto"/>
        <w:jc w:val="left"/>
        <w:rPr>
          <w:rFonts w:eastAsia="Calibri"/>
          <w:sz w:val="24"/>
          <w:szCs w:val="24"/>
        </w:rPr>
      </w:pPr>
      <w:r w:rsidRPr="7DBEB32A">
        <w:rPr>
          <w:rFonts w:eastAsia="Calibri"/>
          <w:sz w:val="24"/>
          <w:szCs w:val="24"/>
        </w:rPr>
        <w:t>DD-1</w:t>
      </w:r>
      <w:r w:rsidR="00F30634">
        <w:tab/>
      </w:r>
      <w:r w:rsidRPr="7DBEB32A">
        <w:rPr>
          <w:rFonts w:eastAsia="Calibri"/>
          <w:sz w:val="24"/>
          <w:szCs w:val="24"/>
        </w:rPr>
        <w:t xml:space="preserve">Resume of Dylan </w:t>
      </w:r>
      <w:r w:rsidR="00572202">
        <w:rPr>
          <w:rFonts w:eastAsia="Calibri"/>
          <w:sz w:val="24"/>
          <w:szCs w:val="24"/>
        </w:rPr>
        <w:t xml:space="preserve">A. </w:t>
      </w:r>
      <w:r w:rsidRPr="7DBEB32A">
        <w:rPr>
          <w:rFonts w:eastAsia="Calibri"/>
          <w:sz w:val="24"/>
          <w:szCs w:val="24"/>
        </w:rPr>
        <w:t>Drugan</w:t>
      </w:r>
    </w:p>
    <w:p w14:paraId="4314245A" w14:textId="4A8DE3F9" w:rsidR="00973FCB" w:rsidRPr="000E67F7" w:rsidRDefault="00E6457E" w:rsidP="00C01F46">
      <w:pPr>
        <w:tabs>
          <w:tab w:val="left" w:pos="2160"/>
          <w:tab w:val="center" w:pos="4680"/>
          <w:tab w:val="right" w:pos="9360"/>
        </w:tabs>
        <w:spacing w:line="480" w:lineRule="auto"/>
        <w:jc w:val="left"/>
        <w:rPr>
          <w:rFonts w:eastAsia="Calibri"/>
          <w:sz w:val="24"/>
          <w:szCs w:val="24"/>
        </w:rPr>
        <w:sectPr w:rsidR="00973FCB" w:rsidRPr="000E67F7" w:rsidSect="00BB7697">
          <w:headerReference w:type="default" r:id="rId13"/>
          <w:footerReference w:type="default" r:id="rId14"/>
          <w:pgSz w:w="12240" w:h="15840"/>
          <w:pgMar w:top="1440" w:right="1440" w:bottom="1440" w:left="1440" w:header="720" w:footer="720" w:gutter="0"/>
          <w:lnNumType w:countBy="1"/>
          <w:pgNumType w:start="1"/>
          <w:cols w:space="720"/>
          <w:docGrid w:linePitch="360"/>
        </w:sectPr>
      </w:pPr>
      <w:r>
        <w:rPr>
          <w:rFonts w:eastAsia="Calibri"/>
          <w:sz w:val="24"/>
          <w:szCs w:val="24"/>
        </w:rPr>
        <w:t>K</w:t>
      </w:r>
      <w:r w:rsidR="00071755">
        <w:rPr>
          <w:rFonts w:eastAsia="Calibri"/>
          <w:sz w:val="24"/>
          <w:szCs w:val="24"/>
        </w:rPr>
        <w:t>A</w:t>
      </w:r>
      <w:r>
        <w:rPr>
          <w:rFonts w:eastAsia="Calibri"/>
          <w:sz w:val="24"/>
          <w:szCs w:val="24"/>
        </w:rPr>
        <w:t>P-1</w:t>
      </w:r>
      <w:r>
        <w:rPr>
          <w:rFonts w:eastAsia="Calibri"/>
          <w:sz w:val="24"/>
          <w:szCs w:val="24"/>
        </w:rPr>
        <w:tab/>
        <w:t xml:space="preserve">Resume of Karan </w:t>
      </w:r>
      <w:r w:rsidR="00071755">
        <w:rPr>
          <w:rFonts w:eastAsia="Calibri"/>
          <w:sz w:val="24"/>
          <w:szCs w:val="24"/>
        </w:rPr>
        <w:t xml:space="preserve">A. </w:t>
      </w:r>
      <w:r>
        <w:rPr>
          <w:rFonts w:eastAsia="Calibri"/>
          <w:sz w:val="24"/>
          <w:szCs w:val="24"/>
        </w:rPr>
        <w:t>Pol</w:t>
      </w:r>
      <w:r w:rsidR="00973FCB">
        <w:rPr>
          <w:b/>
          <w:bCs/>
        </w:rPr>
        <w:tab/>
      </w:r>
    </w:p>
    <w:p w14:paraId="76C375D8" w14:textId="11055B92" w:rsidR="006E593A" w:rsidRDefault="00C4553E" w:rsidP="00F30634">
      <w:pPr>
        <w:pStyle w:val="Heading1"/>
      </w:pPr>
      <w:bookmarkStart w:id="0" w:name="_Hlk193877676"/>
      <w:r>
        <w:lastRenderedPageBreak/>
        <w:tab/>
      </w:r>
      <w:bookmarkStart w:id="1" w:name="_Toc196919889"/>
      <w:bookmarkStart w:id="2" w:name="_Toc213766862"/>
      <w:r>
        <w:t>Introduction</w:t>
      </w:r>
      <w:bookmarkEnd w:id="1"/>
      <w:bookmarkEnd w:id="2"/>
    </w:p>
    <w:bookmarkEnd w:id="0"/>
    <w:p w14:paraId="0FA9CD02" w14:textId="3EC03410" w:rsidR="00E43A54" w:rsidRDefault="00E43A54" w:rsidP="00804276">
      <w:pPr>
        <w:pStyle w:val="Question"/>
      </w:pPr>
      <w:r>
        <w:t>Q.</w:t>
      </w:r>
      <w:r>
        <w:tab/>
      </w:r>
      <w:r w:rsidR="00F1127E">
        <w:t xml:space="preserve">Mr. Trokey, </w:t>
      </w:r>
      <w:r w:rsidRPr="00042132">
        <w:t>please state your name, TITLE, and business</w:t>
      </w:r>
      <w:r>
        <w:t xml:space="preserve"> </w:t>
      </w:r>
      <w:r w:rsidRPr="00042132">
        <w:t>address.</w:t>
      </w:r>
    </w:p>
    <w:p w14:paraId="7A80DA27" w14:textId="5E07B603" w:rsidR="00E43A54" w:rsidRDefault="00E43A54" w:rsidP="003462A3">
      <w:pPr>
        <w:autoSpaceDE w:val="0"/>
        <w:autoSpaceDN w:val="0"/>
        <w:adjustRightInd w:val="0"/>
        <w:spacing w:line="480" w:lineRule="auto"/>
        <w:ind w:left="720" w:hanging="720"/>
        <w:rPr>
          <w:sz w:val="24"/>
          <w:szCs w:val="24"/>
        </w:rPr>
      </w:pPr>
      <w:r w:rsidRPr="00636B83">
        <w:rPr>
          <w:sz w:val="24"/>
          <w:szCs w:val="24"/>
        </w:rPr>
        <w:t>A.</w:t>
      </w:r>
      <w:r>
        <w:rPr>
          <w:sz w:val="24"/>
          <w:szCs w:val="24"/>
        </w:rPr>
        <w:tab/>
      </w:r>
      <w:r w:rsidR="00E25040">
        <w:rPr>
          <w:sz w:val="24"/>
          <w:szCs w:val="24"/>
        </w:rPr>
        <w:t xml:space="preserve">My name is Robert </w:t>
      </w:r>
      <w:r w:rsidR="00344BBB">
        <w:rPr>
          <w:sz w:val="24"/>
          <w:szCs w:val="24"/>
        </w:rPr>
        <w:t xml:space="preserve">L. </w:t>
      </w:r>
      <w:r w:rsidR="00E25040">
        <w:rPr>
          <w:sz w:val="24"/>
          <w:szCs w:val="24"/>
        </w:rPr>
        <w:t>Trokey. I</w:t>
      </w:r>
      <w:r w:rsidR="00E01138">
        <w:rPr>
          <w:sz w:val="24"/>
          <w:szCs w:val="24"/>
        </w:rPr>
        <w:t xml:space="preserve"> a</w:t>
      </w:r>
      <w:r w:rsidR="00E25040">
        <w:rPr>
          <w:sz w:val="24"/>
          <w:szCs w:val="24"/>
        </w:rPr>
        <w:t>m the</w:t>
      </w:r>
      <w:r w:rsidR="002D13BE">
        <w:rPr>
          <w:sz w:val="24"/>
          <w:szCs w:val="24"/>
        </w:rPr>
        <w:t xml:space="preserve"> Director </w:t>
      </w:r>
      <w:r w:rsidR="00344BBB">
        <w:rPr>
          <w:sz w:val="24"/>
          <w:szCs w:val="24"/>
        </w:rPr>
        <w:t>of</w:t>
      </w:r>
      <w:r w:rsidR="002D13BE">
        <w:rPr>
          <w:sz w:val="24"/>
          <w:szCs w:val="24"/>
        </w:rPr>
        <w:t xml:space="preserve"> the Electric Section at the Georgia Public Service Commission</w:t>
      </w:r>
      <w:r w:rsidR="00777DDD">
        <w:rPr>
          <w:sz w:val="24"/>
          <w:szCs w:val="24"/>
        </w:rPr>
        <w:t xml:space="preserve"> (</w:t>
      </w:r>
      <w:r w:rsidR="004B1F15">
        <w:rPr>
          <w:sz w:val="24"/>
          <w:szCs w:val="24"/>
        </w:rPr>
        <w:t>“</w:t>
      </w:r>
      <w:r w:rsidR="00777DDD">
        <w:rPr>
          <w:sz w:val="24"/>
          <w:szCs w:val="24"/>
        </w:rPr>
        <w:t>Commission</w:t>
      </w:r>
      <w:r w:rsidR="004B1F15">
        <w:rPr>
          <w:sz w:val="24"/>
          <w:szCs w:val="24"/>
        </w:rPr>
        <w:t>”</w:t>
      </w:r>
      <w:r w:rsidR="00777DDD">
        <w:rPr>
          <w:sz w:val="24"/>
          <w:szCs w:val="24"/>
        </w:rPr>
        <w:t xml:space="preserve"> or </w:t>
      </w:r>
      <w:r w:rsidR="004552E1">
        <w:rPr>
          <w:sz w:val="24"/>
          <w:szCs w:val="24"/>
        </w:rPr>
        <w:t>“</w:t>
      </w:r>
      <w:r w:rsidR="00777DDD">
        <w:rPr>
          <w:sz w:val="24"/>
          <w:szCs w:val="24"/>
        </w:rPr>
        <w:t>GPSC</w:t>
      </w:r>
      <w:r w:rsidR="004552E1">
        <w:rPr>
          <w:sz w:val="24"/>
          <w:szCs w:val="24"/>
        </w:rPr>
        <w:t>”</w:t>
      </w:r>
      <w:r w:rsidR="00777DDD">
        <w:rPr>
          <w:sz w:val="24"/>
          <w:szCs w:val="24"/>
        </w:rPr>
        <w:t>)</w:t>
      </w:r>
      <w:r w:rsidR="002D13BE">
        <w:rPr>
          <w:sz w:val="24"/>
          <w:szCs w:val="24"/>
        </w:rPr>
        <w:t xml:space="preserve">. </w:t>
      </w:r>
      <w:r w:rsidR="0043705A">
        <w:rPr>
          <w:sz w:val="24"/>
          <w:szCs w:val="24"/>
        </w:rPr>
        <w:t xml:space="preserve">My business address is 244 Washington St. SW, Atlanta, GA 30334. </w:t>
      </w:r>
    </w:p>
    <w:p w14:paraId="3C3DF8EA" w14:textId="09A5DEBD" w:rsidR="00E43A54" w:rsidRPr="0051212A" w:rsidRDefault="00E43A54" w:rsidP="00804276">
      <w:pPr>
        <w:pStyle w:val="Question"/>
      </w:pPr>
      <w:r w:rsidRPr="00042132">
        <w:t>Q.</w:t>
      </w:r>
      <w:r>
        <w:tab/>
      </w:r>
      <w:r w:rsidRPr="00042132">
        <w:t>Please state your educational background and work experience.</w:t>
      </w:r>
    </w:p>
    <w:p w14:paraId="3082FCB4" w14:textId="751A139D" w:rsidR="00E43A54" w:rsidRDefault="00E43A54" w:rsidP="00E43A54">
      <w:pPr>
        <w:autoSpaceDE w:val="0"/>
        <w:autoSpaceDN w:val="0"/>
        <w:adjustRightInd w:val="0"/>
        <w:spacing w:line="480" w:lineRule="auto"/>
        <w:ind w:left="720" w:hanging="720"/>
        <w:rPr>
          <w:sz w:val="24"/>
          <w:szCs w:val="24"/>
        </w:rPr>
      </w:pPr>
      <w:r w:rsidRPr="00861E12">
        <w:rPr>
          <w:sz w:val="24"/>
          <w:szCs w:val="24"/>
        </w:rPr>
        <w:t>A.</w:t>
      </w:r>
      <w:r w:rsidRPr="00861E12">
        <w:rPr>
          <w:sz w:val="24"/>
          <w:szCs w:val="24"/>
        </w:rPr>
        <w:tab/>
      </w:r>
      <w:r w:rsidR="009008FB">
        <w:rPr>
          <w:sz w:val="24"/>
          <w:szCs w:val="24"/>
        </w:rPr>
        <w:t>My background and experience are provided in Exhibit RLT-1.</w:t>
      </w:r>
    </w:p>
    <w:p w14:paraId="30251338" w14:textId="77777777" w:rsidR="00E43A54" w:rsidRDefault="00E43A54" w:rsidP="003462A3">
      <w:pPr>
        <w:pStyle w:val="Question"/>
      </w:pPr>
      <w:r>
        <w:t>Q.</w:t>
      </w:r>
      <w:r>
        <w:tab/>
      </w:r>
      <w:r w:rsidRPr="00076025">
        <w:t>HAVE YOU EVER TESTIFIED BEFORE THIS COMMISSION?</w:t>
      </w:r>
    </w:p>
    <w:p w14:paraId="7189F499" w14:textId="28B8A1F7" w:rsidR="00E43A54" w:rsidRDefault="00E43A54" w:rsidP="003462A3">
      <w:pPr>
        <w:spacing w:line="480" w:lineRule="auto"/>
        <w:ind w:left="720" w:hanging="720"/>
        <w:rPr>
          <w:sz w:val="24"/>
          <w:szCs w:val="24"/>
        </w:rPr>
      </w:pPr>
      <w:r w:rsidRPr="00720FC5">
        <w:rPr>
          <w:sz w:val="24"/>
          <w:szCs w:val="24"/>
        </w:rPr>
        <w:t>A.</w:t>
      </w:r>
      <w:r>
        <w:tab/>
      </w:r>
      <w:r w:rsidR="002C070D">
        <w:rPr>
          <w:sz w:val="24"/>
          <w:szCs w:val="24"/>
        </w:rPr>
        <w:t xml:space="preserve">Yes. </w:t>
      </w:r>
      <w:r w:rsidR="000D26EA">
        <w:rPr>
          <w:sz w:val="24"/>
          <w:szCs w:val="24"/>
        </w:rPr>
        <w:t>I have testified in prior Integrated Resource Plan</w:t>
      </w:r>
      <w:r w:rsidR="0017534F">
        <w:rPr>
          <w:sz w:val="24"/>
          <w:szCs w:val="24"/>
        </w:rPr>
        <w:t xml:space="preserve"> </w:t>
      </w:r>
      <w:r w:rsidR="7CBCC242" w:rsidRPr="157D8BD3">
        <w:rPr>
          <w:sz w:val="24"/>
          <w:szCs w:val="24"/>
        </w:rPr>
        <w:t>(“IRP”)</w:t>
      </w:r>
      <w:r w:rsidR="004F2F3A">
        <w:rPr>
          <w:sz w:val="24"/>
          <w:szCs w:val="24"/>
        </w:rPr>
        <w:t xml:space="preserve"> </w:t>
      </w:r>
      <w:r w:rsidR="0017534F">
        <w:rPr>
          <w:sz w:val="24"/>
          <w:szCs w:val="24"/>
        </w:rPr>
        <w:t>dockets and Rate Cases, including Docket Nos. 44160 and 44280 in 2022</w:t>
      </w:r>
      <w:r w:rsidR="001D7964">
        <w:rPr>
          <w:sz w:val="24"/>
          <w:szCs w:val="24"/>
        </w:rPr>
        <w:t>,</w:t>
      </w:r>
      <w:r w:rsidR="001421C3">
        <w:rPr>
          <w:sz w:val="24"/>
          <w:szCs w:val="24"/>
        </w:rPr>
        <w:t xml:space="preserve"> Docket </w:t>
      </w:r>
      <w:r w:rsidR="703AD0AC" w:rsidRPr="34936662">
        <w:rPr>
          <w:sz w:val="24"/>
          <w:szCs w:val="24"/>
        </w:rPr>
        <w:t xml:space="preserve">No. </w:t>
      </w:r>
      <w:r w:rsidR="001421C3" w:rsidRPr="34936662">
        <w:rPr>
          <w:sz w:val="24"/>
          <w:szCs w:val="24"/>
        </w:rPr>
        <w:t>55378</w:t>
      </w:r>
      <w:r w:rsidR="001421C3">
        <w:rPr>
          <w:sz w:val="24"/>
          <w:szCs w:val="24"/>
        </w:rPr>
        <w:t xml:space="preserve"> regarding the 2023 IRP Update</w:t>
      </w:r>
      <w:r w:rsidR="00B42ABE">
        <w:rPr>
          <w:sz w:val="24"/>
          <w:szCs w:val="24"/>
        </w:rPr>
        <w:t xml:space="preserve"> and </w:t>
      </w:r>
      <w:r w:rsidR="00502E37">
        <w:rPr>
          <w:sz w:val="24"/>
          <w:szCs w:val="24"/>
        </w:rPr>
        <w:t xml:space="preserve">the most recent IRP in </w:t>
      </w:r>
      <w:r w:rsidR="00B42ABE">
        <w:rPr>
          <w:sz w:val="24"/>
          <w:szCs w:val="24"/>
        </w:rPr>
        <w:t xml:space="preserve">Docket </w:t>
      </w:r>
      <w:r w:rsidR="1C1A42C8" w:rsidRPr="08583B9A">
        <w:rPr>
          <w:sz w:val="24"/>
          <w:szCs w:val="24"/>
        </w:rPr>
        <w:t xml:space="preserve">No. </w:t>
      </w:r>
      <w:r w:rsidR="00B42ABE" w:rsidRPr="08583B9A">
        <w:rPr>
          <w:sz w:val="24"/>
          <w:szCs w:val="24"/>
        </w:rPr>
        <w:t>56002</w:t>
      </w:r>
      <w:r w:rsidR="0017534F" w:rsidRPr="08583B9A">
        <w:rPr>
          <w:sz w:val="24"/>
          <w:szCs w:val="24"/>
        </w:rPr>
        <w:t xml:space="preserve">. </w:t>
      </w:r>
    </w:p>
    <w:p w14:paraId="54798592" w14:textId="59D02338" w:rsidR="00E43A54" w:rsidRDefault="00E43A54" w:rsidP="003462A3">
      <w:pPr>
        <w:pStyle w:val="Question"/>
      </w:pPr>
      <w:r>
        <w:t>Q.</w:t>
      </w:r>
      <w:r>
        <w:tab/>
      </w:r>
      <w:r w:rsidR="00E6457E">
        <w:t>M</w:t>
      </w:r>
      <w:r w:rsidR="00F30634">
        <w:t>R</w:t>
      </w:r>
      <w:r w:rsidR="00E6457E">
        <w:t xml:space="preserve">. </w:t>
      </w:r>
      <w:r w:rsidR="00F30634">
        <w:t>Drugan</w:t>
      </w:r>
      <w:r w:rsidR="000A2B48">
        <w:t>,</w:t>
      </w:r>
      <w:r w:rsidR="00EC70B0">
        <w:t xml:space="preserve"> </w:t>
      </w:r>
      <w:r w:rsidRPr="00042132">
        <w:t>please state your name, TITLE, and business</w:t>
      </w:r>
      <w:r>
        <w:t xml:space="preserve"> </w:t>
      </w:r>
      <w:r w:rsidRPr="00042132">
        <w:t>address.</w:t>
      </w:r>
    </w:p>
    <w:p w14:paraId="650AFC83" w14:textId="2F047181" w:rsidR="00E43A54" w:rsidRDefault="00E43A54" w:rsidP="003462A3">
      <w:pPr>
        <w:autoSpaceDE w:val="0"/>
        <w:autoSpaceDN w:val="0"/>
        <w:adjustRightInd w:val="0"/>
        <w:spacing w:line="480" w:lineRule="auto"/>
        <w:ind w:left="720" w:hanging="720"/>
        <w:rPr>
          <w:sz w:val="24"/>
          <w:szCs w:val="24"/>
        </w:rPr>
      </w:pPr>
      <w:r w:rsidRPr="00636B83">
        <w:rPr>
          <w:sz w:val="24"/>
          <w:szCs w:val="24"/>
        </w:rPr>
        <w:t>A.</w:t>
      </w:r>
      <w:r>
        <w:rPr>
          <w:sz w:val="24"/>
          <w:szCs w:val="24"/>
        </w:rPr>
        <w:tab/>
      </w:r>
      <w:r w:rsidR="000A2B48">
        <w:rPr>
          <w:sz w:val="24"/>
          <w:szCs w:val="24"/>
        </w:rPr>
        <w:t xml:space="preserve">My name is </w:t>
      </w:r>
      <w:r w:rsidR="007C1006">
        <w:rPr>
          <w:sz w:val="24"/>
          <w:szCs w:val="24"/>
        </w:rPr>
        <w:t>Dylan A. Drugan.</w:t>
      </w:r>
      <w:r w:rsidR="000A2B48">
        <w:rPr>
          <w:sz w:val="24"/>
          <w:szCs w:val="24"/>
        </w:rPr>
        <w:t xml:space="preserve"> I am a</w:t>
      </w:r>
      <w:r w:rsidR="007C1006">
        <w:rPr>
          <w:sz w:val="24"/>
          <w:szCs w:val="24"/>
        </w:rPr>
        <w:t xml:space="preserve"> Senior Consultant with Daymark Energy Advisors, </w:t>
      </w:r>
      <w:r w:rsidR="00530B43">
        <w:rPr>
          <w:sz w:val="24"/>
          <w:szCs w:val="24"/>
        </w:rPr>
        <w:t xml:space="preserve">Inc. </w:t>
      </w:r>
      <w:r w:rsidR="00E961CE">
        <w:rPr>
          <w:sz w:val="24"/>
          <w:szCs w:val="24"/>
        </w:rPr>
        <w:t>My business address is 370 Main Street, Suite 325, Worcester, Massachusetts, 01608.</w:t>
      </w:r>
    </w:p>
    <w:p w14:paraId="71860B79" w14:textId="77777777" w:rsidR="00E43A54" w:rsidRPr="0051212A" w:rsidRDefault="00E43A54" w:rsidP="003462A3">
      <w:pPr>
        <w:pStyle w:val="Question"/>
      </w:pPr>
      <w:r w:rsidRPr="00042132">
        <w:lastRenderedPageBreak/>
        <w:t>Q.</w:t>
      </w:r>
      <w:r>
        <w:tab/>
      </w:r>
      <w:r w:rsidRPr="00042132">
        <w:t>Please state your educational background and work experience.</w:t>
      </w:r>
    </w:p>
    <w:p w14:paraId="5F78EE56" w14:textId="29CE7846" w:rsidR="00E43A54" w:rsidRDefault="00E43A54" w:rsidP="003462A3">
      <w:pPr>
        <w:autoSpaceDE w:val="0"/>
        <w:autoSpaceDN w:val="0"/>
        <w:adjustRightInd w:val="0"/>
        <w:spacing w:line="480" w:lineRule="auto"/>
        <w:ind w:left="720" w:hanging="720"/>
        <w:rPr>
          <w:sz w:val="24"/>
          <w:szCs w:val="24"/>
        </w:rPr>
      </w:pPr>
      <w:r w:rsidRPr="00861E12">
        <w:rPr>
          <w:sz w:val="24"/>
          <w:szCs w:val="24"/>
        </w:rPr>
        <w:t>A.</w:t>
      </w:r>
      <w:r w:rsidRPr="00861E12">
        <w:rPr>
          <w:sz w:val="24"/>
          <w:szCs w:val="24"/>
        </w:rPr>
        <w:tab/>
      </w:r>
      <w:r w:rsidR="00A54B0B">
        <w:rPr>
          <w:sz w:val="24"/>
          <w:szCs w:val="24"/>
        </w:rPr>
        <w:t xml:space="preserve">My background and experience </w:t>
      </w:r>
      <w:r w:rsidR="00030864">
        <w:rPr>
          <w:sz w:val="24"/>
          <w:szCs w:val="24"/>
        </w:rPr>
        <w:t>are</w:t>
      </w:r>
      <w:r w:rsidR="00A54B0B">
        <w:rPr>
          <w:sz w:val="24"/>
          <w:szCs w:val="24"/>
        </w:rPr>
        <w:t xml:space="preserve"> provided in Exhibit </w:t>
      </w:r>
      <w:r w:rsidR="007C1006">
        <w:rPr>
          <w:sz w:val="24"/>
          <w:szCs w:val="24"/>
        </w:rPr>
        <w:t>DAD-1.</w:t>
      </w:r>
    </w:p>
    <w:p w14:paraId="3D5C3BB3" w14:textId="77777777" w:rsidR="00E43A54" w:rsidRDefault="00E43A54" w:rsidP="003462A3">
      <w:pPr>
        <w:pStyle w:val="Question"/>
      </w:pPr>
      <w:r>
        <w:t>Q.</w:t>
      </w:r>
      <w:r>
        <w:tab/>
      </w:r>
      <w:r w:rsidRPr="00076025">
        <w:t>HAVE YOU EVER TESTIFIED BEFORE THIS COMMISSION?</w:t>
      </w:r>
    </w:p>
    <w:p w14:paraId="243BBACA" w14:textId="46C80868" w:rsidR="00E43A54" w:rsidRDefault="00E43A54" w:rsidP="003462A3">
      <w:pPr>
        <w:spacing w:line="480" w:lineRule="auto"/>
        <w:ind w:left="720" w:hanging="720"/>
        <w:rPr>
          <w:sz w:val="24"/>
          <w:szCs w:val="24"/>
        </w:rPr>
      </w:pPr>
      <w:r w:rsidRPr="00720FC5">
        <w:rPr>
          <w:sz w:val="24"/>
          <w:szCs w:val="24"/>
        </w:rPr>
        <w:t>A.</w:t>
      </w:r>
      <w:r>
        <w:tab/>
      </w:r>
      <w:r w:rsidR="000A6F84">
        <w:rPr>
          <w:sz w:val="24"/>
          <w:szCs w:val="24"/>
        </w:rPr>
        <w:t xml:space="preserve">Yes. I have testified before this Commission in </w:t>
      </w:r>
      <w:r w:rsidR="000A6F84" w:rsidRPr="7AB9A2F2">
        <w:rPr>
          <w:sz w:val="24"/>
          <w:szCs w:val="24"/>
        </w:rPr>
        <w:t>Docket</w:t>
      </w:r>
      <w:r w:rsidR="007C0FEB">
        <w:rPr>
          <w:sz w:val="24"/>
          <w:szCs w:val="24"/>
        </w:rPr>
        <w:t xml:space="preserve"> </w:t>
      </w:r>
      <w:r w:rsidR="1D1A6235" w:rsidRPr="7AB9A2F2">
        <w:rPr>
          <w:sz w:val="24"/>
          <w:szCs w:val="24"/>
        </w:rPr>
        <w:t>Nos.</w:t>
      </w:r>
      <w:r w:rsidR="000A6F84">
        <w:rPr>
          <w:sz w:val="24"/>
          <w:szCs w:val="24"/>
        </w:rPr>
        <w:t xml:space="preserve"> 56002 and 56003 regarding the 2025 IRP load forecast. Further </w:t>
      </w:r>
      <w:r w:rsidR="00C75457">
        <w:rPr>
          <w:sz w:val="24"/>
          <w:szCs w:val="24"/>
        </w:rPr>
        <w:t xml:space="preserve">testimony </w:t>
      </w:r>
      <w:r w:rsidR="000A6F84">
        <w:rPr>
          <w:sz w:val="24"/>
          <w:szCs w:val="24"/>
        </w:rPr>
        <w:t xml:space="preserve">experience </w:t>
      </w:r>
      <w:r w:rsidR="00C75457">
        <w:rPr>
          <w:sz w:val="24"/>
          <w:szCs w:val="24"/>
        </w:rPr>
        <w:t xml:space="preserve">is provided in Exhibit </w:t>
      </w:r>
      <w:r w:rsidR="007C1006">
        <w:rPr>
          <w:sz w:val="24"/>
          <w:szCs w:val="24"/>
        </w:rPr>
        <w:t>DAD</w:t>
      </w:r>
      <w:r w:rsidR="00C75457">
        <w:rPr>
          <w:sz w:val="24"/>
          <w:szCs w:val="24"/>
        </w:rPr>
        <w:t>-1.</w:t>
      </w:r>
    </w:p>
    <w:p w14:paraId="2279AA55" w14:textId="706DC916" w:rsidR="00E43A54" w:rsidRPr="008F3DEB" w:rsidRDefault="00E43A54" w:rsidP="003462A3">
      <w:pPr>
        <w:pStyle w:val="Question"/>
      </w:pPr>
      <w:r w:rsidRPr="008F3DEB">
        <w:t>Q.</w:t>
      </w:r>
      <w:r w:rsidRPr="008F3DEB">
        <w:tab/>
      </w:r>
      <w:r w:rsidR="00C75457">
        <w:t>Mr. Pol</w:t>
      </w:r>
      <w:r>
        <w:t xml:space="preserve">, </w:t>
      </w:r>
      <w:r w:rsidRPr="008F3DEB">
        <w:t xml:space="preserve">Please state your name, </w:t>
      </w:r>
      <w:r>
        <w:t>TITLE</w:t>
      </w:r>
      <w:r w:rsidRPr="008F3DEB">
        <w:t>, and business address.</w:t>
      </w:r>
    </w:p>
    <w:p w14:paraId="7470B9AF" w14:textId="122C9228" w:rsidR="00E43A54" w:rsidRPr="009A018B" w:rsidRDefault="058BBF10" w:rsidP="00CB1C0A">
      <w:pPr>
        <w:autoSpaceDE w:val="0"/>
        <w:autoSpaceDN w:val="0"/>
        <w:adjustRightInd w:val="0"/>
        <w:spacing w:line="480" w:lineRule="auto"/>
        <w:ind w:left="720" w:hanging="720"/>
        <w:rPr>
          <w:sz w:val="24"/>
          <w:szCs w:val="24"/>
        </w:rPr>
      </w:pPr>
      <w:r w:rsidRPr="6506DB8F">
        <w:rPr>
          <w:sz w:val="24"/>
          <w:szCs w:val="24"/>
        </w:rPr>
        <w:t>A.</w:t>
      </w:r>
      <w:r w:rsidR="00E43A54">
        <w:tab/>
      </w:r>
      <w:r w:rsidR="5D16E70F" w:rsidRPr="6506DB8F">
        <w:rPr>
          <w:sz w:val="24"/>
          <w:szCs w:val="24"/>
        </w:rPr>
        <w:t>My name is Karan</w:t>
      </w:r>
      <w:r w:rsidR="00071755">
        <w:rPr>
          <w:sz w:val="24"/>
          <w:szCs w:val="24"/>
        </w:rPr>
        <w:t xml:space="preserve"> A.</w:t>
      </w:r>
      <w:r w:rsidR="5D16E70F" w:rsidRPr="6506DB8F">
        <w:rPr>
          <w:sz w:val="24"/>
          <w:szCs w:val="24"/>
        </w:rPr>
        <w:t xml:space="preserve"> Pol. I am a</w:t>
      </w:r>
      <w:r w:rsidR="00F30634">
        <w:rPr>
          <w:sz w:val="24"/>
          <w:szCs w:val="24"/>
        </w:rPr>
        <w:t>n</w:t>
      </w:r>
      <w:r w:rsidR="5D16E70F" w:rsidRPr="6506DB8F">
        <w:rPr>
          <w:sz w:val="24"/>
          <w:szCs w:val="24"/>
        </w:rPr>
        <w:t xml:space="preserve"> </w:t>
      </w:r>
      <w:r w:rsidR="7CAA9FE0" w:rsidRPr="6506DB8F">
        <w:rPr>
          <w:sz w:val="24"/>
          <w:szCs w:val="24"/>
        </w:rPr>
        <w:t xml:space="preserve">Energy </w:t>
      </w:r>
      <w:r w:rsidR="00F30634">
        <w:rPr>
          <w:sz w:val="24"/>
          <w:szCs w:val="24"/>
        </w:rPr>
        <w:t>Consultant</w:t>
      </w:r>
      <w:r w:rsidR="7CAA9FE0" w:rsidRPr="6506DB8F">
        <w:rPr>
          <w:sz w:val="24"/>
          <w:szCs w:val="24"/>
        </w:rPr>
        <w:t xml:space="preserve"> with Daymark Energy Advisors, </w:t>
      </w:r>
      <w:r w:rsidR="5524E328" w:rsidRPr="6506DB8F">
        <w:rPr>
          <w:sz w:val="24"/>
          <w:szCs w:val="24"/>
        </w:rPr>
        <w:t>Inc.</w:t>
      </w:r>
      <w:r w:rsidR="7CAA9FE0" w:rsidRPr="6506DB8F">
        <w:rPr>
          <w:sz w:val="24"/>
          <w:szCs w:val="24"/>
        </w:rPr>
        <w:t xml:space="preserve"> My business address is 370 Main Street, Suite 325, Worcester, Massachusetts, 01608.</w:t>
      </w:r>
    </w:p>
    <w:p w14:paraId="23906710" w14:textId="5EFDEB39" w:rsidR="00E43A54" w:rsidRDefault="00E43A54" w:rsidP="003462A3">
      <w:pPr>
        <w:pStyle w:val="Question"/>
      </w:pPr>
      <w:r>
        <w:t>Q</w:t>
      </w:r>
      <w:r w:rsidR="003462A3">
        <w:t>.</w:t>
      </w:r>
      <w:r>
        <w:tab/>
        <w:t>Please state your educational background and work experience.</w:t>
      </w:r>
    </w:p>
    <w:p w14:paraId="0F28D763" w14:textId="143DA3E1" w:rsidR="00E43A54" w:rsidRDefault="00E43A54" w:rsidP="00C2467A">
      <w:pPr>
        <w:spacing w:line="480" w:lineRule="auto"/>
        <w:ind w:left="720" w:hanging="720"/>
        <w:rPr>
          <w:sz w:val="24"/>
          <w:szCs w:val="24"/>
        </w:rPr>
      </w:pPr>
      <w:r>
        <w:rPr>
          <w:sz w:val="24"/>
          <w:szCs w:val="24"/>
        </w:rPr>
        <w:t>A.</w:t>
      </w:r>
      <w:r>
        <w:rPr>
          <w:sz w:val="24"/>
          <w:szCs w:val="24"/>
        </w:rPr>
        <w:tab/>
      </w:r>
      <w:r w:rsidR="00C2467A">
        <w:rPr>
          <w:sz w:val="24"/>
          <w:szCs w:val="24"/>
        </w:rPr>
        <w:t xml:space="preserve">My education and experience </w:t>
      </w:r>
      <w:r w:rsidR="00030864">
        <w:rPr>
          <w:sz w:val="24"/>
          <w:szCs w:val="24"/>
        </w:rPr>
        <w:t>are</w:t>
      </w:r>
      <w:r w:rsidR="00E51439">
        <w:rPr>
          <w:sz w:val="24"/>
          <w:szCs w:val="24"/>
        </w:rPr>
        <w:t xml:space="preserve"> provided in Exhibit K</w:t>
      </w:r>
      <w:r w:rsidR="00071755">
        <w:rPr>
          <w:sz w:val="24"/>
          <w:szCs w:val="24"/>
        </w:rPr>
        <w:t>A</w:t>
      </w:r>
      <w:r w:rsidR="00C2467A">
        <w:rPr>
          <w:sz w:val="24"/>
          <w:szCs w:val="24"/>
        </w:rPr>
        <w:t>P</w:t>
      </w:r>
      <w:r w:rsidR="00E51439">
        <w:rPr>
          <w:sz w:val="24"/>
          <w:szCs w:val="24"/>
        </w:rPr>
        <w:t>-1.</w:t>
      </w:r>
    </w:p>
    <w:p w14:paraId="2CDB98C1" w14:textId="77777777" w:rsidR="00E43A54" w:rsidRPr="008F3DEB" w:rsidRDefault="00E43A54" w:rsidP="003462A3">
      <w:pPr>
        <w:pStyle w:val="Question"/>
      </w:pPr>
      <w:r w:rsidRPr="008F3DEB">
        <w:t>Q.</w:t>
      </w:r>
      <w:r w:rsidRPr="008F3DEB">
        <w:tab/>
      </w:r>
      <w:r w:rsidRPr="00950314">
        <w:t>HAVE YOU EVER T</w:t>
      </w:r>
      <w:r>
        <w:t xml:space="preserve">ESTIFIED BEFORE THIS COMMISSION </w:t>
      </w:r>
      <w:r w:rsidRPr="008F3DEB">
        <w:t>or other Commissions?</w:t>
      </w:r>
    </w:p>
    <w:p w14:paraId="69168FA7" w14:textId="2F96ACF6" w:rsidR="00E43A54" w:rsidRDefault="00E43A54" w:rsidP="00C2467A">
      <w:pPr>
        <w:spacing w:line="480" w:lineRule="auto"/>
        <w:ind w:left="720" w:hanging="720"/>
        <w:rPr>
          <w:sz w:val="24"/>
          <w:szCs w:val="24"/>
        </w:rPr>
      </w:pPr>
      <w:r w:rsidRPr="008F3DEB">
        <w:rPr>
          <w:sz w:val="24"/>
          <w:szCs w:val="24"/>
        </w:rPr>
        <w:t>A.</w:t>
      </w:r>
      <w:r>
        <w:tab/>
      </w:r>
      <w:r w:rsidR="00F30634">
        <w:rPr>
          <w:sz w:val="24"/>
          <w:szCs w:val="24"/>
        </w:rPr>
        <w:t xml:space="preserve">Yes. I have testified before this Commission before in Docket </w:t>
      </w:r>
      <w:r w:rsidR="1D64D503" w:rsidRPr="7D0E62F5">
        <w:rPr>
          <w:sz w:val="24"/>
          <w:szCs w:val="24"/>
        </w:rPr>
        <w:t xml:space="preserve">No. </w:t>
      </w:r>
      <w:r w:rsidR="00F30634" w:rsidRPr="7D0E62F5">
        <w:rPr>
          <w:sz w:val="24"/>
          <w:szCs w:val="24"/>
        </w:rPr>
        <w:t>55378</w:t>
      </w:r>
      <w:r w:rsidR="00F30634">
        <w:rPr>
          <w:sz w:val="24"/>
          <w:szCs w:val="24"/>
        </w:rPr>
        <w:t xml:space="preserve"> regarding the 2023 IRP Update</w:t>
      </w:r>
      <w:r w:rsidR="000A6F84">
        <w:rPr>
          <w:sz w:val="24"/>
          <w:szCs w:val="24"/>
        </w:rPr>
        <w:t xml:space="preserve"> load forecast as well as </w:t>
      </w:r>
      <w:r w:rsidR="000A6F84" w:rsidRPr="07D04674">
        <w:rPr>
          <w:sz w:val="24"/>
          <w:szCs w:val="24"/>
        </w:rPr>
        <w:t>Docket</w:t>
      </w:r>
      <w:r w:rsidR="0041771C">
        <w:rPr>
          <w:sz w:val="24"/>
          <w:szCs w:val="24"/>
        </w:rPr>
        <w:t xml:space="preserve"> </w:t>
      </w:r>
      <w:r w:rsidR="71B593E2" w:rsidRPr="07D04674">
        <w:rPr>
          <w:sz w:val="24"/>
          <w:szCs w:val="24"/>
        </w:rPr>
        <w:t>Nos.</w:t>
      </w:r>
      <w:r w:rsidR="000A6F84">
        <w:rPr>
          <w:sz w:val="24"/>
          <w:szCs w:val="24"/>
        </w:rPr>
        <w:t xml:space="preserve"> 56002 and 56003 regarding the 2025 IRP load forecast</w:t>
      </w:r>
      <w:r w:rsidR="00F30634">
        <w:rPr>
          <w:sz w:val="24"/>
          <w:szCs w:val="24"/>
        </w:rPr>
        <w:t>. I have also testified</w:t>
      </w:r>
      <w:r w:rsidR="49CEC96B" w:rsidRPr="1A9D60ED">
        <w:rPr>
          <w:sz w:val="24"/>
          <w:szCs w:val="24"/>
        </w:rPr>
        <w:t xml:space="preserve"> </w:t>
      </w:r>
      <w:r w:rsidR="70C9D6ED" w:rsidRPr="1A9D60ED">
        <w:rPr>
          <w:sz w:val="24"/>
          <w:szCs w:val="24"/>
        </w:rPr>
        <w:t>before</w:t>
      </w:r>
      <w:r w:rsidR="00F30634">
        <w:rPr>
          <w:sz w:val="24"/>
          <w:szCs w:val="24"/>
        </w:rPr>
        <w:t xml:space="preserve"> the Utah Public Service Commission. Please see Exhibit KAP-1 for further discussion of my testifying experience.</w:t>
      </w:r>
    </w:p>
    <w:p w14:paraId="2191DA41" w14:textId="77777777" w:rsidR="00E43A54" w:rsidRDefault="00E43A54" w:rsidP="007179F9">
      <w:pPr>
        <w:pStyle w:val="Question"/>
      </w:pPr>
      <w:r>
        <w:lastRenderedPageBreak/>
        <w:t>Q.</w:t>
      </w:r>
      <w:r>
        <w:tab/>
        <w:t>ON WHOSE BEHALF ARE YOU TESTIFYING?</w:t>
      </w:r>
    </w:p>
    <w:p w14:paraId="5D1D1B15" w14:textId="6810FAFE" w:rsidR="00E01138" w:rsidRPr="000A6F84" w:rsidRDefault="00E43A54" w:rsidP="000A6F84">
      <w:pPr>
        <w:spacing w:line="480" w:lineRule="auto"/>
        <w:ind w:left="720" w:hanging="720"/>
        <w:rPr>
          <w:sz w:val="24"/>
          <w:szCs w:val="24"/>
        </w:rPr>
      </w:pPr>
      <w:r>
        <w:rPr>
          <w:sz w:val="24"/>
          <w:szCs w:val="24"/>
        </w:rPr>
        <w:t>A.</w:t>
      </w:r>
      <w:r>
        <w:tab/>
      </w:r>
      <w:r w:rsidR="002D13BE">
        <w:rPr>
          <w:sz w:val="24"/>
          <w:szCs w:val="24"/>
        </w:rPr>
        <w:t xml:space="preserve">We are testifying on behalf of the </w:t>
      </w:r>
      <w:r w:rsidR="00013DDC">
        <w:rPr>
          <w:sz w:val="24"/>
          <w:szCs w:val="24"/>
        </w:rPr>
        <w:t xml:space="preserve">GPSC </w:t>
      </w:r>
      <w:r w:rsidR="002D13BE">
        <w:rPr>
          <w:sz w:val="24"/>
          <w:szCs w:val="24"/>
        </w:rPr>
        <w:t>Public Interest Advocacy Staff</w:t>
      </w:r>
      <w:r w:rsidR="009602FF">
        <w:rPr>
          <w:sz w:val="24"/>
          <w:szCs w:val="24"/>
        </w:rPr>
        <w:t xml:space="preserve"> (</w:t>
      </w:r>
      <w:r w:rsidR="005636CD">
        <w:rPr>
          <w:sz w:val="24"/>
          <w:szCs w:val="24"/>
        </w:rPr>
        <w:t>“</w:t>
      </w:r>
      <w:r w:rsidR="009602FF" w:rsidRPr="44C26B6E">
        <w:rPr>
          <w:sz w:val="24"/>
          <w:szCs w:val="24"/>
        </w:rPr>
        <w:t>Staff</w:t>
      </w:r>
      <w:r w:rsidR="00443B71">
        <w:rPr>
          <w:sz w:val="24"/>
          <w:szCs w:val="24"/>
        </w:rPr>
        <w:t>”</w:t>
      </w:r>
      <w:r w:rsidR="00013DDC" w:rsidRPr="44C26B6E">
        <w:rPr>
          <w:sz w:val="24"/>
          <w:szCs w:val="24"/>
        </w:rPr>
        <w:t>)</w:t>
      </w:r>
      <w:r w:rsidR="002D13BE" w:rsidRPr="44C26B6E">
        <w:rPr>
          <w:sz w:val="24"/>
          <w:szCs w:val="24"/>
        </w:rPr>
        <w:t xml:space="preserve">. </w:t>
      </w:r>
    </w:p>
    <w:p w14:paraId="69D440A2" w14:textId="5202E294" w:rsidR="00C4553E" w:rsidRDefault="00C4553E" w:rsidP="00C4553E">
      <w:pPr>
        <w:pStyle w:val="Question"/>
      </w:pPr>
      <w:r>
        <w:t>Q.</w:t>
      </w:r>
      <w:r>
        <w:tab/>
        <w:t>Please summarize the purpose of your testimony</w:t>
      </w:r>
      <w:r w:rsidR="00363C7E">
        <w:t>.</w:t>
      </w:r>
    </w:p>
    <w:p w14:paraId="0C922708" w14:textId="472F0B4E" w:rsidR="00297A01" w:rsidRDefault="00C4553E" w:rsidP="00CD39F9">
      <w:pPr>
        <w:pStyle w:val="Answers"/>
        <w:rPr>
          <w:rFonts w:eastAsia="Calibri"/>
          <w:b/>
          <w:kern w:val="32"/>
        </w:rPr>
      </w:pPr>
      <w:r>
        <w:t>A.</w:t>
      </w:r>
      <w:r>
        <w:tab/>
      </w:r>
      <w:r w:rsidR="00F93CFD">
        <w:t>T</w:t>
      </w:r>
      <w:r w:rsidR="00363C7E">
        <w:t xml:space="preserve">his testimony </w:t>
      </w:r>
      <w:r w:rsidR="00F93CFD">
        <w:t xml:space="preserve">provides Staff’s evaluation of </w:t>
      </w:r>
      <w:r w:rsidR="00363C7E">
        <w:t xml:space="preserve">the </w:t>
      </w:r>
      <w:r w:rsidR="000A6F84">
        <w:t xml:space="preserve">Budget </w:t>
      </w:r>
      <w:r w:rsidR="00363C7E">
        <w:t>202</w:t>
      </w:r>
      <w:r w:rsidR="000A6F84">
        <w:t>6</w:t>
      </w:r>
      <w:r w:rsidR="00363C7E">
        <w:t xml:space="preserve"> load forecast (“B202</w:t>
      </w:r>
      <w:r w:rsidR="000A6F84">
        <w:t>6</w:t>
      </w:r>
      <w:r w:rsidR="00363C7E">
        <w:t>”) produced by the Georgia Power Company (“G</w:t>
      </w:r>
      <w:r w:rsidR="4E6FBDF3">
        <w:t>eorgia Power</w:t>
      </w:r>
      <w:r w:rsidR="00363C7E">
        <w:t xml:space="preserve">” or “Company”) for </w:t>
      </w:r>
      <w:r w:rsidR="000A6F84">
        <w:t>the</w:t>
      </w:r>
      <w:r w:rsidR="00363C7E">
        <w:t xml:space="preserve"> </w:t>
      </w:r>
      <w:r w:rsidR="00334158">
        <w:t>2029-2031 All-Source Request for Proposals (“RFP”) Certification Proceeding</w:t>
      </w:r>
      <w:r w:rsidR="00363C7E">
        <w:t>.</w:t>
      </w:r>
      <w:r w:rsidR="00F93CFD">
        <w:t xml:space="preserve"> This testimony </w:t>
      </w:r>
      <w:r w:rsidR="3EDD069E">
        <w:t>addresses</w:t>
      </w:r>
      <w:r w:rsidR="00F93CFD">
        <w:t xml:space="preserve"> Staff’s analy</w:t>
      </w:r>
      <w:r w:rsidR="00146C5A">
        <w:t xml:space="preserve">sis of </w:t>
      </w:r>
      <w:r w:rsidR="00F93CFD">
        <w:t xml:space="preserve">the Company’s methodology and results and provides </w:t>
      </w:r>
      <w:r w:rsidR="00146C5A">
        <w:t>Staff’s</w:t>
      </w:r>
      <w:r w:rsidR="00F93CFD">
        <w:t xml:space="preserve"> findings and recommendations</w:t>
      </w:r>
      <w:r w:rsidR="00146C5A">
        <w:t>.</w:t>
      </w:r>
    </w:p>
    <w:p w14:paraId="50BDA101" w14:textId="114B308C" w:rsidR="00F30634" w:rsidRDefault="00C4553E" w:rsidP="00F30634">
      <w:pPr>
        <w:pStyle w:val="Heading1"/>
      </w:pPr>
      <w:r>
        <w:tab/>
      </w:r>
      <w:bookmarkStart w:id="3" w:name="_Toc196919890"/>
      <w:bookmarkStart w:id="4" w:name="_Toc213766863"/>
      <w:r w:rsidR="00F30634">
        <w:t>Summary of Findings, Conclusions, and Recommendations</w:t>
      </w:r>
      <w:bookmarkEnd w:id="3"/>
      <w:bookmarkEnd w:id="4"/>
    </w:p>
    <w:p w14:paraId="4BF9C90F" w14:textId="1399A211" w:rsidR="007E129A" w:rsidRDefault="007E129A" w:rsidP="00756BFD">
      <w:pPr>
        <w:pStyle w:val="Question"/>
      </w:pPr>
      <w:r>
        <w:t>Q.</w:t>
      </w:r>
      <w:r>
        <w:tab/>
      </w:r>
      <w:r w:rsidR="00756BFD">
        <w:t xml:space="preserve">please summarize your </w:t>
      </w:r>
      <w:r w:rsidR="00F30634">
        <w:t xml:space="preserve">Findings and </w:t>
      </w:r>
      <w:r w:rsidR="00756BFD">
        <w:t>conclusions.</w:t>
      </w:r>
    </w:p>
    <w:p w14:paraId="4F7DEC01" w14:textId="427623FF" w:rsidR="000E67F7" w:rsidRDefault="007E129A" w:rsidP="000A6F84">
      <w:pPr>
        <w:pStyle w:val="Answers"/>
      </w:pPr>
      <w:r w:rsidRPr="00C01F46">
        <w:t>A.</w:t>
      </w:r>
      <w:r w:rsidRPr="00C01F46">
        <w:tab/>
      </w:r>
      <w:r w:rsidR="00AA0432">
        <w:t xml:space="preserve">To date, the large load forecast and the underlying </w:t>
      </w:r>
      <w:r w:rsidR="7EBB054C">
        <w:t>Load Realization Model (“</w:t>
      </w:r>
      <w:r w:rsidR="00AA0432">
        <w:t>LRM</w:t>
      </w:r>
      <w:r w:rsidR="48263ED5">
        <w:t>”)</w:t>
      </w:r>
      <w:r w:rsidR="00AA0432">
        <w:t xml:space="preserve"> have not materialized as expected. In the near term, large load projects continue to materialize lower than forecasted by the Company. This </w:t>
      </w:r>
      <w:r w:rsidR="003A2472">
        <w:t xml:space="preserve">lower materialization </w:t>
      </w:r>
      <w:r w:rsidR="00AA0432">
        <w:t xml:space="preserve">is driven primarily by the Data Center segment via diminished load materialization and project cancellations. Absent further adjustments to the underlying assumptions in the LRM to account for these factors, the Company is likely to overestimate its load and over-procure capacity resources, </w:t>
      </w:r>
      <w:r w:rsidR="7DE1C6A1">
        <w:t xml:space="preserve">which </w:t>
      </w:r>
      <w:r w:rsidR="0049743A">
        <w:t>would result in unnecessary</w:t>
      </w:r>
      <w:r w:rsidR="00AA0432">
        <w:t xml:space="preserve"> higher costs to existing ratepayers.</w:t>
      </w:r>
    </w:p>
    <w:p w14:paraId="377F4379" w14:textId="326093B6" w:rsidR="00AA0432" w:rsidRDefault="00EB11E3" w:rsidP="00CD39F9">
      <w:pPr>
        <w:pStyle w:val="Answers"/>
      </w:pPr>
      <w:r>
        <w:tab/>
      </w:r>
      <w:r>
        <w:tab/>
      </w:r>
      <w:r w:rsidR="00AA0432">
        <w:t xml:space="preserve">Given these conclusions, Staff recommends </w:t>
      </w:r>
      <w:r w:rsidR="388991E3">
        <w:t xml:space="preserve">that </w:t>
      </w:r>
      <w:r w:rsidR="00AA0432">
        <w:t xml:space="preserve">the Commission </w:t>
      </w:r>
      <w:r w:rsidR="007272A2">
        <w:t>adopt</w:t>
      </w:r>
      <w:r w:rsidR="00AA0432">
        <w:t xml:space="preserve"> Staff</w:t>
      </w:r>
      <w:r w:rsidR="007272A2">
        <w:t>’s</w:t>
      </w:r>
      <w:r w:rsidR="00AA0432">
        <w:t xml:space="preserve"> Scenario 1</w:t>
      </w:r>
      <w:r w:rsidR="497F0837">
        <w:t xml:space="preserve"> </w:t>
      </w:r>
      <w:r w:rsidR="00AB38B1">
        <w:t xml:space="preserve">load forecast </w:t>
      </w:r>
      <w:r w:rsidR="497F0837">
        <w:t>described below</w:t>
      </w:r>
      <w:r w:rsidR="00AA0432">
        <w:t xml:space="preserve">. This scenario minimizes the amount of risk that existing ratepayers bear by limiting the large load forecast to only projects with executed </w:t>
      </w:r>
      <w:r w:rsidR="00AA0432">
        <w:lastRenderedPageBreak/>
        <w:t xml:space="preserve">contracts. While there is still risk associated with this scenario, as nearly </w:t>
      </w:r>
      <w:r w:rsidR="00334158" w:rsidRPr="00334158">
        <w:rPr>
          <w:highlight w:val="black"/>
        </w:rPr>
        <w:t>XX</w:t>
      </w:r>
      <w:r w:rsidR="00AA0432">
        <w:t xml:space="preserve">% of the load in this scenario comes from projects </w:t>
      </w:r>
      <w:r>
        <w:t>that</w:t>
      </w:r>
      <w:r w:rsidR="00AA0432">
        <w:t xml:space="preserve"> are not subject to the </w:t>
      </w:r>
      <w:r w:rsidR="181E670C">
        <w:t xml:space="preserve">Company’s </w:t>
      </w:r>
      <w:r w:rsidR="00AA0432">
        <w:t>new</w:t>
      </w:r>
      <w:r w:rsidR="000B7A75">
        <w:t xml:space="preserve">, </w:t>
      </w:r>
      <w:r w:rsidR="352D4851">
        <w:t>modified</w:t>
      </w:r>
      <w:r w:rsidR="00AA0432">
        <w:t xml:space="preserve"> rules and regulations approved by the Commission, it offers a reasonable mitigation of this risk relative to the Company’s filing.</w:t>
      </w:r>
    </w:p>
    <w:p w14:paraId="284C4948" w14:textId="31639AB9" w:rsidR="00AA0432" w:rsidRDefault="00EB11E3" w:rsidP="00CD39F9">
      <w:pPr>
        <w:pStyle w:val="Answers"/>
      </w:pPr>
      <w:r>
        <w:tab/>
      </w:r>
      <w:r>
        <w:tab/>
      </w:r>
      <w:r w:rsidR="00AA0432">
        <w:t xml:space="preserve">If the Commission determines that Scenario 1 is not its preferred option, Staff </w:t>
      </w:r>
      <w:r w:rsidR="00D22374">
        <w:t>identified an alternative scenario</w:t>
      </w:r>
      <w:r w:rsidR="00AA0432">
        <w:t xml:space="preserve">. Scenario 2 provides a higher level of large load </w:t>
      </w:r>
      <w:r w:rsidR="003F6192">
        <w:t xml:space="preserve">(data center) </w:t>
      </w:r>
      <w:r w:rsidR="00AA0432">
        <w:t xml:space="preserve">growth, but moderates this growth based on a number of modifications to the underlying assumptions in the </w:t>
      </w:r>
      <w:r w:rsidR="00AD340D">
        <w:t xml:space="preserve">Company’s </w:t>
      </w:r>
      <w:r w:rsidR="00AA0432">
        <w:t>LRM. This scenario provides a higher level of risk relative to Scenario 1,</w:t>
      </w:r>
      <w:r w:rsidR="3403A862">
        <w:t xml:space="preserve"> </w:t>
      </w:r>
      <w:r w:rsidR="00AA0432">
        <w:t>but offers a significantly lower level of risk than that presented in the Company’s B2026 base case.</w:t>
      </w:r>
    </w:p>
    <w:p w14:paraId="61992A2E" w14:textId="11A41E35" w:rsidR="00AA0432" w:rsidRDefault="00AA0432" w:rsidP="1D217375">
      <w:pPr>
        <w:pStyle w:val="Answers"/>
        <w:ind w:left="0" w:firstLine="0"/>
      </w:pPr>
    </w:p>
    <w:p w14:paraId="04BBD465" w14:textId="12E78B56" w:rsidR="00506D0E" w:rsidRPr="00BC5D5F" w:rsidRDefault="00506D0E" w:rsidP="00506D0E">
      <w:pPr>
        <w:pStyle w:val="Answers"/>
        <w:rPr>
          <w:rFonts w:cs="Times New Roman"/>
          <w:b/>
          <w:bCs/>
        </w:rPr>
      </w:pPr>
      <w:bookmarkStart w:id="5" w:name="_Hlk212664188"/>
      <w:r w:rsidRPr="00BC5D5F">
        <w:rPr>
          <w:rFonts w:cs="Times New Roman"/>
          <w:b/>
          <w:bCs/>
        </w:rPr>
        <w:t xml:space="preserve">Q. </w:t>
      </w:r>
      <w:r>
        <w:tab/>
      </w:r>
      <w:r w:rsidRPr="00BC5D5F">
        <w:rPr>
          <w:rFonts w:cs="Times New Roman"/>
          <w:b/>
          <w:bCs/>
        </w:rPr>
        <w:t xml:space="preserve">WHAT </w:t>
      </w:r>
      <w:r>
        <w:rPr>
          <w:rFonts w:cs="Times New Roman"/>
          <w:b/>
          <w:bCs/>
        </w:rPr>
        <w:t xml:space="preserve">PORTION OF THE </w:t>
      </w:r>
      <w:r w:rsidR="2BBDDC63" w:rsidRPr="66C4F36E">
        <w:rPr>
          <w:rFonts w:cs="Times New Roman"/>
          <w:b/>
          <w:bCs/>
        </w:rPr>
        <w:t>COMPANY’S</w:t>
      </w:r>
      <w:r w:rsidR="381B2698" w:rsidRPr="66C4F36E">
        <w:rPr>
          <w:rFonts w:cs="Times New Roman"/>
          <w:b/>
          <w:bCs/>
        </w:rPr>
        <w:t xml:space="preserve"> </w:t>
      </w:r>
      <w:r w:rsidRPr="66C4F36E">
        <w:rPr>
          <w:rFonts w:cs="Times New Roman"/>
          <w:b/>
          <w:bCs/>
        </w:rPr>
        <w:t>CERTIFICATION</w:t>
      </w:r>
      <w:r>
        <w:rPr>
          <w:rFonts w:cs="Times New Roman"/>
          <w:b/>
          <w:bCs/>
        </w:rPr>
        <w:t xml:space="preserve"> REQUEST IS BACKED BY EXECUTED CONTRACTS? </w:t>
      </w:r>
    </w:p>
    <w:p w14:paraId="34CFD0E1" w14:textId="046CD252" w:rsidR="00506D0E" w:rsidRDefault="00506D0E" w:rsidP="00506D0E">
      <w:pPr>
        <w:pStyle w:val="Answers"/>
        <w:rPr>
          <w:rFonts w:cs="Times New Roman"/>
        </w:rPr>
      </w:pPr>
      <w:r w:rsidRPr="00854A13">
        <w:rPr>
          <w:rFonts w:cs="Times New Roman"/>
        </w:rPr>
        <w:t>A</w:t>
      </w:r>
      <w:r>
        <w:rPr>
          <w:rFonts w:cs="Times New Roman"/>
        </w:rPr>
        <w:t>.</w:t>
      </w:r>
      <w:r w:rsidRPr="00854A13">
        <w:rPr>
          <w:rFonts w:cs="Times New Roman"/>
        </w:rPr>
        <w:t xml:space="preserve"> </w:t>
      </w:r>
      <w:r>
        <w:tab/>
      </w:r>
      <w:r w:rsidRPr="00854A13">
        <w:rPr>
          <w:rFonts w:cs="Times New Roman"/>
        </w:rPr>
        <w:t xml:space="preserve">The majority of the new generation Georgia Power seeks to certify—approximately </w:t>
      </w:r>
      <w:r w:rsidR="00334158" w:rsidRPr="00334158">
        <w:rPr>
          <w:highlight w:val="black"/>
        </w:rPr>
        <w:t xml:space="preserve">X </w:t>
      </w:r>
      <w:r w:rsidRPr="00854A13">
        <w:rPr>
          <w:rFonts w:cs="Times New Roman"/>
        </w:rPr>
        <w:t>%—is not backed by executed contracts under the new large load framework. Only about 1,900 MW is supported by such contracts. The rest is speculative and exposes customers to the risk of stranded costs if the anticipated load does not materialize.</w:t>
      </w:r>
      <w:bookmarkEnd w:id="5"/>
    </w:p>
    <w:p w14:paraId="238D0555" w14:textId="1EF2AEFA" w:rsidR="00506D0E" w:rsidRPr="002D757A" w:rsidRDefault="00506D0E" w:rsidP="00506D0E">
      <w:pPr>
        <w:pStyle w:val="Answers"/>
        <w:rPr>
          <w:rFonts w:cs="Times New Roman"/>
          <w:b/>
          <w:bCs/>
        </w:rPr>
      </w:pPr>
      <w:r w:rsidRPr="00854A13">
        <w:rPr>
          <w:rFonts w:cs="Times New Roman"/>
        </w:rPr>
        <w:t>Q</w:t>
      </w:r>
      <w:r>
        <w:rPr>
          <w:rFonts w:cs="Times New Roman"/>
        </w:rPr>
        <w:t>.</w:t>
      </w:r>
      <w:r w:rsidRPr="00854A13">
        <w:rPr>
          <w:rFonts w:cs="Times New Roman"/>
        </w:rPr>
        <w:t xml:space="preserve"> </w:t>
      </w:r>
      <w:r>
        <w:rPr>
          <w:rFonts w:cs="Times New Roman"/>
        </w:rPr>
        <w:tab/>
      </w:r>
      <w:r>
        <w:rPr>
          <w:rFonts w:cs="Times New Roman"/>
          <w:b/>
          <w:bCs/>
        </w:rPr>
        <w:t xml:space="preserve">DOES THE FRAMEWORK FOR NEW LARGE LOAD CUSTOMERS APPLY TO ALL LARGE LOAD FOR WHICH GEORGIA POWER IS REQUESTING TO SERVE? </w:t>
      </w:r>
    </w:p>
    <w:p w14:paraId="5CCBEE97" w14:textId="039D02EF" w:rsidR="00506D0E" w:rsidRDefault="00506D0E" w:rsidP="1E6D959C">
      <w:pPr>
        <w:pStyle w:val="Answers"/>
        <w:rPr>
          <w:rFonts w:cs="Times New Roman"/>
        </w:rPr>
      </w:pPr>
      <w:r w:rsidRPr="1E6D959C">
        <w:rPr>
          <w:rFonts w:cs="Times New Roman"/>
        </w:rPr>
        <w:t xml:space="preserve">A. </w:t>
      </w:r>
      <w:r>
        <w:tab/>
      </w:r>
      <w:r w:rsidRPr="1E6D959C">
        <w:rPr>
          <w:rFonts w:cs="Times New Roman"/>
        </w:rPr>
        <w:t xml:space="preserve">Unfortunately, no. The framework and customer protections in it apply to only a small fraction of the proposed capacity. </w:t>
      </w:r>
      <w:r w:rsidR="4A701F43" w:rsidRPr="1E6D959C">
        <w:rPr>
          <w:rFonts w:cs="Times New Roman"/>
        </w:rPr>
        <w:t>The major</w:t>
      </w:r>
      <w:r w:rsidR="00605E65">
        <w:rPr>
          <w:rFonts w:cs="Times New Roman"/>
        </w:rPr>
        <w:t>ity</w:t>
      </w:r>
      <w:r w:rsidR="4A701F43" w:rsidRPr="1E6D959C">
        <w:rPr>
          <w:rFonts w:cs="Times New Roman"/>
        </w:rPr>
        <w:t xml:space="preserve"> of the new l</w:t>
      </w:r>
      <w:r w:rsidR="3378D0F9" w:rsidRPr="1E6D959C">
        <w:rPr>
          <w:rFonts w:cs="Times New Roman"/>
        </w:rPr>
        <w:t>arge</w:t>
      </w:r>
      <w:r w:rsidR="4A701F43" w:rsidRPr="1E6D959C">
        <w:rPr>
          <w:rFonts w:cs="Times New Roman"/>
        </w:rPr>
        <w:t xml:space="preserve"> load</w:t>
      </w:r>
      <w:r w:rsidR="3ECE562C" w:rsidRPr="1E6D959C">
        <w:rPr>
          <w:rFonts w:cs="Times New Roman"/>
        </w:rPr>
        <w:t xml:space="preserve"> </w:t>
      </w:r>
      <w:r w:rsidR="3ECE562C" w:rsidRPr="5AA1FF77">
        <w:rPr>
          <w:rFonts w:cs="Times New Roman"/>
        </w:rPr>
        <w:t>contracts</w:t>
      </w:r>
      <w:r w:rsidR="3397B4E8" w:rsidRPr="5AA1FF77">
        <w:rPr>
          <w:rFonts w:cs="Times New Roman"/>
        </w:rPr>
        <w:t xml:space="preserve"> </w:t>
      </w:r>
      <w:r w:rsidR="3ECE562C" w:rsidRPr="5AA1FF77">
        <w:rPr>
          <w:rFonts w:cs="Times New Roman"/>
        </w:rPr>
        <w:t>that</w:t>
      </w:r>
      <w:r w:rsidR="3ECE562C" w:rsidRPr="1E6D959C">
        <w:rPr>
          <w:rFonts w:cs="Times New Roman"/>
        </w:rPr>
        <w:t xml:space="preserve"> the Company is </w:t>
      </w:r>
      <w:r w:rsidR="5DB178E4" w:rsidRPr="1E6D959C">
        <w:rPr>
          <w:rFonts w:cs="Times New Roman"/>
        </w:rPr>
        <w:t>planning</w:t>
      </w:r>
      <w:r w:rsidR="3ECE562C" w:rsidRPr="1E6D959C">
        <w:rPr>
          <w:rFonts w:cs="Times New Roman"/>
        </w:rPr>
        <w:t xml:space="preserve"> for were signed in 2023 and 2024</w:t>
      </w:r>
      <w:r w:rsidR="2B8CCE63" w:rsidRPr="1E6D959C">
        <w:rPr>
          <w:rFonts w:cs="Times New Roman"/>
        </w:rPr>
        <w:t xml:space="preserve">, before the new rules and </w:t>
      </w:r>
      <w:r w:rsidR="2B8CCE63" w:rsidRPr="5572BF67">
        <w:rPr>
          <w:rFonts w:cs="Times New Roman"/>
        </w:rPr>
        <w:lastRenderedPageBreak/>
        <w:t>regulation</w:t>
      </w:r>
      <w:r w:rsidR="6187B667" w:rsidRPr="5572BF67">
        <w:rPr>
          <w:rFonts w:cs="Times New Roman"/>
        </w:rPr>
        <w:t>s</w:t>
      </w:r>
      <w:r w:rsidR="2B8CCE63" w:rsidRPr="1E6D959C">
        <w:rPr>
          <w:rFonts w:cs="Times New Roman"/>
        </w:rPr>
        <w:t xml:space="preserve"> went into effect. </w:t>
      </w:r>
      <w:r w:rsidR="7116FE14" w:rsidRPr="222160F6">
        <w:rPr>
          <w:rFonts w:cs="Times New Roman"/>
        </w:rPr>
        <w:t>We</w:t>
      </w:r>
      <w:r w:rsidR="49F3D8DF" w:rsidRPr="222160F6">
        <w:rPr>
          <w:rFonts w:cs="Times New Roman"/>
        </w:rPr>
        <w:t xml:space="preserve"> refer</w:t>
      </w:r>
      <w:r w:rsidR="49F3D8DF" w:rsidRPr="1E6D959C">
        <w:rPr>
          <w:rFonts w:cs="Times New Roman"/>
        </w:rPr>
        <w:t xml:space="preserve"> to</w:t>
      </w:r>
      <w:r w:rsidR="6BBD9796" w:rsidRPr="08B20CD9">
        <w:rPr>
          <w:rFonts w:cs="Times New Roman"/>
        </w:rPr>
        <w:t xml:space="preserve"> these</w:t>
      </w:r>
      <w:r w:rsidR="49F3D8DF" w:rsidRPr="222160F6">
        <w:rPr>
          <w:rFonts w:cs="Times New Roman"/>
        </w:rPr>
        <w:t xml:space="preserve"> </w:t>
      </w:r>
      <w:r w:rsidR="49F3D8DF" w:rsidRPr="1E6D959C">
        <w:rPr>
          <w:rFonts w:cs="Times New Roman"/>
        </w:rPr>
        <w:t>as “legacy contracts</w:t>
      </w:r>
      <w:r w:rsidR="351B7470" w:rsidRPr="55AA55E9">
        <w:rPr>
          <w:rFonts w:cs="Times New Roman"/>
        </w:rPr>
        <w:t>.</w:t>
      </w:r>
      <w:r w:rsidR="49F3D8DF" w:rsidRPr="55AA55E9">
        <w:rPr>
          <w:rFonts w:cs="Times New Roman"/>
        </w:rPr>
        <w:t>”</w:t>
      </w:r>
      <w:r w:rsidR="56E1D8CB" w:rsidRPr="18BE8239">
        <w:rPr>
          <w:rFonts w:cs="Times New Roman"/>
        </w:rPr>
        <w:t xml:space="preserve">  </w:t>
      </w:r>
      <w:r w:rsidR="56E1D8CB" w:rsidRPr="5293B207">
        <w:rPr>
          <w:rFonts w:cs="Times New Roman"/>
        </w:rPr>
        <w:t>In addition to the</w:t>
      </w:r>
      <w:r w:rsidR="56E1D8CB" w:rsidRPr="72CAF06E">
        <w:rPr>
          <w:rFonts w:cs="Times New Roman"/>
        </w:rPr>
        <w:t xml:space="preserve"> </w:t>
      </w:r>
      <w:r w:rsidR="58999483" w:rsidRPr="3515F6EC">
        <w:rPr>
          <w:rFonts w:cs="Times New Roman"/>
        </w:rPr>
        <w:t xml:space="preserve">contracts </w:t>
      </w:r>
      <w:r w:rsidR="58999483" w:rsidRPr="70E6A8F5">
        <w:rPr>
          <w:rFonts w:cs="Times New Roman"/>
        </w:rPr>
        <w:t>under</w:t>
      </w:r>
      <w:r w:rsidR="58999483" w:rsidRPr="1172B298">
        <w:rPr>
          <w:rFonts w:cs="Times New Roman"/>
        </w:rPr>
        <w:t xml:space="preserve"> </w:t>
      </w:r>
      <w:r w:rsidR="58999483" w:rsidRPr="10B095C0">
        <w:rPr>
          <w:rFonts w:cs="Times New Roman"/>
        </w:rPr>
        <w:t xml:space="preserve">the new </w:t>
      </w:r>
      <w:r w:rsidR="58999483" w:rsidRPr="55AF1B43">
        <w:rPr>
          <w:rFonts w:cs="Times New Roman"/>
        </w:rPr>
        <w:t xml:space="preserve">rules and </w:t>
      </w:r>
      <w:r w:rsidR="58999483" w:rsidRPr="120CCEB2">
        <w:rPr>
          <w:rFonts w:cs="Times New Roman"/>
        </w:rPr>
        <w:t>regulations</w:t>
      </w:r>
      <w:r w:rsidR="58999483" w:rsidRPr="082E4314">
        <w:rPr>
          <w:rFonts w:cs="Times New Roman"/>
        </w:rPr>
        <w:t xml:space="preserve"> and </w:t>
      </w:r>
      <w:r w:rsidR="58999483" w:rsidRPr="5A3755C8">
        <w:rPr>
          <w:rFonts w:cs="Times New Roman"/>
        </w:rPr>
        <w:t xml:space="preserve">the legacy </w:t>
      </w:r>
      <w:r w:rsidR="58999483" w:rsidRPr="53838A2E">
        <w:rPr>
          <w:rFonts w:cs="Times New Roman"/>
        </w:rPr>
        <w:t xml:space="preserve">contracts, the </w:t>
      </w:r>
      <w:r w:rsidR="58999483" w:rsidRPr="5E370491">
        <w:rPr>
          <w:rFonts w:cs="Times New Roman"/>
        </w:rPr>
        <w:t xml:space="preserve">Company is </w:t>
      </w:r>
      <w:r w:rsidR="58999483" w:rsidRPr="0B09C2F0">
        <w:rPr>
          <w:rFonts w:cs="Times New Roman"/>
        </w:rPr>
        <w:t xml:space="preserve">also </w:t>
      </w:r>
      <w:r w:rsidR="58999483" w:rsidRPr="5B0901CC">
        <w:rPr>
          <w:rFonts w:cs="Times New Roman"/>
        </w:rPr>
        <w:t xml:space="preserve">planning </w:t>
      </w:r>
      <w:r w:rsidR="58999483" w:rsidRPr="74891BFD">
        <w:rPr>
          <w:rFonts w:cs="Times New Roman"/>
        </w:rPr>
        <w:t xml:space="preserve">to </w:t>
      </w:r>
      <w:r w:rsidR="58999483" w:rsidRPr="74B4F5F3">
        <w:rPr>
          <w:rFonts w:cs="Times New Roman"/>
        </w:rPr>
        <w:t xml:space="preserve">serve </w:t>
      </w:r>
      <w:r w:rsidR="005E1012">
        <w:rPr>
          <w:rFonts w:cs="Times New Roman"/>
        </w:rPr>
        <w:t xml:space="preserve">speculative </w:t>
      </w:r>
      <w:r w:rsidR="4B87EC36" w:rsidRPr="537B8DCE">
        <w:rPr>
          <w:rFonts w:cs="Times New Roman"/>
        </w:rPr>
        <w:t xml:space="preserve">new large </w:t>
      </w:r>
      <w:r w:rsidR="4B87EC36" w:rsidRPr="29338C32">
        <w:rPr>
          <w:rFonts w:cs="Times New Roman"/>
        </w:rPr>
        <w:t xml:space="preserve">load </w:t>
      </w:r>
      <w:r w:rsidR="58999483" w:rsidRPr="29338C32">
        <w:rPr>
          <w:rFonts w:cs="Times New Roman"/>
        </w:rPr>
        <w:t>customers</w:t>
      </w:r>
      <w:r w:rsidR="58999483" w:rsidRPr="0359377D">
        <w:rPr>
          <w:rFonts w:cs="Times New Roman"/>
        </w:rPr>
        <w:t xml:space="preserve"> that </w:t>
      </w:r>
      <w:r w:rsidR="58999483" w:rsidRPr="163D5A6C">
        <w:rPr>
          <w:rFonts w:cs="Times New Roman"/>
        </w:rPr>
        <w:t xml:space="preserve">have </w:t>
      </w:r>
      <w:r w:rsidR="58999483" w:rsidRPr="2BD8702A">
        <w:rPr>
          <w:rFonts w:cs="Times New Roman"/>
        </w:rPr>
        <w:t>no</w:t>
      </w:r>
      <w:r w:rsidR="35461469" w:rsidRPr="2BD8702A">
        <w:rPr>
          <w:rFonts w:cs="Times New Roman"/>
        </w:rPr>
        <w:t>t</w:t>
      </w:r>
      <w:r w:rsidR="58999483" w:rsidRPr="163D5A6C">
        <w:rPr>
          <w:rFonts w:cs="Times New Roman"/>
        </w:rPr>
        <w:t xml:space="preserve"> </w:t>
      </w:r>
      <w:r w:rsidR="58999483" w:rsidRPr="527ECA8E">
        <w:rPr>
          <w:rFonts w:cs="Times New Roman"/>
        </w:rPr>
        <w:t>y</w:t>
      </w:r>
      <w:r w:rsidR="76A51591" w:rsidRPr="527ECA8E">
        <w:rPr>
          <w:rFonts w:cs="Times New Roman"/>
        </w:rPr>
        <w:t xml:space="preserve">et, and may </w:t>
      </w:r>
      <w:r w:rsidR="76A51591" w:rsidRPr="0DC93BE5">
        <w:rPr>
          <w:rFonts w:cs="Times New Roman"/>
        </w:rPr>
        <w:t xml:space="preserve">never, actually </w:t>
      </w:r>
      <w:r w:rsidR="76A51591" w:rsidRPr="475B2ECA">
        <w:rPr>
          <w:rFonts w:cs="Times New Roman"/>
        </w:rPr>
        <w:t xml:space="preserve">sign </w:t>
      </w:r>
      <w:r w:rsidR="76A51591" w:rsidRPr="0109807E">
        <w:rPr>
          <w:rFonts w:cs="Times New Roman"/>
        </w:rPr>
        <w:t>contracts</w:t>
      </w:r>
      <w:r w:rsidR="0935404E" w:rsidRPr="7003BA45">
        <w:rPr>
          <w:rFonts w:cs="Times New Roman"/>
        </w:rPr>
        <w:t xml:space="preserve"> </w:t>
      </w:r>
      <w:r w:rsidR="0935404E" w:rsidRPr="4D324FD1">
        <w:rPr>
          <w:rFonts w:cs="Times New Roman"/>
        </w:rPr>
        <w:t xml:space="preserve">and </w:t>
      </w:r>
      <w:r w:rsidR="0935404E" w:rsidRPr="2F3D018F">
        <w:rPr>
          <w:rFonts w:cs="Times New Roman"/>
        </w:rPr>
        <w:t xml:space="preserve">receive electric </w:t>
      </w:r>
      <w:r w:rsidR="0935404E" w:rsidRPr="14BB48EF">
        <w:rPr>
          <w:rFonts w:cs="Times New Roman"/>
        </w:rPr>
        <w:t>serv</w:t>
      </w:r>
      <w:r w:rsidR="4AC23B90" w:rsidRPr="14BB48EF">
        <w:rPr>
          <w:rFonts w:cs="Times New Roman"/>
        </w:rPr>
        <w:t>ic</w:t>
      </w:r>
      <w:r w:rsidR="0935404E" w:rsidRPr="14BB48EF">
        <w:rPr>
          <w:rFonts w:cs="Times New Roman"/>
        </w:rPr>
        <w:t>e</w:t>
      </w:r>
      <w:r w:rsidR="76A51591" w:rsidRPr="14BB48EF">
        <w:rPr>
          <w:rFonts w:cs="Times New Roman"/>
        </w:rPr>
        <w:t>.</w:t>
      </w:r>
    </w:p>
    <w:p w14:paraId="7D283D4B" w14:textId="196252C7" w:rsidR="00506D0E" w:rsidRPr="00EE063D" w:rsidRDefault="00506D0E" w:rsidP="00506D0E">
      <w:pPr>
        <w:pStyle w:val="Answers"/>
        <w:rPr>
          <w:rFonts w:cs="Times New Roman"/>
          <w:b/>
          <w:bCs/>
        </w:rPr>
      </w:pPr>
      <w:r w:rsidRPr="00EE063D">
        <w:rPr>
          <w:rFonts w:cs="Times New Roman"/>
          <w:b/>
          <w:bCs/>
        </w:rPr>
        <w:t xml:space="preserve">Q. </w:t>
      </w:r>
      <w:r>
        <w:tab/>
      </w:r>
      <w:r w:rsidRPr="00EE063D">
        <w:rPr>
          <w:rFonts w:cs="Times New Roman"/>
          <w:b/>
          <w:bCs/>
        </w:rPr>
        <w:t xml:space="preserve">WHY </w:t>
      </w:r>
      <w:r w:rsidR="6372E335" w:rsidRPr="04EFB715">
        <w:rPr>
          <w:rFonts w:cs="Times New Roman"/>
          <w:b/>
          <w:bCs/>
        </w:rPr>
        <w:t>ARE</w:t>
      </w:r>
      <w:r w:rsidRPr="00EE063D">
        <w:rPr>
          <w:rFonts w:cs="Times New Roman"/>
          <w:b/>
          <w:bCs/>
        </w:rPr>
        <w:t xml:space="preserve"> </w:t>
      </w:r>
      <w:r w:rsidRPr="15DEEC34">
        <w:rPr>
          <w:rFonts w:cs="Times New Roman"/>
          <w:b/>
          <w:bCs/>
        </w:rPr>
        <w:t>TH</w:t>
      </w:r>
      <w:r w:rsidR="04EB8AB1" w:rsidRPr="15DEEC34">
        <w:rPr>
          <w:rFonts w:cs="Times New Roman"/>
          <w:b/>
          <w:bCs/>
        </w:rPr>
        <w:t>ES</w:t>
      </w:r>
      <w:r w:rsidR="003D39AB">
        <w:rPr>
          <w:rFonts w:cs="Times New Roman"/>
          <w:b/>
          <w:bCs/>
        </w:rPr>
        <w:t>E</w:t>
      </w:r>
      <w:r w:rsidRPr="00EE063D">
        <w:rPr>
          <w:rFonts w:cs="Times New Roman"/>
          <w:b/>
          <w:bCs/>
        </w:rPr>
        <w:t xml:space="preserve"> </w:t>
      </w:r>
      <w:r w:rsidRPr="3DF46D93">
        <w:rPr>
          <w:rFonts w:cs="Times New Roman"/>
          <w:b/>
          <w:bCs/>
        </w:rPr>
        <w:t>DISTINCTION</w:t>
      </w:r>
      <w:r w:rsidR="003D39AB">
        <w:rPr>
          <w:rFonts w:cs="Times New Roman"/>
          <w:b/>
          <w:bCs/>
        </w:rPr>
        <w:t>S</w:t>
      </w:r>
      <w:r w:rsidRPr="00EE063D">
        <w:rPr>
          <w:rFonts w:cs="Times New Roman"/>
          <w:b/>
          <w:bCs/>
        </w:rPr>
        <w:t xml:space="preserve"> IMPORTANT FOR CUSTOMER PROTECTION?</w:t>
      </w:r>
    </w:p>
    <w:p w14:paraId="0BC4670D" w14:textId="7C70C00C" w:rsidR="00506D0E" w:rsidRDefault="00506D0E" w:rsidP="00506D0E">
      <w:pPr>
        <w:pStyle w:val="Answers"/>
        <w:rPr>
          <w:rFonts w:cs="Times New Roman"/>
        </w:rPr>
      </w:pPr>
      <w:r w:rsidRPr="00854A13">
        <w:rPr>
          <w:rFonts w:cs="Times New Roman"/>
        </w:rPr>
        <w:t>A</w:t>
      </w:r>
      <w:r>
        <w:rPr>
          <w:rFonts w:cs="Times New Roman"/>
        </w:rPr>
        <w:t>.</w:t>
      </w:r>
      <w:r w:rsidRPr="00854A13">
        <w:rPr>
          <w:rFonts w:cs="Times New Roman"/>
        </w:rPr>
        <w:t xml:space="preserve"> </w:t>
      </w:r>
      <w:r>
        <w:tab/>
      </w:r>
      <w:r w:rsidRPr="00854A13">
        <w:rPr>
          <w:rFonts w:cs="Times New Roman"/>
        </w:rPr>
        <w:t xml:space="preserve">Legacy large load contracts do not include the same termination penalties or minimum bill provisions as the new contracts. </w:t>
      </w:r>
      <w:r>
        <w:rPr>
          <w:rFonts w:cs="Times New Roman"/>
        </w:rPr>
        <w:t xml:space="preserve">These are also shorter-term contracts and allow customers to leave the system without penalty. </w:t>
      </w:r>
      <w:r w:rsidRPr="00854A13">
        <w:rPr>
          <w:rFonts w:cs="Times New Roman"/>
        </w:rPr>
        <w:t>If th</w:t>
      </w:r>
      <w:r>
        <w:rPr>
          <w:rFonts w:cs="Times New Roman"/>
        </w:rPr>
        <w:t>e</w:t>
      </w:r>
      <w:r w:rsidRPr="00854A13">
        <w:rPr>
          <w:rFonts w:cs="Times New Roman"/>
        </w:rPr>
        <w:t xml:space="preserve">se customers reduce or terminate their load, </w:t>
      </w:r>
      <w:r w:rsidR="00EF4529">
        <w:rPr>
          <w:rFonts w:cs="Times New Roman"/>
        </w:rPr>
        <w:t>this could result</w:t>
      </w:r>
      <w:r w:rsidR="00D63A4C">
        <w:rPr>
          <w:rFonts w:cs="Times New Roman"/>
        </w:rPr>
        <w:t xml:space="preserve"> in</w:t>
      </w:r>
      <w:r w:rsidRPr="00854A13">
        <w:rPr>
          <w:rFonts w:cs="Times New Roman"/>
        </w:rPr>
        <w:t xml:space="preserve"> </w:t>
      </w:r>
      <w:r w:rsidR="00D63A4C" w:rsidRPr="00854A13">
        <w:rPr>
          <w:rFonts w:cs="Times New Roman"/>
        </w:rPr>
        <w:t>underutilized assets</w:t>
      </w:r>
      <w:r w:rsidR="00D63A4C">
        <w:rPr>
          <w:rFonts w:cs="Times New Roman"/>
        </w:rPr>
        <w:t xml:space="preserve"> or stranded assets</w:t>
      </w:r>
      <w:r w:rsidR="00D63A4C" w:rsidRPr="00854A13">
        <w:rPr>
          <w:rFonts w:cs="Times New Roman"/>
        </w:rPr>
        <w:t>.</w:t>
      </w:r>
      <w:r w:rsidR="008A3616">
        <w:rPr>
          <w:rFonts w:cs="Times New Roman"/>
        </w:rPr>
        <w:t xml:space="preserve"> </w:t>
      </w:r>
      <w:r w:rsidRPr="00854A13">
        <w:rPr>
          <w:rFonts w:cs="Times New Roman"/>
        </w:rPr>
        <w:t xml:space="preserve">Georgia Power’s revenues could fall short, leaving </w:t>
      </w:r>
      <w:r>
        <w:rPr>
          <w:rFonts w:cs="Times New Roman"/>
        </w:rPr>
        <w:t xml:space="preserve">a </w:t>
      </w:r>
      <w:r w:rsidR="00C47033">
        <w:rPr>
          <w:rFonts w:cs="Times New Roman"/>
        </w:rPr>
        <w:t xml:space="preserve">potentially </w:t>
      </w:r>
      <w:r>
        <w:rPr>
          <w:rFonts w:cs="Times New Roman"/>
        </w:rPr>
        <w:t>significant amount of costs</w:t>
      </w:r>
      <w:r w:rsidR="00C2091E">
        <w:rPr>
          <w:rFonts w:cs="Times New Roman"/>
        </w:rPr>
        <w:t xml:space="preserve"> to be covered by remaining ratepayers</w:t>
      </w:r>
      <w:r w:rsidR="00B21247">
        <w:rPr>
          <w:rFonts w:cs="Times New Roman"/>
        </w:rPr>
        <w:t>.</w:t>
      </w:r>
      <w:r>
        <w:rPr>
          <w:rFonts w:cs="Times New Roman"/>
        </w:rPr>
        <w:t xml:space="preserve"> </w:t>
      </w:r>
    </w:p>
    <w:p w14:paraId="765C16FD" w14:textId="4AAB9531" w:rsidR="01A737DE" w:rsidRDefault="00EB11E3" w:rsidP="680CCFDF">
      <w:pPr>
        <w:pStyle w:val="Answers"/>
        <w:ind w:firstLine="0"/>
        <w:rPr>
          <w:rFonts w:cs="Times New Roman"/>
        </w:rPr>
      </w:pPr>
      <w:r>
        <w:tab/>
      </w:r>
      <w:r w:rsidR="5945FEDD" w:rsidRPr="6939BA09">
        <w:rPr>
          <w:rFonts w:cs="Times New Roman"/>
        </w:rPr>
        <w:t xml:space="preserve">Building capacity for </w:t>
      </w:r>
      <w:r w:rsidR="7E83BB90" w:rsidRPr="6B2E2B62">
        <w:rPr>
          <w:rFonts w:cs="Times New Roman"/>
        </w:rPr>
        <w:t xml:space="preserve">potential </w:t>
      </w:r>
      <w:r w:rsidR="5945FEDD" w:rsidRPr="6B2E2B62">
        <w:rPr>
          <w:rFonts w:cs="Times New Roman"/>
        </w:rPr>
        <w:t>large</w:t>
      </w:r>
      <w:r w:rsidR="5945FEDD" w:rsidRPr="3CEDA09F">
        <w:rPr>
          <w:rFonts w:cs="Times New Roman"/>
        </w:rPr>
        <w:t xml:space="preserve"> </w:t>
      </w:r>
      <w:r w:rsidR="5945FEDD" w:rsidRPr="47CB4301">
        <w:rPr>
          <w:rFonts w:cs="Times New Roman"/>
        </w:rPr>
        <w:t>load customers</w:t>
      </w:r>
      <w:r w:rsidR="5945FEDD" w:rsidRPr="6939BA09">
        <w:rPr>
          <w:rFonts w:cs="Times New Roman"/>
        </w:rPr>
        <w:t xml:space="preserve"> </w:t>
      </w:r>
      <w:r w:rsidR="5945FEDD" w:rsidRPr="11291A89">
        <w:rPr>
          <w:rFonts w:cs="Times New Roman"/>
        </w:rPr>
        <w:t xml:space="preserve">that have not yet, and may never, sign a contract </w:t>
      </w:r>
      <w:r w:rsidR="5945FEDD" w:rsidRPr="49B0DB49">
        <w:rPr>
          <w:rFonts w:cs="Times New Roman"/>
        </w:rPr>
        <w:t>or</w:t>
      </w:r>
      <w:r w:rsidR="1AFA0471" w:rsidRPr="49B0DB49">
        <w:rPr>
          <w:rFonts w:cs="Times New Roman"/>
        </w:rPr>
        <w:t xml:space="preserve"> receive electric service from Georgia Power is even more </w:t>
      </w:r>
      <w:r w:rsidR="0038F953" w:rsidRPr="25A3DBCD">
        <w:rPr>
          <w:rFonts w:cs="Times New Roman"/>
        </w:rPr>
        <w:t xml:space="preserve">speculative </w:t>
      </w:r>
      <w:r w:rsidR="0038F953" w:rsidRPr="1CA18117">
        <w:rPr>
          <w:rFonts w:cs="Times New Roman"/>
        </w:rPr>
        <w:t xml:space="preserve">and more </w:t>
      </w:r>
      <w:r w:rsidR="1AFA0471" w:rsidRPr="25A3DBCD">
        <w:rPr>
          <w:rFonts w:cs="Times New Roman"/>
        </w:rPr>
        <w:t>problematic</w:t>
      </w:r>
      <w:r w:rsidRPr="25A3DBCD">
        <w:rPr>
          <w:rFonts w:cs="Times New Roman"/>
        </w:rPr>
        <w:t>.</w:t>
      </w:r>
      <w:r w:rsidRPr="6778BED9">
        <w:rPr>
          <w:rFonts w:cs="Times New Roman"/>
        </w:rPr>
        <w:t xml:space="preserve"> </w:t>
      </w:r>
      <w:r w:rsidR="743D7E28" w:rsidRPr="47E63C2F">
        <w:rPr>
          <w:rFonts w:cs="Times New Roman"/>
        </w:rPr>
        <w:t xml:space="preserve">There is </w:t>
      </w:r>
      <w:r w:rsidR="743D7E28" w:rsidRPr="6B4460C9">
        <w:rPr>
          <w:rFonts w:cs="Times New Roman"/>
        </w:rPr>
        <w:t xml:space="preserve">no </w:t>
      </w:r>
      <w:r w:rsidR="743D7E28" w:rsidRPr="51BB1863">
        <w:rPr>
          <w:rFonts w:cs="Times New Roman"/>
        </w:rPr>
        <w:t xml:space="preserve">way to </w:t>
      </w:r>
      <w:r w:rsidR="743D7E28" w:rsidRPr="112071B6">
        <w:rPr>
          <w:rFonts w:cs="Times New Roman"/>
        </w:rPr>
        <w:t xml:space="preserve">collect </w:t>
      </w:r>
      <w:r w:rsidR="743D7E28" w:rsidRPr="7FD1AEBB">
        <w:rPr>
          <w:rFonts w:cs="Times New Roman"/>
        </w:rPr>
        <w:t xml:space="preserve">costs </w:t>
      </w:r>
      <w:r w:rsidR="0C4B3ADE" w:rsidRPr="66A8355F">
        <w:rPr>
          <w:rFonts w:cs="Times New Roman"/>
        </w:rPr>
        <w:t xml:space="preserve">from </w:t>
      </w:r>
      <w:r w:rsidR="1474BF73" w:rsidRPr="5AD17D53">
        <w:rPr>
          <w:rFonts w:cs="Times New Roman"/>
        </w:rPr>
        <w:t>a potential</w:t>
      </w:r>
      <w:r w:rsidR="0C4B3ADE" w:rsidRPr="21FB6FBE">
        <w:rPr>
          <w:rFonts w:cs="Times New Roman"/>
        </w:rPr>
        <w:t xml:space="preserve"> </w:t>
      </w:r>
      <w:r w:rsidR="1474BF73" w:rsidRPr="1C7E49DC">
        <w:rPr>
          <w:rFonts w:cs="Times New Roman"/>
        </w:rPr>
        <w:t>customer</w:t>
      </w:r>
      <w:r w:rsidR="0C4B3ADE" w:rsidRPr="1C7E49DC">
        <w:rPr>
          <w:rFonts w:cs="Times New Roman"/>
        </w:rPr>
        <w:t xml:space="preserve"> if </w:t>
      </w:r>
      <w:r w:rsidR="7CA0FA01" w:rsidRPr="2071A90D">
        <w:rPr>
          <w:rFonts w:cs="Times New Roman"/>
        </w:rPr>
        <w:t>it</w:t>
      </w:r>
      <w:r w:rsidR="0C4B3ADE" w:rsidRPr="21FB6FBE">
        <w:rPr>
          <w:rFonts w:cs="Times New Roman"/>
        </w:rPr>
        <w:t xml:space="preserve"> </w:t>
      </w:r>
      <w:r w:rsidR="0C4B3ADE" w:rsidRPr="77B77F7B">
        <w:rPr>
          <w:rFonts w:cs="Times New Roman"/>
        </w:rPr>
        <w:t xml:space="preserve">never </w:t>
      </w:r>
      <w:r w:rsidR="0DD51ABB" w:rsidRPr="38276C0B">
        <w:rPr>
          <w:rFonts w:cs="Times New Roman"/>
        </w:rPr>
        <w:t xml:space="preserve">signed a </w:t>
      </w:r>
      <w:r w:rsidR="0DD51ABB" w:rsidRPr="3AFCA615">
        <w:rPr>
          <w:rFonts w:cs="Times New Roman"/>
        </w:rPr>
        <w:t xml:space="preserve">contract and </w:t>
      </w:r>
      <w:r w:rsidR="0DD51ABB" w:rsidRPr="48B88C9A">
        <w:rPr>
          <w:rFonts w:cs="Times New Roman"/>
        </w:rPr>
        <w:t xml:space="preserve">never </w:t>
      </w:r>
      <w:r w:rsidR="0C4B3ADE" w:rsidRPr="48B88C9A">
        <w:rPr>
          <w:rFonts w:cs="Times New Roman"/>
        </w:rPr>
        <w:t>materialize</w:t>
      </w:r>
      <w:r w:rsidR="547D261E" w:rsidRPr="48B88C9A">
        <w:rPr>
          <w:rFonts w:cs="Times New Roman"/>
        </w:rPr>
        <w:t>d</w:t>
      </w:r>
      <w:r w:rsidR="0C4B3ADE" w:rsidRPr="77B77F7B">
        <w:rPr>
          <w:rFonts w:cs="Times New Roman"/>
        </w:rPr>
        <w:t>.</w:t>
      </w:r>
    </w:p>
    <w:p w14:paraId="08B21A7E" w14:textId="77777777" w:rsidR="00506D0E" w:rsidRDefault="00506D0E" w:rsidP="00506D0E">
      <w:pPr>
        <w:pStyle w:val="Answers"/>
        <w:rPr>
          <w:rFonts w:cs="Times New Roman"/>
        </w:rPr>
      </w:pPr>
      <w:r w:rsidRPr="00EE063D">
        <w:rPr>
          <w:rFonts w:cs="Times New Roman"/>
          <w:b/>
          <w:bCs/>
        </w:rPr>
        <w:t>Q</w:t>
      </w:r>
      <w:r>
        <w:rPr>
          <w:rFonts w:cs="Times New Roman"/>
          <w:b/>
          <w:bCs/>
        </w:rPr>
        <w:t>.</w:t>
      </w:r>
      <w:r w:rsidRPr="00EE063D">
        <w:rPr>
          <w:rFonts w:cs="Times New Roman"/>
          <w:b/>
          <w:bCs/>
        </w:rPr>
        <w:t xml:space="preserve"> </w:t>
      </w:r>
      <w:r>
        <w:rPr>
          <w:rFonts w:cs="Times New Roman"/>
          <w:b/>
          <w:bCs/>
        </w:rPr>
        <w:tab/>
      </w:r>
      <w:r w:rsidRPr="00EE063D">
        <w:rPr>
          <w:rFonts w:cs="Times New Roman"/>
          <w:b/>
          <w:bCs/>
        </w:rPr>
        <w:t>WHAT HAPPENS IF THE COMMISSION CERTIFIES THESE PROJECTS WITHOUT RESTRICTIONS?</w:t>
      </w:r>
    </w:p>
    <w:p w14:paraId="33AF132A" w14:textId="338758EF" w:rsidR="00506D0E" w:rsidRDefault="00506D0E" w:rsidP="00506D0E">
      <w:pPr>
        <w:pStyle w:val="Answers"/>
        <w:rPr>
          <w:rFonts w:cs="Times New Roman"/>
        </w:rPr>
      </w:pPr>
      <w:r w:rsidRPr="00854A13">
        <w:rPr>
          <w:rFonts w:cs="Times New Roman"/>
        </w:rPr>
        <w:t>A</w:t>
      </w:r>
      <w:r>
        <w:rPr>
          <w:rFonts w:cs="Times New Roman"/>
        </w:rPr>
        <w:t>.</w:t>
      </w:r>
      <w:r w:rsidRPr="00854A13">
        <w:rPr>
          <w:rFonts w:cs="Times New Roman"/>
        </w:rPr>
        <w:t xml:space="preserve"> </w:t>
      </w:r>
      <w:r>
        <w:tab/>
      </w:r>
      <w:r w:rsidRPr="00854A13">
        <w:rPr>
          <w:rFonts w:cs="Times New Roman"/>
        </w:rPr>
        <w:t xml:space="preserve">If the Commission grants certification as requested, </w:t>
      </w:r>
      <w:r>
        <w:rPr>
          <w:rFonts w:cs="Times New Roman"/>
        </w:rPr>
        <w:t xml:space="preserve">and </w:t>
      </w:r>
      <w:r w:rsidRPr="1775F00A">
        <w:rPr>
          <w:rFonts w:cs="Times New Roman"/>
        </w:rPr>
        <w:t>load</w:t>
      </w:r>
      <w:r>
        <w:rPr>
          <w:rFonts w:cs="Times New Roman"/>
        </w:rPr>
        <w:t xml:space="preserve"> does not materialize as projected by the Company, the</w:t>
      </w:r>
      <w:r w:rsidRPr="00854A13">
        <w:rPr>
          <w:rFonts w:cs="Times New Roman"/>
        </w:rPr>
        <w:t xml:space="preserve"> ability to disallow future cost recovery</w:t>
      </w:r>
      <w:r>
        <w:rPr>
          <w:rFonts w:cs="Times New Roman"/>
        </w:rPr>
        <w:t xml:space="preserve"> will be limited</w:t>
      </w:r>
      <w:r w:rsidRPr="00854A13">
        <w:rPr>
          <w:rFonts w:cs="Times New Roman"/>
        </w:rPr>
        <w:t xml:space="preserve">. </w:t>
      </w:r>
      <w:r>
        <w:rPr>
          <w:rFonts w:cs="Times New Roman"/>
        </w:rPr>
        <w:t xml:space="preserve">While we are not attorneys, our understanding from Staff attorneys is that resources that have been certified cannot be disallowed on the basis of </w:t>
      </w:r>
      <w:r w:rsidRPr="00854A13">
        <w:rPr>
          <w:rFonts w:cs="Times New Roman"/>
        </w:rPr>
        <w:t xml:space="preserve">reasonableness unless the project exceeds the certified cost. </w:t>
      </w:r>
      <w:r w:rsidR="00EB11E3">
        <w:rPr>
          <w:rFonts w:cs="Times New Roman"/>
        </w:rPr>
        <w:t>W</w:t>
      </w:r>
      <w:r w:rsidRPr="00854A13">
        <w:rPr>
          <w:rFonts w:cs="Times New Roman"/>
        </w:rPr>
        <w:t>hile</w:t>
      </w:r>
      <w:r w:rsidRPr="3C857C0F">
        <w:rPr>
          <w:rFonts w:cs="Times New Roman"/>
        </w:rPr>
        <w:t xml:space="preserve"> </w:t>
      </w:r>
      <w:r w:rsidR="09C980B0" w:rsidRPr="3C857C0F">
        <w:rPr>
          <w:rFonts w:cs="Times New Roman"/>
        </w:rPr>
        <w:t>some</w:t>
      </w:r>
      <w:r w:rsidRPr="00854A13">
        <w:rPr>
          <w:rFonts w:cs="Times New Roman"/>
        </w:rPr>
        <w:t xml:space="preserve"> prudence disallowances are still available,</w:t>
      </w:r>
      <w:r>
        <w:rPr>
          <w:rFonts w:cs="Times New Roman"/>
        </w:rPr>
        <w:t xml:space="preserve"> such </w:t>
      </w:r>
      <w:r>
        <w:rPr>
          <w:rFonts w:cs="Times New Roman"/>
        </w:rPr>
        <w:lastRenderedPageBreak/>
        <w:t>disallowance</w:t>
      </w:r>
      <w:r w:rsidR="00EB11E3">
        <w:rPr>
          <w:rFonts w:cs="Times New Roman"/>
        </w:rPr>
        <w:t>s</w:t>
      </w:r>
      <w:r>
        <w:rPr>
          <w:rFonts w:cs="Times New Roman"/>
        </w:rPr>
        <w:t xml:space="preserve"> would be limited to whether a</w:t>
      </w:r>
      <w:r w:rsidRPr="00854A13">
        <w:rPr>
          <w:rFonts w:cs="Times New Roman"/>
        </w:rPr>
        <w:t xml:space="preserve"> project was executed competently</w:t>
      </w:r>
      <w:r>
        <w:rPr>
          <w:rFonts w:cs="Times New Roman"/>
        </w:rPr>
        <w:t xml:space="preserve">, </w:t>
      </w:r>
      <w:r w:rsidRPr="00854A13">
        <w:rPr>
          <w:rFonts w:cs="Times New Roman"/>
        </w:rPr>
        <w:t>even if it turns out the project was never needed.</w:t>
      </w:r>
    </w:p>
    <w:p w14:paraId="5E7EFF5C" w14:textId="77777777" w:rsidR="00506D0E" w:rsidRDefault="00506D0E" w:rsidP="00506D0E">
      <w:pPr>
        <w:pStyle w:val="Answers"/>
        <w:rPr>
          <w:rFonts w:cs="Times New Roman"/>
        </w:rPr>
      </w:pPr>
      <w:r w:rsidRPr="00AD3F6E">
        <w:rPr>
          <w:rFonts w:cs="Times New Roman"/>
          <w:b/>
          <w:bCs/>
        </w:rPr>
        <w:t>Q</w:t>
      </w:r>
      <w:r>
        <w:rPr>
          <w:rFonts w:cs="Times New Roman"/>
          <w:b/>
          <w:bCs/>
        </w:rPr>
        <w:t>.</w:t>
      </w:r>
      <w:r w:rsidRPr="00AD3F6E">
        <w:rPr>
          <w:rFonts w:cs="Times New Roman"/>
          <w:b/>
          <w:bCs/>
        </w:rPr>
        <w:t xml:space="preserve"> </w:t>
      </w:r>
      <w:r>
        <w:rPr>
          <w:rFonts w:cs="Times New Roman"/>
          <w:b/>
          <w:bCs/>
        </w:rPr>
        <w:tab/>
      </w:r>
      <w:r w:rsidRPr="00AD3F6E">
        <w:rPr>
          <w:rFonts w:cs="Times New Roman"/>
          <w:b/>
          <w:bCs/>
        </w:rPr>
        <w:t>CAN YOU GIVE AN EXAMPLE OF HOW THIS COULD HARM CUSTOMERS?</w:t>
      </w:r>
    </w:p>
    <w:p w14:paraId="491742BD" w14:textId="3E8E4275" w:rsidR="00506D0E" w:rsidRDefault="00506D0E" w:rsidP="00506D0E">
      <w:pPr>
        <w:pStyle w:val="Answers"/>
        <w:rPr>
          <w:rFonts w:cs="Times New Roman"/>
        </w:rPr>
      </w:pPr>
      <w:r w:rsidRPr="00854A13">
        <w:rPr>
          <w:rFonts w:cs="Times New Roman"/>
        </w:rPr>
        <w:t>A</w:t>
      </w:r>
      <w:r>
        <w:rPr>
          <w:rFonts w:cs="Times New Roman"/>
        </w:rPr>
        <w:t>.</w:t>
      </w:r>
      <w:r w:rsidRPr="00854A13">
        <w:rPr>
          <w:rFonts w:cs="Times New Roman"/>
        </w:rPr>
        <w:t xml:space="preserve"> </w:t>
      </w:r>
      <w:r>
        <w:rPr>
          <w:rFonts w:cs="Times New Roman"/>
        </w:rPr>
        <w:tab/>
      </w:r>
      <w:r w:rsidRPr="00854A13">
        <w:rPr>
          <w:rFonts w:cs="Times New Roman"/>
        </w:rPr>
        <w:t xml:space="preserve">Yes. Suppose the Commission certifies the projects based on the Company’s forecast, and Georgia Power begins construction. If the market shifts or the </w:t>
      </w:r>
      <w:r>
        <w:rPr>
          <w:rFonts w:cs="Times New Roman"/>
        </w:rPr>
        <w:t>Company’s forecasted</w:t>
      </w:r>
      <w:r w:rsidRPr="00854A13">
        <w:rPr>
          <w:rFonts w:cs="Times New Roman"/>
        </w:rPr>
        <w:t xml:space="preserve"> large load </w:t>
      </w:r>
      <w:r>
        <w:rPr>
          <w:rFonts w:cs="Times New Roman"/>
        </w:rPr>
        <w:t>does not</w:t>
      </w:r>
      <w:r w:rsidRPr="00854A13">
        <w:rPr>
          <w:rFonts w:cs="Times New Roman"/>
        </w:rPr>
        <w:t xml:space="preserve"> materialize, the Company will still seek to recover those costs. Without executed contracts</w:t>
      </w:r>
      <w:r>
        <w:rPr>
          <w:rFonts w:cs="Times New Roman"/>
        </w:rPr>
        <w:t xml:space="preserve"> under the new large load framework</w:t>
      </w:r>
      <w:r w:rsidRPr="00854A13">
        <w:rPr>
          <w:rFonts w:cs="Times New Roman"/>
        </w:rPr>
        <w:t xml:space="preserve">, </w:t>
      </w:r>
      <w:r w:rsidR="00550223" w:rsidRPr="00854A13">
        <w:rPr>
          <w:rFonts w:cs="Times New Roman"/>
        </w:rPr>
        <w:t>there is</w:t>
      </w:r>
      <w:r w:rsidRPr="00854A13">
        <w:rPr>
          <w:rFonts w:cs="Times New Roman"/>
        </w:rPr>
        <w:t xml:space="preserve"> no guarantee those costs </w:t>
      </w:r>
      <w:r w:rsidR="00550223" w:rsidRPr="00854A13">
        <w:rPr>
          <w:rFonts w:cs="Times New Roman"/>
        </w:rPr>
        <w:t>will not</w:t>
      </w:r>
      <w:r w:rsidRPr="00854A13">
        <w:rPr>
          <w:rFonts w:cs="Times New Roman"/>
        </w:rPr>
        <w:t xml:space="preserve"> be passed on to existing customers. </w:t>
      </w:r>
      <w:r w:rsidR="00EB11E3">
        <w:rPr>
          <w:rFonts w:cs="Times New Roman"/>
        </w:rPr>
        <w:t>T</w:t>
      </w:r>
      <w:r w:rsidRPr="00854A13">
        <w:rPr>
          <w:rFonts w:cs="Times New Roman"/>
        </w:rPr>
        <w:t xml:space="preserve">he Commission’s ability to prevent </w:t>
      </w:r>
      <w:r w:rsidR="00EB11E3">
        <w:rPr>
          <w:rFonts w:cs="Times New Roman"/>
        </w:rPr>
        <w:t xml:space="preserve">this impact to existing ratepayers </w:t>
      </w:r>
      <w:r w:rsidRPr="00854A13">
        <w:rPr>
          <w:rFonts w:cs="Times New Roman"/>
        </w:rPr>
        <w:t>is severely constrained once certification is granted.</w:t>
      </w:r>
    </w:p>
    <w:p w14:paraId="1C683018" w14:textId="77777777" w:rsidR="00506D0E" w:rsidRDefault="00506D0E" w:rsidP="00506D0E">
      <w:pPr>
        <w:pStyle w:val="Answers"/>
        <w:rPr>
          <w:rFonts w:cs="Times New Roman"/>
        </w:rPr>
      </w:pPr>
      <w:r w:rsidRPr="006576BE">
        <w:rPr>
          <w:rFonts w:cs="Times New Roman"/>
          <w:b/>
          <w:bCs/>
        </w:rPr>
        <w:t>Q</w:t>
      </w:r>
      <w:r>
        <w:rPr>
          <w:rFonts w:cs="Times New Roman"/>
          <w:b/>
          <w:bCs/>
        </w:rPr>
        <w:t>.</w:t>
      </w:r>
      <w:r w:rsidRPr="006576BE">
        <w:rPr>
          <w:rFonts w:cs="Times New Roman"/>
          <w:b/>
          <w:bCs/>
        </w:rPr>
        <w:t xml:space="preserve"> </w:t>
      </w:r>
      <w:r>
        <w:rPr>
          <w:rFonts w:cs="Times New Roman"/>
          <w:b/>
          <w:bCs/>
        </w:rPr>
        <w:tab/>
      </w:r>
      <w:r w:rsidRPr="006576BE">
        <w:rPr>
          <w:rFonts w:cs="Times New Roman"/>
          <w:b/>
          <w:bCs/>
        </w:rPr>
        <w:t>HAS GEORGIA POWER COMMITTED TO SHIELDING EXISTING CUSTOMERS FROM THIS RISK?</w:t>
      </w:r>
    </w:p>
    <w:p w14:paraId="592DB47A" w14:textId="6495083E" w:rsidR="00BF0CC9" w:rsidRDefault="00506D0E">
      <w:pPr>
        <w:pStyle w:val="Answers"/>
        <w:rPr>
          <w:rFonts w:cs="Times New Roman"/>
        </w:rPr>
      </w:pPr>
      <w:r w:rsidRPr="00854A13">
        <w:rPr>
          <w:rFonts w:cs="Times New Roman"/>
        </w:rPr>
        <w:t>A</w:t>
      </w:r>
      <w:r>
        <w:rPr>
          <w:rFonts w:cs="Times New Roman"/>
        </w:rPr>
        <w:t>.</w:t>
      </w:r>
      <w:r w:rsidRPr="00854A13">
        <w:rPr>
          <w:rFonts w:cs="Times New Roman"/>
        </w:rPr>
        <w:t xml:space="preserve"> </w:t>
      </w:r>
      <w:r>
        <w:tab/>
      </w:r>
      <w:r w:rsidRPr="00854A13">
        <w:rPr>
          <w:rFonts w:cs="Times New Roman"/>
        </w:rPr>
        <w:t>No</w:t>
      </w:r>
      <w:r w:rsidRPr="777C01C7">
        <w:rPr>
          <w:rFonts w:cs="Times New Roman"/>
        </w:rPr>
        <w:t>.</w:t>
      </w:r>
      <w:r w:rsidR="00BF0CC9">
        <w:rPr>
          <w:rFonts w:cs="Times New Roman"/>
        </w:rPr>
        <w:t xml:space="preserve"> </w:t>
      </w:r>
      <w:r w:rsidR="11C57708" w:rsidRPr="00854A13">
        <w:rPr>
          <w:rFonts w:cs="Times New Roman"/>
        </w:rPr>
        <w:t xml:space="preserve">It is Staff’s understanding that </w:t>
      </w:r>
      <w:r w:rsidRPr="00854A13">
        <w:rPr>
          <w:rFonts w:cs="Times New Roman"/>
        </w:rPr>
        <w:t xml:space="preserve">Georgia Power </w:t>
      </w:r>
      <w:r w:rsidR="4A24C984" w:rsidRPr="55D3381A">
        <w:rPr>
          <w:rFonts w:cs="Times New Roman"/>
        </w:rPr>
        <w:t xml:space="preserve">has not </w:t>
      </w:r>
      <w:r w:rsidRPr="00854A13">
        <w:rPr>
          <w:rFonts w:cs="Times New Roman"/>
        </w:rPr>
        <w:t>guarantee</w:t>
      </w:r>
      <w:r w:rsidR="6413BA2E" w:rsidRPr="00854A13">
        <w:rPr>
          <w:rFonts w:cs="Times New Roman"/>
        </w:rPr>
        <w:t>d</w:t>
      </w:r>
      <w:r w:rsidRPr="00854A13">
        <w:rPr>
          <w:rFonts w:cs="Times New Roman"/>
        </w:rPr>
        <w:t xml:space="preserve"> that costs associated with unmaterialized load would not be passed on to existing customers</w:t>
      </w:r>
      <w:r w:rsidR="60991331" w:rsidRPr="00854A13">
        <w:rPr>
          <w:rFonts w:cs="Times New Roman"/>
        </w:rPr>
        <w:t>.</w:t>
      </w:r>
      <w:r w:rsidRPr="00854A13">
        <w:rPr>
          <w:rFonts w:cs="Times New Roman"/>
        </w:rPr>
        <w:t xml:space="preserve"> </w:t>
      </w:r>
      <w:r w:rsidR="00BF0CC9">
        <w:rPr>
          <w:rFonts w:cs="Times New Roman"/>
        </w:rPr>
        <w:t>Though asked multiple times in hearing, the Company has either not explicitly made this commitment,</w:t>
      </w:r>
      <w:r w:rsidR="00BF0CC9">
        <w:rPr>
          <w:rStyle w:val="FootnoteReference"/>
        </w:rPr>
        <w:footnoteReference w:id="2"/>
      </w:r>
      <w:r w:rsidR="00BF0CC9">
        <w:rPr>
          <w:rFonts w:cs="Times New Roman"/>
        </w:rPr>
        <w:t xml:space="preserve"> or objected to a response.</w:t>
      </w:r>
      <w:r w:rsidR="00BF0CC9">
        <w:rPr>
          <w:rStyle w:val="FootnoteReference"/>
        </w:rPr>
        <w:footnoteReference w:id="3"/>
      </w:r>
    </w:p>
    <w:p w14:paraId="7F4EC0DF" w14:textId="770EDC0A" w:rsidR="00EC70B0" w:rsidRDefault="00BF0CC9">
      <w:pPr>
        <w:pStyle w:val="Answers"/>
      </w:pPr>
      <w:r>
        <w:rPr>
          <w:rFonts w:cs="Times New Roman"/>
        </w:rPr>
        <w:tab/>
      </w:r>
      <w:r>
        <w:rPr>
          <w:rFonts w:cs="Times New Roman"/>
        </w:rPr>
        <w:tab/>
      </w:r>
      <w:r w:rsidR="00EB11E3">
        <w:rPr>
          <w:rFonts w:cs="Times New Roman"/>
        </w:rPr>
        <w:t xml:space="preserve">In hearing, the Company noted that the new rules and regulations approved by the Commission, which include the </w:t>
      </w:r>
      <w:r w:rsidR="004D3286">
        <w:rPr>
          <w:rFonts w:cs="Times New Roman"/>
        </w:rPr>
        <w:t xml:space="preserve">option to assess minimum monthly bills against large load customers, provide a “higher level of protection” for non-large load customers by ensuring </w:t>
      </w:r>
      <w:r w:rsidR="0080431A">
        <w:rPr>
          <w:rFonts w:cs="Times New Roman"/>
        </w:rPr>
        <w:t>a certain level of cost recovery.</w:t>
      </w:r>
      <w:r w:rsidR="0080431A">
        <w:rPr>
          <w:rStyle w:val="FootnoteReference"/>
        </w:rPr>
        <w:footnoteReference w:id="4"/>
      </w:r>
      <w:r w:rsidR="0080431A">
        <w:rPr>
          <w:rFonts w:cs="Times New Roman"/>
        </w:rPr>
        <w:t xml:space="preserve"> However, load growth not covered under these new rules </w:t>
      </w:r>
      <w:r w:rsidR="0080431A">
        <w:rPr>
          <w:rFonts w:cs="Times New Roman"/>
        </w:rPr>
        <w:lastRenderedPageBreak/>
        <w:t>and regulations, whether under an older contract structure or lacking a contract at all, would provide lesser protections.</w:t>
      </w:r>
      <w:r w:rsidR="0080431A">
        <w:rPr>
          <w:rStyle w:val="FootnoteReference"/>
        </w:rPr>
        <w:footnoteReference w:id="5"/>
      </w:r>
    </w:p>
    <w:p w14:paraId="418FDA0F" w14:textId="1D268E06" w:rsidR="00832FC3" w:rsidRDefault="00832FC3" w:rsidP="00832FC3">
      <w:pPr>
        <w:pStyle w:val="Answers"/>
        <w:rPr>
          <w:rFonts w:cs="Times New Roman"/>
        </w:rPr>
      </w:pPr>
      <w:r w:rsidRPr="006576BE">
        <w:rPr>
          <w:rFonts w:cs="Times New Roman"/>
          <w:b/>
          <w:bCs/>
        </w:rPr>
        <w:t xml:space="preserve">Q. </w:t>
      </w:r>
      <w:r>
        <w:tab/>
      </w:r>
      <w:r w:rsidRPr="006576BE">
        <w:rPr>
          <w:rFonts w:cs="Times New Roman"/>
          <w:b/>
          <w:bCs/>
        </w:rPr>
        <w:t xml:space="preserve">WHAT IS STAFF’S RECOMMENDATION REGARDING </w:t>
      </w:r>
      <w:r w:rsidR="4703DB42" w:rsidRPr="3A662E83">
        <w:rPr>
          <w:rFonts w:cs="Times New Roman"/>
          <w:b/>
          <w:bCs/>
        </w:rPr>
        <w:t xml:space="preserve">THE </w:t>
      </w:r>
      <w:r w:rsidR="4703DB42" w:rsidRPr="286B8A95">
        <w:rPr>
          <w:rFonts w:cs="Times New Roman"/>
          <w:b/>
          <w:bCs/>
        </w:rPr>
        <w:t xml:space="preserve">COMPANY’S </w:t>
      </w:r>
      <w:r w:rsidRPr="286B8A95">
        <w:rPr>
          <w:rFonts w:cs="Times New Roman"/>
          <w:b/>
          <w:bCs/>
        </w:rPr>
        <w:t>CERTIFICATION</w:t>
      </w:r>
      <w:r w:rsidR="00273F23">
        <w:rPr>
          <w:rFonts w:cs="Times New Roman"/>
          <w:b/>
          <w:bCs/>
        </w:rPr>
        <w:t xml:space="preserve"> REQUEST</w:t>
      </w:r>
      <w:r w:rsidR="00F405C6">
        <w:rPr>
          <w:rFonts w:cs="Times New Roman"/>
          <w:b/>
          <w:bCs/>
        </w:rPr>
        <w:t>S</w:t>
      </w:r>
      <w:r w:rsidRPr="286B8A95">
        <w:rPr>
          <w:rFonts w:cs="Times New Roman"/>
          <w:b/>
          <w:bCs/>
        </w:rPr>
        <w:t>?</w:t>
      </w:r>
    </w:p>
    <w:p w14:paraId="46AD5627" w14:textId="0359DB0E" w:rsidR="00832FC3" w:rsidRDefault="00832FC3" w:rsidP="00832FC3">
      <w:pPr>
        <w:pStyle w:val="Answers"/>
        <w:rPr>
          <w:rFonts w:cs="Times New Roman"/>
        </w:rPr>
      </w:pPr>
      <w:r w:rsidRPr="3BBD42AC">
        <w:rPr>
          <w:rFonts w:cs="Times New Roman"/>
        </w:rPr>
        <w:t xml:space="preserve">A. </w:t>
      </w:r>
      <w:r>
        <w:tab/>
      </w:r>
      <w:r w:rsidRPr="3BBD42AC">
        <w:rPr>
          <w:rFonts w:cs="Times New Roman"/>
        </w:rPr>
        <w:t>Staff recommends that the Commission only certify generation</w:t>
      </w:r>
      <w:r w:rsidR="006C3666">
        <w:rPr>
          <w:rFonts w:cs="Times New Roman"/>
        </w:rPr>
        <w:t xml:space="preserve">, and </w:t>
      </w:r>
      <w:r w:rsidR="00C97B62">
        <w:rPr>
          <w:rFonts w:cs="Times New Roman"/>
        </w:rPr>
        <w:t xml:space="preserve">authorize associated </w:t>
      </w:r>
      <w:r w:rsidRPr="3BBD42AC">
        <w:rPr>
          <w:rFonts w:cs="Times New Roman"/>
        </w:rPr>
        <w:t>transmission</w:t>
      </w:r>
      <w:r w:rsidR="00F372A0">
        <w:rPr>
          <w:rFonts w:cs="Times New Roman"/>
        </w:rPr>
        <w:t xml:space="preserve"> investments,</w:t>
      </w:r>
      <w:r w:rsidRPr="3BBD42AC">
        <w:rPr>
          <w:rFonts w:cs="Times New Roman"/>
        </w:rPr>
        <w:t xml:space="preserve"> </w:t>
      </w:r>
      <w:r w:rsidR="00EB11E3" w:rsidRPr="3BBD42AC">
        <w:rPr>
          <w:rFonts w:cs="Times New Roman"/>
        </w:rPr>
        <w:t>which</w:t>
      </w:r>
      <w:r w:rsidRPr="3BBD42AC">
        <w:rPr>
          <w:rFonts w:cs="Times New Roman"/>
        </w:rPr>
        <w:t xml:space="preserve"> </w:t>
      </w:r>
      <w:r w:rsidR="00F372A0">
        <w:rPr>
          <w:rFonts w:cs="Times New Roman"/>
        </w:rPr>
        <w:t>are</w:t>
      </w:r>
      <w:r w:rsidRPr="3BBD42AC">
        <w:rPr>
          <w:rFonts w:cs="Times New Roman"/>
        </w:rPr>
        <w:t xml:space="preserve"> backed by executed contracts</w:t>
      </w:r>
      <w:r w:rsidR="00C268FD">
        <w:rPr>
          <w:rFonts w:cs="Times New Roman"/>
        </w:rPr>
        <w:t>, whether</w:t>
      </w:r>
      <w:r w:rsidRPr="3BBD42AC">
        <w:rPr>
          <w:rFonts w:cs="Times New Roman"/>
        </w:rPr>
        <w:t xml:space="preserve"> under the new large load rules</w:t>
      </w:r>
      <w:r w:rsidR="00C268FD">
        <w:rPr>
          <w:rFonts w:cs="Times New Roman"/>
        </w:rPr>
        <w:t xml:space="preserve"> or those executed prior to the implementation of these rules (“legacy contracts”)</w:t>
      </w:r>
      <w:r w:rsidRPr="3BBD42AC">
        <w:rPr>
          <w:rFonts w:cs="Times New Roman"/>
        </w:rPr>
        <w:t>. This ensures that customers are protected from speculative investment risk.</w:t>
      </w:r>
    </w:p>
    <w:p w14:paraId="02CEF4CE" w14:textId="1CABD4CA" w:rsidR="00832FC3" w:rsidRDefault="00832FC3" w:rsidP="00832FC3">
      <w:pPr>
        <w:pStyle w:val="Answers"/>
        <w:rPr>
          <w:rFonts w:cs="Times New Roman"/>
        </w:rPr>
      </w:pPr>
      <w:r w:rsidRPr="007C7A83">
        <w:rPr>
          <w:rFonts w:cs="Times New Roman"/>
          <w:b/>
          <w:bCs/>
        </w:rPr>
        <w:t xml:space="preserve">Q. </w:t>
      </w:r>
      <w:r>
        <w:tab/>
      </w:r>
      <w:r w:rsidR="7A0332B3" w:rsidRPr="289F24AB">
        <w:rPr>
          <w:rFonts w:cs="Times New Roman"/>
          <w:b/>
          <w:bCs/>
        </w:rPr>
        <w:t>ARE</w:t>
      </w:r>
      <w:r w:rsidRPr="007C7A83">
        <w:rPr>
          <w:rFonts w:cs="Times New Roman"/>
          <w:b/>
          <w:bCs/>
        </w:rPr>
        <w:t xml:space="preserve"> THERE ALTERNATIVE </w:t>
      </w:r>
      <w:r w:rsidRPr="16415FF6">
        <w:rPr>
          <w:rFonts w:cs="Times New Roman"/>
          <w:b/>
          <w:bCs/>
        </w:rPr>
        <w:t>APPROACH</w:t>
      </w:r>
      <w:r w:rsidR="696A95BB" w:rsidRPr="16415FF6">
        <w:rPr>
          <w:rFonts w:cs="Times New Roman"/>
          <w:b/>
          <w:bCs/>
        </w:rPr>
        <w:t>ES</w:t>
      </w:r>
      <w:r w:rsidRPr="007C7A83">
        <w:rPr>
          <w:rFonts w:cs="Times New Roman"/>
          <w:b/>
          <w:bCs/>
        </w:rPr>
        <w:t xml:space="preserve"> IF THE COMMISSION WANTS TO PRESERVE FLEXIBILITY?</w:t>
      </w:r>
    </w:p>
    <w:p w14:paraId="1AEEB97A" w14:textId="49D21FDC" w:rsidR="002D330E" w:rsidRDefault="00832FC3" w:rsidP="0040134E">
      <w:pPr>
        <w:pStyle w:val="Answers"/>
        <w:rPr>
          <w:rFonts w:cs="Times New Roman"/>
        </w:rPr>
      </w:pPr>
      <w:r w:rsidRPr="1D39F6AF">
        <w:rPr>
          <w:rFonts w:cs="Times New Roman"/>
        </w:rPr>
        <w:t xml:space="preserve">A. </w:t>
      </w:r>
      <w:r>
        <w:tab/>
      </w:r>
      <w:r w:rsidRPr="1D39F6AF">
        <w:rPr>
          <w:rFonts w:cs="Times New Roman"/>
        </w:rPr>
        <w:t>Yes.</w:t>
      </w:r>
      <w:r w:rsidRPr="00854A13">
        <w:rPr>
          <w:rFonts w:cs="Times New Roman"/>
        </w:rPr>
        <w:t xml:space="preserve"> If the Commission wishes to allow certification beyond contracted load, it should </w:t>
      </w:r>
      <w:r w:rsidR="094CA6A6" w:rsidRPr="5F7913F5">
        <w:rPr>
          <w:rFonts w:cs="Times New Roman"/>
        </w:rPr>
        <w:t xml:space="preserve">do so only </w:t>
      </w:r>
      <w:r w:rsidR="094CA6A6" w:rsidRPr="7AE0F3A9">
        <w:rPr>
          <w:rFonts w:cs="Times New Roman"/>
        </w:rPr>
        <w:t xml:space="preserve">if Georgia </w:t>
      </w:r>
      <w:r w:rsidR="094CA6A6" w:rsidRPr="05E1D2E0">
        <w:rPr>
          <w:rFonts w:cs="Times New Roman"/>
        </w:rPr>
        <w:t xml:space="preserve">Power </w:t>
      </w:r>
      <w:r w:rsidR="094CA6A6" w:rsidRPr="0A18FC62">
        <w:rPr>
          <w:rFonts w:cs="Times New Roman"/>
        </w:rPr>
        <w:t xml:space="preserve">agrees </w:t>
      </w:r>
      <w:r w:rsidR="094CA6A6" w:rsidRPr="62DB24FA">
        <w:rPr>
          <w:rFonts w:cs="Times New Roman"/>
        </w:rPr>
        <w:t>to</w:t>
      </w:r>
      <w:r w:rsidRPr="00854A13">
        <w:rPr>
          <w:rFonts w:cs="Times New Roman"/>
        </w:rPr>
        <w:t xml:space="preserve"> two conditions</w:t>
      </w:r>
      <w:r w:rsidR="002D330E">
        <w:rPr>
          <w:rFonts w:cs="Times New Roman"/>
        </w:rPr>
        <w:t>:</w:t>
      </w:r>
      <w:r>
        <w:rPr>
          <w:rFonts w:cs="Times New Roman"/>
        </w:rPr>
        <w:t xml:space="preserve"> </w:t>
      </w:r>
    </w:p>
    <w:p w14:paraId="3C347B1F" w14:textId="1D1D0F25" w:rsidR="002D330E" w:rsidRDefault="00832FC3" w:rsidP="002D330E">
      <w:pPr>
        <w:pStyle w:val="Answers"/>
        <w:numPr>
          <w:ilvl w:val="0"/>
          <w:numId w:val="53"/>
        </w:numPr>
        <w:rPr>
          <w:rFonts w:cs="Times New Roman"/>
        </w:rPr>
      </w:pPr>
      <w:r>
        <w:rPr>
          <w:rFonts w:cs="Times New Roman"/>
        </w:rPr>
        <w:t xml:space="preserve">First, </w:t>
      </w:r>
      <w:r w:rsidRPr="00854A13">
        <w:rPr>
          <w:rFonts w:cs="Times New Roman"/>
        </w:rPr>
        <w:t xml:space="preserve">Georgia Power </w:t>
      </w:r>
      <w:r w:rsidR="2C6374A6" w:rsidRPr="3F18AB17">
        <w:rPr>
          <w:rFonts w:cs="Times New Roman"/>
        </w:rPr>
        <w:t>will</w:t>
      </w:r>
      <w:r w:rsidRPr="00854A13">
        <w:rPr>
          <w:rFonts w:cs="Times New Roman"/>
        </w:rPr>
        <w:t xml:space="preserve"> not seek cost recovery until the associated load materializes. </w:t>
      </w:r>
    </w:p>
    <w:p w14:paraId="3B47AC98" w14:textId="69547C59" w:rsidR="002D330E" w:rsidRDefault="00832FC3" w:rsidP="002D330E">
      <w:pPr>
        <w:pStyle w:val="Answers"/>
        <w:numPr>
          <w:ilvl w:val="0"/>
          <w:numId w:val="53"/>
        </w:numPr>
        <w:rPr>
          <w:rFonts w:cs="Times New Roman"/>
        </w:rPr>
      </w:pPr>
      <w:r>
        <w:rPr>
          <w:rFonts w:cs="Times New Roman"/>
        </w:rPr>
        <w:t>Second, t</w:t>
      </w:r>
      <w:r w:rsidRPr="00854A13">
        <w:rPr>
          <w:rFonts w:cs="Times New Roman"/>
        </w:rPr>
        <w:t xml:space="preserve">he Company </w:t>
      </w:r>
      <w:r w:rsidR="17D112B8" w:rsidRPr="72376E97">
        <w:rPr>
          <w:rFonts w:cs="Times New Roman"/>
        </w:rPr>
        <w:t>will</w:t>
      </w:r>
      <w:r w:rsidRPr="00854A13">
        <w:rPr>
          <w:rFonts w:cs="Times New Roman"/>
        </w:rPr>
        <w:t xml:space="preserve"> not recover financing costs incurred during any delay in construction </w:t>
      </w:r>
      <w:r w:rsidR="00FD73F9">
        <w:rPr>
          <w:rFonts w:cs="Times New Roman"/>
        </w:rPr>
        <w:t xml:space="preserve">or incremental </w:t>
      </w:r>
      <w:r w:rsidR="00EB419D">
        <w:rPr>
          <w:rFonts w:cs="Times New Roman"/>
        </w:rPr>
        <w:t>capital</w:t>
      </w:r>
      <w:r w:rsidR="00FD73F9">
        <w:rPr>
          <w:rFonts w:cs="Times New Roman"/>
        </w:rPr>
        <w:t xml:space="preserve"> cost</w:t>
      </w:r>
      <w:r w:rsidR="008A5F81">
        <w:rPr>
          <w:rFonts w:cs="Times New Roman"/>
        </w:rPr>
        <w:t xml:space="preserve"> due </w:t>
      </w:r>
      <w:r w:rsidR="00034933">
        <w:rPr>
          <w:rFonts w:cs="Times New Roman"/>
        </w:rPr>
        <w:t>to</w:t>
      </w:r>
      <w:r w:rsidR="008A5F81">
        <w:rPr>
          <w:rFonts w:cs="Times New Roman"/>
        </w:rPr>
        <w:t xml:space="preserve"> the delay</w:t>
      </w:r>
      <w:r w:rsidR="00EB419D">
        <w:rPr>
          <w:rFonts w:cs="Times New Roman"/>
        </w:rPr>
        <w:t xml:space="preserve"> </w:t>
      </w:r>
      <w:r w:rsidR="00644AD6">
        <w:rPr>
          <w:rFonts w:cs="Times New Roman"/>
        </w:rPr>
        <w:t>from</w:t>
      </w:r>
      <w:r w:rsidR="00644AD6" w:rsidRPr="00854A13">
        <w:rPr>
          <w:rFonts w:cs="Times New Roman"/>
        </w:rPr>
        <w:t xml:space="preserve"> </w:t>
      </w:r>
      <w:r w:rsidR="00644AD6">
        <w:rPr>
          <w:rFonts w:cs="Times New Roman"/>
        </w:rPr>
        <w:t>a</w:t>
      </w:r>
      <w:r w:rsidRPr="00854A13">
        <w:rPr>
          <w:rFonts w:cs="Times New Roman"/>
        </w:rPr>
        <w:t xml:space="preserve"> lack of signed contracts. </w:t>
      </w:r>
    </w:p>
    <w:p w14:paraId="247C9B44" w14:textId="176473E6" w:rsidR="00832FC3" w:rsidRPr="00FE0378" w:rsidRDefault="002D330E" w:rsidP="002D330E">
      <w:pPr>
        <w:pStyle w:val="Answers"/>
        <w:rPr>
          <w:rFonts w:cs="Times New Roman"/>
        </w:rPr>
      </w:pPr>
      <w:r>
        <w:rPr>
          <w:rFonts w:cs="Times New Roman"/>
        </w:rPr>
        <w:tab/>
      </w:r>
      <w:r w:rsidR="00832FC3" w:rsidRPr="002A4F9C">
        <w:rPr>
          <w:rFonts w:cs="Times New Roman"/>
        </w:rPr>
        <w:t>This approach allows the Company to pursue opportunities while ensuring it bears the risk</w:t>
      </w:r>
      <w:r w:rsidR="00832FC3">
        <w:rPr>
          <w:rFonts w:cs="Times New Roman"/>
        </w:rPr>
        <w:t xml:space="preserve"> and protects Georgia Power’s other </w:t>
      </w:r>
      <w:r w:rsidR="00832FC3" w:rsidRPr="002A4F9C">
        <w:rPr>
          <w:rFonts w:cs="Times New Roman"/>
        </w:rPr>
        <w:t>customers</w:t>
      </w:r>
      <w:r w:rsidR="00832FC3">
        <w:rPr>
          <w:rFonts w:cs="Times New Roman"/>
        </w:rPr>
        <w:t xml:space="preserve"> </w:t>
      </w:r>
      <w:r w:rsidR="00832FC3" w:rsidRPr="002A4F9C">
        <w:rPr>
          <w:rFonts w:cs="Times New Roman"/>
        </w:rPr>
        <w:t xml:space="preserve">if those opportunities </w:t>
      </w:r>
      <w:r w:rsidR="00550223" w:rsidRPr="002A4F9C">
        <w:rPr>
          <w:rFonts w:cs="Times New Roman"/>
        </w:rPr>
        <w:t>do not</w:t>
      </w:r>
      <w:r w:rsidR="00832FC3" w:rsidRPr="002A4F9C">
        <w:rPr>
          <w:rFonts w:cs="Times New Roman"/>
        </w:rPr>
        <w:t xml:space="preserve"> materialize.</w:t>
      </w:r>
    </w:p>
    <w:p w14:paraId="4EFA36B1" w14:textId="33AD9011" w:rsidR="00477C0B" w:rsidRDefault="00477C0B" w:rsidP="008D762A">
      <w:pPr>
        <w:pStyle w:val="Question"/>
        <w:ind w:left="0" w:firstLine="0"/>
      </w:pPr>
      <w:r>
        <w:t>Q.</w:t>
      </w:r>
      <w:r>
        <w:tab/>
        <w:t>please provide an overview of your testimony.</w:t>
      </w:r>
    </w:p>
    <w:p w14:paraId="0D412256" w14:textId="495BD41C" w:rsidR="00C268FD" w:rsidRDefault="00477C0B" w:rsidP="00CD39F9">
      <w:pPr>
        <w:pStyle w:val="Answers"/>
      </w:pPr>
      <w:r>
        <w:lastRenderedPageBreak/>
        <w:t>A.</w:t>
      </w:r>
      <w:r>
        <w:tab/>
      </w:r>
      <w:r w:rsidR="00AA0432">
        <w:t>In the testimony below, Staff summarizes the Company’s B2026 large load forecast and discusses how the forecast has evolved since the 2023 IRP Update. Staff examines how the forecast has decreased in the near-term and the drivers of these reductions, namely diminished load materialization and project removals from the Data Center segment. Staff provides multiple adjustments to the Company’s B2026 Load Realization Model, offering two alternate scenarios for the Commission’s consideration.</w:t>
      </w:r>
      <w:r w:rsidR="00C268FD">
        <w:br w:type="page"/>
      </w:r>
    </w:p>
    <w:p w14:paraId="68CF81EC" w14:textId="061456CA" w:rsidR="007E2DF8" w:rsidRDefault="00440F3B" w:rsidP="00F30634">
      <w:pPr>
        <w:pStyle w:val="Heading1"/>
      </w:pPr>
      <w:r>
        <w:lastRenderedPageBreak/>
        <w:tab/>
      </w:r>
      <w:bookmarkStart w:id="6" w:name="_Toc196919891"/>
      <w:bookmarkStart w:id="7" w:name="_Toc213766864"/>
      <w:r w:rsidR="00F30634" w:rsidRPr="00F30634">
        <w:t>Summary of Company Load Forecast</w:t>
      </w:r>
      <w:bookmarkEnd w:id="6"/>
      <w:bookmarkEnd w:id="7"/>
      <w:r w:rsidR="000A6F84">
        <w:t xml:space="preserve"> </w:t>
      </w:r>
    </w:p>
    <w:p w14:paraId="4F060A1C" w14:textId="2F37C219" w:rsidR="008D7E48" w:rsidRDefault="008D7E48" w:rsidP="000E67F7">
      <w:pPr>
        <w:pStyle w:val="Question"/>
        <w:ind w:left="0" w:firstLine="0"/>
      </w:pPr>
      <w:r>
        <w:t>Q.</w:t>
      </w:r>
      <w:r>
        <w:tab/>
        <w:t xml:space="preserve">Please summarize the </w:t>
      </w:r>
      <w:r w:rsidR="00B17A50">
        <w:t>company’s filed load forecast.</w:t>
      </w:r>
    </w:p>
    <w:p w14:paraId="327C0086" w14:textId="50689D1B" w:rsidR="000A6F84" w:rsidRDefault="00B17A50" w:rsidP="000A6F84">
      <w:pPr>
        <w:pStyle w:val="Answers"/>
      </w:pPr>
      <w:r>
        <w:t>A.</w:t>
      </w:r>
      <w:r>
        <w:tab/>
      </w:r>
      <w:r w:rsidR="00136EDD">
        <w:t xml:space="preserve">From 2025 through 2031, the Company’s peak load forecast is </w:t>
      </w:r>
      <w:r w:rsidR="002D330E">
        <w:t xml:space="preserve">projected </w:t>
      </w:r>
      <w:r w:rsidR="00136EDD">
        <w:t xml:space="preserve">to grow at 7.7% compounded annually, reaching 26,979 MW in the Summer and 25,065 MW in the Winter, as shown in </w:t>
      </w:r>
      <w:r w:rsidR="00136EDD">
        <w:fldChar w:fldCharType="begin"/>
      </w:r>
      <w:r w:rsidR="00136EDD">
        <w:instrText xml:space="preserve"> REF _Ref212578766 \h </w:instrText>
      </w:r>
      <w:r w:rsidR="00136EDD">
        <w:fldChar w:fldCharType="separate"/>
      </w:r>
      <w:r w:rsidR="00220F39">
        <w:t xml:space="preserve">Figure </w:t>
      </w:r>
      <w:r w:rsidR="00220F39">
        <w:rPr>
          <w:noProof/>
        </w:rPr>
        <w:t>1</w:t>
      </w:r>
      <w:r w:rsidR="00136EDD">
        <w:fldChar w:fldCharType="end"/>
      </w:r>
      <w:r w:rsidR="00136EDD">
        <w:t xml:space="preserve"> below. This growth represents a 56% </w:t>
      </w:r>
      <w:r w:rsidR="00146C5A">
        <w:t>increase</w:t>
      </w:r>
      <w:r w:rsidR="00136EDD">
        <w:t xml:space="preserve"> relative to the forecasted peak in 2025.</w:t>
      </w:r>
    </w:p>
    <w:p w14:paraId="0F85CF64" w14:textId="000AD88C" w:rsidR="081F7A91" w:rsidRDefault="081F7A91" w:rsidP="37C9D748">
      <w:pPr>
        <w:pStyle w:val="Answers"/>
        <w:ind w:firstLine="0"/>
      </w:pPr>
      <w:r>
        <w:tab/>
        <w:t>In 2024, the Company reported an actual summer peak of 16,555 MW and winter peak of 16,458 MW.</w:t>
      </w:r>
      <w:r w:rsidRPr="00CD39F9">
        <w:rPr>
          <w:vertAlign w:val="superscript"/>
        </w:rPr>
        <w:footnoteReference w:id="6"/>
      </w:r>
      <w:r>
        <w:t xml:space="preserve"> </w:t>
      </w:r>
      <w:r w:rsidR="3B905E12">
        <w:t xml:space="preserve">The forecasted </w:t>
      </w:r>
      <w:r w:rsidR="3900C3EE">
        <w:t xml:space="preserve">summer </w:t>
      </w:r>
      <w:r w:rsidR="3B905E12">
        <w:t xml:space="preserve">peak for 2025 is 17,288 MW, representing a </w:t>
      </w:r>
      <w:r w:rsidR="5FDF14AA">
        <w:t>4.4% increase relative to 2024 actuals. The forecasted</w:t>
      </w:r>
      <w:r w:rsidR="4C90E49A">
        <w:t xml:space="preserve"> winter peak for 2025 is 16,063 MW, representing a 2.4% decrease relative to 2024 actuals. </w:t>
      </w:r>
    </w:p>
    <w:p w14:paraId="675B2A1D" w14:textId="1C114D2F" w:rsidR="00136EDD" w:rsidRDefault="002D330E" w:rsidP="79E52CA7">
      <w:pPr>
        <w:pStyle w:val="Answers"/>
        <w:ind w:firstLine="0"/>
      </w:pPr>
      <w:r>
        <w:tab/>
      </w:r>
      <w:r w:rsidR="00136EDD">
        <w:t>The forecast period</w:t>
      </w:r>
      <w:r w:rsidR="00146C5A">
        <w:t xml:space="preserve"> extends</w:t>
      </w:r>
      <w:r w:rsidR="00136EDD">
        <w:t xml:space="preserve"> through 2045</w:t>
      </w:r>
      <w:r w:rsidR="00146C5A">
        <w:t xml:space="preserve"> and the</w:t>
      </w:r>
      <w:r w:rsidR="00136EDD">
        <w:t xml:space="preserve"> compound annual growth rate moderate</w:t>
      </w:r>
      <w:r w:rsidR="00146C5A">
        <w:t>s</w:t>
      </w:r>
      <w:r w:rsidR="00136EDD">
        <w:t xml:space="preserve"> down to approximately 3%</w:t>
      </w:r>
      <w:r w:rsidR="007F0B26">
        <w:t xml:space="preserve"> for the entire forecast period, 2025 through 2045</w:t>
      </w:r>
      <w:r w:rsidR="00136EDD">
        <w:t xml:space="preserve">. </w:t>
      </w:r>
      <w:r w:rsidR="0044351D">
        <w:t>In</w:t>
      </w:r>
      <w:r w:rsidR="00136EDD">
        <w:t xml:space="preserve"> 2045, projected growth represents more than an 80% increase relative to 2025 forecasted peak.</w:t>
      </w:r>
    </w:p>
    <w:p w14:paraId="06561807" w14:textId="634A1E88" w:rsidR="00136EDD" w:rsidRDefault="00136EDD" w:rsidP="00136EDD">
      <w:pPr>
        <w:pStyle w:val="Caption"/>
      </w:pPr>
      <w:bookmarkStart w:id="8" w:name="_Ref212578766"/>
      <w:bookmarkStart w:id="9" w:name="_Toc213756908"/>
      <w:bookmarkStart w:id="10" w:name="_Toc213766885"/>
      <w:r>
        <w:lastRenderedPageBreak/>
        <w:t xml:space="preserve">Figure </w:t>
      </w:r>
      <w:fldSimple w:instr=" SEQ Figure \* ARABIC ">
        <w:r w:rsidR="00220F39">
          <w:rPr>
            <w:noProof/>
          </w:rPr>
          <w:t>1</w:t>
        </w:r>
      </w:fldSimple>
      <w:bookmarkEnd w:id="8"/>
      <w:r>
        <w:t>: B2026 Peak Forecast Summary</w:t>
      </w:r>
      <w:r w:rsidR="00E13140">
        <w:rPr>
          <w:rStyle w:val="FootnoteReference"/>
        </w:rPr>
        <w:footnoteReference w:id="7"/>
      </w:r>
      <w:bookmarkEnd w:id="9"/>
      <w:bookmarkEnd w:id="10"/>
    </w:p>
    <w:p w14:paraId="48BD4850" w14:textId="4CC2F102" w:rsidR="00136EDD" w:rsidRDefault="00136EDD" w:rsidP="00136EDD">
      <w:pPr>
        <w:pStyle w:val="Answers"/>
        <w:jc w:val="center"/>
      </w:pPr>
      <w:r>
        <w:rPr>
          <w:noProof/>
        </w:rPr>
        <w:drawing>
          <wp:inline distT="0" distB="0" distL="0" distR="0" wp14:anchorId="6DA4A9AC" wp14:editId="57736A05">
            <wp:extent cx="4794250" cy="2743200"/>
            <wp:effectExtent l="0" t="0" r="6350" b="0"/>
            <wp:docPr id="714978531" name="Chart 1">
              <a:extLst xmlns:a="http://schemas.openxmlformats.org/drawingml/2006/main">
                <a:ext uri="{FF2B5EF4-FFF2-40B4-BE49-F238E27FC236}">
                  <a16:creationId xmlns:a16="http://schemas.microsoft.com/office/drawing/2014/main" id="{AE68F314-9268-4B09-A551-407230214D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F2C2C9" w14:textId="48E273A9" w:rsidR="006C43E5" w:rsidRDefault="006C43E5" w:rsidP="000A6F84">
      <w:pPr>
        <w:pStyle w:val="Question"/>
      </w:pPr>
      <w:r>
        <w:t>Q.</w:t>
      </w:r>
      <w:r>
        <w:tab/>
        <w:t>Please summarize the methodology underpinning the company’s Load forecast.</w:t>
      </w:r>
    </w:p>
    <w:p w14:paraId="2AA8B612" w14:textId="28C0F9CE" w:rsidR="006C43E5" w:rsidRDefault="006C43E5" w:rsidP="00146C5A">
      <w:pPr>
        <w:pStyle w:val="Answers"/>
      </w:pPr>
      <w:r>
        <w:t>A.</w:t>
      </w:r>
      <w:r>
        <w:tab/>
        <w:t xml:space="preserve">The Company’s load forecast consists of two core pieces: the historically informed “organic” load forecast and the probabilistic large load forecast. The organic load forecast uses multiple techniques to produce a </w:t>
      </w:r>
      <w:r w:rsidR="00146C5A">
        <w:t xml:space="preserve">customer </w:t>
      </w:r>
      <w:r>
        <w:t xml:space="preserve">class-based energy forecast which is then converted to a peak load forecast. The large load forecast </w:t>
      </w:r>
      <w:r w:rsidR="00355AFC">
        <w:t xml:space="preserve">uses a probabilistic model, the LRM, </w:t>
      </w:r>
      <w:r>
        <w:t>to produce external adjustments to both the energy and peak load forecasts</w:t>
      </w:r>
      <w:r w:rsidR="00B31CA5">
        <w:t xml:space="preserve"> </w:t>
      </w:r>
      <w:r w:rsidR="0044351D">
        <w:t xml:space="preserve">to account </w:t>
      </w:r>
      <w:r w:rsidR="00B31CA5">
        <w:t xml:space="preserve">for Commercial projects greater than 115 </w:t>
      </w:r>
      <w:r w:rsidR="74E4836B">
        <w:t>megawatts (“</w:t>
      </w:r>
      <w:r w:rsidR="00B31CA5">
        <w:t>MW</w:t>
      </w:r>
      <w:r w:rsidR="180CF347">
        <w:t>”)</w:t>
      </w:r>
      <w:r w:rsidR="00B31CA5">
        <w:rPr>
          <w:rStyle w:val="FootnoteReference"/>
        </w:rPr>
        <w:footnoteReference w:id="8"/>
      </w:r>
      <w:r w:rsidR="00B31CA5">
        <w:t xml:space="preserve"> and Industrial projects greater than 45 MW.</w:t>
      </w:r>
      <w:r w:rsidR="00B31CA5">
        <w:rPr>
          <w:rStyle w:val="FootnoteReference"/>
        </w:rPr>
        <w:footnoteReference w:id="9"/>
      </w:r>
      <w:r w:rsidR="00146C5A">
        <w:t xml:space="preserve"> Additionally</w:t>
      </w:r>
      <w:r>
        <w:t>, the Company makes several</w:t>
      </w:r>
      <w:r w:rsidR="0044351D">
        <w:t xml:space="preserve"> </w:t>
      </w:r>
      <w:r w:rsidR="00146C5A">
        <w:t>other</w:t>
      </w:r>
      <w:r>
        <w:t xml:space="preserve"> adjustments to its energy and peak load forecasts</w:t>
      </w:r>
      <w:r w:rsidR="0044351D">
        <w:t xml:space="preserve"> to</w:t>
      </w:r>
      <w:r>
        <w:t xml:space="preserve"> </w:t>
      </w:r>
      <w:r w:rsidR="0044351D">
        <w:t>account</w:t>
      </w:r>
      <w:r>
        <w:t xml:space="preserve"> for growth in electric vehicles, </w:t>
      </w:r>
      <w:r w:rsidR="00146C5A">
        <w:t>B</w:t>
      </w:r>
      <w:r>
        <w:t>ehind-</w:t>
      </w:r>
      <w:r w:rsidR="00146C5A">
        <w:lastRenderedPageBreak/>
        <w:t>T</w:t>
      </w:r>
      <w:r>
        <w:t>he-</w:t>
      </w:r>
      <w:r w:rsidR="00146C5A">
        <w:t>M</w:t>
      </w:r>
      <w:r>
        <w:t xml:space="preserve">eter (“BTM”) solar, </w:t>
      </w:r>
      <w:r w:rsidR="00146C5A">
        <w:t>Demand-Side Management (“</w:t>
      </w:r>
      <w:r>
        <w:t>DSM</w:t>
      </w:r>
      <w:r w:rsidR="00146C5A">
        <w:t>”)</w:t>
      </w:r>
      <w:r>
        <w:t xml:space="preserve">, and industrial </w:t>
      </w:r>
      <w:r w:rsidR="006F4888">
        <w:t>cogeneration.</w:t>
      </w:r>
      <w:r>
        <w:t xml:space="preserve"> </w:t>
      </w:r>
    </w:p>
    <w:p w14:paraId="046CF5F8" w14:textId="62ED681A" w:rsidR="000A6F84" w:rsidRDefault="000A6F84" w:rsidP="000A6F84">
      <w:pPr>
        <w:pStyle w:val="Question"/>
      </w:pPr>
      <w:r>
        <w:t>Q.</w:t>
      </w:r>
      <w:r>
        <w:tab/>
        <w:t>Has the company’s load forecast changed since the 2025 irp proceeding?</w:t>
      </w:r>
    </w:p>
    <w:p w14:paraId="1818FBAE" w14:textId="76724405" w:rsidR="000A6F84" w:rsidRDefault="000A6F84" w:rsidP="000A6F84">
      <w:pPr>
        <w:pStyle w:val="Answers"/>
      </w:pPr>
      <w:r>
        <w:t>A.</w:t>
      </w:r>
      <w:r>
        <w:tab/>
      </w:r>
      <w:r w:rsidR="00A853CD">
        <w:t>Yes</w:t>
      </w:r>
      <w:r w:rsidR="00CF1E51">
        <w:t>. While the structure of the load forecast is generally similar to th</w:t>
      </w:r>
      <w:r w:rsidR="17409D74">
        <w:t xml:space="preserve">e forecast </w:t>
      </w:r>
      <w:r w:rsidR="00CF1E51">
        <w:t xml:space="preserve">submitted in the 2025 IRP proceeding, the Company has </w:t>
      </w:r>
      <w:r w:rsidR="00146C5A">
        <w:t>updat</w:t>
      </w:r>
      <w:r w:rsidR="00CF1E51">
        <w:t xml:space="preserve">ed both the </w:t>
      </w:r>
      <w:r w:rsidR="00C912D7">
        <w:t>O</w:t>
      </w:r>
      <w:r w:rsidR="00CF1E51">
        <w:t xml:space="preserve">rganic and </w:t>
      </w:r>
      <w:r w:rsidR="00C912D7">
        <w:t>L</w:t>
      </w:r>
      <w:r w:rsidR="00CF1E51">
        <w:t xml:space="preserve">arge </w:t>
      </w:r>
      <w:r w:rsidR="00C912D7">
        <w:t>L</w:t>
      </w:r>
      <w:r w:rsidR="00CF1E51">
        <w:t>oad forecasts with the most recent available information. The direction and magnitude of these changes var</w:t>
      </w:r>
      <w:r w:rsidR="00146C5A">
        <w:t>y</w:t>
      </w:r>
      <w:r w:rsidR="00CF1E51">
        <w:t xml:space="preserve"> depending on the specific </w:t>
      </w:r>
      <w:r w:rsidR="00146C5A">
        <w:t xml:space="preserve">customer </w:t>
      </w:r>
      <w:r w:rsidR="00CF1E51">
        <w:t xml:space="preserve">class. Further details are provided in Section </w:t>
      </w:r>
      <w:r w:rsidR="00CF1E51">
        <w:fldChar w:fldCharType="begin"/>
      </w:r>
      <w:r w:rsidR="00CF1E51">
        <w:instrText xml:space="preserve"> REF _Ref212575471 \r \h </w:instrText>
      </w:r>
      <w:r w:rsidR="00CF1E51">
        <w:fldChar w:fldCharType="separate"/>
      </w:r>
      <w:r w:rsidR="00220F39">
        <w:t>IV</w:t>
      </w:r>
      <w:r w:rsidR="00CF1E51">
        <w:fldChar w:fldCharType="end"/>
      </w:r>
      <w:r w:rsidR="00CF1E51">
        <w:t xml:space="preserve"> below. </w:t>
      </w:r>
    </w:p>
    <w:p w14:paraId="087959BA" w14:textId="01855E89" w:rsidR="00B17A50" w:rsidRDefault="00B17A50" w:rsidP="00B17A50">
      <w:pPr>
        <w:pStyle w:val="Question"/>
      </w:pPr>
      <w:r>
        <w:t>Q.</w:t>
      </w:r>
      <w:r>
        <w:tab/>
        <w:t xml:space="preserve">Please explain the key drivers of </w:t>
      </w:r>
      <w:r w:rsidR="00ED7035">
        <w:t xml:space="preserve">PROJECTED </w:t>
      </w:r>
      <w:r>
        <w:t xml:space="preserve">load growth in the </w:t>
      </w:r>
      <w:r w:rsidR="002C0B57">
        <w:t xml:space="preserve">COMPANy’S </w:t>
      </w:r>
      <w:r w:rsidR="008732D4">
        <w:t>b202</w:t>
      </w:r>
      <w:r w:rsidR="000A6F84">
        <w:t>6</w:t>
      </w:r>
      <w:r w:rsidR="008732D4">
        <w:t xml:space="preserve"> </w:t>
      </w:r>
      <w:r>
        <w:t>forecast</w:t>
      </w:r>
      <w:r w:rsidR="00FF7376">
        <w:t xml:space="preserve"> FILED IN THIS DOCKET</w:t>
      </w:r>
      <w:r>
        <w:t>.</w:t>
      </w:r>
    </w:p>
    <w:p w14:paraId="4D96177D" w14:textId="2A79A068" w:rsidR="00A06DF0" w:rsidRDefault="00B17A50" w:rsidP="007A0DDD">
      <w:pPr>
        <w:pStyle w:val="Answers"/>
      </w:pPr>
      <w:r>
        <w:t>A.</w:t>
      </w:r>
      <w:r>
        <w:tab/>
      </w:r>
      <w:r w:rsidR="00A06DF0">
        <w:t xml:space="preserve">The </w:t>
      </w:r>
      <w:r w:rsidR="002C4386">
        <w:t xml:space="preserve">primary </w:t>
      </w:r>
      <w:r w:rsidR="00A06DF0">
        <w:t>driver</w:t>
      </w:r>
      <w:r w:rsidR="002C4386">
        <w:t xml:space="preserve"> that overwhelmingly impacts</w:t>
      </w:r>
      <w:r w:rsidR="00A06DF0">
        <w:t xml:space="preserve"> projected load growth comes from the </w:t>
      </w:r>
      <w:r w:rsidR="00C912D7">
        <w:t>L</w:t>
      </w:r>
      <w:r w:rsidR="00A06DF0">
        <w:t xml:space="preserve">arge </w:t>
      </w:r>
      <w:r w:rsidR="00C912D7">
        <w:t>C</w:t>
      </w:r>
      <w:r w:rsidR="00A06DF0">
        <w:t>ommercial class (</w:t>
      </w:r>
      <w:r w:rsidR="002C4386">
        <w:t xml:space="preserve">comprising </w:t>
      </w:r>
      <w:r w:rsidR="00334158" w:rsidRPr="00334158">
        <w:rPr>
          <w:highlight w:val="black"/>
        </w:rPr>
        <w:t>XX</w:t>
      </w:r>
      <w:r w:rsidR="00A06DF0">
        <w:t>% of cumulative growth</w:t>
      </w:r>
      <w:r w:rsidR="007A0DDD">
        <w:t xml:space="preserve"> in the Summer</w:t>
      </w:r>
      <w:r w:rsidR="002C4386">
        <w:t xml:space="preserve"> season</w:t>
      </w:r>
      <w:r w:rsidR="00A06DF0">
        <w:t xml:space="preserve">), followed by the </w:t>
      </w:r>
      <w:r w:rsidR="00C912D7">
        <w:t>O</w:t>
      </w:r>
      <w:r w:rsidR="00A06DF0">
        <w:t xml:space="preserve">rganic </w:t>
      </w:r>
      <w:r w:rsidR="00C912D7">
        <w:t>C</w:t>
      </w:r>
      <w:r w:rsidR="00A06DF0">
        <w:t>ommercial class (</w:t>
      </w:r>
      <w:r w:rsidR="00334158" w:rsidRPr="00334158">
        <w:rPr>
          <w:highlight w:val="black"/>
        </w:rPr>
        <w:t>XX</w:t>
      </w:r>
      <w:r w:rsidR="00A06DF0">
        <w:t xml:space="preserve">%) and the </w:t>
      </w:r>
      <w:r w:rsidR="002968E8">
        <w:t xml:space="preserve">Organic </w:t>
      </w:r>
      <w:r w:rsidR="00C912D7">
        <w:t>R</w:t>
      </w:r>
      <w:r w:rsidR="00A06DF0">
        <w:t>esidential class (</w:t>
      </w:r>
      <w:r w:rsidR="00334158" w:rsidRPr="00334158">
        <w:rPr>
          <w:highlight w:val="black"/>
        </w:rPr>
        <w:t>X</w:t>
      </w:r>
      <w:r w:rsidR="00A06DF0">
        <w:t xml:space="preserve">%) as shown in </w:t>
      </w:r>
      <w:r w:rsidR="00A06DF0">
        <w:fldChar w:fldCharType="begin"/>
      </w:r>
      <w:r w:rsidR="00A06DF0">
        <w:instrText xml:space="preserve"> REF _Ref212576402 \h </w:instrText>
      </w:r>
      <w:r w:rsidR="00A06DF0">
        <w:fldChar w:fldCharType="separate"/>
      </w:r>
      <w:r w:rsidR="00220F39">
        <w:t xml:space="preserve">Table </w:t>
      </w:r>
      <w:r w:rsidR="00220F39">
        <w:rPr>
          <w:noProof/>
        </w:rPr>
        <w:t>1</w:t>
      </w:r>
      <w:r w:rsidR="00A06DF0">
        <w:fldChar w:fldCharType="end"/>
      </w:r>
      <w:r w:rsidR="00A06DF0">
        <w:t xml:space="preserve"> below. </w:t>
      </w:r>
      <w:r w:rsidR="007A0DDD">
        <w:t xml:space="preserve"> </w:t>
      </w:r>
      <w:r w:rsidR="00AE5FBF">
        <w:t xml:space="preserve">Given that </w:t>
      </w:r>
      <w:r w:rsidR="007A0DDD">
        <w:t xml:space="preserve">nearly all </w:t>
      </w:r>
      <w:r w:rsidR="00C912D7">
        <w:t>L</w:t>
      </w:r>
      <w:r w:rsidR="007A0DDD">
        <w:t xml:space="preserve">arge </w:t>
      </w:r>
      <w:r w:rsidR="00C912D7">
        <w:t>C</w:t>
      </w:r>
      <w:r w:rsidR="007A0DDD">
        <w:t xml:space="preserve">ommercial </w:t>
      </w:r>
      <w:r w:rsidR="00C912D7">
        <w:t xml:space="preserve">projects in the LRM </w:t>
      </w:r>
      <w:r w:rsidR="007A0DDD">
        <w:t>are comprised of data center customers</w:t>
      </w:r>
      <w:r w:rsidR="00AE5FBF">
        <w:t xml:space="preserve"> (</w:t>
      </w:r>
      <w:r w:rsidR="007A0DDD">
        <w:t>more than 99% on an announced load basis</w:t>
      </w:r>
      <w:r w:rsidR="007A709F">
        <w:t>)</w:t>
      </w:r>
      <w:r w:rsidR="00C912D7">
        <w:t>,</w:t>
      </w:r>
      <w:r w:rsidR="00AE5FBF">
        <w:t xml:space="preserve"> the </w:t>
      </w:r>
      <w:r w:rsidR="00C912D7">
        <w:t>L</w:t>
      </w:r>
      <w:r w:rsidR="00AE5FBF">
        <w:t xml:space="preserve">arge </w:t>
      </w:r>
      <w:r w:rsidR="00C912D7">
        <w:t>C</w:t>
      </w:r>
      <w:r w:rsidR="00AE5FBF">
        <w:t xml:space="preserve">ommercial </w:t>
      </w:r>
      <w:r w:rsidR="009400BF">
        <w:t>c</w:t>
      </w:r>
      <w:r w:rsidR="00AE5FBF">
        <w:t xml:space="preserve">lass will be referred to as the Data Center class </w:t>
      </w:r>
      <w:r w:rsidR="00C912D7">
        <w:t xml:space="preserve">or as Large Data Centers </w:t>
      </w:r>
      <w:r w:rsidR="00AE5FBF">
        <w:t>throughout this testimony</w:t>
      </w:r>
      <w:r w:rsidR="007A0DDD">
        <w:t>.</w:t>
      </w:r>
      <w:r w:rsidR="00C912D7" w:rsidRPr="00C912D7">
        <w:rPr>
          <w:rStyle w:val="FootnoteReference"/>
        </w:rPr>
        <w:t xml:space="preserve"> </w:t>
      </w:r>
      <w:r w:rsidR="00C912D7">
        <w:rPr>
          <w:rStyle w:val="FootnoteReference"/>
        </w:rPr>
        <w:footnoteReference w:id="10"/>
      </w:r>
      <w:r w:rsidR="00C912D7">
        <w:rPr>
          <w:vertAlign w:val="superscript"/>
        </w:rPr>
        <w:t>,</w:t>
      </w:r>
      <w:r w:rsidR="007A0DDD">
        <w:rPr>
          <w:rStyle w:val="FootnoteReference"/>
        </w:rPr>
        <w:footnoteReference w:id="11"/>
      </w:r>
      <w:r w:rsidR="007A0DDD">
        <w:t xml:space="preserve"> Organic </w:t>
      </w:r>
      <w:r w:rsidR="00C912D7">
        <w:t>C</w:t>
      </w:r>
      <w:r w:rsidR="007A0DDD">
        <w:t xml:space="preserve">ommercial load growth is attributed to </w:t>
      </w:r>
      <w:r w:rsidR="007A0DDD">
        <w:lastRenderedPageBreak/>
        <w:t>electric vehicles and non-large load data centers</w:t>
      </w:r>
      <w:r w:rsidR="00EF5E2C">
        <w:t>,</w:t>
      </w:r>
      <w:r w:rsidR="007A0DDD">
        <w:rPr>
          <w:rStyle w:val="FootnoteReference"/>
        </w:rPr>
        <w:footnoteReference w:id="12"/>
      </w:r>
      <w:r w:rsidR="007A0DDD">
        <w:t xml:space="preserve"> </w:t>
      </w:r>
      <w:r w:rsidR="00EF5E2C">
        <w:t>referring to data centers less than 115 MW.</w:t>
      </w:r>
      <w:r w:rsidR="00EF5E2C">
        <w:rPr>
          <w:rStyle w:val="FootnoteReference"/>
        </w:rPr>
        <w:footnoteReference w:id="13"/>
      </w:r>
      <w:r w:rsidR="00E56EF8">
        <w:t xml:space="preserve"> As such, the Company projects that Data Centers will constitute anywhere from ~</w:t>
      </w:r>
      <w:r w:rsidR="00334158" w:rsidRPr="00334158">
        <w:rPr>
          <w:highlight w:val="black"/>
        </w:rPr>
        <w:t>XX</w:t>
      </w:r>
      <w:r w:rsidR="00E56EF8">
        <w:t>% up to ~</w:t>
      </w:r>
      <w:r w:rsidR="00334158" w:rsidRPr="00334158">
        <w:rPr>
          <w:highlight w:val="black"/>
        </w:rPr>
        <w:t xml:space="preserve"> XX</w:t>
      </w:r>
      <w:r w:rsidR="00334158">
        <w:t xml:space="preserve"> </w:t>
      </w:r>
      <w:r w:rsidR="00E56EF8">
        <w:t xml:space="preserve">% of cumulative load growth from 2025 through 2045. </w:t>
      </w:r>
    </w:p>
    <w:p w14:paraId="1FD0C661" w14:textId="0994DE92" w:rsidR="00A06DF0" w:rsidRDefault="00A06DF0" w:rsidP="00A06DF0">
      <w:pPr>
        <w:pStyle w:val="Caption"/>
      </w:pPr>
      <w:bookmarkStart w:id="11" w:name="_Ref212576402"/>
      <w:bookmarkStart w:id="12" w:name="_Toc213766871"/>
      <w:r>
        <w:t xml:space="preserve">Table </w:t>
      </w:r>
      <w:fldSimple w:instr=" SEQ Table \* ARABIC ">
        <w:r w:rsidR="00220F39">
          <w:rPr>
            <w:noProof/>
          </w:rPr>
          <w:t>1</w:t>
        </w:r>
      </w:fldSimple>
      <w:bookmarkEnd w:id="11"/>
      <w:r>
        <w:t>: B2026 Adjusted Summer Peak Forecast</w:t>
      </w:r>
      <w:r w:rsidR="009A6BE6">
        <w:t xml:space="preserve"> (MW)</w:t>
      </w:r>
      <w:r>
        <w:rPr>
          <w:rStyle w:val="FootnoteReference"/>
        </w:rPr>
        <w:footnoteReference w:id="14"/>
      </w:r>
      <w:bookmarkEnd w:id="12"/>
    </w:p>
    <w:tbl>
      <w:tblPr>
        <w:tblW w:w="9373" w:type="dxa"/>
        <w:tblLook w:val="04A0" w:firstRow="1" w:lastRow="0" w:firstColumn="1" w:lastColumn="0" w:noHBand="0" w:noVBand="1"/>
      </w:tblPr>
      <w:tblGrid>
        <w:gridCol w:w="1433"/>
        <w:gridCol w:w="824"/>
        <w:gridCol w:w="849"/>
        <w:gridCol w:w="816"/>
        <w:gridCol w:w="831"/>
        <w:gridCol w:w="908"/>
        <w:gridCol w:w="785"/>
        <w:gridCol w:w="1201"/>
        <w:gridCol w:w="862"/>
        <w:gridCol w:w="864"/>
      </w:tblGrid>
      <w:tr w:rsidR="00C912D7" w:rsidRPr="00A06DF0" w14:paraId="3BFB48E8" w14:textId="77777777" w:rsidTr="3322A3CE">
        <w:trPr>
          <w:trHeight w:val="580"/>
        </w:trPr>
        <w:tc>
          <w:tcPr>
            <w:tcW w:w="1433" w:type="dxa"/>
            <w:tcBorders>
              <w:top w:val="single" w:sz="8" w:space="0" w:color="auto"/>
              <w:left w:val="single" w:sz="8" w:space="0" w:color="auto"/>
              <w:bottom w:val="single" w:sz="4" w:space="0" w:color="auto"/>
              <w:right w:val="single" w:sz="4" w:space="0" w:color="auto"/>
            </w:tcBorders>
            <w:shd w:val="clear" w:color="auto" w:fill="DDEBF7"/>
            <w:vAlign w:val="center"/>
            <w:hideMark/>
          </w:tcPr>
          <w:p w14:paraId="120FE264" w14:textId="77777777"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Year</w:t>
            </w:r>
          </w:p>
        </w:tc>
        <w:tc>
          <w:tcPr>
            <w:tcW w:w="824" w:type="dxa"/>
            <w:tcBorders>
              <w:top w:val="single" w:sz="8" w:space="0" w:color="auto"/>
              <w:left w:val="nil"/>
              <w:bottom w:val="single" w:sz="4" w:space="0" w:color="auto"/>
              <w:right w:val="nil"/>
            </w:tcBorders>
            <w:shd w:val="clear" w:color="auto" w:fill="DDEBF7"/>
            <w:vAlign w:val="center"/>
            <w:hideMark/>
          </w:tcPr>
          <w:p w14:paraId="066CD0DA" w14:textId="77777777"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Org. Res</w:t>
            </w:r>
          </w:p>
        </w:tc>
        <w:tc>
          <w:tcPr>
            <w:tcW w:w="849" w:type="dxa"/>
            <w:tcBorders>
              <w:top w:val="single" w:sz="8" w:space="0" w:color="auto"/>
              <w:left w:val="nil"/>
              <w:bottom w:val="single" w:sz="4" w:space="0" w:color="auto"/>
              <w:right w:val="nil"/>
            </w:tcBorders>
            <w:shd w:val="clear" w:color="auto" w:fill="DDEBF7"/>
            <w:vAlign w:val="center"/>
            <w:hideMark/>
          </w:tcPr>
          <w:p w14:paraId="1794E95B" w14:textId="77777777"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Org. Com</w:t>
            </w:r>
          </w:p>
        </w:tc>
        <w:tc>
          <w:tcPr>
            <w:tcW w:w="816" w:type="dxa"/>
            <w:tcBorders>
              <w:top w:val="single" w:sz="8" w:space="0" w:color="auto"/>
              <w:left w:val="nil"/>
              <w:bottom w:val="single" w:sz="4" w:space="0" w:color="auto"/>
              <w:right w:val="nil"/>
            </w:tcBorders>
            <w:shd w:val="clear" w:color="auto" w:fill="DDEBF7"/>
            <w:vAlign w:val="center"/>
            <w:hideMark/>
          </w:tcPr>
          <w:p w14:paraId="46C8F757" w14:textId="77777777"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Org. Ind</w:t>
            </w:r>
          </w:p>
        </w:tc>
        <w:tc>
          <w:tcPr>
            <w:tcW w:w="831" w:type="dxa"/>
            <w:tcBorders>
              <w:top w:val="single" w:sz="8" w:space="0" w:color="auto"/>
              <w:left w:val="nil"/>
              <w:bottom w:val="single" w:sz="4" w:space="0" w:color="auto"/>
              <w:right w:val="nil"/>
            </w:tcBorders>
            <w:shd w:val="clear" w:color="auto" w:fill="DDEBF7"/>
            <w:vAlign w:val="center"/>
            <w:hideMark/>
          </w:tcPr>
          <w:p w14:paraId="47C60F47" w14:textId="77777777" w:rsidR="007A0DDD"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Gov.</w:t>
            </w:r>
          </w:p>
          <w:p w14:paraId="26C58FAF" w14:textId="4D78AC17"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L</w:t>
            </w:r>
            <w:r w:rsidR="007A0DDD">
              <w:rPr>
                <w:rFonts w:ascii="Calibri" w:eastAsia="Times New Roman" w:hAnsi="Calibri" w:cs="Calibri"/>
                <w:b/>
                <w:bCs/>
                <w:color w:val="000000"/>
              </w:rPr>
              <w:t>ight.</w:t>
            </w:r>
          </w:p>
        </w:tc>
        <w:tc>
          <w:tcPr>
            <w:tcW w:w="908" w:type="dxa"/>
            <w:tcBorders>
              <w:top w:val="single" w:sz="8" w:space="0" w:color="auto"/>
              <w:left w:val="nil"/>
              <w:bottom w:val="single" w:sz="4" w:space="0" w:color="auto"/>
              <w:right w:val="single" w:sz="4" w:space="0" w:color="auto"/>
            </w:tcBorders>
            <w:shd w:val="clear" w:color="auto" w:fill="DDEBF7"/>
            <w:vAlign w:val="center"/>
            <w:hideMark/>
          </w:tcPr>
          <w:p w14:paraId="04260691" w14:textId="77777777"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MARTA</w:t>
            </w:r>
          </w:p>
        </w:tc>
        <w:tc>
          <w:tcPr>
            <w:tcW w:w="785" w:type="dxa"/>
            <w:tcBorders>
              <w:top w:val="single" w:sz="8" w:space="0" w:color="auto"/>
              <w:left w:val="nil"/>
              <w:bottom w:val="single" w:sz="4" w:space="0" w:color="auto"/>
              <w:right w:val="nil"/>
            </w:tcBorders>
            <w:shd w:val="clear" w:color="auto" w:fill="DDEBF7"/>
            <w:vAlign w:val="center"/>
            <w:hideMark/>
          </w:tcPr>
          <w:p w14:paraId="620EABE1" w14:textId="77777777"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DSM</w:t>
            </w:r>
          </w:p>
        </w:tc>
        <w:tc>
          <w:tcPr>
            <w:tcW w:w="1201" w:type="dxa"/>
            <w:tcBorders>
              <w:top w:val="single" w:sz="8" w:space="0" w:color="auto"/>
              <w:left w:val="nil"/>
              <w:bottom w:val="single" w:sz="4" w:space="0" w:color="auto"/>
              <w:right w:val="nil"/>
            </w:tcBorders>
            <w:shd w:val="clear" w:color="auto" w:fill="DDEBF7"/>
            <w:vAlign w:val="center"/>
            <w:hideMark/>
          </w:tcPr>
          <w:p w14:paraId="67E4CC13" w14:textId="7895BCB7" w:rsidR="00A06DF0" w:rsidRPr="00A06DF0" w:rsidRDefault="00C912D7" w:rsidP="00A06DF0">
            <w:pPr>
              <w:keepNext/>
              <w:keepLines/>
              <w:jc w:val="center"/>
              <w:rPr>
                <w:rFonts w:ascii="Calibri" w:eastAsia="Times New Roman" w:hAnsi="Calibri" w:cs="Calibri"/>
                <w:b/>
                <w:bCs/>
                <w:color w:val="000000"/>
              </w:rPr>
            </w:pPr>
            <w:r>
              <w:rPr>
                <w:rFonts w:ascii="Calibri" w:eastAsia="Times New Roman" w:hAnsi="Calibri" w:cs="Calibri"/>
                <w:b/>
                <w:bCs/>
                <w:color w:val="000000"/>
              </w:rPr>
              <w:t>Large Data Centers</w:t>
            </w:r>
          </w:p>
        </w:tc>
        <w:tc>
          <w:tcPr>
            <w:tcW w:w="862" w:type="dxa"/>
            <w:tcBorders>
              <w:top w:val="single" w:sz="8" w:space="0" w:color="auto"/>
              <w:left w:val="nil"/>
              <w:bottom w:val="single" w:sz="4" w:space="0" w:color="auto"/>
              <w:right w:val="nil"/>
            </w:tcBorders>
            <w:shd w:val="clear" w:color="auto" w:fill="DDEBF7"/>
            <w:vAlign w:val="center"/>
            <w:hideMark/>
          </w:tcPr>
          <w:p w14:paraId="4F75DFF9" w14:textId="25B16A51"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Large Ind</w:t>
            </w:r>
            <w:r w:rsidR="00C912D7">
              <w:rPr>
                <w:rFonts w:ascii="Calibri" w:eastAsia="Times New Roman" w:hAnsi="Calibri" w:cs="Calibri"/>
                <w:b/>
                <w:bCs/>
                <w:color w:val="000000"/>
              </w:rPr>
              <w:t>.</w:t>
            </w:r>
          </w:p>
        </w:tc>
        <w:tc>
          <w:tcPr>
            <w:tcW w:w="864" w:type="dxa"/>
            <w:tcBorders>
              <w:top w:val="single" w:sz="8" w:space="0" w:color="auto"/>
              <w:left w:val="single" w:sz="4" w:space="0" w:color="auto"/>
              <w:bottom w:val="single" w:sz="4" w:space="0" w:color="auto"/>
              <w:right w:val="single" w:sz="8" w:space="0" w:color="auto"/>
            </w:tcBorders>
            <w:shd w:val="clear" w:color="auto" w:fill="DDEBF7"/>
            <w:vAlign w:val="center"/>
            <w:hideMark/>
          </w:tcPr>
          <w:p w14:paraId="781E42F2" w14:textId="77777777" w:rsidR="00A06DF0" w:rsidRPr="00A06DF0" w:rsidRDefault="00A06DF0" w:rsidP="00A06DF0">
            <w:pPr>
              <w:keepNext/>
              <w:keepLines/>
              <w:jc w:val="center"/>
              <w:rPr>
                <w:rFonts w:ascii="Calibri" w:eastAsia="Times New Roman" w:hAnsi="Calibri" w:cs="Calibri"/>
                <w:b/>
                <w:bCs/>
                <w:color w:val="000000"/>
              </w:rPr>
            </w:pPr>
            <w:r w:rsidRPr="00A06DF0">
              <w:rPr>
                <w:rFonts w:ascii="Calibri" w:eastAsia="Times New Roman" w:hAnsi="Calibri" w:cs="Calibri"/>
                <w:b/>
                <w:bCs/>
                <w:color w:val="000000"/>
              </w:rPr>
              <w:t>Peak</w:t>
            </w:r>
          </w:p>
        </w:tc>
      </w:tr>
      <w:tr w:rsidR="006751FE" w:rsidRPr="00A06DF0" w14:paraId="3DD073D6"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3228C406"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2025</w:t>
            </w:r>
          </w:p>
        </w:tc>
        <w:tc>
          <w:tcPr>
            <w:tcW w:w="824" w:type="dxa"/>
            <w:tcBorders>
              <w:top w:val="nil"/>
              <w:left w:val="nil"/>
              <w:bottom w:val="nil"/>
              <w:right w:val="nil"/>
            </w:tcBorders>
            <w:shd w:val="clear" w:color="auto" w:fill="FFFF00"/>
            <w:noWrap/>
            <w:hideMark/>
          </w:tcPr>
          <w:p w14:paraId="60F4E88E" w14:textId="4919E2F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2E8A6947" w14:textId="1963EC3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0EF58C88" w14:textId="6FA61BF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7D1CF8AC" w14:textId="4FB4524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5B7CD252" w14:textId="706E828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5D3AD4D8" w14:textId="7A15D97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3504375D" w14:textId="2428035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7DCCBCE7" w14:textId="660E5D8F"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3277ED1E"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17,288</w:t>
            </w:r>
          </w:p>
        </w:tc>
      </w:tr>
      <w:tr w:rsidR="006751FE" w:rsidRPr="00A06DF0" w14:paraId="0D76937D"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00F8ADB7"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2026</w:t>
            </w:r>
          </w:p>
        </w:tc>
        <w:tc>
          <w:tcPr>
            <w:tcW w:w="824" w:type="dxa"/>
            <w:tcBorders>
              <w:top w:val="nil"/>
              <w:left w:val="nil"/>
              <w:bottom w:val="nil"/>
              <w:right w:val="nil"/>
            </w:tcBorders>
            <w:shd w:val="clear" w:color="auto" w:fill="FFFF00"/>
            <w:noWrap/>
            <w:hideMark/>
          </w:tcPr>
          <w:p w14:paraId="5F2CF835" w14:textId="7C0D74D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5B3AE1F8" w14:textId="6056BE4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7CFBCECB" w14:textId="51B062A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63392A92" w14:textId="5EE1D33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23230160" w14:textId="494554E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2A5F07FA" w14:textId="749A565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1AC1C02A" w14:textId="676DDF2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15F5C388" w14:textId="31E4245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105AFBB2"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18,151</w:t>
            </w:r>
          </w:p>
        </w:tc>
      </w:tr>
      <w:tr w:rsidR="006751FE" w:rsidRPr="00A06DF0" w14:paraId="610DDB1A"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1904E240"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2027</w:t>
            </w:r>
          </w:p>
        </w:tc>
        <w:tc>
          <w:tcPr>
            <w:tcW w:w="824" w:type="dxa"/>
            <w:tcBorders>
              <w:top w:val="nil"/>
              <w:left w:val="nil"/>
              <w:bottom w:val="nil"/>
              <w:right w:val="nil"/>
            </w:tcBorders>
            <w:shd w:val="clear" w:color="auto" w:fill="FFFF00"/>
            <w:noWrap/>
            <w:hideMark/>
          </w:tcPr>
          <w:p w14:paraId="6B6881CC" w14:textId="0CB1DD8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23485311" w14:textId="4DAB3E3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28A772A4" w14:textId="0A008F37"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3AE5D1A6" w14:textId="1C31D40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1DA89F81" w14:textId="1302554B"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2032E914" w14:textId="200687D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5C2472A4" w14:textId="5972EB7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7D4ED744" w14:textId="2863082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54A535CD"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19,796</w:t>
            </w:r>
          </w:p>
        </w:tc>
      </w:tr>
      <w:tr w:rsidR="006751FE" w:rsidRPr="00A06DF0" w14:paraId="6E6A9BD6"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6B9B6848"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2028</w:t>
            </w:r>
          </w:p>
        </w:tc>
        <w:tc>
          <w:tcPr>
            <w:tcW w:w="824" w:type="dxa"/>
            <w:tcBorders>
              <w:top w:val="nil"/>
              <w:left w:val="nil"/>
              <w:bottom w:val="nil"/>
              <w:right w:val="nil"/>
            </w:tcBorders>
            <w:shd w:val="clear" w:color="auto" w:fill="FFFF00"/>
            <w:noWrap/>
            <w:hideMark/>
          </w:tcPr>
          <w:p w14:paraId="43FC8B51" w14:textId="228EBDA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4A797153" w14:textId="1335B9BF"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2FFD6142" w14:textId="00C8821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2688EE3B" w14:textId="3B81E99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6E280B52" w14:textId="116F539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76FBC7B0" w14:textId="725053A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3428B435" w14:textId="7947F4A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1896261B" w14:textId="2032B3B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53408CE9"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22,101</w:t>
            </w:r>
          </w:p>
        </w:tc>
      </w:tr>
      <w:tr w:rsidR="006751FE" w:rsidRPr="00A06DF0" w14:paraId="4C52D682"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0AE94EBE"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2029</w:t>
            </w:r>
          </w:p>
        </w:tc>
        <w:tc>
          <w:tcPr>
            <w:tcW w:w="824" w:type="dxa"/>
            <w:tcBorders>
              <w:top w:val="nil"/>
              <w:left w:val="nil"/>
              <w:bottom w:val="nil"/>
              <w:right w:val="nil"/>
            </w:tcBorders>
            <w:shd w:val="clear" w:color="auto" w:fill="FFFF00"/>
            <w:noWrap/>
            <w:hideMark/>
          </w:tcPr>
          <w:p w14:paraId="337E7503" w14:textId="45136CDF"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155BD174" w14:textId="62FD257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7E7F0F0D" w14:textId="01BDDAA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6B71639A" w14:textId="158FE1E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7806EAC7" w14:textId="282132E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3F218AE4" w14:textId="3F50B38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04DA1583" w14:textId="1B52959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3D77FD69" w14:textId="5506300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3F416F2D"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24,229</w:t>
            </w:r>
          </w:p>
        </w:tc>
      </w:tr>
      <w:tr w:rsidR="006751FE" w:rsidRPr="00A06DF0" w14:paraId="0AC34EA8"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20FC05CE"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2030</w:t>
            </w:r>
          </w:p>
        </w:tc>
        <w:tc>
          <w:tcPr>
            <w:tcW w:w="824" w:type="dxa"/>
            <w:tcBorders>
              <w:top w:val="nil"/>
              <w:left w:val="nil"/>
              <w:bottom w:val="nil"/>
              <w:right w:val="nil"/>
            </w:tcBorders>
            <w:shd w:val="clear" w:color="auto" w:fill="FFFF00"/>
            <w:noWrap/>
            <w:hideMark/>
          </w:tcPr>
          <w:p w14:paraId="7F777BBC" w14:textId="7E46F16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25D2DB93" w14:textId="5EA68C9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253E6F0B" w14:textId="510A5DE1"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6736CE43" w14:textId="699FF85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3C93D54E" w14:textId="5C87790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34296D6A" w14:textId="0EBDEAC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345737E7" w14:textId="314F25C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11085BD5" w14:textId="33753D07"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08B7B5BA"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25,845</w:t>
            </w:r>
          </w:p>
        </w:tc>
      </w:tr>
      <w:tr w:rsidR="006751FE" w:rsidRPr="00A06DF0" w14:paraId="3A5A1F99"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01AD2B59"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2031</w:t>
            </w:r>
          </w:p>
        </w:tc>
        <w:tc>
          <w:tcPr>
            <w:tcW w:w="824" w:type="dxa"/>
            <w:tcBorders>
              <w:top w:val="nil"/>
              <w:left w:val="nil"/>
              <w:bottom w:val="nil"/>
              <w:right w:val="nil"/>
            </w:tcBorders>
            <w:shd w:val="clear" w:color="auto" w:fill="FFFF00"/>
            <w:noWrap/>
            <w:hideMark/>
          </w:tcPr>
          <w:p w14:paraId="6B649E2A" w14:textId="24763FC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0E14B13E" w14:textId="608C6B1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4AE04501" w14:textId="10F7DF14"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18C41B05" w14:textId="59CF8E4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364D589F" w14:textId="1D31134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4D5B3C2D" w14:textId="39F9F5C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40207B7D" w14:textId="360A57D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392E4EE4" w14:textId="75510C11"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40954A8F"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26,979</w:t>
            </w:r>
          </w:p>
        </w:tc>
      </w:tr>
      <w:tr w:rsidR="006751FE" w:rsidRPr="00A06DF0" w14:paraId="08B2019B"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2E7B0DA5"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2032</w:t>
            </w:r>
          </w:p>
        </w:tc>
        <w:tc>
          <w:tcPr>
            <w:tcW w:w="824" w:type="dxa"/>
            <w:tcBorders>
              <w:top w:val="nil"/>
              <w:left w:val="nil"/>
              <w:bottom w:val="nil"/>
              <w:right w:val="nil"/>
            </w:tcBorders>
            <w:shd w:val="clear" w:color="auto" w:fill="FFFF00"/>
            <w:noWrap/>
            <w:hideMark/>
          </w:tcPr>
          <w:p w14:paraId="41C73D58" w14:textId="2F9CB37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138940F9" w14:textId="0E71A6C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138E486E" w14:textId="76031D4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547D71BC" w14:textId="15F89EE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6B8127F7" w14:textId="15CF329B"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3FE167F5" w14:textId="24601B0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455E0BA7" w14:textId="0C99042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43F1E3DA" w14:textId="239D734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31BF0866"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27,554</w:t>
            </w:r>
          </w:p>
        </w:tc>
      </w:tr>
      <w:tr w:rsidR="006751FE" w:rsidRPr="00A06DF0" w14:paraId="4F6FFF69"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2FF454E7"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2033</w:t>
            </w:r>
          </w:p>
        </w:tc>
        <w:tc>
          <w:tcPr>
            <w:tcW w:w="824" w:type="dxa"/>
            <w:tcBorders>
              <w:top w:val="nil"/>
              <w:left w:val="nil"/>
              <w:bottom w:val="nil"/>
              <w:right w:val="nil"/>
            </w:tcBorders>
            <w:shd w:val="clear" w:color="auto" w:fill="FFFF00"/>
            <w:noWrap/>
            <w:hideMark/>
          </w:tcPr>
          <w:p w14:paraId="4B69E13B" w14:textId="404849B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37F280EE" w14:textId="5CE87A81"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6D4904E6" w14:textId="10459CD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254DCE9D" w14:textId="4043960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34FC159B" w14:textId="33D5B67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335F5B4C" w14:textId="1F13857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6C3E33F2" w14:textId="041E8DD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295BB3BE" w14:textId="74CF7DD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3E0B37FF"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28,007</w:t>
            </w:r>
          </w:p>
        </w:tc>
      </w:tr>
      <w:tr w:rsidR="006751FE" w:rsidRPr="00A06DF0" w14:paraId="25841191"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16A64DD1"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2034</w:t>
            </w:r>
          </w:p>
        </w:tc>
        <w:tc>
          <w:tcPr>
            <w:tcW w:w="824" w:type="dxa"/>
            <w:tcBorders>
              <w:top w:val="nil"/>
              <w:left w:val="nil"/>
              <w:bottom w:val="nil"/>
              <w:right w:val="nil"/>
            </w:tcBorders>
            <w:shd w:val="clear" w:color="auto" w:fill="FFFF00"/>
            <w:noWrap/>
            <w:hideMark/>
          </w:tcPr>
          <w:p w14:paraId="05040945" w14:textId="1778762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06E45457" w14:textId="578B47F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008450E5" w14:textId="0DA67C64"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6F201903" w14:textId="55AA8B0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3D6C6E4B" w14:textId="607A1BC7"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5FE912C8" w14:textId="0FE40AFF"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0B8279DF" w14:textId="3C64EEA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278A131D" w14:textId="4FBC3C1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770C14BA"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28,312</w:t>
            </w:r>
          </w:p>
        </w:tc>
      </w:tr>
      <w:tr w:rsidR="006751FE" w:rsidRPr="00A06DF0" w14:paraId="3D63E1C7"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56A2B407"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2035</w:t>
            </w:r>
          </w:p>
        </w:tc>
        <w:tc>
          <w:tcPr>
            <w:tcW w:w="824" w:type="dxa"/>
            <w:tcBorders>
              <w:top w:val="nil"/>
              <w:left w:val="nil"/>
              <w:bottom w:val="nil"/>
              <w:right w:val="nil"/>
            </w:tcBorders>
            <w:shd w:val="clear" w:color="auto" w:fill="FFFF00"/>
            <w:noWrap/>
            <w:hideMark/>
          </w:tcPr>
          <w:p w14:paraId="3AE14DE7" w14:textId="7076FA6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70767D31" w14:textId="62AFE3FB"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0CADBEAF" w14:textId="3807020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0078F90C" w14:textId="42FC7E6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3BF7010D" w14:textId="5D3B72B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4DFC3E8A" w14:textId="56F6637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60F8110B" w14:textId="3215FF8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27B2B5D4" w14:textId="540BA3F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0DF64FE6"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28,499</w:t>
            </w:r>
          </w:p>
        </w:tc>
      </w:tr>
      <w:tr w:rsidR="006751FE" w:rsidRPr="00A06DF0" w14:paraId="09C96303"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3BD9641D"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2036</w:t>
            </w:r>
          </w:p>
        </w:tc>
        <w:tc>
          <w:tcPr>
            <w:tcW w:w="824" w:type="dxa"/>
            <w:tcBorders>
              <w:top w:val="nil"/>
              <w:left w:val="nil"/>
              <w:bottom w:val="nil"/>
              <w:right w:val="nil"/>
            </w:tcBorders>
            <w:shd w:val="clear" w:color="auto" w:fill="FFFF00"/>
            <w:noWrap/>
            <w:hideMark/>
          </w:tcPr>
          <w:p w14:paraId="1DE277B1" w14:textId="752F261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14167BE6" w14:textId="30359167"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3D9BDBAE" w14:textId="1EA144DB"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1F4773BC" w14:textId="0CD93DD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132FBEC1" w14:textId="414CEF4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381D0959" w14:textId="356E346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4CFC6E5A" w14:textId="15B7C18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0B22566E" w14:textId="360C54A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3F5A645F"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28,588</w:t>
            </w:r>
          </w:p>
        </w:tc>
      </w:tr>
      <w:tr w:rsidR="006751FE" w:rsidRPr="00A06DF0" w14:paraId="50328002"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0DE81D0B"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2037</w:t>
            </w:r>
          </w:p>
        </w:tc>
        <w:tc>
          <w:tcPr>
            <w:tcW w:w="824" w:type="dxa"/>
            <w:tcBorders>
              <w:top w:val="nil"/>
              <w:left w:val="nil"/>
              <w:bottom w:val="nil"/>
              <w:right w:val="nil"/>
            </w:tcBorders>
            <w:shd w:val="clear" w:color="auto" w:fill="FFFF00"/>
            <w:noWrap/>
            <w:hideMark/>
          </w:tcPr>
          <w:p w14:paraId="1CAEF641" w14:textId="1C0F27D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7F29EB7C" w14:textId="389A7E54"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063BE604" w14:textId="1832B16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42F3E592" w14:textId="7ACEA0F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21BADBC5" w14:textId="5A7C47C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1678EF0B" w14:textId="63EA74E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38774367" w14:textId="2CA28BC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5261880E" w14:textId="6B7EDFB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02AD5F6D"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28,820</w:t>
            </w:r>
          </w:p>
        </w:tc>
      </w:tr>
      <w:tr w:rsidR="006751FE" w:rsidRPr="00A06DF0" w14:paraId="5D212464"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3C65BB66"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2038</w:t>
            </w:r>
          </w:p>
        </w:tc>
        <w:tc>
          <w:tcPr>
            <w:tcW w:w="824" w:type="dxa"/>
            <w:tcBorders>
              <w:top w:val="nil"/>
              <w:left w:val="nil"/>
              <w:bottom w:val="nil"/>
              <w:right w:val="nil"/>
            </w:tcBorders>
            <w:shd w:val="clear" w:color="auto" w:fill="FFFF00"/>
            <w:noWrap/>
            <w:hideMark/>
          </w:tcPr>
          <w:p w14:paraId="25D30D66" w14:textId="093D6687"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2CB5D7A0" w14:textId="390F37F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571DD93C" w14:textId="07C029C7"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2F23B0E8" w14:textId="627719F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07469385" w14:textId="2341B67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4B15CE57" w14:textId="07FFCE2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1E99C8CF" w14:textId="005E210F"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0CB96194" w14:textId="5D6E5BE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3EE11CF8"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29,043</w:t>
            </w:r>
          </w:p>
        </w:tc>
      </w:tr>
      <w:tr w:rsidR="006751FE" w:rsidRPr="00A06DF0" w14:paraId="6B3BF8DE"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5B7E0969"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2039</w:t>
            </w:r>
          </w:p>
        </w:tc>
        <w:tc>
          <w:tcPr>
            <w:tcW w:w="824" w:type="dxa"/>
            <w:tcBorders>
              <w:top w:val="nil"/>
              <w:left w:val="nil"/>
              <w:bottom w:val="nil"/>
              <w:right w:val="nil"/>
            </w:tcBorders>
            <w:shd w:val="clear" w:color="auto" w:fill="FFFF00"/>
            <w:noWrap/>
            <w:hideMark/>
          </w:tcPr>
          <w:p w14:paraId="0D3BEF5E" w14:textId="0A051F7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4F5AA40B" w14:textId="056D28F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63540AFE" w14:textId="521E74A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2A3699AD" w14:textId="6CB74A9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0BB24ECD" w14:textId="50F9110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739054DD" w14:textId="2608BCD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0314A32A" w14:textId="0DF4B29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49C445EB" w14:textId="350B1AB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09BB230A"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29,273</w:t>
            </w:r>
          </w:p>
        </w:tc>
      </w:tr>
      <w:tr w:rsidR="006751FE" w:rsidRPr="00A06DF0" w14:paraId="689C108A"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76C74C5D"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2040</w:t>
            </w:r>
          </w:p>
        </w:tc>
        <w:tc>
          <w:tcPr>
            <w:tcW w:w="824" w:type="dxa"/>
            <w:tcBorders>
              <w:top w:val="nil"/>
              <w:left w:val="nil"/>
              <w:bottom w:val="nil"/>
              <w:right w:val="nil"/>
            </w:tcBorders>
            <w:shd w:val="clear" w:color="auto" w:fill="FFFF00"/>
            <w:noWrap/>
            <w:hideMark/>
          </w:tcPr>
          <w:p w14:paraId="56C98565" w14:textId="2ADD75DE"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0C0F460B" w14:textId="2BB0D63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40FEB903" w14:textId="1D168E3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070C7798" w14:textId="7898C14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0454AAFC" w14:textId="797A0B2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36F47945" w14:textId="20EB3614"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5BDD0B14" w14:textId="34382AF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49FEF540" w14:textId="3380570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5513832C"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29,414</w:t>
            </w:r>
          </w:p>
        </w:tc>
      </w:tr>
      <w:tr w:rsidR="006751FE" w:rsidRPr="00A06DF0" w14:paraId="4A7F4455"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46336B01"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2041</w:t>
            </w:r>
          </w:p>
        </w:tc>
        <w:tc>
          <w:tcPr>
            <w:tcW w:w="824" w:type="dxa"/>
            <w:tcBorders>
              <w:top w:val="nil"/>
              <w:left w:val="nil"/>
              <w:bottom w:val="nil"/>
              <w:right w:val="nil"/>
            </w:tcBorders>
            <w:shd w:val="clear" w:color="auto" w:fill="FFFF00"/>
            <w:noWrap/>
            <w:hideMark/>
          </w:tcPr>
          <w:p w14:paraId="3D9CDC48" w14:textId="4406CD8F"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45BB849B" w14:textId="7D092E0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45DB0EF7" w14:textId="70DF715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7FD9FFB4" w14:textId="74F2EF0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6933A4C2" w14:textId="0A495777"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4B59CE4D" w14:textId="0F8F06C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4F4C30D2" w14:textId="5290697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38F9C1C1" w14:textId="7D97D1CF"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608ADE4E"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29,671</w:t>
            </w:r>
          </w:p>
        </w:tc>
      </w:tr>
      <w:tr w:rsidR="006751FE" w:rsidRPr="00A06DF0" w14:paraId="40E6D8B5"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0F6D3D3C"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2042</w:t>
            </w:r>
          </w:p>
        </w:tc>
        <w:tc>
          <w:tcPr>
            <w:tcW w:w="824" w:type="dxa"/>
            <w:tcBorders>
              <w:top w:val="nil"/>
              <w:left w:val="nil"/>
              <w:bottom w:val="nil"/>
              <w:right w:val="nil"/>
            </w:tcBorders>
            <w:shd w:val="clear" w:color="auto" w:fill="FFFF00"/>
            <w:noWrap/>
            <w:hideMark/>
          </w:tcPr>
          <w:p w14:paraId="6CD2DDCB" w14:textId="7094F30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70939B05" w14:textId="351ADE44"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69AF0CC5" w14:textId="5510AD2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7B89C871" w14:textId="74C33AE8"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6FDB7FF3" w14:textId="1CDB63F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6EDDA7FC" w14:textId="1A637E8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488268AE" w14:textId="3EB6D6B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4DF6B80C" w14:textId="201C506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0CFF803A"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29,900</w:t>
            </w:r>
          </w:p>
        </w:tc>
      </w:tr>
      <w:tr w:rsidR="006751FE" w:rsidRPr="00A06DF0" w14:paraId="79A223BD"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731474F6"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2043</w:t>
            </w:r>
          </w:p>
        </w:tc>
        <w:tc>
          <w:tcPr>
            <w:tcW w:w="824" w:type="dxa"/>
            <w:tcBorders>
              <w:top w:val="nil"/>
              <w:left w:val="nil"/>
              <w:bottom w:val="nil"/>
              <w:right w:val="nil"/>
            </w:tcBorders>
            <w:shd w:val="clear" w:color="auto" w:fill="FFFF00"/>
            <w:noWrap/>
            <w:hideMark/>
          </w:tcPr>
          <w:p w14:paraId="72D80011" w14:textId="35E00201"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6387925F" w14:textId="08AFAE0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63072CA3" w14:textId="716E63A1"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25485929" w14:textId="26A0D0E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63913B9B" w14:textId="6B249AF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3E73E6B1" w14:textId="1BAE3C3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7F65DCFA" w14:textId="6A06308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01DB6A5F" w14:textId="009B9F1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598C6240"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30,261</w:t>
            </w:r>
          </w:p>
        </w:tc>
      </w:tr>
      <w:tr w:rsidR="006751FE" w:rsidRPr="00A06DF0" w14:paraId="08316602" w14:textId="77777777" w:rsidTr="005C64DC">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5C420F7B"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2044</w:t>
            </w:r>
          </w:p>
        </w:tc>
        <w:tc>
          <w:tcPr>
            <w:tcW w:w="824" w:type="dxa"/>
            <w:tcBorders>
              <w:top w:val="nil"/>
              <w:left w:val="nil"/>
              <w:bottom w:val="nil"/>
              <w:right w:val="nil"/>
            </w:tcBorders>
            <w:shd w:val="clear" w:color="auto" w:fill="FFFF00"/>
            <w:noWrap/>
            <w:hideMark/>
          </w:tcPr>
          <w:p w14:paraId="6D58CB68" w14:textId="07042744"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028039F0" w14:textId="4C770317"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0C3B680F" w14:textId="61EDE3A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5E13BFF2" w14:textId="3B5D087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36B79619" w14:textId="52CF44A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5190230F" w14:textId="54EBD54C"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219DDF6D" w14:textId="5BC77EC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40911E6E" w14:textId="7252748B"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1A4946E4"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30,732</w:t>
            </w:r>
          </w:p>
        </w:tc>
      </w:tr>
      <w:tr w:rsidR="006751FE" w:rsidRPr="00A06DF0" w14:paraId="1DD3B30D" w14:textId="77777777" w:rsidTr="005C64DC">
        <w:trPr>
          <w:trHeight w:val="300"/>
        </w:trPr>
        <w:tc>
          <w:tcPr>
            <w:tcW w:w="1433"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6A2311A6" w14:textId="77777777" w:rsidR="006751FE" w:rsidRPr="00A06DF0" w:rsidRDefault="006751FE" w:rsidP="006751FE">
            <w:pPr>
              <w:keepNext/>
              <w:keepLines/>
              <w:jc w:val="right"/>
              <w:rPr>
                <w:rFonts w:ascii="Calibri" w:eastAsia="Times New Roman" w:hAnsi="Calibri" w:cs="Calibri"/>
                <w:color w:val="000000"/>
              </w:rPr>
            </w:pPr>
            <w:r w:rsidRPr="00A06DF0">
              <w:rPr>
                <w:rFonts w:ascii="Calibri" w:eastAsia="Times New Roman" w:hAnsi="Calibri" w:cs="Calibri"/>
                <w:color w:val="000000"/>
              </w:rPr>
              <w:t>2045</w:t>
            </w:r>
          </w:p>
        </w:tc>
        <w:tc>
          <w:tcPr>
            <w:tcW w:w="824" w:type="dxa"/>
            <w:tcBorders>
              <w:top w:val="nil"/>
              <w:left w:val="nil"/>
              <w:bottom w:val="single" w:sz="8" w:space="0" w:color="auto"/>
              <w:right w:val="nil"/>
            </w:tcBorders>
            <w:shd w:val="clear" w:color="auto" w:fill="FFFF00"/>
            <w:noWrap/>
            <w:hideMark/>
          </w:tcPr>
          <w:p w14:paraId="5E68EC9D" w14:textId="073587C3"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single" w:sz="8" w:space="0" w:color="auto"/>
              <w:right w:val="nil"/>
            </w:tcBorders>
            <w:shd w:val="clear" w:color="auto" w:fill="FFFF00"/>
            <w:noWrap/>
            <w:hideMark/>
          </w:tcPr>
          <w:p w14:paraId="7A4A1EAB" w14:textId="7E12F0CA"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single" w:sz="8" w:space="0" w:color="auto"/>
              <w:right w:val="nil"/>
            </w:tcBorders>
            <w:shd w:val="clear" w:color="auto" w:fill="FFFF00"/>
            <w:noWrap/>
            <w:hideMark/>
          </w:tcPr>
          <w:p w14:paraId="08878BF2" w14:textId="187897B6"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single" w:sz="8" w:space="0" w:color="auto"/>
              <w:right w:val="nil"/>
            </w:tcBorders>
            <w:shd w:val="clear" w:color="auto" w:fill="FFFF00"/>
            <w:noWrap/>
            <w:hideMark/>
          </w:tcPr>
          <w:p w14:paraId="53108646" w14:textId="2CAC8B6D"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single" w:sz="8" w:space="0" w:color="auto"/>
              <w:right w:val="single" w:sz="4" w:space="0" w:color="auto"/>
            </w:tcBorders>
            <w:shd w:val="clear" w:color="auto" w:fill="FFFF00"/>
            <w:noWrap/>
            <w:hideMark/>
          </w:tcPr>
          <w:p w14:paraId="3BFC1095" w14:textId="582DC949"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single" w:sz="8" w:space="0" w:color="auto"/>
              <w:right w:val="nil"/>
            </w:tcBorders>
            <w:shd w:val="clear" w:color="auto" w:fill="FFFF00"/>
            <w:noWrap/>
            <w:hideMark/>
          </w:tcPr>
          <w:p w14:paraId="519C168A" w14:textId="3FECB8E2"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single" w:sz="8" w:space="0" w:color="auto"/>
              <w:right w:val="nil"/>
            </w:tcBorders>
            <w:shd w:val="clear" w:color="auto" w:fill="FFFF00"/>
            <w:noWrap/>
            <w:hideMark/>
          </w:tcPr>
          <w:p w14:paraId="6C198C90" w14:textId="1F6ABFA0"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single" w:sz="8" w:space="0" w:color="auto"/>
              <w:right w:val="nil"/>
            </w:tcBorders>
            <w:shd w:val="clear" w:color="auto" w:fill="FFFF00"/>
            <w:noWrap/>
            <w:hideMark/>
          </w:tcPr>
          <w:p w14:paraId="2B3267C0" w14:textId="29030B85" w:rsidR="006751FE" w:rsidRPr="00A06DF0" w:rsidRDefault="006751FE" w:rsidP="006751FE">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single" w:sz="8" w:space="0" w:color="auto"/>
              <w:right w:val="single" w:sz="8" w:space="0" w:color="auto"/>
            </w:tcBorders>
            <w:shd w:val="clear" w:color="auto" w:fill="F2F2F2" w:themeFill="background1" w:themeFillShade="F2"/>
            <w:noWrap/>
            <w:vAlign w:val="bottom"/>
            <w:hideMark/>
          </w:tcPr>
          <w:p w14:paraId="47C2F8E8" w14:textId="77777777" w:rsidR="006751FE" w:rsidRPr="00A06DF0" w:rsidRDefault="006751FE" w:rsidP="006751FE">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31,221</w:t>
            </w:r>
          </w:p>
        </w:tc>
      </w:tr>
      <w:tr w:rsidR="00334158" w:rsidRPr="00A06DF0" w14:paraId="6A98A3D1" w14:textId="77777777" w:rsidTr="00334158">
        <w:trPr>
          <w:trHeight w:val="290"/>
        </w:trPr>
        <w:tc>
          <w:tcPr>
            <w:tcW w:w="1433"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5D88BA3C" w14:textId="77777777" w:rsidR="00334158" w:rsidRPr="00A06DF0" w:rsidRDefault="00334158" w:rsidP="00334158">
            <w:pPr>
              <w:keepNext/>
              <w:keepLines/>
              <w:jc w:val="left"/>
              <w:rPr>
                <w:rFonts w:ascii="Calibri" w:eastAsia="Times New Roman" w:hAnsi="Calibri" w:cs="Calibri"/>
                <w:b/>
                <w:bCs/>
                <w:color w:val="000000"/>
              </w:rPr>
            </w:pPr>
            <w:r w:rsidRPr="00A06DF0">
              <w:rPr>
                <w:rFonts w:ascii="Calibri" w:eastAsia="Times New Roman" w:hAnsi="Calibri" w:cs="Calibri"/>
                <w:b/>
                <w:bCs/>
                <w:color w:val="000000"/>
              </w:rPr>
              <w:t>CAGR</w:t>
            </w:r>
          </w:p>
        </w:tc>
        <w:tc>
          <w:tcPr>
            <w:tcW w:w="824" w:type="dxa"/>
            <w:tcBorders>
              <w:top w:val="nil"/>
              <w:left w:val="nil"/>
              <w:bottom w:val="single" w:sz="4" w:space="0" w:color="auto"/>
              <w:right w:val="nil"/>
            </w:tcBorders>
            <w:shd w:val="clear" w:color="auto" w:fill="FFFF00"/>
            <w:noWrap/>
            <w:hideMark/>
          </w:tcPr>
          <w:p w14:paraId="615D78B2" w14:textId="5D32BD23"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single" w:sz="4" w:space="0" w:color="auto"/>
              <w:right w:val="nil"/>
            </w:tcBorders>
            <w:shd w:val="clear" w:color="auto" w:fill="FFFF00"/>
            <w:noWrap/>
            <w:hideMark/>
          </w:tcPr>
          <w:p w14:paraId="59EC29E4" w14:textId="46EBE784"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single" w:sz="4" w:space="0" w:color="auto"/>
              <w:right w:val="nil"/>
            </w:tcBorders>
            <w:shd w:val="clear" w:color="auto" w:fill="FFFF00"/>
            <w:noWrap/>
            <w:hideMark/>
          </w:tcPr>
          <w:p w14:paraId="540FF8E0" w14:textId="7E33AA7C"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single" w:sz="4" w:space="0" w:color="auto"/>
              <w:right w:val="nil"/>
            </w:tcBorders>
            <w:shd w:val="clear" w:color="auto" w:fill="FFFF00"/>
            <w:noWrap/>
            <w:hideMark/>
          </w:tcPr>
          <w:p w14:paraId="03CB9C8B" w14:textId="37B738E0"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single" w:sz="4" w:space="0" w:color="auto"/>
              <w:right w:val="single" w:sz="4" w:space="0" w:color="auto"/>
            </w:tcBorders>
            <w:shd w:val="clear" w:color="auto" w:fill="FFFF00"/>
            <w:noWrap/>
            <w:hideMark/>
          </w:tcPr>
          <w:p w14:paraId="35413AF1" w14:textId="29A24B2E"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single" w:sz="4" w:space="0" w:color="auto"/>
              <w:right w:val="nil"/>
            </w:tcBorders>
            <w:shd w:val="clear" w:color="auto" w:fill="FFFF00"/>
            <w:noWrap/>
            <w:hideMark/>
          </w:tcPr>
          <w:p w14:paraId="7CC0A835" w14:textId="54DB0C94"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single" w:sz="4" w:space="0" w:color="auto"/>
              <w:right w:val="nil"/>
            </w:tcBorders>
            <w:shd w:val="clear" w:color="auto" w:fill="FFFF00"/>
            <w:noWrap/>
            <w:hideMark/>
          </w:tcPr>
          <w:p w14:paraId="0601EA53" w14:textId="74DCED32"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single" w:sz="4" w:space="0" w:color="auto"/>
              <w:right w:val="nil"/>
            </w:tcBorders>
            <w:shd w:val="clear" w:color="auto" w:fill="FFFF00"/>
            <w:noWrap/>
            <w:hideMark/>
          </w:tcPr>
          <w:p w14:paraId="12872961" w14:textId="28AD658E"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single" w:sz="4" w:space="0" w:color="auto"/>
              <w:right w:val="single" w:sz="8" w:space="0" w:color="auto"/>
            </w:tcBorders>
            <w:shd w:val="clear" w:color="auto" w:fill="F2F2F2" w:themeFill="background1" w:themeFillShade="F2"/>
            <w:noWrap/>
            <w:vAlign w:val="bottom"/>
            <w:hideMark/>
          </w:tcPr>
          <w:p w14:paraId="664B1CB1" w14:textId="77777777" w:rsidR="00334158" w:rsidRPr="00A06DF0" w:rsidRDefault="00334158" w:rsidP="00334158">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3.00%</w:t>
            </w:r>
          </w:p>
        </w:tc>
      </w:tr>
      <w:tr w:rsidR="00334158" w:rsidRPr="00A06DF0" w14:paraId="62E3F6D0" w14:textId="77777777" w:rsidTr="00334158">
        <w:trPr>
          <w:trHeight w:val="290"/>
        </w:trPr>
        <w:tc>
          <w:tcPr>
            <w:tcW w:w="1433" w:type="dxa"/>
            <w:tcBorders>
              <w:top w:val="nil"/>
              <w:left w:val="single" w:sz="8" w:space="0" w:color="auto"/>
              <w:bottom w:val="nil"/>
              <w:right w:val="single" w:sz="4" w:space="0" w:color="auto"/>
            </w:tcBorders>
            <w:shd w:val="clear" w:color="auto" w:fill="F2F2F2" w:themeFill="background1" w:themeFillShade="F2"/>
            <w:noWrap/>
            <w:vAlign w:val="bottom"/>
            <w:hideMark/>
          </w:tcPr>
          <w:p w14:paraId="7CD169E1" w14:textId="15867FF0" w:rsidR="00334158" w:rsidRPr="00A06DF0" w:rsidRDefault="00334158" w:rsidP="00334158">
            <w:pPr>
              <w:keepNext/>
              <w:keepLines/>
              <w:jc w:val="left"/>
              <w:rPr>
                <w:rFonts w:ascii="Calibri" w:eastAsia="Times New Roman" w:hAnsi="Calibri" w:cs="Calibri"/>
                <w:b/>
                <w:bCs/>
                <w:color w:val="000000"/>
              </w:rPr>
            </w:pPr>
            <w:r w:rsidRPr="00A06DF0">
              <w:rPr>
                <w:rFonts w:ascii="Calibri" w:eastAsia="Times New Roman" w:hAnsi="Calibri" w:cs="Calibri"/>
                <w:b/>
                <w:bCs/>
                <w:color w:val="000000"/>
              </w:rPr>
              <w:t>Cum. Growth</w:t>
            </w:r>
          </w:p>
        </w:tc>
        <w:tc>
          <w:tcPr>
            <w:tcW w:w="824" w:type="dxa"/>
            <w:tcBorders>
              <w:top w:val="nil"/>
              <w:left w:val="nil"/>
              <w:bottom w:val="nil"/>
              <w:right w:val="nil"/>
            </w:tcBorders>
            <w:shd w:val="clear" w:color="auto" w:fill="FFFF00"/>
            <w:noWrap/>
            <w:hideMark/>
          </w:tcPr>
          <w:p w14:paraId="08D7DE98" w14:textId="55E213FC"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nil"/>
              <w:left w:val="nil"/>
              <w:bottom w:val="nil"/>
              <w:right w:val="nil"/>
            </w:tcBorders>
            <w:shd w:val="clear" w:color="auto" w:fill="FFFF00"/>
            <w:noWrap/>
            <w:hideMark/>
          </w:tcPr>
          <w:p w14:paraId="5C831873" w14:textId="04BBEB7A"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nil"/>
              <w:left w:val="nil"/>
              <w:bottom w:val="nil"/>
              <w:right w:val="nil"/>
            </w:tcBorders>
            <w:shd w:val="clear" w:color="auto" w:fill="FFFF00"/>
            <w:noWrap/>
            <w:hideMark/>
          </w:tcPr>
          <w:p w14:paraId="2C4DEC90" w14:textId="553252E1"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nil"/>
              <w:left w:val="nil"/>
              <w:bottom w:val="nil"/>
              <w:right w:val="nil"/>
            </w:tcBorders>
            <w:shd w:val="clear" w:color="auto" w:fill="FFFF00"/>
            <w:noWrap/>
            <w:hideMark/>
          </w:tcPr>
          <w:p w14:paraId="447922A9" w14:textId="1E88E3F7"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nil"/>
              <w:left w:val="nil"/>
              <w:bottom w:val="nil"/>
              <w:right w:val="single" w:sz="4" w:space="0" w:color="auto"/>
            </w:tcBorders>
            <w:shd w:val="clear" w:color="auto" w:fill="FFFF00"/>
            <w:noWrap/>
            <w:hideMark/>
          </w:tcPr>
          <w:p w14:paraId="763378C5" w14:textId="450605EA"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nil"/>
              <w:left w:val="nil"/>
              <w:bottom w:val="nil"/>
              <w:right w:val="nil"/>
            </w:tcBorders>
            <w:shd w:val="clear" w:color="auto" w:fill="FFFF00"/>
            <w:noWrap/>
            <w:hideMark/>
          </w:tcPr>
          <w:p w14:paraId="1DCF322A" w14:textId="77DE9870"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nil"/>
              <w:left w:val="nil"/>
              <w:bottom w:val="nil"/>
              <w:right w:val="nil"/>
            </w:tcBorders>
            <w:shd w:val="clear" w:color="auto" w:fill="FFFF00"/>
            <w:noWrap/>
            <w:hideMark/>
          </w:tcPr>
          <w:p w14:paraId="30C42883" w14:textId="3D7A1378"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nil"/>
              <w:left w:val="nil"/>
              <w:bottom w:val="nil"/>
              <w:right w:val="nil"/>
            </w:tcBorders>
            <w:shd w:val="clear" w:color="auto" w:fill="FFFF00"/>
            <w:noWrap/>
            <w:hideMark/>
          </w:tcPr>
          <w:p w14:paraId="7052E65B" w14:textId="1939723C"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nil"/>
              <w:left w:val="single" w:sz="4" w:space="0" w:color="auto"/>
              <w:bottom w:val="nil"/>
              <w:right w:val="single" w:sz="8" w:space="0" w:color="auto"/>
            </w:tcBorders>
            <w:shd w:val="clear" w:color="auto" w:fill="F2F2F2" w:themeFill="background1" w:themeFillShade="F2"/>
            <w:noWrap/>
            <w:vAlign w:val="bottom"/>
            <w:hideMark/>
          </w:tcPr>
          <w:p w14:paraId="375C16D0" w14:textId="77777777" w:rsidR="00334158" w:rsidRPr="00A06DF0" w:rsidRDefault="00334158" w:rsidP="00334158">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13,933</w:t>
            </w:r>
          </w:p>
        </w:tc>
      </w:tr>
      <w:tr w:rsidR="00334158" w:rsidRPr="00A06DF0" w14:paraId="7B73441C" w14:textId="77777777" w:rsidTr="00334158">
        <w:trPr>
          <w:trHeight w:val="602"/>
        </w:trPr>
        <w:tc>
          <w:tcPr>
            <w:tcW w:w="1433"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bottom"/>
            <w:hideMark/>
          </w:tcPr>
          <w:p w14:paraId="65E6CD65" w14:textId="28FD3320" w:rsidR="00334158" w:rsidRDefault="00334158" w:rsidP="00334158">
            <w:pPr>
              <w:keepNext/>
              <w:keepLines/>
              <w:jc w:val="left"/>
              <w:rPr>
                <w:rFonts w:ascii="Calibri" w:eastAsia="Times New Roman" w:hAnsi="Calibri" w:cs="Calibri"/>
                <w:b/>
                <w:bCs/>
                <w:color w:val="000000"/>
              </w:rPr>
            </w:pPr>
            <w:r w:rsidRPr="00A06DF0">
              <w:rPr>
                <w:rFonts w:ascii="Calibri" w:eastAsia="Times New Roman" w:hAnsi="Calibri" w:cs="Calibri"/>
                <w:b/>
                <w:bCs/>
                <w:color w:val="000000"/>
              </w:rPr>
              <w:t>%</w:t>
            </w:r>
            <w:r>
              <w:rPr>
                <w:rFonts w:ascii="Calibri" w:eastAsia="Times New Roman" w:hAnsi="Calibri" w:cs="Calibri"/>
                <w:b/>
                <w:bCs/>
                <w:color w:val="000000"/>
              </w:rPr>
              <w:t xml:space="preserve"> of Total </w:t>
            </w:r>
            <w:r w:rsidRPr="00A06DF0">
              <w:rPr>
                <w:rFonts w:ascii="Calibri" w:eastAsia="Times New Roman" w:hAnsi="Calibri" w:cs="Calibri"/>
                <w:b/>
                <w:bCs/>
                <w:color w:val="000000"/>
              </w:rPr>
              <w:t xml:space="preserve"> </w:t>
            </w:r>
          </w:p>
          <w:p w14:paraId="5E806DD1" w14:textId="5671C6DC" w:rsidR="00334158" w:rsidRPr="00A06DF0" w:rsidRDefault="00334158" w:rsidP="00334158">
            <w:pPr>
              <w:keepNext/>
              <w:keepLines/>
              <w:jc w:val="left"/>
              <w:rPr>
                <w:rFonts w:ascii="Calibri" w:eastAsia="Times New Roman" w:hAnsi="Calibri" w:cs="Calibri"/>
                <w:b/>
                <w:bCs/>
                <w:color w:val="000000"/>
              </w:rPr>
            </w:pPr>
            <w:r w:rsidRPr="00A06DF0">
              <w:rPr>
                <w:rFonts w:ascii="Calibri" w:eastAsia="Times New Roman" w:hAnsi="Calibri" w:cs="Calibri"/>
                <w:b/>
                <w:bCs/>
                <w:color w:val="000000"/>
              </w:rPr>
              <w:t>Cum. Growth</w:t>
            </w:r>
          </w:p>
        </w:tc>
        <w:tc>
          <w:tcPr>
            <w:tcW w:w="824" w:type="dxa"/>
            <w:tcBorders>
              <w:top w:val="single" w:sz="4" w:space="0" w:color="auto"/>
              <w:left w:val="nil"/>
              <w:bottom w:val="single" w:sz="8" w:space="0" w:color="auto"/>
              <w:right w:val="nil"/>
            </w:tcBorders>
            <w:shd w:val="clear" w:color="auto" w:fill="FFFF00"/>
            <w:noWrap/>
            <w:hideMark/>
          </w:tcPr>
          <w:p w14:paraId="0001C61E" w14:textId="7049752D"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49" w:type="dxa"/>
            <w:tcBorders>
              <w:top w:val="single" w:sz="4" w:space="0" w:color="auto"/>
              <w:left w:val="nil"/>
              <w:bottom w:val="single" w:sz="8" w:space="0" w:color="auto"/>
              <w:right w:val="nil"/>
            </w:tcBorders>
            <w:shd w:val="clear" w:color="auto" w:fill="FFFF00"/>
            <w:noWrap/>
            <w:hideMark/>
          </w:tcPr>
          <w:p w14:paraId="5F1A228C" w14:textId="0D20121D"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16" w:type="dxa"/>
            <w:tcBorders>
              <w:top w:val="single" w:sz="4" w:space="0" w:color="auto"/>
              <w:left w:val="nil"/>
              <w:bottom w:val="single" w:sz="8" w:space="0" w:color="auto"/>
              <w:right w:val="nil"/>
            </w:tcBorders>
            <w:shd w:val="clear" w:color="auto" w:fill="FFFF00"/>
            <w:noWrap/>
            <w:hideMark/>
          </w:tcPr>
          <w:p w14:paraId="08AC30CD" w14:textId="5F8D7922"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31" w:type="dxa"/>
            <w:tcBorders>
              <w:top w:val="single" w:sz="4" w:space="0" w:color="auto"/>
              <w:left w:val="nil"/>
              <w:bottom w:val="single" w:sz="8" w:space="0" w:color="auto"/>
              <w:right w:val="nil"/>
            </w:tcBorders>
            <w:shd w:val="clear" w:color="auto" w:fill="FFFF00"/>
            <w:noWrap/>
            <w:hideMark/>
          </w:tcPr>
          <w:p w14:paraId="50D8E4F0" w14:textId="5D384E94"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908" w:type="dxa"/>
            <w:tcBorders>
              <w:top w:val="single" w:sz="4" w:space="0" w:color="auto"/>
              <w:left w:val="nil"/>
              <w:bottom w:val="single" w:sz="8" w:space="0" w:color="auto"/>
              <w:right w:val="single" w:sz="4" w:space="0" w:color="auto"/>
            </w:tcBorders>
            <w:shd w:val="clear" w:color="auto" w:fill="FFFF00"/>
            <w:noWrap/>
            <w:hideMark/>
          </w:tcPr>
          <w:p w14:paraId="2BD3BB6E" w14:textId="21A6D2F8"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785" w:type="dxa"/>
            <w:tcBorders>
              <w:top w:val="single" w:sz="4" w:space="0" w:color="auto"/>
              <w:left w:val="nil"/>
              <w:bottom w:val="single" w:sz="8" w:space="0" w:color="auto"/>
              <w:right w:val="nil"/>
            </w:tcBorders>
            <w:shd w:val="clear" w:color="auto" w:fill="FFFF00"/>
            <w:noWrap/>
            <w:hideMark/>
          </w:tcPr>
          <w:p w14:paraId="0F4DF7AE" w14:textId="2A4E8CF5"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1201" w:type="dxa"/>
            <w:tcBorders>
              <w:top w:val="single" w:sz="4" w:space="0" w:color="auto"/>
              <w:left w:val="nil"/>
              <w:bottom w:val="single" w:sz="8" w:space="0" w:color="auto"/>
              <w:right w:val="nil"/>
            </w:tcBorders>
            <w:shd w:val="clear" w:color="auto" w:fill="FFFF00"/>
            <w:noWrap/>
            <w:hideMark/>
          </w:tcPr>
          <w:p w14:paraId="3D23995D" w14:textId="7DA82DE4"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2" w:type="dxa"/>
            <w:tcBorders>
              <w:top w:val="single" w:sz="4" w:space="0" w:color="auto"/>
              <w:left w:val="nil"/>
              <w:bottom w:val="single" w:sz="8" w:space="0" w:color="auto"/>
              <w:right w:val="nil"/>
            </w:tcBorders>
            <w:shd w:val="clear" w:color="auto" w:fill="FFFF00"/>
            <w:noWrap/>
            <w:hideMark/>
          </w:tcPr>
          <w:p w14:paraId="19BF65BF" w14:textId="60FC56E5" w:rsidR="00334158" w:rsidRPr="00A06DF0" w:rsidRDefault="00334158" w:rsidP="00334158">
            <w:pPr>
              <w:keepNext/>
              <w:keepLines/>
              <w:jc w:val="right"/>
              <w:rPr>
                <w:rFonts w:ascii="Calibri" w:eastAsia="Times New Roman" w:hAnsi="Calibri" w:cs="Calibri"/>
                <w:color w:val="000000"/>
              </w:rPr>
            </w:pPr>
            <w:r w:rsidRPr="00D800E0">
              <w:rPr>
                <w:rFonts w:ascii="Calibri" w:eastAsia="Times New Roman" w:hAnsi="Calibri" w:cs="Calibri"/>
                <w:color w:val="000000"/>
                <w:highlight w:val="black"/>
              </w:rPr>
              <w:t>XXXX</w:t>
            </w:r>
          </w:p>
        </w:tc>
        <w:tc>
          <w:tcPr>
            <w:tcW w:w="864" w:type="dxa"/>
            <w:tcBorders>
              <w:top w:val="single" w:sz="4" w:space="0" w:color="auto"/>
              <w:left w:val="single" w:sz="4" w:space="0" w:color="auto"/>
              <w:bottom w:val="single" w:sz="8" w:space="0" w:color="auto"/>
              <w:right w:val="single" w:sz="8" w:space="0" w:color="auto"/>
            </w:tcBorders>
            <w:shd w:val="clear" w:color="auto" w:fill="F2F2F2" w:themeFill="background1" w:themeFillShade="F2"/>
            <w:noWrap/>
            <w:vAlign w:val="bottom"/>
            <w:hideMark/>
          </w:tcPr>
          <w:p w14:paraId="5EAF0582" w14:textId="77777777" w:rsidR="00334158" w:rsidRPr="00A06DF0" w:rsidRDefault="00334158" w:rsidP="00334158">
            <w:pPr>
              <w:keepNext/>
              <w:keepLines/>
              <w:jc w:val="right"/>
              <w:rPr>
                <w:rFonts w:ascii="Calibri" w:eastAsia="Times New Roman" w:hAnsi="Calibri" w:cs="Calibri"/>
                <w:b/>
                <w:bCs/>
                <w:color w:val="000000"/>
              </w:rPr>
            </w:pPr>
            <w:r w:rsidRPr="00A06DF0">
              <w:rPr>
                <w:rFonts w:ascii="Calibri" w:eastAsia="Times New Roman" w:hAnsi="Calibri" w:cs="Calibri"/>
                <w:b/>
                <w:bCs/>
                <w:color w:val="000000"/>
              </w:rPr>
              <w:t>100%</w:t>
            </w:r>
          </w:p>
        </w:tc>
      </w:tr>
    </w:tbl>
    <w:p w14:paraId="30F5F9BB" w14:textId="5E418458" w:rsidR="009A6BE6" w:rsidRDefault="00E56EF8" w:rsidP="3D6A8291">
      <w:pPr>
        <w:pStyle w:val="Answers"/>
        <w:spacing w:before="240"/>
        <w:ind w:firstLine="0"/>
      </w:pPr>
      <w:r>
        <w:t xml:space="preserve">The </w:t>
      </w:r>
      <w:r w:rsidR="00047AFA">
        <w:t>Company’s</w:t>
      </w:r>
      <w:r>
        <w:t xml:space="preserve"> projected Large Data Center load rapidly </w:t>
      </w:r>
      <w:r w:rsidR="005828A2">
        <w:t xml:space="preserve">begins to </w:t>
      </w:r>
      <w:r w:rsidR="009A6BE6">
        <w:t xml:space="preserve">materialize </w:t>
      </w:r>
      <w:r w:rsidR="005828A2">
        <w:t xml:space="preserve">during the time period </w:t>
      </w:r>
      <w:r w:rsidR="002D330E">
        <w:t xml:space="preserve">in which </w:t>
      </w:r>
      <w:r w:rsidR="005828A2">
        <w:t>the</w:t>
      </w:r>
      <w:r w:rsidR="009A6BE6">
        <w:t xml:space="preserve"> All-Source RFP</w:t>
      </w:r>
      <w:r w:rsidR="005828A2">
        <w:t xml:space="preserve"> seeks to </w:t>
      </w:r>
      <w:r w:rsidR="007F0B26">
        <w:t xml:space="preserve">add capacity </w:t>
      </w:r>
      <w:r w:rsidR="005828A2">
        <w:t>resources</w:t>
      </w:r>
      <w:r w:rsidR="009A6BE6">
        <w:t xml:space="preserve">. By 2029, the </w:t>
      </w:r>
      <w:r w:rsidR="009A6BE6">
        <w:lastRenderedPageBreak/>
        <w:t xml:space="preserve">Large </w:t>
      </w:r>
      <w:r w:rsidR="00E84F91">
        <w:t xml:space="preserve">Data Center </w:t>
      </w:r>
      <w:r w:rsidR="009A6BE6">
        <w:t xml:space="preserve">class represents </w:t>
      </w:r>
      <w:r w:rsidR="006751FE" w:rsidRPr="006751FE">
        <w:rPr>
          <w:highlight w:val="black"/>
        </w:rPr>
        <w:t>XX</w:t>
      </w:r>
      <w:r w:rsidR="009A6BE6">
        <w:t xml:space="preserve">% of peak load as shown in </w:t>
      </w:r>
      <w:r w:rsidR="009A6BE6">
        <w:fldChar w:fldCharType="begin"/>
      </w:r>
      <w:r w:rsidR="009A6BE6">
        <w:instrText xml:space="preserve"> REF _Ref212578002 \h </w:instrText>
      </w:r>
      <w:r w:rsidR="009A6BE6">
        <w:fldChar w:fldCharType="separate"/>
      </w:r>
      <w:r w:rsidR="00220F39">
        <w:t xml:space="preserve">Table </w:t>
      </w:r>
      <w:r w:rsidR="00220F39">
        <w:rPr>
          <w:noProof/>
        </w:rPr>
        <w:t>2</w:t>
      </w:r>
      <w:r w:rsidR="009A6BE6">
        <w:fldChar w:fldCharType="end"/>
      </w:r>
      <w:r w:rsidR="009A6BE6">
        <w:t xml:space="preserve"> below. </w:t>
      </w:r>
      <w:r w:rsidR="00127042">
        <w:t xml:space="preserve">Given that the forecasted load for the Data Center class </w:t>
      </w:r>
      <w:r>
        <w:t xml:space="preserve">provides </w:t>
      </w:r>
      <w:r w:rsidR="00127042">
        <w:t xml:space="preserve">such a large contribution to the Company’s forecasted peak, it is critically important to confirm the accuracy of the forecasted Data Center load to avoid over-procuring resources in the RFP that would </w:t>
      </w:r>
      <w:r w:rsidR="00E651C9">
        <w:t xml:space="preserve">be stranded </w:t>
      </w:r>
      <w:r w:rsidR="00127042">
        <w:t xml:space="preserve">if the projected load were not to materialize. </w:t>
      </w:r>
    </w:p>
    <w:p w14:paraId="45C2FD1F" w14:textId="00783A8F" w:rsidR="009A6BE6" w:rsidRDefault="009A6BE6" w:rsidP="009A6BE6">
      <w:pPr>
        <w:pStyle w:val="Caption"/>
      </w:pPr>
      <w:bookmarkStart w:id="13" w:name="_Ref212578002"/>
      <w:bookmarkStart w:id="14" w:name="_Toc213766872"/>
      <w:r>
        <w:t xml:space="preserve">Table </w:t>
      </w:r>
      <w:fldSimple w:instr=" SEQ Table \* ARABIC ">
        <w:r w:rsidR="00220F39">
          <w:rPr>
            <w:noProof/>
          </w:rPr>
          <w:t>2</w:t>
        </w:r>
      </w:fldSimple>
      <w:bookmarkEnd w:id="13"/>
      <w:r>
        <w:t xml:space="preserve">: </w:t>
      </w:r>
      <w:r w:rsidR="000F07C5">
        <w:t>L</w:t>
      </w:r>
      <w:r w:rsidR="002D330E">
        <w:t>arge Load</w:t>
      </w:r>
      <w:r w:rsidR="000F07C5">
        <w:t xml:space="preserve"> </w:t>
      </w:r>
      <w:r>
        <w:t xml:space="preserve">Contribution to B2026 </w:t>
      </w:r>
      <w:r w:rsidR="000F07C5">
        <w:t xml:space="preserve">Projected </w:t>
      </w:r>
      <w:r>
        <w:t>Summer Peak (%)</w:t>
      </w:r>
      <w:r>
        <w:rPr>
          <w:rStyle w:val="FootnoteReference"/>
        </w:rPr>
        <w:footnoteReference w:id="15"/>
      </w:r>
      <w:bookmarkEnd w:id="14"/>
    </w:p>
    <w:tbl>
      <w:tblPr>
        <w:tblW w:w="3840" w:type="dxa"/>
        <w:jc w:val="center"/>
        <w:tblLook w:val="04A0" w:firstRow="1" w:lastRow="0" w:firstColumn="1" w:lastColumn="0" w:noHBand="0" w:noVBand="1"/>
      </w:tblPr>
      <w:tblGrid>
        <w:gridCol w:w="960"/>
        <w:gridCol w:w="960"/>
        <w:gridCol w:w="960"/>
        <w:gridCol w:w="960"/>
      </w:tblGrid>
      <w:tr w:rsidR="000F07C5" w:rsidRPr="009A6BE6" w14:paraId="6890A4F5" w14:textId="77777777" w:rsidTr="000F07C5">
        <w:trPr>
          <w:trHeight w:val="580"/>
          <w:jc w:val="center"/>
        </w:trPr>
        <w:tc>
          <w:tcPr>
            <w:tcW w:w="9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77A4915" w14:textId="77777777" w:rsidR="000F07C5" w:rsidRPr="009A6BE6" w:rsidRDefault="000F07C5" w:rsidP="009A6BE6">
            <w:pPr>
              <w:jc w:val="center"/>
              <w:rPr>
                <w:rFonts w:ascii="Calibri" w:eastAsia="Times New Roman" w:hAnsi="Calibri" w:cs="Calibri"/>
                <w:b/>
                <w:bCs/>
                <w:color w:val="000000"/>
              </w:rPr>
            </w:pPr>
            <w:r w:rsidRPr="009A6BE6">
              <w:rPr>
                <w:rFonts w:ascii="Calibri" w:eastAsia="Times New Roman" w:hAnsi="Calibri" w:cs="Calibri"/>
                <w:b/>
                <w:bCs/>
                <w:color w:val="000000"/>
              </w:rPr>
              <w:t>Year</w:t>
            </w:r>
          </w:p>
        </w:tc>
        <w:tc>
          <w:tcPr>
            <w:tcW w:w="960" w:type="dxa"/>
            <w:tcBorders>
              <w:top w:val="single" w:sz="4" w:space="0" w:color="auto"/>
              <w:left w:val="nil"/>
              <w:bottom w:val="single" w:sz="4" w:space="0" w:color="auto"/>
              <w:right w:val="nil"/>
            </w:tcBorders>
            <w:shd w:val="clear" w:color="000000" w:fill="DDEBF7"/>
            <w:vAlign w:val="center"/>
            <w:hideMark/>
          </w:tcPr>
          <w:p w14:paraId="7294DBA4" w14:textId="6459887D" w:rsidR="000F07C5" w:rsidRPr="009A6BE6" w:rsidRDefault="00E56EF8" w:rsidP="009A6BE6">
            <w:pPr>
              <w:jc w:val="center"/>
              <w:rPr>
                <w:rFonts w:ascii="Calibri" w:eastAsia="Times New Roman" w:hAnsi="Calibri" w:cs="Calibri"/>
                <w:b/>
                <w:bCs/>
                <w:color w:val="000000"/>
              </w:rPr>
            </w:pPr>
            <w:r>
              <w:rPr>
                <w:rFonts w:ascii="Calibri" w:eastAsia="Times New Roman" w:hAnsi="Calibri" w:cs="Calibri"/>
                <w:b/>
                <w:bCs/>
                <w:color w:val="000000"/>
              </w:rPr>
              <w:t>Large Data Centers</w:t>
            </w:r>
          </w:p>
        </w:tc>
        <w:tc>
          <w:tcPr>
            <w:tcW w:w="960" w:type="dxa"/>
            <w:tcBorders>
              <w:top w:val="single" w:sz="4" w:space="0" w:color="auto"/>
              <w:left w:val="nil"/>
              <w:bottom w:val="single" w:sz="4" w:space="0" w:color="auto"/>
              <w:right w:val="nil"/>
            </w:tcBorders>
            <w:shd w:val="clear" w:color="000000" w:fill="DDEBF7"/>
            <w:vAlign w:val="center"/>
            <w:hideMark/>
          </w:tcPr>
          <w:p w14:paraId="53BB1C7C" w14:textId="77777777" w:rsidR="000F07C5" w:rsidRPr="009A6BE6" w:rsidRDefault="000F07C5" w:rsidP="009A6BE6">
            <w:pPr>
              <w:jc w:val="center"/>
              <w:rPr>
                <w:rFonts w:ascii="Calibri" w:eastAsia="Times New Roman" w:hAnsi="Calibri" w:cs="Calibri"/>
                <w:b/>
                <w:bCs/>
                <w:color w:val="000000"/>
              </w:rPr>
            </w:pPr>
            <w:r w:rsidRPr="009A6BE6">
              <w:rPr>
                <w:rFonts w:ascii="Calibri" w:eastAsia="Times New Roman" w:hAnsi="Calibri" w:cs="Calibri"/>
                <w:b/>
                <w:bCs/>
                <w:color w:val="000000"/>
              </w:rPr>
              <w:t>Large Ind</w:t>
            </w:r>
          </w:p>
        </w:tc>
        <w:tc>
          <w:tcPr>
            <w:tcW w:w="9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C40AF44" w14:textId="77777777" w:rsidR="000F07C5" w:rsidRPr="009A6BE6" w:rsidRDefault="000F07C5" w:rsidP="009A6BE6">
            <w:pPr>
              <w:jc w:val="center"/>
              <w:rPr>
                <w:rFonts w:ascii="Calibri" w:eastAsia="Times New Roman" w:hAnsi="Calibri" w:cs="Calibri"/>
                <w:b/>
                <w:bCs/>
                <w:color w:val="000000"/>
              </w:rPr>
            </w:pPr>
            <w:r w:rsidRPr="009A6BE6">
              <w:rPr>
                <w:rFonts w:ascii="Calibri" w:eastAsia="Times New Roman" w:hAnsi="Calibri" w:cs="Calibri"/>
                <w:b/>
                <w:bCs/>
                <w:color w:val="000000"/>
              </w:rPr>
              <w:t>Peak</w:t>
            </w:r>
          </w:p>
        </w:tc>
      </w:tr>
      <w:tr w:rsidR="006751FE" w:rsidRPr="009A6BE6" w14:paraId="714479C1" w14:textId="77777777" w:rsidTr="00541034">
        <w:trPr>
          <w:trHeight w:val="290"/>
          <w:jc w:val="center"/>
        </w:trPr>
        <w:tc>
          <w:tcPr>
            <w:tcW w:w="960" w:type="dxa"/>
            <w:tcBorders>
              <w:top w:val="nil"/>
              <w:left w:val="single" w:sz="4" w:space="0" w:color="auto"/>
              <w:bottom w:val="nil"/>
              <w:right w:val="single" w:sz="4" w:space="0" w:color="auto"/>
            </w:tcBorders>
            <w:noWrap/>
            <w:vAlign w:val="bottom"/>
            <w:hideMark/>
          </w:tcPr>
          <w:p w14:paraId="1015425E" w14:textId="77777777" w:rsidR="006751FE" w:rsidRPr="009A6BE6" w:rsidRDefault="006751FE" w:rsidP="006751FE">
            <w:pPr>
              <w:jc w:val="right"/>
              <w:rPr>
                <w:rFonts w:ascii="Calibri" w:eastAsia="Times New Roman" w:hAnsi="Calibri" w:cs="Calibri"/>
                <w:color w:val="000000"/>
              </w:rPr>
            </w:pPr>
            <w:r w:rsidRPr="009A6BE6">
              <w:rPr>
                <w:rFonts w:ascii="Calibri" w:eastAsia="Times New Roman" w:hAnsi="Calibri" w:cs="Calibri"/>
                <w:color w:val="000000"/>
              </w:rPr>
              <w:t>2025</w:t>
            </w:r>
          </w:p>
        </w:tc>
        <w:tc>
          <w:tcPr>
            <w:tcW w:w="960" w:type="dxa"/>
            <w:tcBorders>
              <w:top w:val="nil"/>
              <w:left w:val="nil"/>
              <w:bottom w:val="nil"/>
              <w:right w:val="nil"/>
            </w:tcBorders>
            <w:shd w:val="clear" w:color="auto" w:fill="FFFF00"/>
            <w:noWrap/>
            <w:hideMark/>
          </w:tcPr>
          <w:p w14:paraId="70FA69D5" w14:textId="20F32097"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nil"/>
              <w:bottom w:val="nil"/>
              <w:right w:val="nil"/>
            </w:tcBorders>
            <w:shd w:val="clear" w:color="auto" w:fill="FFFF00"/>
            <w:noWrap/>
            <w:hideMark/>
          </w:tcPr>
          <w:p w14:paraId="51BB038B" w14:textId="0D180C8C"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single" w:sz="4" w:space="0" w:color="auto"/>
              <w:bottom w:val="nil"/>
              <w:right w:val="single" w:sz="4" w:space="0" w:color="auto"/>
            </w:tcBorders>
            <w:shd w:val="clear" w:color="000000" w:fill="F2F2F2"/>
            <w:noWrap/>
            <w:vAlign w:val="bottom"/>
            <w:hideMark/>
          </w:tcPr>
          <w:p w14:paraId="0E83CC62" w14:textId="77777777" w:rsidR="006751FE" w:rsidRPr="009A6BE6" w:rsidRDefault="006751FE" w:rsidP="006751FE">
            <w:pPr>
              <w:jc w:val="right"/>
              <w:rPr>
                <w:rFonts w:ascii="Calibri" w:eastAsia="Times New Roman" w:hAnsi="Calibri" w:cs="Calibri"/>
                <w:b/>
                <w:bCs/>
                <w:color w:val="000000"/>
              </w:rPr>
            </w:pPr>
            <w:r w:rsidRPr="009A6BE6">
              <w:rPr>
                <w:rFonts w:ascii="Calibri" w:eastAsia="Times New Roman" w:hAnsi="Calibri" w:cs="Calibri"/>
                <w:b/>
                <w:bCs/>
                <w:color w:val="000000"/>
              </w:rPr>
              <w:t>100%</w:t>
            </w:r>
          </w:p>
        </w:tc>
      </w:tr>
      <w:tr w:rsidR="006751FE" w:rsidRPr="009A6BE6" w14:paraId="459B7EFD" w14:textId="77777777" w:rsidTr="00541034">
        <w:trPr>
          <w:trHeight w:val="290"/>
          <w:jc w:val="center"/>
        </w:trPr>
        <w:tc>
          <w:tcPr>
            <w:tcW w:w="960" w:type="dxa"/>
            <w:tcBorders>
              <w:top w:val="nil"/>
              <w:left w:val="single" w:sz="4" w:space="0" w:color="auto"/>
              <w:bottom w:val="nil"/>
              <w:right w:val="single" w:sz="4" w:space="0" w:color="auto"/>
            </w:tcBorders>
            <w:noWrap/>
            <w:vAlign w:val="bottom"/>
            <w:hideMark/>
          </w:tcPr>
          <w:p w14:paraId="6AFFDD1E" w14:textId="77777777" w:rsidR="006751FE" w:rsidRPr="009A6BE6" w:rsidRDefault="006751FE" w:rsidP="006751FE">
            <w:pPr>
              <w:jc w:val="right"/>
              <w:rPr>
                <w:rFonts w:ascii="Calibri" w:eastAsia="Times New Roman" w:hAnsi="Calibri" w:cs="Calibri"/>
                <w:color w:val="000000"/>
              </w:rPr>
            </w:pPr>
            <w:r w:rsidRPr="009A6BE6">
              <w:rPr>
                <w:rFonts w:ascii="Calibri" w:eastAsia="Times New Roman" w:hAnsi="Calibri" w:cs="Calibri"/>
                <w:color w:val="000000"/>
              </w:rPr>
              <w:t>2026</w:t>
            </w:r>
          </w:p>
        </w:tc>
        <w:tc>
          <w:tcPr>
            <w:tcW w:w="960" w:type="dxa"/>
            <w:tcBorders>
              <w:top w:val="nil"/>
              <w:left w:val="nil"/>
              <w:bottom w:val="nil"/>
              <w:right w:val="nil"/>
            </w:tcBorders>
            <w:shd w:val="clear" w:color="auto" w:fill="FFFF00"/>
            <w:noWrap/>
            <w:hideMark/>
          </w:tcPr>
          <w:p w14:paraId="17A3AECA" w14:textId="7543F785"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nil"/>
              <w:bottom w:val="nil"/>
              <w:right w:val="nil"/>
            </w:tcBorders>
            <w:shd w:val="clear" w:color="auto" w:fill="FFFF00"/>
            <w:noWrap/>
            <w:hideMark/>
          </w:tcPr>
          <w:p w14:paraId="7D753BAB" w14:textId="72C4D877"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single" w:sz="4" w:space="0" w:color="auto"/>
              <w:bottom w:val="nil"/>
              <w:right w:val="single" w:sz="4" w:space="0" w:color="auto"/>
            </w:tcBorders>
            <w:shd w:val="clear" w:color="000000" w:fill="F2F2F2"/>
            <w:noWrap/>
            <w:vAlign w:val="bottom"/>
            <w:hideMark/>
          </w:tcPr>
          <w:p w14:paraId="157F097B" w14:textId="77777777" w:rsidR="006751FE" w:rsidRPr="009A6BE6" w:rsidRDefault="006751FE" w:rsidP="006751FE">
            <w:pPr>
              <w:jc w:val="right"/>
              <w:rPr>
                <w:rFonts w:ascii="Calibri" w:eastAsia="Times New Roman" w:hAnsi="Calibri" w:cs="Calibri"/>
                <w:b/>
                <w:bCs/>
                <w:color w:val="000000"/>
              </w:rPr>
            </w:pPr>
            <w:r w:rsidRPr="009A6BE6">
              <w:rPr>
                <w:rFonts w:ascii="Calibri" w:eastAsia="Times New Roman" w:hAnsi="Calibri" w:cs="Calibri"/>
                <w:b/>
                <w:bCs/>
                <w:color w:val="000000"/>
              </w:rPr>
              <w:t>100%</w:t>
            </w:r>
          </w:p>
        </w:tc>
      </w:tr>
      <w:tr w:rsidR="006751FE" w:rsidRPr="009A6BE6" w14:paraId="1E95B6C8" w14:textId="77777777" w:rsidTr="00541034">
        <w:trPr>
          <w:trHeight w:val="290"/>
          <w:jc w:val="center"/>
        </w:trPr>
        <w:tc>
          <w:tcPr>
            <w:tcW w:w="960" w:type="dxa"/>
            <w:tcBorders>
              <w:top w:val="nil"/>
              <w:left w:val="single" w:sz="4" w:space="0" w:color="auto"/>
              <w:bottom w:val="nil"/>
              <w:right w:val="single" w:sz="4" w:space="0" w:color="auto"/>
            </w:tcBorders>
            <w:noWrap/>
            <w:vAlign w:val="bottom"/>
            <w:hideMark/>
          </w:tcPr>
          <w:p w14:paraId="79637870" w14:textId="77777777" w:rsidR="006751FE" w:rsidRPr="009A6BE6" w:rsidRDefault="006751FE" w:rsidP="006751FE">
            <w:pPr>
              <w:jc w:val="right"/>
              <w:rPr>
                <w:rFonts w:ascii="Calibri" w:eastAsia="Times New Roman" w:hAnsi="Calibri" w:cs="Calibri"/>
                <w:color w:val="000000"/>
              </w:rPr>
            </w:pPr>
            <w:r w:rsidRPr="009A6BE6">
              <w:rPr>
                <w:rFonts w:ascii="Calibri" w:eastAsia="Times New Roman" w:hAnsi="Calibri" w:cs="Calibri"/>
                <w:color w:val="000000"/>
              </w:rPr>
              <w:t>2027</w:t>
            </w:r>
          </w:p>
        </w:tc>
        <w:tc>
          <w:tcPr>
            <w:tcW w:w="960" w:type="dxa"/>
            <w:tcBorders>
              <w:top w:val="nil"/>
              <w:left w:val="nil"/>
              <w:bottom w:val="nil"/>
              <w:right w:val="nil"/>
            </w:tcBorders>
            <w:shd w:val="clear" w:color="auto" w:fill="FFFF00"/>
            <w:noWrap/>
            <w:hideMark/>
          </w:tcPr>
          <w:p w14:paraId="3A7ECB32" w14:textId="5F79E3C9"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nil"/>
              <w:bottom w:val="nil"/>
              <w:right w:val="nil"/>
            </w:tcBorders>
            <w:shd w:val="clear" w:color="auto" w:fill="FFFF00"/>
            <w:noWrap/>
            <w:hideMark/>
          </w:tcPr>
          <w:p w14:paraId="2D460E03" w14:textId="1CD29CAA"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single" w:sz="4" w:space="0" w:color="auto"/>
              <w:bottom w:val="nil"/>
              <w:right w:val="single" w:sz="4" w:space="0" w:color="auto"/>
            </w:tcBorders>
            <w:shd w:val="clear" w:color="000000" w:fill="F2F2F2"/>
            <w:noWrap/>
            <w:vAlign w:val="bottom"/>
            <w:hideMark/>
          </w:tcPr>
          <w:p w14:paraId="7394628D" w14:textId="77777777" w:rsidR="006751FE" w:rsidRPr="009A6BE6" w:rsidRDefault="006751FE" w:rsidP="006751FE">
            <w:pPr>
              <w:jc w:val="right"/>
              <w:rPr>
                <w:rFonts w:ascii="Calibri" w:eastAsia="Times New Roman" w:hAnsi="Calibri" w:cs="Calibri"/>
                <w:b/>
                <w:bCs/>
                <w:color w:val="000000"/>
              </w:rPr>
            </w:pPr>
            <w:r w:rsidRPr="009A6BE6">
              <w:rPr>
                <w:rFonts w:ascii="Calibri" w:eastAsia="Times New Roman" w:hAnsi="Calibri" w:cs="Calibri"/>
                <w:b/>
                <w:bCs/>
                <w:color w:val="000000"/>
              </w:rPr>
              <w:t>100%</w:t>
            </w:r>
          </w:p>
        </w:tc>
      </w:tr>
      <w:tr w:rsidR="006751FE" w:rsidRPr="009A6BE6" w14:paraId="15A55871" w14:textId="77777777" w:rsidTr="00541034">
        <w:trPr>
          <w:trHeight w:val="290"/>
          <w:jc w:val="center"/>
        </w:trPr>
        <w:tc>
          <w:tcPr>
            <w:tcW w:w="960" w:type="dxa"/>
            <w:tcBorders>
              <w:top w:val="nil"/>
              <w:left w:val="single" w:sz="4" w:space="0" w:color="auto"/>
              <w:bottom w:val="nil"/>
              <w:right w:val="single" w:sz="4" w:space="0" w:color="auto"/>
            </w:tcBorders>
            <w:noWrap/>
            <w:vAlign w:val="bottom"/>
            <w:hideMark/>
          </w:tcPr>
          <w:p w14:paraId="7091DE5C" w14:textId="77777777" w:rsidR="006751FE" w:rsidRPr="009A6BE6" w:rsidRDefault="006751FE" w:rsidP="006751FE">
            <w:pPr>
              <w:jc w:val="right"/>
              <w:rPr>
                <w:rFonts w:ascii="Calibri" w:eastAsia="Times New Roman" w:hAnsi="Calibri" w:cs="Calibri"/>
                <w:color w:val="000000"/>
              </w:rPr>
            </w:pPr>
            <w:r w:rsidRPr="009A6BE6">
              <w:rPr>
                <w:rFonts w:ascii="Calibri" w:eastAsia="Times New Roman" w:hAnsi="Calibri" w:cs="Calibri"/>
                <w:color w:val="000000"/>
              </w:rPr>
              <w:t>2028</w:t>
            </w:r>
          </w:p>
        </w:tc>
        <w:tc>
          <w:tcPr>
            <w:tcW w:w="960" w:type="dxa"/>
            <w:tcBorders>
              <w:top w:val="nil"/>
              <w:left w:val="nil"/>
              <w:bottom w:val="nil"/>
              <w:right w:val="nil"/>
            </w:tcBorders>
            <w:shd w:val="clear" w:color="auto" w:fill="FFFF00"/>
            <w:noWrap/>
            <w:hideMark/>
          </w:tcPr>
          <w:p w14:paraId="40CEA16F" w14:textId="2F8D06ED"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nil"/>
              <w:bottom w:val="nil"/>
              <w:right w:val="nil"/>
            </w:tcBorders>
            <w:shd w:val="clear" w:color="auto" w:fill="FFFF00"/>
            <w:noWrap/>
            <w:hideMark/>
          </w:tcPr>
          <w:p w14:paraId="5213F138" w14:textId="2932960B"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single" w:sz="4" w:space="0" w:color="auto"/>
              <w:bottom w:val="nil"/>
              <w:right w:val="single" w:sz="4" w:space="0" w:color="auto"/>
            </w:tcBorders>
            <w:shd w:val="clear" w:color="000000" w:fill="F2F2F2"/>
            <w:noWrap/>
            <w:vAlign w:val="bottom"/>
            <w:hideMark/>
          </w:tcPr>
          <w:p w14:paraId="6219DFA3" w14:textId="77777777" w:rsidR="006751FE" w:rsidRPr="009A6BE6" w:rsidRDefault="006751FE" w:rsidP="006751FE">
            <w:pPr>
              <w:jc w:val="right"/>
              <w:rPr>
                <w:rFonts w:ascii="Calibri" w:eastAsia="Times New Roman" w:hAnsi="Calibri" w:cs="Calibri"/>
                <w:b/>
                <w:bCs/>
                <w:color w:val="000000"/>
              </w:rPr>
            </w:pPr>
            <w:r w:rsidRPr="009A6BE6">
              <w:rPr>
                <w:rFonts w:ascii="Calibri" w:eastAsia="Times New Roman" w:hAnsi="Calibri" w:cs="Calibri"/>
                <w:b/>
                <w:bCs/>
                <w:color w:val="000000"/>
              </w:rPr>
              <w:t>100%</w:t>
            </w:r>
          </w:p>
        </w:tc>
      </w:tr>
      <w:tr w:rsidR="006751FE" w:rsidRPr="009A6BE6" w14:paraId="4BF20DAF" w14:textId="77777777" w:rsidTr="00541034">
        <w:trPr>
          <w:trHeight w:val="290"/>
          <w:jc w:val="center"/>
        </w:trPr>
        <w:tc>
          <w:tcPr>
            <w:tcW w:w="960" w:type="dxa"/>
            <w:tcBorders>
              <w:top w:val="nil"/>
              <w:left w:val="single" w:sz="4" w:space="0" w:color="auto"/>
              <w:bottom w:val="nil"/>
              <w:right w:val="single" w:sz="4" w:space="0" w:color="auto"/>
            </w:tcBorders>
            <w:noWrap/>
            <w:vAlign w:val="bottom"/>
            <w:hideMark/>
          </w:tcPr>
          <w:p w14:paraId="033EB3EE" w14:textId="77777777" w:rsidR="006751FE" w:rsidRPr="009A6BE6" w:rsidRDefault="006751FE" w:rsidP="006751FE">
            <w:pPr>
              <w:jc w:val="right"/>
              <w:rPr>
                <w:rFonts w:ascii="Calibri" w:eastAsia="Times New Roman" w:hAnsi="Calibri" w:cs="Calibri"/>
                <w:color w:val="000000"/>
              </w:rPr>
            </w:pPr>
            <w:r w:rsidRPr="009A6BE6">
              <w:rPr>
                <w:rFonts w:ascii="Calibri" w:eastAsia="Times New Roman" w:hAnsi="Calibri" w:cs="Calibri"/>
                <w:color w:val="000000"/>
              </w:rPr>
              <w:t>2029</w:t>
            </w:r>
          </w:p>
        </w:tc>
        <w:tc>
          <w:tcPr>
            <w:tcW w:w="960" w:type="dxa"/>
            <w:tcBorders>
              <w:top w:val="nil"/>
              <w:left w:val="nil"/>
              <w:bottom w:val="nil"/>
              <w:right w:val="nil"/>
            </w:tcBorders>
            <w:shd w:val="clear" w:color="auto" w:fill="FFFF00"/>
            <w:noWrap/>
            <w:hideMark/>
          </w:tcPr>
          <w:p w14:paraId="2AE6C6B2" w14:textId="13514F0C"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nil"/>
              <w:bottom w:val="nil"/>
              <w:right w:val="nil"/>
            </w:tcBorders>
            <w:shd w:val="clear" w:color="auto" w:fill="FFFF00"/>
            <w:noWrap/>
            <w:hideMark/>
          </w:tcPr>
          <w:p w14:paraId="72616511" w14:textId="2E70D291"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single" w:sz="4" w:space="0" w:color="auto"/>
              <w:bottom w:val="nil"/>
              <w:right w:val="single" w:sz="4" w:space="0" w:color="auto"/>
            </w:tcBorders>
            <w:shd w:val="clear" w:color="000000" w:fill="F2F2F2"/>
            <w:noWrap/>
            <w:vAlign w:val="bottom"/>
            <w:hideMark/>
          </w:tcPr>
          <w:p w14:paraId="1D6F252E" w14:textId="77777777" w:rsidR="006751FE" w:rsidRPr="009A6BE6" w:rsidRDefault="006751FE" w:rsidP="006751FE">
            <w:pPr>
              <w:jc w:val="right"/>
              <w:rPr>
                <w:rFonts w:ascii="Calibri" w:eastAsia="Times New Roman" w:hAnsi="Calibri" w:cs="Calibri"/>
                <w:b/>
                <w:bCs/>
                <w:color w:val="000000"/>
              </w:rPr>
            </w:pPr>
            <w:r w:rsidRPr="009A6BE6">
              <w:rPr>
                <w:rFonts w:ascii="Calibri" w:eastAsia="Times New Roman" w:hAnsi="Calibri" w:cs="Calibri"/>
                <w:b/>
                <w:bCs/>
                <w:color w:val="000000"/>
              </w:rPr>
              <w:t>100%</w:t>
            </w:r>
          </w:p>
        </w:tc>
      </w:tr>
      <w:tr w:rsidR="006751FE" w:rsidRPr="009A6BE6" w14:paraId="5BFDC302" w14:textId="77777777" w:rsidTr="00541034">
        <w:trPr>
          <w:trHeight w:val="290"/>
          <w:jc w:val="center"/>
        </w:trPr>
        <w:tc>
          <w:tcPr>
            <w:tcW w:w="960" w:type="dxa"/>
            <w:tcBorders>
              <w:top w:val="nil"/>
              <w:left w:val="single" w:sz="4" w:space="0" w:color="auto"/>
              <w:bottom w:val="nil"/>
              <w:right w:val="single" w:sz="4" w:space="0" w:color="auto"/>
            </w:tcBorders>
            <w:noWrap/>
            <w:vAlign w:val="bottom"/>
            <w:hideMark/>
          </w:tcPr>
          <w:p w14:paraId="2003C05A" w14:textId="77777777" w:rsidR="006751FE" w:rsidRPr="009A6BE6" w:rsidRDefault="006751FE" w:rsidP="006751FE">
            <w:pPr>
              <w:jc w:val="right"/>
              <w:rPr>
                <w:rFonts w:ascii="Calibri" w:eastAsia="Times New Roman" w:hAnsi="Calibri" w:cs="Calibri"/>
                <w:color w:val="000000"/>
              </w:rPr>
            </w:pPr>
            <w:r w:rsidRPr="009A6BE6">
              <w:rPr>
                <w:rFonts w:ascii="Calibri" w:eastAsia="Times New Roman" w:hAnsi="Calibri" w:cs="Calibri"/>
                <w:color w:val="000000"/>
              </w:rPr>
              <w:t>2030</w:t>
            </w:r>
          </w:p>
        </w:tc>
        <w:tc>
          <w:tcPr>
            <w:tcW w:w="960" w:type="dxa"/>
            <w:tcBorders>
              <w:top w:val="nil"/>
              <w:left w:val="nil"/>
              <w:bottom w:val="nil"/>
              <w:right w:val="nil"/>
            </w:tcBorders>
            <w:shd w:val="clear" w:color="auto" w:fill="FFFF00"/>
            <w:noWrap/>
            <w:hideMark/>
          </w:tcPr>
          <w:p w14:paraId="088E30C2" w14:textId="3C8B89DA"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nil"/>
              <w:bottom w:val="nil"/>
              <w:right w:val="nil"/>
            </w:tcBorders>
            <w:shd w:val="clear" w:color="auto" w:fill="FFFF00"/>
            <w:noWrap/>
            <w:hideMark/>
          </w:tcPr>
          <w:p w14:paraId="51F12CA9" w14:textId="066CF4F8"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single" w:sz="4" w:space="0" w:color="auto"/>
              <w:bottom w:val="nil"/>
              <w:right w:val="single" w:sz="4" w:space="0" w:color="auto"/>
            </w:tcBorders>
            <w:shd w:val="clear" w:color="000000" w:fill="F2F2F2"/>
            <w:noWrap/>
            <w:vAlign w:val="bottom"/>
            <w:hideMark/>
          </w:tcPr>
          <w:p w14:paraId="2C4B335A" w14:textId="77777777" w:rsidR="006751FE" w:rsidRPr="009A6BE6" w:rsidRDefault="006751FE" w:rsidP="006751FE">
            <w:pPr>
              <w:jc w:val="right"/>
              <w:rPr>
                <w:rFonts w:ascii="Calibri" w:eastAsia="Times New Roman" w:hAnsi="Calibri" w:cs="Calibri"/>
                <w:b/>
                <w:bCs/>
                <w:color w:val="000000"/>
              </w:rPr>
            </w:pPr>
            <w:r w:rsidRPr="009A6BE6">
              <w:rPr>
                <w:rFonts w:ascii="Calibri" w:eastAsia="Times New Roman" w:hAnsi="Calibri" w:cs="Calibri"/>
                <w:b/>
                <w:bCs/>
                <w:color w:val="000000"/>
              </w:rPr>
              <w:t>100%</w:t>
            </w:r>
          </w:p>
        </w:tc>
      </w:tr>
      <w:tr w:rsidR="006751FE" w:rsidRPr="009A6BE6" w14:paraId="7DBFA0DC" w14:textId="77777777" w:rsidTr="00541034">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312F1039" w14:textId="77777777" w:rsidR="006751FE" w:rsidRPr="009A6BE6" w:rsidRDefault="006751FE" w:rsidP="006751FE">
            <w:pPr>
              <w:jc w:val="right"/>
              <w:rPr>
                <w:rFonts w:ascii="Calibri" w:eastAsia="Times New Roman" w:hAnsi="Calibri" w:cs="Calibri"/>
                <w:color w:val="000000"/>
              </w:rPr>
            </w:pPr>
            <w:r w:rsidRPr="009A6BE6">
              <w:rPr>
                <w:rFonts w:ascii="Calibri" w:eastAsia="Times New Roman" w:hAnsi="Calibri" w:cs="Calibri"/>
                <w:color w:val="000000"/>
              </w:rPr>
              <w:t>2031</w:t>
            </w:r>
          </w:p>
        </w:tc>
        <w:tc>
          <w:tcPr>
            <w:tcW w:w="960" w:type="dxa"/>
            <w:tcBorders>
              <w:top w:val="nil"/>
              <w:left w:val="nil"/>
              <w:bottom w:val="single" w:sz="4" w:space="0" w:color="auto"/>
              <w:right w:val="nil"/>
            </w:tcBorders>
            <w:shd w:val="clear" w:color="auto" w:fill="FFFF00"/>
            <w:noWrap/>
            <w:hideMark/>
          </w:tcPr>
          <w:p w14:paraId="7ACA6263" w14:textId="7DDB918A"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nil"/>
              <w:bottom w:val="single" w:sz="4" w:space="0" w:color="auto"/>
              <w:right w:val="nil"/>
            </w:tcBorders>
            <w:shd w:val="clear" w:color="auto" w:fill="FFFF00"/>
            <w:noWrap/>
            <w:hideMark/>
          </w:tcPr>
          <w:p w14:paraId="412D71E4" w14:textId="691702B8" w:rsidR="006751FE" w:rsidRPr="009A6BE6" w:rsidRDefault="006751FE" w:rsidP="006751FE">
            <w:pPr>
              <w:jc w:val="right"/>
              <w:rPr>
                <w:rFonts w:ascii="Calibri" w:eastAsia="Times New Roman" w:hAnsi="Calibri" w:cs="Calibri"/>
                <w:color w:val="000000"/>
              </w:rPr>
            </w:pPr>
            <w:r w:rsidRPr="006C5986">
              <w:rPr>
                <w:rFonts w:ascii="Calibri" w:eastAsia="Times New Roman" w:hAnsi="Calibri" w:cs="Calibri"/>
                <w:color w:val="000000"/>
                <w:highlight w:val="black"/>
              </w:rPr>
              <w:t>XXXX</w:t>
            </w:r>
          </w:p>
        </w:tc>
        <w:tc>
          <w:tcPr>
            <w:tcW w:w="960" w:type="dxa"/>
            <w:tcBorders>
              <w:top w:val="nil"/>
              <w:left w:val="single" w:sz="4" w:space="0" w:color="auto"/>
              <w:bottom w:val="single" w:sz="4" w:space="0" w:color="auto"/>
              <w:right w:val="single" w:sz="4" w:space="0" w:color="auto"/>
            </w:tcBorders>
            <w:shd w:val="clear" w:color="000000" w:fill="F2F2F2"/>
            <w:noWrap/>
            <w:vAlign w:val="bottom"/>
            <w:hideMark/>
          </w:tcPr>
          <w:p w14:paraId="07771079" w14:textId="77777777" w:rsidR="006751FE" w:rsidRPr="009A6BE6" w:rsidRDefault="006751FE" w:rsidP="006751FE">
            <w:pPr>
              <w:jc w:val="right"/>
              <w:rPr>
                <w:rFonts w:ascii="Calibri" w:eastAsia="Times New Roman" w:hAnsi="Calibri" w:cs="Calibri"/>
                <w:b/>
                <w:bCs/>
                <w:color w:val="000000"/>
              </w:rPr>
            </w:pPr>
            <w:r w:rsidRPr="009A6BE6">
              <w:rPr>
                <w:rFonts w:ascii="Calibri" w:eastAsia="Times New Roman" w:hAnsi="Calibri" w:cs="Calibri"/>
                <w:b/>
                <w:bCs/>
                <w:color w:val="000000"/>
              </w:rPr>
              <w:t>100%</w:t>
            </w:r>
          </w:p>
        </w:tc>
      </w:tr>
    </w:tbl>
    <w:p w14:paraId="1736C970" w14:textId="5058FAB0" w:rsidR="00440F3B" w:rsidRDefault="00440F3B" w:rsidP="000A6F84">
      <w:pPr>
        <w:pStyle w:val="Heading1"/>
      </w:pPr>
      <w:r>
        <w:tab/>
      </w:r>
      <w:bookmarkStart w:id="15" w:name="_Ref212575471"/>
      <w:bookmarkStart w:id="16" w:name="_Toc213766865"/>
      <w:r w:rsidR="000A6F84">
        <w:t xml:space="preserve">The Company’s </w:t>
      </w:r>
      <w:r w:rsidR="009E4F3D">
        <w:t>l</w:t>
      </w:r>
      <w:r w:rsidR="000A6F84">
        <w:t xml:space="preserve">oad </w:t>
      </w:r>
      <w:r w:rsidR="009E4F3D">
        <w:t>f</w:t>
      </w:r>
      <w:r w:rsidR="000A6F84">
        <w:t>orecast continues to decrease in the near-term</w:t>
      </w:r>
      <w:bookmarkEnd w:id="15"/>
      <w:bookmarkEnd w:id="16"/>
    </w:p>
    <w:p w14:paraId="0FCBF044" w14:textId="53BF9110" w:rsidR="00B17A50" w:rsidRDefault="00B17A50" w:rsidP="00B17A50">
      <w:pPr>
        <w:pStyle w:val="Question"/>
      </w:pPr>
      <w:r>
        <w:t>Q.</w:t>
      </w:r>
      <w:r>
        <w:tab/>
      </w:r>
      <w:r w:rsidR="000A6F84">
        <w:t xml:space="preserve">How has the Company’s load forecast </w:t>
      </w:r>
      <w:r w:rsidR="00452658">
        <w:t>CHANG</w:t>
      </w:r>
      <w:r w:rsidR="000A6F84">
        <w:t xml:space="preserve">ed since the 2023 </w:t>
      </w:r>
      <w:r w:rsidR="0044351D">
        <w:t xml:space="preserve">IRP </w:t>
      </w:r>
      <w:r w:rsidR="000A6F84">
        <w:t>update?</w:t>
      </w:r>
    </w:p>
    <w:p w14:paraId="657D844D" w14:textId="0661A9E7" w:rsidR="00A17632" w:rsidRDefault="00B17A50" w:rsidP="00A17632">
      <w:pPr>
        <w:pStyle w:val="Answers"/>
      </w:pPr>
      <w:r>
        <w:t>A.</w:t>
      </w:r>
      <w:r>
        <w:tab/>
      </w:r>
      <w:r w:rsidR="000A6F84">
        <w:t xml:space="preserve">Since </w:t>
      </w:r>
      <w:r w:rsidR="00835AA9">
        <w:t xml:space="preserve">the 2023 IRP Update, the Company </w:t>
      </w:r>
      <w:r w:rsidR="00452658">
        <w:t xml:space="preserve">increased its </w:t>
      </w:r>
      <w:r w:rsidR="00835AA9">
        <w:t>peak load</w:t>
      </w:r>
      <w:r w:rsidR="00452658">
        <w:t xml:space="preserve"> projections significantly</w:t>
      </w:r>
      <w:r w:rsidR="00835AA9">
        <w:t>, changed how it evaluates the large load realization model, and adopted new rules and regulations for large load customers over 100 MW.</w:t>
      </w:r>
      <w:r w:rsidR="00136EDD">
        <w:t xml:space="preserve"> </w:t>
      </w:r>
      <w:r w:rsidR="00117C16">
        <w:t>T</w:t>
      </w:r>
      <w:r w:rsidR="00EB262E">
        <w:t>he Company’s load forecast change</w:t>
      </w:r>
      <w:r w:rsidR="00117C16">
        <w:t>s since the 2023 IRP Update are</w:t>
      </w:r>
      <w:r w:rsidR="00EB262E">
        <w:t xml:space="preserve"> shown in </w:t>
      </w:r>
      <w:r w:rsidR="00EB262E">
        <w:fldChar w:fldCharType="begin"/>
      </w:r>
      <w:r w:rsidR="00EB262E">
        <w:instrText xml:space="preserve"> REF _Ref212579216 \h </w:instrText>
      </w:r>
      <w:r w:rsidR="00EB262E">
        <w:fldChar w:fldCharType="separate"/>
      </w:r>
      <w:r w:rsidR="00220F39">
        <w:t xml:space="preserve">Figure </w:t>
      </w:r>
      <w:r w:rsidR="00220F39">
        <w:rPr>
          <w:noProof/>
        </w:rPr>
        <w:t>2</w:t>
      </w:r>
      <w:r w:rsidR="00EB262E">
        <w:fldChar w:fldCharType="end"/>
      </w:r>
      <w:r w:rsidR="00EB262E">
        <w:t xml:space="preserve"> and </w:t>
      </w:r>
      <w:r w:rsidR="00EB262E">
        <w:fldChar w:fldCharType="begin"/>
      </w:r>
      <w:r w:rsidR="00EB262E">
        <w:instrText xml:space="preserve"> REF _Ref212579219 \h </w:instrText>
      </w:r>
      <w:r w:rsidR="00EB262E">
        <w:fldChar w:fldCharType="separate"/>
      </w:r>
      <w:r w:rsidR="00220F39">
        <w:t xml:space="preserve">Figure </w:t>
      </w:r>
      <w:r w:rsidR="00220F39">
        <w:rPr>
          <w:noProof/>
        </w:rPr>
        <w:t>3</w:t>
      </w:r>
      <w:r w:rsidR="00EB262E">
        <w:fldChar w:fldCharType="end"/>
      </w:r>
      <w:r w:rsidR="00EB262E">
        <w:t xml:space="preserve"> below.</w:t>
      </w:r>
    </w:p>
    <w:p w14:paraId="7FE88DDF" w14:textId="5CA874EB" w:rsidR="00EB262E" w:rsidRDefault="00EB262E" w:rsidP="00EB262E">
      <w:pPr>
        <w:pStyle w:val="Caption"/>
      </w:pPr>
      <w:bookmarkStart w:id="17" w:name="_Ref212579216"/>
      <w:bookmarkStart w:id="18" w:name="_Toc213756909"/>
      <w:bookmarkStart w:id="19" w:name="_Toc213766886"/>
      <w:r>
        <w:lastRenderedPageBreak/>
        <w:t xml:space="preserve">Figure </w:t>
      </w:r>
      <w:fldSimple w:instr=" SEQ Figure \* ARABIC ">
        <w:r w:rsidR="00220F39">
          <w:rPr>
            <w:noProof/>
          </w:rPr>
          <w:t>2</w:t>
        </w:r>
      </w:fldSimple>
      <w:bookmarkEnd w:id="17"/>
      <w:r>
        <w:t>: Summer Peak Forecast</w:t>
      </w:r>
      <w:r w:rsidR="00117C16">
        <w:t xml:space="preserve"> Changes</w:t>
      </w:r>
      <w:r>
        <w:rPr>
          <w:rStyle w:val="FootnoteReference"/>
        </w:rPr>
        <w:footnoteReference w:id="16"/>
      </w:r>
      <w:bookmarkEnd w:id="18"/>
      <w:bookmarkEnd w:id="19"/>
    </w:p>
    <w:p w14:paraId="38B780C1" w14:textId="36C58688" w:rsidR="00EB262E" w:rsidRDefault="00EB262E" w:rsidP="00EB262E">
      <w:pPr>
        <w:pStyle w:val="Answers"/>
        <w:jc w:val="center"/>
      </w:pPr>
      <w:r>
        <w:rPr>
          <w:noProof/>
        </w:rPr>
        <w:drawing>
          <wp:inline distT="0" distB="0" distL="0" distR="0" wp14:anchorId="46165714" wp14:editId="281B5629">
            <wp:extent cx="4572000" cy="2743200"/>
            <wp:effectExtent l="0" t="0" r="0" b="0"/>
            <wp:docPr id="1168497250" name="Chart 1">
              <a:extLst xmlns:a="http://schemas.openxmlformats.org/drawingml/2006/main">
                <a:ext uri="{FF2B5EF4-FFF2-40B4-BE49-F238E27FC236}">
                  <a16:creationId xmlns:a16="http://schemas.microsoft.com/office/drawing/2014/main" id="{DF0F2F38-5A17-44C5-B7A6-F856AB1CDB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69C0A9" w14:textId="15B30C64" w:rsidR="00EB262E" w:rsidRDefault="00EB262E" w:rsidP="00EB262E">
      <w:pPr>
        <w:pStyle w:val="Caption"/>
      </w:pPr>
      <w:bookmarkStart w:id="20" w:name="_Ref212579219"/>
      <w:bookmarkStart w:id="21" w:name="_Toc213756910"/>
      <w:bookmarkStart w:id="22" w:name="_Toc213766887"/>
      <w:r>
        <w:t xml:space="preserve">Figure </w:t>
      </w:r>
      <w:fldSimple w:instr=" SEQ Figure \* ARABIC ">
        <w:r w:rsidR="00220F39">
          <w:rPr>
            <w:noProof/>
          </w:rPr>
          <w:t>3</w:t>
        </w:r>
      </w:fldSimple>
      <w:bookmarkEnd w:id="20"/>
      <w:r>
        <w:t>: Winter Peak Forecast</w:t>
      </w:r>
      <w:r w:rsidR="00117C16">
        <w:t xml:space="preserve"> Changes</w:t>
      </w:r>
      <w:r>
        <w:rPr>
          <w:rStyle w:val="FootnoteReference"/>
        </w:rPr>
        <w:footnoteReference w:id="17"/>
      </w:r>
      <w:bookmarkEnd w:id="21"/>
      <w:bookmarkEnd w:id="22"/>
    </w:p>
    <w:p w14:paraId="5DB30CFE" w14:textId="60244F67" w:rsidR="00EB262E" w:rsidRDefault="00EB262E" w:rsidP="00EB262E">
      <w:pPr>
        <w:pStyle w:val="Answers"/>
        <w:jc w:val="center"/>
      </w:pPr>
      <w:r>
        <w:rPr>
          <w:noProof/>
        </w:rPr>
        <w:drawing>
          <wp:inline distT="0" distB="0" distL="0" distR="0" wp14:anchorId="6C06FDC1" wp14:editId="64799D87">
            <wp:extent cx="4572000" cy="2743200"/>
            <wp:effectExtent l="0" t="0" r="0" b="0"/>
            <wp:docPr id="1016756532" name="Chart 1">
              <a:extLst xmlns:a="http://schemas.openxmlformats.org/drawingml/2006/main">
                <a:ext uri="{FF2B5EF4-FFF2-40B4-BE49-F238E27FC236}">
                  <a16:creationId xmlns:a16="http://schemas.microsoft.com/office/drawing/2014/main" id="{37498194-9C15-40C6-8942-558DA6D0EF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08E322" w14:textId="22E4F059" w:rsidR="007F0B26" w:rsidRDefault="002D330E" w:rsidP="3AF9CBA3">
      <w:pPr>
        <w:pStyle w:val="Answers"/>
        <w:ind w:firstLine="0"/>
      </w:pPr>
      <w:r>
        <w:tab/>
      </w:r>
      <w:r w:rsidR="00EB262E">
        <w:t xml:space="preserve">From the 2023 IRP Update to the February 2025 forecast, the Company showed a significant increase in long-term projected growth. However, this long-term increase was </w:t>
      </w:r>
      <w:r w:rsidR="00C3458F">
        <w:lastRenderedPageBreak/>
        <w:t>offset</w:t>
      </w:r>
      <w:r w:rsidR="00EB262E">
        <w:t xml:space="preserve"> with a near-term decrease in load. </w:t>
      </w:r>
      <w:r w:rsidR="00FB66E4">
        <w:t xml:space="preserve">This near term decrease is more evident in </w:t>
      </w:r>
      <w:r w:rsidR="00DB474D">
        <w:t xml:space="preserve">Figures </w:t>
      </w:r>
      <w:r w:rsidR="003E632A">
        <w:t>4</w:t>
      </w:r>
      <w:r w:rsidR="00FB66E4">
        <w:t xml:space="preserve"> and </w:t>
      </w:r>
      <w:r w:rsidR="003E632A">
        <w:t>5</w:t>
      </w:r>
      <w:r w:rsidR="00FB66E4">
        <w:t xml:space="preserve"> below.</w:t>
      </w:r>
    </w:p>
    <w:p w14:paraId="55821DDC" w14:textId="40A56AB0" w:rsidR="00FB66E4" w:rsidRDefault="00FB66E4" w:rsidP="00FB66E4">
      <w:pPr>
        <w:pStyle w:val="Caption"/>
      </w:pPr>
      <w:bookmarkStart w:id="23" w:name="_Ref212817231"/>
      <w:bookmarkStart w:id="24" w:name="_Toc213756911"/>
      <w:bookmarkStart w:id="25" w:name="_Toc213766888"/>
      <w:r>
        <w:t xml:space="preserve">Figure </w:t>
      </w:r>
      <w:fldSimple w:instr=" SEQ Figure \* ARABIC ">
        <w:r w:rsidR="00220F39">
          <w:rPr>
            <w:noProof/>
          </w:rPr>
          <w:t>4</w:t>
        </w:r>
      </w:fldSimple>
      <w:bookmarkEnd w:id="23"/>
      <w:r>
        <w:t>: Summer Peak Forecast</w:t>
      </w:r>
      <w:r w:rsidR="002D330E">
        <w:t>, Near-Term</w:t>
      </w:r>
      <w:r>
        <w:t xml:space="preserve"> Changes</w:t>
      </w:r>
      <w:r>
        <w:rPr>
          <w:rStyle w:val="FootnoteReference"/>
        </w:rPr>
        <w:footnoteReference w:id="18"/>
      </w:r>
      <w:bookmarkEnd w:id="24"/>
      <w:bookmarkEnd w:id="25"/>
    </w:p>
    <w:p w14:paraId="34F11292" w14:textId="01934E0E" w:rsidR="00FB66E4" w:rsidRDefault="00FB66E4" w:rsidP="00FB66E4">
      <w:pPr>
        <w:pStyle w:val="Answers"/>
        <w:jc w:val="center"/>
      </w:pPr>
      <w:r>
        <w:rPr>
          <w:noProof/>
        </w:rPr>
        <w:drawing>
          <wp:inline distT="0" distB="0" distL="0" distR="0" wp14:anchorId="45403C84" wp14:editId="0AC3919A">
            <wp:extent cx="5801360" cy="2771775"/>
            <wp:effectExtent l="0" t="0" r="8890" b="9525"/>
            <wp:docPr id="1014901054" name="Chart 1">
              <a:extLst xmlns:a="http://schemas.openxmlformats.org/drawingml/2006/main">
                <a:ext uri="{FF2B5EF4-FFF2-40B4-BE49-F238E27FC236}">
                  <a16:creationId xmlns:a16="http://schemas.microsoft.com/office/drawing/2014/main" id="{7EE9810A-4BB4-4258-BB6D-7E662D6F1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534582" w14:textId="266E4FED" w:rsidR="00FB66E4" w:rsidRDefault="00FB66E4" w:rsidP="00FB66E4">
      <w:pPr>
        <w:pStyle w:val="Caption"/>
      </w:pPr>
      <w:bookmarkStart w:id="26" w:name="_Toc213756912"/>
      <w:bookmarkStart w:id="27" w:name="_Toc213766889"/>
      <w:r>
        <w:t xml:space="preserve">Figure </w:t>
      </w:r>
      <w:fldSimple w:instr=" SEQ Figure \* ARABIC ">
        <w:r w:rsidR="00220F39">
          <w:rPr>
            <w:noProof/>
          </w:rPr>
          <w:t>5</w:t>
        </w:r>
      </w:fldSimple>
      <w:r>
        <w:t>: Winter Peak Forecast</w:t>
      </w:r>
      <w:r w:rsidR="002D330E">
        <w:t>,</w:t>
      </w:r>
      <w:r>
        <w:t xml:space="preserve"> </w:t>
      </w:r>
      <w:r w:rsidR="002D330E">
        <w:t xml:space="preserve">Near-Term </w:t>
      </w:r>
      <w:r>
        <w:t>Changes</w:t>
      </w:r>
      <w:r w:rsidR="004857B0">
        <w:rPr>
          <w:rStyle w:val="FootnoteReference"/>
        </w:rPr>
        <w:footnoteReference w:id="19"/>
      </w:r>
      <w:bookmarkEnd w:id="26"/>
      <w:bookmarkEnd w:id="27"/>
    </w:p>
    <w:p w14:paraId="4A0AF193" w14:textId="586DACFC" w:rsidR="00FB66E4" w:rsidRDefault="00FB66E4" w:rsidP="00FB66E4">
      <w:pPr>
        <w:pStyle w:val="Answers"/>
        <w:jc w:val="center"/>
      </w:pPr>
      <w:r>
        <w:rPr>
          <w:noProof/>
        </w:rPr>
        <w:drawing>
          <wp:inline distT="0" distB="0" distL="0" distR="0" wp14:anchorId="029237D0" wp14:editId="1C2EC1F5">
            <wp:extent cx="5808980" cy="2705100"/>
            <wp:effectExtent l="0" t="0" r="1270" b="0"/>
            <wp:docPr id="1759732346" name="Chart 1">
              <a:extLst xmlns:a="http://schemas.openxmlformats.org/drawingml/2006/main">
                <a:ext uri="{FF2B5EF4-FFF2-40B4-BE49-F238E27FC236}">
                  <a16:creationId xmlns:a16="http://schemas.microsoft.com/office/drawing/2014/main" id="{C42560EC-C0C9-43C8-99A5-728B64ED21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D95F42" w14:textId="5EC9F883" w:rsidR="007271AB" w:rsidRDefault="002D330E" w:rsidP="00CD39F9">
      <w:pPr>
        <w:pStyle w:val="Answers"/>
        <w:ind w:firstLine="0"/>
      </w:pPr>
      <w:r>
        <w:lastRenderedPageBreak/>
        <w:tab/>
      </w:r>
      <w:r w:rsidR="001D0DBF">
        <w:t xml:space="preserve">As shown in </w:t>
      </w:r>
      <w:r w:rsidR="001D0DBF">
        <w:fldChar w:fldCharType="begin"/>
      </w:r>
      <w:r w:rsidR="001D0DBF">
        <w:instrText xml:space="preserve"> REF _Ref212580473 \h </w:instrText>
      </w:r>
      <w:r w:rsidR="001D0DBF">
        <w:fldChar w:fldCharType="separate"/>
      </w:r>
      <w:r w:rsidR="00220F39">
        <w:t xml:space="preserve">Table </w:t>
      </w:r>
      <w:r w:rsidR="00220F39">
        <w:rPr>
          <w:noProof/>
        </w:rPr>
        <w:t>3</w:t>
      </w:r>
      <w:r w:rsidR="001D0DBF">
        <w:fldChar w:fldCharType="end"/>
      </w:r>
      <w:r w:rsidR="001D0DBF">
        <w:t xml:space="preserve"> below, the </w:t>
      </w:r>
      <w:r w:rsidR="6E82F1EF">
        <w:t>Company’s</w:t>
      </w:r>
      <w:r w:rsidR="001D0DBF">
        <w:t xml:space="preserve"> near-term forecast </w:t>
      </w:r>
      <w:r w:rsidR="23449403">
        <w:t xml:space="preserve">has generally decreased </w:t>
      </w:r>
      <w:r w:rsidR="001D0DBF">
        <w:t>since the 2023 IRP Update</w:t>
      </w:r>
      <w:r w:rsidR="001845B8">
        <w:t>, with the magnitude of the decrease depend</w:t>
      </w:r>
      <w:r w:rsidR="00C3458F">
        <w:t>ent upon</w:t>
      </w:r>
      <w:r w:rsidR="001845B8">
        <w:t xml:space="preserve"> the referenced forecast vintage. </w:t>
      </w:r>
      <w:r w:rsidR="001845B8">
        <w:fldChar w:fldCharType="begin"/>
      </w:r>
      <w:r w:rsidR="001845B8">
        <w:instrText xml:space="preserve"> REF _Ref212580473 \h </w:instrText>
      </w:r>
      <w:r w:rsidR="001845B8">
        <w:fldChar w:fldCharType="separate"/>
      </w:r>
      <w:r w:rsidR="00220F39">
        <w:t xml:space="preserve">Table </w:t>
      </w:r>
      <w:r w:rsidR="00220F39">
        <w:rPr>
          <w:noProof/>
        </w:rPr>
        <w:t>3</w:t>
      </w:r>
      <w:r w:rsidR="001845B8">
        <w:fldChar w:fldCharType="end"/>
      </w:r>
      <w:r w:rsidR="001845B8">
        <w:t xml:space="preserve"> </w:t>
      </w:r>
      <w:r w:rsidR="00D72A5C">
        <w:t>shows that relative to the 2023 IRP Update, the B2026 forecast is meaningfully reduced in the years 2025 through 2027, with this reduction exceeding 1,000 MW in Winter of 2027.</w:t>
      </w:r>
      <w:r w:rsidR="00FB66E4">
        <w:t xml:space="preserve"> This is significant because the Company’s near-term forecast, which should have a higher degree of confidence, has progressively declined with each new load forecast.</w:t>
      </w:r>
      <w:r w:rsidR="00750B78">
        <w:t xml:space="preserve"> </w:t>
      </w:r>
      <w:r w:rsidR="00282A90">
        <w:t>If this</w:t>
      </w:r>
      <w:r w:rsidR="00BB45DB">
        <w:t xml:space="preserve"> </w:t>
      </w:r>
      <w:r w:rsidR="003A52D4">
        <w:t xml:space="preserve">pattern </w:t>
      </w:r>
      <w:r w:rsidR="003F39CB">
        <w:t>were to continue this would</w:t>
      </w:r>
      <w:r w:rsidR="00914E9C">
        <w:t xml:space="preserve"> suggest </w:t>
      </w:r>
      <w:r w:rsidR="00F16EDA">
        <w:t>the forecasted</w:t>
      </w:r>
      <w:r w:rsidR="00914E9C">
        <w:t xml:space="preserve"> </w:t>
      </w:r>
      <w:r w:rsidR="00B63185">
        <w:t xml:space="preserve">peak </w:t>
      </w:r>
      <w:r w:rsidR="00293A92">
        <w:t>load for 2029 -</w:t>
      </w:r>
      <w:r w:rsidR="00143E7B">
        <w:t xml:space="preserve"> </w:t>
      </w:r>
      <w:r w:rsidR="00293A92">
        <w:t>2031 would come in lower than currently projected by Georgia Power.</w:t>
      </w:r>
    </w:p>
    <w:p w14:paraId="4CDF5B5D" w14:textId="3C38151E" w:rsidR="001D0DBF" w:rsidRDefault="001D0DBF" w:rsidP="001D0DBF">
      <w:pPr>
        <w:pStyle w:val="Caption"/>
      </w:pPr>
      <w:bookmarkStart w:id="28" w:name="_Ref212580473"/>
      <w:bookmarkStart w:id="29" w:name="_Toc213766873"/>
      <w:r>
        <w:t xml:space="preserve">Table </w:t>
      </w:r>
      <w:fldSimple w:instr=" SEQ Table \* ARABIC ">
        <w:r w:rsidR="00220F39">
          <w:rPr>
            <w:noProof/>
          </w:rPr>
          <w:t>3</w:t>
        </w:r>
      </w:fldSimple>
      <w:bookmarkEnd w:id="28"/>
      <w:r>
        <w:t>: Near-Term Peak Forecast</w:t>
      </w:r>
      <w:r w:rsidR="002D330E">
        <w:t xml:space="preserve"> Comparison</w:t>
      </w:r>
      <w:r>
        <w:t xml:space="preserve"> (MW)</w:t>
      </w:r>
      <w:r w:rsidR="004857B0">
        <w:rPr>
          <w:rStyle w:val="FootnoteReference"/>
        </w:rPr>
        <w:footnoteReference w:id="20"/>
      </w:r>
      <w:bookmarkEnd w:id="29"/>
    </w:p>
    <w:tbl>
      <w:tblPr>
        <w:tblW w:w="9471" w:type="dxa"/>
        <w:jc w:val="center"/>
        <w:tblLook w:val="04A0" w:firstRow="1" w:lastRow="0" w:firstColumn="1" w:lastColumn="0" w:noHBand="0" w:noVBand="1"/>
      </w:tblPr>
      <w:tblGrid>
        <w:gridCol w:w="720"/>
        <w:gridCol w:w="892"/>
        <w:gridCol w:w="829"/>
        <w:gridCol w:w="1101"/>
        <w:gridCol w:w="829"/>
        <w:gridCol w:w="1146"/>
        <w:gridCol w:w="928"/>
        <w:gridCol w:w="928"/>
        <w:gridCol w:w="1101"/>
        <w:gridCol w:w="928"/>
        <w:gridCol w:w="1146"/>
      </w:tblGrid>
      <w:tr w:rsidR="00D72A5C" w:rsidRPr="00D72A5C" w14:paraId="1AE8AD2A" w14:textId="77777777" w:rsidTr="00D72A5C">
        <w:trPr>
          <w:trHeight w:val="300"/>
          <w:jc w:val="center"/>
        </w:trPr>
        <w:tc>
          <w:tcPr>
            <w:tcW w:w="720" w:type="dxa"/>
            <w:tcBorders>
              <w:top w:val="nil"/>
              <w:left w:val="nil"/>
              <w:bottom w:val="nil"/>
              <w:right w:val="nil"/>
            </w:tcBorders>
            <w:noWrap/>
            <w:vAlign w:val="bottom"/>
            <w:hideMark/>
          </w:tcPr>
          <w:p w14:paraId="1DFF2FDB" w14:textId="77777777" w:rsidR="00D72A5C" w:rsidRPr="00D72A5C" w:rsidRDefault="00D72A5C" w:rsidP="00D72A5C">
            <w:pPr>
              <w:jc w:val="left"/>
              <w:rPr>
                <w:rFonts w:eastAsia="Times New Roman"/>
                <w:sz w:val="24"/>
                <w:szCs w:val="24"/>
              </w:rPr>
            </w:pPr>
          </w:p>
        </w:tc>
        <w:tc>
          <w:tcPr>
            <w:tcW w:w="0" w:type="auto"/>
            <w:gridSpan w:val="5"/>
            <w:tcBorders>
              <w:top w:val="single" w:sz="8" w:space="0" w:color="auto"/>
              <w:left w:val="single" w:sz="8" w:space="0" w:color="auto"/>
              <w:bottom w:val="nil"/>
              <w:right w:val="single" w:sz="4" w:space="0" w:color="auto"/>
            </w:tcBorders>
            <w:shd w:val="clear" w:color="000000" w:fill="DDEBF7"/>
            <w:noWrap/>
            <w:vAlign w:val="bottom"/>
            <w:hideMark/>
          </w:tcPr>
          <w:p w14:paraId="5E6CD8B1" w14:textId="5F0E44C9"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Summer</w:t>
            </w:r>
          </w:p>
        </w:tc>
        <w:tc>
          <w:tcPr>
            <w:tcW w:w="0" w:type="auto"/>
            <w:gridSpan w:val="5"/>
            <w:tcBorders>
              <w:top w:val="single" w:sz="8" w:space="0" w:color="auto"/>
              <w:left w:val="nil"/>
              <w:bottom w:val="nil"/>
              <w:right w:val="single" w:sz="8" w:space="0" w:color="auto"/>
            </w:tcBorders>
            <w:shd w:val="clear" w:color="000000" w:fill="DDEBF7"/>
            <w:noWrap/>
            <w:vAlign w:val="bottom"/>
            <w:hideMark/>
          </w:tcPr>
          <w:p w14:paraId="5BA66E77" w14:textId="4390B043"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Winter</w:t>
            </w:r>
          </w:p>
        </w:tc>
      </w:tr>
      <w:tr w:rsidR="00D72A5C" w:rsidRPr="00D72A5C" w14:paraId="7C26427C" w14:textId="77777777" w:rsidTr="00D72A5C">
        <w:trPr>
          <w:trHeight w:val="870"/>
          <w:jc w:val="center"/>
        </w:trPr>
        <w:tc>
          <w:tcPr>
            <w:tcW w:w="720" w:type="dxa"/>
            <w:tcBorders>
              <w:top w:val="single" w:sz="8" w:space="0" w:color="auto"/>
              <w:left w:val="single" w:sz="8" w:space="0" w:color="auto"/>
              <w:bottom w:val="nil"/>
              <w:right w:val="single" w:sz="8" w:space="0" w:color="auto"/>
            </w:tcBorders>
            <w:shd w:val="clear" w:color="000000" w:fill="DDEBF7"/>
            <w:noWrap/>
            <w:vAlign w:val="bottom"/>
            <w:hideMark/>
          </w:tcPr>
          <w:p w14:paraId="6B47E73E"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Year</w:t>
            </w:r>
          </w:p>
        </w:tc>
        <w:tc>
          <w:tcPr>
            <w:tcW w:w="0" w:type="auto"/>
            <w:tcBorders>
              <w:top w:val="single" w:sz="8" w:space="0" w:color="auto"/>
              <w:left w:val="nil"/>
              <w:bottom w:val="nil"/>
              <w:right w:val="nil"/>
            </w:tcBorders>
            <w:shd w:val="clear" w:color="000000" w:fill="F2F2F2"/>
            <w:vAlign w:val="bottom"/>
            <w:hideMark/>
          </w:tcPr>
          <w:p w14:paraId="407F1E33"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 xml:space="preserve">2023 IRP </w:t>
            </w:r>
            <w:r w:rsidRPr="00D72A5C">
              <w:rPr>
                <w:rFonts w:ascii="Calibri" w:eastAsia="Times New Roman" w:hAnsi="Calibri" w:cs="Calibri"/>
                <w:b/>
                <w:bCs/>
                <w:color w:val="000000"/>
              </w:rPr>
              <w:br/>
              <w:t>Update</w:t>
            </w:r>
          </w:p>
        </w:tc>
        <w:tc>
          <w:tcPr>
            <w:tcW w:w="0" w:type="auto"/>
            <w:tcBorders>
              <w:top w:val="single" w:sz="8" w:space="0" w:color="auto"/>
              <w:left w:val="nil"/>
              <w:bottom w:val="nil"/>
              <w:right w:val="nil"/>
            </w:tcBorders>
            <w:shd w:val="clear" w:color="000000" w:fill="F2F2F2"/>
            <w:noWrap/>
            <w:vAlign w:val="bottom"/>
            <w:hideMark/>
          </w:tcPr>
          <w:p w14:paraId="67B65AEC"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B2025</w:t>
            </w:r>
          </w:p>
        </w:tc>
        <w:tc>
          <w:tcPr>
            <w:tcW w:w="0" w:type="auto"/>
            <w:tcBorders>
              <w:top w:val="single" w:sz="8" w:space="0" w:color="auto"/>
              <w:left w:val="nil"/>
              <w:bottom w:val="nil"/>
              <w:right w:val="nil"/>
            </w:tcBorders>
            <w:shd w:val="clear" w:color="000000" w:fill="F2F2F2"/>
            <w:noWrap/>
            <w:vAlign w:val="bottom"/>
            <w:hideMark/>
          </w:tcPr>
          <w:p w14:paraId="59CB0C1D"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Feb. 2025</w:t>
            </w:r>
          </w:p>
        </w:tc>
        <w:tc>
          <w:tcPr>
            <w:tcW w:w="0" w:type="auto"/>
            <w:tcBorders>
              <w:top w:val="single" w:sz="8" w:space="0" w:color="auto"/>
              <w:left w:val="nil"/>
              <w:bottom w:val="nil"/>
              <w:right w:val="single" w:sz="4" w:space="0" w:color="auto"/>
            </w:tcBorders>
            <w:shd w:val="clear" w:color="000000" w:fill="F2F2F2"/>
            <w:noWrap/>
            <w:vAlign w:val="bottom"/>
            <w:hideMark/>
          </w:tcPr>
          <w:p w14:paraId="5D9CA274"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B2026</w:t>
            </w:r>
          </w:p>
        </w:tc>
        <w:tc>
          <w:tcPr>
            <w:tcW w:w="0" w:type="auto"/>
            <w:tcBorders>
              <w:top w:val="single" w:sz="8" w:space="0" w:color="auto"/>
              <w:left w:val="nil"/>
              <w:bottom w:val="nil"/>
              <w:right w:val="single" w:sz="4" w:space="0" w:color="auto"/>
            </w:tcBorders>
            <w:shd w:val="clear" w:color="000000" w:fill="F2F2F2"/>
            <w:vAlign w:val="bottom"/>
            <w:hideMark/>
          </w:tcPr>
          <w:p w14:paraId="1F1D719A" w14:textId="77777777" w:rsid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 xml:space="preserve">B2026 Reduction vs. </w:t>
            </w:r>
          </w:p>
          <w:p w14:paraId="5D1127E3" w14:textId="7301977C"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2023 IRP Update</w:t>
            </w:r>
          </w:p>
        </w:tc>
        <w:tc>
          <w:tcPr>
            <w:tcW w:w="0" w:type="auto"/>
            <w:tcBorders>
              <w:top w:val="single" w:sz="8" w:space="0" w:color="auto"/>
              <w:left w:val="nil"/>
              <w:bottom w:val="nil"/>
              <w:right w:val="nil"/>
            </w:tcBorders>
            <w:shd w:val="clear" w:color="000000" w:fill="F2F2F2"/>
            <w:vAlign w:val="bottom"/>
            <w:hideMark/>
          </w:tcPr>
          <w:p w14:paraId="763410F2"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 xml:space="preserve">2023 IRP </w:t>
            </w:r>
            <w:r w:rsidRPr="00D72A5C">
              <w:rPr>
                <w:rFonts w:ascii="Calibri" w:eastAsia="Times New Roman" w:hAnsi="Calibri" w:cs="Calibri"/>
                <w:b/>
                <w:bCs/>
                <w:color w:val="000000"/>
              </w:rPr>
              <w:br/>
              <w:t>Update</w:t>
            </w:r>
          </w:p>
        </w:tc>
        <w:tc>
          <w:tcPr>
            <w:tcW w:w="0" w:type="auto"/>
            <w:tcBorders>
              <w:top w:val="single" w:sz="8" w:space="0" w:color="auto"/>
              <w:left w:val="nil"/>
              <w:bottom w:val="nil"/>
              <w:right w:val="nil"/>
            </w:tcBorders>
            <w:shd w:val="clear" w:color="000000" w:fill="F2F2F2"/>
            <w:noWrap/>
            <w:vAlign w:val="bottom"/>
            <w:hideMark/>
          </w:tcPr>
          <w:p w14:paraId="467AF9D1"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B2025</w:t>
            </w:r>
          </w:p>
        </w:tc>
        <w:tc>
          <w:tcPr>
            <w:tcW w:w="0" w:type="auto"/>
            <w:tcBorders>
              <w:top w:val="single" w:sz="8" w:space="0" w:color="auto"/>
              <w:left w:val="nil"/>
              <w:bottom w:val="nil"/>
              <w:right w:val="nil"/>
            </w:tcBorders>
            <w:shd w:val="clear" w:color="000000" w:fill="F2F2F2"/>
            <w:noWrap/>
            <w:vAlign w:val="bottom"/>
            <w:hideMark/>
          </w:tcPr>
          <w:p w14:paraId="76CEA1F6"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Feb. 2025</w:t>
            </w:r>
          </w:p>
        </w:tc>
        <w:tc>
          <w:tcPr>
            <w:tcW w:w="0" w:type="auto"/>
            <w:tcBorders>
              <w:top w:val="single" w:sz="8" w:space="0" w:color="auto"/>
              <w:left w:val="nil"/>
              <w:bottom w:val="nil"/>
              <w:right w:val="single" w:sz="4" w:space="0" w:color="auto"/>
            </w:tcBorders>
            <w:shd w:val="clear" w:color="000000" w:fill="F2F2F2"/>
            <w:noWrap/>
            <w:vAlign w:val="bottom"/>
            <w:hideMark/>
          </w:tcPr>
          <w:p w14:paraId="70284ECE" w14:textId="77777777"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B2026</w:t>
            </w:r>
          </w:p>
        </w:tc>
        <w:tc>
          <w:tcPr>
            <w:tcW w:w="0" w:type="auto"/>
            <w:tcBorders>
              <w:top w:val="single" w:sz="8" w:space="0" w:color="auto"/>
              <w:left w:val="nil"/>
              <w:bottom w:val="nil"/>
              <w:right w:val="single" w:sz="8" w:space="0" w:color="auto"/>
            </w:tcBorders>
            <w:shd w:val="clear" w:color="000000" w:fill="F2F2F2"/>
            <w:vAlign w:val="bottom"/>
            <w:hideMark/>
          </w:tcPr>
          <w:p w14:paraId="6DE3E76E" w14:textId="77777777" w:rsid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 xml:space="preserve">B2026 Reduction vs. </w:t>
            </w:r>
          </w:p>
          <w:p w14:paraId="5564192A" w14:textId="73A07636" w:rsidR="00D72A5C" w:rsidRPr="00D72A5C" w:rsidRDefault="00D72A5C" w:rsidP="00D72A5C">
            <w:pPr>
              <w:jc w:val="left"/>
              <w:rPr>
                <w:rFonts w:ascii="Calibri" w:eastAsia="Times New Roman" w:hAnsi="Calibri" w:cs="Calibri"/>
                <w:b/>
                <w:bCs/>
                <w:color w:val="000000"/>
              </w:rPr>
            </w:pPr>
            <w:r w:rsidRPr="00D72A5C">
              <w:rPr>
                <w:rFonts w:ascii="Calibri" w:eastAsia="Times New Roman" w:hAnsi="Calibri" w:cs="Calibri"/>
                <w:b/>
                <w:bCs/>
                <w:color w:val="000000"/>
              </w:rPr>
              <w:t>2023 IRP Update</w:t>
            </w:r>
          </w:p>
        </w:tc>
      </w:tr>
      <w:tr w:rsidR="00D72A5C" w:rsidRPr="00D72A5C" w14:paraId="735601DE" w14:textId="77777777" w:rsidTr="00D72A5C">
        <w:trPr>
          <w:trHeight w:val="290"/>
          <w:jc w:val="center"/>
        </w:trPr>
        <w:tc>
          <w:tcPr>
            <w:tcW w:w="720" w:type="dxa"/>
            <w:tcBorders>
              <w:top w:val="nil"/>
              <w:left w:val="single" w:sz="8" w:space="0" w:color="auto"/>
              <w:bottom w:val="nil"/>
              <w:right w:val="single" w:sz="8" w:space="0" w:color="auto"/>
            </w:tcBorders>
            <w:noWrap/>
            <w:vAlign w:val="bottom"/>
            <w:hideMark/>
          </w:tcPr>
          <w:p w14:paraId="62D19445"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2025</w:t>
            </w:r>
          </w:p>
        </w:tc>
        <w:tc>
          <w:tcPr>
            <w:tcW w:w="0" w:type="auto"/>
            <w:tcBorders>
              <w:top w:val="nil"/>
              <w:left w:val="nil"/>
              <w:bottom w:val="nil"/>
              <w:right w:val="nil"/>
            </w:tcBorders>
            <w:noWrap/>
            <w:vAlign w:val="bottom"/>
            <w:hideMark/>
          </w:tcPr>
          <w:p w14:paraId="1D31F369"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17,383</w:t>
            </w:r>
          </w:p>
        </w:tc>
        <w:tc>
          <w:tcPr>
            <w:tcW w:w="0" w:type="auto"/>
            <w:tcBorders>
              <w:top w:val="nil"/>
              <w:left w:val="nil"/>
              <w:bottom w:val="nil"/>
              <w:right w:val="nil"/>
            </w:tcBorders>
            <w:noWrap/>
            <w:vAlign w:val="bottom"/>
            <w:hideMark/>
          </w:tcPr>
          <w:p w14:paraId="2053BC8B"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17,802</w:t>
            </w:r>
          </w:p>
        </w:tc>
        <w:tc>
          <w:tcPr>
            <w:tcW w:w="0" w:type="auto"/>
            <w:tcBorders>
              <w:top w:val="nil"/>
              <w:left w:val="nil"/>
              <w:bottom w:val="nil"/>
              <w:right w:val="nil"/>
            </w:tcBorders>
            <w:noWrap/>
            <w:vAlign w:val="bottom"/>
            <w:hideMark/>
          </w:tcPr>
          <w:p w14:paraId="4774D937"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17,737</w:t>
            </w:r>
          </w:p>
        </w:tc>
        <w:tc>
          <w:tcPr>
            <w:tcW w:w="0" w:type="auto"/>
            <w:tcBorders>
              <w:top w:val="nil"/>
              <w:left w:val="nil"/>
              <w:bottom w:val="nil"/>
              <w:right w:val="single" w:sz="4" w:space="0" w:color="auto"/>
            </w:tcBorders>
            <w:noWrap/>
            <w:vAlign w:val="bottom"/>
            <w:hideMark/>
          </w:tcPr>
          <w:p w14:paraId="68BE0013"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17,288</w:t>
            </w:r>
          </w:p>
        </w:tc>
        <w:tc>
          <w:tcPr>
            <w:tcW w:w="0" w:type="auto"/>
            <w:tcBorders>
              <w:top w:val="nil"/>
              <w:left w:val="nil"/>
              <w:bottom w:val="nil"/>
              <w:right w:val="single" w:sz="4" w:space="0" w:color="auto"/>
            </w:tcBorders>
            <w:noWrap/>
            <w:vAlign w:val="bottom"/>
            <w:hideMark/>
          </w:tcPr>
          <w:p w14:paraId="5C15C4B9"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-94</w:t>
            </w:r>
          </w:p>
        </w:tc>
        <w:tc>
          <w:tcPr>
            <w:tcW w:w="0" w:type="auto"/>
            <w:tcBorders>
              <w:top w:val="nil"/>
              <w:left w:val="nil"/>
              <w:bottom w:val="nil"/>
              <w:right w:val="nil"/>
            </w:tcBorders>
            <w:noWrap/>
            <w:vAlign w:val="bottom"/>
            <w:hideMark/>
          </w:tcPr>
          <w:p w14:paraId="4A28D5A8"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15,947 </w:t>
            </w:r>
          </w:p>
        </w:tc>
        <w:tc>
          <w:tcPr>
            <w:tcW w:w="0" w:type="auto"/>
            <w:tcBorders>
              <w:top w:val="nil"/>
              <w:left w:val="nil"/>
              <w:bottom w:val="nil"/>
              <w:right w:val="nil"/>
            </w:tcBorders>
            <w:noWrap/>
            <w:vAlign w:val="bottom"/>
            <w:hideMark/>
          </w:tcPr>
          <w:p w14:paraId="1B996FD1"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16,264</w:t>
            </w:r>
          </w:p>
        </w:tc>
        <w:tc>
          <w:tcPr>
            <w:tcW w:w="0" w:type="auto"/>
            <w:tcBorders>
              <w:top w:val="nil"/>
              <w:left w:val="nil"/>
              <w:bottom w:val="nil"/>
              <w:right w:val="nil"/>
            </w:tcBorders>
            <w:noWrap/>
            <w:vAlign w:val="bottom"/>
            <w:hideMark/>
          </w:tcPr>
          <w:p w14:paraId="686359F9"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16,199 </w:t>
            </w:r>
          </w:p>
        </w:tc>
        <w:tc>
          <w:tcPr>
            <w:tcW w:w="0" w:type="auto"/>
            <w:tcBorders>
              <w:top w:val="nil"/>
              <w:left w:val="nil"/>
              <w:bottom w:val="nil"/>
              <w:right w:val="single" w:sz="4" w:space="0" w:color="auto"/>
            </w:tcBorders>
            <w:noWrap/>
            <w:vAlign w:val="bottom"/>
            <w:hideMark/>
          </w:tcPr>
          <w:p w14:paraId="467F9660"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16,063 </w:t>
            </w:r>
          </w:p>
        </w:tc>
        <w:tc>
          <w:tcPr>
            <w:tcW w:w="0" w:type="auto"/>
            <w:tcBorders>
              <w:top w:val="nil"/>
              <w:left w:val="nil"/>
              <w:bottom w:val="nil"/>
              <w:right w:val="single" w:sz="8" w:space="0" w:color="auto"/>
            </w:tcBorders>
            <w:noWrap/>
            <w:vAlign w:val="bottom"/>
            <w:hideMark/>
          </w:tcPr>
          <w:p w14:paraId="27B8B073"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116</w:t>
            </w:r>
          </w:p>
        </w:tc>
      </w:tr>
      <w:tr w:rsidR="00D72A5C" w:rsidRPr="00D72A5C" w14:paraId="64750F19" w14:textId="77777777" w:rsidTr="00D72A5C">
        <w:trPr>
          <w:trHeight w:val="290"/>
          <w:jc w:val="center"/>
        </w:trPr>
        <w:tc>
          <w:tcPr>
            <w:tcW w:w="720" w:type="dxa"/>
            <w:tcBorders>
              <w:top w:val="nil"/>
              <w:left w:val="single" w:sz="8" w:space="0" w:color="auto"/>
              <w:bottom w:val="nil"/>
              <w:right w:val="single" w:sz="8" w:space="0" w:color="auto"/>
            </w:tcBorders>
            <w:noWrap/>
            <w:vAlign w:val="bottom"/>
            <w:hideMark/>
          </w:tcPr>
          <w:p w14:paraId="45929689"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2026</w:t>
            </w:r>
          </w:p>
        </w:tc>
        <w:tc>
          <w:tcPr>
            <w:tcW w:w="0" w:type="auto"/>
            <w:tcBorders>
              <w:top w:val="nil"/>
              <w:left w:val="nil"/>
              <w:bottom w:val="nil"/>
              <w:right w:val="nil"/>
            </w:tcBorders>
            <w:noWrap/>
            <w:vAlign w:val="bottom"/>
            <w:hideMark/>
          </w:tcPr>
          <w:p w14:paraId="23A5ED66"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18,804</w:t>
            </w:r>
          </w:p>
        </w:tc>
        <w:tc>
          <w:tcPr>
            <w:tcW w:w="0" w:type="auto"/>
            <w:tcBorders>
              <w:top w:val="nil"/>
              <w:left w:val="nil"/>
              <w:bottom w:val="nil"/>
              <w:right w:val="nil"/>
            </w:tcBorders>
            <w:noWrap/>
            <w:vAlign w:val="bottom"/>
            <w:hideMark/>
          </w:tcPr>
          <w:p w14:paraId="2F911D8D"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18,770</w:t>
            </w:r>
          </w:p>
        </w:tc>
        <w:tc>
          <w:tcPr>
            <w:tcW w:w="0" w:type="auto"/>
            <w:tcBorders>
              <w:top w:val="nil"/>
              <w:left w:val="nil"/>
              <w:bottom w:val="nil"/>
              <w:right w:val="nil"/>
            </w:tcBorders>
            <w:noWrap/>
            <w:vAlign w:val="bottom"/>
            <w:hideMark/>
          </w:tcPr>
          <w:p w14:paraId="6D27663D"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18,459</w:t>
            </w:r>
          </w:p>
        </w:tc>
        <w:tc>
          <w:tcPr>
            <w:tcW w:w="0" w:type="auto"/>
            <w:tcBorders>
              <w:top w:val="nil"/>
              <w:left w:val="nil"/>
              <w:bottom w:val="nil"/>
              <w:right w:val="single" w:sz="4" w:space="0" w:color="auto"/>
            </w:tcBorders>
            <w:noWrap/>
            <w:vAlign w:val="bottom"/>
            <w:hideMark/>
          </w:tcPr>
          <w:p w14:paraId="1B8A1EF5"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18,151</w:t>
            </w:r>
          </w:p>
        </w:tc>
        <w:tc>
          <w:tcPr>
            <w:tcW w:w="0" w:type="auto"/>
            <w:tcBorders>
              <w:top w:val="nil"/>
              <w:left w:val="nil"/>
              <w:bottom w:val="nil"/>
              <w:right w:val="single" w:sz="4" w:space="0" w:color="auto"/>
            </w:tcBorders>
            <w:noWrap/>
            <w:vAlign w:val="bottom"/>
            <w:hideMark/>
          </w:tcPr>
          <w:p w14:paraId="1CD26CF4"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-652</w:t>
            </w:r>
          </w:p>
        </w:tc>
        <w:tc>
          <w:tcPr>
            <w:tcW w:w="0" w:type="auto"/>
            <w:tcBorders>
              <w:top w:val="nil"/>
              <w:left w:val="nil"/>
              <w:bottom w:val="nil"/>
              <w:right w:val="nil"/>
            </w:tcBorders>
            <w:noWrap/>
            <w:vAlign w:val="bottom"/>
            <w:hideMark/>
          </w:tcPr>
          <w:p w14:paraId="4FAA9F36"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17,256</w:t>
            </w:r>
          </w:p>
        </w:tc>
        <w:tc>
          <w:tcPr>
            <w:tcW w:w="0" w:type="auto"/>
            <w:tcBorders>
              <w:top w:val="nil"/>
              <w:left w:val="nil"/>
              <w:bottom w:val="nil"/>
              <w:right w:val="nil"/>
            </w:tcBorders>
            <w:noWrap/>
            <w:vAlign w:val="bottom"/>
            <w:hideMark/>
          </w:tcPr>
          <w:p w14:paraId="5FAABAE6"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16,892 </w:t>
            </w:r>
          </w:p>
        </w:tc>
        <w:tc>
          <w:tcPr>
            <w:tcW w:w="0" w:type="auto"/>
            <w:tcBorders>
              <w:top w:val="nil"/>
              <w:left w:val="nil"/>
              <w:bottom w:val="nil"/>
              <w:right w:val="nil"/>
            </w:tcBorders>
            <w:noWrap/>
            <w:vAlign w:val="bottom"/>
            <w:hideMark/>
          </w:tcPr>
          <w:p w14:paraId="33D0F30E"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16,580 </w:t>
            </w:r>
          </w:p>
        </w:tc>
        <w:tc>
          <w:tcPr>
            <w:tcW w:w="0" w:type="auto"/>
            <w:tcBorders>
              <w:top w:val="nil"/>
              <w:left w:val="nil"/>
              <w:bottom w:val="nil"/>
              <w:right w:val="single" w:sz="4" w:space="0" w:color="auto"/>
            </w:tcBorders>
            <w:noWrap/>
            <w:vAlign w:val="bottom"/>
            <w:hideMark/>
          </w:tcPr>
          <w:p w14:paraId="72093055"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16,617 </w:t>
            </w:r>
          </w:p>
        </w:tc>
        <w:tc>
          <w:tcPr>
            <w:tcW w:w="0" w:type="auto"/>
            <w:tcBorders>
              <w:top w:val="nil"/>
              <w:left w:val="nil"/>
              <w:bottom w:val="nil"/>
              <w:right w:val="single" w:sz="8" w:space="0" w:color="auto"/>
            </w:tcBorders>
            <w:noWrap/>
            <w:vAlign w:val="bottom"/>
            <w:hideMark/>
          </w:tcPr>
          <w:p w14:paraId="65901B52"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-639</w:t>
            </w:r>
          </w:p>
        </w:tc>
      </w:tr>
      <w:tr w:rsidR="00D72A5C" w:rsidRPr="00D72A5C" w14:paraId="1FC4356B" w14:textId="77777777" w:rsidTr="00D72A5C">
        <w:trPr>
          <w:trHeight w:val="300"/>
          <w:jc w:val="center"/>
        </w:trPr>
        <w:tc>
          <w:tcPr>
            <w:tcW w:w="720" w:type="dxa"/>
            <w:tcBorders>
              <w:top w:val="nil"/>
              <w:left w:val="single" w:sz="8" w:space="0" w:color="auto"/>
              <w:bottom w:val="single" w:sz="8" w:space="0" w:color="auto"/>
              <w:right w:val="single" w:sz="8" w:space="0" w:color="auto"/>
            </w:tcBorders>
            <w:noWrap/>
            <w:vAlign w:val="bottom"/>
            <w:hideMark/>
          </w:tcPr>
          <w:p w14:paraId="79D12B03"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2027</w:t>
            </w:r>
          </w:p>
        </w:tc>
        <w:tc>
          <w:tcPr>
            <w:tcW w:w="0" w:type="auto"/>
            <w:tcBorders>
              <w:top w:val="nil"/>
              <w:left w:val="nil"/>
              <w:bottom w:val="single" w:sz="8" w:space="0" w:color="auto"/>
              <w:right w:val="nil"/>
            </w:tcBorders>
            <w:noWrap/>
            <w:vAlign w:val="bottom"/>
            <w:hideMark/>
          </w:tcPr>
          <w:p w14:paraId="686C18BC"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20,633</w:t>
            </w:r>
          </w:p>
        </w:tc>
        <w:tc>
          <w:tcPr>
            <w:tcW w:w="0" w:type="auto"/>
            <w:tcBorders>
              <w:top w:val="nil"/>
              <w:left w:val="nil"/>
              <w:bottom w:val="single" w:sz="8" w:space="0" w:color="auto"/>
              <w:right w:val="nil"/>
            </w:tcBorders>
            <w:noWrap/>
            <w:vAlign w:val="bottom"/>
            <w:hideMark/>
          </w:tcPr>
          <w:p w14:paraId="15FDCDE0"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20,552</w:t>
            </w:r>
          </w:p>
        </w:tc>
        <w:tc>
          <w:tcPr>
            <w:tcW w:w="0" w:type="auto"/>
            <w:tcBorders>
              <w:top w:val="nil"/>
              <w:left w:val="nil"/>
              <w:bottom w:val="single" w:sz="8" w:space="0" w:color="auto"/>
              <w:right w:val="nil"/>
            </w:tcBorders>
            <w:noWrap/>
            <w:vAlign w:val="bottom"/>
            <w:hideMark/>
          </w:tcPr>
          <w:p w14:paraId="44CFBB3A"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20,000</w:t>
            </w:r>
          </w:p>
        </w:tc>
        <w:tc>
          <w:tcPr>
            <w:tcW w:w="0" w:type="auto"/>
            <w:tcBorders>
              <w:top w:val="nil"/>
              <w:left w:val="nil"/>
              <w:bottom w:val="single" w:sz="8" w:space="0" w:color="auto"/>
              <w:right w:val="single" w:sz="4" w:space="0" w:color="auto"/>
            </w:tcBorders>
            <w:noWrap/>
            <w:vAlign w:val="bottom"/>
            <w:hideMark/>
          </w:tcPr>
          <w:p w14:paraId="704E8A64"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19,796</w:t>
            </w:r>
          </w:p>
        </w:tc>
        <w:tc>
          <w:tcPr>
            <w:tcW w:w="0" w:type="auto"/>
            <w:tcBorders>
              <w:top w:val="nil"/>
              <w:left w:val="nil"/>
              <w:bottom w:val="single" w:sz="8" w:space="0" w:color="auto"/>
              <w:right w:val="single" w:sz="4" w:space="0" w:color="auto"/>
            </w:tcBorders>
            <w:noWrap/>
            <w:vAlign w:val="bottom"/>
            <w:hideMark/>
          </w:tcPr>
          <w:p w14:paraId="102014DE"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-837</w:t>
            </w:r>
          </w:p>
        </w:tc>
        <w:tc>
          <w:tcPr>
            <w:tcW w:w="0" w:type="auto"/>
            <w:tcBorders>
              <w:top w:val="nil"/>
              <w:left w:val="nil"/>
              <w:bottom w:val="single" w:sz="8" w:space="0" w:color="auto"/>
              <w:right w:val="nil"/>
            </w:tcBorders>
            <w:noWrap/>
            <w:vAlign w:val="bottom"/>
            <w:hideMark/>
          </w:tcPr>
          <w:p w14:paraId="39CD49E9"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18,928 </w:t>
            </w:r>
          </w:p>
        </w:tc>
        <w:tc>
          <w:tcPr>
            <w:tcW w:w="0" w:type="auto"/>
            <w:tcBorders>
              <w:top w:val="nil"/>
              <w:left w:val="nil"/>
              <w:bottom w:val="single" w:sz="8" w:space="0" w:color="auto"/>
              <w:right w:val="nil"/>
            </w:tcBorders>
            <w:noWrap/>
            <w:vAlign w:val="bottom"/>
            <w:hideMark/>
          </w:tcPr>
          <w:p w14:paraId="13995181"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18,334 </w:t>
            </w:r>
          </w:p>
        </w:tc>
        <w:tc>
          <w:tcPr>
            <w:tcW w:w="0" w:type="auto"/>
            <w:tcBorders>
              <w:top w:val="nil"/>
              <w:left w:val="nil"/>
              <w:bottom w:val="single" w:sz="8" w:space="0" w:color="auto"/>
              <w:right w:val="nil"/>
            </w:tcBorders>
            <w:noWrap/>
            <w:vAlign w:val="bottom"/>
            <w:hideMark/>
          </w:tcPr>
          <w:p w14:paraId="7BD87DE1"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17,782 </w:t>
            </w:r>
          </w:p>
        </w:tc>
        <w:tc>
          <w:tcPr>
            <w:tcW w:w="0" w:type="auto"/>
            <w:tcBorders>
              <w:top w:val="nil"/>
              <w:left w:val="nil"/>
              <w:bottom w:val="single" w:sz="8" w:space="0" w:color="auto"/>
              <w:right w:val="single" w:sz="4" w:space="0" w:color="auto"/>
            </w:tcBorders>
            <w:noWrap/>
            <w:vAlign w:val="bottom"/>
            <w:hideMark/>
          </w:tcPr>
          <w:p w14:paraId="3B620D89" w14:textId="77777777" w:rsidR="00D72A5C" w:rsidRPr="00D72A5C" w:rsidRDefault="00D72A5C" w:rsidP="00D72A5C">
            <w:pPr>
              <w:jc w:val="left"/>
              <w:rPr>
                <w:rFonts w:ascii="Calibri" w:eastAsia="Times New Roman" w:hAnsi="Calibri" w:cs="Calibri"/>
                <w:color w:val="000000"/>
              </w:rPr>
            </w:pPr>
            <w:r w:rsidRPr="00D72A5C">
              <w:rPr>
                <w:rFonts w:ascii="Calibri" w:eastAsia="Times New Roman" w:hAnsi="Calibri" w:cs="Calibri"/>
                <w:color w:val="000000"/>
              </w:rPr>
              <w:t xml:space="preserve">  17,507 </w:t>
            </w:r>
          </w:p>
        </w:tc>
        <w:tc>
          <w:tcPr>
            <w:tcW w:w="0" w:type="auto"/>
            <w:tcBorders>
              <w:top w:val="nil"/>
              <w:left w:val="nil"/>
              <w:bottom w:val="single" w:sz="8" w:space="0" w:color="auto"/>
              <w:right w:val="single" w:sz="8" w:space="0" w:color="auto"/>
            </w:tcBorders>
            <w:noWrap/>
            <w:vAlign w:val="bottom"/>
            <w:hideMark/>
          </w:tcPr>
          <w:p w14:paraId="3BAE10B8" w14:textId="77777777" w:rsidR="00D72A5C" w:rsidRPr="00D72A5C" w:rsidRDefault="00D72A5C" w:rsidP="00D72A5C">
            <w:pPr>
              <w:jc w:val="right"/>
              <w:rPr>
                <w:rFonts w:ascii="Calibri" w:eastAsia="Times New Roman" w:hAnsi="Calibri" w:cs="Calibri"/>
                <w:color w:val="000000"/>
              </w:rPr>
            </w:pPr>
            <w:r w:rsidRPr="00D72A5C">
              <w:rPr>
                <w:rFonts w:ascii="Calibri" w:eastAsia="Times New Roman" w:hAnsi="Calibri" w:cs="Calibri"/>
                <w:color w:val="000000"/>
              </w:rPr>
              <w:t>-1,421</w:t>
            </w:r>
          </w:p>
        </w:tc>
      </w:tr>
    </w:tbl>
    <w:p w14:paraId="0324AB0D" w14:textId="5D51852F" w:rsidR="00B17A50" w:rsidRDefault="00B17A50" w:rsidP="00A17632">
      <w:pPr>
        <w:pStyle w:val="Question"/>
      </w:pPr>
      <w:r>
        <w:t>Q.</w:t>
      </w:r>
      <w:r>
        <w:tab/>
      </w:r>
      <w:r w:rsidR="00091CD2">
        <w:t xml:space="preserve">What are the drivers of the </w:t>
      </w:r>
      <w:r w:rsidR="0011244B">
        <w:t>near</w:t>
      </w:r>
      <w:r w:rsidR="00091CD2">
        <w:t>-Term</w:t>
      </w:r>
      <w:r w:rsidR="002F4F37">
        <w:t xml:space="preserve"> </w:t>
      </w:r>
      <w:r w:rsidR="00091CD2">
        <w:t xml:space="preserve">reductions in </w:t>
      </w:r>
      <w:r w:rsidR="006B1EF5">
        <w:t xml:space="preserve">THE </w:t>
      </w:r>
      <w:r w:rsidR="00A17632">
        <w:t>b2026 Load Forecast</w:t>
      </w:r>
      <w:r w:rsidR="00091CD2">
        <w:t>?</w:t>
      </w:r>
    </w:p>
    <w:p w14:paraId="7ECB1911" w14:textId="6BB102C9" w:rsidR="006B6993" w:rsidRDefault="00B17A50" w:rsidP="007D7511">
      <w:pPr>
        <w:pStyle w:val="Answers"/>
      </w:pPr>
      <w:r>
        <w:t>A.</w:t>
      </w:r>
      <w:r>
        <w:tab/>
      </w:r>
      <w:r w:rsidR="002B5374">
        <w:t>Through 20</w:t>
      </w:r>
      <w:r w:rsidR="00177726">
        <w:t>29</w:t>
      </w:r>
      <w:r w:rsidR="002B5374">
        <w:t xml:space="preserve">, </w:t>
      </w:r>
      <w:r w:rsidR="001845B8">
        <w:t>load reductions in the B2026 load forecast are primarily</w:t>
      </w:r>
      <w:r w:rsidR="006B6993">
        <w:t xml:space="preserve"> driven by reductions to the </w:t>
      </w:r>
      <w:r w:rsidR="004857B0">
        <w:t>l</w:t>
      </w:r>
      <w:r w:rsidR="00836792">
        <w:t xml:space="preserve">arge </w:t>
      </w:r>
      <w:r w:rsidR="004857B0">
        <w:t>l</w:t>
      </w:r>
      <w:r w:rsidR="00836792">
        <w:t>oad</w:t>
      </w:r>
      <w:r w:rsidR="006B6993">
        <w:t xml:space="preserve"> forecast, </w:t>
      </w:r>
      <w:r w:rsidR="003772B8">
        <w:t>as shown in Table 4. Other factors contributing to the decrease include reductions to the Organic Residential and Industrial classes</w:t>
      </w:r>
      <w:r w:rsidR="00836792">
        <w:t xml:space="preserve"> as well as a near-term reduction to the Organic Commercial forecast</w:t>
      </w:r>
      <w:r w:rsidR="00550223">
        <w:t xml:space="preserve">. </w:t>
      </w:r>
    </w:p>
    <w:p w14:paraId="24BE76B6" w14:textId="7815168D" w:rsidR="00E85D5E" w:rsidRDefault="006B6993" w:rsidP="0036699E">
      <w:pPr>
        <w:pStyle w:val="Caption"/>
        <w:keepLines/>
      </w:pPr>
      <w:bookmarkStart w:id="30" w:name="_Ref212582478"/>
      <w:bookmarkStart w:id="31" w:name="_Toc213766874"/>
      <w:r>
        <w:lastRenderedPageBreak/>
        <w:t xml:space="preserve">Table </w:t>
      </w:r>
      <w:fldSimple w:instr=" SEQ Table \* ARABIC ">
        <w:r w:rsidR="00220F39">
          <w:rPr>
            <w:noProof/>
          </w:rPr>
          <w:t>4</w:t>
        </w:r>
      </w:fldSimple>
      <w:bookmarkEnd w:id="30"/>
      <w:r>
        <w:t xml:space="preserve">: </w:t>
      </w:r>
      <w:r w:rsidR="00E85D5E">
        <w:t xml:space="preserve">LRM </w:t>
      </w:r>
      <w:r>
        <w:t xml:space="preserve">Contributions to </w:t>
      </w:r>
      <w:r w:rsidR="002C638D">
        <w:t xml:space="preserve">Near-Term </w:t>
      </w:r>
      <w:r>
        <w:t xml:space="preserve">Summer Coincident Peak Load Reductions </w:t>
      </w:r>
      <w:r w:rsidR="002C638D">
        <w:br/>
      </w:r>
      <w:r>
        <w:t>from the B2025 to B2026 Forecast</w:t>
      </w:r>
      <w:r w:rsidR="00AE2C1E">
        <w:t xml:space="preserve"> (MW)</w:t>
      </w:r>
      <w:r>
        <w:rPr>
          <w:rStyle w:val="FootnoteReference"/>
        </w:rPr>
        <w:footnoteReference w:id="21"/>
      </w:r>
      <w:bookmarkEnd w:id="31"/>
    </w:p>
    <w:tbl>
      <w:tblPr>
        <w:tblW w:w="0" w:type="auto"/>
        <w:jc w:val="center"/>
        <w:tblLook w:val="04A0" w:firstRow="1" w:lastRow="0" w:firstColumn="1" w:lastColumn="0" w:noHBand="0" w:noVBand="1"/>
      </w:tblPr>
      <w:tblGrid>
        <w:gridCol w:w="663"/>
        <w:gridCol w:w="734"/>
        <w:gridCol w:w="1250"/>
        <w:gridCol w:w="772"/>
        <w:gridCol w:w="1250"/>
        <w:gridCol w:w="2019"/>
      </w:tblGrid>
      <w:tr w:rsidR="00E85D5E" w:rsidRPr="00E85D5E" w14:paraId="7796DF7D" w14:textId="77777777" w:rsidTr="00055C2D">
        <w:trPr>
          <w:trHeight w:val="590"/>
          <w:jc w:val="center"/>
        </w:trPr>
        <w:tc>
          <w:tcPr>
            <w:tcW w:w="0" w:type="auto"/>
            <w:tcBorders>
              <w:top w:val="nil"/>
              <w:left w:val="nil"/>
              <w:bottom w:val="nil"/>
              <w:right w:val="nil"/>
            </w:tcBorders>
            <w:noWrap/>
            <w:vAlign w:val="bottom"/>
            <w:hideMark/>
          </w:tcPr>
          <w:p w14:paraId="39DCD9C4" w14:textId="77777777" w:rsidR="00E85D5E" w:rsidRPr="00E85D5E" w:rsidRDefault="00E85D5E" w:rsidP="0036699E">
            <w:pPr>
              <w:keepNext/>
              <w:keepLines/>
              <w:jc w:val="left"/>
              <w:rPr>
                <w:rFonts w:eastAsia="Times New Roman"/>
                <w:sz w:val="24"/>
                <w:szCs w:val="24"/>
              </w:rPr>
            </w:pPr>
          </w:p>
        </w:tc>
        <w:tc>
          <w:tcPr>
            <w:tcW w:w="0" w:type="auto"/>
            <w:gridSpan w:val="2"/>
            <w:tcBorders>
              <w:top w:val="single" w:sz="8" w:space="0" w:color="auto"/>
              <w:left w:val="single" w:sz="8" w:space="0" w:color="auto"/>
              <w:bottom w:val="single" w:sz="8" w:space="0" w:color="auto"/>
              <w:right w:val="single" w:sz="4" w:space="0" w:color="000000"/>
            </w:tcBorders>
            <w:shd w:val="clear" w:color="000000" w:fill="DDEBF7"/>
            <w:vAlign w:val="bottom"/>
            <w:hideMark/>
          </w:tcPr>
          <w:p w14:paraId="689B1023" w14:textId="6DA9658A" w:rsidR="00E85D5E" w:rsidRPr="00E85D5E" w:rsidRDefault="00E85D5E" w:rsidP="0036699E">
            <w:pPr>
              <w:keepNext/>
              <w:keepLines/>
              <w:jc w:val="center"/>
              <w:rPr>
                <w:rFonts w:ascii="Calibri" w:eastAsia="Times New Roman" w:hAnsi="Calibri" w:cs="Calibri"/>
                <w:b/>
                <w:bCs/>
                <w:color w:val="000000"/>
              </w:rPr>
            </w:pPr>
            <w:r w:rsidRPr="00E85D5E">
              <w:rPr>
                <w:rFonts w:ascii="Calibri" w:eastAsia="Times New Roman" w:hAnsi="Calibri" w:cs="Calibri"/>
                <w:b/>
                <w:bCs/>
                <w:color w:val="000000"/>
              </w:rPr>
              <w:t xml:space="preserve">Large </w:t>
            </w:r>
            <w:r w:rsidRPr="00E85D5E">
              <w:rPr>
                <w:rFonts w:ascii="Calibri" w:eastAsia="Times New Roman" w:hAnsi="Calibri" w:cs="Calibri"/>
                <w:b/>
                <w:bCs/>
                <w:color w:val="000000"/>
              </w:rPr>
              <w:br/>
              <w:t>Data Center</w:t>
            </w:r>
            <w:r w:rsidR="004857B0">
              <w:rPr>
                <w:rFonts w:ascii="Calibri" w:eastAsia="Times New Roman" w:hAnsi="Calibri" w:cs="Calibri"/>
                <w:b/>
                <w:bCs/>
                <w:color w:val="000000"/>
              </w:rPr>
              <w:t>s</w:t>
            </w:r>
          </w:p>
        </w:tc>
        <w:tc>
          <w:tcPr>
            <w:tcW w:w="0" w:type="auto"/>
            <w:gridSpan w:val="2"/>
            <w:tcBorders>
              <w:top w:val="single" w:sz="8" w:space="0" w:color="auto"/>
              <w:left w:val="nil"/>
              <w:bottom w:val="single" w:sz="8" w:space="0" w:color="auto"/>
              <w:right w:val="single" w:sz="8" w:space="0" w:color="000000"/>
            </w:tcBorders>
            <w:shd w:val="clear" w:color="000000" w:fill="DDEBF7"/>
            <w:vAlign w:val="bottom"/>
            <w:hideMark/>
          </w:tcPr>
          <w:p w14:paraId="1FC70A0D" w14:textId="77777777" w:rsidR="00E85D5E" w:rsidRPr="00E85D5E" w:rsidRDefault="00E85D5E" w:rsidP="0036699E">
            <w:pPr>
              <w:keepNext/>
              <w:keepLines/>
              <w:jc w:val="center"/>
              <w:rPr>
                <w:rFonts w:ascii="Calibri" w:eastAsia="Times New Roman" w:hAnsi="Calibri" w:cs="Calibri"/>
                <w:b/>
                <w:bCs/>
                <w:color w:val="000000"/>
              </w:rPr>
            </w:pPr>
            <w:r w:rsidRPr="00E85D5E">
              <w:rPr>
                <w:rFonts w:ascii="Calibri" w:eastAsia="Times New Roman" w:hAnsi="Calibri" w:cs="Calibri"/>
                <w:b/>
                <w:bCs/>
                <w:color w:val="000000"/>
              </w:rPr>
              <w:t xml:space="preserve">Large Industrial </w:t>
            </w:r>
          </w:p>
        </w:tc>
        <w:tc>
          <w:tcPr>
            <w:tcW w:w="0" w:type="auto"/>
            <w:tcBorders>
              <w:top w:val="nil"/>
              <w:left w:val="nil"/>
              <w:bottom w:val="nil"/>
              <w:right w:val="nil"/>
            </w:tcBorders>
            <w:noWrap/>
            <w:vAlign w:val="bottom"/>
            <w:hideMark/>
          </w:tcPr>
          <w:p w14:paraId="31D94773" w14:textId="77777777" w:rsidR="00E85D5E" w:rsidRPr="00E85D5E" w:rsidRDefault="00E85D5E" w:rsidP="0036699E">
            <w:pPr>
              <w:keepNext/>
              <w:keepLines/>
              <w:jc w:val="center"/>
              <w:rPr>
                <w:rFonts w:ascii="Calibri" w:eastAsia="Times New Roman" w:hAnsi="Calibri" w:cs="Calibri"/>
                <w:b/>
                <w:bCs/>
                <w:color w:val="000000"/>
              </w:rPr>
            </w:pPr>
          </w:p>
        </w:tc>
      </w:tr>
      <w:tr w:rsidR="00E85D5E" w:rsidRPr="00E85D5E" w14:paraId="3EBD54CC" w14:textId="77777777" w:rsidTr="00E85D5E">
        <w:trPr>
          <w:trHeight w:val="580"/>
          <w:jc w:val="center"/>
        </w:trPr>
        <w:tc>
          <w:tcPr>
            <w:tcW w:w="0" w:type="auto"/>
            <w:tcBorders>
              <w:top w:val="single" w:sz="8" w:space="0" w:color="auto"/>
              <w:left w:val="single" w:sz="8" w:space="0" w:color="auto"/>
              <w:bottom w:val="single" w:sz="4" w:space="0" w:color="auto"/>
              <w:right w:val="single" w:sz="4" w:space="0" w:color="auto"/>
            </w:tcBorders>
            <w:shd w:val="clear" w:color="000000" w:fill="DDEBF7"/>
            <w:vAlign w:val="bottom"/>
            <w:hideMark/>
          </w:tcPr>
          <w:p w14:paraId="7208C102" w14:textId="77777777" w:rsidR="00E85D5E" w:rsidRPr="00E85D5E" w:rsidRDefault="00E85D5E" w:rsidP="0036699E">
            <w:pPr>
              <w:keepNext/>
              <w:keepLines/>
              <w:jc w:val="left"/>
              <w:rPr>
                <w:rFonts w:ascii="Calibri" w:eastAsia="Times New Roman" w:hAnsi="Calibri" w:cs="Calibri"/>
                <w:b/>
                <w:bCs/>
                <w:color w:val="000000"/>
              </w:rPr>
            </w:pPr>
            <w:r w:rsidRPr="00E85D5E">
              <w:rPr>
                <w:rFonts w:ascii="Calibri" w:eastAsia="Times New Roman" w:hAnsi="Calibri" w:cs="Calibri"/>
                <w:b/>
                <w:bCs/>
                <w:color w:val="000000"/>
              </w:rPr>
              <w:t>Year</w:t>
            </w:r>
          </w:p>
        </w:tc>
        <w:tc>
          <w:tcPr>
            <w:tcW w:w="0" w:type="auto"/>
            <w:tcBorders>
              <w:top w:val="nil"/>
              <w:left w:val="nil"/>
              <w:bottom w:val="single" w:sz="4" w:space="0" w:color="auto"/>
              <w:right w:val="nil"/>
            </w:tcBorders>
            <w:shd w:val="clear" w:color="000000" w:fill="F2F2F2"/>
            <w:vAlign w:val="bottom"/>
            <w:hideMark/>
          </w:tcPr>
          <w:p w14:paraId="54E15AA4" w14:textId="77777777" w:rsidR="00E85D5E" w:rsidRPr="00E85D5E" w:rsidRDefault="00E85D5E" w:rsidP="0036699E">
            <w:pPr>
              <w:keepNext/>
              <w:keepLines/>
              <w:jc w:val="center"/>
              <w:rPr>
                <w:rFonts w:ascii="Calibri" w:eastAsia="Times New Roman" w:hAnsi="Calibri" w:cs="Calibri"/>
                <w:b/>
                <w:bCs/>
                <w:color w:val="000000"/>
              </w:rPr>
            </w:pPr>
            <w:r w:rsidRPr="00E85D5E">
              <w:rPr>
                <w:rFonts w:ascii="Calibri" w:eastAsia="Times New Roman" w:hAnsi="Calibri" w:cs="Calibri"/>
                <w:b/>
                <w:bCs/>
                <w:color w:val="000000"/>
              </w:rPr>
              <w:t>MW</w:t>
            </w:r>
          </w:p>
        </w:tc>
        <w:tc>
          <w:tcPr>
            <w:tcW w:w="0" w:type="auto"/>
            <w:tcBorders>
              <w:top w:val="nil"/>
              <w:left w:val="nil"/>
              <w:bottom w:val="single" w:sz="4" w:space="0" w:color="auto"/>
              <w:right w:val="single" w:sz="4" w:space="0" w:color="auto"/>
            </w:tcBorders>
            <w:shd w:val="clear" w:color="000000" w:fill="F2F2F2"/>
            <w:vAlign w:val="bottom"/>
            <w:hideMark/>
          </w:tcPr>
          <w:p w14:paraId="6AA70F69" w14:textId="77777777" w:rsidR="00E85D5E" w:rsidRDefault="00E85D5E" w:rsidP="0036699E">
            <w:pPr>
              <w:keepNext/>
              <w:keepLines/>
              <w:jc w:val="center"/>
              <w:rPr>
                <w:rFonts w:ascii="Calibri" w:eastAsia="Times New Roman" w:hAnsi="Calibri" w:cs="Calibri"/>
                <w:b/>
                <w:bCs/>
                <w:color w:val="000000"/>
              </w:rPr>
            </w:pPr>
            <w:r w:rsidRPr="00E85D5E">
              <w:rPr>
                <w:rFonts w:ascii="Calibri" w:eastAsia="Times New Roman" w:hAnsi="Calibri" w:cs="Calibri"/>
                <w:b/>
                <w:bCs/>
                <w:color w:val="000000"/>
              </w:rPr>
              <w:t xml:space="preserve">% Net Peak </w:t>
            </w:r>
          </w:p>
          <w:p w14:paraId="645F3B97" w14:textId="07412EA4" w:rsidR="00E85D5E" w:rsidRPr="00E85D5E" w:rsidRDefault="00E85D5E" w:rsidP="0036699E">
            <w:pPr>
              <w:keepNext/>
              <w:keepLines/>
              <w:jc w:val="center"/>
              <w:rPr>
                <w:rFonts w:ascii="Calibri" w:eastAsia="Times New Roman" w:hAnsi="Calibri" w:cs="Calibri"/>
                <w:b/>
                <w:bCs/>
                <w:color w:val="000000"/>
              </w:rPr>
            </w:pPr>
            <w:r w:rsidRPr="00E85D5E">
              <w:rPr>
                <w:rFonts w:ascii="Calibri" w:eastAsia="Times New Roman" w:hAnsi="Calibri" w:cs="Calibri"/>
                <w:b/>
                <w:bCs/>
                <w:color w:val="000000"/>
              </w:rPr>
              <w:t>Reduction</w:t>
            </w:r>
          </w:p>
        </w:tc>
        <w:tc>
          <w:tcPr>
            <w:tcW w:w="0" w:type="auto"/>
            <w:tcBorders>
              <w:top w:val="nil"/>
              <w:left w:val="nil"/>
              <w:bottom w:val="single" w:sz="4" w:space="0" w:color="auto"/>
              <w:right w:val="nil"/>
            </w:tcBorders>
            <w:shd w:val="clear" w:color="000000" w:fill="F2F2F2"/>
            <w:vAlign w:val="bottom"/>
            <w:hideMark/>
          </w:tcPr>
          <w:p w14:paraId="347DECEB" w14:textId="77777777" w:rsidR="00E85D5E" w:rsidRPr="00E85D5E" w:rsidRDefault="00E85D5E" w:rsidP="0036699E">
            <w:pPr>
              <w:keepNext/>
              <w:keepLines/>
              <w:jc w:val="center"/>
              <w:rPr>
                <w:rFonts w:ascii="Calibri" w:eastAsia="Times New Roman" w:hAnsi="Calibri" w:cs="Calibri"/>
                <w:b/>
                <w:bCs/>
                <w:color w:val="000000"/>
              </w:rPr>
            </w:pPr>
            <w:r w:rsidRPr="00E85D5E">
              <w:rPr>
                <w:rFonts w:ascii="Calibri" w:eastAsia="Times New Roman" w:hAnsi="Calibri" w:cs="Calibri"/>
                <w:b/>
                <w:bCs/>
                <w:color w:val="000000"/>
              </w:rPr>
              <w:t>MW</w:t>
            </w:r>
          </w:p>
        </w:tc>
        <w:tc>
          <w:tcPr>
            <w:tcW w:w="0" w:type="auto"/>
            <w:tcBorders>
              <w:top w:val="nil"/>
              <w:left w:val="nil"/>
              <w:bottom w:val="single" w:sz="4" w:space="0" w:color="auto"/>
              <w:right w:val="single" w:sz="4" w:space="0" w:color="auto"/>
            </w:tcBorders>
            <w:shd w:val="clear" w:color="000000" w:fill="F2F2F2"/>
            <w:vAlign w:val="bottom"/>
            <w:hideMark/>
          </w:tcPr>
          <w:p w14:paraId="322762BF" w14:textId="77777777" w:rsidR="00E85D5E" w:rsidRDefault="00E85D5E" w:rsidP="0036699E">
            <w:pPr>
              <w:keepNext/>
              <w:keepLines/>
              <w:jc w:val="center"/>
              <w:rPr>
                <w:rFonts w:ascii="Calibri" w:eastAsia="Times New Roman" w:hAnsi="Calibri" w:cs="Calibri"/>
                <w:b/>
                <w:bCs/>
                <w:color w:val="000000"/>
              </w:rPr>
            </w:pPr>
            <w:r w:rsidRPr="00E85D5E">
              <w:rPr>
                <w:rFonts w:ascii="Calibri" w:eastAsia="Times New Roman" w:hAnsi="Calibri" w:cs="Calibri"/>
                <w:b/>
                <w:bCs/>
                <w:color w:val="000000"/>
              </w:rPr>
              <w:t xml:space="preserve">% Net Peak </w:t>
            </w:r>
          </w:p>
          <w:p w14:paraId="5DF6BDC6" w14:textId="3C26A8D2" w:rsidR="00E85D5E" w:rsidRPr="00E85D5E" w:rsidRDefault="00E85D5E" w:rsidP="0036699E">
            <w:pPr>
              <w:keepNext/>
              <w:keepLines/>
              <w:jc w:val="center"/>
              <w:rPr>
                <w:rFonts w:ascii="Calibri" w:eastAsia="Times New Roman" w:hAnsi="Calibri" w:cs="Calibri"/>
                <w:b/>
                <w:bCs/>
                <w:color w:val="000000"/>
              </w:rPr>
            </w:pPr>
            <w:r w:rsidRPr="00E85D5E">
              <w:rPr>
                <w:rFonts w:ascii="Calibri" w:eastAsia="Times New Roman" w:hAnsi="Calibri" w:cs="Calibri"/>
                <w:b/>
                <w:bCs/>
                <w:color w:val="000000"/>
              </w:rPr>
              <w:t>Reduction</w:t>
            </w:r>
          </w:p>
        </w:tc>
        <w:tc>
          <w:tcPr>
            <w:tcW w:w="0" w:type="auto"/>
            <w:tcBorders>
              <w:top w:val="single" w:sz="8" w:space="0" w:color="auto"/>
              <w:left w:val="nil"/>
              <w:bottom w:val="single" w:sz="4" w:space="0" w:color="auto"/>
              <w:right w:val="single" w:sz="8" w:space="0" w:color="auto"/>
            </w:tcBorders>
            <w:shd w:val="clear" w:color="000000" w:fill="DDEBF7"/>
            <w:vAlign w:val="bottom"/>
            <w:hideMark/>
          </w:tcPr>
          <w:p w14:paraId="5DDB3CEE" w14:textId="77777777" w:rsidR="00E85D5E" w:rsidRPr="00E85D5E" w:rsidRDefault="00E85D5E" w:rsidP="0036699E">
            <w:pPr>
              <w:keepNext/>
              <w:keepLines/>
              <w:jc w:val="left"/>
              <w:rPr>
                <w:rFonts w:ascii="Calibri" w:eastAsia="Times New Roman" w:hAnsi="Calibri" w:cs="Calibri"/>
                <w:b/>
                <w:bCs/>
                <w:color w:val="000000"/>
              </w:rPr>
            </w:pPr>
            <w:r w:rsidRPr="00E85D5E">
              <w:rPr>
                <w:rFonts w:ascii="Calibri" w:eastAsia="Times New Roman" w:hAnsi="Calibri" w:cs="Calibri"/>
                <w:b/>
                <w:bCs/>
                <w:color w:val="000000"/>
              </w:rPr>
              <w:t>Net Peak Reduction</w:t>
            </w:r>
          </w:p>
        </w:tc>
      </w:tr>
      <w:tr w:rsidR="00E85D5E" w:rsidRPr="00E85D5E" w14:paraId="38AF952B" w14:textId="77777777" w:rsidTr="00E85D5E">
        <w:trPr>
          <w:trHeight w:val="290"/>
          <w:jc w:val="center"/>
        </w:trPr>
        <w:tc>
          <w:tcPr>
            <w:tcW w:w="0" w:type="auto"/>
            <w:tcBorders>
              <w:top w:val="nil"/>
              <w:left w:val="single" w:sz="8" w:space="0" w:color="auto"/>
              <w:bottom w:val="nil"/>
              <w:right w:val="single" w:sz="4" w:space="0" w:color="auto"/>
            </w:tcBorders>
            <w:noWrap/>
            <w:vAlign w:val="bottom"/>
            <w:hideMark/>
          </w:tcPr>
          <w:p w14:paraId="006AE3E4"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2025</w:t>
            </w:r>
          </w:p>
        </w:tc>
        <w:tc>
          <w:tcPr>
            <w:tcW w:w="0" w:type="auto"/>
            <w:tcBorders>
              <w:top w:val="nil"/>
              <w:left w:val="nil"/>
              <w:bottom w:val="nil"/>
              <w:right w:val="nil"/>
            </w:tcBorders>
            <w:noWrap/>
            <w:vAlign w:val="bottom"/>
            <w:hideMark/>
          </w:tcPr>
          <w:p w14:paraId="1FB543C6"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(169)</w:t>
            </w:r>
          </w:p>
        </w:tc>
        <w:tc>
          <w:tcPr>
            <w:tcW w:w="0" w:type="auto"/>
            <w:tcBorders>
              <w:top w:val="nil"/>
              <w:left w:val="nil"/>
              <w:bottom w:val="nil"/>
              <w:right w:val="single" w:sz="4" w:space="0" w:color="auto"/>
            </w:tcBorders>
            <w:noWrap/>
            <w:vAlign w:val="bottom"/>
            <w:hideMark/>
          </w:tcPr>
          <w:p w14:paraId="07F5C146"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33%</w:t>
            </w:r>
          </w:p>
        </w:tc>
        <w:tc>
          <w:tcPr>
            <w:tcW w:w="0" w:type="auto"/>
            <w:tcBorders>
              <w:top w:val="nil"/>
              <w:left w:val="nil"/>
              <w:bottom w:val="nil"/>
              <w:right w:val="nil"/>
            </w:tcBorders>
            <w:noWrap/>
            <w:vAlign w:val="bottom"/>
            <w:hideMark/>
          </w:tcPr>
          <w:p w14:paraId="7A045E33"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(52)</w:t>
            </w:r>
          </w:p>
        </w:tc>
        <w:tc>
          <w:tcPr>
            <w:tcW w:w="0" w:type="auto"/>
            <w:tcBorders>
              <w:top w:val="nil"/>
              <w:left w:val="nil"/>
              <w:bottom w:val="nil"/>
              <w:right w:val="nil"/>
            </w:tcBorders>
            <w:noWrap/>
            <w:vAlign w:val="bottom"/>
            <w:hideMark/>
          </w:tcPr>
          <w:p w14:paraId="149EC2D4"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10%</w:t>
            </w:r>
          </w:p>
        </w:tc>
        <w:tc>
          <w:tcPr>
            <w:tcW w:w="0" w:type="auto"/>
            <w:tcBorders>
              <w:top w:val="nil"/>
              <w:left w:val="single" w:sz="4" w:space="0" w:color="auto"/>
              <w:bottom w:val="nil"/>
              <w:right w:val="single" w:sz="8" w:space="0" w:color="auto"/>
            </w:tcBorders>
            <w:noWrap/>
            <w:vAlign w:val="bottom"/>
            <w:hideMark/>
          </w:tcPr>
          <w:p w14:paraId="29A4F74A"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(514)</w:t>
            </w:r>
          </w:p>
        </w:tc>
      </w:tr>
      <w:tr w:rsidR="00E85D5E" w:rsidRPr="00E85D5E" w14:paraId="726BE898" w14:textId="77777777" w:rsidTr="00E85D5E">
        <w:trPr>
          <w:trHeight w:val="290"/>
          <w:jc w:val="center"/>
        </w:trPr>
        <w:tc>
          <w:tcPr>
            <w:tcW w:w="0" w:type="auto"/>
            <w:tcBorders>
              <w:top w:val="nil"/>
              <w:left w:val="single" w:sz="8" w:space="0" w:color="auto"/>
              <w:bottom w:val="nil"/>
              <w:right w:val="single" w:sz="4" w:space="0" w:color="auto"/>
            </w:tcBorders>
            <w:noWrap/>
            <w:vAlign w:val="bottom"/>
            <w:hideMark/>
          </w:tcPr>
          <w:p w14:paraId="42FA70CE"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2026</w:t>
            </w:r>
          </w:p>
        </w:tc>
        <w:tc>
          <w:tcPr>
            <w:tcW w:w="0" w:type="auto"/>
            <w:tcBorders>
              <w:top w:val="nil"/>
              <w:left w:val="nil"/>
              <w:bottom w:val="nil"/>
              <w:right w:val="nil"/>
            </w:tcBorders>
            <w:noWrap/>
            <w:vAlign w:val="bottom"/>
            <w:hideMark/>
          </w:tcPr>
          <w:p w14:paraId="1CC6750A"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(418)</w:t>
            </w:r>
          </w:p>
        </w:tc>
        <w:tc>
          <w:tcPr>
            <w:tcW w:w="0" w:type="auto"/>
            <w:tcBorders>
              <w:top w:val="nil"/>
              <w:left w:val="nil"/>
              <w:bottom w:val="nil"/>
              <w:right w:val="single" w:sz="4" w:space="0" w:color="auto"/>
            </w:tcBorders>
            <w:noWrap/>
            <w:vAlign w:val="bottom"/>
            <w:hideMark/>
          </w:tcPr>
          <w:p w14:paraId="0484D12F"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68%</w:t>
            </w:r>
          </w:p>
        </w:tc>
        <w:tc>
          <w:tcPr>
            <w:tcW w:w="0" w:type="auto"/>
            <w:tcBorders>
              <w:top w:val="nil"/>
              <w:left w:val="nil"/>
              <w:bottom w:val="nil"/>
              <w:right w:val="nil"/>
            </w:tcBorders>
            <w:noWrap/>
            <w:vAlign w:val="bottom"/>
            <w:hideMark/>
          </w:tcPr>
          <w:p w14:paraId="7659B5AA"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(81)</w:t>
            </w:r>
          </w:p>
        </w:tc>
        <w:tc>
          <w:tcPr>
            <w:tcW w:w="0" w:type="auto"/>
            <w:tcBorders>
              <w:top w:val="nil"/>
              <w:left w:val="nil"/>
              <w:bottom w:val="nil"/>
              <w:right w:val="nil"/>
            </w:tcBorders>
            <w:noWrap/>
            <w:vAlign w:val="bottom"/>
            <w:hideMark/>
          </w:tcPr>
          <w:p w14:paraId="6A9B206F"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13%</w:t>
            </w:r>
          </w:p>
        </w:tc>
        <w:tc>
          <w:tcPr>
            <w:tcW w:w="0" w:type="auto"/>
            <w:tcBorders>
              <w:top w:val="nil"/>
              <w:left w:val="single" w:sz="4" w:space="0" w:color="auto"/>
              <w:bottom w:val="nil"/>
              <w:right w:val="single" w:sz="8" w:space="0" w:color="auto"/>
            </w:tcBorders>
            <w:noWrap/>
            <w:vAlign w:val="bottom"/>
            <w:hideMark/>
          </w:tcPr>
          <w:p w14:paraId="5C382EE5"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(619)</w:t>
            </w:r>
          </w:p>
        </w:tc>
      </w:tr>
      <w:tr w:rsidR="00E85D5E" w:rsidRPr="00E85D5E" w14:paraId="3A88636A" w14:textId="77777777" w:rsidTr="00E85D5E">
        <w:trPr>
          <w:trHeight w:val="290"/>
          <w:jc w:val="center"/>
        </w:trPr>
        <w:tc>
          <w:tcPr>
            <w:tcW w:w="0" w:type="auto"/>
            <w:tcBorders>
              <w:top w:val="nil"/>
              <w:left w:val="single" w:sz="8" w:space="0" w:color="auto"/>
              <w:bottom w:val="nil"/>
              <w:right w:val="single" w:sz="4" w:space="0" w:color="auto"/>
            </w:tcBorders>
            <w:noWrap/>
            <w:vAlign w:val="bottom"/>
            <w:hideMark/>
          </w:tcPr>
          <w:p w14:paraId="30C71484"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2027</w:t>
            </w:r>
          </w:p>
        </w:tc>
        <w:tc>
          <w:tcPr>
            <w:tcW w:w="0" w:type="auto"/>
            <w:tcBorders>
              <w:top w:val="nil"/>
              <w:left w:val="nil"/>
              <w:bottom w:val="nil"/>
              <w:right w:val="nil"/>
            </w:tcBorders>
            <w:noWrap/>
            <w:vAlign w:val="bottom"/>
            <w:hideMark/>
          </w:tcPr>
          <w:p w14:paraId="606AEB2F"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(467)</w:t>
            </w:r>
          </w:p>
        </w:tc>
        <w:tc>
          <w:tcPr>
            <w:tcW w:w="0" w:type="auto"/>
            <w:tcBorders>
              <w:top w:val="nil"/>
              <w:left w:val="nil"/>
              <w:bottom w:val="nil"/>
              <w:right w:val="single" w:sz="4" w:space="0" w:color="auto"/>
            </w:tcBorders>
            <w:noWrap/>
            <w:vAlign w:val="bottom"/>
            <w:hideMark/>
          </w:tcPr>
          <w:p w14:paraId="00CD651C"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62%</w:t>
            </w:r>
          </w:p>
        </w:tc>
        <w:tc>
          <w:tcPr>
            <w:tcW w:w="0" w:type="auto"/>
            <w:tcBorders>
              <w:top w:val="nil"/>
              <w:left w:val="nil"/>
              <w:bottom w:val="nil"/>
              <w:right w:val="nil"/>
            </w:tcBorders>
            <w:noWrap/>
            <w:vAlign w:val="bottom"/>
            <w:hideMark/>
          </w:tcPr>
          <w:p w14:paraId="62ACA063"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(122)</w:t>
            </w:r>
          </w:p>
        </w:tc>
        <w:tc>
          <w:tcPr>
            <w:tcW w:w="0" w:type="auto"/>
            <w:tcBorders>
              <w:top w:val="nil"/>
              <w:left w:val="nil"/>
              <w:bottom w:val="nil"/>
              <w:right w:val="nil"/>
            </w:tcBorders>
            <w:noWrap/>
            <w:vAlign w:val="bottom"/>
            <w:hideMark/>
          </w:tcPr>
          <w:p w14:paraId="1391DF2B"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16%</w:t>
            </w:r>
          </w:p>
        </w:tc>
        <w:tc>
          <w:tcPr>
            <w:tcW w:w="0" w:type="auto"/>
            <w:tcBorders>
              <w:top w:val="nil"/>
              <w:left w:val="single" w:sz="4" w:space="0" w:color="auto"/>
              <w:bottom w:val="nil"/>
              <w:right w:val="single" w:sz="8" w:space="0" w:color="auto"/>
            </w:tcBorders>
            <w:noWrap/>
            <w:vAlign w:val="bottom"/>
            <w:hideMark/>
          </w:tcPr>
          <w:p w14:paraId="5E2B3475"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(755)</w:t>
            </w:r>
          </w:p>
        </w:tc>
      </w:tr>
      <w:tr w:rsidR="00E85D5E" w:rsidRPr="00E85D5E" w14:paraId="3C953C49" w14:textId="77777777" w:rsidTr="00055C2D">
        <w:trPr>
          <w:trHeight w:val="290"/>
          <w:jc w:val="center"/>
        </w:trPr>
        <w:tc>
          <w:tcPr>
            <w:tcW w:w="0" w:type="auto"/>
            <w:tcBorders>
              <w:top w:val="nil"/>
              <w:left w:val="single" w:sz="8" w:space="0" w:color="auto"/>
              <w:bottom w:val="nil"/>
              <w:right w:val="single" w:sz="4" w:space="0" w:color="auto"/>
            </w:tcBorders>
            <w:noWrap/>
            <w:vAlign w:val="bottom"/>
            <w:hideMark/>
          </w:tcPr>
          <w:p w14:paraId="1D5ABD77"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2028</w:t>
            </w:r>
          </w:p>
        </w:tc>
        <w:tc>
          <w:tcPr>
            <w:tcW w:w="0" w:type="auto"/>
            <w:tcBorders>
              <w:top w:val="nil"/>
              <w:left w:val="nil"/>
              <w:bottom w:val="nil"/>
              <w:right w:val="nil"/>
            </w:tcBorders>
            <w:noWrap/>
            <w:vAlign w:val="bottom"/>
            <w:hideMark/>
          </w:tcPr>
          <w:p w14:paraId="3D233D8C"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(223)</w:t>
            </w:r>
          </w:p>
        </w:tc>
        <w:tc>
          <w:tcPr>
            <w:tcW w:w="0" w:type="auto"/>
            <w:tcBorders>
              <w:top w:val="nil"/>
              <w:left w:val="nil"/>
              <w:bottom w:val="nil"/>
              <w:right w:val="single" w:sz="4" w:space="0" w:color="auto"/>
            </w:tcBorders>
            <w:noWrap/>
            <w:vAlign w:val="bottom"/>
            <w:hideMark/>
          </w:tcPr>
          <w:p w14:paraId="0BFCE9FF"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35%</w:t>
            </w:r>
          </w:p>
        </w:tc>
        <w:tc>
          <w:tcPr>
            <w:tcW w:w="0" w:type="auto"/>
            <w:tcBorders>
              <w:top w:val="nil"/>
              <w:left w:val="nil"/>
              <w:bottom w:val="nil"/>
              <w:right w:val="nil"/>
            </w:tcBorders>
            <w:noWrap/>
            <w:vAlign w:val="bottom"/>
            <w:hideMark/>
          </w:tcPr>
          <w:p w14:paraId="00A98FB7"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(185)</w:t>
            </w:r>
          </w:p>
        </w:tc>
        <w:tc>
          <w:tcPr>
            <w:tcW w:w="0" w:type="auto"/>
            <w:tcBorders>
              <w:top w:val="nil"/>
              <w:left w:val="nil"/>
              <w:right w:val="nil"/>
            </w:tcBorders>
            <w:noWrap/>
            <w:vAlign w:val="bottom"/>
            <w:hideMark/>
          </w:tcPr>
          <w:p w14:paraId="03FB1C2D"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29%</w:t>
            </w:r>
          </w:p>
        </w:tc>
        <w:tc>
          <w:tcPr>
            <w:tcW w:w="0" w:type="auto"/>
            <w:tcBorders>
              <w:top w:val="nil"/>
              <w:left w:val="single" w:sz="4" w:space="0" w:color="auto"/>
              <w:bottom w:val="nil"/>
              <w:right w:val="single" w:sz="8" w:space="0" w:color="auto"/>
            </w:tcBorders>
            <w:noWrap/>
            <w:vAlign w:val="bottom"/>
            <w:hideMark/>
          </w:tcPr>
          <w:p w14:paraId="5374A2C5"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(629)</w:t>
            </w:r>
          </w:p>
        </w:tc>
      </w:tr>
      <w:tr w:rsidR="00E85D5E" w:rsidRPr="00E85D5E" w14:paraId="51D24DFE" w14:textId="77777777" w:rsidTr="00055C2D">
        <w:trPr>
          <w:trHeight w:val="300"/>
          <w:jc w:val="center"/>
        </w:trPr>
        <w:tc>
          <w:tcPr>
            <w:tcW w:w="0" w:type="auto"/>
            <w:tcBorders>
              <w:top w:val="nil"/>
              <w:left w:val="single" w:sz="8" w:space="0" w:color="auto"/>
              <w:bottom w:val="single" w:sz="8" w:space="0" w:color="auto"/>
              <w:right w:val="single" w:sz="4" w:space="0" w:color="auto"/>
            </w:tcBorders>
            <w:noWrap/>
            <w:vAlign w:val="bottom"/>
            <w:hideMark/>
          </w:tcPr>
          <w:p w14:paraId="44369981"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2029</w:t>
            </w:r>
          </w:p>
        </w:tc>
        <w:tc>
          <w:tcPr>
            <w:tcW w:w="0" w:type="auto"/>
            <w:tcBorders>
              <w:top w:val="nil"/>
              <w:left w:val="nil"/>
              <w:bottom w:val="single" w:sz="8" w:space="0" w:color="auto"/>
              <w:right w:val="nil"/>
            </w:tcBorders>
            <w:noWrap/>
            <w:vAlign w:val="bottom"/>
            <w:hideMark/>
          </w:tcPr>
          <w:p w14:paraId="7DABD3A9"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52 </w:t>
            </w:r>
          </w:p>
        </w:tc>
        <w:tc>
          <w:tcPr>
            <w:tcW w:w="0" w:type="auto"/>
            <w:tcBorders>
              <w:top w:val="nil"/>
              <w:left w:val="nil"/>
              <w:bottom w:val="single" w:sz="8" w:space="0" w:color="auto"/>
              <w:right w:val="single" w:sz="4" w:space="0" w:color="auto"/>
            </w:tcBorders>
            <w:noWrap/>
            <w:vAlign w:val="bottom"/>
            <w:hideMark/>
          </w:tcPr>
          <w:p w14:paraId="43E3E684"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-13%</w:t>
            </w:r>
          </w:p>
        </w:tc>
        <w:tc>
          <w:tcPr>
            <w:tcW w:w="0" w:type="auto"/>
            <w:tcBorders>
              <w:top w:val="nil"/>
              <w:left w:val="nil"/>
              <w:bottom w:val="single" w:sz="8" w:space="0" w:color="auto"/>
              <w:right w:val="nil"/>
            </w:tcBorders>
            <w:noWrap/>
            <w:vAlign w:val="bottom"/>
            <w:hideMark/>
          </w:tcPr>
          <w:p w14:paraId="190F33FE"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(187)</w:t>
            </w:r>
          </w:p>
        </w:tc>
        <w:tc>
          <w:tcPr>
            <w:tcW w:w="0" w:type="auto"/>
            <w:tcBorders>
              <w:top w:val="nil"/>
              <w:left w:val="nil"/>
              <w:bottom w:val="single" w:sz="4" w:space="0" w:color="auto"/>
              <w:right w:val="nil"/>
            </w:tcBorders>
            <w:noWrap/>
            <w:vAlign w:val="bottom"/>
            <w:hideMark/>
          </w:tcPr>
          <w:p w14:paraId="774A492C" w14:textId="77777777" w:rsidR="00E85D5E" w:rsidRPr="00E85D5E" w:rsidRDefault="00E85D5E" w:rsidP="0036699E">
            <w:pPr>
              <w:keepNext/>
              <w:keepLines/>
              <w:jc w:val="right"/>
              <w:rPr>
                <w:rFonts w:ascii="Calibri" w:eastAsia="Times New Roman" w:hAnsi="Calibri" w:cs="Calibri"/>
                <w:color w:val="000000"/>
              </w:rPr>
            </w:pPr>
            <w:r w:rsidRPr="00E85D5E">
              <w:rPr>
                <w:rFonts w:ascii="Calibri" w:eastAsia="Times New Roman" w:hAnsi="Calibri" w:cs="Calibri"/>
                <w:color w:val="000000"/>
              </w:rPr>
              <w:t>48%</w:t>
            </w:r>
          </w:p>
        </w:tc>
        <w:tc>
          <w:tcPr>
            <w:tcW w:w="0" w:type="auto"/>
            <w:tcBorders>
              <w:top w:val="nil"/>
              <w:left w:val="single" w:sz="4" w:space="0" w:color="auto"/>
              <w:bottom w:val="single" w:sz="8" w:space="0" w:color="auto"/>
              <w:right w:val="single" w:sz="8" w:space="0" w:color="auto"/>
            </w:tcBorders>
            <w:noWrap/>
            <w:vAlign w:val="bottom"/>
            <w:hideMark/>
          </w:tcPr>
          <w:p w14:paraId="77E61C22" w14:textId="77777777" w:rsidR="00E85D5E" w:rsidRPr="00E85D5E" w:rsidRDefault="00E85D5E" w:rsidP="0036699E">
            <w:pPr>
              <w:keepNext/>
              <w:keepLines/>
              <w:jc w:val="left"/>
              <w:rPr>
                <w:rFonts w:ascii="Calibri" w:eastAsia="Times New Roman" w:hAnsi="Calibri" w:cs="Calibri"/>
                <w:color w:val="000000"/>
              </w:rPr>
            </w:pPr>
            <w:r w:rsidRPr="00E85D5E">
              <w:rPr>
                <w:rFonts w:ascii="Calibri" w:eastAsia="Times New Roman" w:hAnsi="Calibri" w:cs="Calibri"/>
                <w:color w:val="000000"/>
              </w:rPr>
              <w:t xml:space="preserve">             (392)</w:t>
            </w:r>
          </w:p>
        </w:tc>
      </w:tr>
    </w:tbl>
    <w:p w14:paraId="02127775" w14:textId="1B6F480C" w:rsidR="006B6993" w:rsidRDefault="002D330E" w:rsidP="44634E5F">
      <w:pPr>
        <w:pStyle w:val="Answers"/>
        <w:spacing w:before="240"/>
        <w:ind w:firstLine="0"/>
      </w:pPr>
      <w:r>
        <w:tab/>
      </w:r>
      <w:r w:rsidR="00907EDF">
        <w:t xml:space="preserve">The Company explains that the </w:t>
      </w:r>
      <w:r w:rsidR="004857B0">
        <w:t>l</w:t>
      </w:r>
      <w:r w:rsidR="00907EDF">
        <w:t xml:space="preserve">arge </w:t>
      </w:r>
      <w:r w:rsidR="004857B0">
        <w:t>l</w:t>
      </w:r>
      <w:r w:rsidR="00907EDF">
        <w:t>oad forecast is growing “slower than the previous version due to more stringent risk adjustment assumptions.”</w:t>
      </w:r>
      <w:r w:rsidR="00907EDF">
        <w:rPr>
          <w:rStyle w:val="FootnoteReference"/>
        </w:rPr>
        <w:footnoteReference w:id="22"/>
      </w:r>
      <w:r w:rsidR="00907EDF">
        <w:t xml:space="preserve"> The Company is referring to the rubric introduced in the Company’s Rebuttal testimony during the 2025 IRP Proceeding, which provides a framework to assign probabilities to the likelihood of a project signing a contract with the Company (“P2”) within the </w:t>
      </w:r>
      <w:r w:rsidR="007E6A70">
        <w:t>LRM</w:t>
      </w:r>
      <w:r w:rsidR="00907EDF">
        <w:t>.</w:t>
      </w:r>
      <w:r w:rsidR="00907EDF">
        <w:rPr>
          <w:rStyle w:val="FootnoteReference"/>
        </w:rPr>
        <w:footnoteReference w:id="23"/>
      </w:r>
      <w:r w:rsidR="00907EDF">
        <w:t xml:space="preserve"> Prior to this rubric, the Company did not have a clear framework to assign these P2 values. This modification resulted in a reduction to the large load forecast overall.</w:t>
      </w:r>
    </w:p>
    <w:p w14:paraId="09594CA5" w14:textId="172BC463" w:rsidR="00907EDF" w:rsidRDefault="00907EDF" w:rsidP="007D7511">
      <w:pPr>
        <w:pStyle w:val="Answers"/>
        <w:spacing w:before="240"/>
      </w:pPr>
      <w:r>
        <w:tab/>
      </w:r>
      <w:r w:rsidR="002D330E">
        <w:tab/>
      </w:r>
      <w:r w:rsidR="00221FE7">
        <w:t>R</w:t>
      </w:r>
      <w:r>
        <w:t xml:space="preserve">eductions to the </w:t>
      </w:r>
      <w:r w:rsidR="00221FE7">
        <w:t>L</w:t>
      </w:r>
      <w:r>
        <w:t xml:space="preserve">arge </w:t>
      </w:r>
      <w:r w:rsidR="00221FE7">
        <w:t>L</w:t>
      </w:r>
      <w:r>
        <w:t xml:space="preserve">oad forecast </w:t>
      </w:r>
      <w:r w:rsidR="00B67F5E">
        <w:t xml:space="preserve">were </w:t>
      </w:r>
      <w:r w:rsidR="00221FE7">
        <w:t xml:space="preserve">also </w:t>
      </w:r>
      <w:r>
        <w:t xml:space="preserve">driven by a new classification system for </w:t>
      </w:r>
      <w:r w:rsidR="00221FE7">
        <w:t>D</w:t>
      </w:r>
      <w:r>
        <w:t xml:space="preserve">ata </w:t>
      </w:r>
      <w:r w:rsidR="00221FE7">
        <w:t>C</w:t>
      </w:r>
      <w:r>
        <w:t xml:space="preserve">enter projects specifically, which differentiated the likelihood of load materialization based on the type of customer. This system, also introduced in the Company’s Rebuttal testimony during the prior IRP proceeding, assumes that prospective customers with demonstrated experience developing </w:t>
      </w:r>
      <w:r w:rsidR="00221FE7">
        <w:t>D</w:t>
      </w:r>
      <w:r>
        <w:t xml:space="preserve">ata </w:t>
      </w:r>
      <w:r w:rsidR="00221FE7">
        <w:t>C</w:t>
      </w:r>
      <w:r>
        <w:t>enters (“</w:t>
      </w:r>
      <w:r w:rsidR="00221FE7">
        <w:t>H</w:t>
      </w:r>
      <w:r>
        <w:t xml:space="preserve">yperscalers”) should </w:t>
      </w:r>
      <w:r>
        <w:lastRenderedPageBreak/>
        <w:t>be expected to materialize at a higher p</w:t>
      </w:r>
      <w:r w:rsidR="00B67F5E">
        <w:t>ercentage</w:t>
      </w:r>
      <w:r>
        <w:t xml:space="preserve"> of their announced load compared to those who have less experience or do not have secured tenants for their </w:t>
      </w:r>
      <w:r w:rsidR="00221FE7">
        <w:t>D</w:t>
      </w:r>
      <w:r>
        <w:t xml:space="preserve">ata </w:t>
      </w:r>
      <w:r w:rsidR="00221FE7">
        <w:t>C</w:t>
      </w:r>
      <w:r>
        <w:t>enters (“</w:t>
      </w:r>
      <w:r w:rsidR="00221FE7">
        <w:t>D</w:t>
      </w:r>
      <w:r>
        <w:t>evelopers”).</w:t>
      </w:r>
      <w:r>
        <w:rPr>
          <w:rStyle w:val="FootnoteReference"/>
        </w:rPr>
        <w:footnoteReference w:id="24"/>
      </w:r>
      <w:r>
        <w:t xml:space="preserve"> These changes to the </w:t>
      </w:r>
      <w:r w:rsidR="00221FE7">
        <w:t>L</w:t>
      </w:r>
      <w:r>
        <w:t xml:space="preserve">arge </w:t>
      </w:r>
      <w:r w:rsidR="00221FE7">
        <w:t>L</w:t>
      </w:r>
      <w:r>
        <w:t xml:space="preserve">oad forecast specifically reduced the Large Commercial forecast. </w:t>
      </w:r>
    </w:p>
    <w:p w14:paraId="2D64C9E3" w14:textId="65946A43" w:rsidR="007D7511" w:rsidRDefault="007D7511" w:rsidP="007D7511">
      <w:pPr>
        <w:pStyle w:val="Answers"/>
        <w:spacing w:before="240"/>
      </w:pPr>
      <w:r>
        <w:tab/>
      </w:r>
      <w:r>
        <w:tab/>
        <w:t xml:space="preserve">The </w:t>
      </w:r>
      <w:r w:rsidR="00221FE7">
        <w:t>O</w:t>
      </w:r>
      <w:r>
        <w:t>rganic Industrial forecast</w:t>
      </w:r>
      <w:r w:rsidR="002C638D">
        <w:t xml:space="preserve"> continues to decrease, growing at 1.21% CAGR in the B2026 forecast, compared to 1.7% in the February 2025 Sensitivity and 2.2% in the B2025 Forecast.</w:t>
      </w:r>
      <w:r w:rsidR="002C638D">
        <w:rPr>
          <w:rStyle w:val="FootnoteReference"/>
        </w:rPr>
        <w:footnoteReference w:id="25"/>
      </w:r>
      <w:r w:rsidR="002C638D">
        <w:t xml:space="preserve"> Reductions in </w:t>
      </w:r>
      <w:r w:rsidR="00221FE7">
        <w:t>O</w:t>
      </w:r>
      <w:r w:rsidR="002C638D">
        <w:t xml:space="preserve">rganic Industrial sales are driven primarily by changes to the Industrial Production </w:t>
      </w:r>
      <w:r w:rsidR="00221FE7">
        <w:t>I</w:t>
      </w:r>
      <w:r w:rsidR="002C638D">
        <w:t>ndex</w:t>
      </w:r>
      <w:r w:rsidR="00221FE7">
        <w:t>, a key independent variable in the econometric model</w:t>
      </w:r>
      <w:r w:rsidR="002C638D">
        <w:t>.</w:t>
      </w:r>
      <w:r w:rsidR="002C638D">
        <w:rPr>
          <w:rStyle w:val="FootnoteReference"/>
        </w:rPr>
        <w:footnoteReference w:id="26"/>
      </w:r>
    </w:p>
    <w:p w14:paraId="3D612237" w14:textId="4510CCCD" w:rsidR="007D7511" w:rsidRDefault="007D7511" w:rsidP="007D7511">
      <w:pPr>
        <w:pStyle w:val="Answers"/>
        <w:spacing w:before="240"/>
      </w:pPr>
      <w:r>
        <w:tab/>
      </w:r>
      <w:r>
        <w:tab/>
        <w:t xml:space="preserve">The </w:t>
      </w:r>
      <w:r w:rsidR="00221FE7">
        <w:t>O</w:t>
      </w:r>
      <w:r>
        <w:t>rganic Commercial forecast</w:t>
      </w:r>
      <w:r w:rsidR="00907EDF">
        <w:t xml:space="preserve"> decreased in the near-term through 2028 while increasing slightly in the years beyond.</w:t>
      </w:r>
      <w:r w:rsidR="002C638D">
        <w:rPr>
          <w:rStyle w:val="FootnoteReference"/>
        </w:rPr>
        <w:footnoteReference w:id="27"/>
      </w:r>
      <w:r w:rsidR="00907EDF">
        <w:t xml:space="preserve"> </w:t>
      </w:r>
      <w:r w:rsidR="002C638D">
        <w:t xml:space="preserve">Long-term growth is driven by an increase </w:t>
      </w:r>
      <w:r w:rsidR="00221FE7">
        <w:t xml:space="preserve">in </w:t>
      </w:r>
      <w:r w:rsidR="002C638D">
        <w:t xml:space="preserve">the energy intensity of customers, </w:t>
      </w:r>
      <w:r w:rsidR="00221FE7">
        <w:t xml:space="preserve">particularly </w:t>
      </w:r>
      <w:r w:rsidR="002C638D">
        <w:t>driven by growth in the size of data center customers.</w:t>
      </w:r>
      <w:r w:rsidR="002C638D">
        <w:rPr>
          <w:rStyle w:val="FootnoteReference"/>
        </w:rPr>
        <w:footnoteReference w:id="28"/>
      </w:r>
    </w:p>
    <w:p w14:paraId="45E1AA12" w14:textId="0519BD25" w:rsidR="007D7511" w:rsidRDefault="007D7511" w:rsidP="007D7511">
      <w:pPr>
        <w:pStyle w:val="Answers"/>
        <w:spacing w:before="240"/>
      </w:pPr>
      <w:r>
        <w:tab/>
      </w:r>
      <w:r>
        <w:tab/>
        <w:t>The organic B2026 Residential forecast has shifted downward, growing at 1.12% CAGR, compared to the 1.28% projects in the B2025 and February 2025 forecasts.</w:t>
      </w:r>
      <w:r>
        <w:rPr>
          <w:rStyle w:val="FootnoteReference"/>
        </w:rPr>
        <w:footnoteReference w:id="29"/>
      </w:r>
      <w:r>
        <w:t xml:space="preserve"> The Company explains that “[a]most all the forecasted change in residential sales is due to slower growth in the Average Use forecast…</w:t>
      </w:r>
      <w:r w:rsidR="00221FE7">
        <w:t>[</w:t>
      </w:r>
      <w:r w:rsidR="002D330E">
        <w:t>T</w:t>
      </w:r>
      <w:r w:rsidR="00221FE7">
        <w:t xml:space="preserve">he Customer forecast is] </w:t>
      </w:r>
      <w:r>
        <w:t xml:space="preserve"> projected to have the same average growth rate…”</w:t>
      </w:r>
      <w:r>
        <w:rPr>
          <w:rStyle w:val="FootnoteReference"/>
        </w:rPr>
        <w:footnoteReference w:id="30"/>
      </w:r>
      <w:r>
        <w:t xml:space="preserve"> This suggests that customers are growing as expected, </w:t>
      </w:r>
      <w:r w:rsidR="003772B8">
        <w:lastRenderedPageBreak/>
        <w:t xml:space="preserve">but </w:t>
      </w:r>
      <w:r>
        <w:t xml:space="preserve">these customers are using less electricity per capita. It is not immediately clear whether this is driven by increased energy efficiency across residential appliances, customer reactions </w:t>
      </w:r>
      <w:r w:rsidR="00221FE7">
        <w:t>to changes in power prices</w:t>
      </w:r>
      <w:r>
        <w:t>, or other changes in customer behavior.</w:t>
      </w:r>
    </w:p>
    <w:p w14:paraId="2A9BE072" w14:textId="3AA8252B" w:rsidR="00A17632" w:rsidRDefault="00A17632" w:rsidP="00A17632">
      <w:pPr>
        <w:pStyle w:val="Question"/>
      </w:pPr>
      <w:r>
        <w:t>Q.</w:t>
      </w:r>
      <w:r>
        <w:tab/>
        <w:t xml:space="preserve">What are the Drivers of </w:t>
      </w:r>
      <w:r w:rsidR="00836792">
        <w:t xml:space="preserve">Changes in the </w:t>
      </w:r>
      <w:r>
        <w:t>long-term growth in the b2026 load forecast?</w:t>
      </w:r>
    </w:p>
    <w:p w14:paraId="29134C23" w14:textId="71AB93B9" w:rsidR="00177726" w:rsidRDefault="00A17632" w:rsidP="00177726">
      <w:pPr>
        <w:pStyle w:val="Answers"/>
      </w:pPr>
      <w:r>
        <w:t>A.</w:t>
      </w:r>
      <w:r>
        <w:tab/>
      </w:r>
      <w:r w:rsidR="00676650">
        <w:t xml:space="preserve">As shown in </w:t>
      </w:r>
      <w:r w:rsidR="00676650">
        <w:fldChar w:fldCharType="begin"/>
      </w:r>
      <w:r w:rsidR="00676650">
        <w:instrText xml:space="preserve"> REF _Ref212585095 \h </w:instrText>
      </w:r>
      <w:r w:rsidR="00676650">
        <w:fldChar w:fldCharType="separate"/>
      </w:r>
      <w:r w:rsidR="00220F39">
        <w:t xml:space="preserve">Table </w:t>
      </w:r>
      <w:r w:rsidR="00220F39">
        <w:rPr>
          <w:noProof/>
        </w:rPr>
        <w:t>5</w:t>
      </w:r>
      <w:r w:rsidR="00676650">
        <w:fldChar w:fldCharType="end"/>
      </w:r>
      <w:r w:rsidR="00676650">
        <w:t xml:space="preserve"> below</w:t>
      </w:r>
      <w:r w:rsidR="00177726">
        <w:t xml:space="preserve">, </w:t>
      </w:r>
      <w:r w:rsidR="00836792">
        <w:t xml:space="preserve">the changes between the B2025 and B2026 </w:t>
      </w:r>
      <w:r w:rsidR="00177726">
        <w:t xml:space="preserve">load </w:t>
      </w:r>
      <w:r w:rsidR="00836792">
        <w:t xml:space="preserve">forecasts </w:t>
      </w:r>
      <w:r w:rsidR="00676650">
        <w:t xml:space="preserve">beyond </w:t>
      </w:r>
      <w:r w:rsidR="00836792">
        <w:t xml:space="preserve">forecast year </w:t>
      </w:r>
      <w:r w:rsidR="00676650">
        <w:t xml:space="preserve">2029 </w:t>
      </w:r>
      <w:r w:rsidR="00836792">
        <w:t xml:space="preserve">are </w:t>
      </w:r>
      <w:r w:rsidR="00177726">
        <w:t xml:space="preserve">driven primarily by growth in the Large </w:t>
      </w:r>
      <w:r w:rsidR="004857B0">
        <w:t xml:space="preserve">Data Center </w:t>
      </w:r>
      <w:r w:rsidR="00177726">
        <w:t>forecast</w:t>
      </w:r>
      <w:r w:rsidR="00836792">
        <w:t>.</w:t>
      </w:r>
    </w:p>
    <w:p w14:paraId="6426C90A" w14:textId="55868154" w:rsidR="00B55380" w:rsidRDefault="00177726" w:rsidP="0044351D">
      <w:pPr>
        <w:pStyle w:val="Caption"/>
        <w:keepLines/>
      </w:pPr>
      <w:bookmarkStart w:id="32" w:name="_Ref212585095"/>
      <w:bookmarkStart w:id="33" w:name="_Toc213766875"/>
      <w:r>
        <w:lastRenderedPageBreak/>
        <w:t xml:space="preserve">Table </w:t>
      </w:r>
      <w:fldSimple w:instr=" SEQ Table \* ARABIC ">
        <w:r w:rsidR="00220F39">
          <w:rPr>
            <w:noProof/>
          </w:rPr>
          <w:t>5</w:t>
        </w:r>
      </w:fldSimple>
      <w:bookmarkEnd w:id="32"/>
      <w:r>
        <w:t xml:space="preserve">: Class Contributions to Long-Term Summer Coincident Peak Load Growth </w:t>
      </w:r>
      <w:r>
        <w:br/>
        <w:t>from the B2025 to B2026 Forecast</w:t>
      </w:r>
      <w:r w:rsidR="00EA46A0">
        <w:t xml:space="preserve"> </w:t>
      </w:r>
      <w:r>
        <w:t>(</w:t>
      </w:r>
      <w:r w:rsidR="00221FE7">
        <w:t>MW</w:t>
      </w:r>
      <w:r>
        <w:t>)</w:t>
      </w:r>
      <w:r>
        <w:rPr>
          <w:rStyle w:val="FootnoteReference"/>
        </w:rPr>
        <w:footnoteReference w:id="31"/>
      </w:r>
      <w:bookmarkEnd w:id="33"/>
    </w:p>
    <w:tbl>
      <w:tblPr>
        <w:tblW w:w="0" w:type="auto"/>
        <w:jc w:val="center"/>
        <w:tblLook w:val="04A0" w:firstRow="1" w:lastRow="0" w:firstColumn="1" w:lastColumn="0" w:noHBand="0" w:noVBand="1"/>
      </w:tblPr>
      <w:tblGrid>
        <w:gridCol w:w="804"/>
        <w:gridCol w:w="886"/>
        <w:gridCol w:w="1645"/>
        <w:gridCol w:w="673"/>
        <w:gridCol w:w="1250"/>
        <w:gridCol w:w="673"/>
        <w:gridCol w:w="1403"/>
        <w:gridCol w:w="1297"/>
      </w:tblGrid>
      <w:tr w:rsidR="00836792" w:rsidRPr="00B55380" w14:paraId="10B3DB12" w14:textId="77777777" w:rsidTr="2146B37E">
        <w:trPr>
          <w:trHeight w:val="590"/>
          <w:jc w:val="center"/>
        </w:trPr>
        <w:tc>
          <w:tcPr>
            <w:tcW w:w="0" w:type="auto"/>
            <w:tcBorders>
              <w:top w:val="nil"/>
              <w:left w:val="nil"/>
              <w:bottom w:val="single" w:sz="8" w:space="0" w:color="auto"/>
              <w:right w:val="single" w:sz="4" w:space="0" w:color="auto"/>
            </w:tcBorders>
            <w:noWrap/>
            <w:vAlign w:val="bottom"/>
            <w:hideMark/>
          </w:tcPr>
          <w:p w14:paraId="3EFB7B65" w14:textId="77777777" w:rsidR="00836792" w:rsidRPr="00B55380" w:rsidRDefault="00836792" w:rsidP="0044351D">
            <w:pPr>
              <w:keepNext/>
              <w:keepLines/>
              <w:jc w:val="left"/>
              <w:rPr>
                <w:rFonts w:eastAsia="Times New Roman"/>
                <w:sz w:val="24"/>
                <w:szCs w:val="24"/>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1D97804E" w14:textId="254723D7" w:rsidR="00836792" w:rsidRPr="00B55380" w:rsidRDefault="00836792" w:rsidP="004857B0">
            <w:pPr>
              <w:keepNext/>
              <w:keepLines/>
              <w:jc w:val="center"/>
              <w:rPr>
                <w:rFonts w:ascii="Calibri" w:eastAsia="Times New Roman" w:hAnsi="Calibri" w:cs="Calibri"/>
                <w:b/>
                <w:bCs/>
                <w:color w:val="000000"/>
              </w:rPr>
            </w:pPr>
            <w:r>
              <w:rPr>
                <w:rFonts w:ascii="Calibri" w:eastAsia="Times New Roman" w:hAnsi="Calibri" w:cs="Calibri"/>
                <w:b/>
                <w:bCs/>
                <w:color w:val="000000"/>
              </w:rPr>
              <w:t>Organic, Cogen, and DSM</w:t>
            </w:r>
          </w:p>
        </w:tc>
        <w:tc>
          <w:tcPr>
            <w:tcW w:w="0" w:type="auto"/>
            <w:gridSpan w:val="2"/>
            <w:tcBorders>
              <w:top w:val="single" w:sz="8" w:space="0" w:color="auto"/>
              <w:left w:val="single" w:sz="4" w:space="0" w:color="auto"/>
              <w:bottom w:val="single" w:sz="8" w:space="0" w:color="auto"/>
              <w:right w:val="single" w:sz="4" w:space="0" w:color="000000" w:themeColor="text1"/>
            </w:tcBorders>
            <w:shd w:val="clear" w:color="auto" w:fill="DDEBF7"/>
            <w:vAlign w:val="bottom"/>
            <w:hideMark/>
          </w:tcPr>
          <w:p w14:paraId="50B9A7B5" w14:textId="479E9134" w:rsidR="00836792" w:rsidRPr="00B55380" w:rsidRDefault="00836792" w:rsidP="0044351D">
            <w:pPr>
              <w:keepNext/>
              <w:keepLines/>
              <w:jc w:val="center"/>
              <w:rPr>
                <w:rFonts w:ascii="Calibri" w:eastAsia="Times New Roman" w:hAnsi="Calibri" w:cs="Calibri"/>
                <w:b/>
                <w:bCs/>
                <w:color w:val="000000"/>
              </w:rPr>
            </w:pPr>
            <w:r w:rsidRPr="00B55380">
              <w:rPr>
                <w:rFonts w:ascii="Calibri" w:eastAsia="Times New Roman" w:hAnsi="Calibri" w:cs="Calibri"/>
                <w:b/>
                <w:bCs/>
                <w:color w:val="000000"/>
              </w:rPr>
              <w:t xml:space="preserve">Large </w:t>
            </w:r>
            <w:r w:rsidRPr="00B55380">
              <w:rPr>
                <w:rFonts w:ascii="Calibri" w:eastAsia="Times New Roman" w:hAnsi="Calibri" w:cs="Calibri"/>
                <w:b/>
                <w:bCs/>
                <w:color w:val="000000"/>
              </w:rPr>
              <w:br/>
              <w:t>Data Center</w:t>
            </w:r>
            <w:r>
              <w:rPr>
                <w:rFonts w:ascii="Calibri" w:eastAsia="Times New Roman" w:hAnsi="Calibri" w:cs="Calibri"/>
                <w:b/>
                <w:bCs/>
                <w:color w:val="000000"/>
              </w:rPr>
              <w:t>s</w:t>
            </w:r>
          </w:p>
        </w:tc>
        <w:tc>
          <w:tcPr>
            <w:tcW w:w="0" w:type="auto"/>
            <w:gridSpan w:val="2"/>
            <w:tcBorders>
              <w:top w:val="single" w:sz="8" w:space="0" w:color="auto"/>
              <w:left w:val="nil"/>
              <w:bottom w:val="single" w:sz="8" w:space="0" w:color="auto"/>
              <w:right w:val="single" w:sz="8" w:space="0" w:color="000000" w:themeColor="text1"/>
            </w:tcBorders>
            <w:shd w:val="clear" w:color="auto" w:fill="DDEBF7"/>
            <w:vAlign w:val="bottom"/>
            <w:hideMark/>
          </w:tcPr>
          <w:p w14:paraId="7D63B8AC" w14:textId="77777777" w:rsidR="00836792" w:rsidRPr="00B55380" w:rsidRDefault="00836792" w:rsidP="0044351D">
            <w:pPr>
              <w:keepNext/>
              <w:keepLines/>
              <w:jc w:val="center"/>
              <w:rPr>
                <w:rFonts w:ascii="Calibri" w:eastAsia="Times New Roman" w:hAnsi="Calibri" w:cs="Calibri"/>
                <w:b/>
                <w:bCs/>
                <w:color w:val="000000"/>
              </w:rPr>
            </w:pPr>
            <w:r w:rsidRPr="00B55380">
              <w:rPr>
                <w:rFonts w:ascii="Calibri" w:eastAsia="Times New Roman" w:hAnsi="Calibri" w:cs="Calibri"/>
                <w:b/>
                <w:bCs/>
                <w:color w:val="000000"/>
              </w:rPr>
              <w:t xml:space="preserve">Large Industrial </w:t>
            </w:r>
          </w:p>
        </w:tc>
        <w:tc>
          <w:tcPr>
            <w:tcW w:w="0" w:type="auto"/>
            <w:tcBorders>
              <w:top w:val="nil"/>
              <w:left w:val="nil"/>
              <w:bottom w:val="nil"/>
              <w:right w:val="nil"/>
            </w:tcBorders>
            <w:noWrap/>
            <w:vAlign w:val="bottom"/>
            <w:hideMark/>
          </w:tcPr>
          <w:p w14:paraId="75B08A3A" w14:textId="77777777" w:rsidR="00836792" w:rsidRPr="00B55380" w:rsidRDefault="00836792" w:rsidP="0044351D">
            <w:pPr>
              <w:keepNext/>
              <w:keepLines/>
              <w:jc w:val="center"/>
              <w:rPr>
                <w:rFonts w:ascii="Calibri" w:eastAsia="Times New Roman" w:hAnsi="Calibri" w:cs="Calibri"/>
                <w:b/>
                <w:bCs/>
                <w:color w:val="000000"/>
              </w:rPr>
            </w:pPr>
          </w:p>
        </w:tc>
      </w:tr>
      <w:tr w:rsidR="0040134E" w:rsidRPr="00B55380" w14:paraId="47CCD87B" w14:textId="77777777" w:rsidTr="2146B37E">
        <w:trPr>
          <w:trHeight w:val="580"/>
          <w:jc w:val="center"/>
        </w:trPr>
        <w:tc>
          <w:tcPr>
            <w:tcW w:w="0" w:type="auto"/>
            <w:tcBorders>
              <w:top w:val="single" w:sz="8" w:space="0" w:color="auto"/>
              <w:left w:val="single" w:sz="8" w:space="0" w:color="auto"/>
              <w:bottom w:val="single" w:sz="4" w:space="0" w:color="auto"/>
              <w:right w:val="single" w:sz="4" w:space="0" w:color="auto"/>
            </w:tcBorders>
            <w:shd w:val="clear" w:color="auto" w:fill="DDEBF7"/>
            <w:vAlign w:val="bottom"/>
            <w:hideMark/>
          </w:tcPr>
          <w:p w14:paraId="5EE7E8BA" w14:textId="77777777" w:rsidR="00836792" w:rsidRPr="00B55380" w:rsidRDefault="00836792" w:rsidP="0044351D">
            <w:pPr>
              <w:keepNext/>
              <w:keepLines/>
              <w:jc w:val="left"/>
              <w:rPr>
                <w:rFonts w:ascii="Calibri" w:eastAsia="Times New Roman" w:hAnsi="Calibri" w:cs="Calibri"/>
                <w:b/>
                <w:bCs/>
                <w:color w:val="000000"/>
              </w:rPr>
            </w:pPr>
            <w:r w:rsidRPr="00B55380">
              <w:rPr>
                <w:rFonts w:ascii="Calibri" w:eastAsia="Times New Roman" w:hAnsi="Calibri" w:cs="Calibri"/>
                <w:b/>
                <w:bCs/>
                <w:color w:val="000000"/>
              </w:rPr>
              <w:t>Year</w:t>
            </w:r>
          </w:p>
        </w:tc>
        <w:tc>
          <w:tcPr>
            <w:tcW w:w="0" w:type="auto"/>
            <w:tcBorders>
              <w:top w:val="single" w:sz="4" w:space="0" w:color="auto"/>
              <w:left w:val="single" w:sz="4" w:space="0" w:color="auto"/>
              <w:bottom w:val="single" w:sz="4" w:space="0" w:color="auto"/>
            </w:tcBorders>
            <w:shd w:val="clear" w:color="auto" w:fill="F2F2F2" w:themeFill="background1" w:themeFillShade="F2"/>
            <w:vAlign w:val="bottom"/>
          </w:tcPr>
          <w:p w14:paraId="50A36949" w14:textId="156541B5" w:rsidR="00836792" w:rsidRPr="00B55380" w:rsidRDefault="00836792" w:rsidP="0044351D">
            <w:pPr>
              <w:keepNext/>
              <w:keepLines/>
              <w:jc w:val="center"/>
              <w:rPr>
                <w:rFonts w:ascii="Calibri" w:eastAsia="Times New Roman" w:hAnsi="Calibri" w:cs="Calibri"/>
                <w:b/>
                <w:bCs/>
                <w:color w:val="000000"/>
              </w:rPr>
            </w:pPr>
            <w:r>
              <w:rPr>
                <w:rFonts w:ascii="Calibri" w:hAnsi="Calibri" w:cs="Calibri"/>
                <w:b/>
                <w:bCs/>
                <w:color w:val="000000"/>
              </w:rPr>
              <w:t>MW</w:t>
            </w:r>
          </w:p>
        </w:tc>
        <w:tc>
          <w:tcPr>
            <w:tcW w:w="0" w:type="auto"/>
            <w:tcBorders>
              <w:top w:val="single" w:sz="4" w:space="0" w:color="auto"/>
              <w:bottom w:val="single" w:sz="4" w:space="0" w:color="auto"/>
            </w:tcBorders>
            <w:shd w:val="clear" w:color="auto" w:fill="F2F2F2" w:themeFill="background1" w:themeFillShade="F2"/>
            <w:vAlign w:val="bottom"/>
          </w:tcPr>
          <w:p w14:paraId="4ECB19D9" w14:textId="77777777" w:rsidR="00836792" w:rsidRDefault="00836792" w:rsidP="0044351D">
            <w:pPr>
              <w:keepNext/>
              <w:keepLines/>
              <w:jc w:val="center"/>
              <w:rPr>
                <w:rFonts w:ascii="Calibri" w:hAnsi="Calibri" w:cs="Calibri"/>
                <w:b/>
                <w:bCs/>
                <w:color w:val="000000"/>
              </w:rPr>
            </w:pPr>
            <w:r>
              <w:rPr>
                <w:rFonts w:ascii="Calibri" w:hAnsi="Calibri" w:cs="Calibri"/>
                <w:b/>
                <w:bCs/>
                <w:color w:val="000000"/>
              </w:rPr>
              <w:t xml:space="preserve">% Net Peak </w:t>
            </w:r>
          </w:p>
          <w:p w14:paraId="29E514F0" w14:textId="720F8A88" w:rsidR="00836792" w:rsidRPr="00B55380" w:rsidRDefault="00836792" w:rsidP="0044351D">
            <w:pPr>
              <w:keepNext/>
              <w:keepLines/>
              <w:jc w:val="center"/>
              <w:rPr>
                <w:rFonts w:ascii="Calibri" w:eastAsia="Times New Roman" w:hAnsi="Calibri" w:cs="Calibri"/>
                <w:b/>
                <w:bCs/>
                <w:color w:val="000000"/>
              </w:rPr>
            </w:pPr>
            <w:r>
              <w:rPr>
                <w:rFonts w:ascii="Calibri" w:hAnsi="Calibri" w:cs="Calibri"/>
                <w:b/>
                <w:bCs/>
                <w:color w:val="000000"/>
              </w:rPr>
              <w:t>Growth</w:t>
            </w:r>
          </w:p>
        </w:tc>
        <w:tc>
          <w:tcPr>
            <w:tcW w:w="0" w:type="auto"/>
            <w:tcBorders>
              <w:top w:val="nil"/>
              <w:left w:val="single" w:sz="8" w:space="0" w:color="auto"/>
              <w:bottom w:val="single" w:sz="4" w:space="0" w:color="auto"/>
              <w:right w:val="nil"/>
            </w:tcBorders>
            <w:shd w:val="clear" w:color="auto" w:fill="F2F2F2" w:themeFill="background1" w:themeFillShade="F2"/>
            <w:vAlign w:val="bottom"/>
            <w:hideMark/>
          </w:tcPr>
          <w:p w14:paraId="01D80157" w14:textId="5821F5F1" w:rsidR="00836792" w:rsidRPr="00B55380" w:rsidRDefault="00836792" w:rsidP="0044351D">
            <w:pPr>
              <w:keepNext/>
              <w:keepLines/>
              <w:jc w:val="center"/>
              <w:rPr>
                <w:rFonts w:ascii="Calibri" w:eastAsia="Times New Roman" w:hAnsi="Calibri" w:cs="Calibri"/>
                <w:b/>
                <w:bCs/>
                <w:color w:val="000000"/>
              </w:rPr>
            </w:pPr>
            <w:r w:rsidRPr="00B55380">
              <w:rPr>
                <w:rFonts w:ascii="Calibri" w:eastAsia="Times New Roman" w:hAnsi="Calibri" w:cs="Calibri"/>
                <w:b/>
                <w:bCs/>
                <w:color w:val="000000"/>
              </w:rPr>
              <w:t>MW</w:t>
            </w:r>
          </w:p>
        </w:tc>
        <w:tc>
          <w:tcPr>
            <w:tcW w:w="0" w:type="auto"/>
            <w:tcBorders>
              <w:top w:val="nil"/>
              <w:left w:val="nil"/>
              <w:bottom w:val="single" w:sz="4" w:space="0" w:color="auto"/>
              <w:right w:val="single" w:sz="4" w:space="0" w:color="auto"/>
            </w:tcBorders>
            <w:shd w:val="clear" w:color="auto" w:fill="F2F2F2" w:themeFill="background1" w:themeFillShade="F2"/>
            <w:vAlign w:val="bottom"/>
            <w:hideMark/>
          </w:tcPr>
          <w:p w14:paraId="6C751007" w14:textId="77777777" w:rsidR="00836792" w:rsidRDefault="00836792" w:rsidP="0044351D">
            <w:pPr>
              <w:keepNext/>
              <w:keepLines/>
              <w:jc w:val="center"/>
              <w:rPr>
                <w:rFonts w:ascii="Calibri" w:eastAsia="Times New Roman" w:hAnsi="Calibri" w:cs="Calibri"/>
                <w:b/>
                <w:bCs/>
                <w:color w:val="000000"/>
              </w:rPr>
            </w:pPr>
            <w:r w:rsidRPr="00B55380">
              <w:rPr>
                <w:rFonts w:ascii="Calibri" w:eastAsia="Times New Roman" w:hAnsi="Calibri" w:cs="Calibri"/>
                <w:b/>
                <w:bCs/>
                <w:color w:val="000000"/>
              </w:rPr>
              <w:t xml:space="preserve">% Net Peak </w:t>
            </w:r>
          </w:p>
          <w:p w14:paraId="56B80AF2" w14:textId="72F2ECD8" w:rsidR="00836792" w:rsidRPr="00B55380" w:rsidRDefault="00836792" w:rsidP="0044351D">
            <w:pPr>
              <w:keepNext/>
              <w:keepLines/>
              <w:jc w:val="center"/>
              <w:rPr>
                <w:rFonts w:ascii="Calibri" w:eastAsia="Times New Roman" w:hAnsi="Calibri" w:cs="Calibri"/>
                <w:b/>
                <w:bCs/>
                <w:color w:val="000000"/>
              </w:rPr>
            </w:pPr>
            <w:r w:rsidRPr="00B55380">
              <w:rPr>
                <w:rFonts w:ascii="Calibri" w:eastAsia="Times New Roman" w:hAnsi="Calibri" w:cs="Calibri"/>
                <w:b/>
                <w:bCs/>
                <w:color w:val="000000"/>
              </w:rPr>
              <w:t>Growth</w:t>
            </w:r>
          </w:p>
        </w:tc>
        <w:tc>
          <w:tcPr>
            <w:tcW w:w="0" w:type="auto"/>
            <w:tcBorders>
              <w:top w:val="nil"/>
              <w:left w:val="nil"/>
              <w:bottom w:val="single" w:sz="4" w:space="0" w:color="auto"/>
              <w:right w:val="nil"/>
            </w:tcBorders>
            <w:shd w:val="clear" w:color="auto" w:fill="F2F2F2" w:themeFill="background1" w:themeFillShade="F2"/>
            <w:vAlign w:val="bottom"/>
            <w:hideMark/>
          </w:tcPr>
          <w:p w14:paraId="6D88C36D" w14:textId="77777777" w:rsidR="00836792" w:rsidRPr="00B55380" w:rsidRDefault="00836792" w:rsidP="0044351D">
            <w:pPr>
              <w:keepNext/>
              <w:keepLines/>
              <w:jc w:val="center"/>
              <w:rPr>
                <w:rFonts w:ascii="Calibri" w:eastAsia="Times New Roman" w:hAnsi="Calibri" w:cs="Calibri"/>
                <w:b/>
                <w:bCs/>
                <w:color w:val="000000"/>
              </w:rPr>
            </w:pPr>
            <w:r w:rsidRPr="00B55380">
              <w:rPr>
                <w:rFonts w:ascii="Calibri" w:eastAsia="Times New Roman" w:hAnsi="Calibri" w:cs="Calibri"/>
                <w:b/>
                <w:bCs/>
                <w:color w:val="000000"/>
              </w:rPr>
              <w:t>MW</w:t>
            </w:r>
          </w:p>
        </w:tc>
        <w:tc>
          <w:tcPr>
            <w:tcW w:w="0" w:type="auto"/>
            <w:tcBorders>
              <w:top w:val="nil"/>
              <w:left w:val="nil"/>
              <w:bottom w:val="single" w:sz="4" w:space="0" w:color="auto"/>
              <w:right w:val="single" w:sz="8" w:space="0" w:color="auto"/>
            </w:tcBorders>
            <w:shd w:val="clear" w:color="auto" w:fill="F2F2F2" w:themeFill="background1" w:themeFillShade="F2"/>
            <w:vAlign w:val="bottom"/>
            <w:hideMark/>
          </w:tcPr>
          <w:p w14:paraId="77998505" w14:textId="77777777" w:rsidR="00836792" w:rsidRDefault="00836792" w:rsidP="0044351D">
            <w:pPr>
              <w:keepNext/>
              <w:keepLines/>
              <w:jc w:val="center"/>
              <w:rPr>
                <w:rFonts w:ascii="Calibri" w:eastAsia="Times New Roman" w:hAnsi="Calibri" w:cs="Calibri"/>
                <w:b/>
                <w:bCs/>
                <w:color w:val="000000"/>
              </w:rPr>
            </w:pPr>
            <w:r w:rsidRPr="00B55380">
              <w:rPr>
                <w:rFonts w:ascii="Calibri" w:eastAsia="Times New Roman" w:hAnsi="Calibri" w:cs="Calibri"/>
                <w:b/>
                <w:bCs/>
                <w:color w:val="000000"/>
              </w:rPr>
              <w:t xml:space="preserve">% Net </w:t>
            </w:r>
          </w:p>
          <w:p w14:paraId="32BE1174" w14:textId="11D01A9C" w:rsidR="00836792" w:rsidRPr="00B55380" w:rsidRDefault="00836792" w:rsidP="0044351D">
            <w:pPr>
              <w:keepNext/>
              <w:keepLines/>
              <w:jc w:val="center"/>
              <w:rPr>
                <w:rFonts w:ascii="Calibri" w:eastAsia="Times New Roman" w:hAnsi="Calibri" w:cs="Calibri"/>
                <w:b/>
                <w:bCs/>
                <w:color w:val="000000"/>
              </w:rPr>
            </w:pPr>
            <w:r w:rsidRPr="00B55380">
              <w:rPr>
                <w:rFonts w:ascii="Calibri" w:eastAsia="Times New Roman" w:hAnsi="Calibri" w:cs="Calibri"/>
                <w:b/>
                <w:bCs/>
                <w:color w:val="000000"/>
              </w:rPr>
              <w:t>Peak Growth</w:t>
            </w:r>
          </w:p>
        </w:tc>
        <w:tc>
          <w:tcPr>
            <w:tcW w:w="0" w:type="auto"/>
            <w:tcBorders>
              <w:top w:val="single" w:sz="8" w:space="0" w:color="auto"/>
              <w:left w:val="nil"/>
              <w:bottom w:val="single" w:sz="4" w:space="0" w:color="auto"/>
              <w:right w:val="single" w:sz="8" w:space="0" w:color="auto"/>
            </w:tcBorders>
            <w:shd w:val="clear" w:color="auto" w:fill="DDEBF7"/>
            <w:vAlign w:val="bottom"/>
            <w:hideMark/>
          </w:tcPr>
          <w:p w14:paraId="5087DE16" w14:textId="77777777" w:rsidR="00836792" w:rsidRDefault="00836792" w:rsidP="0044351D">
            <w:pPr>
              <w:keepNext/>
              <w:keepLines/>
              <w:jc w:val="left"/>
              <w:rPr>
                <w:rFonts w:ascii="Calibri" w:eastAsia="Times New Roman" w:hAnsi="Calibri" w:cs="Calibri"/>
                <w:b/>
                <w:bCs/>
                <w:color w:val="000000"/>
              </w:rPr>
            </w:pPr>
            <w:r w:rsidRPr="00B55380">
              <w:rPr>
                <w:rFonts w:ascii="Calibri" w:eastAsia="Times New Roman" w:hAnsi="Calibri" w:cs="Calibri"/>
                <w:b/>
                <w:bCs/>
                <w:color w:val="000000"/>
              </w:rPr>
              <w:t xml:space="preserve">Net Peak </w:t>
            </w:r>
          </w:p>
          <w:p w14:paraId="40B05580" w14:textId="246EFA5F" w:rsidR="00836792" w:rsidRPr="00B55380" w:rsidRDefault="00836792" w:rsidP="0044351D">
            <w:pPr>
              <w:keepNext/>
              <w:keepLines/>
              <w:jc w:val="left"/>
              <w:rPr>
                <w:rFonts w:ascii="Calibri" w:eastAsia="Times New Roman" w:hAnsi="Calibri" w:cs="Calibri"/>
                <w:b/>
                <w:bCs/>
                <w:color w:val="000000"/>
              </w:rPr>
            </w:pPr>
            <w:r w:rsidRPr="00B55380">
              <w:rPr>
                <w:rFonts w:ascii="Calibri" w:eastAsia="Times New Roman" w:hAnsi="Calibri" w:cs="Calibri"/>
                <w:b/>
                <w:bCs/>
                <w:color w:val="000000"/>
              </w:rPr>
              <w:t>Growth</w:t>
            </w:r>
          </w:p>
        </w:tc>
      </w:tr>
      <w:tr w:rsidR="006751FE" w:rsidRPr="00B55380" w14:paraId="76452449"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1899BD61" w14:textId="27F8E121"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2030</w:t>
            </w:r>
            <w:r>
              <w:rPr>
                <w:rStyle w:val="FootnoteReference"/>
                <w:rFonts w:ascii="Calibri" w:eastAsia="Times New Roman" w:hAnsi="Calibri"/>
                <w:color w:val="000000"/>
              </w:rPr>
              <w:footnoteReference w:id="32"/>
            </w:r>
          </w:p>
        </w:tc>
        <w:tc>
          <w:tcPr>
            <w:tcW w:w="0" w:type="auto"/>
            <w:tcBorders>
              <w:top w:val="single" w:sz="4" w:space="0" w:color="auto"/>
              <w:left w:val="single" w:sz="4" w:space="0" w:color="auto"/>
            </w:tcBorders>
            <w:shd w:val="clear" w:color="auto" w:fill="FFFF00"/>
          </w:tcPr>
          <w:p w14:paraId="47CF5F9C" w14:textId="38365D3E"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single" w:sz="4" w:space="0" w:color="auto"/>
            </w:tcBorders>
            <w:shd w:val="clear" w:color="auto" w:fill="FFFF00"/>
          </w:tcPr>
          <w:p w14:paraId="2B64FFBC" w14:textId="7551B702"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5D02EBC8" w14:textId="2868E6D1"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541C44AD" w14:textId="4C6C8574"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5B8385B3" w14:textId="5547CB87"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5FAD1099" w14:textId="0352AFD8"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0D629EFE"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4 </w:t>
            </w:r>
          </w:p>
        </w:tc>
      </w:tr>
      <w:tr w:rsidR="006751FE" w:rsidRPr="00B55380" w14:paraId="1326953D"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3963F3A1"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2031</w:t>
            </w:r>
          </w:p>
        </w:tc>
        <w:tc>
          <w:tcPr>
            <w:tcW w:w="0" w:type="auto"/>
            <w:tcBorders>
              <w:left w:val="single" w:sz="4" w:space="0" w:color="auto"/>
            </w:tcBorders>
            <w:shd w:val="clear" w:color="auto" w:fill="FFFF00"/>
          </w:tcPr>
          <w:p w14:paraId="339ADF1C" w14:textId="65068CBF"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7013DBEC" w14:textId="604C2154"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4A863530" w14:textId="4A7B372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19B35A24" w14:textId="4E43B49C"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1095D98B" w14:textId="4AAA73CC"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5FC76164" w14:textId="6206D72A"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7EF0267F"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426 </w:t>
            </w:r>
          </w:p>
        </w:tc>
      </w:tr>
      <w:tr w:rsidR="006751FE" w:rsidRPr="00B55380" w14:paraId="31079E2F"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0586106E"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2032</w:t>
            </w:r>
          </w:p>
        </w:tc>
        <w:tc>
          <w:tcPr>
            <w:tcW w:w="0" w:type="auto"/>
            <w:tcBorders>
              <w:left w:val="single" w:sz="4" w:space="0" w:color="auto"/>
            </w:tcBorders>
            <w:shd w:val="clear" w:color="auto" w:fill="FFFF00"/>
          </w:tcPr>
          <w:p w14:paraId="308862B3" w14:textId="4011BBE9"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36D684EF" w14:textId="2E1A342F"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033107C2" w14:textId="2C619F2D"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0B034F02" w14:textId="15E8B71F"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18FAB5AE" w14:textId="328E23AE"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65189649" w14:textId="3A991755"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7B4A676A"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659 </w:t>
            </w:r>
          </w:p>
        </w:tc>
      </w:tr>
      <w:tr w:rsidR="006751FE" w:rsidRPr="00B55380" w14:paraId="5F9F927E"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50384D00"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2033</w:t>
            </w:r>
          </w:p>
        </w:tc>
        <w:tc>
          <w:tcPr>
            <w:tcW w:w="0" w:type="auto"/>
            <w:tcBorders>
              <w:left w:val="single" w:sz="4" w:space="0" w:color="auto"/>
            </w:tcBorders>
            <w:shd w:val="clear" w:color="auto" w:fill="FFFF00"/>
          </w:tcPr>
          <w:p w14:paraId="438EDB57" w14:textId="7BFCB42F"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1FEBC62E" w14:textId="3789E09C"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1AEEEC51" w14:textId="638C2BF9"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5AECA7CE" w14:textId="12F661B1"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43EE7582" w14:textId="7B111813"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2E1ED6BE" w14:textId="72951E1D"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7020FAAE"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739 </w:t>
            </w:r>
          </w:p>
        </w:tc>
      </w:tr>
      <w:tr w:rsidR="006751FE" w:rsidRPr="00B55380" w14:paraId="164F62DF"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2DB683E9"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2034</w:t>
            </w:r>
          </w:p>
        </w:tc>
        <w:tc>
          <w:tcPr>
            <w:tcW w:w="0" w:type="auto"/>
            <w:tcBorders>
              <w:left w:val="single" w:sz="4" w:space="0" w:color="auto"/>
            </w:tcBorders>
            <w:shd w:val="clear" w:color="auto" w:fill="FFFF00"/>
          </w:tcPr>
          <w:p w14:paraId="33B149D8" w14:textId="1D9FF2F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38C06690" w14:textId="5C47539E"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4DEF3BA3" w14:textId="2B11DAFC"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6DCFCCAE" w14:textId="7539E794"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57EC21B3" w14:textId="72EFD62C"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18D5BED9" w14:textId="7308B2AE"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5B07571C"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762 </w:t>
            </w:r>
          </w:p>
        </w:tc>
      </w:tr>
      <w:tr w:rsidR="006751FE" w:rsidRPr="00B55380" w14:paraId="584E3262"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4480B5B6"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2035</w:t>
            </w:r>
          </w:p>
        </w:tc>
        <w:tc>
          <w:tcPr>
            <w:tcW w:w="0" w:type="auto"/>
            <w:tcBorders>
              <w:left w:val="single" w:sz="4" w:space="0" w:color="auto"/>
            </w:tcBorders>
            <w:shd w:val="clear" w:color="auto" w:fill="FFFF00"/>
          </w:tcPr>
          <w:p w14:paraId="20C5132F" w14:textId="4020875F"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453E6D3F" w14:textId="6C2AD1A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18C7DE43" w14:textId="24B75B28"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46A66D55" w14:textId="5315EEED"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79BD2A2C" w14:textId="53C4591C"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6907C115" w14:textId="50A07A5B"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6987406E"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709 </w:t>
            </w:r>
          </w:p>
        </w:tc>
      </w:tr>
      <w:tr w:rsidR="006751FE" w:rsidRPr="00B55380" w14:paraId="34763E63"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4A7D0A9C"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2036</w:t>
            </w:r>
          </w:p>
        </w:tc>
        <w:tc>
          <w:tcPr>
            <w:tcW w:w="0" w:type="auto"/>
            <w:tcBorders>
              <w:left w:val="single" w:sz="4" w:space="0" w:color="auto"/>
            </w:tcBorders>
            <w:shd w:val="clear" w:color="auto" w:fill="FFFF00"/>
          </w:tcPr>
          <w:p w14:paraId="4919434E" w14:textId="0DFD3BCB"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0B356BAA" w14:textId="0F0831AC"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3A0CEB46" w14:textId="50D05FB9"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1CAAA5C9" w14:textId="28FFCA0B"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59A6E330" w14:textId="1D43DAF7"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72669A1A" w14:textId="2F98C71E"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6532C656"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649 </w:t>
            </w:r>
          </w:p>
        </w:tc>
      </w:tr>
      <w:tr w:rsidR="006751FE" w:rsidRPr="00B55380" w14:paraId="50DAC0DF"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7545DF77"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2037</w:t>
            </w:r>
          </w:p>
        </w:tc>
        <w:tc>
          <w:tcPr>
            <w:tcW w:w="0" w:type="auto"/>
            <w:tcBorders>
              <w:left w:val="single" w:sz="4" w:space="0" w:color="auto"/>
            </w:tcBorders>
            <w:shd w:val="clear" w:color="auto" w:fill="FFFF00"/>
          </w:tcPr>
          <w:p w14:paraId="1F4D9274" w14:textId="595C689B"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35FF3B0C" w14:textId="15614CB1"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149AC302" w14:textId="295B9C08"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1037D110" w14:textId="5065F869"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485C022B" w14:textId="19E7757E"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0CCBFDAC" w14:textId="23C1D9BA"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08CF5EFE"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614 </w:t>
            </w:r>
          </w:p>
        </w:tc>
      </w:tr>
      <w:tr w:rsidR="006751FE" w:rsidRPr="00B55380" w14:paraId="3FB5DFAC"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2BAEF1D2"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2038</w:t>
            </w:r>
          </w:p>
        </w:tc>
        <w:tc>
          <w:tcPr>
            <w:tcW w:w="0" w:type="auto"/>
            <w:tcBorders>
              <w:left w:val="single" w:sz="4" w:space="0" w:color="auto"/>
            </w:tcBorders>
            <w:shd w:val="clear" w:color="auto" w:fill="FFFF00"/>
          </w:tcPr>
          <w:p w14:paraId="35C1A0F7" w14:textId="4E27BC35"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713C2285" w14:textId="1D4CE5DF"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717FBFA8" w14:textId="041409D7"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4CE87CFA" w14:textId="25C00CDB"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0E0F60DC" w14:textId="295360B7"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7F0389D2" w14:textId="175C76A5"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45CB3C71"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631 </w:t>
            </w:r>
          </w:p>
        </w:tc>
      </w:tr>
      <w:tr w:rsidR="006751FE" w:rsidRPr="00B55380" w14:paraId="51A934C6"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7DF8F034"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2039</w:t>
            </w:r>
          </w:p>
        </w:tc>
        <w:tc>
          <w:tcPr>
            <w:tcW w:w="0" w:type="auto"/>
            <w:tcBorders>
              <w:left w:val="single" w:sz="4" w:space="0" w:color="auto"/>
            </w:tcBorders>
            <w:shd w:val="clear" w:color="auto" w:fill="FFFF00"/>
          </w:tcPr>
          <w:p w14:paraId="68493D55" w14:textId="7EA4E68D"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049689D3" w14:textId="7906AF10"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5223E61D" w14:textId="589A2E1D"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463FBDAD" w14:textId="1E8D55D7"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165C7935" w14:textId="127DB49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74A2942F" w14:textId="2BC7EBF7"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1C1BB62E"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598 </w:t>
            </w:r>
          </w:p>
        </w:tc>
      </w:tr>
      <w:tr w:rsidR="006751FE" w:rsidRPr="00B55380" w14:paraId="0028426E"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2A862540"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2040</w:t>
            </w:r>
          </w:p>
        </w:tc>
        <w:tc>
          <w:tcPr>
            <w:tcW w:w="0" w:type="auto"/>
            <w:tcBorders>
              <w:left w:val="single" w:sz="4" w:space="0" w:color="auto"/>
            </w:tcBorders>
            <w:shd w:val="clear" w:color="auto" w:fill="FFFF00"/>
          </w:tcPr>
          <w:p w14:paraId="3B88CABC" w14:textId="4E6D9D3E"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013B4F59" w14:textId="40D12DE4"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774FCC35" w14:textId="35D8B064"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4B5A03CA" w14:textId="64C48529"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57504402" w14:textId="4F8B19C3"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3D4DE295" w14:textId="2ED831FB"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6FFA5082"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575 </w:t>
            </w:r>
          </w:p>
        </w:tc>
      </w:tr>
      <w:tr w:rsidR="006751FE" w:rsidRPr="00B55380" w14:paraId="3D5363D6"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2DDC4E21"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2041</w:t>
            </w:r>
          </w:p>
        </w:tc>
        <w:tc>
          <w:tcPr>
            <w:tcW w:w="0" w:type="auto"/>
            <w:tcBorders>
              <w:left w:val="single" w:sz="4" w:space="0" w:color="auto"/>
            </w:tcBorders>
            <w:shd w:val="clear" w:color="auto" w:fill="FFFF00"/>
          </w:tcPr>
          <w:p w14:paraId="7E85F97E" w14:textId="621A9C10"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01F80D18" w14:textId="5A5F6544"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77AE1AA2" w14:textId="26653889"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6D40A01A" w14:textId="36BE7D3D"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634AEAF9" w14:textId="07D4ECB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4C253117" w14:textId="6CEFCC3D"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49D92901"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452 </w:t>
            </w:r>
          </w:p>
        </w:tc>
      </w:tr>
      <w:tr w:rsidR="006751FE" w:rsidRPr="00B55380" w14:paraId="66C0971F"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433A8610"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2042</w:t>
            </w:r>
          </w:p>
        </w:tc>
        <w:tc>
          <w:tcPr>
            <w:tcW w:w="0" w:type="auto"/>
            <w:tcBorders>
              <w:left w:val="single" w:sz="4" w:space="0" w:color="auto"/>
            </w:tcBorders>
            <w:shd w:val="clear" w:color="auto" w:fill="FFFF00"/>
          </w:tcPr>
          <w:p w14:paraId="35416874" w14:textId="47616611"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3A55AFD7" w14:textId="1F6A4785"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3735E45C" w14:textId="12812717"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29868161" w14:textId="16B3FB62"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281E258E" w14:textId="52B5292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27937EB8" w14:textId="7D6A4F41"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60713348"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281 </w:t>
            </w:r>
          </w:p>
        </w:tc>
      </w:tr>
      <w:tr w:rsidR="006751FE" w:rsidRPr="00B55380" w14:paraId="12F73DB1" w14:textId="77777777" w:rsidTr="00694A21">
        <w:trPr>
          <w:trHeight w:val="290"/>
          <w:jc w:val="center"/>
        </w:trPr>
        <w:tc>
          <w:tcPr>
            <w:tcW w:w="0" w:type="auto"/>
            <w:tcBorders>
              <w:top w:val="nil"/>
              <w:left w:val="single" w:sz="8" w:space="0" w:color="auto"/>
              <w:bottom w:val="nil"/>
              <w:right w:val="single" w:sz="4" w:space="0" w:color="auto"/>
            </w:tcBorders>
            <w:noWrap/>
            <w:vAlign w:val="bottom"/>
            <w:hideMark/>
          </w:tcPr>
          <w:p w14:paraId="4EE4DA67"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2043</w:t>
            </w:r>
          </w:p>
        </w:tc>
        <w:tc>
          <w:tcPr>
            <w:tcW w:w="0" w:type="auto"/>
            <w:tcBorders>
              <w:left w:val="single" w:sz="4" w:space="0" w:color="auto"/>
            </w:tcBorders>
            <w:shd w:val="clear" w:color="auto" w:fill="FFFF00"/>
          </w:tcPr>
          <w:p w14:paraId="2024731F" w14:textId="46E9AB1E"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shd w:val="clear" w:color="auto" w:fill="FFFF00"/>
          </w:tcPr>
          <w:p w14:paraId="4BD7865A" w14:textId="682D14E4"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nil"/>
              <w:right w:val="nil"/>
            </w:tcBorders>
            <w:shd w:val="clear" w:color="auto" w:fill="FFFF00"/>
            <w:noWrap/>
            <w:hideMark/>
          </w:tcPr>
          <w:p w14:paraId="3C9B72B7" w14:textId="4E6D5C0D"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4" w:space="0" w:color="auto"/>
            </w:tcBorders>
            <w:shd w:val="clear" w:color="auto" w:fill="FFFF00"/>
            <w:noWrap/>
            <w:hideMark/>
          </w:tcPr>
          <w:p w14:paraId="328CB365" w14:textId="7CD560A0"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nil"/>
              <w:right w:val="nil"/>
            </w:tcBorders>
            <w:shd w:val="clear" w:color="auto" w:fill="FFFF00"/>
            <w:noWrap/>
            <w:hideMark/>
          </w:tcPr>
          <w:p w14:paraId="5ACAE628" w14:textId="7BD78FA4"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shd w:val="clear" w:color="auto" w:fill="FFFF00"/>
            <w:noWrap/>
            <w:hideMark/>
          </w:tcPr>
          <w:p w14:paraId="34EC7CC6" w14:textId="39D761C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nil"/>
              <w:right w:val="single" w:sz="8" w:space="0" w:color="auto"/>
            </w:tcBorders>
            <w:noWrap/>
            <w:vAlign w:val="bottom"/>
            <w:hideMark/>
          </w:tcPr>
          <w:p w14:paraId="6F7B9583"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231 </w:t>
            </w:r>
          </w:p>
        </w:tc>
      </w:tr>
      <w:tr w:rsidR="006751FE" w:rsidRPr="00B55380" w14:paraId="4AC2CE0A" w14:textId="77777777" w:rsidTr="00694A21">
        <w:trPr>
          <w:trHeight w:val="300"/>
          <w:jc w:val="center"/>
        </w:trPr>
        <w:tc>
          <w:tcPr>
            <w:tcW w:w="0" w:type="auto"/>
            <w:tcBorders>
              <w:top w:val="nil"/>
              <w:left w:val="single" w:sz="8" w:space="0" w:color="auto"/>
              <w:bottom w:val="single" w:sz="8" w:space="0" w:color="auto"/>
              <w:right w:val="single" w:sz="4" w:space="0" w:color="auto"/>
            </w:tcBorders>
            <w:noWrap/>
            <w:vAlign w:val="bottom"/>
            <w:hideMark/>
          </w:tcPr>
          <w:p w14:paraId="3D342015"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2044</w:t>
            </w:r>
          </w:p>
        </w:tc>
        <w:tc>
          <w:tcPr>
            <w:tcW w:w="0" w:type="auto"/>
            <w:tcBorders>
              <w:left w:val="single" w:sz="4" w:space="0" w:color="auto"/>
              <w:bottom w:val="single" w:sz="4" w:space="0" w:color="auto"/>
            </w:tcBorders>
            <w:shd w:val="clear" w:color="auto" w:fill="FFFF00"/>
          </w:tcPr>
          <w:p w14:paraId="7969C088" w14:textId="474835D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bottom w:val="single" w:sz="4" w:space="0" w:color="auto"/>
            </w:tcBorders>
            <w:shd w:val="clear" w:color="auto" w:fill="FFFF00"/>
          </w:tcPr>
          <w:p w14:paraId="025A5966" w14:textId="764BEAA9"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8" w:space="0" w:color="auto"/>
              <w:bottom w:val="single" w:sz="8" w:space="0" w:color="auto"/>
              <w:right w:val="nil"/>
            </w:tcBorders>
            <w:shd w:val="clear" w:color="auto" w:fill="FFFF00"/>
            <w:noWrap/>
            <w:hideMark/>
          </w:tcPr>
          <w:p w14:paraId="13BFA6AA" w14:textId="192E9FFC"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single" w:sz="8" w:space="0" w:color="auto"/>
              <w:right w:val="single" w:sz="4" w:space="0" w:color="auto"/>
            </w:tcBorders>
            <w:shd w:val="clear" w:color="auto" w:fill="FFFF00"/>
            <w:noWrap/>
            <w:hideMark/>
          </w:tcPr>
          <w:p w14:paraId="3A6983DA" w14:textId="1E68ED25"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single" w:sz="4" w:space="0" w:color="auto"/>
              <w:bottom w:val="single" w:sz="8" w:space="0" w:color="auto"/>
              <w:right w:val="nil"/>
            </w:tcBorders>
            <w:shd w:val="clear" w:color="auto" w:fill="FFFF00"/>
            <w:noWrap/>
            <w:hideMark/>
          </w:tcPr>
          <w:p w14:paraId="7CF40F98" w14:textId="1A61DBD7"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single" w:sz="8" w:space="0" w:color="auto"/>
              <w:right w:val="single" w:sz="8" w:space="0" w:color="auto"/>
            </w:tcBorders>
            <w:shd w:val="clear" w:color="auto" w:fill="FFFF00"/>
            <w:noWrap/>
            <w:hideMark/>
          </w:tcPr>
          <w:p w14:paraId="3A072C69" w14:textId="11BFF786" w:rsidR="006751FE" w:rsidRPr="00B55380" w:rsidRDefault="006751FE" w:rsidP="006751FE">
            <w:pPr>
              <w:keepNext/>
              <w:keepLines/>
              <w:jc w:val="right"/>
              <w:rPr>
                <w:rFonts w:ascii="Calibri" w:eastAsia="Times New Roman" w:hAnsi="Calibri" w:cs="Calibri"/>
                <w:color w:val="000000"/>
              </w:rPr>
            </w:pPr>
            <w:r w:rsidRPr="00A27343">
              <w:rPr>
                <w:rFonts w:ascii="Calibri" w:eastAsia="Times New Roman" w:hAnsi="Calibri" w:cs="Calibri"/>
                <w:color w:val="000000"/>
                <w:highlight w:val="black"/>
              </w:rPr>
              <w:t>XXXX</w:t>
            </w:r>
          </w:p>
        </w:tc>
        <w:tc>
          <w:tcPr>
            <w:tcW w:w="0" w:type="auto"/>
            <w:tcBorders>
              <w:top w:val="nil"/>
              <w:left w:val="nil"/>
              <w:bottom w:val="single" w:sz="8" w:space="0" w:color="auto"/>
              <w:right w:val="single" w:sz="8" w:space="0" w:color="auto"/>
            </w:tcBorders>
            <w:noWrap/>
            <w:vAlign w:val="bottom"/>
            <w:hideMark/>
          </w:tcPr>
          <w:p w14:paraId="403F8B17" w14:textId="77777777" w:rsidR="006751FE" w:rsidRPr="00B55380" w:rsidRDefault="006751FE" w:rsidP="006751FE">
            <w:pPr>
              <w:keepNext/>
              <w:keepLines/>
              <w:jc w:val="right"/>
              <w:rPr>
                <w:rFonts w:ascii="Calibri" w:eastAsia="Times New Roman" w:hAnsi="Calibri" w:cs="Calibri"/>
                <w:color w:val="000000"/>
              </w:rPr>
            </w:pPr>
            <w:r w:rsidRPr="00B55380">
              <w:rPr>
                <w:rFonts w:ascii="Calibri" w:eastAsia="Times New Roman" w:hAnsi="Calibri" w:cs="Calibri"/>
                <w:color w:val="000000"/>
              </w:rPr>
              <w:t xml:space="preserve">               218 </w:t>
            </w:r>
          </w:p>
        </w:tc>
      </w:tr>
    </w:tbl>
    <w:p w14:paraId="49F4E422" w14:textId="08D98244" w:rsidR="00B40A00" w:rsidRDefault="00177726" w:rsidP="00B40A00">
      <w:pPr>
        <w:pStyle w:val="Answers"/>
        <w:spacing w:before="240"/>
      </w:pPr>
      <w:r>
        <w:tab/>
      </w:r>
      <w:r w:rsidR="0044351D">
        <w:tab/>
      </w:r>
      <w:r w:rsidR="0084793A">
        <w:t xml:space="preserve">Even with the Company’s </w:t>
      </w:r>
      <w:r w:rsidR="00B55380">
        <w:t xml:space="preserve">changes to </w:t>
      </w:r>
      <w:r w:rsidR="0084793A">
        <w:t xml:space="preserve">LRM </w:t>
      </w:r>
      <w:r w:rsidR="00B55380">
        <w:t>assumptions,</w:t>
      </w:r>
      <w:r w:rsidR="0084793A">
        <w:t xml:space="preserve"> which had a mitigating effect on growth to a degree,</w:t>
      </w:r>
      <w:r>
        <w:t xml:space="preserve"> the Company’s </w:t>
      </w:r>
      <w:r w:rsidR="0084793A">
        <w:t xml:space="preserve">overall </w:t>
      </w:r>
      <w:r>
        <w:t>large load forecast continues to grow</w:t>
      </w:r>
      <w:r w:rsidR="0044351D">
        <w:t xml:space="preserve"> in the long-term</w:t>
      </w:r>
      <w:r w:rsidR="0084793A">
        <w:t>, with</w:t>
      </w:r>
      <w:r>
        <w:t xml:space="preserve"> </w:t>
      </w:r>
      <w:r w:rsidR="00836792">
        <w:t>D</w:t>
      </w:r>
      <w:r>
        <w:t xml:space="preserve">ata </w:t>
      </w:r>
      <w:r w:rsidR="00836792">
        <w:t>C</w:t>
      </w:r>
      <w:r>
        <w:t xml:space="preserve">enter customers </w:t>
      </w:r>
      <w:r w:rsidR="00B40A00">
        <w:t xml:space="preserve">representing </w:t>
      </w:r>
      <w:r>
        <w:t>more than 90% of the project</w:t>
      </w:r>
      <w:r w:rsidR="00B55380">
        <w:t>s</w:t>
      </w:r>
      <w:r>
        <w:t xml:space="preserve"> added </w:t>
      </w:r>
      <w:r w:rsidR="00163B3E">
        <w:t xml:space="preserve">to the LRM  </w:t>
      </w:r>
      <w:r>
        <w:t>in 2025</w:t>
      </w:r>
      <w:r w:rsidR="00B55380">
        <w:t>, on an announced load basis</w:t>
      </w:r>
      <w:r w:rsidR="00836792">
        <w:t>,</w:t>
      </w:r>
      <w:r w:rsidR="00B40A00">
        <w:rPr>
          <w:rStyle w:val="FootnoteReference"/>
        </w:rPr>
        <w:footnoteReference w:id="33"/>
      </w:r>
      <w:r w:rsidR="00B40A00">
        <w:t xml:space="preserve"> though the rate of growth </w:t>
      </w:r>
      <w:r w:rsidR="00B55380">
        <w:t xml:space="preserve">between LRM vintages </w:t>
      </w:r>
      <w:r w:rsidR="00B40A00">
        <w:t xml:space="preserve">has slowly diminished, as shown in </w:t>
      </w:r>
      <w:r w:rsidR="00B40A00">
        <w:fldChar w:fldCharType="begin"/>
      </w:r>
      <w:r w:rsidR="00B40A00">
        <w:instrText xml:space="preserve"> REF _Ref212585756 \h </w:instrText>
      </w:r>
      <w:r w:rsidR="00B40A00">
        <w:fldChar w:fldCharType="separate"/>
      </w:r>
      <w:r w:rsidR="00220F39">
        <w:t xml:space="preserve">Figure </w:t>
      </w:r>
      <w:r w:rsidR="00220F39">
        <w:rPr>
          <w:noProof/>
        </w:rPr>
        <w:t>6</w:t>
      </w:r>
      <w:r w:rsidR="00B40A00">
        <w:fldChar w:fldCharType="end"/>
      </w:r>
      <w:r w:rsidR="00B40A00">
        <w:t xml:space="preserve">. </w:t>
      </w:r>
    </w:p>
    <w:p w14:paraId="52E0C777" w14:textId="1807665F" w:rsidR="00B40A00" w:rsidRDefault="00B40A00" w:rsidP="00B40A00">
      <w:pPr>
        <w:pStyle w:val="Caption"/>
      </w:pPr>
      <w:bookmarkStart w:id="34" w:name="_Ref212585756"/>
      <w:bookmarkStart w:id="35" w:name="_Toc213756913"/>
      <w:bookmarkStart w:id="36" w:name="_Toc213766890"/>
      <w:r>
        <w:lastRenderedPageBreak/>
        <w:t xml:space="preserve">Figure </w:t>
      </w:r>
      <w:fldSimple w:instr=" SEQ Figure \* ARABIC ">
        <w:r w:rsidR="00220F39">
          <w:rPr>
            <w:noProof/>
          </w:rPr>
          <w:t>6</w:t>
        </w:r>
      </w:fldSimple>
      <w:bookmarkEnd w:id="34"/>
      <w:r>
        <w:t xml:space="preserve">: </w:t>
      </w:r>
      <w:r w:rsidR="0084793A">
        <w:t>Changes to</w:t>
      </w:r>
      <w:r>
        <w:t xml:space="preserve"> Load Realization Model Pipeline, Announced Load </w:t>
      </w:r>
      <w:r w:rsidR="00EA46A0">
        <w:t xml:space="preserve">Basis </w:t>
      </w:r>
      <w:r>
        <w:t>(MW)</w:t>
      </w:r>
      <w:bookmarkEnd w:id="35"/>
      <w:bookmarkEnd w:id="36"/>
    </w:p>
    <w:p w14:paraId="5BFE03F9" w14:textId="60842E66" w:rsidR="00B40A00" w:rsidRDefault="00B40A00" w:rsidP="00B40A00">
      <w:pPr>
        <w:pStyle w:val="Answers"/>
        <w:spacing w:before="240"/>
        <w:jc w:val="center"/>
      </w:pPr>
      <w:r>
        <w:rPr>
          <w:noProof/>
        </w:rPr>
        <w:drawing>
          <wp:inline distT="0" distB="0" distL="0" distR="0" wp14:anchorId="75316249" wp14:editId="20D4EFCF">
            <wp:extent cx="5486400" cy="3054985"/>
            <wp:effectExtent l="0" t="0" r="0" b="12065"/>
            <wp:docPr id="1028953312" name="Chart 1">
              <a:extLst xmlns:a="http://schemas.openxmlformats.org/drawingml/2006/main">
                <a:ext uri="{FF2B5EF4-FFF2-40B4-BE49-F238E27FC236}">
                  <a16:creationId xmlns:a16="http://schemas.microsoft.com/office/drawing/2014/main" id="{80F8994C-38AC-286C-1947-D89DF7D3FC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0AEB12" w14:textId="4779EA3D" w:rsidR="00B40A00" w:rsidRDefault="00B40A00" w:rsidP="00B40A00">
      <w:pPr>
        <w:pStyle w:val="Question"/>
      </w:pPr>
      <w:r>
        <w:t>Q.</w:t>
      </w:r>
      <w:r>
        <w:tab/>
        <w:t xml:space="preserve">Please summarize your conclusions regarding the near-term reductions </w:t>
      </w:r>
      <w:r w:rsidR="595E1F88">
        <w:t>IN</w:t>
      </w:r>
      <w:r>
        <w:t xml:space="preserve"> the company’s load forecast.</w:t>
      </w:r>
    </w:p>
    <w:p w14:paraId="56EFDF51" w14:textId="78F7E1B7" w:rsidR="00B40A00" w:rsidRDefault="00B40A00" w:rsidP="00B55380">
      <w:pPr>
        <w:pStyle w:val="Answers"/>
      </w:pPr>
      <w:r>
        <w:t>A.</w:t>
      </w:r>
      <w:r>
        <w:tab/>
        <w:t xml:space="preserve">The Company’s near-term forecast shows a consistent decrease in each latest </w:t>
      </w:r>
      <w:r w:rsidR="00163B3E">
        <w:t xml:space="preserve">forecast </w:t>
      </w:r>
      <w:r>
        <w:t xml:space="preserve">vintage. </w:t>
      </w:r>
      <w:r w:rsidR="00B55380">
        <w:t xml:space="preserve">If the Company </w:t>
      </w:r>
      <w:r w:rsidR="00B55380" w:rsidRPr="00B55380">
        <w:t>continues to reduce its near-term forecast with every iteration, the Company would be regularly over-estimating its load forecast, resulting in an over procurement of resources.</w:t>
      </w:r>
      <w:r w:rsidR="00B55380">
        <w:t xml:space="preserve"> </w:t>
      </w:r>
      <w:r>
        <w:t xml:space="preserve">This over-estimation is driven primarily by the large load forecast, particularly the Large </w:t>
      </w:r>
      <w:r w:rsidR="004857B0">
        <w:t xml:space="preserve">Data Center </w:t>
      </w:r>
      <w:r>
        <w:t xml:space="preserve">class. </w:t>
      </w:r>
    </w:p>
    <w:p w14:paraId="59F7BF73" w14:textId="4F844711" w:rsidR="00602AE2" w:rsidRDefault="004857B0" w:rsidP="3C857C0F">
      <w:pPr>
        <w:pStyle w:val="Answers"/>
        <w:ind w:firstLine="0"/>
        <w:rPr>
          <w:rFonts w:eastAsia="Calibri"/>
          <w:b/>
          <w:bCs/>
          <w:kern w:val="32"/>
        </w:rPr>
      </w:pPr>
      <w:r>
        <w:tab/>
      </w:r>
      <w:r w:rsidR="00D72A5C">
        <w:t>If this</w:t>
      </w:r>
      <w:r w:rsidR="00B40A00">
        <w:t xml:space="preserve"> trend </w:t>
      </w:r>
      <w:r w:rsidR="00B811C4">
        <w:t xml:space="preserve">continues </w:t>
      </w:r>
      <w:r w:rsidR="00B40A00">
        <w:t xml:space="preserve">in the future, </w:t>
      </w:r>
      <w:r w:rsidR="00B811C4">
        <w:t>the likelihood of the Company</w:t>
      </w:r>
      <w:r w:rsidR="00B40A00">
        <w:t xml:space="preserve"> over-procur</w:t>
      </w:r>
      <w:r w:rsidR="00B811C4">
        <w:t>ing</w:t>
      </w:r>
      <w:r w:rsidR="00B40A00">
        <w:t xml:space="preserve"> resources</w:t>
      </w:r>
      <w:r w:rsidR="00B811C4">
        <w:t xml:space="preserve"> increases</w:t>
      </w:r>
      <w:r w:rsidR="00B40A00">
        <w:t xml:space="preserve">. </w:t>
      </w:r>
      <w:r w:rsidR="007201E0">
        <w:t xml:space="preserve">If minimum billing terms and other protections </w:t>
      </w:r>
      <w:r w:rsidR="00703515">
        <w:t xml:space="preserve">from new </w:t>
      </w:r>
      <w:r w:rsidR="00342366">
        <w:t xml:space="preserve">rules and </w:t>
      </w:r>
      <w:r w:rsidR="00703515">
        <w:t>regulations</w:t>
      </w:r>
      <w:r w:rsidR="00FD4D5E">
        <w:t xml:space="preserve"> </w:t>
      </w:r>
      <w:r w:rsidR="00F4278B">
        <w:t xml:space="preserve">that are </w:t>
      </w:r>
      <w:r w:rsidR="007201E0">
        <w:t>placed in the contracts of large load customers do not sufficiently protect against this risk, existing customers are likely to bear the cost of over-procurement.</w:t>
      </w:r>
      <w:r w:rsidR="060B471B" w:rsidRPr="3C857C0F">
        <w:rPr>
          <w:rFonts w:eastAsia="Times New Roman" w:cs="Times New Roman"/>
          <w:sz w:val="22"/>
          <w:szCs w:val="22"/>
        </w:rPr>
        <w:t xml:space="preserve"> </w:t>
      </w:r>
      <w:r w:rsidR="060B471B" w:rsidRPr="00CD39F9">
        <w:rPr>
          <w:rFonts w:eastAsia="Times New Roman" w:cs="Times New Roman"/>
        </w:rPr>
        <w:lastRenderedPageBreak/>
        <w:t>As mentioned above, only a fraction of the generation requested in th</w:t>
      </w:r>
      <w:r w:rsidR="01436406" w:rsidRPr="00CD39F9">
        <w:rPr>
          <w:rFonts w:eastAsia="Times New Roman" w:cs="Times New Roman"/>
        </w:rPr>
        <w:t xml:space="preserve">e Certification filing </w:t>
      </w:r>
      <w:r w:rsidR="54A1F856" w:rsidRPr="00CD39F9">
        <w:rPr>
          <w:rFonts w:eastAsia="Times New Roman" w:cs="Times New Roman"/>
        </w:rPr>
        <w:t>is</w:t>
      </w:r>
      <w:r w:rsidR="060B471B" w:rsidRPr="00CD39F9">
        <w:rPr>
          <w:rFonts w:eastAsia="Times New Roman" w:cs="Times New Roman"/>
        </w:rPr>
        <w:t xml:space="preserve"> backed by contracts under the </w:t>
      </w:r>
      <w:r w:rsidR="654461AE" w:rsidRPr="00CD39F9">
        <w:rPr>
          <w:rFonts w:eastAsia="Times New Roman" w:cs="Times New Roman"/>
        </w:rPr>
        <w:t>Company’s</w:t>
      </w:r>
      <w:r w:rsidR="060B471B" w:rsidRPr="00CD39F9">
        <w:rPr>
          <w:rFonts w:eastAsia="Times New Roman" w:cs="Times New Roman"/>
        </w:rPr>
        <w:t xml:space="preserve"> new rules and regulations.</w:t>
      </w:r>
      <w:r w:rsidR="00530B43">
        <w:br w:type="page"/>
      </w:r>
    </w:p>
    <w:p w14:paraId="4F6D8928" w14:textId="73870BB7" w:rsidR="00324AB1" w:rsidRDefault="00324AB1" w:rsidP="007D3E23">
      <w:pPr>
        <w:pStyle w:val="Heading1"/>
        <w:rPr>
          <w:b w:val="0"/>
          <w:bCs w:val="0"/>
        </w:rPr>
      </w:pPr>
      <w:bookmarkStart w:id="37" w:name="_Toc196919895"/>
      <w:r>
        <w:rPr>
          <w:b w:val="0"/>
          <w:bCs w:val="0"/>
        </w:rPr>
        <w:lastRenderedPageBreak/>
        <w:tab/>
      </w:r>
      <w:bookmarkStart w:id="38" w:name="_Toc213766866"/>
      <w:r w:rsidRPr="00055C2D">
        <w:t xml:space="preserve">The LRM continues to materialize </w:t>
      </w:r>
      <w:r w:rsidRPr="00055C2D">
        <w:tab/>
        <w:t>significantly lower than forecasted by the Company.</w:t>
      </w:r>
      <w:bookmarkEnd w:id="38"/>
    </w:p>
    <w:p w14:paraId="37431D5E" w14:textId="20A73789" w:rsidR="00324AB1" w:rsidRDefault="00324AB1" w:rsidP="00324AB1">
      <w:pPr>
        <w:pStyle w:val="Question"/>
      </w:pPr>
      <w:r>
        <w:t>Q.</w:t>
      </w:r>
      <w:r>
        <w:tab/>
      </w:r>
      <w:r w:rsidR="007201E0">
        <w:t xml:space="preserve">Has the </w:t>
      </w:r>
      <w:r w:rsidR="00FB66E4">
        <w:t>Large Load Forecast</w:t>
      </w:r>
      <w:r w:rsidR="007201E0">
        <w:t xml:space="preserve"> materializ</w:t>
      </w:r>
      <w:r w:rsidR="00E128B2">
        <w:t>ED</w:t>
      </w:r>
      <w:r w:rsidR="007201E0">
        <w:t xml:space="preserve"> as expected</w:t>
      </w:r>
      <w:r w:rsidR="00FB66E4">
        <w:t xml:space="preserve"> so far</w:t>
      </w:r>
      <w:r w:rsidR="007201E0">
        <w:t>?</w:t>
      </w:r>
    </w:p>
    <w:p w14:paraId="0555EA18" w14:textId="18A3B370" w:rsidR="00CB287D" w:rsidRDefault="00324AB1" w:rsidP="00324AB1">
      <w:pPr>
        <w:pStyle w:val="Answers"/>
      </w:pPr>
      <w:r>
        <w:t>A.</w:t>
      </w:r>
      <w:r>
        <w:tab/>
      </w:r>
      <w:r w:rsidR="007201E0">
        <w:t xml:space="preserve">No. The </w:t>
      </w:r>
      <w:r w:rsidR="00417A8E">
        <w:t xml:space="preserve">materialization of </w:t>
      </w:r>
      <w:r w:rsidR="00FB66E4">
        <w:t>large load</w:t>
      </w:r>
      <w:r w:rsidR="000A748B">
        <w:t>s</w:t>
      </w:r>
      <w:r w:rsidR="00FB66E4">
        <w:t xml:space="preserve"> </w:t>
      </w:r>
      <w:r w:rsidR="000A748B">
        <w:t>has been</w:t>
      </w:r>
      <w:r w:rsidR="007201E0">
        <w:t xml:space="preserve"> lower than </w:t>
      </w:r>
      <w:r w:rsidR="000A748B">
        <w:t>forecasted by the Company</w:t>
      </w:r>
      <w:r w:rsidR="007201E0">
        <w:t>.</w:t>
      </w:r>
      <w:r w:rsidR="00A80619">
        <w:t xml:space="preserve"> In spite of the most recent LRM being finalized in August of 2025,</w:t>
      </w:r>
      <w:r w:rsidR="00FB66E4">
        <w:rPr>
          <w:rStyle w:val="FootnoteReference"/>
        </w:rPr>
        <w:footnoteReference w:id="34"/>
      </w:r>
      <w:r w:rsidR="00A80619">
        <w:t xml:space="preserve"> the </w:t>
      </w:r>
      <w:r w:rsidR="008D3415">
        <w:t xml:space="preserve">LRM </w:t>
      </w:r>
      <w:r w:rsidR="00A80619">
        <w:t>continues to overestimate materialization</w:t>
      </w:r>
      <w:r w:rsidR="00DA3CE7">
        <w:t xml:space="preserve">, as shown in </w:t>
      </w:r>
      <w:r w:rsidR="00DA3CE7">
        <w:fldChar w:fldCharType="begin"/>
      </w:r>
      <w:r w:rsidR="00DA3CE7">
        <w:instrText xml:space="preserve"> REF _Ref212587872 \h </w:instrText>
      </w:r>
      <w:r w:rsidR="00DA3CE7">
        <w:fldChar w:fldCharType="separate"/>
      </w:r>
      <w:r w:rsidR="00220F39">
        <w:t xml:space="preserve">Table </w:t>
      </w:r>
      <w:r w:rsidR="00220F39">
        <w:rPr>
          <w:noProof/>
        </w:rPr>
        <w:t>6</w:t>
      </w:r>
      <w:r w:rsidR="00DA3CE7">
        <w:fldChar w:fldCharType="end"/>
      </w:r>
      <w:r w:rsidR="00DA3CE7">
        <w:t xml:space="preserve"> below. </w:t>
      </w:r>
    </w:p>
    <w:p w14:paraId="779439B1" w14:textId="0C170577" w:rsidR="00DA3CE7" w:rsidRPr="00324AB1" w:rsidRDefault="00CB287D" w:rsidP="00324AB1">
      <w:pPr>
        <w:pStyle w:val="Answers"/>
      </w:pPr>
      <w:r>
        <w:tab/>
      </w:r>
      <w:r>
        <w:tab/>
      </w:r>
      <w:r w:rsidR="00DA3CE7">
        <w:t xml:space="preserve">As of July 31, the Company had only seen </w:t>
      </w:r>
      <w:r w:rsidR="006751FE" w:rsidRPr="006751FE">
        <w:rPr>
          <w:rFonts w:ascii="Calibri" w:eastAsia="Times New Roman" w:hAnsi="Calibri"/>
          <w:color w:val="000000"/>
          <w:highlight w:val="black"/>
        </w:rPr>
        <w:t>XXXX</w:t>
      </w:r>
      <w:r w:rsidR="00DA3CE7">
        <w:t xml:space="preserve"> MW of peak load from large load projects materialize.</w:t>
      </w:r>
      <w:r w:rsidR="00DA3CE7">
        <w:rPr>
          <w:rStyle w:val="FootnoteReference"/>
        </w:rPr>
        <w:footnoteReference w:id="35"/>
      </w:r>
      <w:r w:rsidR="00DA3CE7">
        <w:t xml:space="preserve"> </w:t>
      </w:r>
      <w:r>
        <w:t xml:space="preserve">The greater point of concern is that the model cannot accurately forecast growth six months out, even when including the latest updates to the model’s underlying assumptions, as evidenced by the large difference in materialization for </w:t>
      </w:r>
      <w:r w:rsidR="00FB66E4">
        <w:t xml:space="preserve">every </w:t>
      </w:r>
      <w:r>
        <w:t xml:space="preserve">forecast </w:t>
      </w:r>
      <w:r w:rsidR="00FB66E4">
        <w:t xml:space="preserve">vintage prior to the B2026 forecast, as shown </w:t>
      </w:r>
      <w:r>
        <w:t xml:space="preserve">in </w:t>
      </w:r>
      <w:r>
        <w:fldChar w:fldCharType="begin"/>
      </w:r>
      <w:r>
        <w:instrText xml:space="preserve"> REF _Ref212587872 \h </w:instrText>
      </w:r>
      <w:r>
        <w:fldChar w:fldCharType="separate"/>
      </w:r>
      <w:r w:rsidR="00220F39">
        <w:t xml:space="preserve">Table </w:t>
      </w:r>
      <w:r w:rsidR="00220F39">
        <w:rPr>
          <w:noProof/>
        </w:rPr>
        <w:t>6</w:t>
      </w:r>
      <w:r>
        <w:fldChar w:fldCharType="end"/>
      </w:r>
      <w:r>
        <w:t xml:space="preserve">. </w:t>
      </w:r>
      <w:r w:rsidR="00FB66E4">
        <w:t xml:space="preserve">Based on the 2025 </w:t>
      </w:r>
      <w:r w:rsidR="00F40781">
        <w:t>actuals</w:t>
      </w:r>
      <w:r>
        <w:t>, the model does not exhibit reasonable accuracy</w:t>
      </w:r>
      <w:r w:rsidR="00F40781">
        <w:t>.</w:t>
      </w:r>
      <w:r>
        <w:t xml:space="preserve"> </w:t>
      </w:r>
    </w:p>
    <w:p w14:paraId="02B51123" w14:textId="75431A04" w:rsidR="00DA3CE7" w:rsidRDefault="00DA3CE7" w:rsidP="00F84B2A">
      <w:pPr>
        <w:pStyle w:val="Caption"/>
        <w:keepLines/>
      </w:pPr>
      <w:bookmarkStart w:id="39" w:name="_Ref212587872"/>
      <w:bookmarkStart w:id="40" w:name="_Toc213766876"/>
      <w:r>
        <w:lastRenderedPageBreak/>
        <w:t xml:space="preserve">Table </w:t>
      </w:r>
      <w:fldSimple w:instr=" SEQ Table \* ARABIC ">
        <w:r w:rsidR="00220F39">
          <w:rPr>
            <w:noProof/>
          </w:rPr>
          <w:t>6</w:t>
        </w:r>
      </w:fldSimple>
      <w:bookmarkEnd w:id="39"/>
      <w:r>
        <w:t>: Expected vs. Actual Materialization of LRM, Test Year 2025</w:t>
      </w:r>
      <w:r w:rsidR="00EA46A0">
        <w:t>, Adjustment Basis</w:t>
      </w:r>
      <w:bookmarkEnd w:id="40"/>
    </w:p>
    <w:tbl>
      <w:tblPr>
        <w:tblW w:w="9510" w:type="dxa"/>
        <w:jc w:val="center"/>
        <w:tblLook w:val="04A0" w:firstRow="1" w:lastRow="0" w:firstColumn="1" w:lastColumn="0" w:noHBand="0" w:noVBand="1"/>
      </w:tblPr>
      <w:tblGrid>
        <w:gridCol w:w="1008"/>
        <w:gridCol w:w="3492"/>
        <w:gridCol w:w="1336"/>
        <w:gridCol w:w="1169"/>
        <w:gridCol w:w="1169"/>
        <w:gridCol w:w="1336"/>
      </w:tblGrid>
      <w:tr w:rsidR="00F84B2A" w:rsidRPr="00DA3CE7" w14:paraId="5239932C" w14:textId="77777777" w:rsidTr="00CD39F9">
        <w:trPr>
          <w:trHeight w:val="580"/>
          <w:jc w:val="center"/>
        </w:trPr>
        <w:tc>
          <w:tcPr>
            <w:tcW w:w="1008" w:type="dxa"/>
          </w:tcPr>
          <w:p w14:paraId="1BCAEA54" w14:textId="77777777" w:rsidR="00F84B2A" w:rsidRPr="00DA3CE7" w:rsidRDefault="00F84B2A" w:rsidP="00F84B2A">
            <w:pPr>
              <w:keepNext/>
              <w:keepLines/>
              <w:jc w:val="left"/>
              <w:rPr>
                <w:rFonts w:ascii="Calibri" w:eastAsia="Times New Roman" w:hAnsi="Calibri" w:cs="Calibri"/>
                <w:b/>
                <w:bCs/>
                <w:color w:val="000000"/>
              </w:rPr>
            </w:pPr>
          </w:p>
        </w:tc>
        <w:tc>
          <w:tcPr>
            <w:tcW w:w="3492" w:type="dxa"/>
            <w:tcBorders>
              <w:top w:val="single" w:sz="4" w:space="0" w:color="auto"/>
              <w:left w:val="single" w:sz="4" w:space="0" w:color="auto"/>
              <w:bottom w:val="nil"/>
              <w:right w:val="single" w:sz="4" w:space="0" w:color="auto"/>
            </w:tcBorders>
            <w:shd w:val="clear" w:color="auto" w:fill="DDEBF7"/>
            <w:vAlign w:val="bottom"/>
            <w:hideMark/>
          </w:tcPr>
          <w:p w14:paraId="0C763B35" w14:textId="7DBB76D6" w:rsidR="00F84B2A" w:rsidRPr="00DA3CE7" w:rsidRDefault="00F84B2A" w:rsidP="00F84B2A">
            <w:pPr>
              <w:keepNext/>
              <w:keepLines/>
              <w:jc w:val="left"/>
              <w:rPr>
                <w:rFonts w:ascii="Calibri" w:eastAsia="Times New Roman" w:hAnsi="Calibri" w:cs="Calibri"/>
                <w:b/>
                <w:bCs/>
                <w:color w:val="000000"/>
              </w:rPr>
            </w:pPr>
            <w:r w:rsidRPr="00DA3CE7">
              <w:rPr>
                <w:rFonts w:ascii="Calibri" w:eastAsia="Times New Roman" w:hAnsi="Calibri" w:cs="Calibri"/>
                <w:b/>
                <w:bCs/>
                <w:color w:val="000000"/>
              </w:rPr>
              <w:t>Year</w:t>
            </w:r>
          </w:p>
        </w:tc>
        <w:tc>
          <w:tcPr>
            <w:tcW w:w="1336" w:type="dxa"/>
            <w:tcBorders>
              <w:top w:val="single" w:sz="4" w:space="0" w:color="auto"/>
              <w:left w:val="nil"/>
              <w:bottom w:val="nil"/>
              <w:right w:val="nil"/>
            </w:tcBorders>
            <w:shd w:val="clear" w:color="auto" w:fill="DDEBF7"/>
            <w:vAlign w:val="bottom"/>
            <w:hideMark/>
          </w:tcPr>
          <w:p w14:paraId="2ECA1621" w14:textId="2444F7FD" w:rsidR="00F84B2A" w:rsidRPr="00DA3CE7" w:rsidRDefault="00F84B2A" w:rsidP="00F84B2A">
            <w:pPr>
              <w:keepNext/>
              <w:keepLines/>
              <w:jc w:val="left"/>
              <w:rPr>
                <w:rFonts w:ascii="Calibri" w:eastAsia="Times New Roman" w:hAnsi="Calibri" w:cs="Calibri"/>
                <w:b/>
                <w:bCs/>
                <w:color w:val="000000"/>
              </w:rPr>
            </w:pPr>
            <w:r>
              <w:rPr>
                <w:rFonts w:ascii="Calibri" w:hAnsi="Calibri" w:cs="Calibri"/>
                <w:b/>
                <w:bCs/>
                <w:color w:val="000000"/>
              </w:rPr>
              <w:t xml:space="preserve">2023 IRP </w:t>
            </w:r>
            <w:r>
              <w:rPr>
                <w:rFonts w:ascii="Calibri" w:hAnsi="Calibri" w:cs="Calibri"/>
                <w:b/>
                <w:bCs/>
                <w:color w:val="000000"/>
              </w:rPr>
              <w:br/>
              <w:t>Update</w:t>
            </w:r>
          </w:p>
        </w:tc>
        <w:tc>
          <w:tcPr>
            <w:tcW w:w="1169" w:type="dxa"/>
            <w:tcBorders>
              <w:top w:val="single" w:sz="4" w:space="0" w:color="auto"/>
              <w:left w:val="nil"/>
              <w:bottom w:val="nil"/>
              <w:right w:val="nil"/>
            </w:tcBorders>
            <w:shd w:val="clear" w:color="auto" w:fill="DDEBF7"/>
            <w:noWrap/>
            <w:vAlign w:val="bottom"/>
            <w:hideMark/>
          </w:tcPr>
          <w:p w14:paraId="19BFBA78" w14:textId="2F6CE732" w:rsidR="00F84B2A" w:rsidRPr="00DA3CE7" w:rsidRDefault="00F84B2A" w:rsidP="00F84B2A">
            <w:pPr>
              <w:keepNext/>
              <w:keepLines/>
              <w:jc w:val="left"/>
              <w:rPr>
                <w:rFonts w:ascii="Calibri" w:eastAsia="Times New Roman" w:hAnsi="Calibri" w:cs="Calibri"/>
                <w:b/>
                <w:bCs/>
                <w:color w:val="000000"/>
              </w:rPr>
            </w:pPr>
            <w:r>
              <w:rPr>
                <w:rFonts w:ascii="Calibri" w:hAnsi="Calibri" w:cs="Calibri"/>
                <w:b/>
                <w:bCs/>
                <w:color w:val="000000"/>
              </w:rPr>
              <w:t>B2025</w:t>
            </w:r>
          </w:p>
        </w:tc>
        <w:tc>
          <w:tcPr>
            <w:tcW w:w="1169" w:type="dxa"/>
            <w:tcBorders>
              <w:top w:val="single" w:sz="4" w:space="0" w:color="auto"/>
              <w:left w:val="nil"/>
              <w:bottom w:val="nil"/>
              <w:right w:val="nil"/>
            </w:tcBorders>
            <w:shd w:val="clear" w:color="auto" w:fill="DDEBF7"/>
            <w:noWrap/>
            <w:vAlign w:val="bottom"/>
            <w:hideMark/>
          </w:tcPr>
          <w:p w14:paraId="6B615632" w14:textId="70BE83DB" w:rsidR="00F84B2A" w:rsidRPr="00DA3CE7" w:rsidRDefault="00F84B2A" w:rsidP="00F84B2A">
            <w:pPr>
              <w:keepNext/>
              <w:keepLines/>
              <w:jc w:val="left"/>
              <w:rPr>
                <w:rFonts w:ascii="Calibri" w:eastAsia="Times New Roman" w:hAnsi="Calibri" w:cs="Calibri"/>
                <w:b/>
                <w:bCs/>
                <w:color w:val="000000"/>
              </w:rPr>
            </w:pPr>
            <w:r>
              <w:rPr>
                <w:rFonts w:ascii="Calibri" w:hAnsi="Calibri" w:cs="Calibri"/>
                <w:b/>
                <w:bCs/>
                <w:color w:val="000000"/>
              </w:rPr>
              <w:t>Feb. 2025</w:t>
            </w:r>
          </w:p>
        </w:tc>
        <w:tc>
          <w:tcPr>
            <w:tcW w:w="1336" w:type="dxa"/>
            <w:tcBorders>
              <w:top w:val="single" w:sz="4" w:space="0" w:color="auto"/>
              <w:left w:val="nil"/>
              <w:bottom w:val="nil"/>
              <w:right w:val="single" w:sz="4" w:space="0" w:color="auto"/>
            </w:tcBorders>
            <w:shd w:val="clear" w:color="auto" w:fill="DDEBF7"/>
            <w:noWrap/>
            <w:vAlign w:val="bottom"/>
            <w:hideMark/>
          </w:tcPr>
          <w:p w14:paraId="1034BCBF" w14:textId="2D04C1EC" w:rsidR="00F84B2A" w:rsidRPr="00DA3CE7" w:rsidRDefault="00F84B2A" w:rsidP="00F84B2A">
            <w:pPr>
              <w:keepNext/>
              <w:keepLines/>
              <w:jc w:val="left"/>
              <w:rPr>
                <w:rFonts w:ascii="Calibri" w:eastAsia="Times New Roman" w:hAnsi="Calibri" w:cs="Calibri"/>
                <w:b/>
                <w:bCs/>
                <w:color w:val="000000"/>
              </w:rPr>
            </w:pPr>
            <w:r>
              <w:rPr>
                <w:rFonts w:ascii="Calibri" w:hAnsi="Calibri" w:cs="Calibri"/>
                <w:b/>
                <w:bCs/>
                <w:color w:val="000000"/>
              </w:rPr>
              <w:t>B2026</w:t>
            </w:r>
          </w:p>
        </w:tc>
      </w:tr>
      <w:tr w:rsidR="006751FE" w:rsidRPr="00DA3CE7" w14:paraId="28B303BC" w14:textId="77777777" w:rsidTr="00272272">
        <w:trPr>
          <w:trHeight w:val="290"/>
          <w:jc w:val="center"/>
        </w:trPr>
        <w:tc>
          <w:tcPr>
            <w:tcW w:w="1008" w:type="dxa"/>
          </w:tcPr>
          <w:p w14:paraId="2DAD78AB" w14:textId="04A62617" w:rsidR="006751FE" w:rsidRPr="00DA3CE7" w:rsidRDefault="006751FE" w:rsidP="006751FE">
            <w:pPr>
              <w:keepNext/>
              <w:keepLines/>
              <w:jc w:val="center"/>
              <w:rPr>
                <w:rFonts w:ascii="Calibri" w:eastAsia="Times New Roman" w:hAnsi="Calibri" w:cs="Calibri"/>
                <w:color w:val="000000"/>
              </w:rPr>
            </w:pPr>
            <w:r>
              <w:rPr>
                <w:rFonts w:ascii="Calibri" w:eastAsia="Times New Roman" w:hAnsi="Calibri" w:cs="Calibri"/>
                <w:color w:val="000000"/>
              </w:rPr>
              <w:t>A</w:t>
            </w:r>
          </w:p>
        </w:tc>
        <w:tc>
          <w:tcPr>
            <w:tcW w:w="3492" w:type="dxa"/>
            <w:tcBorders>
              <w:top w:val="nil"/>
              <w:left w:val="single" w:sz="4" w:space="0" w:color="auto"/>
              <w:bottom w:val="nil"/>
              <w:right w:val="single" w:sz="4" w:space="0" w:color="auto"/>
            </w:tcBorders>
            <w:noWrap/>
            <w:vAlign w:val="bottom"/>
            <w:hideMark/>
          </w:tcPr>
          <w:p w14:paraId="05CFEA23" w14:textId="17325B2D" w:rsidR="006751FE" w:rsidRPr="00DA3CE7" w:rsidRDefault="006751FE" w:rsidP="006751FE">
            <w:pPr>
              <w:keepNext/>
              <w:keepLines/>
              <w:jc w:val="left"/>
              <w:rPr>
                <w:rFonts w:ascii="Calibri" w:eastAsia="Times New Roman" w:hAnsi="Calibri" w:cs="Calibri"/>
                <w:color w:val="000000"/>
              </w:rPr>
            </w:pPr>
            <w:r>
              <w:rPr>
                <w:rFonts w:ascii="Calibri" w:eastAsia="Times New Roman" w:hAnsi="Calibri" w:cs="Calibri"/>
                <w:color w:val="000000"/>
              </w:rPr>
              <w:t xml:space="preserve">Customer </w:t>
            </w:r>
            <w:r w:rsidRPr="00DA3CE7">
              <w:rPr>
                <w:rFonts w:ascii="Calibri" w:eastAsia="Times New Roman" w:hAnsi="Calibri" w:cs="Calibri"/>
                <w:color w:val="000000"/>
              </w:rPr>
              <w:t>Announced Load (MW)</w:t>
            </w:r>
            <w:r>
              <w:rPr>
                <w:rStyle w:val="FootnoteReference"/>
                <w:rFonts w:ascii="Calibri" w:eastAsia="Times New Roman" w:hAnsi="Calibri"/>
                <w:color w:val="000000"/>
              </w:rPr>
              <w:footnoteReference w:id="36"/>
            </w:r>
          </w:p>
        </w:tc>
        <w:tc>
          <w:tcPr>
            <w:tcW w:w="1336" w:type="dxa"/>
            <w:tcBorders>
              <w:top w:val="nil"/>
              <w:left w:val="nil"/>
              <w:bottom w:val="nil"/>
              <w:right w:val="nil"/>
            </w:tcBorders>
            <w:shd w:val="clear" w:color="auto" w:fill="FFFF00"/>
            <w:noWrap/>
            <w:hideMark/>
          </w:tcPr>
          <w:p w14:paraId="1455EA74" w14:textId="2B063F24" w:rsidR="006751FE" w:rsidRPr="0040134E" w:rsidRDefault="006751FE" w:rsidP="006751FE">
            <w:pPr>
              <w:keepNext/>
              <w:keepLines/>
              <w:jc w:val="center"/>
              <w:rPr>
                <w:rFonts w:asciiTheme="minorHAnsi" w:eastAsia="Times New Roman" w:hAnsiTheme="minorHAnsi" w:cstheme="minorHAnsi"/>
                <w:color w:val="000000"/>
              </w:rPr>
            </w:pPr>
            <w:r w:rsidRPr="0025332F">
              <w:rPr>
                <w:rFonts w:ascii="Calibri" w:eastAsia="Times New Roman" w:hAnsi="Calibri" w:cs="Calibri"/>
                <w:color w:val="000000"/>
                <w:highlight w:val="black"/>
              </w:rPr>
              <w:t>XXXX</w:t>
            </w:r>
          </w:p>
        </w:tc>
        <w:tc>
          <w:tcPr>
            <w:tcW w:w="1169" w:type="dxa"/>
            <w:tcBorders>
              <w:top w:val="nil"/>
              <w:left w:val="nil"/>
              <w:bottom w:val="nil"/>
              <w:right w:val="nil"/>
            </w:tcBorders>
            <w:shd w:val="clear" w:color="auto" w:fill="FFFF00"/>
            <w:noWrap/>
            <w:hideMark/>
          </w:tcPr>
          <w:p w14:paraId="3F101E49" w14:textId="0B7D6566" w:rsidR="006751FE" w:rsidRPr="0040134E" w:rsidRDefault="006751FE" w:rsidP="006751FE">
            <w:pPr>
              <w:keepNext/>
              <w:keepLines/>
              <w:jc w:val="center"/>
              <w:rPr>
                <w:rFonts w:asciiTheme="minorHAnsi" w:eastAsia="Times New Roman" w:hAnsiTheme="minorHAnsi" w:cstheme="minorHAnsi"/>
                <w:color w:val="000000"/>
              </w:rPr>
            </w:pPr>
            <w:r w:rsidRPr="0025332F">
              <w:rPr>
                <w:rFonts w:ascii="Calibri" w:eastAsia="Times New Roman" w:hAnsi="Calibri" w:cs="Calibri"/>
                <w:color w:val="000000"/>
                <w:highlight w:val="black"/>
              </w:rPr>
              <w:t>XXXX</w:t>
            </w:r>
          </w:p>
        </w:tc>
        <w:tc>
          <w:tcPr>
            <w:tcW w:w="1169" w:type="dxa"/>
            <w:tcBorders>
              <w:top w:val="nil"/>
              <w:left w:val="nil"/>
              <w:bottom w:val="nil"/>
              <w:right w:val="nil"/>
            </w:tcBorders>
            <w:shd w:val="clear" w:color="auto" w:fill="FFFF00"/>
            <w:noWrap/>
            <w:hideMark/>
          </w:tcPr>
          <w:p w14:paraId="6866AE8F" w14:textId="12510E35" w:rsidR="006751FE" w:rsidRPr="0040134E" w:rsidRDefault="006751FE" w:rsidP="006751FE">
            <w:pPr>
              <w:keepNext/>
              <w:keepLines/>
              <w:jc w:val="center"/>
              <w:rPr>
                <w:rFonts w:asciiTheme="minorHAnsi" w:eastAsia="Times New Roman" w:hAnsiTheme="minorHAnsi" w:cstheme="minorHAnsi"/>
                <w:color w:val="000000"/>
              </w:rPr>
            </w:pPr>
            <w:r w:rsidRPr="0025332F">
              <w:rPr>
                <w:rFonts w:ascii="Calibri" w:eastAsia="Times New Roman" w:hAnsi="Calibri" w:cs="Calibri"/>
                <w:color w:val="000000"/>
                <w:highlight w:val="black"/>
              </w:rPr>
              <w:t>XXXX</w:t>
            </w:r>
          </w:p>
        </w:tc>
        <w:tc>
          <w:tcPr>
            <w:tcW w:w="1336" w:type="dxa"/>
            <w:tcBorders>
              <w:top w:val="nil"/>
              <w:left w:val="nil"/>
              <w:bottom w:val="nil"/>
              <w:right w:val="single" w:sz="4" w:space="0" w:color="auto"/>
            </w:tcBorders>
            <w:shd w:val="clear" w:color="auto" w:fill="FFFF00"/>
            <w:noWrap/>
            <w:hideMark/>
          </w:tcPr>
          <w:p w14:paraId="46438E33" w14:textId="2DFA3E19" w:rsidR="006751FE" w:rsidRPr="0040134E" w:rsidRDefault="006751FE" w:rsidP="006751FE">
            <w:pPr>
              <w:keepNext/>
              <w:keepLines/>
              <w:jc w:val="center"/>
              <w:rPr>
                <w:rFonts w:asciiTheme="minorHAnsi" w:eastAsia="Times New Roman" w:hAnsiTheme="minorHAnsi" w:cstheme="minorHAnsi"/>
                <w:color w:val="000000"/>
              </w:rPr>
            </w:pPr>
            <w:r w:rsidRPr="0025332F">
              <w:rPr>
                <w:rFonts w:ascii="Calibri" w:eastAsia="Times New Roman" w:hAnsi="Calibri" w:cs="Calibri"/>
                <w:color w:val="000000"/>
                <w:highlight w:val="black"/>
              </w:rPr>
              <w:t>XXXX</w:t>
            </w:r>
          </w:p>
        </w:tc>
      </w:tr>
      <w:tr w:rsidR="00E30291" w:rsidRPr="00DA3CE7" w14:paraId="6A001356" w14:textId="77777777" w:rsidTr="00CD39F9">
        <w:trPr>
          <w:trHeight w:val="290"/>
          <w:jc w:val="center"/>
        </w:trPr>
        <w:tc>
          <w:tcPr>
            <w:tcW w:w="1008" w:type="dxa"/>
          </w:tcPr>
          <w:p w14:paraId="3FAE4006" w14:textId="312782B6" w:rsidR="00F40781" w:rsidRPr="00DA3CE7" w:rsidRDefault="00F40781" w:rsidP="0040134E">
            <w:pPr>
              <w:keepNext/>
              <w:keepLines/>
              <w:jc w:val="center"/>
              <w:rPr>
                <w:rFonts w:ascii="Calibri" w:eastAsia="Times New Roman" w:hAnsi="Calibri" w:cs="Calibri"/>
                <w:color w:val="000000"/>
              </w:rPr>
            </w:pPr>
            <w:r>
              <w:rPr>
                <w:rFonts w:ascii="Calibri" w:eastAsia="Times New Roman" w:hAnsi="Calibri" w:cs="Calibri"/>
                <w:color w:val="000000"/>
              </w:rPr>
              <w:t>B</w:t>
            </w:r>
          </w:p>
        </w:tc>
        <w:tc>
          <w:tcPr>
            <w:tcW w:w="3492" w:type="dxa"/>
            <w:tcBorders>
              <w:top w:val="nil"/>
              <w:left w:val="single" w:sz="4" w:space="0" w:color="auto"/>
              <w:bottom w:val="nil"/>
              <w:right w:val="single" w:sz="4" w:space="0" w:color="auto"/>
            </w:tcBorders>
            <w:noWrap/>
            <w:vAlign w:val="bottom"/>
            <w:hideMark/>
          </w:tcPr>
          <w:p w14:paraId="76A30887" w14:textId="7514582F" w:rsidR="00F40781" w:rsidRPr="00DA3CE7" w:rsidRDefault="00F40781" w:rsidP="0040134E">
            <w:pPr>
              <w:keepNext/>
              <w:keepLines/>
              <w:jc w:val="left"/>
              <w:rPr>
                <w:rFonts w:ascii="Calibri" w:eastAsia="Times New Roman" w:hAnsi="Calibri" w:cs="Calibri"/>
                <w:color w:val="000000"/>
              </w:rPr>
            </w:pPr>
            <w:r>
              <w:rPr>
                <w:rFonts w:ascii="Calibri" w:eastAsia="Times New Roman" w:hAnsi="Calibri" w:cs="Calibri"/>
                <w:color w:val="000000"/>
              </w:rPr>
              <w:t xml:space="preserve">Company </w:t>
            </w:r>
            <w:r w:rsidRPr="00DA3CE7">
              <w:rPr>
                <w:rFonts w:ascii="Calibri" w:eastAsia="Times New Roman" w:hAnsi="Calibri" w:cs="Calibri"/>
                <w:color w:val="000000"/>
              </w:rPr>
              <w:t>Expected Load</w:t>
            </w:r>
            <w:r>
              <w:rPr>
                <w:rFonts w:ascii="Calibri" w:eastAsia="Times New Roman" w:hAnsi="Calibri" w:cs="Calibri"/>
                <w:color w:val="000000"/>
              </w:rPr>
              <w:t xml:space="preserve"> Adjustment</w:t>
            </w:r>
            <w:r w:rsidRPr="00DA3CE7">
              <w:rPr>
                <w:rFonts w:ascii="Calibri" w:eastAsia="Times New Roman" w:hAnsi="Calibri" w:cs="Calibri"/>
                <w:color w:val="000000"/>
              </w:rPr>
              <w:t xml:space="preserve"> (MW)</w:t>
            </w:r>
          </w:p>
        </w:tc>
        <w:tc>
          <w:tcPr>
            <w:tcW w:w="1336" w:type="dxa"/>
            <w:tcBorders>
              <w:top w:val="nil"/>
              <w:left w:val="nil"/>
              <w:bottom w:val="nil"/>
              <w:right w:val="nil"/>
            </w:tcBorders>
            <w:shd w:val="clear" w:color="auto" w:fill="FFFF00"/>
            <w:noWrap/>
            <w:hideMark/>
          </w:tcPr>
          <w:p w14:paraId="678B1CF3" w14:textId="3E9E749B" w:rsidR="00F40781" w:rsidRPr="0040134E" w:rsidRDefault="006751FE" w:rsidP="00E30291">
            <w:pPr>
              <w:keepNext/>
              <w:keepLines/>
              <w:jc w:val="center"/>
              <w:rPr>
                <w:rFonts w:asciiTheme="minorHAnsi" w:eastAsia="Times New Roman" w:hAnsiTheme="minorHAnsi" w:cstheme="minorBidi"/>
                <w:color w:val="000000"/>
              </w:rPr>
            </w:pPr>
            <w:r w:rsidRPr="006751FE">
              <w:rPr>
                <w:rFonts w:ascii="Calibri" w:eastAsia="Times New Roman" w:hAnsi="Calibri" w:cs="Calibri"/>
                <w:color w:val="000000"/>
                <w:highlight w:val="black"/>
              </w:rPr>
              <w:t>XXXX</w:t>
            </w:r>
            <w:r w:rsidRPr="729D1AD9">
              <w:rPr>
                <w:rStyle w:val="FootnoteReference"/>
                <w:rFonts w:asciiTheme="minorHAnsi" w:hAnsiTheme="minorHAnsi"/>
              </w:rPr>
              <w:t xml:space="preserve"> </w:t>
            </w:r>
            <w:r w:rsidR="008A4606" w:rsidRPr="729D1AD9">
              <w:rPr>
                <w:rStyle w:val="FootnoteReference"/>
                <w:rFonts w:asciiTheme="minorHAnsi" w:hAnsiTheme="minorHAnsi"/>
              </w:rPr>
              <w:footnoteReference w:id="37"/>
            </w:r>
          </w:p>
        </w:tc>
        <w:tc>
          <w:tcPr>
            <w:tcW w:w="1169" w:type="dxa"/>
            <w:tcBorders>
              <w:top w:val="nil"/>
              <w:left w:val="nil"/>
              <w:bottom w:val="nil"/>
              <w:right w:val="nil"/>
            </w:tcBorders>
            <w:shd w:val="clear" w:color="auto" w:fill="FFFF00"/>
            <w:noWrap/>
            <w:hideMark/>
          </w:tcPr>
          <w:p w14:paraId="5EE2847F" w14:textId="7DCA1055" w:rsidR="00F40781" w:rsidRPr="0040134E" w:rsidRDefault="006751FE" w:rsidP="00E30291">
            <w:pPr>
              <w:keepNext/>
              <w:keepLines/>
              <w:jc w:val="center"/>
              <w:rPr>
                <w:rFonts w:asciiTheme="minorHAnsi" w:eastAsia="Times New Roman" w:hAnsiTheme="minorHAnsi" w:cstheme="minorBidi"/>
                <w:color w:val="000000"/>
              </w:rPr>
            </w:pPr>
            <w:r w:rsidRPr="006751FE">
              <w:rPr>
                <w:rFonts w:ascii="Calibri" w:eastAsia="Times New Roman" w:hAnsi="Calibri" w:cs="Calibri"/>
                <w:color w:val="000000"/>
                <w:highlight w:val="black"/>
              </w:rPr>
              <w:t>XXXX</w:t>
            </w:r>
            <w:r w:rsidRPr="729D1AD9">
              <w:rPr>
                <w:rStyle w:val="FootnoteReference"/>
                <w:rFonts w:asciiTheme="minorHAnsi" w:hAnsiTheme="minorHAnsi"/>
              </w:rPr>
              <w:t xml:space="preserve"> </w:t>
            </w:r>
            <w:r w:rsidR="008A4606" w:rsidRPr="729D1AD9">
              <w:rPr>
                <w:rStyle w:val="FootnoteReference"/>
                <w:rFonts w:asciiTheme="minorHAnsi" w:hAnsiTheme="minorHAnsi"/>
              </w:rPr>
              <w:footnoteReference w:id="38"/>
            </w:r>
          </w:p>
        </w:tc>
        <w:tc>
          <w:tcPr>
            <w:tcW w:w="1169" w:type="dxa"/>
            <w:tcBorders>
              <w:top w:val="nil"/>
              <w:left w:val="nil"/>
              <w:bottom w:val="nil"/>
              <w:right w:val="nil"/>
            </w:tcBorders>
            <w:shd w:val="clear" w:color="auto" w:fill="FFFF00"/>
            <w:noWrap/>
            <w:hideMark/>
          </w:tcPr>
          <w:p w14:paraId="3301DD65" w14:textId="4B4BA1BC" w:rsidR="00F40781" w:rsidRPr="0040134E" w:rsidRDefault="006751FE" w:rsidP="00E30291">
            <w:pPr>
              <w:keepNext/>
              <w:keepLines/>
              <w:jc w:val="center"/>
              <w:rPr>
                <w:rFonts w:asciiTheme="minorHAnsi" w:eastAsia="Times New Roman" w:hAnsiTheme="minorHAnsi" w:cstheme="minorBidi"/>
                <w:color w:val="000000"/>
              </w:rPr>
            </w:pPr>
            <w:r w:rsidRPr="006751FE">
              <w:rPr>
                <w:rFonts w:ascii="Calibri" w:eastAsia="Times New Roman" w:hAnsi="Calibri" w:cs="Calibri"/>
                <w:color w:val="000000"/>
                <w:highlight w:val="black"/>
              </w:rPr>
              <w:t>XXXX</w:t>
            </w:r>
            <w:r w:rsidRPr="729D1AD9">
              <w:rPr>
                <w:rStyle w:val="FootnoteReference"/>
                <w:rFonts w:asciiTheme="minorHAnsi" w:hAnsiTheme="minorHAnsi"/>
              </w:rPr>
              <w:t xml:space="preserve"> </w:t>
            </w:r>
            <w:r w:rsidR="008A4606" w:rsidRPr="729D1AD9">
              <w:rPr>
                <w:rStyle w:val="FootnoteReference"/>
                <w:rFonts w:asciiTheme="minorHAnsi" w:hAnsiTheme="minorHAnsi"/>
              </w:rPr>
              <w:footnoteReference w:id="39"/>
            </w:r>
          </w:p>
        </w:tc>
        <w:tc>
          <w:tcPr>
            <w:tcW w:w="1336" w:type="dxa"/>
            <w:tcBorders>
              <w:top w:val="nil"/>
              <w:left w:val="nil"/>
              <w:bottom w:val="nil"/>
              <w:right w:val="single" w:sz="4" w:space="0" w:color="auto"/>
            </w:tcBorders>
            <w:shd w:val="clear" w:color="auto" w:fill="FFFF00"/>
            <w:noWrap/>
            <w:hideMark/>
          </w:tcPr>
          <w:p w14:paraId="69973CB0" w14:textId="4CE5B276" w:rsidR="00F40781" w:rsidRPr="0040134E" w:rsidRDefault="006751FE" w:rsidP="00E30291">
            <w:pPr>
              <w:keepNext/>
              <w:keepLines/>
              <w:jc w:val="center"/>
              <w:rPr>
                <w:rFonts w:asciiTheme="minorHAnsi" w:eastAsia="Times New Roman" w:hAnsiTheme="minorHAnsi" w:cstheme="minorBidi"/>
                <w:color w:val="000000"/>
              </w:rPr>
            </w:pPr>
            <w:r w:rsidRPr="006751FE">
              <w:rPr>
                <w:rFonts w:ascii="Calibri" w:eastAsia="Times New Roman" w:hAnsi="Calibri" w:cs="Calibri"/>
                <w:color w:val="000000"/>
                <w:highlight w:val="black"/>
              </w:rPr>
              <w:t>XXXX</w:t>
            </w:r>
            <w:r w:rsidRPr="729D1AD9">
              <w:rPr>
                <w:rStyle w:val="FootnoteReference"/>
                <w:rFonts w:asciiTheme="minorHAnsi" w:hAnsiTheme="minorHAnsi"/>
              </w:rPr>
              <w:t xml:space="preserve"> </w:t>
            </w:r>
            <w:r w:rsidR="008A4606" w:rsidRPr="729D1AD9">
              <w:rPr>
                <w:rStyle w:val="FootnoteReference"/>
                <w:rFonts w:asciiTheme="minorHAnsi" w:hAnsiTheme="minorHAnsi"/>
              </w:rPr>
              <w:footnoteReference w:id="40"/>
            </w:r>
          </w:p>
        </w:tc>
      </w:tr>
      <w:tr w:rsidR="006751FE" w:rsidRPr="00DA3CE7" w14:paraId="249424A3" w14:textId="77777777" w:rsidTr="00526A13">
        <w:trPr>
          <w:trHeight w:val="290"/>
          <w:jc w:val="center"/>
        </w:trPr>
        <w:tc>
          <w:tcPr>
            <w:tcW w:w="1008" w:type="dxa"/>
          </w:tcPr>
          <w:p w14:paraId="523A0381" w14:textId="0AD1EE4F" w:rsidR="006751FE" w:rsidRPr="00DA3CE7" w:rsidRDefault="006751FE" w:rsidP="006751FE">
            <w:pPr>
              <w:keepNext/>
              <w:keepLines/>
              <w:jc w:val="center"/>
              <w:rPr>
                <w:rFonts w:ascii="Calibri" w:eastAsia="Times New Roman" w:hAnsi="Calibri" w:cs="Calibri"/>
                <w:color w:val="000000"/>
              </w:rPr>
            </w:pPr>
            <w:r>
              <w:rPr>
                <w:rFonts w:ascii="Calibri" w:eastAsia="Times New Roman" w:hAnsi="Calibri" w:cs="Calibri"/>
                <w:color w:val="000000"/>
              </w:rPr>
              <w:t>C</w:t>
            </w:r>
          </w:p>
        </w:tc>
        <w:tc>
          <w:tcPr>
            <w:tcW w:w="3492" w:type="dxa"/>
            <w:tcBorders>
              <w:top w:val="nil"/>
              <w:left w:val="single" w:sz="4" w:space="0" w:color="auto"/>
              <w:bottom w:val="nil"/>
              <w:right w:val="single" w:sz="4" w:space="0" w:color="auto"/>
            </w:tcBorders>
            <w:noWrap/>
            <w:vAlign w:val="bottom"/>
            <w:hideMark/>
          </w:tcPr>
          <w:p w14:paraId="1FF2BD8F" w14:textId="30932499" w:rsidR="006751FE" w:rsidRPr="00DA3CE7" w:rsidRDefault="006751FE" w:rsidP="006751FE">
            <w:pPr>
              <w:keepNext/>
              <w:keepLines/>
              <w:jc w:val="left"/>
              <w:rPr>
                <w:rFonts w:ascii="Calibri" w:eastAsia="Times New Roman" w:hAnsi="Calibri" w:cs="Calibri"/>
                <w:color w:val="000000"/>
              </w:rPr>
            </w:pPr>
            <w:r w:rsidRPr="00DA3CE7">
              <w:rPr>
                <w:rFonts w:ascii="Calibri" w:eastAsia="Times New Roman" w:hAnsi="Calibri" w:cs="Calibri"/>
                <w:color w:val="000000"/>
              </w:rPr>
              <w:t>Actual Load (MW)</w:t>
            </w:r>
            <w:r>
              <w:rPr>
                <w:rFonts w:ascii="Calibri" w:eastAsia="Times New Roman" w:hAnsi="Calibri" w:cs="Calibri"/>
                <w:color w:val="000000"/>
              </w:rPr>
              <w:t xml:space="preserve"> -</w:t>
            </w:r>
            <w:r w:rsidRPr="00DA3CE7">
              <w:rPr>
                <w:rFonts w:ascii="Calibri" w:eastAsia="Times New Roman" w:hAnsi="Calibri" w:cs="Calibri"/>
                <w:color w:val="000000"/>
              </w:rPr>
              <w:t xml:space="preserve"> July 31</w:t>
            </w:r>
            <w:r>
              <w:rPr>
                <w:rFonts w:ascii="Calibri" w:eastAsia="Times New Roman" w:hAnsi="Calibri" w:cs="Calibri"/>
                <w:color w:val="000000"/>
              </w:rPr>
              <w:t>, 2025</w:t>
            </w:r>
            <w:r>
              <w:rPr>
                <w:rStyle w:val="FootnoteReference"/>
                <w:rFonts w:ascii="Calibri" w:eastAsia="Times New Roman" w:hAnsi="Calibri"/>
                <w:color w:val="000000"/>
              </w:rPr>
              <w:footnoteReference w:id="41"/>
            </w:r>
          </w:p>
        </w:tc>
        <w:tc>
          <w:tcPr>
            <w:tcW w:w="1336" w:type="dxa"/>
            <w:tcBorders>
              <w:top w:val="nil"/>
              <w:left w:val="nil"/>
              <w:bottom w:val="nil"/>
              <w:right w:val="nil"/>
            </w:tcBorders>
            <w:shd w:val="clear" w:color="auto" w:fill="FFFF00"/>
            <w:noWrap/>
            <w:hideMark/>
          </w:tcPr>
          <w:p w14:paraId="3E5EDF55" w14:textId="497B2019" w:rsidR="006751FE" w:rsidRPr="0040134E" w:rsidRDefault="006751FE" w:rsidP="006751FE">
            <w:pPr>
              <w:keepNext/>
              <w:keepLines/>
              <w:jc w:val="center"/>
              <w:rPr>
                <w:rFonts w:asciiTheme="minorHAnsi" w:eastAsia="Times New Roman" w:hAnsiTheme="minorHAnsi" w:cstheme="minorHAnsi"/>
                <w:color w:val="000000"/>
              </w:rPr>
            </w:pPr>
            <w:r w:rsidRPr="006B0320">
              <w:rPr>
                <w:rFonts w:ascii="Calibri" w:eastAsia="Times New Roman" w:hAnsi="Calibri" w:cs="Calibri"/>
                <w:color w:val="000000"/>
                <w:highlight w:val="black"/>
              </w:rPr>
              <w:t>XXXX</w:t>
            </w:r>
          </w:p>
        </w:tc>
        <w:tc>
          <w:tcPr>
            <w:tcW w:w="1169" w:type="dxa"/>
            <w:tcBorders>
              <w:top w:val="nil"/>
              <w:left w:val="nil"/>
              <w:bottom w:val="nil"/>
              <w:right w:val="nil"/>
            </w:tcBorders>
            <w:shd w:val="clear" w:color="auto" w:fill="FFFF00"/>
            <w:noWrap/>
            <w:hideMark/>
          </w:tcPr>
          <w:p w14:paraId="58AA8530" w14:textId="5EE58979" w:rsidR="006751FE" w:rsidRPr="0040134E" w:rsidRDefault="006751FE" w:rsidP="006751FE">
            <w:pPr>
              <w:keepNext/>
              <w:keepLines/>
              <w:jc w:val="center"/>
              <w:rPr>
                <w:rFonts w:asciiTheme="minorHAnsi" w:eastAsia="Times New Roman" w:hAnsiTheme="minorHAnsi" w:cstheme="minorHAnsi"/>
                <w:color w:val="000000"/>
              </w:rPr>
            </w:pPr>
            <w:r w:rsidRPr="006B0320">
              <w:rPr>
                <w:rFonts w:ascii="Calibri" w:eastAsia="Times New Roman" w:hAnsi="Calibri" w:cs="Calibri"/>
                <w:color w:val="000000"/>
                <w:highlight w:val="black"/>
              </w:rPr>
              <w:t>XXXX</w:t>
            </w:r>
          </w:p>
        </w:tc>
        <w:tc>
          <w:tcPr>
            <w:tcW w:w="1169" w:type="dxa"/>
            <w:tcBorders>
              <w:top w:val="nil"/>
              <w:left w:val="nil"/>
              <w:bottom w:val="nil"/>
              <w:right w:val="nil"/>
            </w:tcBorders>
            <w:shd w:val="clear" w:color="auto" w:fill="FFFF00"/>
            <w:noWrap/>
            <w:hideMark/>
          </w:tcPr>
          <w:p w14:paraId="20C45CF4" w14:textId="421CB4F7" w:rsidR="006751FE" w:rsidRPr="0040134E" w:rsidRDefault="006751FE" w:rsidP="006751FE">
            <w:pPr>
              <w:keepNext/>
              <w:keepLines/>
              <w:jc w:val="center"/>
              <w:rPr>
                <w:rFonts w:asciiTheme="minorHAnsi" w:eastAsia="Times New Roman" w:hAnsiTheme="minorHAnsi" w:cstheme="minorHAnsi"/>
                <w:color w:val="000000"/>
              </w:rPr>
            </w:pPr>
            <w:r w:rsidRPr="006B0320">
              <w:rPr>
                <w:rFonts w:ascii="Calibri" w:eastAsia="Times New Roman" w:hAnsi="Calibri" w:cs="Calibri"/>
                <w:color w:val="000000"/>
                <w:highlight w:val="black"/>
              </w:rPr>
              <w:t>XXXX</w:t>
            </w:r>
          </w:p>
        </w:tc>
        <w:tc>
          <w:tcPr>
            <w:tcW w:w="1336" w:type="dxa"/>
            <w:tcBorders>
              <w:top w:val="nil"/>
              <w:left w:val="nil"/>
              <w:bottom w:val="nil"/>
              <w:right w:val="single" w:sz="4" w:space="0" w:color="auto"/>
            </w:tcBorders>
            <w:shd w:val="clear" w:color="auto" w:fill="FFFF00"/>
            <w:noWrap/>
            <w:hideMark/>
          </w:tcPr>
          <w:p w14:paraId="282EC04D" w14:textId="4910C8FC" w:rsidR="006751FE" w:rsidRPr="0040134E" w:rsidRDefault="006751FE" w:rsidP="006751FE">
            <w:pPr>
              <w:keepNext/>
              <w:keepLines/>
              <w:jc w:val="center"/>
              <w:rPr>
                <w:rFonts w:asciiTheme="minorHAnsi" w:eastAsia="Times New Roman" w:hAnsiTheme="minorHAnsi" w:cstheme="minorHAnsi"/>
                <w:color w:val="000000"/>
              </w:rPr>
            </w:pPr>
            <w:r w:rsidRPr="006B0320">
              <w:rPr>
                <w:rFonts w:ascii="Calibri" w:eastAsia="Times New Roman" w:hAnsi="Calibri" w:cs="Calibri"/>
                <w:color w:val="000000"/>
                <w:highlight w:val="black"/>
              </w:rPr>
              <w:t>XXXX</w:t>
            </w:r>
          </w:p>
        </w:tc>
      </w:tr>
      <w:tr w:rsidR="00334158" w:rsidRPr="00DA3CE7" w14:paraId="2E9E3326" w14:textId="77777777" w:rsidTr="00334158">
        <w:trPr>
          <w:trHeight w:val="290"/>
          <w:jc w:val="center"/>
        </w:trPr>
        <w:tc>
          <w:tcPr>
            <w:tcW w:w="1008" w:type="dxa"/>
          </w:tcPr>
          <w:p w14:paraId="37C3FDDE" w14:textId="3EF3FEDD" w:rsidR="00334158" w:rsidRPr="00DA3CE7" w:rsidRDefault="00334158" w:rsidP="00334158">
            <w:pPr>
              <w:keepNext/>
              <w:keepLines/>
              <w:jc w:val="center"/>
              <w:rPr>
                <w:rFonts w:ascii="Calibri" w:eastAsia="Times New Roman" w:hAnsi="Calibri" w:cs="Calibri"/>
                <w:color w:val="000000"/>
              </w:rPr>
            </w:pPr>
            <w:r>
              <w:rPr>
                <w:rFonts w:ascii="Calibri" w:eastAsia="Times New Roman" w:hAnsi="Calibri" w:cs="Calibri"/>
                <w:color w:val="000000"/>
              </w:rPr>
              <w:t>D=B/A</w:t>
            </w:r>
          </w:p>
        </w:tc>
        <w:tc>
          <w:tcPr>
            <w:tcW w:w="3492" w:type="dxa"/>
            <w:tcBorders>
              <w:top w:val="single" w:sz="4" w:space="0" w:color="auto"/>
              <w:left w:val="single" w:sz="4" w:space="0" w:color="auto"/>
              <w:bottom w:val="nil"/>
              <w:right w:val="single" w:sz="4" w:space="0" w:color="auto"/>
            </w:tcBorders>
            <w:noWrap/>
            <w:vAlign w:val="bottom"/>
            <w:hideMark/>
          </w:tcPr>
          <w:p w14:paraId="624E52CF" w14:textId="7277BF56" w:rsidR="00334158" w:rsidRPr="00DA3CE7" w:rsidRDefault="00334158" w:rsidP="00334158">
            <w:pPr>
              <w:keepNext/>
              <w:keepLines/>
              <w:jc w:val="left"/>
              <w:rPr>
                <w:rFonts w:ascii="Calibri" w:eastAsia="Times New Roman" w:hAnsi="Calibri" w:cs="Calibri"/>
                <w:color w:val="000000"/>
              </w:rPr>
            </w:pPr>
            <w:r>
              <w:rPr>
                <w:rFonts w:ascii="Calibri" w:eastAsia="Times New Roman" w:hAnsi="Calibri" w:cs="Calibri"/>
                <w:color w:val="000000"/>
              </w:rPr>
              <w:t xml:space="preserve">Company </w:t>
            </w:r>
            <w:r w:rsidRPr="00DA3CE7">
              <w:rPr>
                <w:rFonts w:ascii="Calibri" w:eastAsia="Times New Roman" w:hAnsi="Calibri" w:cs="Calibri"/>
                <w:color w:val="000000"/>
              </w:rPr>
              <w:t>Expected</w:t>
            </w:r>
            <w:r>
              <w:rPr>
                <w:rFonts w:ascii="Calibri" w:eastAsia="Times New Roman" w:hAnsi="Calibri" w:cs="Calibri"/>
                <w:color w:val="000000"/>
              </w:rPr>
              <w:t xml:space="preserve"> </w:t>
            </w:r>
            <w:r w:rsidRPr="00DA3CE7">
              <w:rPr>
                <w:rFonts w:ascii="Calibri" w:eastAsia="Times New Roman" w:hAnsi="Calibri" w:cs="Calibri"/>
                <w:color w:val="000000"/>
              </w:rPr>
              <w:t>Materialization (%)</w:t>
            </w:r>
          </w:p>
        </w:tc>
        <w:tc>
          <w:tcPr>
            <w:tcW w:w="1336" w:type="dxa"/>
            <w:tcBorders>
              <w:top w:val="single" w:sz="4" w:space="0" w:color="auto"/>
              <w:left w:val="nil"/>
              <w:bottom w:val="nil"/>
              <w:right w:val="nil"/>
            </w:tcBorders>
            <w:shd w:val="clear" w:color="auto" w:fill="FFFF00"/>
            <w:noWrap/>
            <w:hideMark/>
          </w:tcPr>
          <w:p w14:paraId="71CBC7FB" w14:textId="384C03C4" w:rsidR="00334158" w:rsidRPr="0040134E" w:rsidRDefault="00334158" w:rsidP="00334158">
            <w:pPr>
              <w:keepNext/>
              <w:keepLines/>
              <w:jc w:val="center"/>
              <w:rPr>
                <w:rFonts w:asciiTheme="minorHAnsi" w:eastAsia="Times New Roman" w:hAnsiTheme="minorHAnsi" w:cstheme="minorHAnsi"/>
                <w:color w:val="000000"/>
              </w:rPr>
            </w:pPr>
            <w:r w:rsidRPr="009D0B19">
              <w:rPr>
                <w:highlight w:val="black"/>
              </w:rPr>
              <w:t>XX</w:t>
            </w:r>
          </w:p>
        </w:tc>
        <w:tc>
          <w:tcPr>
            <w:tcW w:w="1169" w:type="dxa"/>
            <w:tcBorders>
              <w:top w:val="single" w:sz="4" w:space="0" w:color="auto"/>
              <w:left w:val="nil"/>
              <w:bottom w:val="nil"/>
              <w:right w:val="nil"/>
            </w:tcBorders>
            <w:shd w:val="clear" w:color="auto" w:fill="FFFF00"/>
            <w:noWrap/>
            <w:hideMark/>
          </w:tcPr>
          <w:p w14:paraId="31C3E0E5" w14:textId="5C0D4DDC" w:rsidR="00334158" w:rsidRPr="0040134E" w:rsidRDefault="00334158" w:rsidP="00334158">
            <w:pPr>
              <w:keepNext/>
              <w:keepLines/>
              <w:jc w:val="center"/>
              <w:rPr>
                <w:rFonts w:asciiTheme="minorHAnsi" w:eastAsia="Times New Roman" w:hAnsiTheme="minorHAnsi" w:cstheme="minorHAnsi"/>
                <w:color w:val="000000"/>
              </w:rPr>
            </w:pPr>
            <w:r w:rsidRPr="009D0B19">
              <w:rPr>
                <w:highlight w:val="black"/>
              </w:rPr>
              <w:t>XX</w:t>
            </w:r>
          </w:p>
        </w:tc>
        <w:tc>
          <w:tcPr>
            <w:tcW w:w="1169" w:type="dxa"/>
            <w:tcBorders>
              <w:top w:val="single" w:sz="4" w:space="0" w:color="auto"/>
              <w:left w:val="nil"/>
              <w:bottom w:val="nil"/>
              <w:right w:val="nil"/>
            </w:tcBorders>
            <w:shd w:val="clear" w:color="auto" w:fill="FFFF00"/>
            <w:noWrap/>
            <w:hideMark/>
          </w:tcPr>
          <w:p w14:paraId="42977CA5" w14:textId="5503690A" w:rsidR="00334158" w:rsidRPr="0040134E" w:rsidRDefault="00334158" w:rsidP="00334158">
            <w:pPr>
              <w:keepNext/>
              <w:keepLines/>
              <w:jc w:val="center"/>
              <w:rPr>
                <w:rFonts w:asciiTheme="minorHAnsi" w:eastAsia="Times New Roman" w:hAnsiTheme="minorHAnsi" w:cstheme="minorHAnsi"/>
                <w:color w:val="000000"/>
              </w:rPr>
            </w:pPr>
            <w:r w:rsidRPr="009D0B19">
              <w:rPr>
                <w:highlight w:val="black"/>
              </w:rPr>
              <w:t>XX</w:t>
            </w:r>
          </w:p>
        </w:tc>
        <w:tc>
          <w:tcPr>
            <w:tcW w:w="1336" w:type="dxa"/>
            <w:tcBorders>
              <w:top w:val="single" w:sz="4" w:space="0" w:color="auto"/>
              <w:left w:val="nil"/>
              <w:bottom w:val="nil"/>
              <w:right w:val="single" w:sz="4" w:space="0" w:color="auto"/>
            </w:tcBorders>
            <w:shd w:val="clear" w:color="auto" w:fill="FFFF00"/>
            <w:noWrap/>
            <w:hideMark/>
          </w:tcPr>
          <w:p w14:paraId="48959C69" w14:textId="74D61C25" w:rsidR="00334158" w:rsidRPr="0040134E" w:rsidRDefault="00334158" w:rsidP="00334158">
            <w:pPr>
              <w:keepNext/>
              <w:keepLines/>
              <w:jc w:val="center"/>
              <w:rPr>
                <w:rFonts w:asciiTheme="minorHAnsi" w:eastAsia="Times New Roman" w:hAnsiTheme="minorHAnsi" w:cstheme="minorHAnsi"/>
                <w:color w:val="000000"/>
              </w:rPr>
            </w:pPr>
            <w:r w:rsidRPr="009D0B19">
              <w:rPr>
                <w:highlight w:val="black"/>
              </w:rPr>
              <w:t>XX</w:t>
            </w:r>
          </w:p>
        </w:tc>
      </w:tr>
      <w:tr w:rsidR="00334158" w:rsidRPr="00DA3CE7" w14:paraId="34C39B46" w14:textId="77777777" w:rsidTr="00334158">
        <w:trPr>
          <w:trHeight w:val="290"/>
          <w:jc w:val="center"/>
        </w:trPr>
        <w:tc>
          <w:tcPr>
            <w:tcW w:w="1008" w:type="dxa"/>
          </w:tcPr>
          <w:p w14:paraId="41178E76" w14:textId="5D777114" w:rsidR="00334158" w:rsidRPr="00DA3CE7" w:rsidRDefault="00334158" w:rsidP="00334158">
            <w:pPr>
              <w:keepNext/>
              <w:keepLines/>
              <w:jc w:val="center"/>
              <w:rPr>
                <w:rFonts w:ascii="Calibri" w:eastAsia="Times New Roman" w:hAnsi="Calibri" w:cs="Calibri"/>
                <w:color w:val="000000"/>
              </w:rPr>
            </w:pPr>
            <w:r>
              <w:rPr>
                <w:rFonts w:ascii="Calibri" w:eastAsia="Times New Roman" w:hAnsi="Calibri" w:cs="Calibri"/>
                <w:color w:val="000000"/>
              </w:rPr>
              <w:t>E=C/A</w:t>
            </w:r>
          </w:p>
        </w:tc>
        <w:tc>
          <w:tcPr>
            <w:tcW w:w="3492" w:type="dxa"/>
            <w:tcBorders>
              <w:top w:val="nil"/>
              <w:left w:val="single" w:sz="4" w:space="0" w:color="auto"/>
              <w:bottom w:val="nil"/>
              <w:right w:val="single" w:sz="4" w:space="0" w:color="auto"/>
            </w:tcBorders>
            <w:noWrap/>
            <w:vAlign w:val="bottom"/>
            <w:hideMark/>
          </w:tcPr>
          <w:p w14:paraId="061D0BD4" w14:textId="34FF4C1C" w:rsidR="00334158" w:rsidRPr="00DA3CE7" w:rsidRDefault="00334158" w:rsidP="00334158">
            <w:pPr>
              <w:keepNext/>
              <w:keepLines/>
              <w:jc w:val="left"/>
              <w:rPr>
                <w:rFonts w:ascii="Calibri" w:eastAsia="Times New Roman" w:hAnsi="Calibri" w:cs="Calibri"/>
                <w:color w:val="000000"/>
              </w:rPr>
            </w:pPr>
            <w:r w:rsidRPr="00DA3CE7">
              <w:rPr>
                <w:rFonts w:ascii="Calibri" w:eastAsia="Times New Roman" w:hAnsi="Calibri" w:cs="Calibri"/>
                <w:color w:val="000000"/>
              </w:rPr>
              <w:t>Actual Materialization (%)</w:t>
            </w:r>
          </w:p>
        </w:tc>
        <w:tc>
          <w:tcPr>
            <w:tcW w:w="1336" w:type="dxa"/>
            <w:tcBorders>
              <w:top w:val="nil"/>
              <w:left w:val="nil"/>
              <w:bottom w:val="nil"/>
              <w:right w:val="nil"/>
            </w:tcBorders>
            <w:shd w:val="clear" w:color="auto" w:fill="FFFF00"/>
            <w:noWrap/>
            <w:hideMark/>
          </w:tcPr>
          <w:p w14:paraId="235B8162" w14:textId="48E0D449" w:rsidR="00334158" w:rsidRPr="0040134E" w:rsidRDefault="00334158" w:rsidP="00334158">
            <w:pPr>
              <w:keepNext/>
              <w:keepLines/>
              <w:jc w:val="center"/>
              <w:rPr>
                <w:rFonts w:asciiTheme="minorHAnsi" w:eastAsia="Times New Roman" w:hAnsiTheme="minorHAnsi" w:cstheme="minorHAnsi"/>
                <w:color w:val="000000"/>
              </w:rPr>
            </w:pPr>
            <w:r w:rsidRPr="009D0B19">
              <w:rPr>
                <w:highlight w:val="black"/>
              </w:rPr>
              <w:t>XX</w:t>
            </w:r>
          </w:p>
        </w:tc>
        <w:tc>
          <w:tcPr>
            <w:tcW w:w="1169" w:type="dxa"/>
            <w:tcBorders>
              <w:top w:val="nil"/>
              <w:left w:val="nil"/>
              <w:bottom w:val="nil"/>
              <w:right w:val="nil"/>
            </w:tcBorders>
            <w:shd w:val="clear" w:color="auto" w:fill="FFFF00"/>
            <w:noWrap/>
            <w:hideMark/>
          </w:tcPr>
          <w:p w14:paraId="087F5D61" w14:textId="54DFD856" w:rsidR="00334158" w:rsidRPr="0040134E" w:rsidRDefault="00334158" w:rsidP="00334158">
            <w:pPr>
              <w:keepNext/>
              <w:keepLines/>
              <w:jc w:val="center"/>
              <w:rPr>
                <w:rFonts w:asciiTheme="minorHAnsi" w:eastAsia="Times New Roman" w:hAnsiTheme="minorHAnsi" w:cstheme="minorHAnsi"/>
                <w:color w:val="000000"/>
              </w:rPr>
            </w:pPr>
            <w:r w:rsidRPr="009D0B19">
              <w:rPr>
                <w:highlight w:val="black"/>
              </w:rPr>
              <w:t>XX</w:t>
            </w:r>
          </w:p>
        </w:tc>
        <w:tc>
          <w:tcPr>
            <w:tcW w:w="1169" w:type="dxa"/>
            <w:tcBorders>
              <w:top w:val="nil"/>
              <w:left w:val="nil"/>
              <w:bottom w:val="nil"/>
              <w:right w:val="nil"/>
            </w:tcBorders>
            <w:shd w:val="clear" w:color="auto" w:fill="FFFF00"/>
            <w:noWrap/>
            <w:hideMark/>
          </w:tcPr>
          <w:p w14:paraId="192DFE60" w14:textId="2D89A4F0" w:rsidR="00334158" w:rsidRPr="0040134E" w:rsidRDefault="00334158" w:rsidP="00334158">
            <w:pPr>
              <w:keepNext/>
              <w:keepLines/>
              <w:jc w:val="center"/>
              <w:rPr>
                <w:rFonts w:asciiTheme="minorHAnsi" w:eastAsia="Times New Roman" w:hAnsiTheme="minorHAnsi" w:cstheme="minorHAnsi"/>
                <w:color w:val="000000"/>
              </w:rPr>
            </w:pPr>
            <w:r w:rsidRPr="009D0B19">
              <w:rPr>
                <w:highlight w:val="black"/>
              </w:rPr>
              <w:t>XX</w:t>
            </w:r>
          </w:p>
        </w:tc>
        <w:tc>
          <w:tcPr>
            <w:tcW w:w="1336" w:type="dxa"/>
            <w:tcBorders>
              <w:top w:val="nil"/>
              <w:left w:val="nil"/>
              <w:bottom w:val="nil"/>
              <w:right w:val="single" w:sz="4" w:space="0" w:color="auto"/>
            </w:tcBorders>
            <w:shd w:val="clear" w:color="auto" w:fill="FFFF00"/>
            <w:noWrap/>
            <w:hideMark/>
          </w:tcPr>
          <w:p w14:paraId="14845BD4" w14:textId="62BF5889" w:rsidR="00334158" w:rsidRPr="0040134E" w:rsidRDefault="00334158" w:rsidP="00334158">
            <w:pPr>
              <w:keepNext/>
              <w:keepLines/>
              <w:jc w:val="center"/>
              <w:rPr>
                <w:rFonts w:asciiTheme="minorHAnsi" w:eastAsia="Times New Roman" w:hAnsiTheme="minorHAnsi" w:cstheme="minorHAnsi"/>
                <w:color w:val="000000"/>
              </w:rPr>
            </w:pPr>
            <w:r w:rsidRPr="009D0B19">
              <w:rPr>
                <w:highlight w:val="black"/>
              </w:rPr>
              <w:t>XX</w:t>
            </w:r>
          </w:p>
        </w:tc>
      </w:tr>
      <w:tr w:rsidR="00E30291" w:rsidRPr="00DA3CE7" w14:paraId="6ADDCC53" w14:textId="77777777" w:rsidTr="00CD39F9">
        <w:trPr>
          <w:trHeight w:val="290"/>
          <w:jc w:val="center"/>
        </w:trPr>
        <w:tc>
          <w:tcPr>
            <w:tcW w:w="1008" w:type="dxa"/>
          </w:tcPr>
          <w:p w14:paraId="3EDECD65" w14:textId="03D82118" w:rsidR="008A4606" w:rsidRPr="00DA3CE7" w:rsidRDefault="008A4606" w:rsidP="008A4606">
            <w:pPr>
              <w:keepNext/>
              <w:keepLines/>
              <w:jc w:val="center"/>
              <w:rPr>
                <w:rFonts w:ascii="Calibri" w:eastAsia="Times New Roman" w:hAnsi="Calibri" w:cs="Calibri"/>
                <w:color w:val="000000"/>
              </w:rPr>
            </w:pPr>
            <w:r>
              <w:rPr>
                <w:rFonts w:ascii="Calibri" w:eastAsia="Times New Roman" w:hAnsi="Calibri" w:cs="Calibri"/>
                <w:color w:val="000000"/>
              </w:rPr>
              <w:t>F=D-E</w:t>
            </w:r>
          </w:p>
        </w:tc>
        <w:tc>
          <w:tcPr>
            <w:tcW w:w="34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F289C4D" w14:textId="1E1B9428" w:rsidR="008A4606" w:rsidRPr="00CD39F9" w:rsidRDefault="008A4606" w:rsidP="008A4606">
            <w:pPr>
              <w:keepNext/>
              <w:keepLines/>
              <w:jc w:val="left"/>
              <w:rPr>
                <w:rFonts w:ascii="Calibri" w:eastAsia="Times New Roman" w:hAnsi="Calibri" w:cs="Calibri"/>
                <w:b/>
                <w:bCs/>
                <w:color w:val="000000"/>
              </w:rPr>
            </w:pPr>
            <w:r w:rsidRPr="00CD39F9">
              <w:rPr>
                <w:rFonts w:ascii="Calibri" w:eastAsia="Times New Roman" w:hAnsi="Calibri" w:cs="Calibri"/>
                <w:b/>
                <w:bCs/>
                <w:color w:val="000000"/>
              </w:rPr>
              <w:t>Difference</w:t>
            </w:r>
            <w:r w:rsidR="00E30291" w:rsidRPr="00CD39F9">
              <w:rPr>
                <w:rFonts w:ascii="Calibri" w:eastAsia="Times New Roman" w:hAnsi="Calibri" w:cs="Calibri"/>
                <w:b/>
                <w:bCs/>
                <w:color w:val="000000"/>
              </w:rPr>
              <w:t xml:space="preserve"> (% points)</w:t>
            </w:r>
          </w:p>
        </w:tc>
        <w:tc>
          <w:tcPr>
            <w:tcW w:w="1336" w:type="dxa"/>
            <w:tcBorders>
              <w:top w:val="single" w:sz="4" w:space="0" w:color="auto"/>
              <w:left w:val="nil"/>
              <w:bottom w:val="single" w:sz="4" w:space="0" w:color="auto"/>
              <w:right w:val="nil"/>
            </w:tcBorders>
            <w:shd w:val="clear" w:color="auto" w:fill="F2F2F2" w:themeFill="background1" w:themeFillShade="F2"/>
            <w:noWrap/>
            <w:vAlign w:val="bottom"/>
            <w:hideMark/>
          </w:tcPr>
          <w:p w14:paraId="640127F0" w14:textId="679BFEFF" w:rsidR="008A4606" w:rsidRPr="00CD39F9" w:rsidRDefault="008A4606" w:rsidP="00E30291">
            <w:pPr>
              <w:keepNext/>
              <w:keepLines/>
              <w:jc w:val="center"/>
              <w:rPr>
                <w:rFonts w:asciiTheme="minorHAnsi" w:eastAsia="Times New Roman" w:hAnsiTheme="minorHAnsi" w:cstheme="minorHAnsi"/>
                <w:b/>
                <w:bCs/>
                <w:color w:val="000000"/>
              </w:rPr>
            </w:pPr>
            <w:r w:rsidRPr="00CD39F9">
              <w:rPr>
                <w:rFonts w:ascii="Calibri" w:hAnsi="Calibri" w:cs="Calibri"/>
                <w:b/>
                <w:bCs/>
                <w:color w:val="000000"/>
              </w:rPr>
              <w:t>29%</w:t>
            </w:r>
          </w:p>
        </w:tc>
        <w:tc>
          <w:tcPr>
            <w:tcW w:w="1169" w:type="dxa"/>
            <w:tcBorders>
              <w:top w:val="single" w:sz="4" w:space="0" w:color="auto"/>
              <w:left w:val="nil"/>
              <w:bottom w:val="single" w:sz="4" w:space="0" w:color="auto"/>
              <w:right w:val="nil"/>
            </w:tcBorders>
            <w:shd w:val="clear" w:color="auto" w:fill="F2F2F2" w:themeFill="background1" w:themeFillShade="F2"/>
            <w:noWrap/>
            <w:vAlign w:val="bottom"/>
            <w:hideMark/>
          </w:tcPr>
          <w:p w14:paraId="1B660698" w14:textId="669278CA" w:rsidR="008A4606" w:rsidRPr="00CD39F9" w:rsidRDefault="008A4606" w:rsidP="00E30291">
            <w:pPr>
              <w:keepNext/>
              <w:keepLines/>
              <w:jc w:val="center"/>
              <w:rPr>
                <w:rFonts w:asciiTheme="minorHAnsi" w:eastAsia="Times New Roman" w:hAnsiTheme="minorHAnsi" w:cstheme="minorHAnsi"/>
                <w:b/>
                <w:bCs/>
                <w:color w:val="000000"/>
              </w:rPr>
            </w:pPr>
            <w:r w:rsidRPr="00CD39F9">
              <w:rPr>
                <w:rFonts w:ascii="Calibri" w:hAnsi="Calibri" w:cs="Calibri"/>
                <w:b/>
                <w:bCs/>
                <w:color w:val="000000"/>
              </w:rPr>
              <w:t>14%</w:t>
            </w:r>
          </w:p>
        </w:tc>
        <w:tc>
          <w:tcPr>
            <w:tcW w:w="1169" w:type="dxa"/>
            <w:tcBorders>
              <w:top w:val="single" w:sz="4" w:space="0" w:color="auto"/>
              <w:left w:val="nil"/>
              <w:bottom w:val="single" w:sz="4" w:space="0" w:color="auto"/>
              <w:right w:val="nil"/>
            </w:tcBorders>
            <w:shd w:val="clear" w:color="auto" w:fill="F2F2F2" w:themeFill="background1" w:themeFillShade="F2"/>
            <w:noWrap/>
            <w:vAlign w:val="bottom"/>
            <w:hideMark/>
          </w:tcPr>
          <w:p w14:paraId="3417B7FB" w14:textId="1C30DCC3" w:rsidR="008A4606" w:rsidRPr="00CD39F9" w:rsidRDefault="008A4606" w:rsidP="00E30291">
            <w:pPr>
              <w:keepNext/>
              <w:keepLines/>
              <w:jc w:val="center"/>
              <w:rPr>
                <w:rFonts w:asciiTheme="minorHAnsi" w:eastAsia="Times New Roman" w:hAnsiTheme="minorHAnsi" w:cstheme="minorHAnsi"/>
                <w:b/>
                <w:bCs/>
                <w:color w:val="000000"/>
              </w:rPr>
            </w:pPr>
            <w:r w:rsidRPr="00CD39F9">
              <w:rPr>
                <w:rFonts w:ascii="Calibri" w:hAnsi="Calibri" w:cs="Calibri"/>
                <w:b/>
                <w:bCs/>
                <w:color w:val="000000"/>
              </w:rPr>
              <w:t>13%</w:t>
            </w:r>
          </w:p>
        </w:tc>
        <w:tc>
          <w:tcPr>
            <w:tcW w:w="133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F9EBF5" w14:textId="1991F697" w:rsidR="008A4606" w:rsidRPr="00CD39F9" w:rsidRDefault="008A4606" w:rsidP="00E30291">
            <w:pPr>
              <w:keepNext/>
              <w:keepLines/>
              <w:jc w:val="center"/>
              <w:rPr>
                <w:rFonts w:asciiTheme="minorHAnsi" w:eastAsia="Times New Roman" w:hAnsiTheme="minorHAnsi" w:cstheme="minorHAnsi"/>
                <w:b/>
                <w:bCs/>
                <w:color w:val="000000"/>
              </w:rPr>
            </w:pPr>
            <w:r w:rsidRPr="00CD39F9">
              <w:rPr>
                <w:rFonts w:ascii="Calibri" w:hAnsi="Calibri" w:cs="Calibri"/>
                <w:b/>
                <w:bCs/>
                <w:color w:val="000000"/>
              </w:rPr>
              <w:t>3%</w:t>
            </w:r>
          </w:p>
        </w:tc>
      </w:tr>
      <w:tr w:rsidR="00E30291" w:rsidRPr="00DA3CE7" w14:paraId="0B625446" w14:textId="77777777" w:rsidTr="00CD39F9">
        <w:trPr>
          <w:trHeight w:val="350"/>
          <w:jc w:val="center"/>
        </w:trPr>
        <w:tc>
          <w:tcPr>
            <w:tcW w:w="1008" w:type="dxa"/>
          </w:tcPr>
          <w:p w14:paraId="59180478" w14:textId="32C355F2" w:rsidR="008A4606" w:rsidRDefault="008A4606" w:rsidP="008A4606">
            <w:pPr>
              <w:keepNext/>
              <w:keepLines/>
              <w:jc w:val="center"/>
              <w:rPr>
                <w:rFonts w:ascii="Calibri" w:eastAsia="Times New Roman" w:hAnsi="Calibri" w:cs="Calibri"/>
                <w:color w:val="000000"/>
              </w:rPr>
            </w:pPr>
            <w:r>
              <w:rPr>
                <w:rFonts w:ascii="Calibri" w:eastAsia="Times New Roman" w:hAnsi="Calibri" w:cs="Calibri"/>
                <w:color w:val="000000"/>
              </w:rPr>
              <w:t>G=B/C-1</w:t>
            </w:r>
          </w:p>
        </w:tc>
        <w:tc>
          <w:tcPr>
            <w:tcW w:w="3492" w:type="dxa"/>
            <w:tcBorders>
              <w:top w:val="single" w:sz="4" w:space="0" w:color="auto"/>
              <w:left w:val="single" w:sz="4" w:space="0" w:color="auto"/>
              <w:bottom w:val="single" w:sz="4" w:space="0" w:color="auto"/>
              <w:right w:val="single" w:sz="4" w:space="0" w:color="auto"/>
            </w:tcBorders>
            <w:noWrap/>
            <w:vAlign w:val="bottom"/>
          </w:tcPr>
          <w:p w14:paraId="09705773" w14:textId="5677DD76" w:rsidR="008A4606" w:rsidRPr="00CD39F9" w:rsidRDefault="008A4606" w:rsidP="008A4606">
            <w:pPr>
              <w:keepNext/>
              <w:keepLines/>
              <w:jc w:val="left"/>
              <w:rPr>
                <w:rFonts w:ascii="Calibri" w:eastAsia="Times New Roman" w:hAnsi="Calibri" w:cs="Calibri"/>
                <w:b/>
                <w:bCs/>
                <w:color w:val="000000"/>
              </w:rPr>
            </w:pPr>
            <w:r w:rsidRPr="00CD39F9">
              <w:rPr>
                <w:rFonts w:ascii="Calibri" w:eastAsia="Times New Roman" w:hAnsi="Calibri" w:cs="Calibri"/>
                <w:b/>
                <w:bCs/>
                <w:color w:val="000000"/>
              </w:rPr>
              <w:t>Error Rate Relative to Actuals (%)</w:t>
            </w:r>
          </w:p>
        </w:tc>
        <w:tc>
          <w:tcPr>
            <w:tcW w:w="1336" w:type="dxa"/>
            <w:tcBorders>
              <w:top w:val="single" w:sz="4" w:space="0" w:color="auto"/>
              <w:left w:val="nil"/>
              <w:bottom w:val="single" w:sz="4" w:space="0" w:color="auto"/>
              <w:right w:val="nil"/>
            </w:tcBorders>
            <w:noWrap/>
            <w:vAlign w:val="bottom"/>
          </w:tcPr>
          <w:p w14:paraId="35D780D0" w14:textId="0FADB8DA" w:rsidR="008A4606" w:rsidRPr="00CD39F9" w:rsidRDefault="008A4606" w:rsidP="00E30291">
            <w:pPr>
              <w:keepNext/>
              <w:keepLines/>
              <w:jc w:val="center"/>
              <w:rPr>
                <w:rFonts w:asciiTheme="minorHAnsi" w:hAnsiTheme="minorHAnsi" w:cstheme="minorHAnsi"/>
                <w:b/>
                <w:bCs/>
                <w:color w:val="000000"/>
              </w:rPr>
            </w:pPr>
            <w:r w:rsidRPr="00CD39F9">
              <w:rPr>
                <w:rFonts w:ascii="Calibri" w:hAnsi="Calibri" w:cs="Calibri"/>
                <w:b/>
                <w:bCs/>
                <w:color w:val="000000"/>
              </w:rPr>
              <w:t>454%</w:t>
            </w:r>
          </w:p>
        </w:tc>
        <w:tc>
          <w:tcPr>
            <w:tcW w:w="1169" w:type="dxa"/>
            <w:tcBorders>
              <w:top w:val="single" w:sz="4" w:space="0" w:color="auto"/>
              <w:left w:val="nil"/>
              <w:bottom w:val="single" w:sz="4" w:space="0" w:color="auto"/>
              <w:right w:val="nil"/>
            </w:tcBorders>
            <w:noWrap/>
            <w:vAlign w:val="bottom"/>
          </w:tcPr>
          <w:p w14:paraId="27758195" w14:textId="16994D4D" w:rsidR="008A4606" w:rsidRPr="00CD39F9" w:rsidRDefault="008A4606" w:rsidP="00E30291">
            <w:pPr>
              <w:keepNext/>
              <w:keepLines/>
              <w:jc w:val="center"/>
              <w:rPr>
                <w:rFonts w:asciiTheme="minorHAnsi" w:hAnsiTheme="minorHAnsi" w:cstheme="minorHAnsi"/>
                <w:b/>
                <w:bCs/>
                <w:color w:val="000000"/>
              </w:rPr>
            </w:pPr>
            <w:r w:rsidRPr="00CD39F9">
              <w:rPr>
                <w:rFonts w:ascii="Calibri" w:hAnsi="Calibri" w:cs="Calibri"/>
                <w:b/>
                <w:bCs/>
                <w:color w:val="000000"/>
              </w:rPr>
              <w:t>126%</w:t>
            </w:r>
          </w:p>
        </w:tc>
        <w:tc>
          <w:tcPr>
            <w:tcW w:w="1169" w:type="dxa"/>
            <w:tcBorders>
              <w:top w:val="single" w:sz="4" w:space="0" w:color="auto"/>
              <w:left w:val="nil"/>
              <w:bottom w:val="single" w:sz="4" w:space="0" w:color="auto"/>
              <w:right w:val="nil"/>
            </w:tcBorders>
            <w:noWrap/>
            <w:vAlign w:val="bottom"/>
          </w:tcPr>
          <w:p w14:paraId="61F8F8AF" w14:textId="12374F1A" w:rsidR="008A4606" w:rsidRPr="00CD39F9" w:rsidRDefault="008A4606" w:rsidP="00E30291">
            <w:pPr>
              <w:keepNext/>
              <w:keepLines/>
              <w:jc w:val="center"/>
              <w:rPr>
                <w:rFonts w:asciiTheme="minorHAnsi" w:hAnsiTheme="minorHAnsi" w:cstheme="minorHAnsi"/>
                <w:b/>
                <w:bCs/>
                <w:color w:val="000000"/>
              </w:rPr>
            </w:pPr>
            <w:r w:rsidRPr="00CD39F9">
              <w:rPr>
                <w:rFonts w:ascii="Calibri" w:hAnsi="Calibri" w:cs="Calibri"/>
                <w:b/>
                <w:bCs/>
                <w:color w:val="000000"/>
              </w:rPr>
              <w:t>84%</w:t>
            </w:r>
          </w:p>
        </w:tc>
        <w:tc>
          <w:tcPr>
            <w:tcW w:w="1336" w:type="dxa"/>
            <w:tcBorders>
              <w:top w:val="single" w:sz="4" w:space="0" w:color="auto"/>
              <w:left w:val="nil"/>
              <w:bottom w:val="single" w:sz="4" w:space="0" w:color="auto"/>
              <w:right w:val="single" w:sz="4" w:space="0" w:color="auto"/>
            </w:tcBorders>
            <w:noWrap/>
            <w:vAlign w:val="bottom"/>
          </w:tcPr>
          <w:p w14:paraId="27693D53" w14:textId="6EE260E6" w:rsidR="008A4606" w:rsidRPr="00CD39F9" w:rsidRDefault="008A4606" w:rsidP="00E30291">
            <w:pPr>
              <w:keepNext/>
              <w:keepLines/>
              <w:jc w:val="center"/>
              <w:rPr>
                <w:rFonts w:asciiTheme="minorHAnsi" w:hAnsiTheme="minorHAnsi" w:cstheme="minorHAnsi"/>
                <w:b/>
                <w:bCs/>
                <w:color w:val="000000"/>
              </w:rPr>
            </w:pPr>
            <w:r w:rsidRPr="00CD39F9">
              <w:rPr>
                <w:rFonts w:ascii="Calibri" w:hAnsi="Calibri" w:cs="Calibri"/>
                <w:b/>
                <w:bCs/>
                <w:color w:val="000000"/>
              </w:rPr>
              <w:t>16%</w:t>
            </w:r>
          </w:p>
        </w:tc>
      </w:tr>
    </w:tbl>
    <w:p w14:paraId="6089E432" w14:textId="19715CE3" w:rsidR="00FB66E4" w:rsidRDefault="00FB66E4" w:rsidP="00FB66E4">
      <w:pPr>
        <w:pStyle w:val="Answers"/>
        <w:spacing w:before="240"/>
      </w:pPr>
      <w:r>
        <w:tab/>
      </w:r>
      <w:r w:rsidR="00E30291">
        <w:tab/>
      </w:r>
      <w:r>
        <w:t xml:space="preserve">Consider the February 2025 forecast specifically. This vintage overestimated actual load in 2025 by </w:t>
      </w:r>
      <w:r w:rsidR="006751FE" w:rsidRPr="006751FE">
        <w:rPr>
          <w:rFonts w:ascii="Calibri" w:eastAsia="Times New Roman" w:hAnsi="Calibri"/>
          <w:color w:val="000000"/>
          <w:highlight w:val="black"/>
        </w:rPr>
        <w:t>XXXX</w:t>
      </w:r>
      <w:r>
        <w:t xml:space="preserve"> MW, representing an overestimation of 8</w:t>
      </w:r>
      <w:r w:rsidR="00334158">
        <w:t>4</w:t>
      </w:r>
      <w:r>
        <w:t>%</w:t>
      </w:r>
      <w:r w:rsidR="00F40781">
        <w:t xml:space="preserve"> relative to actuals</w:t>
      </w:r>
      <w:r>
        <w:t>.</w:t>
      </w:r>
      <w:r w:rsidR="00F40781">
        <w:t xml:space="preserve"> This error rate increase</w:t>
      </w:r>
      <w:r w:rsidR="006A62DF">
        <w:t>s</w:t>
      </w:r>
      <w:r w:rsidR="00F40781">
        <w:t xml:space="preserve"> the further the forecast horizon, with error rates exceeding 100% when forecasting more than one year ahead, as shown by the B2025 and 2023 IRP Update error rates</w:t>
      </w:r>
      <w:r w:rsidR="004857B0">
        <w:t>.</w:t>
      </w:r>
    </w:p>
    <w:p w14:paraId="2C5FCEC9" w14:textId="365E1080" w:rsidR="00191F5D" w:rsidRDefault="00191F5D" w:rsidP="00191F5D">
      <w:pPr>
        <w:pStyle w:val="Question"/>
      </w:pPr>
      <w:r>
        <w:t>Q.</w:t>
      </w:r>
      <w:r>
        <w:tab/>
      </w:r>
      <w:r w:rsidR="0036730B">
        <w:t>Is a specific Industry driving this</w:t>
      </w:r>
      <w:r>
        <w:t xml:space="preserve"> over-estimation?</w:t>
      </w:r>
    </w:p>
    <w:p w14:paraId="7A3B5061" w14:textId="01517EE7" w:rsidR="00545422" w:rsidRDefault="00191F5D" w:rsidP="00191F5D">
      <w:pPr>
        <w:pStyle w:val="Answers"/>
      </w:pPr>
      <w:r>
        <w:t>A.</w:t>
      </w:r>
      <w:r>
        <w:tab/>
      </w:r>
      <w:r w:rsidR="0036730B">
        <w:t xml:space="preserve">Yes. </w:t>
      </w:r>
      <w:r w:rsidR="00545422">
        <w:t xml:space="preserve">The lower materialization is driven primarily by </w:t>
      </w:r>
      <w:r w:rsidR="00836792">
        <w:t>D</w:t>
      </w:r>
      <w:r w:rsidR="00545422">
        <w:t xml:space="preserve">ata </w:t>
      </w:r>
      <w:r w:rsidR="00836792">
        <w:t>C</w:t>
      </w:r>
      <w:r w:rsidR="00545422">
        <w:t xml:space="preserve">enter customers, as shown in </w:t>
      </w:r>
      <w:r w:rsidR="00545422">
        <w:fldChar w:fldCharType="begin"/>
      </w:r>
      <w:r w:rsidR="00545422">
        <w:instrText xml:space="preserve"> REF _Ref212590935 \h </w:instrText>
      </w:r>
      <w:r w:rsidR="00545422">
        <w:fldChar w:fldCharType="separate"/>
      </w:r>
      <w:r w:rsidR="00220F39">
        <w:t xml:space="preserve">Table </w:t>
      </w:r>
      <w:r w:rsidR="00220F39">
        <w:rPr>
          <w:noProof/>
        </w:rPr>
        <w:t>7</w:t>
      </w:r>
      <w:r w:rsidR="00545422">
        <w:fldChar w:fldCharType="end"/>
      </w:r>
      <w:r w:rsidR="00545422">
        <w:t xml:space="preserve"> below. </w:t>
      </w:r>
      <w:r w:rsidR="00083E9E">
        <w:t>While the sample size is small, based on in-service projects</w:t>
      </w:r>
      <w:r w:rsidR="0036730B">
        <w:t>,</w:t>
      </w:r>
      <w:r w:rsidR="00083E9E">
        <w:t xml:space="preserve"> </w:t>
      </w:r>
      <w:r w:rsidR="00545422">
        <w:t xml:space="preserve">the Clean Energy Tech and Manufacturing sectors materialize above </w:t>
      </w:r>
      <w:r w:rsidR="00334158" w:rsidRPr="00334158">
        <w:rPr>
          <w:highlight w:val="black"/>
        </w:rPr>
        <w:t>X</w:t>
      </w:r>
      <w:r w:rsidR="00545422">
        <w:t>%,</w:t>
      </w:r>
      <w:r w:rsidR="00083E9E">
        <w:t xml:space="preserve"> but</w:t>
      </w:r>
      <w:r w:rsidR="00545422">
        <w:t xml:space="preserve"> the Data Center sector materializes at only </w:t>
      </w:r>
      <w:r w:rsidR="00334158" w:rsidRPr="00334158">
        <w:rPr>
          <w:highlight w:val="black"/>
        </w:rPr>
        <w:t>XX</w:t>
      </w:r>
      <w:r w:rsidR="00545422">
        <w:t xml:space="preserve">%. This is lower than the materialization rate expected in 2024, </w:t>
      </w:r>
      <w:r w:rsidR="00545422">
        <w:lastRenderedPageBreak/>
        <w:t>showing a deterioration of the ability for data center customers to meet their announced load expectations.</w:t>
      </w:r>
      <w:r w:rsidR="00545422">
        <w:rPr>
          <w:rStyle w:val="FootnoteReference"/>
        </w:rPr>
        <w:footnoteReference w:id="42"/>
      </w:r>
      <w:r w:rsidR="00545422">
        <w:t xml:space="preserve"> </w:t>
      </w:r>
    </w:p>
    <w:p w14:paraId="667E2688" w14:textId="434032AD" w:rsidR="00545422" w:rsidRDefault="00E30291" w:rsidP="3C857C0F">
      <w:pPr>
        <w:pStyle w:val="Answers"/>
        <w:ind w:firstLine="0"/>
      </w:pPr>
      <w:r>
        <w:tab/>
      </w:r>
      <w:r w:rsidR="00545422">
        <w:t xml:space="preserve">As </w:t>
      </w:r>
      <w:r w:rsidR="00836792">
        <w:t xml:space="preserve">the Company’s </w:t>
      </w:r>
      <w:r w:rsidR="00545422">
        <w:t xml:space="preserve">aggregate </w:t>
      </w:r>
      <w:r w:rsidR="00836792">
        <w:t xml:space="preserve">expected </w:t>
      </w:r>
      <w:r w:rsidR="00545422">
        <w:t xml:space="preserve">materialization </w:t>
      </w:r>
      <w:r w:rsidR="00836792">
        <w:t xml:space="preserve">ranges from </w:t>
      </w:r>
      <w:r w:rsidR="00334158" w:rsidRPr="00334158">
        <w:rPr>
          <w:highlight w:val="black"/>
        </w:rPr>
        <w:t>XX</w:t>
      </w:r>
      <w:r w:rsidR="00836792">
        <w:t xml:space="preserve">% to </w:t>
      </w:r>
      <w:r w:rsidR="00334158" w:rsidRPr="00334158">
        <w:rPr>
          <w:highlight w:val="black"/>
        </w:rPr>
        <w:t>XX</w:t>
      </w:r>
      <w:r w:rsidR="00545422">
        <w:t xml:space="preserve">% in 2025, as shown in </w:t>
      </w:r>
      <w:r w:rsidR="00545422">
        <w:fldChar w:fldCharType="begin"/>
      </w:r>
      <w:r w:rsidR="00545422">
        <w:instrText xml:space="preserve"> REF _Ref212587872 \h </w:instrText>
      </w:r>
      <w:r w:rsidR="00545422">
        <w:fldChar w:fldCharType="separate"/>
      </w:r>
      <w:r w:rsidR="00220F39">
        <w:t xml:space="preserve">Table </w:t>
      </w:r>
      <w:r w:rsidR="00220F39">
        <w:rPr>
          <w:noProof/>
        </w:rPr>
        <w:t>6</w:t>
      </w:r>
      <w:r w:rsidR="00545422">
        <w:fldChar w:fldCharType="end"/>
      </w:r>
      <w:r w:rsidR="00545422">
        <w:t xml:space="preserve">, the Clean Energy Tech and Manufacturing segments are performing as expected, while the Data Center segment is significantly underperforming. This is of significant concern as this segment represents </w:t>
      </w:r>
      <w:r w:rsidR="00CE6B3E">
        <w:t xml:space="preserve">nearly 80% of the announced load </w:t>
      </w:r>
      <w:r w:rsidR="00836792">
        <w:t>in</w:t>
      </w:r>
      <w:r w:rsidR="00CE6B3E">
        <w:t xml:space="preserve"> 2025.</w:t>
      </w:r>
      <w:r w:rsidR="00CE6B3E">
        <w:rPr>
          <w:rStyle w:val="FootnoteReference"/>
        </w:rPr>
        <w:footnoteReference w:id="43"/>
      </w:r>
    </w:p>
    <w:p w14:paraId="36812031" w14:textId="497F458F" w:rsidR="00545422" w:rsidRDefault="00545422" w:rsidP="00545422">
      <w:pPr>
        <w:pStyle w:val="Caption"/>
      </w:pPr>
      <w:bookmarkStart w:id="41" w:name="_Ref212590935"/>
      <w:bookmarkStart w:id="42" w:name="_Toc213766877"/>
      <w:r>
        <w:t xml:space="preserve">Table </w:t>
      </w:r>
      <w:fldSimple w:instr=" SEQ Table \* ARABIC ">
        <w:r w:rsidR="00220F39">
          <w:rPr>
            <w:noProof/>
          </w:rPr>
          <w:t>7</w:t>
        </w:r>
      </w:fldSimple>
      <w:bookmarkEnd w:id="41"/>
      <w:r>
        <w:t>: Segment Analysis of Reduced Materialization for Operating Projects</w:t>
      </w:r>
      <w:r w:rsidR="005142BE">
        <w:t xml:space="preserve"> vs. Expectations</w:t>
      </w:r>
      <w:r w:rsidR="0036730B">
        <w:rPr>
          <w:rStyle w:val="FootnoteReference"/>
          <w:rFonts w:ascii="Calibri" w:eastAsia="Times New Roman" w:hAnsi="Calibri"/>
          <w:b w:val="0"/>
          <w:bCs w:val="0"/>
          <w:color w:val="000000"/>
        </w:rPr>
        <w:footnoteReference w:id="44"/>
      </w:r>
      <w:bookmarkEnd w:id="42"/>
    </w:p>
    <w:tbl>
      <w:tblPr>
        <w:tblW w:w="0" w:type="auto"/>
        <w:jc w:val="center"/>
        <w:tblLook w:val="04A0" w:firstRow="1" w:lastRow="0" w:firstColumn="1" w:lastColumn="0" w:noHBand="0" w:noVBand="1"/>
      </w:tblPr>
      <w:tblGrid>
        <w:gridCol w:w="2880"/>
        <w:gridCol w:w="865"/>
        <w:gridCol w:w="1584"/>
        <w:gridCol w:w="1296"/>
        <w:gridCol w:w="1616"/>
      </w:tblGrid>
      <w:tr w:rsidR="00603200" w:rsidRPr="00603200" w14:paraId="47605BE4" w14:textId="77777777" w:rsidTr="2146B37E">
        <w:trPr>
          <w:trHeight w:val="720"/>
          <w:jc w:val="center"/>
        </w:trPr>
        <w:tc>
          <w:tcPr>
            <w:tcW w:w="2880" w:type="dxa"/>
            <w:tcBorders>
              <w:top w:val="single" w:sz="8" w:space="0" w:color="auto"/>
              <w:left w:val="single" w:sz="8" w:space="0" w:color="auto"/>
              <w:right w:val="nil"/>
            </w:tcBorders>
            <w:shd w:val="clear" w:color="auto" w:fill="DDEBF7"/>
            <w:noWrap/>
            <w:vAlign w:val="bottom"/>
            <w:hideMark/>
          </w:tcPr>
          <w:p w14:paraId="3869630F" w14:textId="77777777" w:rsidR="00603200" w:rsidRPr="00603200" w:rsidRDefault="00603200" w:rsidP="00603200">
            <w:pPr>
              <w:jc w:val="left"/>
              <w:rPr>
                <w:rFonts w:ascii="Calibri" w:eastAsia="Times New Roman" w:hAnsi="Calibri" w:cs="Calibri"/>
                <w:b/>
                <w:bCs/>
                <w:color w:val="000000"/>
              </w:rPr>
            </w:pPr>
            <w:r w:rsidRPr="00603200">
              <w:rPr>
                <w:rFonts w:ascii="Calibri" w:eastAsia="Times New Roman" w:hAnsi="Calibri" w:cs="Calibri"/>
                <w:b/>
                <w:bCs/>
                <w:color w:val="000000"/>
              </w:rPr>
              <w:t>Segment</w:t>
            </w:r>
          </w:p>
        </w:tc>
        <w:tc>
          <w:tcPr>
            <w:tcW w:w="865" w:type="dxa"/>
            <w:tcBorders>
              <w:top w:val="single" w:sz="8" w:space="0" w:color="auto"/>
              <w:left w:val="nil"/>
              <w:right w:val="nil"/>
            </w:tcBorders>
            <w:shd w:val="clear" w:color="auto" w:fill="DDEBF7"/>
            <w:vAlign w:val="bottom"/>
            <w:hideMark/>
          </w:tcPr>
          <w:p w14:paraId="3E09FA1C" w14:textId="77777777" w:rsidR="00603200" w:rsidRPr="00603200" w:rsidRDefault="00603200" w:rsidP="00055C2D">
            <w:pPr>
              <w:jc w:val="center"/>
              <w:rPr>
                <w:rFonts w:ascii="Calibri" w:eastAsia="Times New Roman" w:hAnsi="Calibri" w:cs="Calibri"/>
                <w:b/>
                <w:bCs/>
                <w:color w:val="000000"/>
              </w:rPr>
            </w:pPr>
            <w:r w:rsidRPr="00603200">
              <w:rPr>
                <w:rFonts w:ascii="Calibri" w:eastAsia="Times New Roman" w:hAnsi="Calibri" w:cs="Calibri"/>
                <w:b/>
                <w:bCs/>
                <w:color w:val="000000"/>
              </w:rPr>
              <w:t>Project Count</w:t>
            </w:r>
          </w:p>
        </w:tc>
        <w:tc>
          <w:tcPr>
            <w:tcW w:w="1584" w:type="dxa"/>
            <w:tcBorders>
              <w:top w:val="single" w:sz="8" w:space="0" w:color="auto"/>
              <w:left w:val="nil"/>
              <w:right w:val="nil"/>
            </w:tcBorders>
            <w:shd w:val="clear" w:color="auto" w:fill="DDEBF7"/>
            <w:vAlign w:val="bottom"/>
            <w:hideMark/>
          </w:tcPr>
          <w:p w14:paraId="1FCCDED6" w14:textId="2C1D344F" w:rsidR="00603200" w:rsidRPr="00603200" w:rsidRDefault="00603200" w:rsidP="00055C2D">
            <w:pPr>
              <w:jc w:val="center"/>
              <w:rPr>
                <w:rFonts w:ascii="Calibri" w:eastAsia="Times New Roman" w:hAnsi="Calibri" w:cs="Calibri"/>
                <w:b/>
                <w:bCs/>
                <w:color w:val="000000"/>
              </w:rPr>
            </w:pPr>
            <w:r w:rsidRPr="00603200">
              <w:rPr>
                <w:rFonts w:ascii="Calibri" w:eastAsia="Times New Roman" w:hAnsi="Calibri" w:cs="Calibri"/>
                <w:b/>
                <w:bCs/>
                <w:color w:val="000000"/>
              </w:rPr>
              <w:t>Actual Peak Demand, 2025</w:t>
            </w:r>
          </w:p>
        </w:tc>
        <w:tc>
          <w:tcPr>
            <w:tcW w:w="1296" w:type="dxa"/>
            <w:tcBorders>
              <w:top w:val="single" w:sz="8" w:space="0" w:color="auto"/>
              <w:left w:val="nil"/>
              <w:right w:val="single" w:sz="4" w:space="0" w:color="auto"/>
            </w:tcBorders>
            <w:shd w:val="clear" w:color="auto" w:fill="DDEBF7"/>
            <w:vAlign w:val="bottom"/>
            <w:hideMark/>
          </w:tcPr>
          <w:p w14:paraId="3BA4B385" w14:textId="624DC4C0" w:rsidR="00603200" w:rsidRDefault="00603200" w:rsidP="00055C2D">
            <w:pPr>
              <w:jc w:val="center"/>
              <w:rPr>
                <w:rFonts w:ascii="Calibri" w:eastAsia="Times New Roman" w:hAnsi="Calibri" w:cs="Calibri"/>
                <w:b/>
                <w:bCs/>
                <w:color w:val="000000"/>
              </w:rPr>
            </w:pPr>
            <w:r w:rsidRPr="00603200">
              <w:rPr>
                <w:rFonts w:ascii="Calibri" w:eastAsia="Times New Roman" w:hAnsi="Calibri" w:cs="Calibri"/>
                <w:b/>
                <w:bCs/>
                <w:color w:val="000000"/>
              </w:rPr>
              <w:t>Announced Load,</w:t>
            </w:r>
          </w:p>
          <w:p w14:paraId="118D8958" w14:textId="6D87248C" w:rsidR="00603200" w:rsidRPr="00603200" w:rsidRDefault="00603200" w:rsidP="00055C2D">
            <w:pPr>
              <w:jc w:val="center"/>
              <w:rPr>
                <w:rFonts w:ascii="Calibri" w:eastAsia="Times New Roman" w:hAnsi="Calibri" w:cs="Calibri"/>
                <w:b/>
                <w:bCs/>
                <w:color w:val="000000"/>
              </w:rPr>
            </w:pPr>
            <w:r w:rsidRPr="00603200">
              <w:rPr>
                <w:rFonts w:ascii="Calibri" w:eastAsia="Times New Roman" w:hAnsi="Calibri" w:cs="Calibri"/>
                <w:b/>
                <w:bCs/>
                <w:color w:val="000000"/>
              </w:rPr>
              <w:t>EOY 2025</w:t>
            </w:r>
            <w:r w:rsidR="0036730B">
              <w:rPr>
                <w:rStyle w:val="FootnoteReference"/>
              </w:rPr>
              <w:footnoteReference w:id="45"/>
            </w:r>
          </w:p>
        </w:tc>
        <w:tc>
          <w:tcPr>
            <w:tcW w:w="1616" w:type="dxa"/>
            <w:tcBorders>
              <w:top w:val="single" w:sz="8" w:space="0" w:color="auto"/>
              <w:left w:val="nil"/>
              <w:right w:val="single" w:sz="8" w:space="0" w:color="auto"/>
            </w:tcBorders>
            <w:shd w:val="clear" w:color="auto" w:fill="DDEBF7"/>
            <w:vAlign w:val="bottom"/>
            <w:hideMark/>
          </w:tcPr>
          <w:p w14:paraId="7DDAA106" w14:textId="77777777" w:rsidR="00603200" w:rsidRPr="00603200" w:rsidRDefault="00603200" w:rsidP="00055C2D">
            <w:pPr>
              <w:jc w:val="center"/>
              <w:rPr>
                <w:rFonts w:ascii="Calibri" w:eastAsia="Times New Roman" w:hAnsi="Calibri" w:cs="Calibri"/>
                <w:b/>
                <w:bCs/>
                <w:color w:val="000000"/>
              </w:rPr>
            </w:pPr>
            <w:r w:rsidRPr="00603200">
              <w:rPr>
                <w:rFonts w:ascii="Calibri" w:eastAsia="Times New Roman" w:hAnsi="Calibri" w:cs="Calibri"/>
                <w:b/>
                <w:bCs/>
                <w:color w:val="000000"/>
              </w:rPr>
              <w:t>Actual Materialization</w:t>
            </w:r>
          </w:p>
        </w:tc>
      </w:tr>
      <w:tr w:rsidR="00334158" w:rsidRPr="00603200" w14:paraId="63319046" w14:textId="77777777" w:rsidTr="00334158">
        <w:trPr>
          <w:trHeight w:val="290"/>
          <w:jc w:val="center"/>
        </w:trPr>
        <w:tc>
          <w:tcPr>
            <w:tcW w:w="2880" w:type="dxa"/>
            <w:tcBorders>
              <w:left w:val="single" w:sz="4" w:space="0" w:color="auto"/>
            </w:tcBorders>
            <w:noWrap/>
            <w:vAlign w:val="bottom"/>
            <w:hideMark/>
          </w:tcPr>
          <w:p w14:paraId="56B20548" w14:textId="5F4A56A4" w:rsidR="00334158" w:rsidRPr="00603200" w:rsidRDefault="00334158" w:rsidP="00334158">
            <w:pPr>
              <w:jc w:val="left"/>
              <w:rPr>
                <w:rFonts w:ascii="Calibri" w:eastAsia="Times New Roman" w:hAnsi="Calibri" w:cs="Calibri"/>
                <w:color w:val="000000"/>
              </w:rPr>
            </w:pPr>
            <w:r w:rsidRPr="00603200">
              <w:rPr>
                <w:rFonts w:ascii="Calibri" w:eastAsia="Times New Roman" w:hAnsi="Calibri" w:cs="Calibri"/>
                <w:color w:val="000000"/>
              </w:rPr>
              <w:t>Clean Energy Tech</w:t>
            </w:r>
            <w:r>
              <w:rPr>
                <w:rFonts w:ascii="Calibri" w:eastAsia="Times New Roman" w:hAnsi="Calibri" w:cs="Calibri"/>
                <w:color w:val="000000"/>
              </w:rPr>
              <w:t>, Operating</w:t>
            </w:r>
          </w:p>
        </w:tc>
        <w:tc>
          <w:tcPr>
            <w:tcW w:w="865" w:type="dxa"/>
            <w:noWrap/>
            <w:vAlign w:val="bottom"/>
            <w:hideMark/>
          </w:tcPr>
          <w:p w14:paraId="068171A1" w14:textId="77777777" w:rsidR="00334158" w:rsidRPr="00603200" w:rsidRDefault="00334158" w:rsidP="00334158">
            <w:pPr>
              <w:jc w:val="center"/>
              <w:rPr>
                <w:rFonts w:ascii="Calibri" w:eastAsia="Times New Roman" w:hAnsi="Calibri" w:cs="Calibri"/>
                <w:color w:val="000000"/>
              </w:rPr>
            </w:pPr>
            <w:r w:rsidRPr="00603200">
              <w:rPr>
                <w:rFonts w:ascii="Calibri" w:eastAsia="Times New Roman" w:hAnsi="Calibri" w:cs="Calibri"/>
                <w:color w:val="000000"/>
              </w:rPr>
              <w:t>2</w:t>
            </w:r>
          </w:p>
        </w:tc>
        <w:tc>
          <w:tcPr>
            <w:tcW w:w="1584" w:type="dxa"/>
            <w:shd w:val="clear" w:color="auto" w:fill="FFFF00"/>
            <w:noWrap/>
            <w:hideMark/>
          </w:tcPr>
          <w:p w14:paraId="2EF0D221" w14:textId="74CE92E0" w:rsidR="00334158" w:rsidRPr="00603200" w:rsidRDefault="00334158" w:rsidP="00334158">
            <w:pPr>
              <w:jc w:val="center"/>
              <w:rPr>
                <w:rFonts w:ascii="Calibri" w:eastAsia="Times New Roman" w:hAnsi="Calibri" w:cs="Calibri"/>
                <w:color w:val="000000"/>
              </w:rPr>
            </w:pPr>
            <w:r w:rsidRPr="004438FA">
              <w:rPr>
                <w:highlight w:val="black"/>
              </w:rPr>
              <w:t>XX</w:t>
            </w:r>
          </w:p>
        </w:tc>
        <w:tc>
          <w:tcPr>
            <w:tcW w:w="1296" w:type="dxa"/>
            <w:tcBorders>
              <w:right w:val="single" w:sz="4" w:space="0" w:color="auto"/>
            </w:tcBorders>
            <w:noWrap/>
            <w:vAlign w:val="bottom"/>
            <w:hideMark/>
          </w:tcPr>
          <w:p w14:paraId="67BA0F02" w14:textId="2D7CB855" w:rsidR="00334158" w:rsidRPr="00603200" w:rsidRDefault="00334158" w:rsidP="00334158">
            <w:pPr>
              <w:jc w:val="center"/>
              <w:rPr>
                <w:rFonts w:ascii="Calibri" w:eastAsia="Times New Roman" w:hAnsi="Calibri" w:cs="Calibri"/>
                <w:color w:val="000000"/>
              </w:rPr>
            </w:pPr>
            <w:r w:rsidRPr="00603200">
              <w:rPr>
                <w:rFonts w:ascii="Calibri" w:eastAsia="Times New Roman" w:hAnsi="Calibri" w:cs="Calibri"/>
                <w:color w:val="000000"/>
              </w:rPr>
              <w:t>186</w:t>
            </w:r>
          </w:p>
        </w:tc>
        <w:tc>
          <w:tcPr>
            <w:tcW w:w="1616" w:type="dxa"/>
            <w:tcBorders>
              <w:left w:val="single" w:sz="4" w:space="0" w:color="auto"/>
              <w:right w:val="single" w:sz="4" w:space="0" w:color="auto"/>
            </w:tcBorders>
            <w:shd w:val="clear" w:color="auto" w:fill="FFFF00"/>
            <w:noWrap/>
            <w:hideMark/>
          </w:tcPr>
          <w:p w14:paraId="67DEA374" w14:textId="09EE98F3" w:rsidR="00334158" w:rsidRPr="00603200" w:rsidRDefault="00334158" w:rsidP="00334158">
            <w:pPr>
              <w:jc w:val="right"/>
              <w:rPr>
                <w:rFonts w:ascii="Calibri" w:eastAsia="Times New Roman" w:hAnsi="Calibri" w:cs="Calibri"/>
                <w:color w:val="000000"/>
              </w:rPr>
            </w:pPr>
            <w:r w:rsidRPr="004431B7">
              <w:rPr>
                <w:highlight w:val="black"/>
              </w:rPr>
              <w:t>XX</w:t>
            </w:r>
          </w:p>
        </w:tc>
      </w:tr>
      <w:tr w:rsidR="00334158" w:rsidRPr="00603200" w14:paraId="46316EE4" w14:textId="77777777" w:rsidTr="00334158">
        <w:trPr>
          <w:trHeight w:val="290"/>
          <w:jc w:val="center"/>
        </w:trPr>
        <w:tc>
          <w:tcPr>
            <w:tcW w:w="2880" w:type="dxa"/>
            <w:tcBorders>
              <w:left w:val="single" w:sz="4" w:space="0" w:color="auto"/>
            </w:tcBorders>
            <w:noWrap/>
            <w:vAlign w:val="bottom"/>
            <w:hideMark/>
          </w:tcPr>
          <w:p w14:paraId="7F78C649" w14:textId="011AF77E" w:rsidR="00334158" w:rsidRPr="00603200" w:rsidRDefault="00334158" w:rsidP="00334158">
            <w:pPr>
              <w:jc w:val="left"/>
              <w:rPr>
                <w:rFonts w:ascii="Calibri" w:eastAsia="Times New Roman" w:hAnsi="Calibri" w:cs="Calibri"/>
                <w:color w:val="000000"/>
              </w:rPr>
            </w:pPr>
            <w:r w:rsidRPr="00603200">
              <w:rPr>
                <w:rFonts w:ascii="Calibri" w:eastAsia="Times New Roman" w:hAnsi="Calibri" w:cs="Calibri"/>
                <w:color w:val="000000"/>
              </w:rPr>
              <w:t>Data Center</w:t>
            </w:r>
            <w:r>
              <w:rPr>
                <w:rFonts w:ascii="Calibri" w:eastAsia="Times New Roman" w:hAnsi="Calibri" w:cs="Calibri"/>
                <w:color w:val="000000"/>
              </w:rPr>
              <w:t>, Operating</w:t>
            </w:r>
          </w:p>
        </w:tc>
        <w:tc>
          <w:tcPr>
            <w:tcW w:w="865" w:type="dxa"/>
            <w:noWrap/>
            <w:vAlign w:val="bottom"/>
            <w:hideMark/>
          </w:tcPr>
          <w:p w14:paraId="575BDE32" w14:textId="77777777" w:rsidR="00334158" w:rsidRPr="00603200" w:rsidRDefault="00334158" w:rsidP="00334158">
            <w:pPr>
              <w:jc w:val="center"/>
              <w:rPr>
                <w:rFonts w:ascii="Calibri" w:eastAsia="Times New Roman" w:hAnsi="Calibri" w:cs="Calibri"/>
                <w:color w:val="000000"/>
              </w:rPr>
            </w:pPr>
            <w:r w:rsidRPr="00603200">
              <w:rPr>
                <w:rFonts w:ascii="Calibri" w:eastAsia="Times New Roman" w:hAnsi="Calibri" w:cs="Calibri"/>
                <w:color w:val="000000"/>
              </w:rPr>
              <w:t>4</w:t>
            </w:r>
          </w:p>
        </w:tc>
        <w:tc>
          <w:tcPr>
            <w:tcW w:w="1584" w:type="dxa"/>
            <w:shd w:val="clear" w:color="auto" w:fill="FFFF00"/>
            <w:noWrap/>
            <w:hideMark/>
          </w:tcPr>
          <w:p w14:paraId="7A6811C8" w14:textId="0A0454B9" w:rsidR="00334158" w:rsidRPr="00603200" w:rsidRDefault="00334158" w:rsidP="00334158">
            <w:pPr>
              <w:jc w:val="center"/>
              <w:rPr>
                <w:rFonts w:ascii="Calibri" w:eastAsia="Times New Roman" w:hAnsi="Calibri" w:cs="Calibri"/>
                <w:color w:val="000000"/>
              </w:rPr>
            </w:pPr>
            <w:r w:rsidRPr="004438FA">
              <w:rPr>
                <w:highlight w:val="black"/>
              </w:rPr>
              <w:t>XX</w:t>
            </w:r>
          </w:p>
        </w:tc>
        <w:tc>
          <w:tcPr>
            <w:tcW w:w="1296" w:type="dxa"/>
            <w:tcBorders>
              <w:right w:val="single" w:sz="4" w:space="0" w:color="auto"/>
            </w:tcBorders>
            <w:noWrap/>
            <w:vAlign w:val="bottom"/>
            <w:hideMark/>
          </w:tcPr>
          <w:p w14:paraId="057F1BE6" w14:textId="4D7A5432" w:rsidR="00334158" w:rsidRPr="00603200" w:rsidRDefault="00334158" w:rsidP="00334158">
            <w:pPr>
              <w:jc w:val="center"/>
              <w:rPr>
                <w:rFonts w:ascii="Calibri" w:eastAsia="Times New Roman" w:hAnsi="Calibri" w:cs="Calibri"/>
                <w:color w:val="000000"/>
              </w:rPr>
            </w:pPr>
            <w:r w:rsidRPr="00603200">
              <w:rPr>
                <w:rFonts w:ascii="Calibri" w:eastAsia="Times New Roman" w:hAnsi="Calibri" w:cs="Calibri"/>
                <w:color w:val="000000"/>
              </w:rPr>
              <w:t>612</w:t>
            </w:r>
          </w:p>
        </w:tc>
        <w:tc>
          <w:tcPr>
            <w:tcW w:w="1616" w:type="dxa"/>
            <w:tcBorders>
              <w:left w:val="single" w:sz="4" w:space="0" w:color="auto"/>
              <w:right w:val="single" w:sz="4" w:space="0" w:color="auto"/>
            </w:tcBorders>
            <w:shd w:val="clear" w:color="auto" w:fill="FFFF00"/>
            <w:noWrap/>
            <w:hideMark/>
          </w:tcPr>
          <w:p w14:paraId="785DEBF1" w14:textId="22668410" w:rsidR="00334158" w:rsidRPr="00603200" w:rsidRDefault="00334158" w:rsidP="00334158">
            <w:pPr>
              <w:jc w:val="right"/>
              <w:rPr>
                <w:rFonts w:ascii="Calibri" w:eastAsia="Times New Roman" w:hAnsi="Calibri" w:cs="Calibri"/>
                <w:color w:val="000000"/>
              </w:rPr>
            </w:pPr>
            <w:r w:rsidRPr="004431B7">
              <w:rPr>
                <w:highlight w:val="black"/>
              </w:rPr>
              <w:t>XX</w:t>
            </w:r>
          </w:p>
        </w:tc>
      </w:tr>
      <w:tr w:rsidR="00334158" w:rsidRPr="00603200" w14:paraId="7DB050BC" w14:textId="77777777" w:rsidTr="00334158">
        <w:trPr>
          <w:trHeight w:val="290"/>
          <w:jc w:val="center"/>
        </w:trPr>
        <w:tc>
          <w:tcPr>
            <w:tcW w:w="2880" w:type="dxa"/>
            <w:tcBorders>
              <w:left w:val="single" w:sz="4" w:space="0" w:color="auto"/>
            </w:tcBorders>
            <w:noWrap/>
            <w:vAlign w:val="bottom"/>
            <w:hideMark/>
          </w:tcPr>
          <w:p w14:paraId="717801DC" w14:textId="3B592142" w:rsidR="00334158" w:rsidRPr="00603200" w:rsidRDefault="00334158" w:rsidP="00334158">
            <w:pPr>
              <w:jc w:val="left"/>
              <w:rPr>
                <w:rFonts w:ascii="Calibri" w:eastAsia="Times New Roman" w:hAnsi="Calibri" w:cs="Calibri"/>
                <w:color w:val="000000"/>
              </w:rPr>
            </w:pPr>
            <w:r w:rsidRPr="00603200">
              <w:rPr>
                <w:rFonts w:ascii="Calibri" w:eastAsia="Times New Roman" w:hAnsi="Calibri" w:cs="Calibri"/>
                <w:color w:val="000000"/>
              </w:rPr>
              <w:t>Manufacturing</w:t>
            </w:r>
            <w:r>
              <w:rPr>
                <w:rFonts w:ascii="Calibri" w:eastAsia="Times New Roman" w:hAnsi="Calibri" w:cs="Calibri"/>
                <w:color w:val="000000"/>
              </w:rPr>
              <w:t>, Operating</w:t>
            </w:r>
          </w:p>
        </w:tc>
        <w:tc>
          <w:tcPr>
            <w:tcW w:w="865" w:type="dxa"/>
            <w:noWrap/>
            <w:vAlign w:val="bottom"/>
            <w:hideMark/>
          </w:tcPr>
          <w:p w14:paraId="23EC3761" w14:textId="77777777" w:rsidR="00334158" w:rsidRPr="00603200" w:rsidRDefault="00334158" w:rsidP="00334158">
            <w:pPr>
              <w:jc w:val="center"/>
              <w:rPr>
                <w:rFonts w:ascii="Calibri" w:eastAsia="Times New Roman" w:hAnsi="Calibri" w:cs="Calibri"/>
                <w:color w:val="000000"/>
              </w:rPr>
            </w:pPr>
            <w:r w:rsidRPr="00603200">
              <w:rPr>
                <w:rFonts w:ascii="Calibri" w:eastAsia="Times New Roman" w:hAnsi="Calibri" w:cs="Calibri"/>
                <w:color w:val="000000"/>
              </w:rPr>
              <w:t>2</w:t>
            </w:r>
          </w:p>
        </w:tc>
        <w:tc>
          <w:tcPr>
            <w:tcW w:w="1584" w:type="dxa"/>
            <w:shd w:val="clear" w:color="auto" w:fill="FFFF00"/>
            <w:noWrap/>
            <w:hideMark/>
          </w:tcPr>
          <w:p w14:paraId="381551CA" w14:textId="362845A6" w:rsidR="00334158" w:rsidRPr="00603200" w:rsidRDefault="00334158" w:rsidP="00334158">
            <w:pPr>
              <w:jc w:val="center"/>
              <w:rPr>
                <w:rFonts w:ascii="Calibri" w:eastAsia="Times New Roman" w:hAnsi="Calibri" w:cs="Calibri"/>
                <w:color w:val="000000"/>
              </w:rPr>
            </w:pPr>
            <w:r w:rsidRPr="004438FA">
              <w:rPr>
                <w:highlight w:val="black"/>
              </w:rPr>
              <w:t>XX</w:t>
            </w:r>
          </w:p>
        </w:tc>
        <w:tc>
          <w:tcPr>
            <w:tcW w:w="1296" w:type="dxa"/>
            <w:tcBorders>
              <w:right w:val="single" w:sz="4" w:space="0" w:color="auto"/>
            </w:tcBorders>
            <w:noWrap/>
            <w:vAlign w:val="bottom"/>
            <w:hideMark/>
          </w:tcPr>
          <w:p w14:paraId="24EF8C26" w14:textId="46FB6AC3" w:rsidR="00334158" w:rsidRPr="00603200" w:rsidRDefault="00334158" w:rsidP="00334158">
            <w:pPr>
              <w:jc w:val="center"/>
              <w:rPr>
                <w:rFonts w:ascii="Calibri" w:eastAsia="Times New Roman" w:hAnsi="Calibri" w:cs="Calibri"/>
                <w:color w:val="000000"/>
              </w:rPr>
            </w:pPr>
            <w:r w:rsidRPr="00603200">
              <w:rPr>
                <w:rFonts w:ascii="Calibri" w:eastAsia="Times New Roman" w:hAnsi="Calibri" w:cs="Calibri"/>
                <w:color w:val="000000"/>
              </w:rPr>
              <w:t>72</w:t>
            </w:r>
          </w:p>
        </w:tc>
        <w:tc>
          <w:tcPr>
            <w:tcW w:w="1616" w:type="dxa"/>
            <w:tcBorders>
              <w:left w:val="single" w:sz="4" w:space="0" w:color="auto"/>
              <w:right w:val="single" w:sz="4" w:space="0" w:color="auto"/>
            </w:tcBorders>
            <w:shd w:val="clear" w:color="auto" w:fill="FFFF00"/>
            <w:noWrap/>
            <w:hideMark/>
          </w:tcPr>
          <w:p w14:paraId="14E05883" w14:textId="5EE62754" w:rsidR="00334158" w:rsidRPr="00603200" w:rsidRDefault="00334158" w:rsidP="00334158">
            <w:pPr>
              <w:jc w:val="right"/>
              <w:rPr>
                <w:rFonts w:ascii="Calibri" w:eastAsia="Times New Roman" w:hAnsi="Calibri" w:cs="Calibri"/>
                <w:color w:val="000000"/>
              </w:rPr>
            </w:pPr>
            <w:r w:rsidRPr="004431B7">
              <w:rPr>
                <w:highlight w:val="black"/>
              </w:rPr>
              <w:t>XX</w:t>
            </w:r>
          </w:p>
        </w:tc>
      </w:tr>
      <w:tr w:rsidR="00334158" w:rsidRPr="00603200" w14:paraId="2ECE826A" w14:textId="77777777" w:rsidTr="00334158">
        <w:trPr>
          <w:trHeight w:val="300"/>
          <w:jc w:val="center"/>
        </w:trPr>
        <w:tc>
          <w:tcPr>
            <w:tcW w:w="2880" w:type="dxa"/>
            <w:tcBorders>
              <w:left w:val="single" w:sz="4" w:space="0" w:color="auto"/>
            </w:tcBorders>
            <w:noWrap/>
            <w:vAlign w:val="bottom"/>
          </w:tcPr>
          <w:p w14:paraId="2D72F55D" w14:textId="21104AB9" w:rsidR="00334158" w:rsidRPr="00603200" w:rsidRDefault="00334158" w:rsidP="00334158">
            <w:pPr>
              <w:jc w:val="left"/>
              <w:rPr>
                <w:rFonts w:ascii="Calibri" w:eastAsia="Times New Roman" w:hAnsi="Calibri" w:cs="Calibri"/>
                <w:b/>
                <w:bCs/>
                <w:color w:val="000000"/>
              </w:rPr>
            </w:pPr>
            <w:r>
              <w:rPr>
                <w:rFonts w:ascii="Calibri" w:hAnsi="Calibri" w:cs="Calibri"/>
                <w:color w:val="000000"/>
              </w:rPr>
              <w:t>Cancelled/Delayed Projects</w:t>
            </w:r>
            <w:r>
              <w:rPr>
                <w:rStyle w:val="FootnoteReference"/>
              </w:rPr>
              <w:footnoteReference w:id="46"/>
            </w:r>
          </w:p>
        </w:tc>
        <w:tc>
          <w:tcPr>
            <w:tcW w:w="865" w:type="dxa"/>
            <w:noWrap/>
            <w:vAlign w:val="bottom"/>
          </w:tcPr>
          <w:p w14:paraId="2E3BBB91" w14:textId="090F628B" w:rsidR="00334158" w:rsidRDefault="00334158" w:rsidP="00334158">
            <w:pPr>
              <w:jc w:val="center"/>
              <w:rPr>
                <w:rFonts w:ascii="Calibri" w:eastAsia="Times New Roman" w:hAnsi="Calibri" w:cs="Calibri"/>
                <w:b/>
                <w:bCs/>
                <w:color w:val="000000"/>
              </w:rPr>
            </w:pPr>
            <w:r>
              <w:rPr>
                <w:rFonts w:ascii="Calibri" w:hAnsi="Calibri" w:cs="Calibri"/>
                <w:color w:val="000000"/>
              </w:rPr>
              <w:t>3</w:t>
            </w:r>
          </w:p>
        </w:tc>
        <w:tc>
          <w:tcPr>
            <w:tcW w:w="1584" w:type="dxa"/>
            <w:shd w:val="clear" w:color="auto" w:fill="FFFF00"/>
            <w:noWrap/>
          </w:tcPr>
          <w:p w14:paraId="449767CB" w14:textId="4D39F8E1" w:rsidR="00334158" w:rsidRPr="00603200" w:rsidRDefault="00334158" w:rsidP="00334158">
            <w:pPr>
              <w:jc w:val="center"/>
              <w:rPr>
                <w:rFonts w:ascii="Calibri" w:eastAsia="Times New Roman" w:hAnsi="Calibri" w:cs="Calibri"/>
                <w:b/>
                <w:bCs/>
                <w:color w:val="000000"/>
              </w:rPr>
            </w:pPr>
            <w:r w:rsidRPr="004438FA">
              <w:rPr>
                <w:highlight w:val="black"/>
              </w:rPr>
              <w:t>XX</w:t>
            </w:r>
          </w:p>
        </w:tc>
        <w:tc>
          <w:tcPr>
            <w:tcW w:w="1296" w:type="dxa"/>
            <w:tcBorders>
              <w:right w:val="single" w:sz="4" w:space="0" w:color="auto"/>
            </w:tcBorders>
            <w:noWrap/>
            <w:vAlign w:val="bottom"/>
          </w:tcPr>
          <w:p w14:paraId="7F75A079" w14:textId="34B0E251" w:rsidR="00334158" w:rsidRPr="00603200" w:rsidRDefault="00334158" w:rsidP="00334158">
            <w:pPr>
              <w:jc w:val="center"/>
              <w:rPr>
                <w:rFonts w:ascii="Calibri" w:eastAsia="Times New Roman" w:hAnsi="Calibri" w:cs="Calibri"/>
                <w:b/>
                <w:bCs/>
                <w:color w:val="000000"/>
              </w:rPr>
            </w:pPr>
            <w:r>
              <w:rPr>
                <w:rFonts w:ascii="Calibri" w:hAnsi="Calibri" w:cs="Calibri"/>
                <w:color w:val="000000"/>
              </w:rPr>
              <w:t>53</w:t>
            </w:r>
          </w:p>
        </w:tc>
        <w:tc>
          <w:tcPr>
            <w:tcW w:w="1616" w:type="dxa"/>
            <w:tcBorders>
              <w:left w:val="single" w:sz="4" w:space="0" w:color="auto"/>
              <w:right w:val="single" w:sz="4" w:space="0" w:color="auto"/>
            </w:tcBorders>
            <w:shd w:val="clear" w:color="auto" w:fill="FFFF00"/>
            <w:noWrap/>
          </w:tcPr>
          <w:p w14:paraId="5E9A37F8" w14:textId="42DC082F" w:rsidR="00334158" w:rsidRDefault="00334158" w:rsidP="00334158">
            <w:pPr>
              <w:jc w:val="right"/>
              <w:rPr>
                <w:rFonts w:ascii="Calibri" w:hAnsi="Calibri" w:cs="Calibri"/>
                <w:b/>
                <w:bCs/>
                <w:color w:val="000000"/>
              </w:rPr>
            </w:pPr>
            <w:r w:rsidRPr="004431B7">
              <w:rPr>
                <w:highlight w:val="black"/>
              </w:rPr>
              <w:t>XX</w:t>
            </w:r>
          </w:p>
        </w:tc>
      </w:tr>
      <w:tr w:rsidR="00334158" w:rsidRPr="00603200" w14:paraId="5F690DC9" w14:textId="77777777" w:rsidTr="00334158">
        <w:trPr>
          <w:trHeight w:val="300"/>
          <w:jc w:val="center"/>
        </w:trPr>
        <w:tc>
          <w:tcPr>
            <w:tcW w:w="2880" w:type="dxa"/>
            <w:tcBorders>
              <w:left w:val="single" w:sz="8" w:space="0" w:color="auto"/>
              <w:bottom w:val="single" w:sz="8" w:space="0" w:color="auto"/>
              <w:right w:val="nil"/>
            </w:tcBorders>
            <w:shd w:val="clear" w:color="auto" w:fill="F2F2F2" w:themeFill="background1" w:themeFillShade="F2"/>
            <w:noWrap/>
            <w:vAlign w:val="bottom"/>
            <w:hideMark/>
          </w:tcPr>
          <w:p w14:paraId="70163082" w14:textId="77777777" w:rsidR="00334158" w:rsidRPr="00603200" w:rsidRDefault="00334158" w:rsidP="00334158">
            <w:pPr>
              <w:jc w:val="left"/>
              <w:rPr>
                <w:rFonts w:ascii="Calibri" w:eastAsia="Times New Roman" w:hAnsi="Calibri" w:cs="Calibri"/>
                <w:b/>
                <w:bCs/>
                <w:color w:val="000000"/>
              </w:rPr>
            </w:pPr>
            <w:r w:rsidRPr="00603200">
              <w:rPr>
                <w:rFonts w:ascii="Calibri" w:eastAsia="Times New Roman" w:hAnsi="Calibri" w:cs="Calibri"/>
                <w:b/>
                <w:bCs/>
                <w:color w:val="000000"/>
              </w:rPr>
              <w:t>Total</w:t>
            </w:r>
          </w:p>
        </w:tc>
        <w:tc>
          <w:tcPr>
            <w:tcW w:w="865" w:type="dxa"/>
            <w:tcBorders>
              <w:left w:val="nil"/>
              <w:bottom w:val="single" w:sz="8" w:space="0" w:color="auto"/>
              <w:right w:val="nil"/>
            </w:tcBorders>
            <w:shd w:val="clear" w:color="auto" w:fill="F2F2F2" w:themeFill="background1" w:themeFillShade="F2"/>
            <w:noWrap/>
            <w:vAlign w:val="bottom"/>
            <w:hideMark/>
          </w:tcPr>
          <w:p w14:paraId="1E4FE0F1" w14:textId="0665244E" w:rsidR="00334158" w:rsidRPr="00603200" w:rsidRDefault="00334158" w:rsidP="00334158">
            <w:pPr>
              <w:jc w:val="center"/>
              <w:rPr>
                <w:rFonts w:ascii="Calibri" w:eastAsia="Times New Roman" w:hAnsi="Calibri" w:cs="Calibri"/>
                <w:b/>
                <w:bCs/>
                <w:color w:val="000000"/>
              </w:rPr>
            </w:pPr>
            <w:r>
              <w:rPr>
                <w:rFonts w:ascii="Calibri" w:eastAsia="Times New Roman" w:hAnsi="Calibri" w:cs="Calibri"/>
                <w:b/>
                <w:bCs/>
                <w:color w:val="000000"/>
              </w:rPr>
              <w:t>11</w:t>
            </w:r>
          </w:p>
        </w:tc>
        <w:tc>
          <w:tcPr>
            <w:tcW w:w="1584" w:type="dxa"/>
            <w:tcBorders>
              <w:left w:val="nil"/>
              <w:bottom w:val="single" w:sz="8" w:space="0" w:color="auto"/>
              <w:right w:val="nil"/>
            </w:tcBorders>
            <w:shd w:val="clear" w:color="auto" w:fill="FFFF00"/>
            <w:noWrap/>
            <w:hideMark/>
          </w:tcPr>
          <w:p w14:paraId="79753ECF" w14:textId="5CECF064" w:rsidR="00334158" w:rsidRPr="00603200" w:rsidRDefault="00334158" w:rsidP="00334158">
            <w:pPr>
              <w:jc w:val="center"/>
              <w:rPr>
                <w:rFonts w:ascii="Calibri" w:eastAsia="Times New Roman" w:hAnsi="Calibri" w:cs="Calibri"/>
                <w:b/>
                <w:bCs/>
                <w:color w:val="000000"/>
              </w:rPr>
            </w:pPr>
            <w:r w:rsidRPr="004438FA">
              <w:rPr>
                <w:highlight w:val="black"/>
              </w:rPr>
              <w:t>XX</w:t>
            </w:r>
          </w:p>
        </w:tc>
        <w:tc>
          <w:tcPr>
            <w:tcW w:w="1296" w:type="dxa"/>
            <w:tcBorders>
              <w:left w:val="nil"/>
              <w:bottom w:val="single" w:sz="8" w:space="0" w:color="auto"/>
              <w:right w:val="single" w:sz="4" w:space="0" w:color="auto"/>
            </w:tcBorders>
            <w:shd w:val="clear" w:color="auto" w:fill="F2F2F2" w:themeFill="background1" w:themeFillShade="F2"/>
            <w:noWrap/>
            <w:vAlign w:val="bottom"/>
            <w:hideMark/>
          </w:tcPr>
          <w:p w14:paraId="21F7936C" w14:textId="712E82C0" w:rsidR="00334158" w:rsidRPr="00603200" w:rsidRDefault="00334158" w:rsidP="00334158">
            <w:pPr>
              <w:jc w:val="center"/>
              <w:rPr>
                <w:rFonts w:ascii="Calibri" w:eastAsia="Times New Roman" w:hAnsi="Calibri" w:cs="Calibri"/>
                <w:b/>
                <w:bCs/>
                <w:color w:val="000000"/>
              </w:rPr>
            </w:pPr>
            <w:r>
              <w:rPr>
                <w:rFonts w:ascii="Calibri" w:eastAsia="Times New Roman" w:hAnsi="Calibri" w:cs="Calibri"/>
                <w:b/>
                <w:bCs/>
                <w:color w:val="000000"/>
              </w:rPr>
              <w:t>923</w:t>
            </w:r>
          </w:p>
        </w:tc>
        <w:tc>
          <w:tcPr>
            <w:tcW w:w="1616" w:type="dxa"/>
            <w:tcBorders>
              <w:left w:val="nil"/>
              <w:bottom w:val="single" w:sz="8" w:space="0" w:color="auto"/>
              <w:right w:val="single" w:sz="8" w:space="0" w:color="auto"/>
            </w:tcBorders>
            <w:shd w:val="clear" w:color="auto" w:fill="FFFF00"/>
            <w:noWrap/>
            <w:hideMark/>
          </w:tcPr>
          <w:p w14:paraId="31DF5267" w14:textId="4E8A1791" w:rsidR="00334158" w:rsidRPr="00603200" w:rsidRDefault="00334158" w:rsidP="00334158">
            <w:pPr>
              <w:jc w:val="right"/>
              <w:rPr>
                <w:rFonts w:ascii="Calibri" w:eastAsia="Times New Roman" w:hAnsi="Calibri" w:cs="Calibri"/>
                <w:b/>
                <w:bCs/>
                <w:color w:val="000000"/>
              </w:rPr>
            </w:pPr>
            <w:r w:rsidRPr="004431B7">
              <w:rPr>
                <w:highlight w:val="black"/>
              </w:rPr>
              <w:t>XX</w:t>
            </w:r>
          </w:p>
        </w:tc>
      </w:tr>
    </w:tbl>
    <w:p w14:paraId="2D6D166A" w14:textId="73042485" w:rsidR="00CE6B3E" w:rsidRDefault="00CE6B3E" w:rsidP="00CE6B3E">
      <w:pPr>
        <w:pStyle w:val="Question"/>
      </w:pPr>
      <w:r>
        <w:t>Q.</w:t>
      </w:r>
      <w:r>
        <w:tab/>
        <w:t>Why are data centers materializing lower than expected?</w:t>
      </w:r>
    </w:p>
    <w:p w14:paraId="6A47DA87" w14:textId="55A736B5" w:rsidR="0036465A" w:rsidRDefault="00CE6B3E" w:rsidP="009751FB">
      <w:pPr>
        <w:pStyle w:val="Answers"/>
      </w:pPr>
      <w:r>
        <w:t>A.</w:t>
      </w:r>
      <w:r>
        <w:tab/>
      </w:r>
      <w:r w:rsidR="00C268FD">
        <w:t xml:space="preserve">The Data Center segment is primarily underperforming expectations due to </w:t>
      </w:r>
      <w:r w:rsidR="0036730B">
        <w:t>a mixture of lower materialization rates, project cancellations, and delays. Lower materialization is the primary driver of this</w:t>
      </w:r>
      <w:r w:rsidR="0036465A">
        <w:t xml:space="preserve"> underperformance</w:t>
      </w:r>
      <w:r w:rsidR="57137774">
        <w:t>, referring to operating projects using lower levels of peak demand (MW) than forecasted in a given year along their submitted load ramp</w:t>
      </w:r>
      <w:r w:rsidR="0036465A">
        <w:t xml:space="preserve">. </w:t>
      </w:r>
    </w:p>
    <w:p w14:paraId="33232B87" w14:textId="629D3D75" w:rsidR="00CE6B3E" w:rsidRDefault="0036465A" w:rsidP="00CE6B3E">
      <w:pPr>
        <w:pStyle w:val="Answers"/>
      </w:pPr>
      <w:r>
        <w:lastRenderedPageBreak/>
        <w:tab/>
      </w:r>
      <w:r>
        <w:tab/>
      </w:r>
      <w:r w:rsidR="0036730B">
        <w:t xml:space="preserve">As demonstrated in </w:t>
      </w:r>
      <w:r w:rsidR="0036730B">
        <w:fldChar w:fldCharType="begin"/>
      </w:r>
      <w:r w:rsidR="0036730B">
        <w:instrText xml:space="preserve"> REF _Ref212590935 \h </w:instrText>
      </w:r>
      <w:r w:rsidR="0036730B">
        <w:fldChar w:fldCharType="separate"/>
      </w:r>
      <w:r w:rsidR="00220F39">
        <w:t xml:space="preserve">Table </w:t>
      </w:r>
      <w:r w:rsidR="00220F39">
        <w:rPr>
          <w:noProof/>
        </w:rPr>
        <w:t>7</w:t>
      </w:r>
      <w:r w:rsidR="0036730B">
        <w:fldChar w:fldCharType="end"/>
      </w:r>
      <w:r w:rsidR="0036730B">
        <w:t xml:space="preserve">, </w:t>
      </w:r>
      <w:r w:rsidR="00334158" w:rsidRPr="00334158">
        <w:rPr>
          <w:highlight w:val="black"/>
        </w:rPr>
        <w:t>XX</w:t>
      </w:r>
      <w:r w:rsidR="0036730B">
        <w:t xml:space="preserve">% of the Data Center load that was expected in the B2026 model, accounting for project cancellations and delays as of August 2025, failed to materialize. </w:t>
      </w:r>
      <w:r>
        <w:t xml:space="preserve">This suggests that, while Data Center projects are providing load ramps for every forecast year, projects in operation are failing to materialize at the level expected. This does not represent a delay in the in-service date, but specifically a lower level of load materialization. </w:t>
      </w:r>
    </w:p>
    <w:p w14:paraId="4C9B2D20" w14:textId="03E18AD1" w:rsidR="0036465A" w:rsidRDefault="0036465A" w:rsidP="00CE6B3E">
      <w:pPr>
        <w:pStyle w:val="Answers"/>
      </w:pPr>
      <w:r>
        <w:tab/>
      </w:r>
      <w:r>
        <w:tab/>
        <w:t>Of the 53 MW of cancelled/delayed projects for 2025, all of them are Data Centers.</w:t>
      </w:r>
      <w:r>
        <w:rPr>
          <w:rStyle w:val="FootnoteReference"/>
        </w:rPr>
        <w:footnoteReference w:id="47"/>
      </w:r>
      <w:r>
        <w:t xml:space="preserve"> As such, in addition </w:t>
      </w:r>
      <w:r w:rsidR="0037068C">
        <w:t xml:space="preserve">to </w:t>
      </w:r>
      <w:r>
        <w:t>the diminished materialization of operating Data Centers, this segment is also demonstrating a unique tendency to be cancelled or delayed.</w:t>
      </w:r>
      <w:r w:rsidR="000B11E4">
        <w:t xml:space="preserve"> This </w:t>
      </w:r>
      <w:r w:rsidR="007B5F2B">
        <w:t xml:space="preserve">behavior illustrates the speculative nature of </w:t>
      </w:r>
      <w:r w:rsidR="00212839">
        <w:t>the</w:t>
      </w:r>
      <w:r w:rsidR="007B5F2B">
        <w:t xml:space="preserve"> </w:t>
      </w:r>
      <w:r w:rsidR="004C29A0">
        <w:t>data center industry.</w:t>
      </w:r>
    </w:p>
    <w:p w14:paraId="22E95D39" w14:textId="77777777" w:rsidR="0036465A" w:rsidRDefault="0036465A" w:rsidP="0036465A">
      <w:pPr>
        <w:pStyle w:val="Question"/>
      </w:pPr>
      <w:r>
        <w:t>Q.</w:t>
      </w:r>
      <w:r>
        <w:tab/>
        <w:t>Is the Data Center segment more impacted by project Cancellations or Project delays?</w:t>
      </w:r>
    </w:p>
    <w:p w14:paraId="26291950" w14:textId="639B8157" w:rsidR="0036465A" w:rsidRDefault="0036465A" w:rsidP="0036465A">
      <w:pPr>
        <w:pStyle w:val="Answers"/>
      </w:pPr>
      <w:r>
        <w:t>A.</w:t>
      </w:r>
      <w:r>
        <w:tab/>
      </w:r>
      <w:r w:rsidR="00D837AE">
        <w:t xml:space="preserve">The Data Center segment is more impacted by project </w:t>
      </w:r>
      <w:r w:rsidR="015335E2">
        <w:t>cancellations</w:t>
      </w:r>
      <w:r w:rsidR="00D837AE">
        <w:t xml:space="preserve"> than project delays. In the context of the LRM, the </w:t>
      </w:r>
      <w:r w:rsidR="002D43F0">
        <w:t xml:space="preserve">Company’s </w:t>
      </w:r>
      <w:r w:rsidR="00D837AE">
        <w:t>assumptions used for the Project Delay variable are more reasonable than those used for Project Success</w:t>
      </w:r>
      <w:r w:rsidR="4491DBDB">
        <w:t>.</w:t>
      </w:r>
      <w:r w:rsidR="00D837AE">
        <w:t xml:space="preserve"> </w:t>
      </w:r>
    </w:p>
    <w:p w14:paraId="1CE37722" w14:textId="4CED0B25" w:rsidR="00D837AE" w:rsidRDefault="0036465A" w:rsidP="00D837AE">
      <w:pPr>
        <w:pStyle w:val="Answers"/>
      </w:pPr>
      <w:r>
        <w:tab/>
      </w:r>
      <w:r w:rsidR="003A6DB4">
        <w:tab/>
      </w:r>
      <w:r>
        <w:t xml:space="preserve">Since the 2023 IRP Update, </w:t>
      </w:r>
      <w:r w:rsidR="003A6DB4">
        <w:t>33</w:t>
      </w:r>
      <w:r>
        <w:t xml:space="preserve"> Data Center projects </w:t>
      </w:r>
      <w:r w:rsidR="003A6DB4">
        <w:t xml:space="preserve">with 11,332 MW of announced load </w:t>
      </w:r>
      <w:r>
        <w:t xml:space="preserve">have been removed from the pipeline, representing </w:t>
      </w:r>
      <w:r w:rsidR="003A6DB4">
        <w:t>~55% of all project removals, and ~65% of announced load removed.</w:t>
      </w:r>
      <w:r w:rsidR="003A6DB4">
        <w:rPr>
          <w:rStyle w:val="FootnoteReference"/>
        </w:rPr>
        <w:footnoteReference w:id="48"/>
      </w:r>
      <w:r w:rsidR="009126C7">
        <w:t xml:space="preserve"> </w:t>
      </w:r>
      <w:r w:rsidR="00976A82">
        <w:t xml:space="preserve">Through this time, a total of 135 Data Center projects have entered the large load pipeline. As such, 24% of Data Center projects that entered the </w:t>
      </w:r>
      <w:r w:rsidR="00976A82">
        <w:lastRenderedPageBreak/>
        <w:t>LRM have been removed</w:t>
      </w:r>
      <w:r w:rsidR="00EB11E3">
        <w:t xml:space="preserve"> with an average of 5 Data Center projects exiting the pipeline each quarter</w:t>
      </w:r>
      <w:r w:rsidR="00976A82">
        <w:t>.</w:t>
      </w:r>
      <w:r w:rsidR="00EB11E3">
        <w:rPr>
          <w:rStyle w:val="FootnoteReference"/>
        </w:rPr>
        <w:footnoteReference w:id="49"/>
      </w:r>
      <w:r w:rsidR="00664B3E">
        <w:t xml:space="preserve"> This demonstrates a significant trend of project removals to date.</w:t>
      </w:r>
      <w:r w:rsidR="00E30291">
        <w:t xml:space="preserve"> It is unclear </w:t>
      </w:r>
      <w:r w:rsidR="00EB76D3">
        <w:t>whether</w:t>
      </w:r>
      <w:r w:rsidR="00E30291">
        <w:t xml:space="preserve"> the Company’s model accounts for this level of project removal.</w:t>
      </w:r>
    </w:p>
    <w:p w14:paraId="39A5F0E5" w14:textId="683E5431" w:rsidR="003A6DB4" w:rsidRDefault="003A6DB4" w:rsidP="0036465A">
      <w:pPr>
        <w:pStyle w:val="Answers"/>
      </w:pPr>
      <w:r>
        <w:tab/>
      </w:r>
      <w:r w:rsidR="00D837AE">
        <w:tab/>
      </w:r>
      <w:r>
        <w:t xml:space="preserve">By contrast, </w:t>
      </w:r>
      <w:r w:rsidR="009126C7">
        <w:t xml:space="preserve">Data Centers do not show a clear tendency to delay beyond the assumptions used in the LRM. The LRM assumes that all projects are delayed along a distribution of </w:t>
      </w:r>
      <w:r w:rsidR="006751FE" w:rsidRPr="006751FE">
        <w:rPr>
          <w:rFonts w:ascii="Calibri" w:eastAsia="Times New Roman" w:hAnsi="Calibri"/>
          <w:color w:val="000000"/>
          <w:highlight w:val="black"/>
        </w:rPr>
        <w:t>XXXXX</w:t>
      </w:r>
      <w:r w:rsidR="009126C7">
        <w:t xml:space="preserve"> months.</w:t>
      </w:r>
      <w:r w:rsidR="009126C7">
        <w:rPr>
          <w:rStyle w:val="FootnoteReference"/>
        </w:rPr>
        <w:footnoteReference w:id="50"/>
      </w:r>
      <w:r w:rsidR="009126C7">
        <w:t xml:space="preserve"> As shown in </w:t>
      </w:r>
      <w:r w:rsidR="009126C7">
        <w:fldChar w:fldCharType="begin"/>
      </w:r>
      <w:r w:rsidR="009126C7">
        <w:instrText xml:space="preserve"> REF _Ref213334292 \h </w:instrText>
      </w:r>
      <w:r w:rsidR="009126C7">
        <w:fldChar w:fldCharType="separate"/>
      </w:r>
      <w:r w:rsidR="00220F39">
        <w:t xml:space="preserve">Table </w:t>
      </w:r>
      <w:r w:rsidR="00220F39">
        <w:rPr>
          <w:noProof/>
        </w:rPr>
        <w:t>8</w:t>
      </w:r>
      <w:r w:rsidR="009126C7">
        <w:fldChar w:fldCharType="end"/>
      </w:r>
      <w:r w:rsidR="009126C7">
        <w:t>, the average delay for Data Center projects remains within the bounds of the distribution assumed by the Company. While the upper and lower bounds appear to be insufficient at capturing the variability of project delays, it is unclear that modifying these assumptions would meaningfully impact the aggregate results of the model. While testing a modification of these assumptions may be worthwhile, Staff did not pursue this line of analysis</w:t>
      </w:r>
      <w:r w:rsidR="00E30291">
        <w:t>, due to the alignment of average results with the Company’s base assumption</w:t>
      </w:r>
      <w:r w:rsidR="00550223">
        <w:t xml:space="preserve">. </w:t>
      </w:r>
    </w:p>
    <w:p w14:paraId="33815202" w14:textId="25FA8FAA" w:rsidR="009126C7" w:rsidRDefault="009126C7" w:rsidP="0040134E">
      <w:pPr>
        <w:pStyle w:val="Caption"/>
        <w:keepLines/>
      </w:pPr>
      <w:bookmarkStart w:id="43" w:name="_Ref213334292"/>
      <w:bookmarkStart w:id="44" w:name="_Toc213766878"/>
      <w:r>
        <w:t xml:space="preserve">Table </w:t>
      </w:r>
      <w:fldSimple w:instr=" SEQ Table \* ARABIC ">
        <w:r w:rsidR="00220F39">
          <w:rPr>
            <w:noProof/>
          </w:rPr>
          <w:t>8</w:t>
        </w:r>
      </w:fldSimple>
      <w:bookmarkEnd w:id="43"/>
      <w:r>
        <w:t>: Reported Project Delays for Data Center Projects</w:t>
      </w:r>
      <w:r>
        <w:rPr>
          <w:rStyle w:val="FootnoteReference"/>
        </w:rPr>
        <w:footnoteReference w:id="51"/>
      </w:r>
      <w:bookmarkEnd w:id="44"/>
    </w:p>
    <w:tbl>
      <w:tblPr>
        <w:tblW w:w="0" w:type="auto"/>
        <w:jc w:val="center"/>
        <w:tblLook w:val="04A0" w:firstRow="1" w:lastRow="0" w:firstColumn="1" w:lastColumn="0" w:noHBand="0" w:noVBand="1"/>
      </w:tblPr>
      <w:tblGrid>
        <w:gridCol w:w="2331"/>
        <w:gridCol w:w="944"/>
        <w:gridCol w:w="574"/>
        <w:gridCol w:w="586"/>
      </w:tblGrid>
      <w:tr w:rsidR="009126C7" w:rsidRPr="009126C7" w14:paraId="61D3B6D5" w14:textId="77777777" w:rsidTr="0040134E">
        <w:trPr>
          <w:trHeight w:val="290"/>
          <w:jc w:val="center"/>
        </w:trPr>
        <w:tc>
          <w:tcPr>
            <w:tcW w:w="0" w:type="auto"/>
            <w:tcBorders>
              <w:top w:val="nil"/>
              <w:left w:val="nil"/>
              <w:bottom w:val="single" w:sz="4" w:space="0" w:color="auto"/>
              <w:right w:val="nil"/>
            </w:tcBorders>
            <w:shd w:val="clear" w:color="000000" w:fill="DAE9F8"/>
            <w:vAlign w:val="bottom"/>
            <w:hideMark/>
          </w:tcPr>
          <w:p w14:paraId="7803144B" w14:textId="77777777" w:rsidR="009126C7" w:rsidRPr="009126C7" w:rsidRDefault="009126C7" w:rsidP="0040134E">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Report</w:t>
            </w:r>
          </w:p>
        </w:tc>
        <w:tc>
          <w:tcPr>
            <w:tcW w:w="0" w:type="auto"/>
            <w:tcBorders>
              <w:top w:val="nil"/>
              <w:left w:val="nil"/>
              <w:bottom w:val="single" w:sz="4" w:space="0" w:color="auto"/>
              <w:right w:val="single" w:sz="4" w:space="0" w:color="auto"/>
            </w:tcBorders>
            <w:shd w:val="clear" w:color="000000" w:fill="DAE9F8"/>
            <w:vAlign w:val="bottom"/>
            <w:hideMark/>
          </w:tcPr>
          <w:p w14:paraId="292E72B0" w14:textId="77777777" w:rsidR="009126C7" w:rsidRPr="009126C7" w:rsidRDefault="009126C7" w:rsidP="0040134E">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Average</w:t>
            </w:r>
          </w:p>
        </w:tc>
        <w:tc>
          <w:tcPr>
            <w:tcW w:w="0" w:type="auto"/>
            <w:tcBorders>
              <w:top w:val="nil"/>
              <w:left w:val="nil"/>
              <w:bottom w:val="single" w:sz="4" w:space="0" w:color="auto"/>
              <w:right w:val="nil"/>
            </w:tcBorders>
            <w:shd w:val="clear" w:color="000000" w:fill="DAE9F8"/>
            <w:vAlign w:val="bottom"/>
            <w:hideMark/>
          </w:tcPr>
          <w:p w14:paraId="75F2A413" w14:textId="77777777" w:rsidR="009126C7" w:rsidRPr="009126C7" w:rsidRDefault="009126C7" w:rsidP="0040134E">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Min</w:t>
            </w:r>
          </w:p>
        </w:tc>
        <w:tc>
          <w:tcPr>
            <w:tcW w:w="0" w:type="auto"/>
            <w:tcBorders>
              <w:top w:val="nil"/>
              <w:left w:val="nil"/>
              <w:bottom w:val="single" w:sz="4" w:space="0" w:color="auto"/>
              <w:right w:val="nil"/>
            </w:tcBorders>
            <w:shd w:val="clear" w:color="000000" w:fill="DAE9F8"/>
            <w:vAlign w:val="bottom"/>
            <w:hideMark/>
          </w:tcPr>
          <w:p w14:paraId="788D5A72" w14:textId="77777777" w:rsidR="009126C7" w:rsidRPr="009126C7" w:rsidRDefault="009126C7" w:rsidP="0040134E">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Max</w:t>
            </w:r>
          </w:p>
        </w:tc>
      </w:tr>
      <w:tr w:rsidR="009126C7" w:rsidRPr="009126C7" w14:paraId="6D8E169A" w14:textId="77777777" w:rsidTr="0040134E">
        <w:trPr>
          <w:trHeight w:val="290"/>
          <w:jc w:val="center"/>
        </w:trPr>
        <w:tc>
          <w:tcPr>
            <w:tcW w:w="0" w:type="auto"/>
            <w:tcBorders>
              <w:top w:val="nil"/>
              <w:left w:val="nil"/>
              <w:bottom w:val="nil"/>
              <w:right w:val="nil"/>
            </w:tcBorders>
            <w:noWrap/>
            <w:vAlign w:val="bottom"/>
            <w:hideMark/>
          </w:tcPr>
          <w:p w14:paraId="1219E71E" w14:textId="77777777" w:rsidR="009126C7" w:rsidRPr="009126C7" w:rsidRDefault="009126C7" w:rsidP="0040134E">
            <w:pPr>
              <w:keepNext/>
              <w:keepLines/>
              <w:jc w:val="left"/>
              <w:rPr>
                <w:rFonts w:ascii="Aptos Narrow" w:eastAsia="Times New Roman" w:hAnsi="Aptos Narrow"/>
                <w:color w:val="000000"/>
              </w:rPr>
            </w:pPr>
            <w:r w:rsidRPr="009126C7">
              <w:rPr>
                <w:rFonts w:ascii="Aptos Narrow" w:eastAsia="Times New Roman" w:hAnsi="Aptos Narrow"/>
                <w:color w:val="000000"/>
              </w:rPr>
              <w:t>Q1'24</w:t>
            </w:r>
          </w:p>
        </w:tc>
        <w:tc>
          <w:tcPr>
            <w:tcW w:w="0" w:type="auto"/>
            <w:tcBorders>
              <w:top w:val="nil"/>
              <w:left w:val="nil"/>
              <w:bottom w:val="nil"/>
              <w:right w:val="single" w:sz="4" w:space="0" w:color="auto"/>
            </w:tcBorders>
            <w:noWrap/>
            <w:vAlign w:val="bottom"/>
            <w:hideMark/>
          </w:tcPr>
          <w:p w14:paraId="06C4264B" w14:textId="1528DA50"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8</w:t>
            </w:r>
          </w:p>
        </w:tc>
        <w:tc>
          <w:tcPr>
            <w:tcW w:w="0" w:type="auto"/>
            <w:tcBorders>
              <w:top w:val="nil"/>
              <w:left w:val="nil"/>
              <w:bottom w:val="nil"/>
              <w:right w:val="nil"/>
            </w:tcBorders>
            <w:noWrap/>
            <w:vAlign w:val="bottom"/>
            <w:hideMark/>
          </w:tcPr>
          <w:p w14:paraId="2DFDCE29" w14:textId="6D9E1B58"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(12)</w:t>
            </w:r>
          </w:p>
        </w:tc>
        <w:tc>
          <w:tcPr>
            <w:tcW w:w="0" w:type="auto"/>
            <w:tcBorders>
              <w:top w:val="nil"/>
              <w:left w:val="nil"/>
              <w:bottom w:val="nil"/>
              <w:right w:val="nil"/>
            </w:tcBorders>
            <w:noWrap/>
            <w:vAlign w:val="bottom"/>
            <w:hideMark/>
          </w:tcPr>
          <w:p w14:paraId="7CDAB63C" w14:textId="43D7EE9D"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24</w:t>
            </w:r>
          </w:p>
        </w:tc>
      </w:tr>
      <w:tr w:rsidR="009126C7" w:rsidRPr="009126C7" w14:paraId="49ECA134" w14:textId="77777777" w:rsidTr="0040134E">
        <w:trPr>
          <w:trHeight w:val="290"/>
          <w:jc w:val="center"/>
        </w:trPr>
        <w:tc>
          <w:tcPr>
            <w:tcW w:w="0" w:type="auto"/>
            <w:tcBorders>
              <w:top w:val="nil"/>
              <w:left w:val="nil"/>
              <w:bottom w:val="nil"/>
              <w:right w:val="nil"/>
            </w:tcBorders>
            <w:noWrap/>
            <w:vAlign w:val="bottom"/>
            <w:hideMark/>
          </w:tcPr>
          <w:p w14:paraId="7F06070E" w14:textId="77777777" w:rsidR="009126C7" w:rsidRPr="009126C7" w:rsidRDefault="009126C7" w:rsidP="0040134E">
            <w:pPr>
              <w:keepNext/>
              <w:keepLines/>
              <w:jc w:val="left"/>
              <w:rPr>
                <w:rFonts w:ascii="Aptos Narrow" w:eastAsia="Times New Roman" w:hAnsi="Aptos Narrow"/>
                <w:color w:val="000000"/>
              </w:rPr>
            </w:pPr>
            <w:r w:rsidRPr="009126C7">
              <w:rPr>
                <w:rFonts w:ascii="Aptos Narrow" w:eastAsia="Times New Roman" w:hAnsi="Aptos Narrow"/>
                <w:color w:val="000000"/>
              </w:rPr>
              <w:t>Q2'24</w:t>
            </w:r>
          </w:p>
        </w:tc>
        <w:tc>
          <w:tcPr>
            <w:tcW w:w="0" w:type="auto"/>
            <w:tcBorders>
              <w:top w:val="nil"/>
              <w:left w:val="nil"/>
              <w:bottom w:val="nil"/>
              <w:right w:val="single" w:sz="4" w:space="0" w:color="auto"/>
            </w:tcBorders>
            <w:noWrap/>
            <w:vAlign w:val="bottom"/>
            <w:hideMark/>
          </w:tcPr>
          <w:p w14:paraId="2549A0B2" w14:textId="07DA29D8"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9</w:t>
            </w:r>
          </w:p>
        </w:tc>
        <w:tc>
          <w:tcPr>
            <w:tcW w:w="0" w:type="auto"/>
            <w:tcBorders>
              <w:top w:val="nil"/>
              <w:left w:val="nil"/>
              <w:bottom w:val="nil"/>
              <w:right w:val="nil"/>
            </w:tcBorders>
            <w:noWrap/>
            <w:vAlign w:val="bottom"/>
            <w:hideMark/>
          </w:tcPr>
          <w:p w14:paraId="14A682D7" w14:textId="4DE9E2F0"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(12)</w:t>
            </w:r>
          </w:p>
        </w:tc>
        <w:tc>
          <w:tcPr>
            <w:tcW w:w="0" w:type="auto"/>
            <w:tcBorders>
              <w:top w:val="nil"/>
              <w:left w:val="nil"/>
              <w:bottom w:val="nil"/>
              <w:right w:val="nil"/>
            </w:tcBorders>
            <w:noWrap/>
            <w:vAlign w:val="bottom"/>
            <w:hideMark/>
          </w:tcPr>
          <w:p w14:paraId="52F63218" w14:textId="317A3B26"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27</w:t>
            </w:r>
          </w:p>
        </w:tc>
      </w:tr>
      <w:tr w:rsidR="009126C7" w:rsidRPr="009126C7" w14:paraId="51581D97" w14:textId="77777777" w:rsidTr="0040134E">
        <w:trPr>
          <w:trHeight w:val="290"/>
          <w:jc w:val="center"/>
        </w:trPr>
        <w:tc>
          <w:tcPr>
            <w:tcW w:w="0" w:type="auto"/>
            <w:tcBorders>
              <w:top w:val="nil"/>
              <w:left w:val="nil"/>
              <w:bottom w:val="nil"/>
              <w:right w:val="nil"/>
            </w:tcBorders>
            <w:noWrap/>
            <w:vAlign w:val="bottom"/>
            <w:hideMark/>
          </w:tcPr>
          <w:p w14:paraId="15F1239B" w14:textId="77777777" w:rsidR="009126C7" w:rsidRPr="009126C7" w:rsidRDefault="009126C7" w:rsidP="0040134E">
            <w:pPr>
              <w:keepNext/>
              <w:keepLines/>
              <w:jc w:val="left"/>
              <w:rPr>
                <w:rFonts w:ascii="Aptos Narrow" w:eastAsia="Times New Roman" w:hAnsi="Aptos Narrow"/>
                <w:color w:val="000000"/>
              </w:rPr>
            </w:pPr>
            <w:r w:rsidRPr="009126C7">
              <w:rPr>
                <w:rFonts w:ascii="Aptos Narrow" w:eastAsia="Times New Roman" w:hAnsi="Aptos Narrow"/>
                <w:color w:val="000000"/>
              </w:rPr>
              <w:t>Q3'24</w:t>
            </w:r>
          </w:p>
        </w:tc>
        <w:tc>
          <w:tcPr>
            <w:tcW w:w="0" w:type="auto"/>
            <w:tcBorders>
              <w:top w:val="nil"/>
              <w:left w:val="nil"/>
              <w:bottom w:val="nil"/>
              <w:right w:val="single" w:sz="4" w:space="0" w:color="auto"/>
            </w:tcBorders>
            <w:noWrap/>
            <w:vAlign w:val="bottom"/>
            <w:hideMark/>
          </w:tcPr>
          <w:p w14:paraId="5EEFB15F" w14:textId="7E6B9F26"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4</w:t>
            </w:r>
          </w:p>
        </w:tc>
        <w:tc>
          <w:tcPr>
            <w:tcW w:w="0" w:type="auto"/>
            <w:tcBorders>
              <w:top w:val="nil"/>
              <w:left w:val="nil"/>
              <w:bottom w:val="nil"/>
              <w:right w:val="nil"/>
            </w:tcBorders>
            <w:noWrap/>
            <w:vAlign w:val="bottom"/>
            <w:hideMark/>
          </w:tcPr>
          <w:p w14:paraId="2C746EF7" w14:textId="393BDE9F"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(15)</w:t>
            </w:r>
          </w:p>
        </w:tc>
        <w:tc>
          <w:tcPr>
            <w:tcW w:w="0" w:type="auto"/>
            <w:tcBorders>
              <w:top w:val="nil"/>
              <w:left w:val="nil"/>
              <w:bottom w:val="nil"/>
              <w:right w:val="nil"/>
            </w:tcBorders>
            <w:noWrap/>
            <w:vAlign w:val="bottom"/>
            <w:hideMark/>
          </w:tcPr>
          <w:p w14:paraId="09D1D153" w14:textId="2D347651"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30</w:t>
            </w:r>
          </w:p>
        </w:tc>
      </w:tr>
      <w:tr w:rsidR="009126C7" w:rsidRPr="009126C7" w14:paraId="73A2CCDE" w14:textId="77777777" w:rsidTr="0040134E">
        <w:trPr>
          <w:trHeight w:val="290"/>
          <w:jc w:val="center"/>
        </w:trPr>
        <w:tc>
          <w:tcPr>
            <w:tcW w:w="0" w:type="auto"/>
            <w:tcBorders>
              <w:top w:val="nil"/>
              <w:left w:val="nil"/>
              <w:bottom w:val="nil"/>
              <w:right w:val="nil"/>
            </w:tcBorders>
            <w:noWrap/>
            <w:vAlign w:val="bottom"/>
            <w:hideMark/>
          </w:tcPr>
          <w:p w14:paraId="3C740BCA" w14:textId="77777777" w:rsidR="009126C7" w:rsidRPr="009126C7" w:rsidRDefault="009126C7" w:rsidP="0040134E">
            <w:pPr>
              <w:keepNext/>
              <w:keepLines/>
              <w:jc w:val="left"/>
              <w:rPr>
                <w:rFonts w:ascii="Aptos Narrow" w:eastAsia="Times New Roman" w:hAnsi="Aptos Narrow"/>
                <w:color w:val="000000"/>
              </w:rPr>
            </w:pPr>
            <w:r w:rsidRPr="009126C7">
              <w:rPr>
                <w:rFonts w:ascii="Aptos Narrow" w:eastAsia="Times New Roman" w:hAnsi="Aptos Narrow"/>
                <w:color w:val="000000"/>
              </w:rPr>
              <w:t>Q4'24</w:t>
            </w:r>
          </w:p>
        </w:tc>
        <w:tc>
          <w:tcPr>
            <w:tcW w:w="0" w:type="auto"/>
            <w:tcBorders>
              <w:top w:val="nil"/>
              <w:left w:val="nil"/>
              <w:bottom w:val="nil"/>
              <w:right w:val="single" w:sz="4" w:space="0" w:color="auto"/>
            </w:tcBorders>
            <w:noWrap/>
            <w:vAlign w:val="bottom"/>
            <w:hideMark/>
          </w:tcPr>
          <w:p w14:paraId="4AF5075E" w14:textId="0F3D9E71"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9</w:t>
            </w:r>
          </w:p>
        </w:tc>
        <w:tc>
          <w:tcPr>
            <w:tcW w:w="0" w:type="auto"/>
            <w:tcBorders>
              <w:top w:val="nil"/>
              <w:left w:val="nil"/>
              <w:bottom w:val="nil"/>
              <w:right w:val="nil"/>
            </w:tcBorders>
            <w:noWrap/>
            <w:vAlign w:val="bottom"/>
            <w:hideMark/>
          </w:tcPr>
          <w:p w14:paraId="352889D3" w14:textId="6C49AE66"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3</w:t>
            </w:r>
          </w:p>
        </w:tc>
        <w:tc>
          <w:tcPr>
            <w:tcW w:w="0" w:type="auto"/>
            <w:tcBorders>
              <w:top w:val="nil"/>
              <w:left w:val="nil"/>
              <w:bottom w:val="nil"/>
              <w:right w:val="nil"/>
            </w:tcBorders>
            <w:noWrap/>
            <w:vAlign w:val="bottom"/>
            <w:hideMark/>
          </w:tcPr>
          <w:p w14:paraId="6F3C33F9" w14:textId="61BCD897"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36</w:t>
            </w:r>
          </w:p>
        </w:tc>
      </w:tr>
      <w:tr w:rsidR="009126C7" w:rsidRPr="009126C7" w14:paraId="4FC33D81" w14:textId="77777777" w:rsidTr="0040134E">
        <w:trPr>
          <w:trHeight w:val="290"/>
          <w:jc w:val="center"/>
        </w:trPr>
        <w:tc>
          <w:tcPr>
            <w:tcW w:w="0" w:type="auto"/>
            <w:tcBorders>
              <w:top w:val="nil"/>
              <w:left w:val="nil"/>
              <w:bottom w:val="nil"/>
              <w:right w:val="nil"/>
            </w:tcBorders>
            <w:noWrap/>
            <w:vAlign w:val="bottom"/>
            <w:hideMark/>
          </w:tcPr>
          <w:p w14:paraId="479A52C4" w14:textId="77777777" w:rsidR="009126C7" w:rsidRPr="009126C7" w:rsidRDefault="009126C7" w:rsidP="0040134E">
            <w:pPr>
              <w:keepNext/>
              <w:keepLines/>
              <w:jc w:val="left"/>
              <w:rPr>
                <w:rFonts w:ascii="Aptos Narrow" w:eastAsia="Times New Roman" w:hAnsi="Aptos Narrow"/>
                <w:color w:val="000000"/>
              </w:rPr>
            </w:pPr>
            <w:r w:rsidRPr="009126C7">
              <w:rPr>
                <w:rFonts w:ascii="Aptos Narrow" w:eastAsia="Times New Roman" w:hAnsi="Aptos Narrow"/>
                <w:color w:val="000000"/>
              </w:rPr>
              <w:t>Q1'25</w:t>
            </w:r>
          </w:p>
        </w:tc>
        <w:tc>
          <w:tcPr>
            <w:tcW w:w="0" w:type="auto"/>
            <w:tcBorders>
              <w:top w:val="nil"/>
              <w:left w:val="nil"/>
              <w:bottom w:val="nil"/>
              <w:right w:val="single" w:sz="4" w:space="0" w:color="auto"/>
            </w:tcBorders>
            <w:noWrap/>
            <w:vAlign w:val="bottom"/>
            <w:hideMark/>
          </w:tcPr>
          <w:p w14:paraId="0665F542" w14:textId="33C11728"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5</w:t>
            </w:r>
          </w:p>
        </w:tc>
        <w:tc>
          <w:tcPr>
            <w:tcW w:w="0" w:type="auto"/>
            <w:tcBorders>
              <w:top w:val="nil"/>
              <w:left w:val="nil"/>
              <w:bottom w:val="nil"/>
              <w:right w:val="nil"/>
            </w:tcBorders>
            <w:noWrap/>
            <w:vAlign w:val="bottom"/>
            <w:hideMark/>
          </w:tcPr>
          <w:p w14:paraId="107EA678" w14:textId="24CE06B4"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(12)</w:t>
            </w:r>
          </w:p>
        </w:tc>
        <w:tc>
          <w:tcPr>
            <w:tcW w:w="0" w:type="auto"/>
            <w:tcBorders>
              <w:top w:val="nil"/>
              <w:left w:val="nil"/>
              <w:bottom w:val="nil"/>
              <w:right w:val="nil"/>
            </w:tcBorders>
            <w:noWrap/>
            <w:vAlign w:val="bottom"/>
            <w:hideMark/>
          </w:tcPr>
          <w:p w14:paraId="65C4F3A0" w14:textId="57F3F570"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27</w:t>
            </w:r>
          </w:p>
        </w:tc>
      </w:tr>
      <w:tr w:rsidR="009126C7" w:rsidRPr="009126C7" w14:paraId="67D1CB8A" w14:textId="77777777" w:rsidTr="0040134E">
        <w:trPr>
          <w:trHeight w:val="290"/>
          <w:jc w:val="center"/>
        </w:trPr>
        <w:tc>
          <w:tcPr>
            <w:tcW w:w="0" w:type="auto"/>
            <w:tcBorders>
              <w:top w:val="nil"/>
              <w:left w:val="nil"/>
              <w:bottom w:val="nil"/>
              <w:right w:val="nil"/>
            </w:tcBorders>
            <w:noWrap/>
            <w:vAlign w:val="bottom"/>
            <w:hideMark/>
          </w:tcPr>
          <w:p w14:paraId="101B6BC9" w14:textId="77777777" w:rsidR="009126C7" w:rsidRPr="009126C7" w:rsidRDefault="009126C7" w:rsidP="0040134E">
            <w:pPr>
              <w:keepNext/>
              <w:keepLines/>
              <w:jc w:val="left"/>
              <w:rPr>
                <w:rFonts w:ascii="Aptos Narrow" w:eastAsia="Times New Roman" w:hAnsi="Aptos Narrow"/>
                <w:color w:val="000000"/>
              </w:rPr>
            </w:pPr>
            <w:r w:rsidRPr="009126C7">
              <w:rPr>
                <w:rFonts w:ascii="Aptos Narrow" w:eastAsia="Times New Roman" w:hAnsi="Aptos Narrow"/>
                <w:color w:val="000000"/>
              </w:rPr>
              <w:t>Q2'25</w:t>
            </w:r>
          </w:p>
        </w:tc>
        <w:tc>
          <w:tcPr>
            <w:tcW w:w="0" w:type="auto"/>
            <w:tcBorders>
              <w:top w:val="nil"/>
              <w:left w:val="nil"/>
              <w:bottom w:val="nil"/>
              <w:right w:val="single" w:sz="4" w:space="0" w:color="auto"/>
            </w:tcBorders>
            <w:noWrap/>
            <w:vAlign w:val="bottom"/>
            <w:hideMark/>
          </w:tcPr>
          <w:p w14:paraId="0702C368" w14:textId="14B6AAEA"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18</w:t>
            </w:r>
          </w:p>
        </w:tc>
        <w:tc>
          <w:tcPr>
            <w:tcW w:w="0" w:type="auto"/>
            <w:tcBorders>
              <w:top w:val="nil"/>
              <w:left w:val="nil"/>
              <w:bottom w:val="nil"/>
              <w:right w:val="nil"/>
            </w:tcBorders>
            <w:noWrap/>
            <w:vAlign w:val="bottom"/>
            <w:hideMark/>
          </w:tcPr>
          <w:p w14:paraId="100F27E7" w14:textId="451BAF37"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(9)</w:t>
            </w:r>
          </w:p>
        </w:tc>
        <w:tc>
          <w:tcPr>
            <w:tcW w:w="0" w:type="auto"/>
            <w:tcBorders>
              <w:top w:val="nil"/>
              <w:left w:val="nil"/>
              <w:bottom w:val="nil"/>
              <w:right w:val="nil"/>
            </w:tcBorders>
            <w:noWrap/>
            <w:vAlign w:val="bottom"/>
            <w:hideMark/>
          </w:tcPr>
          <w:p w14:paraId="307A8875" w14:textId="57E423D0" w:rsidR="009126C7" w:rsidRPr="009126C7" w:rsidRDefault="009126C7" w:rsidP="00CD39F9">
            <w:pPr>
              <w:keepNext/>
              <w:keepLines/>
              <w:jc w:val="center"/>
              <w:rPr>
                <w:rFonts w:ascii="Aptos Narrow" w:eastAsia="Times New Roman" w:hAnsi="Aptos Narrow"/>
                <w:color w:val="000000"/>
              </w:rPr>
            </w:pPr>
            <w:r w:rsidRPr="009126C7">
              <w:rPr>
                <w:rFonts w:ascii="Aptos Narrow" w:eastAsia="Times New Roman" w:hAnsi="Aptos Narrow"/>
                <w:color w:val="000000"/>
              </w:rPr>
              <w:t>37</w:t>
            </w:r>
          </w:p>
        </w:tc>
      </w:tr>
      <w:tr w:rsidR="009126C7" w:rsidRPr="009126C7" w14:paraId="5FA780DE" w14:textId="77777777" w:rsidTr="0040134E">
        <w:trPr>
          <w:trHeight w:val="300"/>
          <w:jc w:val="center"/>
        </w:trPr>
        <w:tc>
          <w:tcPr>
            <w:tcW w:w="0" w:type="auto"/>
            <w:tcBorders>
              <w:top w:val="single" w:sz="4" w:space="0" w:color="auto"/>
              <w:left w:val="nil"/>
              <w:bottom w:val="nil"/>
              <w:right w:val="nil"/>
            </w:tcBorders>
            <w:shd w:val="clear" w:color="000000" w:fill="F2F2F2"/>
            <w:noWrap/>
            <w:vAlign w:val="bottom"/>
            <w:hideMark/>
          </w:tcPr>
          <w:p w14:paraId="767A6192" w14:textId="77777777" w:rsidR="009126C7" w:rsidRPr="009126C7" w:rsidRDefault="009126C7" w:rsidP="0040134E">
            <w:pPr>
              <w:keepNext/>
              <w:keepLines/>
              <w:jc w:val="left"/>
              <w:rPr>
                <w:rFonts w:ascii="Aptos Narrow" w:eastAsia="Times New Roman" w:hAnsi="Aptos Narrow"/>
                <w:b/>
                <w:bCs/>
                <w:color w:val="000000"/>
              </w:rPr>
            </w:pPr>
            <w:r w:rsidRPr="009126C7">
              <w:rPr>
                <w:rFonts w:ascii="Aptos Narrow" w:eastAsia="Times New Roman" w:hAnsi="Aptos Narrow"/>
                <w:b/>
                <w:bCs/>
                <w:color w:val="000000"/>
              </w:rPr>
              <w:t>Project Average</w:t>
            </w:r>
          </w:p>
        </w:tc>
        <w:tc>
          <w:tcPr>
            <w:tcW w:w="0" w:type="auto"/>
            <w:tcBorders>
              <w:top w:val="single" w:sz="4" w:space="0" w:color="auto"/>
              <w:left w:val="nil"/>
              <w:bottom w:val="nil"/>
              <w:right w:val="single" w:sz="4" w:space="0" w:color="auto"/>
            </w:tcBorders>
            <w:shd w:val="clear" w:color="000000" w:fill="F2F2F2"/>
            <w:noWrap/>
            <w:vAlign w:val="bottom"/>
            <w:hideMark/>
          </w:tcPr>
          <w:p w14:paraId="4FFE0238" w14:textId="07B2D265" w:rsidR="009126C7" w:rsidRPr="009126C7" w:rsidRDefault="009126C7" w:rsidP="00CD39F9">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7</w:t>
            </w:r>
          </w:p>
        </w:tc>
        <w:tc>
          <w:tcPr>
            <w:tcW w:w="0" w:type="auto"/>
            <w:tcBorders>
              <w:top w:val="single" w:sz="4" w:space="0" w:color="auto"/>
              <w:left w:val="nil"/>
              <w:bottom w:val="nil"/>
              <w:right w:val="nil"/>
            </w:tcBorders>
            <w:shd w:val="clear" w:color="000000" w:fill="F2F2F2"/>
            <w:noWrap/>
            <w:vAlign w:val="bottom"/>
            <w:hideMark/>
          </w:tcPr>
          <w:p w14:paraId="5EA7F2A3" w14:textId="663EC4DE" w:rsidR="009126C7" w:rsidRPr="009126C7" w:rsidRDefault="009126C7" w:rsidP="00CD39F9">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(14)</w:t>
            </w:r>
          </w:p>
        </w:tc>
        <w:tc>
          <w:tcPr>
            <w:tcW w:w="0" w:type="auto"/>
            <w:tcBorders>
              <w:top w:val="single" w:sz="4" w:space="0" w:color="auto"/>
              <w:left w:val="nil"/>
              <w:bottom w:val="nil"/>
              <w:right w:val="nil"/>
            </w:tcBorders>
            <w:shd w:val="clear" w:color="000000" w:fill="F2F2F2"/>
            <w:noWrap/>
            <w:vAlign w:val="bottom"/>
            <w:hideMark/>
          </w:tcPr>
          <w:p w14:paraId="6C143E50" w14:textId="2F1C4264" w:rsidR="009126C7" w:rsidRPr="009126C7" w:rsidRDefault="009126C7" w:rsidP="00CD39F9">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30</w:t>
            </w:r>
          </w:p>
        </w:tc>
      </w:tr>
      <w:tr w:rsidR="009126C7" w:rsidRPr="009126C7" w14:paraId="65E6E552" w14:textId="77777777" w:rsidTr="0040134E">
        <w:trPr>
          <w:trHeight w:val="290"/>
          <w:jc w:val="center"/>
        </w:trPr>
        <w:tc>
          <w:tcPr>
            <w:tcW w:w="0" w:type="auto"/>
            <w:tcBorders>
              <w:top w:val="nil"/>
              <w:left w:val="nil"/>
              <w:bottom w:val="nil"/>
              <w:right w:val="nil"/>
            </w:tcBorders>
            <w:shd w:val="clear" w:color="000000" w:fill="F2F2F2"/>
            <w:noWrap/>
            <w:vAlign w:val="bottom"/>
            <w:hideMark/>
          </w:tcPr>
          <w:p w14:paraId="38079D97" w14:textId="77777777" w:rsidR="009126C7" w:rsidRPr="009126C7" w:rsidRDefault="009126C7" w:rsidP="0040134E">
            <w:pPr>
              <w:keepNext/>
              <w:keepLines/>
              <w:jc w:val="left"/>
              <w:rPr>
                <w:rFonts w:ascii="Aptos Narrow" w:eastAsia="Times New Roman" w:hAnsi="Aptos Narrow"/>
                <w:b/>
                <w:bCs/>
                <w:color w:val="000000"/>
              </w:rPr>
            </w:pPr>
            <w:r w:rsidRPr="009126C7">
              <w:rPr>
                <w:rFonts w:ascii="Aptos Narrow" w:eastAsia="Times New Roman" w:hAnsi="Aptos Narrow"/>
                <w:b/>
                <w:bCs/>
                <w:color w:val="000000"/>
              </w:rPr>
              <w:t>Load Weighted Average</w:t>
            </w:r>
          </w:p>
        </w:tc>
        <w:tc>
          <w:tcPr>
            <w:tcW w:w="0" w:type="auto"/>
            <w:tcBorders>
              <w:top w:val="nil"/>
              <w:left w:val="nil"/>
              <w:bottom w:val="nil"/>
              <w:right w:val="single" w:sz="4" w:space="0" w:color="auto"/>
            </w:tcBorders>
            <w:shd w:val="clear" w:color="000000" w:fill="F2F2F2"/>
            <w:noWrap/>
            <w:vAlign w:val="bottom"/>
            <w:hideMark/>
          </w:tcPr>
          <w:p w14:paraId="173574A3" w14:textId="54B55FAC" w:rsidR="009126C7" w:rsidRPr="009126C7" w:rsidRDefault="009126C7" w:rsidP="00CD39F9">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6</w:t>
            </w:r>
          </w:p>
        </w:tc>
        <w:tc>
          <w:tcPr>
            <w:tcW w:w="0" w:type="auto"/>
            <w:tcBorders>
              <w:top w:val="nil"/>
              <w:left w:val="nil"/>
              <w:bottom w:val="nil"/>
              <w:right w:val="nil"/>
            </w:tcBorders>
            <w:shd w:val="clear" w:color="000000" w:fill="F2F2F2"/>
            <w:noWrap/>
            <w:vAlign w:val="bottom"/>
            <w:hideMark/>
          </w:tcPr>
          <w:p w14:paraId="78C84F54" w14:textId="6A2BC886" w:rsidR="009126C7" w:rsidRPr="009126C7" w:rsidRDefault="009126C7" w:rsidP="00CD39F9">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(15)</w:t>
            </w:r>
          </w:p>
        </w:tc>
        <w:tc>
          <w:tcPr>
            <w:tcW w:w="0" w:type="auto"/>
            <w:tcBorders>
              <w:top w:val="nil"/>
              <w:left w:val="nil"/>
              <w:bottom w:val="nil"/>
              <w:right w:val="nil"/>
            </w:tcBorders>
            <w:shd w:val="clear" w:color="000000" w:fill="F2F2F2"/>
            <w:noWrap/>
            <w:vAlign w:val="bottom"/>
            <w:hideMark/>
          </w:tcPr>
          <w:p w14:paraId="3798399C" w14:textId="41F18CCA" w:rsidR="009126C7" w:rsidRPr="009126C7" w:rsidRDefault="009126C7" w:rsidP="00CD39F9">
            <w:pPr>
              <w:keepNext/>
              <w:keepLines/>
              <w:jc w:val="center"/>
              <w:rPr>
                <w:rFonts w:ascii="Aptos Narrow" w:eastAsia="Times New Roman" w:hAnsi="Aptos Narrow"/>
                <w:b/>
                <w:bCs/>
                <w:color w:val="000000"/>
              </w:rPr>
            </w:pPr>
            <w:r w:rsidRPr="009126C7">
              <w:rPr>
                <w:rFonts w:ascii="Aptos Narrow" w:eastAsia="Times New Roman" w:hAnsi="Aptos Narrow"/>
                <w:b/>
                <w:bCs/>
                <w:color w:val="000000"/>
              </w:rPr>
              <w:t>29</w:t>
            </w:r>
          </w:p>
        </w:tc>
      </w:tr>
    </w:tbl>
    <w:p w14:paraId="785B84E2" w14:textId="68162BB2" w:rsidR="003A6DB4" w:rsidRDefault="00D837AE" w:rsidP="00CD39F9">
      <w:pPr>
        <w:pStyle w:val="Question"/>
        <w:pageBreakBefore/>
      </w:pPr>
      <w:r>
        <w:lastRenderedPageBreak/>
        <w:t>Q.</w:t>
      </w:r>
      <w:r>
        <w:tab/>
        <w:t>Why are Data Center Projects being removed so frequently?</w:t>
      </w:r>
    </w:p>
    <w:p w14:paraId="2627B802" w14:textId="39714607" w:rsidR="00D837AE" w:rsidRDefault="00D837AE" w:rsidP="00D837AE">
      <w:pPr>
        <w:pStyle w:val="Answers"/>
      </w:pPr>
      <w:r>
        <w:t>A.</w:t>
      </w:r>
      <w:r>
        <w:tab/>
        <w:t xml:space="preserve">Data Center project removals are primarily driven by project cancellations, demonstrating that prospective customers are either deciding not </w:t>
      </w:r>
      <w:r w:rsidR="00223423">
        <w:t xml:space="preserve">to </w:t>
      </w:r>
      <w:r>
        <w:t>pursue a project in Georgia at this time or pursuing a different project in a different state. This</w:t>
      </w:r>
      <w:r w:rsidR="00263297">
        <w:t xml:space="preserve"> behavior is best captured by the Project Success assumptions in the LRM, which constitute the P1 (Georgia is selected as the location of a project), P2 (Georgia Power is selected as the preferred service provider), and P3 (project reaches commercial operation) variables.</w:t>
      </w:r>
    </w:p>
    <w:p w14:paraId="2055CE6A" w14:textId="79CCA187" w:rsidR="00D837AE" w:rsidRDefault="00D837AE" w:rsidP="00D837AE">
      <w:pPr>
        <w:pStyle w:val="Answers"/>
      </w:pPr>
      <w:r>
        <w:tab/>
      </w:r>
      <w:r>
        <w:tab/>
      </w:r>
      <w:r>
        <w:fldChar w:fldCharType="begin"/>
      </w:r>
      <w:r>
        <w:instrText xml:space="preserve"> REF _Ref213334568 \h </w:instrText>
      </w:r>
      <w:r>
        <w:fldChar w:fldCharType="separate"/>
      </w:r>
      <w:r w:rsidR="00220F39">
        <w:t xml:space="preserve">Table </w:t>
      </w:r>
      <w:r w:rsidR="00220F39">
        <w:rPr>
          <w:noProof/>
        </w:rPr>
        <w:t>9</w:t>
      </w:r>
      <w:r>
        <w:fldChar w:fldCharType="end"/>
      </w:r>
      <w:r>
        <w:t xml:space="preserve"> provides a summary of removed Data Center Projects, demonstrating that </w:t>
      </w:r>
      <w:r w:rsidR="00263297">
        <w:t>P</w:t>
      </w:r>
      <w:r>
        <w:t xml:space="preserve">roject </w:t>
      </w:r>
      <w:r w:rsidR="00263297">
        <w:t>C</w:t>
      </w:r>
      <w:r>
        <w:t>ancellations are the primary contributor to Data Center removals, representing 48% of Data Center removals.</w:t>
      </w:r>
      <w:r w:rsidR="00263297">
        <w:t xml:space="preserve"> Staff interprets this reasoning for project removal as relevant to the P1 variable. This category is followed by “No GPC Offer Made,” which Staff interprets as a contracting issue related to the P2 variable, and “Project Delayed Indefinitely,” which Staff interprets as a strategic business decision related to the P1 variable.</w:t>
      </w:r>
      <w:r w:rsidR="00664B3E">
        <w:t xml:space="preserve"> The remaining categories, while not directly relevant to a specific Project Success variable, could be interpreted as relevant to the P3 variable. </w:t>
      </w:r>
    </w:p>
    <w:p w14:paraId="16DC8B02" w14:textId="2137B2EF" w:rsidR="00D837AE" w:rsidRDefault="00D837AE" w:rsidP="00664B3E">
      <w:pPr>
        <w:pStyle w:val="Caption"/>
        <w:keepLines/>
      </w:pPr>
      <w:bookmarkStart w:id="45" w:name="_Ref213334568"/>
      <w:bookmarkStart w:id="46" w:name="_Toc213766879"/>
      <w:r>
        <w:lastRenderedPageBreak/>
        <w:t xml:space="preserve">Table </w:t>
      </w:r>
      <w:fldSimple w:instr=" SEQ Table \* ARABIC ">
        <w:r w:rsidR="00220F39">
          <w:rPr>
            <w:noProof/>
          </w:rPr>
          <w:t>9</w:t>
        </w:r>
      </w:fldSimple>
      <w:bookmarkEnd w:id="45"/>
      <w:r>
        <w:t>: Reported Project Removals for Data Center Projects</w:t>
      </w:r>
      <w:r>
        <w:rPr>
          <w:rStyle w:val="FootnoteReference"/>
        </w:rPr>
        <w:footnoteReference w:id="52"/>
      </w:r>
      <w:bookmarkEnd w:id="46"/>
    </w:p>
    <w:tbl>
      <w:tblPr>
        <w:tblW w:w="9345" w:type="dxa"/>
        <w:jc w:val="center"/>
        <w:tblLook w:val="04A0" w:firstRow="1" w:lastRow="0" w:firstColumn="1" w:lastColumn="0" w:noHBand="0" w:noVBand="1"/>
      </w:tblPr>
      <w:tblGrid>
        <w:gridCol w:w="3366"/>
        <w:gridCol w:w="1616"/>
        <w:gridCol w:w="1128"/>
        <w:gridCol w:w="1128"/>
        <w:gridCol w:w="1136"/>
        <w:gridCol w:w="971"/>
      </w:tblGrid>
      <w:tr w:rsidR="00D837AE" w:rsidRPr="00D837AE" w14:paraId="6BA7FB19" w14:textId="77777777" w:rsidTr="2EC6D3D4">
        <w:trPr>
          <w:trHeight w:val="290"/>
          <w:jc w:val="center"/>
        </w:trPr>
        <w:tc>
          <w:tcPr>
            <w:tcW w:w="3366" w:type="dxa"/>
            <w:tcBorders>
              <w:top w:val="nil"/>
              <w:left w:val="nil"/>
              <w:bottom w:val="nil"/>
              <w:right w:val="nil"/>
            </w:tcBorders>
            <w:shd w:val="clear" w:color="auto" w:fill="DAE9F8"/>
            <w:noWrap/>
            <w:vAlign w:val="bottom"/>
            <w:hideMark/>
          </w:tcPr>
          <w:p w14:paraId="25CD7EAE" w14:textId="071F2E4C" w:rsidR="00D837AE" w:rsidRPr="00D837AE" w:rsidRDefault="00664B3E" w:rsidP="00664B3E">
            <w:pPr>
              <w:keepNext/>
              <w:keepLines/>
              <w:jc w:val="left"/>
              <w:rPr>
                <w:rFonts w:ascii="Aptos Narrow" w:eastAsia="Times New Roman" w:hAnsi="Aptos Narrow"/>
                <w:b/>
                <w:bCs/>
                <w:color w:val="000000"/>
              </w:rPr>
            </w:pPr>
            <w:r>
              <w:rPr>
                <w:rFonts w:ascii="Aptos Narrow" w:eastAsia="Times New Roman" w:hAnsi="Aptos Narrow"/>
                <w:b/>
                <w:bCs/>
                <w:color w:val="000000"/>
              </w:rPr>
              <w:t xml:space="preserve">Removal </w:t>
            </w:r>
            <w:r w:rsidR="00D837AE" w:rsidRPr="00D837AE">
              <w:rPr>
                <w:rFonts w:ascii="Aptos Narrow" w:eastAsia="Times New Roman" w:hAnsi="Aptos Narrow"/>
                <w:b/>
                <w:bCs/>
                <w:color w:val="000000"/>
              </w:rPr>
              <w:t>Reason</w:t>
            </w:r>
          </w:p>
        </w:tc>
        <w:tc>
          <w:tcPr>
            <w:tcW w:w="1616" w:type="dxa"/>
            <w:tcBorders>
              <w:top w:val="nil"/>
              <w:left w:val="nil"/>
              <w:bottom w:val="nil"/>
              <w:right w:val="nil"/>
            </w:tcBorders>
            <w:shd w:val="clear" w:color="auto" w:fill="DAE9F8"/>
            <w:noWrap/>
            <w:vAlign w:val="bottom"/>
            <w:hideMark/>
          </w:tcPr>
          <w:p w14:paraId="5781A077" w14:textId="77777777"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Issue</w:t>
            </w:r>
          </w:p>
        </w:tc>
        <w:tc>
          <w:tcPr>
            <w:tcW w:w="1128" w:type="dxa"/>
            <w:tcBorders>
              <w:top w:val="nil"/>
              <w:left w:val="nil"/>
              <w:bottom w:val="nil"/>
              <w:right w:val="single" w:sz="4" w:space="0" w:color="auto"/>
            </w:tcBorders>
            <w:shd w:val="clear" w:color="auto" w:fill="DAE9F8"/>
            <w:noWrap/>
            <w:vAlign w:val="bottom"/>
            <w:hideMark/>
          </w:tcPr>
          <w:p w14:paraId="22F5EB78" w14:textId="77777777" w:rsidR="00D837AE" w:rsidRPr="00D837AE" w:rsidRDefault="00D837AE" w:rsidP="00664B3E">
            <w:pPr>
              <w:keepNext/>
              <w:keepLines/>
              <w:jc w:val="left"/>
              <w:rPr>
                <w:rFonts w:ascii="Aptos Narrow" w:eastAsia="Times New Roman" w:hAnsi="Aptos Narrow"/>
                <w:b/>
                <w:bCs/>
                <w:color w:val="000000"/>
              </w:rPr>
            </w:pPr>
            <w:r>
              <w:rPr>
                <w:rFonts w:ascii="Aptos Narrow" w:eastAsia="Times New Roman" w:hAnsi="Aptos Narrow"/>
                <w:b/>
                <w:bCs/>
                <w:color w:val="000000"/>
              </w:rPr>
              <w:t xml:space="preserve">Staff Identified Relevant </w:t>
            </w:r>
            <w:r w:rsidRPr="00D837AE">
              <w:rPr>
                <w:rFonts w:ascii="Aptos Narrow" w:eastAsia="Times New Roman" w:hAnsi="Aptos Narrow"/>
                <w:b/>
                <w:bCs/>
                <w:color w:val="000000"/>
              </w:rPr>
              <w:t>Variable</w:t>
            </w:r>
          </w:p>
        </w:tc>
        <w:tc>
          <w:tcPr>
            <w:tcW w:w="1128" w:type="dxa"/>
            <w:tcBorders>
              <w:top w:val="nil"/>
              <w:left w:val="nil"/>
              <w:bottom w:val="nil"/>
              <w:right w:val="nil"/>
            </w:tcBorders>
            <w:shd w:val="clear" w:color="auto" w:fill="DAE9F8"/>
            <w:noWrap/>
            <w:vAlign w:val="bottom"/>
            <w:hideMark/>
          </w:tcPr>
          <w:p w14:paraId="4F572632" w14:textId="392BA091" w:rsidR="00D837AE" w:rsidRPr="00D837AE" w:rsidRDefault="00263297" w:rsidP="00664B3E">
            <w:pPr>
              <w:keepNext/>
              <w:keepLines/>
              <w:jc w:val="left"/>
              <w:rPr>
                <w:rFonts w:ascii="Aptos Narrow" w:eastAsia="Times New Roman" w:hAnsi="Aptos Narrow"/>
                <w:b/>
                <w:bCs/>
                <w:color w:val="000000"/>
              </w:rPr>
            </w:pPr>
            <w:r>
              <w:rPr>
                <w:rFonts w:ascii="Aptos Narrow" w:eastAsia="Times New Roman" w:hAnsi="Aptos Narrow"/>
                <w:b/>
                <w:bCs/>
                <w:color w:val="000000"/>
              </w:rPr>
              <w:t xml:space="preserve">Project </w:t>
            </w:r>
            <w:r w:rsidR="00D837AE" w:rsidRPr="00D837AE">
              <w:rPr>
                <w:rFonts w:ascii="Aptos Narrow" w:eastAsia="Times New Roman" w:hAnsi="Aptos Narrow"/>
                <w:b/>
                <w:bCs/>
                <w:color w:val="000000"/>
              </w:rPr>
              <w:t>Count</w:t>
            </w:r>
          </w:p>
        </w:tc>
        <w:tc>
          <w:tcPr>
            <w:tcW w:w="1136" w:type="dxa"/>
            <w:tcBorders>
              <w:top w:val="nil"/>
              <w:left w:val="nil"/>
              <w:bottom w:val="nil"/>
              <w:right w:val="nil"/>
            </w:tcBorders>
            <w:shd w:val="clear" w:color="auto" w:fill="DAE9F8"/>
            <w:noWrap/>
            <w:vAlign w:val="bottom"/>
            <w:hideMark/>
          </w:tcPr>
          <w:p w14:paraId="5D613091" w14:textId="77777777"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Share of Removed Data Center Projects</w:t>
            </w:r>
          </w:p>
        </w:tc>
        <w:tc>
          <w:tcPr>
            <w:tcW w:w="971" w:type="dxa"/>
            <w:tcBorders>
              <w:top w:val="nil"/>
              <w:left w:val="nil"/>
              <w:bottom w:val="nil"/>
            </w:tcBorders>
            <w:shd w:val="clear" w:color="auto" w:fill="DAE9F8"/>
            <w:noWrap/>
            <w:vAlign w:val="bottom"/>
            <w:hideMark/>
          </w:tcPr>
          <w:p w14:paraId="749113CC" w14:textId="77777777"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Share of All Data Center Projects</w:t>
            </w:r>
          </w:p>
        </w:tc>
      </w:tr>
      <w:tr w:rsidR="00D837AE" w:rsidRPr="00D837AE" w14:paraId="430F4EA5" w14:textId="77777777">
        <w:trPr>
          <w:trHeight w:val="290"/>
          <w:jc w:val="center"/>
        </w:trPr>
        <w:tc>
          <w:tcPr>
            <w:tcW w:w="3366" w:type="dxa"/>
            <w:tcBorders>
              <w:top w:val="nil"/>
              <w:left w:val="nil"/>
              <w:bottom w:val="nil"/>
              <w:right w:val="nil"/>
            </w:tcBorders>
            <w:noWrap/>
            <w:vAlign w:val="bottom"/>
            <w:hideMark/>
          </w:tcPr>
          <w:p w14:paraId="3E9EEE5C" w14:textId="77777777"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No GPC Offer Made</w:t>
            </w:r>
          </w:p>
        </w:tc>
        <w:tc>
          <w:tcPr>
            <w:tcW w:w="1616" w:type="dxa"/>
            <w:tcBorders>
              <w:top w:val="nil"/>
              <w:left w:val="nil"/>
              <w:bottom w:val="nil"/>
              <w:right w:val="nil"/>
            </w:tcBorders>
            <w:noWrap/>
            <w:vAlign w:val="bottom"/>
            <w:hideMark/>
          </w:tcPr>
          <w:p w14:paraId="722B1B5B" w14:textId="77777777"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Contracting</w:t>
            </w:r>
          </w:p>
        </w:tc>
        <w:tc>
          <w:tcPr>
            <w:tcW w:w="1128" w:type="dxa"/>
            <w:tcBorders>
              <w:top w:val="nil"/>
              <w:left w:val="nil"/>
              <w:bottom w:val="nil"/>
              <w:right w:val="single" w:sz="4" w:space="0" w:color="auto"/>
            </w:tcBorders>
            <w:noWrap/>
            <w:vAlign w:val="bottom"/>
            <w:hideMark/>
          </w:tcPr>
          <w:p w14:paraId="7AC56D63" w14:textId="77777777"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P2</w:t>
            </w:r>
          </w:p>
        </w:tc>
        <w:tc>
          <w:tcPr>
            <w:tcW w:w="1128" w:type="dxa"/>
            <w:tcBorders>
              <w:top w:val="nil"/>
              <w:left w:val="nil"/>
              <w:bottom w:val="nil"/>
              <w:right w:val="nil"/>
            </w:tcBorders>
            <w:noWrap/>
            <w:vAlign w:val="bottom"/>
            <w:hideMark/>
          </w:tcPr>
          <w:p w14:paraId="03026E92"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9</w:t>
            </w:r>
          </w:p>
        </w:tc>
        <w:tc>
          <w:tcPr>
            <w:tcW w:w="1136" w:type="dxa"/>
            <w:tcBorders>
              <w:top w:val="nil"/>
              <w:left w:val="nil"/>
              <w:bottom w:val="nil"/>
              <w:right w:val="nil"/>
            </w:tcBorders>
            <w:noWrap/>
            <w:vAlign w:val="bottom"/>
            <w:hideMark/>
          </w:tcPr>
          <w:p w14:paraId="0F589768"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27%</w:t>
            </w:r>
          </w:p>
        </w:tc>
        <w:tc>
          <w:tcPr>
            <w:tcW w:w="971" w:type="dxa"/>
            <w:tcBorders>
              <w:top w:val="nil"/>
              <w:left w:val="nil"/>
              <w:bottom w:val="nil"/>
            </w:tcBorders>
            <w:noWrap/>
            <w:vAlign w:val="bottom"/>
            <w:hideMark/>
          </w:tcPr>
          <w:p w14:paraId="54B52562"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7%</w:t>
            </w:r>
          </w:p>
        </w:tc>
      </w:tr>
      <w:tr w:rsidR="00D837AE" w:rsidRPr="00D837AE" w14:paraId="0D82B0DF" w14:textId="77777777">
        <w:trPr>
          <w:trHeight w:val="290"/>
          <w:jc w:val="center"/>
        </w:trPr>
        <w:tc>
          <w:tcPr>
            <w:tcW w:w="3366" w:type="dxa"/>
            <w:tcBorders>
              <w:top w:val="nil"/>
              <w:left w:val="nil"/>
              <w:bottom w:val="nil"/>
              <w:right w:val="nil"/>
            </w:tcBorders>
            <w:noWrap/>
            <w:vAlign w:val="bottom"/>
            <w:hideMark/>
          </w:tcPr>
          <w:p w14:paraId="64A36B59" w14:textId="77777777"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Project Cancelled</w:t>
            </w:r>
          </w:p>
        </w:tc>
        <w:tc>
          <w:tcPr>
            <w:tcW w:w="1616" w:type="dxa"/>
            <w:tcBorders>
              <w:top w:val="nil"/>
              <w:left w:val="nil"/>
              <w:bottom w:val="nil"/>
              <w:right w:val="nil"/>
            </w:tcBorders>
            <w:noWrap/>
            <w:vAlign w:val="bottom"/>
            <w:hideMark/>
          </w:tcPr>
          <w:p w14:paraId="6C5A305D" w14:textId="2F8DC4ED" w:rsidR="00D837AE" w:rsidRPr="00D837AE" w:rsidRDefault="00263297" w:rsidP="00664B3E">
            <w:pPr>
              <w:keepNext/>
              <w:keepLines/>
              <w:jc w:val="left"/>
              <w:rPr>
                <w:rFonts w:ascii="Aptos Narrow" w:eastAsia="Times New Roman" w:hAnsi="Aptos Narrow"/>
                <w:color w:val="000000"/>
              </w:rPr>
            </w:pPr>
            <w:r>
              <w:rPr>
                <w:rFonts w:ascii="Aptos Narrow" w:eastAsia="Times New Roman" w:hAnsi="Aptos Narrow"/>
                <w:color w:val="000000"/>
              </w:rPr>
              <w:t>Strategic</w:t>
            </w:r>
          </w:p>
        </w:tc>
        <w:tc>
          <w:tcPr>
            <w:tcW w:w="1128" w:type="dxa"/>
            <w:tcBorders>
              <w:top w:val="nil"/>
              <w:left w:val="nil"/>
              <w:bottom w:val="nil"/>
              <w:right w:val="single" w:sz="4" w:space="0" w:color="auto"/>
            </w:tcBorders>
            <w:noWrap/>
            <w:vAlign w:val="bottom"/>
            <w:hideMark/>
          </w:tcPr>
          <w:p w14:paraId="5AFE435D" w14:textId="77777777"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P1</w:t>
            </w:r>
          </w:p>
        </w:tc>
        <w:tc>
          <w:tcPr>
            <w:tcW w:w="1128" w:type="dxa"/>
            <w:tcBorders>
              <w:top w:val="nil"/>
              <w:left w:val="nil"/>
              <w:bottom w:val="nil"/>
              <w:right w:val="nil"/>
            </w:tcBorders>
            <w:noWrap/>
            <w:vAlign w:val="bottom"/>
            <w:hideMark/>
          </w:tcPr>
          <w:p w14:paraId="676B300F"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16</w:t>
            </w:r>
          </w:p>
        </w:tc>
        <w:tc>
          <w:tcPr>
            <w:tcW w:w="1136" w:type="dxa"/>
            <w:tcBorders>
              <w:top w:val="nil"/>
              <w:left w:val="nil"/>
              <w:bottom w:val="nil"/>
              <w:right w:val="nil"/>
            </w:tcBorders>
            <w:noWrap/>
            <w:vAlign w:val="bottom"/>
            <w:hideMark/>
          </w:tcPr>
          <w:p w14:paraId="161F9129"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48%</w:t>
            </w:r>
          </w:p>
        </w:tc>
        <w:tc>
          <w:tcPr>
            <w:tcW w:w="971" w:type="dxa"/>
            <w:tcBorders>
              <w:top w:val="nil"/>
              <w:left w:val="nil"/>
              <w:bottom w:val="nil"/>
            </w:tcBorders>
            <w:noWrap/>
            <w:vAlign w:val="bottom"/>
            <w:hideMark/>
          </w:tcPr>
          <w:p w14:paraId="54107FF9"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12%</w:t>
            </w:r>
          </w:p>
        </w:tc>
      </w:tr>
      <w:tr w:rsidR="00D837AE" w:rsidRPr="00D837AE" w14:paraId="0C88BF85" w14:textId="77777777">
        <w:trPr>
          <w:trHeight w:val="290"/>
          <w:jc w:val="center"/>
        </w:trPr>
        <w:tc>
          <w:tcPr>
            <w:tcW w:w="3366" w:type="dxa"/>
            <w:tcBorders>
              <w:top w:val="nil"/>
              <w:left w:val="nil"/>
              <w:bottom w:val="nil"/>
              <w:right w:val="nil"/>
            </w:tcBorders>
            <w:noWrap/>
            <w:vAlign w:val="bottom"/>
            <w:hideMark/>
          </w:tcPr>
          <w:p w14:paraId="62579F56" w14:textId="77777777" w:rsidR="00D837AE" w:rsidRPr="00D837AE" w:rsidRDefault="00D837AE" w:rsidP="00664B3E">
            <w:pPr>
              <w:keepNext/>
              <w:keepLines/>
              <w:jc w:val="left"/>
              <w:rPr>
                <w:rFonts w:ascii="Aptos Narrow" w:eastAsia="Times New Roman" w:hAnsi="Aptos Narrow"/>
                <w:color w:val="000000"/>
              </w:rPr>
            </w:pPr>
            <w:r w:rsidRPr="3F81BAE1">
              <w:rPr>
                <w:rFonts w:ascii="Aptos Narrow" w:eastAsia="Times New Roman" w:hAnsi="Aptos Narrow"/>
                <w:color w:val="000000" w:themeColor="text1"/>
              </w:rPr>
              <w:t>See Note</w:t>
            </w:r>
          </w:p>
        </w:tc>
        <w:tc>
          <w:tcPr>
            <w:tcW w:w="1616" w:type="dxa"/>
            <w:tcBorders>
              <w:top w:val="nil"/>
              <w:left w:val="nil"/>
              <w:bottom w:val="nil"/>
              <w:right w:val="nil"/>
            </w:tcBorders>
            <w:noWrap/>
            <w:vAlign w:val="bottom"/>
            <w:hideMark/>
          </w:tcPr>
          <w:p w14:paraId="56887FDB" w14:textId="77777777"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Project Size</w:t>
            </w:r>
          </w:p>
        </w:tc>
        <w:tc>
          <w:tcPr>
            <w:tcW w:w="1128" w:type="dxa"/>
            <w:tcBorders>
              <w:top w:val="nil"/>
              <w:left w:val="nil"/>
              <w:bottom w:val="nil"/>
              <w:right w:val="single" w:sz="4" w:space="0" w:color="auto"/>
            </w:tcBorders>
            <w:noWrap/>
            <w:vAlign w:val="bottom"/>
            <w:hideMark/>
          </w:tcPr>
          <w:p w14:paraId="4D9DD7B0" w14:textId="59D84CCE" w:rsidR="00D837AE" w:rsidRPr="00D837AE" w:rsidRDefault="00263297" w:rsidP="00664B3E">
            <w:pPr>
              <w:keepNext/>
              <w:keepLines/>
              <w:jc w:val="left"/>
              <w:rPr>
                <w:rFonts w:ascii="Aptos Narrow" w:eastAsia="Times New Roman" w:hAnsi="Aptos Narrow"/>
                <w:color w:val="000000"/>
              </w:rPr>
            </w:pPr>
            <w:r>
              <w:rPr>
                <w:rFonts w:ascii="Aptos Narrow" w:eastAsia="Times New Roman" w:hAnsi="Aptos Narrow"/>
                <w:color w:val="000000"/>
              </w:rPr>
              <w:t>N/A</w:t>
            </w:r>
          </w:p>
        </w:tc>
        <w:tc>
          <w:tcPr>
            <w:tcW w:w="1128" w:type="dxa"/>
            <w:tcBorders>
              <w:top w:val="nil"/>
              <w:left w:val="nil"/>
              <w:bottom w:val="nil"/>
              <w:right w:val="nil"/>
            </w:tcBorders>
            <w:noWrap/>
            <w:vAlign w:val="bottom"/>
            <w:hideMark/>
          </w:tcPr>
          <w:p w14:paraId="3B6860B1"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1</w:t>
            </w:r>
          </w:p>
        </w:tc>
        <w:tc>
          <w:tcPr>
            <w:tcW w:w="1136" w:type="dxa"/>
            <w:tcBorders>
              <w:top w:val="nil"/>
              <w:left w:val="nil"/>
              <w:bottom w:val="nil"/>
              <w:right w:val="nil"/>
            </w:tcBorders>
            <w:noWrap/>
            <w:vAlign w:val="bottom"/>
            <w:hideMark/>
          </w:tcPr>
          <w:p w14:paraId="2E523367"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3%</w:t>
            </w:r>
          </w:p>
        </w:tc>
        <w:tc>
          <w:tcPr>
            <w:tcW w:w="971" w:type="dxa"/>
            <w:tcBorders>
              <w:top w:val="nil"/>
              <w:left w:val="nil"/>
              <w:bottom w:val="nil"/>
            </w:tcBorders>
            <w:noWrap/>
            <w:vAlign w:val="bottom"/>
            <w:hideMark/>
          </w:tcPr>
          <w:p w14:paraId="228ACCBD"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1%</w:t>
            </w:r>
          </w:p>
        </w:tc>
      </w:tr>
      <w:tr w:rsidR="00D837AE" w:rsidRPr="00D837AE" w14:paraId="2BAA4D25" w14:textId="77777777">
        <w:trPr>
          <w:trHeight w:val="290"/>
          <w:jc w:val="center"/>
        </w:trPr>
        <w:tc>
          <w:tcPr>
            <w:tcW w:w="3366" w:type="dxa"/>
            <w:tcBorders>
              <w:top w:val="nil"/>
              <w:left w:val="nil"/>
              <w:bottom w:val="nil"/>
              <w:right w:val="nil"/>
            </w:tcBorders>
            <w:noWrap/>
            <w:vAlign w:val="bottom"/>
            <w:hideMark/>
          </w:tcPr>
          <w:p w14:paraId="5CE359D5" w14:textId="77777777"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Project Delayed Indefinitely</w:t>
            </w:r>
          </w:p>
        </w:tc>
        <w:tc>
          <w:tcPr>
            <w:tcW w:w="1616" w:type="dxa"/>
            <w:tcBorders>
              <w:top w:val="nil"/>
              <w:left w:val="nil"/>
              <w:bottom w:val="nil"/>
              <w:right w:val="nil"/>
            </w:tcBorders>
            <w:noWrap/>
            <w:vAlign w:val="bottom"/>
            <w:hideMark/>
          </w:tcPr>
          <w:p w14:paraId="18FA235D" w14:textId="7B9414FB" w:rsidR="00D837AE" w:rsidRPr="00D837AE" w:rsidRDefault="00263297" w:rsidP="00664B3E">
            <w:pPr>
              <w:keepNext/>
              <w:keepLines/>
              <w:jc w:val="left"/>
              <w:rPr>
                <w:rFonts w:ascii="Aptos Narrow" w:eastAsia="Times New Roman" w:hAnsi="Aptos Narrow"/>
                <w:color w:val="000000"/>
              </w:rPr>
            </w:pPr>
            <w:r>
              <w:rPr>
                <w:rFonts w:ascii="Aptos Narrow" w:eastAsia="Times New Roman" w:hAnsi="Aptos Narrow"/>
                <w:color w:val="000000"/>
              </w:rPr>
              <w:t>Strategic</w:t>
            </w:r>
          </w:p>
        </w:tc>
        <w:tc>
          <w:tcPr>
            <w:tcW w:w="1128" w:type="dxa"/>
            <w:tcBorders>
              <w:top w:val="nil"/>
              <w:left w:val="nil"/>
              <w:bottom w:val="nil"/>
              <w:right w:val="single" w:sz="4" w:space="0" w:color="auto"/>
            </w:tcBorders>
            <w:noWrap/>
            <w:vAlign w:val="bottom"/>
            <w:hideMark/>
          </w:tcPr>
          <w:p w14:paraId="4F2B583D" w14:textId="51790313"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P</w:t>
            </w:r>
            <w:r w:rsidR="00263297">
              <w:rPr>
                <w:rFonts w:ascii="Aptos Narrow" w:eastAsia="Times New Roman" w:hAnsi="Aptos Narrow"/>
                <w:color w:val="000000"/>
              </w:rPr>
              <w:t>1</w:t>
            </w:r>
          </w:p>
        </w:tc>
        <w:tc>
          <w:tcPr>
            <w:tcW w:w="1128" w:type="dxa"/>
            <w:tcBorders>
              <w:top w:val="nil"/>
              <w:left w:val="nil"/>
              <w:bottom w:val="nil"/>
              <w:right w:val="nil"/>
            </w:tcBorders>
            <w:noWrap/>
            <w:vAlign w:val="bottom"/>
            <w:hideMark/>
          </w:tcPr>
          <w:p w14:paraId="4CE4F181"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4</w:t>
            </w:r>
          </w:p>
        </w:tc>
        <w:tc>
          <w:tcPr>
            <w:tcW w:w="1136" w:type="dxa"/>
            <w:tcBorders>
              <w:top w:val="nil"/>
              <w:left w:val="nil"/>
              <w:bottom w:val="nil"/>
              <w:right w:val="nil"/>
            </w:tcBorders>
            <w:noWrap/>
            <w:vAlign w:val="bottom"/>
            <w:hideMark/>
          </w:tcPr>
          <w:p w14:paraId="0611B76F"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12%</w:t>
            </w:r>
          </w:p>
        </w:tc>
        <w:tc>
          <w:tcPr>
            <w:tcW w:w="971" w:type="dxa"/>
            <w:tcBorders>
              <w:top w:val="nil"/>
              <w:left w:val="nil"/>
              <w:bottom w:val="nil"/>
            </w:tcBorders>
            <w:noWrap/>
            <w:vAlign w:val="bottom"/>
            <w:hideMark/>
          </w:tcPr>
          <w:p w14:paraId="70B6E16E" w14:textId="77777777" w:rsidR="00D837AE" w:rsidRPr="00D837AE" w:rsidRDefault="00D837AE" w:rsidP="00664B3E">
            <w:pPr>
              <w:keepNext/>
              <w:keepLines/>
              <w:jc w:val="right"/>
              <w:rPr>
                <w:rFonts w:ascii="Aptos Narrow" w:eastAsia="Times New Roman" w:hAnsi="Aptos Narrow"/>
                <w:color w:val="000000"/>
              </w:rPr>
            </w:pPr>
            <w:r w:rsidRPr="00D837AE">
              <w:rPr>
                <w:rFonts w:ascii="Aptos Narrow" w:eastAsia="Times New Roman" w:hAnsi="Aptos Narrow"/>
                <w:color w:val="000000"/>
              </w:rPr>
              <w:t>3%</w:t>
            </w:r>
          </w:p>
        </w:tc>
      </w:tr>
      <w:tr w:rsidR="00D837AE" w:rsidRPr="00D837AE" w14:paraId="7CE1C446" w14:textId="77777777">
        <w:trPr>
          <w:trHeight w:val="290"/>
          <w:jc w:val="center"/>
        </w:trPr>
        <w:tc>
          <w:tcPr>
            <w:tcW w:w="3366" w:type="dxa"/>
            <w:tcBorders>
              <w:top w:val="nil"/>
              <w:left w:val="nil"/>
              <w:bottom w:val="nil"/>
              <w:right w:val="nil"/>
            </w:tcBorders>
            <w:noWrap/>
            <w:vAlign w:val="bottom"/>
            <w:hideMark/>
          </w:tcPr>
          <w:p w14:paraId="3888AA8F" w14:textId="7199DFE9" w:rsidR="00D837AE" w:rsidRPr="00D837AE" w:rsidRDefault="71C180A8" w:rsidP="00664B3E">
            <w:pPr>
              <w:keepNext/>
              <w:keepLines/>
              <w:jc w:val="left"/>
              <w:rPr>
                <w:rFonts w:ascii="Aptos Narrow" w:eastAsia="Times New Roman" w:hAnsi="Aptos Narrow"/>
                <w:color w:val="000000"/>
              </w:rPr>
            </w:pPr>
            <w:r w:rsidRPr="76A95ADB">
              <w:rPr>
                <w:rFonts w:ascii="Aptos Narrow" w:eastAsia="Times New Roman" w:hAnsi="Aptos Narrow"/>
                <w:color w:val="000000" w:themeColor="text1"/>
              </w:rPr>
              <w:t xml:space="preserve">Falls </w:t>
            </w:r>
            <w:r w:rsidRPr="65BE35A8">
              <w:rPr>
                <w:rFonts w:ascii="Aptos Narrow" w:eastAsia="Times New Roman" w:hAnsi="Aptos Narrow"/>
                <w:color w:val="000000" w:themeColor="text1"/>
              </w:rPr>
              <w:t>below Large Load Threshold</w:t>
            </w:r>
          </w:p>
        </w:tc>
        <w:tc>
          <w:tcPr>
            <w:tcW w:w="1616" w:type="dxa"/>
            <w:tcBorders>
              <w:top w:val="nil"/>
              <w:left w:val="nil"/>
              <w:bottom w:val="nil"/>
              <w:right w:val="nil"/>
            </w:tcBorders>
            <w:noWrap/>
            <w:vAlign w:val="bottom"/>
            <w:hideMark/>
          </w:tcPr>
          <w:p w14:paraId="6E04049E" w14:textId="77777777" w:rsidR="00D837AE" w:rsidRPr="00D837AE" w:rsidRDefault="00D837AE" w:rsidP="00664B3E">
            <w:pPr>
              <w:keepNext/>
              <w:keepLines/>
              <w:jc w:val="left"/>
              <w:rPr>
                <w:rFonts w:ascii="Aptos Narrow" w:eastAsia="Times New Roman" w:hAnsi="Aptos Narrow"/>
                <w:color w:val="000000"/>
              </w:rPr>
            </w:pPr>
            <w:r w:rsidRPr="00D837AE">
              <w:rPr>
                <w:rFonts w:ascii="Aptos Narrow" w:eastAsia="Times New Roman" w:hAnsi="Aptos Narrow"/>
                <w:color w:val="000000"/>
              </w:rPr>
              <w:t>Project Size</w:t>
            </w:r>
          </w:p>
        </w:tc>
        <w:tc>
          <w:tcPr>
            <w:tcW w:w="1128" w:type="dxa"/>
            <w:tcBorders>
              <w:top w:val="nil"/>
              <w:left w:val="nil"/>
              <w:bottom w:val="nil"/>
              <w:right w:val="single" w:sz="4" w:space="0" w:color="auto"/>
            </w:tcBorders>
            <w:noWrap/>
            <w:vAlign w:val="bottom"/>
            <w:hideMark/>
          </w:tcPr>
          <w:p w14:paraId="2B3204FB" w14:textId="12094C26" w:rsidR="00D837AE" w:rsidRPr="00D837AE" w:rsidRDefault="00263297" w:rsidP="00664B3E">
            <w:pPr>
              <w:keepNext/>
              <w:keepLines/>
              <w:jc w:val="left"/>
              <w:rPr>
                <w:rFonts w:ascii="Aptos Narrow" w:eastAsia="Times New Roman" w:hAnsi="Aptos Narrow"/>
                <w:color w:val="000000"/>
              </w:rPr>
            </w:pPr>
            <w:r>
              <w:rPr>
                <w:rFonts w:ascii="Aptos Narrow" w:eastAsia="Times New Roman" w:hAnsi="Aptos Narrow"/>
                <w:color w:val="000000"/>
              </w:rPr>
              <w:t>N/A</w:t>
            </w:r>
          </w:p>
        </w:tc>
        <w:tc>
          <w:tcPr>
            <w:tcW w:w="1128" w:type="dxa"/>
            <w:tcBorders>
              <w:top w:val="nil"/>
              <w:left w:val="nil"/>
              <w:bottom w:val="nil"/>
              <w:right w:val="nil"/>
            </w:tcBorders>
            <w:noWrap/>
            <w:vAlign w:val="bottom"/>
            <w:hideMark/>
          </w:tcPr>
          <w:p w14:paraId="38F5D418" w14:textId="372FF258" w:rsidR="00D837AE" w:rsidRPr="00D837AE" w:rsidRDefault="3A4E3CDD" w:rsidP="00664B3E">
            <w:pPr>
              <w:keepNext/>
              <w:keepLines/>
              <w:jc w:val="right"/>
              <w:rPr>
                <w:rFonts w:ascii="Aptos Narrow" w:eastAsia="Times New Roman" w:hAnsi="Aptos Narrow"/>
                <w:color w:val="000000"/>
              </w:rPr>
            </w:pPr>
            <w:r w:rsidRPr="0D1D23C1">
              <w:rPr>
                <w:rFonts w:ascii="Aptos Narrow" w:eastAsia="Times New Roman" w:hAnsi="Aptos Narrow"/>
                <w:color w:val="000000" w:themeColor="text1"/>
              </w:rPr>
              <w:t>3</w:t>
            </w:r>
          </w:p>
        </w:tc>
        <w:tc>
          <w:tcPr>
            <w:tcW w:w="1136" w:type="dxa"/>
            <w:tcBorders>
              <w:top w:val="nil"/>
              <w:left w:val="nil"/>
              <w:bottom w:val="nil"/>
              <w:right w:val="nil"/>
            </w:tcBorders>
            <w:noWrap/>
            <w:vAlign w:val="bottom"/>
            <w:hideMark/>
          </w:tcPr>
          <w:p w14:paraId="49D67E6D" w14:textId="4570E7D2" w:rsidR="00D837AE" w:rsidRPr="00D837AE" w:rsidRDefault="4A2AABB8" w:rsidP="00664B3E">
            <w:pPr>
              <w:keepNext/>
              <w:keepLines/>
              <w:jc w:val="right"/>
              <w:rPr>
                <w:rFonts w:ascii="Aptos Narrow" w:eastAsia="Times New Roman" w:hAnsi="Aptos Narrow"/>
                <w:color w:val="000000"/>
              </w:rPr>
            </w:pPr>
            <w:r w:rsidRPr="0D1D23C1">
              <w:rPr>
                <w:rFonts w:ascii="Aptos Narrow" w:eastAsia="Times New Roman" w:hAnsi="Aptos Narrow"/>
                <w:color w:val="000000" w:themeColor="text1"/>
              </w:rPr>
              <w:t>9</w:t>
            </w:r>
            <w:r w:rsidR="00D837AE" w:rsidRPr="0D1D23C1">
              <w:rPr>
                <w:rFonts w:ascii="Aptos Narrow" w:eastAsia="Times New Roman" w:hAnsi="Aptos Narrow"/>
                <w:color w:val="000000" w:themeColor="text1"/>
              </w:rPr>
              <w:t>%</w:t>
            </w:r>
          </w:p>
        </w:tc>
        <w:tc>
          <w:tcPr>
            <w:tcW w:w="971" w:type="dxa"/>
            <w:tcBorders>
              <w:top w:val="nil"/>
              <w:left w:val="nil"/>
              <w:bottom w:val="nil"/>
            </w:tcBorders>
            <w:noWrap/>
            <w:vAlign w:val="bottom"/>
            <w:hideMark/>
          </w:tcPr>
          <w:p w14:paraId="44BCF00B" w14:textId="177A3291" w:rsidR="00D837AE" w:rsidRPr="00D837AE" w:rsidRDefault="31F8FCA5" w:rsidP="00664B3E">
            <w:pPr>
              <w:keepNext/>
              <w:keepLines/>
              <w:jc w:val="right"/>
              <w:rPr>
                <w:rFonts w:ascii="Aptos Narrow" w:eastAsia="Times New Roman" w:hAnsi="Aptos Narrow"/>
                <w:color w:val="000000"/>
              </w:rPr>
            </w:pPr>
            <w:r w:rsidRPr="71A69BC0">
              <w:rPr>
                <w:rFonts w:ascii="Aptos Narrow" w:eastAsia="Times New Roman" w:hAnsi="Aptos Narrow"/>
                <w:color w:val="000000" w:themeColor="text1"/>
              </w:rPr>
              <w:t>2</w:t>
            </w:r>
            <w:r w:rsidR="00D837AE" w:rsidRPr="0D1D23C1">
              <w:rPr>
                <w:rFonts w:ascii="Aptos Narrow" w:eastAsia="Times New Roman" w:hAnsi="Aptos Narrow"/>
                <w:color w:val="000000" w:themeColor="text1"/>
              </w:rPr>
              <w:t>%</w:t>
            </w:r>
          </w:p>
        </w:tc>
      </w:tr>
      <w:tr w:rsidR="00D837AE" w:rsidRPr="00D837AE" w14:paraId="22677CE7" w14:textId="77777777" w:rsidTr="2EC6D3D4">
        <w:trPr>
          <w:trHeight w:val="290"/>
          <w:jc w:val="center"/>
        </w:trPr>
        <w:tc>
          <w:tcPr>
            <w:tcW w:w="3366" w:type="dxa"/>
            <w:tcBorders>
              <w:top w:val="single" w:sz="4" w:space="0" w:color="auto"/>
              <w:left w:val="nil"/>
              <w:bottom w:val="nil"/>
              <w:right w:val="nil"/>
            </w:tcBorders>
            <w:shd w:val="clear" w:color="auto" w:fill="F2F2F2" w:themeFill="background1" w:themeFillShade="F2"/>
            <w:noWrap/>
            <w:vAlign w:val="bottom"/>
            <w:hideMark/>
          </w:tcPr>
          <w:p w14:paraId="70BC0180" w14:textId="3C787B98"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Total</w:t>
            </w:r>
            <w:r w:rsidR="00EB11E3">
              <w:rPr>
                <w:rFonts w:ascii="Aptos Narrow" w:eastAsia="Times New Roman" w:hAnsi="Aptos Narrow"/>
                <w:b/>
                <w:bCs/>
                <w:color w:val="000000"/>
              </w:rPr>
              <w:t xml:space="preserve"> Removed</w:t>
            </w:r>
          </w:p>
        </w:tc>
        <w:tc>
          <w:tcPr>
            <w:tcW w:w="1616" w:type="dxa"/>
            <w:tcBorders>
              <w:top w:val="single" w:sz="4" w:space="0" w:color="auto"/>
              <w:left w:val="nil"/>
              <w:bottom w:val="nil"/>
              <w:right w:val="nil"/>
            </w:tcBorders>
            <w:shd w:val="clear" w:color="auto" w:fill="F2F2F2" w:themeFill="background1" w:themeFillShade="F2"/>
            <w:noWrap/>
            <w:vAlign w:val="bottom"/>
            <w:hideMark/>
          </w:tcPr>
          <w:p w14:paraId="7792803C" w14:textId="77777777"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 </w:t>
            </w:r>
          </w:p>
        </w:tc>
        <w:tc>
          <w:tcPr>
            <w:tcW w:w="1128" w:type="dxa"/>
            <w:tcBorders>
              <w:top w:val="single" w:sz="4" w:space="0" w:color="auto"/>
              <w:left w:val="nil"/>
              <w:bottom w:val="nil"/>
              <w:right w:val="single" w:sz="4" w:space="0" w:color="auto"/>
            </w:tcBorders>
            <w:shd w:val="clear" w:color="auto" w:fill="F2F2F2" w:themeFill="background1" w:themeFillShade="F2"/>
            <w:noWrap/>
            <w:vAlign w:val="bottom"/>
            <w:hideMark/>
          </w:tcPr>
          <w:p w14:paraId="4A4E7E00" w14:textId="77777777"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 </w:t>
            </w:r>
          </w:p>
        </w:tc>
        <w:tc>
          <w:tcPr>
            <w:tcW w:w="1128" w:type="dxa"/>
            <w:tcBorders>
              <w:top w:val="single" w:sz="4" w:space="0" w:color="auto"/>
              <w:left w:val="nil"/>
              <w:bottom w:val="nil"/>
              <w:right w:val="nil"/>
            </w:tcBorders>
            <w:shd w:val="clear" w:color="auto" w:fill="F2F2F2" w:themeFill="background1" w:themeFillShade="F2"/>
            <w:noWrap/>
            <w:vAlign w:val="bottom"/>
            <w:hideMark/>
          </w:tcPr>
          <w:p w14:paraId="404497BF" w14:textId="77777777" w:rsidR="00D837AE" w:rsidRPr="00D837AE" w:rsidRDefault="00D837AE" w:rsidP="00664B3E">
            <w:pPr>
              <w:keepNext/>
              <w:keepLines/>
              <w:jc w:val="right"/>
              <w:rPr>
                <w:rFonts w:ascii="Aptos Narrow" w:eastAsia="Times New Roman" w:hAnsi="Aptos Narrow"/>
                <w:b/>
                <w:bCs/>
                <w:color w:val="000000"/>
              </w:rPr>
            </w:pPr>
            <w:r w:rsidRPr="00D837AE">
              <w:rPr>
                <w:rFonts w:ascii="Aptos Narrow" w:eastAsia="Times New Roman" w:hAnsi="Aptos Narrow"/>
                <w:b/>
                <w:bCs/>
                <w:color w:val="000000"/>
              </w:rPr>
              <w:t>33</w:t>
            </w:r>
          </w:p>
        </w:tc>
        <w:tc>
          <w:tcPr>
            <w:tcW w:w="1136" w:type="dxa"/>
            <w:tcBorders>
              <w:top w:val="single" w:sz="4" w:space="0" w:color="auto"/>
              <w:left w:val="nil"/>
              <w:bottom w:val="nil"/>
              <w:right w:val="nil"/>
            </w:tcBorders>
            <w:shd w:val="clear" w:color="auto" w:fill="F2F2F2" w:themeFill="background1" w:themeFillShade="F2"/>
            <w:noWrap/>
            <w:vAlign w:val="bottom"/>
            <w:hideMark/>
          </w:tcPr>
          <w:p w14:paraId="227E5ABF" w14:textId="77777777" w:rsidR="00D837AE" w:rsidRPr="00D837AE" w:rsidRDefault="00D837AE" w:rsidP="00664B3E">
            <w:pPr>
              <w:keepNext/>
              <w:keepLines/>
              <w:jc w:val="right"/>
              <w:rPr>
                <w:rFonts w:ascii="Aptos Narrow" w:eastAsia="Times New Roman" w:hAnsi="Aptos Narrow"/>
                <w:b/>
                <w:bCs/>
                <w:color w:val="000000"/>
              </w:rPr>
            </w:pPr>
            <w:r w:rsidRPr="00D837AE">
              <w:rPr>
                <w:rFonts w:ascii="Aptos Narrow" w:eastAsia="Times New Roman" w:hAnsi="Aptos Narrow"/>
                <w:b/>
                <w:bCs/>
                <w:color w:val="000000"/>
              </w:rPr>
              <w:t>100%</w:t>
            </w:r>
          </w:p>
        </w:tc>
        <w:tc>
          <w:tcPr>
            <w:tcW w:w="971" w:type="dxa"/>
            <w:tcBorders>
              <w:top w:val="single" w:sz="4" w:space="0" w:color="auto"/>
              <w:left w:val="nil"/>
              <w:bottom w:val="single" w:sz="4" w:space="0" w:color="auto"/>
            </w:tcBorders>
            <w:shd w:val="clear" w:color="auto" w:fill="F2F2F2" w:themeFill="background1" w:themeFillShade="F2"/>
            <w:noWrap/>
            <w:vAlign w:val="bottom"/>
            <w:hideMark/>
          </w:tcPr>
          <w:p w14:paraId="646C1B7D" w14:textId="682F0516" w:rsidR="00D837AE" w:rsidRPr="00D837AE" w:rsidRDefault="244FF9BA" w:rsidP="00664B3E">
            <w:pPr>
              <w:keepNext/>
              <w:keepLines/>
              <w:jc w:val="right"/>
              <w:rPr>
                <w:rFonts w:ascii="Aptos Narrow" w:eastAsia="Times New Roman" w:hAnsi="Aptos Narrow"/>
                <w:b/>
                <w:bCs/>
                <w:color w:val="000000"/>
              </w:rPr>
            </w:pPr>
            <w:r w:rsidRPr="5CD7B4D1">
              <w:rPr>
                <w:rFonts w:ascii="Aptos Narrow" w:eastAsia="Times New Roman" w:hAnsi="Aptos Narrow"/>
                <w:b/>
                <w:bCs/>
                <w:color w:val="000000" w:themeColor="text1"/>
              </w:rPr>
              <w:t>24</w:t>
            </w:r>
            <w:r w:rsidR="00D837AE" w:rsidRPr="2EC6D3D4">
              <w:rPr>
                <w:rFonts w:ascii="Aptos Narrow" w:eastAsia="Times New Roman" w:hAnsi="Aptos Narrow"/>
                <w:b/>
                <w:color w:val="000000" w:themeColor="text1"/>
              </w:rPr>
              <w:t>%</w:t>
            </w:r>
          </w:p>
        </w:tc>
      </w:tr>
      <w:tr w:rsidR="00664B3E" w:rsidRPr="00D837AE" w14:paraId="4129CFC2" w14:textId="77777777" w:rsidTr="2EC6D3D4">
        <w:trPr>
          <w:trHeight w:val="290"/>
          <w:jc w:val="center"/>
        </w:trPr>
        <w:tc>
          <w:tcPr>
            <w:tcW w:w="4982" w:type="dxa"/>
            <w:gridSpan w:val="2"/>
            <w:tcBorders>
              <w:top w:val="single" w:sz="4" w:space="0" w:color="auto"/>
              <w:left w:val="nil"/>
              <w:bottom w:val="nil"/>
              <w:right w:val="nil"/>
            </w:tcBorders>
            <w:shd w:val="clear" w:color="auto" w:fill="DAE9F8"/>
            <w:noWrap/>
            <w:vAlign w:val="bottom"/>
            <w:hideMark/>
          </w:tcPr>
          <w:p w14:paraId="772F725F" w14:textId="77777777"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All Data Center Projects Considered in LRM</w:t>
            </w:r>
          </w:p>
        </w:tc>
        <w:tc>
          <w:tcPr>
            <w:tcW w:w="1128" w:type="dxa"/>
            <w:tcBorders>
              <w:top w:val="single" w:sz="4" w:space="0" w:color="auto"/>
              <w:left w:val="nil"/>
              <w:bottom w:val="nil"/>
              <w:right w:val="single" w:sz="4" w:space="0" w:color="auto"/>
            </w:tcBorders>
            <w:shd w:val="clear" w:color="auto" w:fill="DAE9F8"/>
            <w:noWrap/>
            <w:vAlign w:val="bottom"/>
            <w:hideMark/>
          </w:tcPr>
          <w:p w14:paraId="72439926" w14:textId="77777777"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 </w:t>
            </w:r>
          </w:p>
        </w:tc>
        <w:tc>
          <w:tcPr>
            <w:tcW w:w="1128" w:type="dxa"/>
            <w:tcBorders>
              <w:top w:val="single" w:sz="4" w:space="0" w:color="auto"/>
              <w:left w:val="nil"/>
              <w:bottom w:val="nil"/>
              <w:right w:val="nil"/>
            </w:tcBorders>
            <w:shd w:val="clear" w:color="auto" w:fill="DAE9F8"/>
            <w:noWrap/>
            <w:vAlign w:val="bottom"/>
            <w:hideMark/>
          </w:tcPr>
          <w:p w14:paraId="265743B6" w14:textId="77777777" w:rsidR="00D837AE" w:rsidRPr="00D837AE" w:rsidRDefault="00D837AE" w:rsidP="00664B3E">
            <w:pPr>
              <w:keepNext/>
              <w:keepLines/>
              <w:jc w:val="right"/>
              <w:rPr>
                <w:rFonts w:ascii="Aptos Narrow" w:eastAsia="Times New Roman" w:hAnsi="Aptos Narrow"/>
                <w:b/>
                <w:bCs/>
                <w:color w:val="000000"/>
              </w:rPr>
            </w:pPr>
            <w:r w:rsidRPr="00D837AE">
              <w:rPr>
                <w:rFonts w:ascii="Aptos Narrow" w:eastAsia="Times New Roman" w:hAnsi="Aptos Narrow"/>
                <w:b/>
                <w:bCs/>
                <w:color w:val="000000"/>
              </w:rPr>
              <w:t>135</w:t>
            </w:r>
          </w:p>
        </w:tc>
        <w:tc>
          <w:tcPr>
            <w:tcW w:w="1136" w:type="dxa"/>
            <w:tcBorders>
              <w:top w:val="single" w:sz="4" w:space="0" w:color="auto"/>
              <w:left w:val="nil"/>
              <w:bottom w:val="nil"/>
              <w:right w:val="nil"/>
            </w:tcBorders>
            <w:shd w:val="clear" w:color="auto" w:fill="DAE9F8"/>
            <w:noWrap/>
            <w:vAlign w:val="bottom"/>
            <w:hideMark/>
          </w:tcPr>
          <w:p w14:paraId="7CCD6F29" w14:textId="77777777" w:rsidR="00D837AE" w:rsidRPr="00D837AE" w:rsidRDefault="00D837AE" w:rsidP="00664B3E">
            <w:pPr>
              <w:keepNext/>
              <w:keepLines/>
              <w:jc w:val="left"/>
              <w:rPr>
                <w:rFonts w:ascii="Aptos Narrow" w:eastAsia="Times New Roman" w:hAnsi="Aptos Narrow"/>
                <w:b/>
                <w:bCs/>
                <w:color w:val="000000"/>
              </w:rPr>
            </w:pPr>
            <w:r w:rsidRPr="00D837AE">
              <w:rPr>
                <w:rFonts w:ascii="Aptos Narrow" w:eastAsia="Times New Roman" w:hAnsi="Aptos Narrow"/>
                <w:b/>
                <w:bCs/>
                <w:color w:val="000000"/>
              </w:rPr>
              <w:t> </w:t>
            </w:r>
          </w:p>
        </w:tc>
        <w:tc>
          <w:tcPr>
            <w:tcW w:w="971" w:type="dxa"/>
            <w:tcBorders>
              <w:top w:val="single" w:sz="4" w:space="0" w:color="auto"/>
              <w:left w:val="nil"/>
              <w:bottom w:val="nil"/>
              <w:right w:val="nil"/>
            </w:tcBorders>
            <w:shd w:val="clear" w:color="auto" w:fill="DAE9F8"/>
            <w:noWrap/>
            <w:vAlign w:val="bottom"/>
            <w:hideMark/>
          </w:tcPr>
          <w:p w14:paraId="702E741F" w14:textId="77777777" w:rsidR="00D837AE" w:rsidRPr="00D837AE" w:rsidRDefault="00D837AE" w:rsidP="00664B3E">
            <w:pPr>
              <w:keepNext/>
              <w:keepLines/>
              <w:jc w:val="right"/>
              <w:rPr>
                <w:rFonts w:ascii="Aptos Narrow" w:eastAsia="Times New Roman" w:hAnsi="Aptos Narrow"/>
                <w:b/>
                <w:bCs/>
                <w:color w:val="000000"/>
              </w:rPr>
            </w:pPr>
            <w:r w:rsidRPr="00D837AE">
              <w:rPr>
                <w:rFonts w:ascii="Aptos Narrow" w:eastAsia="Times New Roman" w:hAnsi="Aptos Narrow"/>
                <w:b/>
                <w:bCs/>
                <w:color w:val="000000"/>
              </w:rPr>
              <w:t> </w:t>
            </w:r>
            <w:r>
              <w:rPr>
                <w:rFonts w:ascii="Aptos Narrow" w:eastAsia="Times New Roman" w:hAnsi="Aptos Narrow"/>
                <w:b/>
                <w:bCs/>
                <w:color w:val="000000"/>
              </w:rPr>
              <w:t>100%</w:t>
            </w:r>
          </w:p>
        </w:tc>
      </w:tr>
    </w:tbl>
    <w:p w14:paraId="7E11AD12" w14:textId="6EE2F8ED" w:rsidR="00C268FD" w:rsidRPr="00CE6B3E" w:rsidRDefault="00D837AE" w:rsidP="0040134E">
      <w:pPr>
        <w:pStyle w:val="Answers"/>
        <w:spacing w:before="240"/>
      </w:pPr>
      <w:r>
        <w:tab/>
      </w:r>
      <w:r>
        <w:tab/>
        <w:t xml:space="preserve">Acknowledging that the “P1” project success </w:t>
      </w:r>
      <w:r w:rsidR="00664B3E">
        <w:t xml:space="preserve">assumption </w:t>
      </w:r>
      <w:r>
        <w:t xml:space="preserve">reflects a project’s propensity to select the state of Georgia to pursue a project, a </w:t>
      </w:r>
      <w:r w:rsidR="00E30291">
        <w:t>“</w:t>
      </w:r>
      <w:r>
        <w:t xml:space="preserve">Project Cancellation” is best captured by the P1 variable. </w:t>
      </w:r>
      <w:r w:rsidR="00263297">
        <w:t xml:space="preserve">A prospective customer’s strategic decision to stop pursuing a project in Georgia, whether through a cancellation or indefinite delay are not appropriately captured in the P2 or P3 variables. </w:t>
      </w:r>
      <w:r w:rsidR="00C268FD">
        <w:tab/>
      </w:r>
    </w:p>
    <w:p w14:paraId="4A0969A7" w14:textId="3215F58F" w:rsidR="00DA3CE7" w:rsidRDefault="00CB287D" w:rsidP="00CE6B3E">
      <w:pPr>
        <w:pStyle w:val="Question"/>
      </w:pPr>
      <w:r>
        <w:t xml:space="preserve"> </w:t>
      </w:r>
      <w:r w:rsidR="00CE6B3E">
        <w:t>Q.</w:t>
      </w:r>
      <w:r w:rsidR="00CE6B3E">
        <w:tab/>
        <w:t>Please summarize your conclusions regarding the LRM materializing lower than forecasted by the company.</w:t>
      </w:r>
    </w:p>
    <w:p w14:paraId="1CBD875E" w14:textId="57E23033" w:rsidR="00CE6B3E" w:rsidRPr="00324AB1" w:rsidRDefault="00CE6B3E" w:rsidP="00CE6B3E">
      <w:pPr>
        <w:pStyle w:val="Answers"/>
      </w:pPr>
      <w:r>
        <w:t>A.</w:t>
      </w:r>
      <w:r>
        <w:tab/>
        <w:t xml:space="preserve">The Company’s large load forecast is materializing lower than anticipated. This </w:t>
      </w:r>
      <w:r w:rsidR="00E30291">
        <w:t>diminished materialization is due to</w:t>
      </w:r>
      <w:r>
        <w:t xml:space="preserve"> </w:t>
      </w:r>
      <w:r w:rsidR="00836792">
        <w:t>D</w:t>
      </w:r>
      <w:r>
        <w:t xml:space="preserve">ata </w:t>
      </w:r>
      <w:r w:rsidR="00836792">
        <w:t>C</w:t>
      </w:r>
      <w:r>
        <w:t>enter customers failing to materialize as expected</w:t>
      </w:r>
      <w:r w:rsidR="00E30291">
        <w:t>,</w:t>
      </w:r>
      <w:r w:rsidR="00263297">
        <w:t xml:space="preserve"> driven primarily </w:t>
      </w:r>
      <w:r w:rsidR="0040134E">
        <w:t>by</w:t>
      </w:r>
      <w:r w:rsidR="00263297">
        <w:t xml:space="preserve"> lower levels of load materialization and project removals.</w:t>
      </w:r>
      <w:r>
        <w:t xml:space="preserve"> It is clear that the LRM needs further modifications to improve its performance, with a specific focus on the Data Center segment.</w:t>
      </w:r>
    </w:p>
    <w:p w14:paraId="1260A5B1" w14:textId="040BBE3C" w:rsidR="007D3E23" w:rsidRPr="00A17632" w:rsidRDefault="00A17632" w:rsidP="007D3E23">
      <w:pPr>
        <w:pStyle w:val="Heading1"/>
        <w:rPr>
          <w:b w:val="0"/>
          <w:bCs w:val="0"/>
        </w:rPr>
      </w:pPr>
      <w:r>
        <w:lastRenderedPageBreak/>
        <w:tab/>
      </w:r>
      <w:bookmarkStart w:id="47" w:name="_Toc213766867"/>
      <w:r w:rsidRPr="00055C2D">
        <w:t>The</w:t>
      </w:r>
      <w:bookmarkEnd w:id="37"/>
      <w:r w:rsidRPr="00055C2D">
        <w:t xml:space="preserve"> B2026 load forecast uses incorrect load ramps for certain customers in the load realization model, over-estimating load growth.</w:t>
      </w:r>
      <w:bookmarkEnd w:id="47"/>
      <w:r w:rsidRPr="00055C2D">
        <w:t xml:space="preserve"> </w:t>
      </w:r>
    </w:p>
    <w:p w14:paraId="5B832DA7" w14:textId="4BD57D6C" w:rsidR="008947F4" w:rsidRDefault="00A17632" w:rsidP="00A17632">
      <w:pPr>
        <w:pStyle w:val="Question"/>
      </w:pPr>
      <w:r>
        <w:t>Q.</w:t>
      </w:r>
      <w:r>
        <w:tab/>
      </w:r>
      <w:r w:rsidR="00CE6B3E">
        <w:t>Are there any clear errors in the company’s LRM?</w:t>
      </w:r>
    </w:p>
    <w:p w14:paraId="36C326D7" w14:textId="37F6801F" w:rsidR="00CE6B3E" w:rsidRDefault="00324AB1" w:rsidP="0079341D">
      <w:pPr>
        <w:pStyle w:val="Answers"/>
      </w:pPr>
      <w:r>
        <w:t>A.</w:t>
      </w:r>
      <w:r>
        <w:tab/>
      </w:r>
      <w:r w:rsidR="00CE6B3E">
        <w:t>Yes. Staff has identified th</w:t>
      </w:r>
      <w:r w:rsidR="0079341D">
        <w:t>at c</w:t>
      </w:r>
      <w:r w:rsidR="00CE6B3E">
        <w:t xml:space="preserve">ertain projects in the B2026 LRM do not reflect the load ramps specified in their contracts, resulting in an </w:t>
      </w:r>
      <w:r w:rsidR="00EB11E3">
        <w:t>overestimation</w:t>
      </w:r>
      <w:r w:rsidR="00CE6B3E">
        <w:t xml:space="preserve"> of load.</w:t>
      </w:r>
      <w:r w:rsidR="00CE6B3E">
        <w:rPr>
          <w:rStyle w:val="FootnoteReference"/>
        </w:rPr>
        <w:footnoteReference w:id="53"/>
      </w:r>
      <w:r w:rsidR="0079341D">
        <w:t xml:space="preserve"> </w:t>
      </w:r>
      <w:r w:rsidR="00083E9E">
        <w:t xml:space="preserve">These errors are discussed more thoroughly in Section </w:t>
      </w:r>
      <w:r w:rsidR="00083E9E">
        <w:fldChar w:fldCharType="begin"/>
      </w:r>
      <w:r w:rsidR="00083E9E">
        <w:instrText xml:space="preserve"> REF _Ref212818075 \r \h </w:instrText>
      </w:r>
      <w:r w:rsidR="00083E9E">
        <w:fldChar w:fldCharType="separate"/>
      </w:r>
      <w:r w:rsidR="00220F39">
        <w:t>VIII</w:t>
      </w:r>
      <w:r w:rsidR="00083E9E">
        <w:fldChar w:fldCharType="end"/>
      </w:r>
      <w:r w:rsidR="00083E9E">
        <w:t>.</w:t>
      </w:r>
    </w:p>
    <w:p w14:paraId="5B5AC380" w14:textId="18F1329E" w:rsidR="0079341D" w:rsidRDefault="0079341D" w:rsidP="0079341D">
      <w:pPr>
        <w:pStyle w:val="Question"/>
      </w:pPr>
      <w:r>
        <w:t>Q.</w:t>
      </w:r>
      <w:r>
        <w:tab/>
        <w:t>Do you have any conclusions regarding the errors in the LRM?</w:t>
      </w:r>
    </w:p>
    <w:p w14:paraId="7929629A" w14:textId="5143F861" w:rsidR="00324AB1" w:rsidRDefault="0079341D" w:rsidP="0079341D">
      <w:pPr>
        <w:pStyle w:val="Answers"/>
      </w:pPr>
      <w:r>
        <w:t>A.</w:t>
      </w:r>
      <w:r>
        <w:tab/>
        <w:t xml:space="preserve">Yes. The Company’s load forecast should reflect the most recent information available, including the accurate load ramps of all </w:t>
      </w:r>
      <w:r w:rsidR="00836792">
        <w:t>L</w:t>
      </w:r>
      <w:r>
        <w:t xml:space="preserve">arge </w:t>
      </w:r>
      <w:r w:rsidR="00836792">
        <w:t>L</w:t>
      </w:r>
      <w:r>
        <w:t>oad customers. To this end, the Company should update the LRM to accurately reflect this information.</w:t>
      </w:r>
    </w:p>
    <w:p w14:paraId="781D0C5B" w14:textId="59089884" w:rsidR="00AA0432" w:rsidRDefault="00026E8C" w:rsidP="00BA596E">
      <w:pPr>
        <w:pStyle w:val="Heading1"/>
        <w:ind w:left="720" w:hanging="720"/>
      </w:pPr>
      <w:bookmarkStart w:id="48" w:name="_Toc213766868"/>
      <w:r>
        <w:t xml:space="preserve">Load flexibility </w:t>
      </w:r>
      <w:r w:rsidR="008937FD">
        <w:t xml:space="preserve">and contract revisions </w:t>
      </w:r>
      <w:r>
        <w:t>may further reduce the Company forecast</w:t>
      </w:r>
      <w:bookmarkEnd w:id="48"/>
    </w:p>
    <w:p w14:paraId="76C3CA0B" w14:textId="172D6A7B" w:rsidR="00026E8C" w:rsidRDefault="00026E8C" w:rsidP="00026E8C">
      <w:pPr>
        <w:pStyle w:val="Question"/>
      </w:pPr>
      <w:r>
        <w:t>Q.</w:t>
      </w:r>
      <w:r>
        <w:tab/>
        <w:t>Please explain how load flexibility may further impact the Company’s large load forecast.</w:t>
      </w:r>
    </w:p>
    <w:p w14:paraId="03E693EA" w14:textId="2758D5BB" w:rsidR="00E30291" w:rsidRDefault="00026E8C" w:rsidP="00596C99">
      <w:pPr>
        <w:pStyle w:val="Answers"/>
      </w:pPr>
      <w:r>
        <w:t>A.</w:t>
      </w:r>
      <w:r>
        <w:tab/>
        <w:t xml:space="preserve">Load flexibility and curtailments during peak hours may significantly mitigate the peak impact of large load customers, particularly for Data Center projects. </w:t>
      </w:r>
      <w:r w:rsidR="000F2CAA">
        <w:t xml:space="preserve">A recent study </w:t>
      </w:r>
      <w:r w:rsidR="00D74E50">
        <w:t xml:space="preserve">by </w:t>
      </w:r>
      <w:r w:rsidR="00D74E50" w:rsidRPr="00D74E50">
        <w:t>Tyler H. Norris, Tim Profeta, Dalia Patino-Echeverri, Adam Cowie-Haskell</w:t>
      </w:r>
      <w:r w:rsidR="00D74E50">
        <w:t xml:space="preserve"> at Duke University </w:t>
      </w:r>
      <w:r>
        <w:t>suggest</w:t>
      </w:r>
      <w:r w:rsidR="00B85CD3">
        <w:t>s</w:t>
      </w:r>
      <w:r>
        <w:t xml:space="preserve"> that a 1% curtailment could enable load addition equivalent to 20% of </w:t>
      </w:r>
      <w:r>
        <w:lastRenderedPageBreak/>
        <w:t>peak load.</w:t>
      </w:r>
      <w:r>
        <w:rPr>
          <w:rStyle w:val="FootnoteReference"/>
        </w:rPr>
        <w:footnoteReference w:id="54"/>
      </w:r>
      <w:r>
        <w:t xml:space="preserve"> </w:t>
      </w:r>
      <w:r w:rsidR="00EB7BB3">
        <w:t xml:space="preserve">For the Southern Company </w:t>
      </w:r>
      <w:r w:rsidR="003F15A3">
        <w:t xml:space="preserve">Balancing Authority, the report estimated </w:t>
      </w:r>
      <w:r w:rsidR="003B7444">
        <w:t xml:space="preserve">6,400 MW </w:t>
      </w:r>
      <w:r w:rsidR="004956B0">
        <w:t xml:space="preserve">of </w:t>
      </w:r>
      <w:r w:rsidR="00D513E4">
        <w:t>load growth enabled with 0.25% curtailment</w:t>
      </w:r>
      <w:r w:rsidR="00CB4B56">
        <w:t>.</w:t>
      </w:r>
      <w:r w:rsidR="00CA2D42">
        <w:rPr>
          <w:rStyle w:val="FootnoteReference"/>
        </w:rPr>
        <w:footnoteReference w:id="55"/>
      </w:r>
      <w:r w:rsidR="00596C99">
        <w:t xml:space="preserve"> </w:t>
      </w:r>
    </w:p>
    <w:p w14:paraId="2B05573A" w14:textId="6B74A7C2" w:rsidR="00026E8C" w:rsidRDefault="00E30291" w:rsidP="00596C99">
      <w:pPr>
        <w:pStyle w:val="Answers"/>
      </w:pPr>
      <w:r>
        <w:tab/>
      </w:r>
      <w:r>
        <w:tab/>
        <w:t xml:space="preserve">The application of large load flexibility is beginning to deploy on the market. </w:t>
      </w:r>
      <w:r w:rsidR="00026E8C">
        <w:t>A 96 MW data center in Virginia</w:t>
      </w:r>
      <w:r w:rsidR="00D85F8C">
        <w:t>, scheduled to open in 2026, is committed to providing flexible operation via the Electric Power Research Institute’s (“EPRI”) “DC Flex” initiative.</w:t>
      </w:r>
      <w:r w:rsidR="00D85F8C">
        <w:rPr>
          <w:rStyle w:val="FootnoteReference"/>
        </w:rPr>
        <w:footnoteReference w:id="56"/>
      </w:r>
      <w:r w:rsidR="00D85F8C">
        <w:t xml:space="preserve"> </w:t>
      </w:r>
      <w:r w:rsidR="005E4CED">
        <w:t>Acknowledging that t</w:t>
      </w:r>
      <w:r w:rsidR="00D85F8C">
        <w:t>he Company also participates in the EPRI DC Flex initiative,</w:t>
      </w:r>
      <w:r w:rsidR="00D85F8C">
        <w:rPr>
          <w:rStyle w:val="FootnoteReference"/>
        </w:rPr>
        <w:footnoteReference w:id="57"/>
      </w:r>
      <w:r w:rsidR="00D85F8C">
        <w:t xml:space="preserve"> via Southern Company</w:t>
      </w:r>
      <w:r w:rsidR="005E4CED">
        <w:t>,</w:t>
      </w:r>
      <w:r w:rsidR="00D85F8C">
        <w:rPr>
          <w:rStyle w:val="FootnoteReference"/>
        </w:rPr>
        <w:footnoteReference w:id="58"/>
      </w:r>
      <w:r w:rsidR="005E4CED">
        <w:t xml:space="preserve"> the Company may have further understanding of how load flexibility could enable large load growth in Georgia that is not currently available on the record.</w:t>
      </w:r>
    </w:p>
    <w:p w14:paraId="345EB487" w14:textId="4F090D71" w:rsidR="3F1FBFE2" w:rsidRDefault="51AC9FFB" w:rsidP="58688A64">
      <w:pPr>
        <w:pStyle w:val="Answers"/>
        <w:ind w:firstLine="0"/>
        <w:rPr>
          <w:rStyle w:val="AnswersChar"/>
          <w:rFonts w:eastAsiaTheme="minorHAnsi"/>
        </w:rPr>
      </w:pPr>
      <w:r>
        <w:tab/>
      </w:r>
      <w:r w:rsidRPr="54F45441">
        <w:rPr>
          <w:rStyle w:val="AnswersChar"/>
          <w:rFonts w:eastAsiaTheme="minorHAnsi"/>
        </w:rPr>
        <w:t>A load flexibility program sponsored by the Company could enable significant growth of large load customers while mitigating the peak impacts of this growth, providing a more cost-efficient means of facilitating economic development in Georgia. Such a program could be administered through existing demand response provisions, new terms specifically for large load customers via the new commission approved rules and regulations, or some other pathways</w:t>
      </w:r>
      <w:r w:rsidR="00B633F5">
        <w:rPr>
          <w:rStyle w:val="AnswersChar"/>
          <w:rFonts w:eastAsiaTheme="minorHAnsi"/>
        </w:rPr>
        <w:t>.</w:t>
      </w:r>
    </w:p>
    <w:p w14:paraId="6104EF4D" w14:textId="4C89C71E" w:rsidR="00D85F8C" w:rsidRDefault="00D85F8C" w:rsidP="00D85F8C">
      <w:pPr>
        <w:pStyle w:val="Question"/>
      </w:pPr>
      <w:r>
        <w:t>Q.</w:t>
      </w:r>
      <w:r>
        <w:tab/>
        <w:t>Has the Company considered load flexibility in its large load forecast?</w:t>
      </w:r>
    </w:p>
    <w:p w14:paraId="7A7BFD23" w14:textId="4EE96A92" w:rsidR="00D85F8C" w:rsidRDefault="00D85F8C" w:rsidP="00D85F8C">
      <w:pPr>
        <w:pStyle w:val="Answers"/>
      </w:pPr>
      <w:r>
        <w:lastRenderedPageBreak/>
        <w:t>A.</w:t>
      </w:r>
      <w:r>
        <w:tab/>
      </w:r>
      <w:r w:rsidR="00BB1F3F">
        <w:t xml:space="preserve">Staff’s </w:t>
      </w:r>
      <w:r w:rsidR="005E4CED">
        <w:t>understanding</w:t>
      </w:r>
      <w:r w:rsidR="00BB1F3F">
        <w:t xml:space="preserve"> is that</w:t>
      </w:r>
      <w:r w:rsidR="008937FD">
        <w:t xml:space="preserve"> the Company has </w:t>
      </w:r>
      <w:r w:rsidR="00B46660">
        <w:t xml:space="preserve">not </w:t>
      </w:r>
      <w:r w:rsidR="008937FD">
        <w:t>considered the impact of load flexibility on its load forecast. Without considering load flexibility programs that may be available to large loads in the future, the Company may be overestimating large load growth</w:t>
      </w:r>
      <w:r w:rsidR="000536B1">
        <w:t xml:space="preserve"> and the amount of capacity needed to serve these large load customers</w:t>
      </w:r>
      <w:r w:rsidR="008937FD">
        <w:t>. The Company explains that it has “held discussions on the … potential impact load flexibility could have with prospective large load customers.”</w:t>
      </w:r>
      <w:r w:rsidR="008937FD">
        <w:rPr>
          <w:rStyle w:val="FootnoteReference"/>
        </w:rPr>
        <w:footnoteReference w:id="59"/>
      </w:r>
      <w:r w:rsidR="008937FD">
        <w:t xml:space="preserve"> However, the Company has not clearly demonstrated that this has been considered directly in its load forecast.</w:t>
      </w:r>
    </w:p>
    <w:p w14:paraId="3ADFA3F1" w14:textId="69F70921" w:rsidR="008937FD" w:rsidRDefault="008937FD" w:rsidP="008937FD">
      <w:pPr>
        <w:pStyle w:val="Question"/>
      </w:pPr>
      <w:r>
        <w:t>Q.</w:t>
      </w:r>
      <w:r>
        <w:tab/>
        <w:t xml:space="preserve">Please explain how </w:t>
      </w:r>
      <w:r w:rsidR="003515A0">
        <w:t>LOAD REDUCTIONS</w:t>
      </w:r>
      <w:r>
        <w:t xml:space="preserve"> may impact the Company’s large load forecast.</w:t>
      </w:r>
    </w:p>
    <w:p w14:paraId="6C5B8622" w14:textId="45262582" w:rsidR="008937FD" w:rsidRDefault="008937FD" w:rsidP="008937FD">
      <w:pPr>
        <w:pStyle w:val="Answers"/>
      </w:pPr>
      <w:r>
        <w:t>A.</w:t>
      </w:r>
      <w:r>
        <w:tab/>
        <w:t xml:space="preserve">The opportunity for </w:t>
      </w:r>
      <w:r w:rsidR="00B05487">
        <w:t>load reductions</w:t>
      </w:r>
      <w:r>
        <w:t xml:space="preserve"> could significantly reduce the demand from large load customers, resulting in diminished materialization of the large load forecast. If multiple large load projects exercise this option, </w:t>
      </w:r>
      <w:r w:rsidR="00701AA1">
        <w:t>the Company’s large load forecast may materialize lower than forecasted.</w:t>
      </w:r>
    </w:p>
    <w:p w14:paraId="30099E28" w14:textId="121280E7" w:rsidR="008937FD" w:rsidRPr="00026E8C" w:rsidRDefault="008937FD" w:rsidP="008937FD">
      <w:pPr>
        <w:pStyle w:val="Answers"/>
      </w:pPr>
      <w:r>
        <w:tab/>
      </w:r>
      <w:r>
        <w:tab/>
        <w:t>The Company allows customers who are 100 MW or greater, following the execution of a contract, a one-time option to reduce their peak load during “a specified period,” modifying the projects load forecast into the future.</w:t>
      </w:r>
      <w:r>
        <w:rPr>
          <w:rStyle w:val="FootnoteReference"/>
        </w:rPr>
        <w:footnoteReference w:id="60"/>
      </w:r>
      <w:r>
        <w:t xml:space="preserve"> When asked how the Company accounts for this load reduction risk in the LRM, the Company did not directly respond to the question beyond explaining that load forecasts would be modified as load ramps are modified.</w:t>
      </w:r>
      <w:r>
        <w:rPr>
          <w:rStyle w:val="FootnoteReference"/>
        </w:rPr>
        <w:footnoteReference w:id="61"/>
      </w:r>
    </w:p>
    <w:p w14:paraId="3E4E9551" w14:textId="2C578141" w:rsidR="00A77BF8" w:rsidRDefault="0014331F" w:rsidP="00A77BF8">
      <w:pPr>
        <w:pStyle w:val="Heading1"/>
      </w:pPr>
      <w:bookmarkStart w:id="49" w:name="_Ref212818075"/>
      <w:bookmarkStart w:id="50" w:name="_Toc213766869"/>
      <w:r>
        <w:lastRenderedPageBreak/>
        <w:t>Multiple factors justify an adjustment to the B2026 load forecast</w:t>
      </w:r>
      <w:bookmarkEnd w:id="49"/>
      <w:bookmarkEnd w:id="50"/>
    </w:p>
    <w:p w14:paraId="17FFF21C" w14:textId="0AC918EA" w:rsidR="00310729" w:rsidRDefault="00310729" w:rsidP="00310729">
      <w:pPr>
        <w:pStyle w:val="Question"/>
      </w:pPr>
      <w:r>
        <w:t>Q.</w:t>
      </w:r>
      <w:r>
        <w:tab/>
        <w:t>Do you have any concerns that warrant adjustments to the Company’s load forecast?</w:t>
      </w:r>
    </w:p>
    <w:p w14:paraId="29C5A38D" w14:textId="6379C2FE" w:rsidR="0079341D" w:rsidRDefault="00310729" w:rsidP="009E4F3D">
      <w:pPr>
        <w:pStyle w:val="Answers"/>
      </w:pPr>
      <w:r>
        <w:t>A.</w:t>
      </w:r>
      <w:r>
        <w:tab/>
        <w:t>Yes</w:t>
      </w:r>
      <w:r w:rsidR="0079341D">
        <w:t xml:space="preserve">. Based on </w:t>
      </w:r>
      <w:r w:rsidR="00EC189A">
        <w:t>our</w:t>
      </w:r>
      <w:r w:rsidR="0079341D">
        <w:t xml:space="preserve"> discussion above, the following concerns are clear:</w:t>
      </w:r>
    </w:p>
    <w:p w14:paraId="388748FE" w14:textId="4EC4A59E" w:rsidR="0014331F" w:rsidRDefault="0014331F" w:rsidP="0079341D">
      <w:pPr>
        <w:pStyle w:val="Answers"/>
        <w:numPr>
          <w:ilvl w:val="0"/>
          <w:numId w:val="47"/>
        </w:numPr>
      </w:pPr>
      <w:r>
        <w:t>Changes in the B2026 forecast, relative to the 2025 IRP proceeding forecast, are primarily driven by the LRM,</w:t>
      </w:r>
    </w:p>
    <w:p w14:paraId="639AD22B" w14:textId="67ADC8BB" w:rsidR="0014331F" w:rsidRDefault="0014331F" w:rsidP="0079341D">
      <w:pPr>
        <w:pStyle w:val="Answers"/>
        <w:numPr>
          <w:ilvl w:val="0"/>
          <w:numId w:val="47"/>
        </w:numPr>
      </w:pPr>
      <w:r>
        <w:t xml:space="preserve">The LRM continues to be revised downward in the near-term, </w:t>
      </w:r>
    </w:p>
    <w:p w14:paraId="3D20B0F7" w14:textId="2233CE8A" w:rsidR="0079341D" w:rsidRDefault="0079341D" w:rsidP="0079341D">
      <w:pPr>
        <w:pStyle w:val="Answers"/>
        <w:numPr>
          <w:ilvl w:val="0"/>
          <w:numId w:val="47"/>
        </w:numPr>
      </w:pPr>
      <w:r>
        <w:t>The LRM is materializing lower than forecasted by the Company,</w:t>
      </w:r>
    </w:p>
    <w:p w14:paraId="0AB75E82" w14:textId="75A77017" w:rsidR="0079341D" w:rsidRDefault="0079341D" w:rsidP="0079341D">
      <w:pPr>
        <w:pStyle w:val="Answers"/>
        <w:numPr>
          <w:ilvl w:val="0"/>
          <w:numId w:val="47"/>
        </w:numPr>
      </w:pPr>
      <w:r>
        <w:t>The LRM is increasingly inaccurate at longer time horizons,</w:t>
      </w:r>
      <w:r w:rsidR="0014331F">
        <w:t xml:space="preserve"> tending to overestimate load in greater magnitude,</w:t>
      </w:r>
    </w:p>
    <w:p w14:paraId="48983C2F" w14:textId="4A13A7B4" w:rsidR="0079341D" w:rsidRDefault="0079341D" w:rsidP="0079341D">
      <w:pPr>
        <w:pStyle w:val="Answers"/>
        <w:numPr>
          <w:ilvl w:val="0"/>
          <w:numId w:val="47"/>
        </w:numPr>
      </w:pPr>
      <w:r>
        <w:t xml:space="preserve">This </w:t>
      </w:r>
      <w:r w:rsidR="0014331F">
        <w:t>overestimation</w:t>
      </w:r>
      <w:r>
        <w:t xml:space="preserve"> is primarily driven by </w:t>
      </w:r>
      <w:r w:rsidR="005E4CED">
        <w:t>D</w:t>
      </w:r>
      <w:r>
        <w:t xml:space="preserve">ata </w:t>
      </w:r>
      <w:r w:rsidR="005E4CED">
        <w:t>C</w:t>
      </w:r>
      <w:r>
        <w:t xml:space="preserve">enter projects,  </w:t>
      </w:r>
    </w:p>
    <w:p w14:paraId="2ABECF0C" w14:textId="26B08963" w:rsidR="0079341D" w:rsidRDefault="0079341D" w:rsidP="0079341D">
      <w:pPr>
        <w:pStyle w:val="Answers"/>
        <w:numPr>
          <w:ilvl w:val="0"/>
          <w:numId w:val="47"/>
        </w:numPr>
      </w:pPr>
      <w:r>
        <w:t xml:space="preserve">Uncertainty in the </w:t>
      </w:r>
      <w:r w:rsidR="00263297">
        <w:t>D</w:t>
      </w:r>
      <w:r>
        <w:t xml:space="preserve">ata </w:t>
      </w:r>
      <w:r w:rsidR="00263297">
        <w:t>C</w:t>
      </w:r>
      <w:r>
        <w:t xml:space="preserve">enter pipeline is driven </w:t>
      </w:r>
      <w:r w:rsidR="00263297">
        <w:t xml:space="preserve">primarily </w:t>
      </w:r>
      <w:r>
        <w:t xml:space="preserve">by </w:t>
      </w:r>
      <w:r w:rsidR="00263297">
        <w:t xml:space="preserve">projects materializing lower than expected and project removals, </w:t>
      </w:r>
      <w:r w:rsidR="005E4CED">
        <w:t>and</w:t>
      </w:r>
    </w:p>
    <w:p w14:paraId="204BB955" w14:textId="47B8B966" w:rsidR="00263297" w:rsidRDefault="00263297" w:rsidP="0079341D">
      <w:pPr>
        <w:pStyle w:val="Answers"/>
        <w:numPr>
          <w:ilvl w:val="0"/>
          <w:numId w:val="47"/>
        </w:numPr>
      </w:pPr>
      <w:r>
        <w:t>Adjustments to the LRM are necessary to better reflect the actual performance of the large load pipeline, as evidenced by the quarterly large load economic development reports and the actual operation of large load projects on the system.</w:t>
      </w:r>
    </w:p>
    <w:p w14:paraId="10C49DA5" w14:textId="6A8960DD" w:rsidR="00310729" w:rsidRDefault="0079341D" w:rsidP="0079341D">
      <w:pPr>
        <w:pStyle w:val="Answers"/>
      </w:pPr>
      <w:r>
        <w:tab/>
      </w:r>
      <w:r w:rsidR="005E4CED">
        <w:tab/>
      </w:r>
      <w:r>
        <w:t>Furthermore, the Company’s LRM exhibits clear errors in the load ramps of certain projects</w:t>
      </w:r>
      <w:r w:rsidR="0014331F">
        <w:t xml:space="preserve">. Considering these concerns holistically, the B2026 exhibits an overestimation bias driven by the LRM, requiring an adjustment of the model to account for both identified errors, as well as the factors that might be leading to the overestimation of large load in the LRM. </w:t>
      </w:r>
    </w:p>
    <w:p w14:paraId="1FA2D87E" w14:textId="7481D134" w:rsidR="0014331F" w:rsidRPr="0014331F" w:rsidRDefault="00083E9E" w:rsidP="0044351D">
      <w:pPr>
        <w:pStyle w:val="Answers"/>
      </w:pPr>
      <w:r>
        <w:lastRenderedPageBreak/>
        <w:tab/>
      </w:r>
      <w:r>
        <w:tab/>
        <w:t xml:space="preserve">As such, the LRM represents a large source of uncertainty for the Company’s load forecast. This uncertainty is primarily driven by Data Center customers which are not materializing as projected. The </w:t>
      </w:r>
      <w:r w:rsidR="0044351D">
        <w:t>LRM requires proactive adjustment to reflect the actual materialization of these projects.</w:t>
      </w:r>
    </w:p>
    <w:p w14:paraId="2C80AC66" w14:textId="4855D395" w:rsidR="00310729" w:rsidRDefault="00310729" w:rsidP="00310729">
      <w:pPr>
        <w:pStyle w:val="Question"/>
      </w:pPr>
      <w:r>
        <w:t>Q.</w:t>
      </w:r>
      <w:r>
        <w:tab/>
        <w:t>Please exp</w:t>
      </w:r>
      <w:r w:rsidR="30C50F96">
        <w:t>L</w:t>
      </w:r>
      <w:r>
        <w:t>ain the Adjustments you are proposing.</w:t>
      </w:r>
    </w:p>
    <w:p w14:paraId="35883F00" w14:textId="69B6871E" w:rsidR="00310729" w:rsidRDefault="00310729" w:rsidP="00310729">
      <w:pPr>
        <w:pStyle w:val="Answers"/>
      </w:pPr>
      <w:r>
        <w:t>A.</w:t>
      </w:r>
      <w:r>
        <w:tab/>
      </w:r>
      <w:r w:rsidR="00A66E8C">
        <w:t xml:space="preserve">Staff </w:t>
      </w:r>
      <w:r w:rsidR="009E4F3D">
        <w:t>offer</w:t>
      </w:r>
      <w:r w:rsidR="00E13FE7">
        <w:t>s</w:t>
      </w:r>
      <w:r w:rsidR="009E4F3D">
        <w:t xml:space="preserve"> </w:t>
      </w:r>
      <w:r w:rsidR="63FE591E">
        <w:t>two</w:t>
      </w:r>
      <w:r w:rsidR="0079341D">
        <w:t xml:space="preserve"> options for the Commission to consider</w:t>
      </w:r>
      <w:r w:rsidR="00083E9E">
        <w:t>, all of which relate to adjustments to the large load forecast produced by the LRM</w:t>
      </w:r>
      <w:r w:rsidR="0079341D">
        <w:t>:</w:t>
      </w:r>
    </w:p>
    <w:p w14:paraId="781C6D88" w14:textId="64E11B0C" w:rsidR="0079341D" w:rsidRPr="00045132" w:rsidRDefault="0079341D" w:rsidP="0079341D">
      <w:pPr>
        <w:pStyle w:val="Answers"/>
        <w:numPr>
          <w:ilvl w:val="0"/>
          <w:numId w:val="48"/>
        </w:numPr>
        <w:rPr>
          <w:u w:val="single"/>
        </w:rPr>
      </w:pPr>
      <w:r w:rsidRPr="0079341D">
        <w:rPr>
          <w:u w:val="single"/>
        </w:rPr>
        <w:t>Contracts Only</w:t>
      </w:r>
    </w:p>
    <w:p w14:paraId="2C608A5E" w14:textId="1A6A7C8B" w:rsidR="00045132" w:rsidRPr="0079341D" w:rsidRDefault="00045132" w:rsidP="00045132">
      <w:pPr>
        <w:pStyle w:val="Answers"/>
        <w:ind w:left="1440" w:firstLine="0"/>
      </w:pPr>
      <w:r>
        <w:t>The LRM would be limited to only include projects under a Contract for Electric Service</w:t>
      </w:r>
      <w:r w:rsidR="0035495F">
        <w:t xml:space="preserve"> (CES)</w:t>
      </w:r>
      <w:r>
        <w:t xml:space="preserve">. A contract provides the highest level of certainty. This scenario applies all existing assumptions offered by the Company. </w:t>
      </w:r>
      <w:r w:rsidR="2B73D102">
        <w:t>This scenario may also be modified to include any additional large load contracts under the new rules and regulations that are executed by M</w:t>
      </w:r>
      <w:r w:rsidR="0016745D">
        <w:t>arch</w:t>
      </w:r>
      <w:r w:rsidR="00913552">
        <w:t xml:space="preserve"> 16,</w:t>
      </w:r>
      <w:r w:rsidR="2B73D102">
        <w:t xml:space="preserve"> 2026.</w:t>
      </w:r>
    </w:p>
    <w:p w14:paraId="774D8226" w14:textId="27AF1A3D" w:rsidR="0079341D" w:rsidRPr="00045132" w:rsidRDefault="0079341D" w:rsidP="0079341D">
      <w:pPr>
        <w:pStyle w:val="Answers"/>
        <w:numPr>
          <w:ilvl w:val="0"/>
          <w:numId w:val="48"/>
        </w:numPr>
        <w:rPr>
          <w:u w:val="single"/>
        </w:rPr>
      </w:pPr>
      <w:r w:rsidRPr="0079341D">
        <w:rPr>
          <w:u w:val="single"/>
        </w:rPr>
        <w:t>Adjustments for Errors, Site Control, and Uniform Materialization Assumptions</w:t>
      </w:r>
    </w:p>
    <w:p w14:paraId="6CD9ECDD" w14:textId="3C2390B3" w:rsidR="00045132" w:rsidRPr="0079341D" w:rsidRDefault="00045132" w:rsidP="00045132">
      <w:pPr>
        <w:pStyle w:val="Answers"/>
        <w:ind w:left="1440" w:firstLine="0"/>
        <w:rPr>
          <w:u w:val="single"/>
        </w:rPr>
      </w:pPr>
      <w:r>
        <w:t>The LRM would be modified in multiple ways. Projects with clear errors in their load ramps would be modified to reflect their most recent project information. Projects that do n</w:t>
      </w:r>
      <w:r w:rsidR="0035495F">
        <w:t>ot</w:t>
      </w:r>
      <w:r>
        <w:t xml:space="preserve"> exhibit full site control, referring to a clear purchase or lease of land, would be discounted to reflect a lower P1 value.</w:t>
      </w:r>
      <w:r w:rsidR="0044351D">
        <w:rPr>
          <w:rStyle w:val="FootnoteReference"/>
        </w:rPr>
        <w:footnoteReference w:id="62"/>
      </w:r>
      <w:r>
        <w:t xml:space="preserve"> Finally, all load materialization assumptions would be modified to be uniform at </w:t>
      </w:r>
      <w:r w:rsidR="006751FE" w:rsidRPr="006751FE">
        <w:rPr>
          <w:rFonts w:ascii="Calibri" w:eastAsia="Times New Roman" w:hAnsi="Calibri"/>
          <w:color w:val="000000"/>
          <w:highlight w:val="black"/>
        </w:rPr>
        <w:t>XXXX XXXX</w:t>
      </w:r>
      <w:r>
        <w:t>.</w:t>
      </w:r>
    </w:p>
    <w:p w14:paraId="43086303" w14:textId="2C7D7594" w:rsidR="00310729" w:rsidRDefault="00310729" w:rsidP="00310729">
      <w:pPr>
        <w:pStyle w:val="Question"/>
      </w:pPr>
      <w:r>
        <w:lastRenderedPageBreak/>
        <w:t>Q.</w:t>
      </w:r>
      <w:r>
        <w:tab/>
        <w:t>Please demonstrate the impacts of these adjustments on the b202</w:t>
      </w:r>
      <w:r w:rsidR="009E4F3D">
        <w:t>6</w:t>
      </w:r>
      <w:r>
        <w:t xml:space="preserve"> load forecast.</w:t>
      </w:r>
    </w:p>
    <w:p w14:paraId="6A7B714B" w14:textId="6D2C0BCB" w:rsidR="0014331F" w:rsidRDefault="00310729" w:rsidP="009E4F3D">
      <w:pPr>
        <w:pStyle w:val="Answers"/>
      </w:pPr>
      <w:r>
        <w:t>A.</w:t>
      </w:r>
      <w:r>
        <w:tab/>
      </w:r>
      <w:r w:rsidR="00514937">
        <w:t xml:space="preserve">Within the window of the All-Source RFP (2029-2031), the scenarios identified above reduce the Company’s proposed forecast by ~2,000 MW </w:t>
      </w:r>
      <w:r w:rsidR="0035495F">
        <w:t xml:space="preserve">and </w:t>
      </w:r>
      <w:r w:rsidR="00514937">
        <w:t>up to ~4,500 MW, as demonstrated in</w:t>
      </w:r>
      <w:r w:rsidR="0014331F">
        <w:t xml:space="preserve"> </w:t>
      </w:r>
      <w:r w:rsidR="0014331F">
        <w:fldChar w:fldCharType="begin"/>
      </w:r>
      <w:r w:rsidR="0014331F">
        <w:instrText xml:space="preserve"> REF _Ref212626277 \h </w:instrText>
      </w:r>
      <w:r w:rsidR="0014331F">
        <w:fldChar w:fldCharType="separate"/>
      </w:r>
      <w:r w:rsidR="00220F39">
        <w:t xml:space="preserve">Figure </w:t>
      </w:r>
      <w:r w:rsidR="00220F39">
        <w:rPr>
          <w:noProof/>
        </w:rPr>
        <w:t>7</w:t>
      </w:r>
      <w:r w:rsidR="0014331F">
        <w:fldChar w:fldCharType="end"/>
      </w:r>
      <w:r w:rsidR="0014331F">
        <w:t xml:space="preserve"> below.</w:t>
      </w:r>
    </w:p>
    <w:p w14:paraId="60196B6B" w14:textId="4A128E5A" w:rsidR="0014331F" w:rsidRDefault="0014331F" w:rsidP="0014331F">
      <w:pPr>
        <w:pStyle w:val="Caption"/>
      </w:pPr>
      <w:bookmarkStart w:id="51" w:name="_Ref212626277"/>
      <w:bookmarkStart w:id="52" w:name="_Toc213756914"/>
      <w:bookmarkStart w:id="53" w:name="_Toc213766891"/>
      <w:r>
        <w:t xml:space="preserve">Figure </w:t>
      </w:r>
      <w:fldSimple w:instr=" SEQ Figure \* ARABIC ">
        <w:r w:rsidR="00220F39">
          <w:rPr>
            <w:noProof/>
          </w:rPr>
          <w:t>7</w:t>
        </w:r>
      </w:fldSimple>
      <w:bookmarkEnd w:id="51"/>
      <w:r>
        <w:t>: Adjustment Scenario Impact on B2026 Forecast</w:t>
      </w:r>
      <w:bookmarkEnd w:id="52"/>
      <w:bookmarkEnd w:id="53"/>
    </w:p>
    <w:p w14:paraId="44B03BAD" w14:textId="21DC23FB" w:rsidR="009E4F3D" w:rsidRDefault="00263297" w:rsidP="0014331F">
      <w:pPr>
        <w:pStyle w:val="Answers"/>
        <w:jc w:val="center"/>
      </w:pPr>
      <w:r w:rsidRPr="00263297">
        <w:rPr>
          <w:noProof/>
        </w:rPr>
        <w:t xml:space="preserve"> </w:t>
      </w:r>
      <w:r>
        <w:rPr>
          <w:noProof/>
        </w:rPr>
        <w:drawing>
          <wp:inline distT="0" distB="0" distL="0" distR="0" wp14:anchorId="76FA0A2C" wp14:editId="2F46A179">
            <wp:extent cx="4883150" cy="2743200"/>
            <wp:effectExtent l="0" t="0" r="12700" b="0"/>
            <wp:docPr id="1814326955" name="Chart 1">
              <a:extLst xmlns:a="http://schemas.openxmlformats.org/drawingml/2006/main">
                <a:ext uri="{FF2B5EF4-FFF2-40B4-BE49-F238E27FC236}">
                  <a16:creationId xmlns:a16="http://schemas.microsoft.com/office/drawing/2014/main" id="{6CCC8867-51D3-00F5-2EFD-5290058C63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DADAE3" w14:textId="5FD90ED3" w:rsidR="0014331F" w:rsidRDefault="0014331F" w:rsidP="0014331F">
      <w:pPr>
        <w:pStyle w:val="Answers"/>
      </w:pPr>
      <w:r>
        <w:tab/>
        <w:t xml:space="preserve">The numerical impact in key years of these scenarios is summarized in </w:t>
      </w:r>
      <w:r>
        <w:fldChar w:fldCharType="begin"/>
      </w:r>
      <w:r>
        <w:instrText xml:space="preserve"> REF _Ref212626449 \h </w:instrText>
      </w:r>
      <w:r>
        <w:fldChar w:fldCharType="separate"/>
      </w:r>
      <w:r w:rsidR="00220F39">
        <w:t xml:space="preserve">Table </w:t>
      </w:r>
      <w:r w:rsidR="00220F39">
        <w:rPr>
          <w:noProof/>
        </w:rPr>
        <w:t>10</w:t>
      </w:r>
      <w:r>
        <w:fldChar w:fldCharType="end"/>
      </w:r>
      <w:r>
        <w:t xml:space="preserve"> below.</w:t>
      </w:r>
      <w:r>
        <w:tab/>
      </w:r>
    </w:p>
    <w:p w14:paraId="75017F98" w14:textId="0859FBA4" w:rsidR="0014331F" w:rsidRDefault="0014331F" w:rsidP="0014331F">
      <w:pPr>
        <w:pStyle w:val="Caption"/>
      </w:pPr>
      <w:bookmarkStart w:id="54" w:name="_Ref212626449"/>
      <w:bookmarkStart w:id="55" w:name="_Toc213766880"/>
      <w:r>
        <w:t xml:space="preserve">Table </w:t>
      </w:r>
      <w:fldSimple w:instr=" SEQ Table \* ARABIC ">
        <w:r w:rsidR="00220F39">
          <w:rPr>
            <w:noProof/>
          </w:rPr>
          <w:t>10</w:t>
        </w:r>
      </w:fldSimple>
      <w:bookmarkEnd w:id="54"/>
      <w:r>
        <w:t>: Adjustment Scenario Impact on B2026 Forecast</w:t>
      </w:r>
      <w:bookmarkEnd w:id="55"/>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5"/>
        <w:gridCol w:w="901"/>
        <w:gridCol w:w="901"/>
        <w:gridCol w:w="901"/>
        <w:gridCol w:w="901"/>
        <w:gridCol w:w="373"/>
        <w:gridCol w:w="901"/>
      </w:tblGrid>
      <w:tr w:rsidR="0093280A" w:rsidRPr="0014331F" w14:paraId="01B1758A" w14:textId="77777777" w:rsidTr="0014331F">
        <w:trPr>
          <w:trHeight w:val="290"/>
          <w:jc w:val="center"/>
        </w:trPr>
        <w:tc>
          <w:tcPr>
            <w:tcW w:w="0" w:type="auto"/>
            <w:tcBorders>
              <w:top w:val="single" w:sz="4" w:space="0" w:color="auto"/>
              <w:bottom w:val="nil"/>
              <w:right w:val="single" w:sz="4" w:space="0" w:color="auto"/>
            </w:tcBorders>
            <w:shd w:val="clear" w:color="000000" w:fill="DDEBF7"/>
            <w:noWrap/>
            <w:vAlign w:val="bottom"/>
            <w:hideMark/>
          </w:tcPr>
          <w:p w14:paraId="370BF508" w14:textId="77777777" w:rsidR="0014331F" w:rsidRPr="0014331F" w:rsidRDefault="0014331F" w:rsidP="0014331F">
            <w:pPr>
              <w:jc w:val="left"/>
              <w:rPr>
                <w:rFonts w:ascii="Calibri" w:eastAsia="Times New Roman" w:hAnsi="Calibri" w:cs="Calibri"/>
                <w:b/>
                <w:bCs/>
                <w:color w:val="000000"/>
              </w:rPr>
            </w:pPr>
            <w:r w:rsidRPr="0014331F">
              <w:rPr>
                <w:rFonts w:ascii="Calibri" w:eastAsia="Times New Roman" w:hAnsi="Calibri" w:cs="Calibri"/>
                <w:b/>
                <w:bCs/>
                <w:color w:val="000000"/>
              </w:rPr>
              <w:t>Scenario</w:t>
            </w:r>
          </w:p>
        </w:tc>
        <w:tc>
          <w:tcPr>
            <w:tcW w:w="0" w:type="auto"/>
            <w:tcBorders>
              <w:left w:val="single" w:sz="4" w:space="0" w:color="auto"/>
            </w:tcBorders>
            <w:shd w:val="clear" w:color="000000" w:fill="DDEBF7"/>
            <w:noWrap/>
            <w:vAlign w:val="bottom"/>
            <w:hideMark/>
          </w:tcPr>
          <w:p w14:paraId="60C40115" w14:textId="77777777" w:rsidR="0014331F" w:rsidRPr="0014331F" w:rsidRDefault="0014331F" w:rsidP="0014331F">
            <w:pPr>
              <w:jc w:val="right"/>
              <w:rPr>
                <w:rFonts w:ascii="Calibri" w:eastAsia="Times New Roman" w:hAnsi="Calibri" w:cs="Calibri"/>
                <w:b/>
                <w:bCs/>
                <w:color w:val="000000"/>
              </w:rPr>
            </w:pPr>
            <w:r w:rsidRPr="0014331F">
              <w:rPr>
                <w:rFonts w:ascii="Calibri" w:eastAsia="Times New Roman" w:hAnsi="Calibri" w:cs="Calibri"/>
                <w:b/>
                <w:bCs/>
                <w:color w:val="000000"/>
              </w:rPr>
              <w:t>2028</w:t>
            </w:r>
          </w:p>
        </w:tc>
        <w:tc>
          <w:tcPr>
            <w:tcW w:w="0" w:type="auto"/>
            <w:shd w:val="clear" w:color="000000" w:fill="DDEBF7"/>
            <w:noWrap/>
            <w:vAlign w:val="bottom"/>
            <w:hideMark/>
          </w:tcPr>
          <w:p w14:paraId="5A6A5FEA" w14:textId="77777777" w:rsidR="0014331F" w:rsidRPr="0014331F" w:rsidRDefault="0014331F" w:rsidP="0014331F">
            <w:pPr>
              <w:jc w:val="right"/>
              <w:rPr>
                <w:rFonts w:ascii="Calibri" w:eastAsia="Times New Roman" w:hAnsi="Calibri" w:cs="Calibri"/>
                <w:b/>
                <w:bCs/>
                <w:color w:val="000000"/>
              </w:rPr>
            </w:pPr>
            <w:r w:rsidRPr="0014331F">
              <w:rPr>
                <w:rFonts w:ascii="Calibri" w:eastAsia="Times New Roman" w:hAnsi="Calibri" w:cs="Calibri"/>
                <w:b/>
                <w:bCs/>
                <w:color w:val="000000"/>
              </w:rPr>
              <w:t>2029</w:t>
            </w:r>
          </w:p>
        </w:tc>
        <w:tc>
          <w:tcPr>
            <w:tcW w:w="0" w:type="auto"/>
            <w:shd w:val="clear" w:color="000000" w:fill="DDEBF7"/>
            <w:noWrap/>
            <w:vAlign w:val="bottom"/>
            <w:hideMark/>
          </w:tcPr>
          <w:p w14:paraId="3DEE7351" w14:textId="77777777" w:rsidR="0014331F" w:rsidRPr="0014331F" w:rsidRDefault="0014331F" w:rsidP="0014331F">
            <w:pPr>
              <w:jc w:val="right"/>
              <w:rPr>
                <w:rFonts w:ascii="Calibri" w:eastAsia="Times New Roman" w:hAnsi="Calibri" w:cs="Calibri"/>
                <w:b/>
                <w:bCs/>
                <w:color w:val="000000"/>
              </w:rPr>
            </w:pPr>
            <w:r w:rsidRPr="0014331F">
              <w:rPr>
                <w:rFonts w:ascii="Calibri" w:eastAsia="Times New Roman" w:hAnsi="Calibri" w:cs="Calibri"/>
                <w:b/>
                <w:bCs/>
                <w:color w:val="000000"/>
              </w:rPr>
              <w:t>2030</w:t>
            </w:r>
          </w:p>
        </w:tc>
        <w:tc>
          <w:tcPr>
            <w:tcW w:w="0" w:type="auto"/>
            <w:shd w:val="clear" w:color="000000" w:fill="DDEBF7"/>
            <w:noWrap/>
            <w:vAlign w:val="bottom"/>
            <w:hideMark/>
          </w:tcPr>
          <w:p w14:paraId="7FCAC60F" w14:textId="77777777" w:rsidR="0014331F" w:rsidRPr="0014331F" w:rsidRDefault="0014331F" w:rsidP="0014331F">
            <w:pPr>
              <w:jc w:val="right"/>
              <w:rPr>
                <w:rFonts w:ascii="Calibri" w:eastAsia="Times New Roman" w:hAnsi="Calibri" w:cs="Calibri"/>
                <w:b/>
                <w:bCs/>
                <w:color w:val="000000"/>
              </w:rPr>
            </w:pPr>
            <w:r w:rsidRPr="0014331F">
              <w:rPr>
                <w:rFonts w:ascii="Calibri" w:eastAsia="Times New Roman" w:hAnsi="Calibri" w:cs="Calibri"/>
                <w:b/>
                <w:bCs/>
                <w:color w:val="000000"/>
              </w:rPr>
              <w:t>2031</w:t>
            </w:r>
          </w:p>
        </w:tc>
        <w:tc>
          <w:tcPr>
            <w:tcW w:w="0" w:type="auto"/>
            <w:shd w:val="clear" w:color="000000" w:fill="DDEBF7"/>
            <w:noWrap/>
            <w:vAlign w:val="bottom"/>
            <w:hideMark/>
          </w:tcPr>
          <w:p w14:paraId="211D3346" w14:textId="77777777" w:rsidR="0014331F" w:rsidRPr="0014331F" w:rsidRDefault="0014331F" w:rsidP="0014331F">
            <w:pPr>
              <w:jc w:val="left"/>
              <w:rPr>
                <w:rFonts w:ascii="Calibri" w:eastAsia="Times New Roman" w:hAnsi="Calibri" w:cs="Calibri"/>
                <w:b/>
                <w:bCs/>
                <w:color w:val="000000"/>
              </w:rPr>
            </w:pPr>
            <w:r w:rsidRPr="0014331F">
              <w:rPr>
                <w:rFonts w:ascii="Calibri" w:eastAsia="Times New Roman" w:hAnsi="Calibri" w:cs="Calibri"/>
                <w:b/>
                <w:bCs/>
                <w:color w:val="000000"/>
              </w:rPr>
              <w:t>…</w:t>
            </w:r>
          </w:p>
        </w:tc>
        <w:tc>
          <w:tcPr>
            <w:tcW w:w="0" w:type="auto"/>
            <w:shd w:val="clear" w:color="000000" w:fill="DDEBF7"/>
            <w:noWrap/>
            <w:vAlign w:val="bottom"/>
            <w:hideMark/>
          </w:tcPr>
          <w:p w14:paraId="7844C7CA" w14:textId="77777777" w:rsidR="0014331F" w:rsidRPr="0014331F" w:rsidRDefault="0014331F" w:rsidP="0014331F">
            <w:pPr>
              <w:jc w:val="right"/>
              <w:rPr>
                <w:rFonts w:ascii="Calibri" w:eastAsia="Times New Roman" w:hAnsi="Calibri" w:cs="Calibri"/>
                <w:b/>
                <w:bCs/>
                <w:color w:val="000000"/>
              </w:rPr>
            </w:pPr>
            <w:r w:rsidRPr="0014331F">
              <w:rPr>
                <w:rFonts w:ascii="Calibri" w:eastAsia="Times New Roman" w:hAnsi="Calibri" w:cs="Calibri"/>
                <w:b/>
                <w:bCs/>
                <w:color w:val="000000"/>
              </w:rPr>
              <w:t>2044</w:t>
            </w:r>
          </w:p>
        </w:tc>
      </w:tr>
      <w:tr w:rsidR="0014331F" w:rsidRPr="0014331F" w14:paraId="6BD6BA04" w14:textId="77777777" w:rsidTr="0014331F">
        <w:trPr>
          <w:trHeight w:val="290"/>
          <w:jc w:val="center"/>
        </w:trPr>
        <w:tc>
          <w:tcPr>
            <w:tcW w:w="0" w:type="auto"/>
            <w:tcBorders>
              <w:top w:val="nil"/>
              <w:bottom w:val="nil"/>
              <w:right w:val="single" w:sz="4" w:space="0" w:color="auto"/>
            </w:tcBorders>
            <w:noWrap/>
            <w:vAlign w:val="bottom"/>
            <w:hideMark/>
          </w:tcPr>
          <w:p w14:paraId="0FF6EB01" w14:textId="64843417" w:rsidR="0014331F" w:rsidRPr="0014331F" w:rsidRDefault="0093280A" w:rsidP="0014331F">
            <w:pPr>
              <w:jc w:val="right"/>
              <w:rPr>
                <w:rFonts w:ascii="Calibri" w:eastAsia="Times New Roman" w:hAnsi="Calibri" w:cs="Calibri"/>
                <w:color w:val="000000"/>
              </w:rPr>
            </w:pPr>
            <w:r>
              <w:rPr>
                <w:rFonts w:ascii="Calibri" w:eastAsia="Times New Roman" w:hAnsi="Calibri" w:cs="Calibri"/>
                <w:color w:val="000000"/>
              </w:rPr>
              <w:t xml:space="preserve">Scenario </w:t>
            </w:r>
            <w:r w:rsidR="0014331F" w:rsidRPr="0014331F">
              <w:rPr>
                <w:rFonts w:ascii="Calibri" w:eastAsia="Times New Roman" w:hAnsi="Calibri" w:cs="Calibri"/>
                <w:color w:val="000000"/>
              </w:rPr>
              <w:t>1</w:t>
            </w:r>
          </w:p>
        </w:tc>
        <w:tc>
          <w:tcPr>
            <w:tcW w:w="0" w:type="auto"/>
            <w:tcBorders>
              <w:left w:val="single" w:sz="4" w:space="0" w:color="auto"/>
            </w:tcBorders>
            <w:noWrap/>
            <w:vAlign w:val="bottom"/>
            <w:hideMark/>
          </w:tcPr>
          <w:p w14:paraId="0EA23DDD"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(1,673)</w:t>
            </w:r>
          </w:p>
        </w:tc>
        <w:tc>
          <w:tcPr>
            <w:tcW w:w="0" w:type="auto"/>
            <w:noWrap/>
            <w:vAlign w:val="bottom"/>
            <w:hideMark/>
          </w:tcPr>
          <w:p w14:paraId="012C101F"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(2,809)</w:t>
            </w:r>
          </w:p>
        </w:tc>
        <w:tc>
          <w:tcPr>
            <w:tcW w:w="0" w:type="auto"/>
            <w:noWrap/>
            <w:vAlign w:val="bottom"/>
            <w:hideMark/>
          </w:tcPr>
          <w:p w14:paraId="127317A8"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(3,781)</w:t>
            </w:r>
          </w:p>
        </w:tc>
        <w:tc>
          <w:tcPr>
            <w:tcW w:w="0" w:type="auto"/>
            <w:noWrap/>
            <w:vAlign w:val="bottom"/>
            <w:hideMark/>
          </w:tcPr>
          <w:p w14:paraId="645F49D1"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(4,506)</w:t>
            </w:r>
          </w:p>
        </w:tc>
        <w:tc>
          <w:tcPr>
            <w:tcW w:w="0" w:type="auto"/>
            <w:noWrap/>
            <w:vAlign w:val="bottom"/>
            <w:hideMark/>
          </w:tcPr>
          <w:p w14:paraId="369FCEB3" w14:textId="77777777" w:rsidR="0014331F" w:rsidRPr="0014331F" w:rsidRDefault="0014331F" w:rsidP="0014331F">
            <w:pPr>
              <w:jc w:val="left"/>
              <w:rPr>
                <w:rFonts w:ascii="Calibri" w:eastAsia="Times New Roman" w:hAnsi="Calibri" w:cs="Calibri"/>
                <w:color w:val="000000"/>
              </w:rPr>
            </w:pPr>
          </w:p>
        </w:tc>
        <w:tc>
          <w:tcPr>
            <w:tcW w:w="0" w:type="auto"/>
            <w:noWrap/>
            <w:vAlign w:val="bottom"/>
            <w:hideMark/>
          </w:tcPr>
          <w:p w14:paraId="2BC97D40"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(5,327)</w:t>
            </w:r>
          </w:p>
        </w:tc>
      </w:tr>
      <w:tr w:rsidR="0014331F" w:rsidRPr="0014331F" w14:paraId="38C96C0A" w14:textId="77777777" w:rsidTr="0040134E">
        <w:trPr>
          <w:trHeight w:val="290"/>
          <w:jc w:val="center"/>
        </w:trPr>
        <w:tc>
          <w:tcPr>
            <w:tcW w:w="0" w:type="auto"/>
            <w:tcBorders>
              <w:top w:val="nil"/>
              <w:bottom w:val="single" w:sz="4" w:space="0" w:color="auto"/>
              <w:right w:val="single" w:sz="4" w:space="0" w:color="auto"/>
            </w:tcBorders>
            <w:noWrap/>
            <w:vAlign w:val="bottom"/>
            <w:hideMark/>
          </w:tcPr>
          <w:p w14:paraId="2A337E17" w14:textId="07A0B2D3" w:rsidR="0014331F" w:rsidRPr="0014331F" w:rsidRDefault="0093280A" w:rsidP="0014331F">
            <w:pPr>
              <w:jc w:val="right"/>
              <w:rPr>
                <w:rFonts w:ascii="Calibri" w:eastAsia="Times New Roman" w:hAnsi="Calibri" w:cs="Calibri"/>
                <w:color w:val="000000"/>
              </w:rPr>
            </w:pPr>
            <w:r>
              <w:rPr>
                <w:rFonts w:ascii="Calibri" w:eastAsia="Times New Roman" w:hAnsi="Calibri" w:cs="Calibri"/>
                <w:color w:val="000000"/>
              </w:rPr>
              <w:t xml:space="preserve">Scenario </w:t>
            </w:r>
            <w:r w:rsidR="00263297">
              <w:rPr>
                <w:rFonts w:ascii="Calibri" w:eastAsia="Times New Roman" w:hAnsi="Calibri" w:cs="Calibri"/>
                <w:color w:val="000000"/>
              </w:rPr>
              <w:t>2</w:t>
            </w:r>
          </w:p>
        </w:tc>
        <w:tc>
          <w:tcPr>
            <w:tcW w:w="0" w:type="auto"/>
            <w:tcBorders>
              <w:top w:val="nil"/>
              <w:left w:val="single" w:sz="4" w:space="0" w:color="auto"/>
              <w:bottom w:val="single" w:sz="4" w:space="0" w:color="auto"/>
            </w:tcBorders>
            <w:noWrap/>
            <w:vAlign w:val="bottom"/>
            <w:hideMark/>
          </w:tcPr>
          <w:p w14:paraId="147910B3"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(1,544)</w:t>
            </w:r>
          </w:p>
        </w:tc>
        <w:tc>
          <w:tcPr>
            <w:tcW w:w="0" w:type="auto"/>
            <w:tcBorders>
              <w:top w:val="nil"/>
              <w:bottom w:val="single" w:sz="4" w:space="0" w:color="auto"/>
            </w:tcBorders>
            <w:noWrap/>
            <w:vAlign w:val="bottom"/>
            <w:hideMark/>
          </w:tcPr>
          <w:p w14:paraId="03825C6D"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(2,074)</w:t>
            </w:r>
          </w:p>
        </w:tc>
        <w:tc>
          <w:tcPr>
            <w:tcW w:w="0" w:type="auto"/>
            <w:tcBorders>
              <w:top w:val="nil"/>
              <w:bottom w:val="single" w:sz="4" w:space="0" w:color="auto"/>
            </w:tcBorders>
            <w:noWrap/>
            <w:vAlign w:val="bottom"/>
            <w:hideMark/>
          </w:tcPr>
          <w:p w14:paraId="3B207A52"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(2,453)</w:t>
            </w:r>
          </w:p>
        </w:tc>
        <w:tc>
          <w:tcPr>
            <w:tcW w:w="0" w:type="auto"/>
            <w:tcBorders>
              <w:top w:val="nil"/>
              <w:bottom w:val="single" w:sz="4" w:space="0" w:color="auto"/>
            </w:tcBorders>
            <w:noWrap/>
            <w:vAlign w:val="bottom"/>
            <w:hideMark/>
          </w:tcPr>
          <w:p w14:paraId="68016285"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(2,742)</w:t>
            </w:r>
          </w:p>
        </w:tc>
        <w:tc>
          <w:tcPr>
            <w:tcW w:w="0" w:type="auto"/>
            <w:tcBorders>
              <w:top w:val="nil"/>
              <w:bottom w:val="single" w:sz="4" w:space="0" w:color="auto"/>
            </w:tcBorders>
            <w:noWrap/>
            <w:vAlign w:val="bottom"/>
            <w:hideMark/>
          </w:tcPr>
          <w:p w14:paraId="182D7424" w14:textId="77777777" w:rsidR="0014331F" w:rsidRPr="0014331F" w:rsidRDefault="0014331F" w:rsidP="0014331F">
            <w:pPr>
              <w:jc w:val="left"/>
              <w:rPr>
                <w:rFonts w:ascii="Calibri" w:eastAsia="Times New Roman" w:hAnsi="Calibri" w:cs="Calibri"/>
                <w:color w:val="000000"/>
              </w:rPr>
            </w:pPr>
          </w:p>
        </w:tc>
        <w:tc>
          <w:tcPr>
            <w:tcW w:w="0" w:type="auto"/>
            <w:tcBorders>
              <w:top w:val="nil"/>
              <w:bottom w:val="single" w:sz="4" w:space="0" w:color="auto"/>
            </w:tcBorders>
            <w:noWrap/>
            <w:vAlign w:val="bottom"/>
            <w:hideMark/>
          </w:tcPr>
          <w:p w14:paraId="22CD4B2B" w14:textId="77777777" w:rsidR="0014331F" w:rsidRPr="0014331F" w:rsidRDefault="0014331F" w:rsidP="0014331F">
            <w:pPr>
              <w:jc w:val="left"/>
              <w:rPr>
                <w:rFonts w:ascii="Calibri" w:eastAsia="Times New Roman" w:hAnsi="Calibri" w:cs="Calibri"/>
                <w:color w:val="000000"/>
              </w:rPr>
            </w:pPr>
            <w:r w:rsidRPr="0014331F">
              <w:rPr>
                <w:rFonts w:ascii="Calibri" w:eastAsia="Times New Roman" w:hAnsi="Calibri" w:cs="Calibri"/>
                <w:color w:val="000000"/>
              </w:rPr>
              <w:t xml:space="preserve"> (2,990)</w:t>
            </w:r>
          </w:p>
        </w:tc>
      </w:tr>
    </w:tbl>
    <w:p w14:paraId="1B6C3766" w14:textId="73D75F1A" w:rsidR="0093280A" w:rsidRDefault="0014331F" w:rsidP="0044351D">
      <w:pPr>
        <w:pStyle w:val="Answers"/>
        <w:spacing w:before="240"/>
      </w:pPr>
      <w:r>
        <w:tab/>
        <w:t>On a system peak basis, these scenarios are compared against the B2026 forecast</w:t>
      </w:r>
      <w:r w:rsidR="0093280A">
        <w:t xml:space="preserve"> in </w:t>
      </w:r>
      <w:r w:rsidR="0093280A">
        <w:fldChar w:fldCharType="begin"/>
      </w:r>
      <w:r w:rsidR="0093280A">
        <w:instrText xml:space="preserve"> REF _Ref212627554 \h </w:instrText>
      </w:r>
      <w:r w:rsidR="0093280A">
        <w:fldChar w:fldCharType="separate"/>
      </w:r>
      <w:r w:rsidR="00220F39">
        <w:t xml:space="preserve">Figure </w:t>
      </w:r>
      <w:r w:rsidR="00220F39">
        <w:rPr>
          <w:noProof/>
        </w:rPr>
        <w:t>8</w:t>
      </w:r>
      <w:r w:rsidR="0093280A">
        <w:fldChar w:fldCharType="end"/>
      </w:r>
      <w:r w:rsidR="0093280A">
        <w:t xml:space="preserve"> and </w:t>
      </w:r>
      <w:r w:rsidR="0093280A">
        <w:fldChar w:fldCharType="begin"/>
      </w:r>
      <w:r w:rsidR="0093280A">
        <w:instrText xml:space="preserve"> REF _Ref212627558 \h </w:instrText>
      </w:r>
      <w:r w:rsidR="0093280A">
        <w:fldChar w:fldCharType="separate"/>
      </w:r>
      <w:r w:rsidR="00220F39">
        <w:t xml:space="preserve">Figure </w:t>
      </w:r>
      <w:r w:rsidR="00220F39">
        <w:rPr>
          <w:noProof/>
        </w:rPr>
        <w:t>9</w:t>
      </w:r>
      <w:r w:rsidR="0093280A">
        <w:fldChar w:fldCharType="end"/>
      </w:r>
      <w:r w:rsidR="0093280A">
        <w:t xml:space="preserve"> below. </w:t>
      </w:r>
    </w:p>
    <w:p w14:paraId="48FD85A3" w14:textId="468D45E3" w:rsidR="0093280A" w:rsidRDefault="0093280A" w:rsidP="0093280A">
      <w:pPr>
        <w:pStyle w:val="Caption"/>
      </w:pPr>
      <w:bookmarkStart w:id="56" w:name="_Ref212627554"/>
      <w:bookmarkStart w:id="57" w:name="_Toc213756915"/>
      <w:bookmarkStart w:id="58" w:name="_Toc213766892"/>
      <w:r>
        <w:lastRenderedPageBreak/>
        <w:t xml:space="preserve">Figure </w:t>
      </w:r>
      <w:fldSimple w:instr=" SEQ Figure \* ARABIC ">
        <w:r w:rsidR="00220F39">
          <w:rPr>
            <w:noProof/>
          </w:rPr>
          <w:t>8</w:t>
        </w:r>
      </w:fldSimple>
      <w:bookmarkEnd w:id="56"/>
      <w:r>
        <w:t>: Summer Peak Forecast Scenarios</w:t>
      </w:r>
      <w:bookmarkEnd w:id="57"/>
      <w:bookmarkEnd w:id="58"/>
    </w:p>
    <w:p w14:paraId="5F248526" w14:textId="1DA525A3" w:rsidR="0093280A" w:rsidRDefault="00263297" w:rsidP="00263297">
      <w:pPr>
        <w:pStyle w:val="Answers"/>
        <w:spacing w:before="240"/>
        <w:jc w:val="center"/>
      </w:pPr>
      <w:r w:rsidRPr="00263297">
        <w:rPr>
          <w:noProof/>
        </w:rPr>
        <w:t xml:space="preserve"> </w:t>
      </w:r>
      <w:r>
        <w:rPr>
          <w:noProof/>
        </w:rPr>
        <w:drawing>
          <wp:inline distT="0" distB="0" distL="0" distR="0" wp14:anchorId="35709DF0" wp14:editId="219737C0">
            <wp:extent cx="5035550" cy="2743200"/>
            <wp:effectExtent l="0" t="0" r="12700" b="0"/>
            <wp:docPr id="496631692" name="Chart 1">
              <a:extLst xmlns:a="http://schemas.openxmlformats.org/drawingml/2006/main">
                <a:ext uri="{FF2B5EF4-FFF2-40B4-BE49-F238E27FC236}">
                  <a16:creationId xmlns:a16="http://schemas.microsoft.com/office/drawing/2014/main" id="{32B31088-08D9-E261-704A-F0E2FD2B0F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14F466" w14:textId="10496AB3" w:rsidR="0093280A" w:rsidRDefault="0093280A" w:rsidP="0093280A">
      <w:pPr>
        <w:pStyle w:val="Caption"/>
      </w:pPr>
      <w:bookmarkStart w:id="59" w:name="_Ref212627558"/>
      <w:bookmarkStart w:id="60" w:name="_Toc213756916"/>
      <w:bookmarkStart w:id="61" w:name="_Toc213766893"/>
      <w:r>
        <w:t xml:space="preserve">Figure </w:t>
      </w:r>
      <w:fldSimple w:instr=" SEQ Figure \* ARABIC ">
        <w:r w:rsidR="00220F39">
          <w:rPr>
            <w:noProof/>
          </w:rPr>
          <w:t>9</w:t>
        </w:r>
      </w:fldSimple>
      <w:bookmarkEnd w:id="59"/>
      <w:r>
        <w:t>: Winter Peak Forecast Scenarios</w:t>
      </w:r>
      <w:bookmarkEnd w:id="60"/>
      <w:bookmarkEnd w:id="61"/>
    </w:p>
    <w:p w14:paraId="3F53C181" w14:textId="09AB7CE5" w:rsidR="0093280A" w:rsidRDefault="00263297" w:rsidP="00263297">
      <w:pPr>
        <w:pStyle w:val="Answers"/>
        <w:spacing w:before="240"/>
        <w:jc w:val="center"/>
      </w:pPr>
      <w:r w:rsidRPr="00263297">
        <w:rPr>
          <w:noProof/>
        </w:rPr>
        <w:t xml:space="preserve"> </w:t>
      </w:r>
      <w:r>
        <w:rPr>
          <w:noProof/>
        </w:rPr>
        <w:drawing>
          <wp:inline distT="0" distB="0" distL="0" distR="0" wp14:anchorId="11C58DFF" wp14:editId="03B230AC">
            <wp:extent cx="5048250" cy="2743200"/>
            <wp:effectExtent l="0" t="0" r="0" b="0"/>
            <wp:docPr id="1849284090" name="Chart 1">
              <a:extLst xmlns:a="http://schemas.openxmlformats.org/drawingml/2006/main">
                <a:ext uri="{FF2B5EF4-FFF2-40B4-BE49-F238E27FC236}">
                  <a16:creationId xmlns:a16="http://schemas.microsoft.com/office/drawing/2014/main" id="{BA365EF4-3B49-62AE-FAA7-E452F00E1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504DCA" w14:textId="0B92D68D" w:rsidR="00263297" w:rsidRDefault="00263297" w:rsidP="00263297">
      <w:pPr>
        <w:pStyle w:val="Answers"/>
        <w:spacing w:before="240"/>
        <w:jc w:val="left"/>
      </w:pPr>
      <w:r>
        <w:tab/>
        <w:t xml:space="preserve">The adjustments above were calculated based on the outputs of the LRM. However, the simulated outputs were adjusted to account for load profiles. Lacking the specific software used by the Company to develop this adjustment, Staff used a “discount factor,” based on the relationship between the simulated results of the B2026 LRM and the final </w:t>
      </w:r>
      <w:r>
        <w:lastRenderedPageBreak/>
        <w:t xml:space="preserve">adjustment applied to the load forecast. This discount factor calculation is presented in </w:t>
      </w:r>
      <w:r>
        <w:fldChar w:fldCharType="begin"/>
      </w:r>
      <w:r>
        <w:instrText xml:space="preserve"> REF _Ref213336586 \h </w:instrText>
      </w:r>
      <w:r>
        <w:fldChar w:fldCharType="separate"/>
      </w:r>
      <w:r w:rsidR="00220F39">
        <w:t xml:space="preserve">Table </w:t>
      </w:r>
      <w:r w:rsidR="00220F39">
        <w:rPr>
          <w:noProof/>
        </w:rPr>
        <w:t>11</w:t>
      </w:r>
      <w:r>
        <w:fldChar w:fldCharType="end"/>
      </w:r>
      <w:r>
        <w:t xml:space="preserve"> below. </w:t>
      </w:r>
    </w:p>
    <w:p w14:paraId="2CB46AE2" w14:textId="2CFDE8D8" w:rsidR="00263297" w:rsidRDefault="00263297" w:rsidP="0040134E">
      <w:pPr>
        <w:pStyle w:val="Caption"/>
      </w:pPr>
      <w:bookmarkStart w:id="62" w:name="_Ref213336586"/>
      <w:bookmarkStart w:id="63" w:name="_Toc213766881"/>
      <w:r>
        <w:t xml:space="preserve">Table </w:t>
      </w:r>
      <w:fldSimple w:instr=" SEQ Table \* ARABIC ">
        <w:r w:rsidR="00220F39">
          <w:rPr>
            <w:noProof/>
          </w:rPr>
          <w:t>11</w:t>
        </w:r>
      </w:fldSimple>
      <w:bookmarkEnd w:id="62"/>
      <w:r>
        <w:t>: LRM Implied Discount Factor</w:t>
      </w:r>
      <w:r>
        <w:rPr>
          <w:rStyle w:val="FootnoteReference"/>
        </w:rPr>
        <w:footnoteReference w:id="63"/>
      </w:r>
      <w:bookmarkEnd w:id="63"/>
    </w:p>
    <w:tbl>
      <w:tblPr>
        <w:tblW w:w="4529" w:type="dxa"/>
        <w:jc w:val="center"/>
        <w:tblLook w:val="04A0" w:firstRow="1" w:lastRow="0" w:firstColumn="1" w:lastColumn="0" w:noHBand="0" w:noVBand="1"/>
      </w:tblPr>
      <w:tblGrid>
        <w:gridCol w:w="1176"/>
        <w:gridCol w:w="872"/>
        <w:gridCol w:w="1290"/>
        <w:gridCol w:w="1191"/>
      </w:tblGrid>
      <w:tr w:rsidR="00263297" w:rsidRPr="00263297" w14:paraId="38123A44" w14:textId="77777777" w:rsidTr="006751FE">
        <w:trPr>
          <w:trHeight w:val="870"/>
          <w:jc w:val="center"/>
        </w:trPr>
        <w:tc>
          <w:tcPr>
            <w:tcW w:w="1176" w:type="dxa"/>
            <w:tcBorders>
              <w:top w:val="nil"/>
              <w:left w:val="nil"/>
              <w:bottom w:val="nil"/>
              <w:right w:val="nil"/>
            </w:tcBorders>
            <w:shd w:val="clear" w:color="000000" w:fill="DDEBF7"/>
            <w:noWrap/>
            <w:vAlign w:val="bottom"/>
            <w:hideMark/>
          </w:tcPr>
          <w:p w14:paraId="6BC52ABA" w14:textId="77777777" w:rsidR="00263297" w:rsidRPr="00263297" w:rsidRDefault="00263297" w:rsidP="00263297">
            <w:pPr>
              <w:jc w:val="left"/>
              <w:rPr>
                <w:rFonts w:ascii="Calibri" w:eastAsia="Times New Roman" w:hAnsi="Calibri" w:cs="Calibri"/>
                <w:b/>
                <w:bCs/>
                <w:color w:val="000000"/>
              </w:rPr>
            </w:pPr>
            <w:r w:rsidRPr="00263297">
              <w:rPr>
                <w:rFonts w:ascii="Calibri" w:eastAsia="Times New Roman" w:hAnsi="Calibri" w:cs="Calibri"/>
                <w:b/>
                <w:bCs/>
                <w:color w:val="000000"/>
              </w:rPr>
              <w:t>Year</w:t>
            </w:r>
          </w:p>
        </w:tc>
        <w:tc>
          <w:tcPr>
            <w:tcW w:w="872" w:type="dxa"/>
            <w:tcBorders>
              <w:top w:val="nil"/>
              <w:left w:val="nil"/>
              <w:bottom w:val="nil"/>
              <w:right w:val="nil"/>
            </w:tcBorders>
            <w:shd w:val="clear" w:color="000000" w:fill="DDEBF7"/>
            <w:vAlign w:val="bottom"/>
            <w:hideMark/>
          </w:tcPr>
          <w:p w14:paraId="06051470" w14:textId="77777777" w:rsidR="00263297" w:rsidRPr="00263297" w:rsidRDefault="00263297" w:rsidP="00263297">
            <w:pPr>
              <w:jc w:val="left"/>
              <w:rPr>
                <w:rFonts w:ascii="Calibri" w:eastAsia="Times New Roman" w:hAnsi="Calibri" w:cs="Calibri"/>
                <w:b/>
                <w:bCs/>
                <w:color w:val="000000"/>
              </w:rPr>
            </w:pPr>
            <w:r w:rsidRPr="00263297">
              <w:rPr>
                <w:rFonts w:ascii="Calibri" w:eastAsia="Times New Roman" w:hAnsi="Calibri" w:cs="Calibri"/>
                <w:b/>
                <w:bCs/>
                <w:color w:val="000000"/>
              </w:rPr>
              <w:t>LRM Output</w:t>
            </w:r>
          </w:p>
        </w:tc>
        <w:tc>
          <w:tcPr>
            <w:tcW w:w="1290" w:type="dxa"/>
            <w:tcBorders>
              <w:top w:val="nil"/>
              <w:left w:val="nil"/>
              <w:bottom w:val="nil"/>
              <w:right w:val="nil"/>
            </w:tcBorders>
            <w:shd w:val="clear" w:color="000000" w:fill="DDEBF7"/>
            <w:vAlign w:val="bottom"/>
            <w:hideMark/>
          </w:tcPr>
          <w:p w14:paraId="0BEDD1B3" w14:textId="77777777" w:rsidR="00263297" w:rsidRPr="00263297" w:rsidRDefault="00263297" w:rsidP="00263297">
            <w:pPr>
              <w:jc w:val="left"/>
              <w:rPr>
                <w:rFonts w:ascii="Calibri" w:eastAsia="Times New Roman" w:hAnsi="Calibri" w:cs="Calibri"/>
                <w:b/>
                <w:bCs/>
                <w:color w:val="000000"/>
              </w:rPr>
            </w:pPr>
            <w:r w:rsidRPr="00263297">
              <w:rPr>
                <w:rFonts w:ascii="Calibri" w:eastAsia="Times New Roman" w:hAnsi="Calibri" w:cs="Calibri"/>
                <w:b/>
                <w:bCs/>
                <w:color w:val="000000"/>
              </w:rPr>
              <w:t>Peak Adjustment</w:t>
            </w:r>
          </w:p>
        </w:tc>
        <w:tc>
          <w:tcPr>
            <w:tcW w:w="1191" w:type="dxa"/>
            <w:tcBorders>
              <w:top w:val="nil"/>
              <w:left w:val="nil"/>
              <w:bottom w:val="nil"/>
              <w:right w:val="nil"/>
            </w:tcBorders>
            <w:shd w:val="clear" w:color="000000" w:fill="DDEBF7"/>
            <w:vAlign w:val="bottom"/>
            <w:hideMark/>
          </w:tcPr>
          <w:p w14:paraId="3D927EAB" w14:textId="77777777" w:rsidR="00263297" w:rsidRPr="00263297" w:rsidRDefault="00263297" w:rsidP="00263297">
            <w:pPr>
              <w:jc w:val="left"/>
              <w:rPr>
                <w:rFonts w:ascii="Calibri" w:eastAsia="Times New Roman" w:hAnsi="Calibri" w:cs="Calibri"/>
                <w:b/>
                <w:bCs/>
                <w:color w:val="000000"/>
              </w:rPr>
            </w:pPr>
            <w:r w:rsidRPr="00263297">
              <w:rPr>
                <w:rFonts w:ascii="Calibri" w:eastAsia="Times New Roman" w:hAnsi="Calibri" w:cs="Calibri"/>
                <w:b/>
                <w:bCs/>
                <w:color w:val="000000"/>
              </w:rPr>
              <w:t>Implied Discount Factor</w:t>
            </w:r>
          </w:p>
        </w:tc>
      </w:tr>
      <w:tr w:rsidR="006751FE" w:rsidRPr="00263297" w14:paraId="1E11F6EF" w14:textId="77777777" w:rsidTr="006751FE">
        <w:trPr>
          <w:trHeight w:val="290"/>
          <w:jc w:val="center"/>
        </w:trPr>
        <w:tc>
          <w:tcPr>
            <w:tcW w:w="1176" w:type="dxa"/>
            <w:tcBorders>
              <w:top w:val="nil"/>
              <w:left w:val="nil"/>
              <w:bottom w:val="nil"/>
              <w:right w:val="nil"/>
            </w:tcBorders>
            <w:noWrap/>
            <w:vAlign w:val="bottom"/>
            <w:hideMark/>
          </w:tcPr>
          <w:p w14:paraId="2E521BDF"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2025</w:t>
            </w:r>
          </w:p>
        </w:tc>
        <w:tc>
          <w:tcPr>
            <w:tcW w:w="872" w:type="dxa"/>
            <w:tcBorders>
              <w:top w:val="nil"/>
              <w:left w:val="nil"/>
              <w:bottom w:val="nil"/>
              <w:right w:val="nil"/>
            </w:tcBorders>
            <w:shd w:val="clear" w:color="auto" w:fill="FFFF00"/>
            <w:noWrap/>
            <w:hideMark/>
          </w:tcPr>
          <w:p w14:paraId="1F03F356" w14:textId="4394723B"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759ADBFE" w14:textId="329B8802"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50F6907D"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66%</w:t>
            </w:r>
          </w:p>
        </w:tc>
      </w:tr>
      <w:tr w:rsidR="006751FE" w:rsidRPr="00263297" w14:paraId="280DDF2D" w14:textId="77777777" w:rsidTr="006751FE">
        <w:trPr>
          <w:trHeight w:val="290"/>
          <w:jc w:val="center"/>
        </w:trPr>
        <w:tc>
          <w:tcPr>
            <w:tcW w:w="1176" w:type="dxa"/>
            <w:tcBorders>
              <w:top w:val="nil"/>
              <w:left w:val="nil"/>
              <w:bottom w:val="nil"/>
              <w:right w:val="nil"/>
            </w:tcBorders>
            <w:noWrap/>
            <w:vAlign w:val="bottom"/>
            <w:hideMark/>
          </w:tcPr>
          <w:p w14:paraId="323AFB67"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2026</w:t>
            </w:r>
          </w:p>
        </w:tc>
        <w:tc>
          <w:tcPr>
            <w:tcW w:w="872" w:type="dxa"/>
            <w:tcBorders>
              <w:top w:val="nil"/>
              <w:left w:val="nil"/>
              <w:bottom w:val="nil"/>
              <w:right w:val="nil"/>
            </w:tcBorders>
            <w:shd w:val="clear" w:color="auto" w:fill="FFFF00"/>
            <w:noWrap/>
            <w:hideMark/>
          </w:tcPr>
          <w:p w14:paraId="1BCB6A53" w14:textId="60B0F5B2"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65BAA5B3" w14:textId="6989288E"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4473C308"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78%</w:t>
            </w:r>
          </w:p>
        </w:tc>
      </w:tr>
      <w:tr w:rsidR="006751FE" w:rsidRPr="00263297" w14:paraId="2FEC1F8A" w14:textId="77777777" w:rsidTr="006751FE">
        <w:trPr>
          <w:trHeight w:val="290"/>
          <w:jc w:val="center"/>
        </w:trPr>
        <w:tc>
          <w:tcPr>
            <w:tcW w:w="1176" w:type="dxa"/>
            <w:tcBorders>
              <w:top w:val="nil"/>
              <w:left w:val="nil"/>
              <w:bottom w:val="nil"/>
              <w:right w:val="nil"/>
            </w:tcBorders>
            <w:noWrap/>
            <w:vAlign w:val="bottom"/>
            <w:hideMark/>
          </w:tcPr>
          <w:p w14:paraId="37378FF3"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2027</w:t>
            </w:r>
          </w:p>
        </w:tc>
        <w:tc>
          <w:tcPr>
            <w:tcW w:w="872" w:type="dxa"/>
            <w:tcBorders>
              <w:top w:val="nil"/>
              <w:left w:val="nil"/>
              <w:bottom w:val="nil"/>
              <w:right w:val="nil"/>
            </w:tcBorders>
            <w:shd w:val="clear" w:color="auto" w:fill="FFFF00"/>
            <w:noWrap/>
            <w:hideMark/>
          </w:tcPr>
          <w:p w14:paraId="699A2582" w14:textId="3139D126"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599DC9F6" w14:textId="7F7642B2"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1559C520"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77%</w:t>
            </w:r>
          </w:p>
        </w:tc>
      </w:tr>
      <w:tr w:rsidR="006751FE" w:rsidRPr="00263297" w14:paraId="64AFDA30" w14:textId="77777777" w:rsidTr="006751FE">
        <w:trPr>
          <w:trHeight w:val="290"/>
          <w:jc w:val="center"/>
        </w:trPr>
        <w:tc>
          <w:tcPr>
            <w:tcW w:w="1176" w:type="dxa"/>
            <w:tcBorders>
              <w:top w:val="nil"/>
              <w:left w:val="nil"/>
              <w:bottom w:val="nil"/>
              <w:right w:val="nil"/>
            </w:tcBorders>
            <w:noWrap/>
            <w:vAlign w:val="bottom"/>
            <w:hideMark/>
          </w:tcPr>
          <w:p w14:paraId="1082AC7B"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2028</w:t>
            </w:r>
          </w:p>
        </w:tc>
        <w:tc>
          <w:tcPr>
            <w:tcW w:w="872" w:type="dxa"/>
            <w:tcBorders>
              <w:top w:val="nil"/>
              <w:left w:val="nil"/>
              <w:bottom w:val="nil"/>
              <w:right w:val="nil"/>
            </w:tcBorders>
            <w:shd w:val="clear" w:color="auto" w:fill="FFFF00"/>
            <w:noWrap/>
            <w:hideMark/>
          </w:tcPr>
          <w:p w14:paraId="001F98C5" w14:textId="744D7999"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573465E0" w14:textId="7CECE1CE"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103537F1"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85%</w:t>
            </w:r>
          </w:p>
        </w:tc>
      </w:tr>
      <w:tr w:rsidR="006751FE" w:rsidRPr="00263297" w14:paraId="153540AD" w14:textId="77777777" w:rsidTr="006751FE">
        <w:trPr>
          <w:trHeight w:val="290"/>
          <w:jc w:val="center"/>
        </w:trPr>
        <w:tc>
          <w:tcPr>
            <w:tcW w:w="1176" w:type="dxa"/>
            <w:tcBorders>
              <w:top w:val="nil"/>
              <w:left w:val="nil"/>
              <w:bottom w:val="nil"/>
              <w:right w:val="nil"/>
            </w:tcBorders>
            <w:noWrap/>
            <w:vAlign w:val="bottom"/>
            <w:hideMark/>
          </w:tcPr>
          <w:p w14:paraId="495241C6"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2029</w:t>
            </w:r>
          </w:p>
        </w:tc>
        <w:tc>
          <w:tcPr>
            <w:tcW w:w="872" w:type="dxa"/>
            <w:tcBorders>
              <w:top w:val="nil"/>
              <w:left w:val="nil"/>
              <w:bottom w:val="nil"/>
              <w:right w:val="nil"/>
            </w:tcBorders>
            <w:shd w:val="clear" w:color="auto" w:fill="FFFF00"/>
            <w:noWrap/>
            <w:hideMark/>
          </w:tcPr>
          <w:p w14:paraId="73B216B4" w14:textId="123F3C6E"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121DE610" w14:textId="54547BD4"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200FB23B"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91%</w:t>
            </w:r>
          </w:p>
        </w:tc>
      </w:tr>
      <w:tr w:rsidR="006751FE" w:rsidRPr="00263297" w14:paraId="1890F4E5" w14:textId="77777777" w:rsidTr="006751FE">
        <w:trPr>
          <w:trHeight w:val="290"/>
          <w:jc w:val="center"/>
        </w:trPr>
        <w:tc>
          <w:tcPr>
            <w:tcW w:w="1176" w:type="dxa"/>
            <w:tcBorders>
              <w:top w:val="nil"/>
              <w:left w:val="nil"/>
              <w:bottom w:val="nil"/>
              <w:right w:val="nil"/>
            </w:tcBorders>
            <w:noWrap/>
            <w:vAlign w:val="bottom"/>
            <w:hideMark/>
          </w:tcPr>
          <w:p w14:paraId="36FEEC03"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2030</w:t>
            </w:r>
          </w:p>
        </w:tc>
        <w:tc>
          <w:tcPr>
            <w:tcW w:w="872" w:type="dxa"/>
            <w:tcBorders>
              <w:top w:val="nil"/>
              <w:left w:val="nil"/>
              <w:bottom w:val="nil"/>
              <w:right w:val="nil"/>
            </w:tcBorders>
            <w:shd w:val="clear" w:color="auto" w:fill="FFFF00"/>
            <w:noWrap/>
            <w:hideMark/>
          </w:tcPr>
          <w:p w14:paraId="6CB10DA6" w14:textId="130DCD8F"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5F657BFC" w14:textId="734B441E"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535254ED"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92%</w:t>
            </w:r>
          </w:p>
        </w:tc>
      </w:tr>
      <w:tr w:rsidR="006751FE" w:rsidRPr="00263297" w14:paraId="0F997F86" w14:textId="77777777" w:rsidTr="006751FE">
        <w:trPr>
          <w:trHeight w:val="290"/>
          <w:jc w:val="center"/>
        </w:trPr>
        <w:tc>
          <w:tcPr>
            <w:tcW w:w="1176" w:type="dxa"/>
            <w:tcBorders>
              <w:top w:val="nil"/>
              <w:left w:val="nil"/>
              <w:bottom w:val="nil"/>
              <w:right w:val="nil"/>
            </w:tcBorders>
            <w:noWrap/>
            <w:vAlign w:val="bottom"/>
            <w:hideMark/>
          </w:tcPr>
          <w:p w14:paraId="0C0FC525"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2031</w:t>
            </w:r>
          </w:p>
        </w:tc>
        <w:tc>
          <w:tcPr>
            <w:tcW w:w="872" w:type="dxa"/>
            <w:tcBorders>
              <w:top w:val="nil"/>
              <w:left w:val="nil"/>
              <w:bottom w:val="nil"/>
              <w:right w:val="nil"/>
            </w:tcBorders>
            <w:shd w:val="clear" w:color="auto" w:fill="FFFF00"/>
            <w:noWrap/>
            <w:hideMark/>
          </w:tcPr>
          <w:p w14:paraId="540AC8A6" w14:textId="1FFA0062"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3CC06897" w14:textId="59EEBC82"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3C792BFE"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95%</w:t>
            </w:r>
          </w:p>
        </w:tc>
      </w:tr>
      <w:tr w:rsidR="006751FE" w:rsidRPr="00263297" w14:paraId="6AC5BCD3" w14:textId="77777777" w:rsidTr="006751FE">
        <w:trPr>
          <w:trHeight w:val="290"/>
          <w:jc w:val="center"/>
        </w:trPr>
        <w:tc>
          <w:tcPr>
            <w:tcW w:w="1176" w:type="dxa"/>
            <w:tcBorders>
              <w:top w:val="nil"/>
              <w:left w:val="nil"/>
              <w:bottom w:val="nil"/>
              <w:right w:val="nil"/>
            </w:tcBorders>
            <w:noWrap/>
            <w:vAlign w:val="bottom"/>
            <w:hideMark/>
          </w:tcPr>
          <w:p w14:paraId="0EBDFFC4"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2032</w:t>
            </w:r>
          </w:p>
        </w:tc>
        <w:tc>
          <w:tcPr>
            <w:tcW w:w="872" w:type="dxa"/>
            <w:tcBorders>
              <w:top w:val="nil"/>
              <w:left w:val="nil"/>
              <w:bottom w:val="nil"/>
              <w:right w:val="nil"/>
            </w:tcBorders>
            <w:shd w:val="clear" w:color="auto" w:fill="FFFF00"/>
            <w:noWrap/>
            <w:hideMark/>
          </w:tcPr>
          <w:p w14:paraId="2A09ABA4" w14:textId="37262C94"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500A7736" w14:textId="64FFEB75"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3C8C3B25"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0D9ADE27" w14:textId="77777777" w:rsidTr="006751FE">
        <w:trPr>
          <w:trHeight w:val="290"/>
          <w:jc w:val="center"/>
        </w:trPr>
        <w:tc>
          <w:tcPr>
            <w:tcW w:w="1176" w:type="dxa"/>
            <w:tcBorders>
              <w:top w:val="nil"/>
              <w:left w:val="nil"/>
              <w:bottom w:val="nil"/>
              <w:right w:val="nil"/>
            </w:tcBorders>
            <w:noWrap/>
            <w:vAlign w:val="bottom"/>
            <w:hideMark/>
          </w:tcPr>
          <w:p w14:paraId="3EE9E84F"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2033</w:t>
            </w:r>
          </w:p>
        </w:tc>
        <w:tc>
          <w:tcPr>
            <w:tcW w:w="872" w:type="dxa"/>
            <w:tcBorders>
              <w:top w:val="nil"/>
              <w:left w:val="nil"/>
              <w:bottom w:val="nil"/>
              <w:right w:val="nil"/>
            </w:tcBorders>
            <w:shd w:val="clear" w:color="auto" w:fill="FFFF00"/>
            <w:noWrap/>
            <w:hideMark/>
          </w:tcPr>
          <w:p w14:paraId="2E81E9B4" w14:textId="7787980F"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48EF7169" w14:textId="0B4BF111"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24DEACE0"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1D9CC73F" w14:textId="77777777" w:rsidTr="006751FE">
        <w:trPr>
          <w:trHeight w:val="290"/>
          <w:jc w:val="center"/>
        </w:trPr>
        <w:tc>
          <w:tcPr>
            <w:tcW w:w="1176" w:type="dxa"/>
            <w:tcBorders>
              <w:top w:val="nil"/>
              <w:left w:val="nil"/>
              <w:bottom w:val="nil"/>
              <w:right w:val="nil"/>
            </w:tcBorders>
            <w:noWrap/>
            <w:vAlign w:val="bottom"/>
            <w:hideMark/>
          </w:tcPr>
          <w:p w14:paraId="09492A4E"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2034</w:t>
            </w:r>
          </w:p>
        </w:tc>
        <w:tc>
          <w:tcPr>
            <w:tcW w:w="872" w:type="dxa"/>
            <w:tcBorders>
              <w:top w:val="nil"/>
              <w:left w:val="nil"/>
              <w:bottom w:val="nil"/>
              <w:right w:val="nil"/>
            </w:tcBorders>
            <w:shd w:val="clear" w:color="auto" w:fill="FFFF00"/>
            <w:noWrap/>
            <w:hideMark/>
          </w:tcPr>
          <w:p w14:paraId="56E8A549" w14:textId="0CD554BB"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3619CF24" w14:textId="6FEAA79B"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172C67F4"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0D0843A8" w14:textId="77777777" w:rsidTr="006751FE">
        <w:trPr>
          <w:trHeight w:val="290"/>
          <w:jc w:val="center"/>
        </w:trPr>
        <w:tc>
          <w:tcPr>
            <w:tcW w:w="1176" w:type="dxa"/>
            <w:tcBorders>
              <w:top w:val="nil"/>
              <w:left w:val="nil"/>
              <w:bottom w:val="nil"/>
              <w:right w:val="nil"/>
            </w:tcBorders>
            <w:noWrap/>
            <w:vAlign w:val="bottom"/>
            <w:hideMark/>
          </w:tcPr>
          <w:p w14:paraId="229479EE"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2035</w:t>
            </w:r>
          </w:p>
        </w:tc>
        <w:tc>
          <w:tcPr>
            <w:tcW w:w="872" w:type="dxa"/>
            <w:tcBorders>
              <w:top w:val="nil"/>
              <w:left w:val="nil"/>
              <w:bottom w:val="nil"/>
              <w:right w:val="nil"/>
            </w:tcBorders>
            <w:shd w:val="clear" w:color="auto" w:fill="FFFF00"/>
            <w:noWrap/>
            <w:hideMark/>
          </w:tcPr>
          <w:p w14:paraId="35166239" w14:textId="42A45988"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36C2F87A" w14:textId="0D67E499"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70C33D01"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76868C1E" w14:textId="77777777" w:rsidTr="006751FE">
        <w:trPr>
          <w:trHeight w:val="290"/>
          <w:jc w:val="center"/>
        </w:trPr>
        <w:tc>
          <w:tcPr>
            <w:tcW w:w="1176" w:type="dxa"/>
            <w:tcBorders>
              <w:top w:val="nil"/>
              <w:left w:val="nil"/>
              <w:bottom w:val="nil"/>
              <w:right w:val="nil"/>
            </w:tcBorders>
            <w:noWrap/>
            <w:vAlign w:val="bottom"/>
            <w:hideMark/>
          </w:tcPr>
          <w:p w14:paraId="111833EA"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2036</w:t>
            </w:r>
          </w:p>
        </w:tc>
        <w:tc>
          <w:tcPr>
            <w:tcW w:w="872" w:type="dxa"/>
            <w:tcBorders>
              <w:top w:val="nil"/>
              <w:left w:val="nil"/>
              <w:bottom w:val="nil"/>
              <w:right w:val="nil"/>
            </w:tcBorders>
            <w:shd w:val="clear" w:color="auto" w:fill="FFFF00"/>
            <w:noWrap/>
            <w:hideMark/>
          </w:tcPr>
          <w:p w14:paraId="688C4E1B" w14:textId="7613C243"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699D4131" w14:textId="1902D8A6"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50DAD768"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2B5EE8BD" w14:textId="77777777" w:rsidTr="006751FE">
        <w:trPr>
          <w:trHeight w:val="290"/>
          <w:jc w:val="center"/>
        </w:trPr>
        <w:tc>
          <w:tcPr>
            <w:tcW w:w="1176" w:type="dxa"/>
            <w:tcBorders>
              <w:top w:val="nil"/>
              <w:left w:val="nil"/>
              <w:bottom w:val="nil"/>
              <w:right w:val="nil"/>
            </w:tcBorders>
            <w:noWrap/>
            <w:vAlign w:val="bottom"/>
            <w:hideMark/>
          </w:tcPr>
          <w:p w14:paraId="22BA44D9"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2037</w:t>
            </w:r>
          </w:p>
        </w:tc>
        <w:tc>
          <w:tcPr>
            <w:tcW w:w="872" w:type="dxa"/>
            <w:tcBorders>
              <w:top w:val="nil"/>
              <w:left w:val="nil"/>
              <w:bottom w:val="nil"/>
              <w:right w:val="nil"/>
            </w:tcBorders>
            <w:shd w:val="clear" w:color="auto" w:fill="FFFF00"/>
            <w:noWrap/>
            <w:hideMark/>
          </w:tcPr>
          <w:p w14:paraId="5EF00CAD" w14:textId="6494BE74"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3A232C81" w14:textId="6F56F4D6"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726F1AAA"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4418A68D" w14:textId="77777777" w:rsidTr="006751FE">
        <w:trPr>
          <w:trHeight w:val="290"/>
          <w:jc w:val="center"/>
        </w:trPr>
        <w:tc>
          <w:tcPr>
            <w:tcW w:w="1176" w:type="dxa"/>
            <w:tcBorders>
              <w:top w:val="nil"/>
              <w:left w:val="nil"/>
              <w:bottom w:val="nil"/>
              <w:right w:val="nil"/>
            </w:tcBorders>
            <w:noWrap/>
            <w:vAlign w:val="bottom"/>
            <w:hideMark/>
          </w:tcPr>
          <w:p w14:paraId="73137399"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2038</w:t>
            </w:r>
          </w:p>
        </w:tc>
        <w:tc>
          <w:tcPr>
            <w:tcW w:w="872" w:type="dxa"/>
            <w:tcBorders>
              <w:top w:val="nil"/>
              <w:left w:val="nil"/>
              <w:bottom w:val="nil"/>
              <w:right w:val="nil"/>
            </w:tcBorders>
            <w:shd w:val="clear" w:color="auto" w:fill="FFFF00"/>
            <w:noWrap/>
            <w:hideMark/>
          </w:tcPr>
          <w:p w14:paraId="4C46A5B9" w14:textId="7E6EFB4C"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4D508ED6" w14:textId="51E7D476"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26847F69"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36D5097B" w14:textId="77777777" w:rsidTr="006751FE">
        <w:trPr>
          <w:trHeight w:val="290"/>
          <w:jc w:val="center"/>
        </w:trPr>
        <w:tc>
          <w:tcPr>
            <w:tcW w:w="1176" w:type="dxa"/>
            <w:tcBorders>
              <w:top w:val="nil"/>
              <w:left w:val="nil"/>
              <w:bottom w:val="nil"/>
              <w:right w:val="nil"/>
            </w:tcBorders>
            <w:noWrap/>
            <w:vAlign w:val="bottom"/>
            <w:hideMark/>
          </w:tcPr>
          <w:p w14:paraId="00BA4D09"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2039</w:t>
            </w:r>
          </w:p>
        </w:tc>
        <w:tc>
          <w:tcPr>
            <w:tcW w:w="872" w:type="dxa"/>
            <w:tcBorders>
              <w:top w:val="nil"/>
              <w:left w:val="nil"/>
              <w:bottom w:val="nil"/>
              <w:right w:val="nil"/>
            </w:tcBorders>
            <w:shd w:val="clear" w:color="auto" w:fill="FFFF00"/>
            <w:noWrap/>
            <w:hideMark/>
          </w:tcPr>
          <w:p w14:paraId="062A15A2" w14:textId="0C8AB789"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178CA6A5" w14:textId="1ED95A5C"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09E1CF29"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2B403A9E" w14:textId="77777777" w:rsidTr="006751FE">
        <w:trPr>
          <w:trHeight w:val="290"/>
          <w:jc w:val="center"/>
        </w:trPr>
        <w:tc>
          <w:tcPr>
            <w:tcW w:w="1176" w:type="dxa"/>
            <w:tcBorders>
              <w:top w:val="nil"/>
              <w:left w:val="nil"/>
              <w:bottom w:val="nil"/>
              <w:right w:val="nil"/>
            </w:tcBorders>
            <w:noWrap/>
            <w:vAlign w:val="bottom"/>
            <w:hideMark/>
          </w:tcPr>
          <w:p w14:paraId="25D97873"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2040</w:t>
            </w:r>
          </w:p>
        </w:tc>
        <w:tc>
          <w:tcPr>
            <w:tcW w:w="872" w:type="dxa"/>
            <w:tcBorders>
              <w:top w:val="nil"/>
              <w:left w:val="nil"/>
              <w:bottom w:val="nil"/>
              <w:right w:val="nil"/>
            </w:tcBorders>
            <w:shd w:val="clear" w:color="auto" w:fill="FFFF00"/>
            <w:noWrap/>
            <w:hideMark/>
          </w:tcPr>
          <w:p w14:paraId="22EEABBF" w14:textId="304E5349"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393F7B4E" w14:textId="3C830EDC"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536A2CA9"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657ED3D8" w14:textId="77777777" w:rsidTr="006751FE">
        <w:trPr>
          <w:trHeight w:val="290"/>
          <w:jc w:val="center"/>
        </w:trPr>
        <w:tc>
          <w:tcPr>
            <w:tcW w:w="1176" w:type="dxa"/>
            <w:tcBorders>
              <w:top w:val="nil"/>
              <w:left w:val="nil"/>
              <w:bottom w:val="nil"/>
              <w:right w:val="nil"/>
            </w:tcBorders>
            <w:noWrap/>
            <w:vAlign w:val="bottom"/>
            <w:hideMark/>
          </w:tcPr>
          <w:p w14:paraId="5A159677"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2041</w:t>
            </w:r>
          </w:p>
        </w:tc>
        <w:tc>
          <w:tcPr>
            <w:tcW w:w="872" w:type="dxa"/>
            <w:tcBorders>
              <w:top w:val="nil"/>
              <w:left w:val="nil"/>
              <w:bottom w:val="nil"/>
              <w:right w:val="nil"/>
            </w:tcBorders>
            <w:shd w:val="clear" w:color="auto" w:fill="FFFF00"/>
            <w:noWrap/>
            <w:hideMark/>
          </w:tcPr>
          <w:p w14:paraId="093A2F9F" w14:textId="276774C5"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184198D1" w14:textId="7CFD01EC"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27904A4A"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6743B1D0" w14:textId="77777777" w:rsidTr="006751FE">
        <w:trPr>
          <w:trHeight w:val="290"/>
          <w:jc w:val="center"/>
        </w:trPr>
        <w:tc>
          <w:tcPr>
            <w:tcW w:w="1176" w:type="dxa"/>
            <w:tcBorders>
              <w:top w:val="nil"/>
              <w:left w:val="nil"/>
              <w:bottom w:val="nil"/>
              <w:right w:val="nil"/>
            </w:tcBorders>
            <w:noWrap/>
            <w:vAlign w:val="bottom"/>
            <w:hideMark/>
          </w:tcPr>
          <w:p w14:paraId="4D91F2F0"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2042</w:t>
            </w:r>
          </w:p>
        </w:tc>
        <w:tc>
          <w:tcPr>
            <w:tcW w:w="872" w:type="dxa"/>
            <w:tcBorders>
              <w:top w:val="nil"/>
              <w:left w:val="nil"/>
              <w:bottom w:val="nil"/>
              <w:right w:val="nil"/>
            </w:tcBorders>
            <w:shd w:val="clear" w:color="auto" w:fill="FFFF00"/>
            <w:noWrap/>
            <w:hideMark/>
          </w:tcPr>
          <w:p w14:paraId="7321C97C" w14:textId="1DB01E87"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723B9441" w14:textId="56AE0704"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72B36557"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96%</w:t>
            </w:r>
          </w:p>
        </w:tc>
      </w:tr>
      <w:tr w:rsidR="006751FE" w:rsidRPr="00263297" w14:paraId="52A3653D" w14:textId="77777777" w:rsidTr="006751FE">
        <w:trPr>
          <w:trHeight w:val="290"/>
          <w:jc w:val="center"/>
        </w:trPr>
        <w:tc>
          <w:tcPr>
            <w:tcW w:w="1176" w:type="dxa"/>
            <w:tcBorders>
              <w:top w:val="nil"/>
              <w:left w:val="nil"/>
              <w:bottom w:val="nil"/>
              <w:right w:val="nil"/>
            </w:tcBorders>
            <w:noWrap/>
            <w:vAlign w:val="bottom"/>
            <w:hideMark/>
          </w:tcPr>
          <w:p w14:paraId="2B097877"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2043</w:t>
            </w:r>
          </w:p>
        </w:tc>
        <w:tc>
          <w:tcPr>
            <w:tcW w:w="872" w:type="dxa"/>
            <w:tcBorders>
              <w:top w:val="nil"/>
              <w:left w:val="nil"/>
              <w:bottom w:val="nil"/>
              <w:right w:val="nil"/>
            </w:tcBorders>
            <w:shd w:val="clear" w:color="auto" w:fill="FFFF00"/>
            <w:noWrap/>
            <w:hideMark/>
          </w:tcPr>
          <w:p w14:paraId="255F4965" w14:textId="14765A59"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538F6B33" w14:textId="34760B68"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4010769E"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95%</w:t>
            </w:r>
          </w:p>
        </w:tc>
      </w:tr>
      <w:tr w:rsidR="006751FE" w:rsidRPr="00263297" w14:paraId="296F7A7B" w14:textId="77777777" w:rsidTr="006751FE">
        <w:trPr>
          <w:trHeight w:val="290"/>
          <w:jc w:val="center"/>
        </w:trPr>
        <w:tc>
          <w:tcPr>
            <w:tcW w:w="1176" w:type="dxa"/>
            <w:tcBorders>
              <w:top w:val="nil"/>
              <w:left w:val="nil"/>
              <w:bottom w:val="nil"/>
              <w:right w:val="nil"/>
            </w:tcBorders>
            <w:noWrap/>
            <w:vAlign w:val="bottom"/>
            <w:hideMark/>
          </w:tcPr>
          <w:p w14:paraId="616FA6D5"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2044</w:t>
            </w:r>
          </w:p>
        </w:tc>
        <w:tc>
          <w:tcPr>
            <w:tcW w:w="872" w:type="dxa"/>
            <w:tcBorders>
              <w:top w:val="nil"/>
              <w:left w:val="nil"/>
              <w:bottom w:val="nil"/>
              <w:right w:val="nil"/>
            </w:tcBorders>
            <w:shd w:val="clear" w:color="auto" w:fill="FFFF00"/>
            <w:noWrap/>
            <w:hideMark/>
          </w:tcPr>
          <w:p w14:paraId="136012C5" w14:textId="6AA02B7C"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290" w:type="dxa"/>
            <w:tcBorders>
              <w:top w:val="nil"/>
              <w:left w:val="nil"/>
              <w:bottom w:val="nil"/>
              <w:right w:val="nil"/>
            </w:tcBorders>
            <w:shd w:val="clear" w:color="auto" w:fill="FFFF00"/>
            <w:noWrap/>
            <w:hideMark/>
          </w:tcPr>
          <w:p w14:paraId="67BCDDCA" w14:textId="35EC3C06" w:rsidR="006751FE" w:rsidRPr="0040134E" w:rsidRDefault="006751FE" w:rsidP="006751FE">
            <w:pPr>
              <w:jc w:val="right"/>
              <w:rPr>
                <w:rFonts w:ascii="Calibri" w:eastAsia="Times New Roman" w:hAnsi="Calibri" w:cs="Calibri"/>
                <w:color w:val="000000" w:themeColor="text1"/>
              </w:rPr>
            </w:pPr>
            <w:r w:rsidRPr="0081595A">
              <w:rPr>
                <w:rFonts w:ascii="Calibri" w:eastAsia="Times New Roman" w:hAnsi="Calibri" w:cs="Calibri"/>
                <w:color w:val="000000"/>
                <w:highlight w:val="black"/>
              </w:rPr>
              <w:t>XXXX</w:t>
            </w:r>
          </w:p>
        </w:tc>
        <w:tc>
          <w:tcPr>
            <w:tcW w:w="1191" w:type="dxa"/>
            <w:tcBorders>
              <w:top w:val="nil"/>
              <w:left w:val="nil"/>
              <w:bottom w:val="nil"/>
              <w:right w:val="nil"/>
            </w:tcBorders>
            <w:noWrap/>
            <w:vAlign w:val="bottom"/>
            <w:hideMark/>
          </w:tcPr>
          <w:p w14:paraId="5395807F" w14:textId="77777777" w:rsidR="006751FE" w:rsidRPr="00263297" w:rsidRDefault="006751FE" w:rsidP="006751FE">
            <w:pPr>
              <w:jc w:val="right"/>
              <w:rPr>
                <w:rFonts w:ascii="Calibri" w:eastAsia="Times New Roman" w:hAnsi="Calibri" w:cs="Calibri"/>
                <w:color w:val="000000"/>
              </w:rPr>
            </w:pPr>
            <w:r w:rsidRPr="00263297">
              <w:rPr>
                <w:rFonts w:ascii="Calibri" w:eastAsia="Times New Roman" w:hAnsi="Calibri" w:cs="Calibri"/>
                <w:color w:val="000000"/>
              </w:rPr>
              <w:t>95%</w:t>
            </w:r>
          </w:p>
        </w:tc>
      </w:tr>
    </w:tbl>
    <w:p w14:paraId="703B612A" w14:textId="0A65FF9B" w:rsidR="00D80E86" w:rsidRDefault="00D80E86" w:rsidP="00D80E86">
      <w:pPr>
        <w:pStyle w:val="Question"/>
      </w:pPr>
      <w:r>
        <w:t>Q.</w:t>
      </w:r>
      <w:r>
        <w:tab/>
        <w:t>Which scenario is staff’s preferred scenario?</w:t>
      </w:r>
    </w:p>
    <w:p w14:paraId="7CC96C4B" w14:textId="525C2019" w:rsidR="005E4CED" w:rsidRDefault="00D80E86" w:rsidP="0040134E">
      <w:pPr>
        <w:pStyle w:val="Answers"/>
        <w:rPr>
          <w:rFonts w:eastAsia="Times New Roman" w:cs="Times New Roman"/>
        </w:rPr>
      </w:pPr>
      <w:r>
        <w:t>A.</w:t>
      </w:r>
      <w:r>
        <w:tab/>
      </w:r>
      <w:r w:rsidR="0011583B">
        <w:t>We</w:t>
      </w:r>
      <w:r>
        <w:t xml:space="preserve"> recommend Staff Scenario </w:t>
      </w:r>
      <w:r w:rsidR="6B929BF4">
        <w:t>1</w:t>
      </w:r>
      <w:r>
        <w:t xml:space="preserve">. </w:t>
      </w:r>
      <w:r w:rsidR="2589809D" w:rsidRPr="5CEB4324">
        <w:rPr>
          <w:rFonts w:eastAsia="Times New Roman" w:cs="Times New Roman"/>
        </w:rPr>
        <w:t xml:space="preserve">The biggest risk to </w:t>
      </w:r>
      <w:r w:rsidR="00D059DD">
        <w:rPr>
          <w:rFonts w:eastAsia="Times New Roman" w:cs="Times New Roman"/>
        </w:rPr>
        <w:t>non-large load</w:t>
      </w:r>
      <w:r w:rsidR="2589809D" w:rsidRPr="5CEB4324">
        <w:rPr>
          <w:rFonts w:eastAsia="Times New Roman" w:cs="Times New Roman"/>
        </w:rPr>
        <w:t xml:space="preserve"> customers in this proceeding is </w:t>
      </w:r>
      <w:r w:rsidR="00D32735">
        <w:rPr>
          <w:rFonts w:eastAsia="Times New Roman" w:cs="Times New Roman"/>
        </w:rPr>
        <w:t xml:space="preserve">the Company </w:t>
      </w:r>
      <w:r w:rsidR="2589809D" w:rsidRPr="5CEB4324">
        <w:rPr>
          <w:rFonts w:eastAsia="Times New Roman" w:cs="Times New Roman"/>
        </w:rPr>
        <w:t xml:space="preserve">spending </w:t>
      </w:r>
      <w:r w:rsidR="2589809D" w:rsidRPr="7BB90358">
        <w:rPr>
          <w:rFonts w:eastAsia="Times New Roman" w:cs="Times New Roman"/>
        </w:rPr>
        <w:t>money</w:t>
      </w:r>
      <w:r w:rsidR="2589809D" w:rsidRPr="5CEB4324">
        <w:rPr>
          <w:rFonts w:eastAsia="Times New Roman" w:cs="Times New Roman"/>
        </w:rPr>
        <w:t xml:space="preserve"> on </w:t>
      </w:r>
      <w:r w:rsidR="006408BA">
        <w:rPr>
          <w:rFonts w:eastAsia="Times New Roman" w:cs="Times New Roman"/>
        </w:rPr>
        <w:t xml:space="preserve">capacity for </w:t>
      </w:r>
      <w:r w:rsidR="2589809D" w:rsidRPr="5CEB4324">
        <w:rPr>
          <w:rFonts w:eastAsia="Times New Roman" w:cs="Times New Roman"/>
        </w:rPr>
        <w:t>speculative load</w:t>
      </w:r>
      <w:r w:rsidR="00C11392">
        <w:rPr>
          <w:rFonts w:eastAsia="Times New Roman" w:cs="Times New Roman"/>
        </w:rPr>
        <w:t>.</w:t>
      </w:r>
      <w:r w:rsidR="2589809D" w:rsidRPr="5CEB4324">
        <w:rPr>
          <w:rFonts w:eastAsia="Times New Roman" w:cs="Times New Roman"/>
        </w:rPr>
        <w:t xml:space="preserve"> </w:t>
      </w:r>
      <w:r w:rsidR="00C11392">
        <w:rPr>
          <w:rFonts w:eastAsia="Times New Roman" w:cs="Times New Roman"/>
        </w:rPr>
        <w:t>I</w:t>
      </w:r>
      <w:r w:rsidR="2589809D" w:rsidRPr="5CEB4324">
        <w:rPr>
          <w:rFonts w:eastAsia="Times New Roman" w:cs="Times New Roman"/>
        </w:rPr>
        <w:t xml:space="preserve">f the </w:t>
      </w:r>
      <w:r w:rsidR="005E4CED">
        <w:rPr>
          <w:rFonts w:eastAsia="Times New Roman" w:cs="Times New Roman"/>
        </w:rPr>
        <w:t>D</w:t>
      </w:r>
      <w:r w:rsidR="009C7649">
        <w:rPr>
          <w:rFonts w:eastAsia="Times New Roman" w:cs="Times New Roman"/>
        </w:rPr>
        <w:t xml:space="preserve">ata </w:t>
      </w:r>
      <w:r w:rsidR="005E4CED">
        <w:rPr>
          <w:rFonts w:eastAsia="Times New Roman" w:cs="Times New Roman"/>
        </w:rPr>
        <w:t>C</w:t>
      </w:r>
      <w:r w:rsidR="009C7649">
        <w:rPr>
          <w:rFonts w:eastAsia="Times New Roman" w:cs="Times New Roman"/>
        </w:rPr>
        <w:t xml:space="preserve">enter </w:t>
      </w:r>
      <w:r w:rsidR="2589809D" w:rsidRPr="5CEB4324">
        <w:rPr>
          <w:rFonts w:eastAsia="Times New Roman" w:cs="Times New Roman"/>
        </w:rPr>
        <w:t>load does not materialize on time or does not materialize at all</w:t>
      </w:r>
      <w:r w:rsidR="005E4CED">
        <w:rPr>
          <w:rFonts w:eastAsia="Times New Roman" w:cs="Times New Roman"/>
        </w:rPr>
        <w:t>,</w:t>
      </w:r>
      <w:r w:rsidR="005D7337">
        <w:rPr>
          <w:rFonts w:eastAsia="Times New Roman" w:cs="Times New Roman"/>
        </w:rPr>
        <w:t xml:space="preserve"> non-large load customers</w:t>
      </w:r>
      <w:r w:rsidR="00EE5067">
        <w:rPr>
          <w:rFonts w:eastAsia="Times New Roman" w:cs="Times New Roman"/>
        </w:rPr>
        <w:t xml:space="preserve"> would be</w:t>
      </w:r>
      <w:r w:rsidR="00A70507">
        <w:rPr>
          <w:rFonts w:eastAsia="Times New Roman" w:cs="Times New Roman"/>
        </w:rPr>
        <w:t xml:space="preserve">come the </w:t>
      </w:r>
      <w:r w:rsidR="00D54B33">
        <w:rPr>
          <w:rFonts w:eastAsia="Times New Roman" w:cs="Times New Roman"/>
        </w:rPr>
        <w:t xml:space="preserve">backstop </w:t>
      </w:r>
      <w:r w:rsidR="00563AAB">
        <w:rPr>
          <w:rFonts w:eastAsia="Times New Roman" w:cs="Times New Roman"/>
        </w:rPr>
        <w:t>and burden</w:t>
      </w:r>
      <w:r w:rsidR="005E4CED">
        <w:rPr>
          <w:rFonts w:eastAsia="Times New Roman" w:cs="Times New Roman"/>
        </w:rPr>
        <w:t>ed</w:t>
      </w:r>
      <w:r w:rsidR="00563AAB">
        <w:rPr>
          <w:rFonts w:eastAsia="Times New Roman" w:cs="Times New Roman"/>
        </w:rPr>
        <w:t xml:space="preserve"> by </w:t>
      </w:r>
      <w:r w:rsidR="004263F7">
        <w:rPr>
          <w:rFonts w:eastAsia="Times New Roman" w:cs="Times New Roman"/>
        </w:rPr>
        <w:t>the</w:t>
      </w:r>
      <w:r w:rsidR="00563AAB">
        <w:rPr>
          <w:rFonts w:eastAsia="Times New Roman" w:cs="Times New Roman"/>
        </w:rPr>
        <w:t xml:space="preserve"> costs</w:t>
      </w:r>
      <w:r w:rsidR="00275ECE">
        <w:rPr>
          <w:rFonts w:eastAsia="Times New Roman" w:cs="Times New Roman"/>
        </w:rPr>
        <w:t xml:space="preserve"> of the </w:t>
      </w:r>
      <w:r w:rsidR="001F4A7C">
        <w:rPr>
          <w:rFonts w:eastAsia="Times New Roman" w:cs="Times New Roman"/>
        </w:rPr>
        <w:t xml:space="preserve">unnecessary </w:t>
      </w:r>
      <w:r w:rsidR="00BC3AD1">
        <w:rPr>
          <w:rFonts w:eastAsia="Times New Roman" w:cs="Times New Roman"/>
        </w:rPr>
        <w:t>capacity</w:t>
      </w:r>
      <w:r w:rsidR="00EB11E3" w:rsidRPr="29AB9303">
        <w:rPr>
          <w:rFonts w:eastAsia="Times New Roman" w:cs="Times New Roman"/>
        </w:rPr>
        <w:t>.</w:t>
      </w:r>
      <w:r w:rsidR="00EB11E3" w:rsidRPr="5CEB4324">
        <w:rPr>
          <w:rFonts w:eastAsia="Times New Roman" w:cs="Times New Roman"/>
        </w:rPr>
        <w:t xml:space="preserve"> </w:t>
      </w:r>
    </w:p>
    <w:p w14:paraId="139FAA05" w14:textId="78B6199F" w:rsidR="2589809D" w:rsidRDefault="005E4CED" w:rsidP="0040134E">
      <w:pPr>
        <w:pStyle w:val="Answers"/>
        <w:rPr>
          <w:rFonts w:eastAsia="Times New Roman" w:cs="Times New Roman"/>
        </w:rPr>
      </w:pPr>
      <w:r>
        <w:lastRenderedPageBreak/>
        <w:tab/>
      </w:r>
      <w:r>
        <w:tab/>
      </w:r>
      <w:r w:rsidR="2589809D" w:rsidRPr="5CEB4324">
        <w:rPr>
          <w:rFonts w:eastAsia="Times New Roman" w:cs="Times New Roman"/>
        </w:rPr>
        <w:t>Scenario 1 restricts the LRM to projects with signed Contracts for Electric Service, which makes it the option with the least risk to existing customers</w:t>
      </w:r>
      <w:r w:rsidR="00550223" w:rsidRPr="5CEB4324">
        <w:rPr>
          <w:rFonts w:eastAsia="Times New Roman" w:cs="Times New Roman"/>
        </w:rPr>
        <w:t xml:space="preserve">. </w:t>
      </w:r>
      <w:r w:rsidR="2589809D" w:rsidRPr="5CEB4324">
        <w:rPr>
          <w:rFonts w:eastAsia="Times New Roman" w:cs="Times New Roman"/>
        </w:rPr>
        <w:t>Under this scenario, the Company would not start spending money on new capacity until it had a contract to back that capacity. Scenario 1 would reduce the capacity cost of the Company’s proposal by approximately $</w:t>
      </w:r>
      <w:r w:rsidR="00390222">
        <w:rPr>
          <w:rFonts w:eastAsia="Times New Roman" w:cs="Times New Roman"/>
        </w:rPr>
        <w:t>17.5</w:t>
      </w:r>
      <w:r w:rsidR="2589809D" w:rsidRPr="5CEB4324">
        <w:rPr>
          <w:rFonts w:eastAsia="Times New Roman" w:cs="Times New Roman"/>
        </w:rPr>
        <w:t xml:space="preserve"> billion</w:t>
      </w:r>
      <w:r w:rsidR="00550223" w:rsidRPr="5CEB4324">
        <w:rPr>
          <w:rFonts w:eastAsia="Times New Roman" w:cs="Times New Roman"/>
        </w:rPr>
        <w:t xml:space="preserve">. </w:t>
      </w:r>
      <w:r w:rsidR="00E14FD2">
        <w:rPr>
          <w:rFonts w:eastAsia="Times New Roman" w:cs="Times New Roman"/>
        </w:rPr>
        <w:t>Given the restriction to projects with contract</w:t>
      </w:r>
      <w:r w:rsidR="00664B3E">
        <w:rPr>
          <w:rFonts w:eastAsia="Times New Roman" w:cs="Times New Roman"/>
        </w:rPr>
        <w:t>s</w:t>
      </w:r>
      <w:r w:rsidR="00E14FD2">
        <w:rPr>
          <w:rFonts w:eastAsia="Times New Roman" w:cs="Times New Roman"/>
        </w:rPr>
        <w:t xml:space="preserve"> only, Staff does not propose any adjustments to the underlying assumptions in the LRM in this scenario.</w:t>
      </w:r>
    </w:p>
    <w:p w14:paraId="2D93B066" w14:textId="09495676" w:rsidR="2589809D" w:rsidRDefault="2589809D" w:rsidP="0040134E">
      <w:pPr>
        <w:spacing w:before="480" w:line="480" w:lineRule="auto"/>
        <w:ind w:left="720" w:hanging="720"/>
        <w:rPr>
          <w:rFonts w:eastAsia="Times New Roman"/>
          <w:b/>
          <w:bCs/>
          <w:caps/>
          <w:sz w:val="24"/>
          <w:szCs w:val="24"/>
        </w:rPr>
      </w:pPr>
      <w:r w:rsidRPr="3C857C0F">
        <w:rPr>
          <w:rFonts w:eastAsia="Times New Roman"/>
          <w:b/>
          <w:bCs/>
          <w:caps/>
          <w:sz w:val="24"/>
          <w:szCs w:val="24"/>
        </w:rPr>
        <w:t>Q.</w:t>
      </w:r>
      <w:r>
        <w:tab/>
      </w:r>
      <w:r w:rsidRPr="3C857C0F">
        <w:rPr>
          <w:rFonts w:eastAsia="Times New Roman"/>
          <w:b/>
          <w:bCs/>
          <w:caps/>
          <w:sz w:val="24"/>
          <w:szCs w:val="24"/>
        </w:rPr>
        <w:t>IS scenario 1 rISK fREE FOR EXISTING CUSTOMERS?</w:t>
      </w:r>
    </w:p>
    <w:p w14:paraId="02C8A0E4" w14:textId="02389087" w:rsidR="00E14FD2" w:rsidRDefault="2589809D" w:rsidP="00546972">
      <w:pPr>
        <w:pStyle w:val="Answers"/>
      </w:pPr>
      <w:r w:rsidRPr="5CEB4324">
        <w:t>A.</w:t>
      </w:r>
      <w:r>
        <w:tab/>
      </w:r>
      <w:r w:rsidRPr="5CEB4324">
        <w:t>No. Even Scenario 1 is not risk free to existing customers.</w:t>
      </w:r>
      <w:r w:rsidR="009F48EA">
        <w:t xml:space="preserve"> </w:t>
      </w:r>
      <w:r w:rsidRPr="5CEB4324">
        <w:t>Scenario 1 includes both contracts under the new rules and regulations as well as legacy large load contracts which were signed before 2025</w:t>
      </w:r>
      <w:r w:rsidR="00550223" w:rsidRPr="5CEB4324">
        <w:t xml:space="preserve">. </w:t>
      </w:r>
      <w:r w:rsidR="00E14FD2" w:rsidRPr="5CEB4324">
        <w:t>While the large load contracts under the new rules are designed to protect existing customers from bearing any of the costs of adding new large customers</w:t>
      </w:r>
      <w:r w:rsidR="00E14FD2">
        <w:rPr>
          <w:rStyle w:val="FootnoteReference"/>
          <w:rFonts w:eastAsia="Times New Roman"/>
        </w:rPr>
        <w:footnoteReference w:id="64"/>
      </w:r>
      <w:r w:rsidR="00E14FD2" w:rsidRPr="5CEB4324">
        <w:t xml:space="preserve">, the majority of the load under contract </w:t>
      </w:r>
      <w:r w:rsidR="00E77CC2">
        <w:t>are</w:t>
      </w:r>
      <w:r w:rsidR="00E14FD2" w:rsidRPr="5CEB4324">
        <w:t xml:space="preserve"> legacy contracts, which offer far fewer protections. </w:t>
      </w:r>
    </w:p>
    <w:p w14:paraId="7334B45C" w14:textId="58B33058" w:rsidR="009F48EA" w:rsidRDefault="009F48EA" w:rsidP="00CD39F9">
      <w:pPr>
        <w:spacing w:line="480" w:lineRule="auto"/>
        <w:ind w:left="720" w:firstLine="720"/>
      </w:pPr>
      <w:r>
        <w:rPr>
          <w:rFonts w:eastAsia="Times New Roman"/>
          <w:sz w:val="24"/>
          <w:szCs w:val="24"/>
        </w:rPr>
        <w:t xml:space="preserve">As shown in </w:t>
      </w:r>
      <w:r>
        <w:rPr>
          <w:rFonts w:eastAsia="Times New Roman"/>
          <w:sz w:val="24"/>
          <w:szCs w:val="24"/>
        </w:rPr>
        <w:fldChar w:fldCharType="begin"/>
      </w:r>
      <w:r>
        <w:rPr>
          <w:rFonts w:eastAsia="Times New Roman"/>
          <w:sz w:val="24"/>
          <w:szCs w:val="24"/>
        </w:rPr>
        <w:instrText xml:space="preserve"> REF _Ref213337733 \h </w:instrText>
      </w:r>
      <w:r>
        <w:rPr>
          <w:rFonts w:eastAsia="Times New Roman"/>
          <w:sz w:val="24"/>
          <w:szCs w:val="24"/>
        </w:rPr>
      </w:r>
      <w:r>
        <w:rPr>
          <w:rFonts w:eastAsia="Times New Roman"/>
          <w:sz w:val="24"/>
          <w:szCs w:val="24"/>
        </w:rPr>
        <w:fldChar w:fldCharType="separate"/>
      </w:r>
      <w:r w:rsidR="00220F39">
        <w:t xml:space="preserve">Figure </w:t>
      </w:r>
      <w:r w:rsidR="00220F39">
        <w:rPr>
          <w:noProof/>
        </w:rPr>
        <w:t>10</w:t>
      </w:r>
      <w:r>
        <w:rPr>
          <w:rFonts w:eastAsia="Times New Roman"/>
          <w:sz w:val="24"/>
          <w:szCs w:val="24"/>
        </w:rPr>
        <w:fldChar w:fldCharType="end"/>
      </w:r>
      <w:r>
        <w:rPr>
          <w:rFonts w:eastAsia="Times New Roman"/>
          <w:sz w:val="24"/>
          <w:szCs w:val="24"/>
        </w:rPr>
        <w:t xml:space="preserve">, </w:t>
      </w:r>
      <w:r w:rsidR="00E14FD2">
        <w:rPr>
          <w:rFonts w:eastAsia="Times New Roman"/>
          <w:sz w:val="24"/>
          <w:szCs w:val="24"/>
        </w:rPr>
        <w:t>o</w:t>
      </w:r>
      <w:r>
        <w:rPr>
          <w:rFonts w:eastAsia="Times New Roman"/>
          <w:sz w:val="24"/>
          <w:szCs w:val="24"/>
        </w:rPr>
        <w:t xml:space="preserve">nly </w:t>
      </w:r>
      <w:r w:rsidR="00E14FD2">
        <w:rPr>
          <w:rFonts w:eastAsia="Times New Roman"/>
          <w:sz w:val="24"/>
          <w:szCs w:val="24"/>
        </w:rPr>
        <w:t>~2</w:t>
      </w:r>
      <w:r w:rsidR="005E4CED">
        <w:rPr>
          <w:rFonts w:eastAsia="Times New Roman"/>
          <w:sz w:val="24"/>
          <w:szCs w:val="24"/>
        </w:rPr>
        <w:t>1</w:t>
      </w:r>
      <w:r w:rsidR="00E14FD2">
        <w:rPr>
          <w:rFonts w:eastAsia="Times New Roman"/>
          <w:sz w:val="24"/>
          <w:szCs w:val="24"/>
        </w:rPr>
        <w:t>% of the requested load increase is covered under the new rules and regulations approved by the Commission, while the remaining 7</w:t>
      </w:r>
      <w:r w:rsidR="005E4CED">
        <w:rPr>
          <w:rFonts w:eastAsia="Times New Roman"/>
          <w:sz w:val="24"/>
          <w:szCs w:val="24"/>
        </w:rPr>
        <w:t>9</w:t>
      </w:r>
      <w:r w:rsidR="00E14FD2">
        <w:rPr>
          <w:rFonts w:eastAsia="Times New Roman"/>
          <w:sz w:val="24"/>
          <w:szCs w:val="24"/>
        </w:rPr>
        <w:t xml:space="preserve">% offer </w:t>
      </w:r>
      <w:r w:rsidR="001D53C0">
        <w:rPr>
          <w:rFonts w:eastAsia="Times New Roman"/>
          <w:sz w:val="24"/>
          <w:szCs w:val="24"/>
        </w:rPr>
        <w:t>far fewer</w:t>
      </w:r>
      <w:r w:rsidR="00E14FD2">
        <w:rPr>
          <w:rFonts w:eastAsia="Times New Roman"/>
          <w:sz w:val="24"/>
          <w:szCs w:val="24"/>
        </w:rPr>
        <w:t xml:space="preserve"> protections to existing ratepayers. </w:t>
      </w:r>
      <w:r w:rsidR="005E4CED">
        <w:rPr>
          <w:rFonts w:eastAsia="Times New Roman"/>
          <w:sz w:val="24"/>
          <w:szCs w:val="24"/>
        </w:rPr>
        <w:t>Many of the legacy contracts contributing to load in 2031 are already covered by prior procurements. The remaining uncovered l</w:t>
      </w:r>
      <w:r w:rsidR="00E14FD2" w:rsidRPr="5CEB4324">
        <w:rPr>
          <w:rFonts w:eastAsia="Times New Roman"/>
          <w:sz w:val="24"/>
          <w:szCs w:val="24"/>
        </w:rPr>
        <w:t xml:space="preserve">egacy </w:t>
      </w:r>
      <w:r w:rsidR="00E14FD2" w:rsidRPr="5CEB4324">
        <w:rPr>
          <w:rFonts w:eastAsia="Times New Roman"/>
          <w:sz w:val="24"/>
          <w:szCs w:val="24"/>
        </w:rPr>
        <w:lastRenderedPageBreak/>
        <w:t>contracts have shorter terms and lack the minimum bill, security, and termination payment provisions of the new contracts</w:t>
      </w:r>
      <w:r w:rsidR="005E4CED">
        <w:rPr>
          <w:rFonts w:eastAsia="Times New Roman"/>
          <w:sz w:val="24"/>
          <w:szCs w:val="24"/>
        </w:rPr>
        <w:t>, showing a higher level of risk to existing ratepayers. Most of the Company’s capacity expansion request consists of entirely speculative load growth that is not covered by any contracts</w:t>
      </w:r>
      <w:r w:rsidR="00DF5880">
        <w:rPr>
          <w:rFonts w:eastAsia="Times New Roman"/>
          <w:sz w:val="24"/>
          <w:szCs w:val="24"/>
        </w:rPr>
        <w:t>, representing nearly 70% of the request</w:t>
      </w:r>
      <w:r w:rsidR="005E4CED">
        <w:rPr>
          <w:rFonts w:eastAsia="Times New Roman"/>
          <w:sz w:val="24"/>
          <w:szCs w:val="24"/>
        </w:rPr>
        <w:t>.</w:t>
      </w:r>
    </w:p>
    <w:p w14:paraId="47F82741" w14:textId="00B6C544" w:rsidR="009F48EA" w:rsidRDefault="009F48EA" w:rsidP="009F48EA">
      <w:pPr>
        <w:pStyle w:val="Caption"/>
      </w:pPr>
      <w:bookmarkStart w:id="64" w:name="_Ref213337733"/>
      <w:bookmarkStart w:id="65" w:name="_Toc213756917"/>
      <w:bookmarkStart w:id="66" w:name="_Toc213766894"/>
      <w:r>
        <w:t xml:space="preserve">Figure </w:t>
      </w:r>
      <w:fldSimple w:instr=" SEQ Figure \* ARABIC ">
        <w:r w:rsidR="00220F39">
          <w:rPr>
            <w:noProof/>
          </w:rPr>
          <w:t>10</w:t>
        </w:r>
      </w:fldSimple>
      <w:bookmarkEnd w:id="64"/>
      <w:r>
        <w:t xml:space="preserve">: </w:t>
      </w:r>
      <w:r w:rsidR="261994C0">
        <w:t xml:space="preserve"> Comparison of Company Capacity Expansion Request to Staff Scenario 1 by Contract Status and Associated Customer Protections</w:t>
      </w:r>
      <w:r>
        <w:rPr>
          <w:rStyle w:val="FootnoteReference"/>
        </w:rPr>
        <w:footnoteReference w:id="65"/>
      </w:r>
      <w:bookmarkEnd w:id="65"/>
      <w:bookmarkEnd w:id="66"/>
    </w:p>
    <w:p w14:paraId="5CD77E84" w14:textId="08524349" w:rsidR="009F48EA" w:rsidRDefault="005E4CED" w:rsidP="0040134E">
      <w:pPr>
        <w:spacing w:line="480" w:lineRule="auto"/>
        <w:ind w:left="720" w:hanging="720"/>
        <w:jc w:val="center"/>
        <w:rPr>
          <w:rFonts w:eastAsia="Times New Roman"/>
          <w:sz w:val="24"/>
          <w:szCs w:val="24"/>
        </w:rPr>
      </w:pPr>
      <w:r w:rsidRPr="005E4CED">
        <w:rPr>
          <w:noProof/>
        </w:rPr>
        <w:t xml:space="preserve"> </w:t>
      </w:r>
      <w:r>
        <w:rPr>
          <w:noProof/>
        </w:rPr>
        <w:drawing>
          <wp:inline distT="0" distB="0" distL="0" distR="0" wp14:anchorId="3FAC1B49" wp14:editId="7311AD2F">
            <wp:extent cx="4730376" cy="2782421"/>
            <wp:effectExtent l="0" t="0" r="13335" b="18415"/>
            <wp:docPr id="982382743" name="Chart 1">
              <a:extLst xmlns:a="http://schemas.openxmlformats.org/drawingml/2006/main">
                <a:ext uri="{FF2B5EF4-FFF2-40B4-BE49-F238E27FC236}">
                  <a16:creationId xmlns:a16="http://schemas.microsoft.com/office/drawing/2014/main" id="{56156C98-AAA1-F3B1-0DF8-E09A275DC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7F093BB" w14:textId="706A3696" w:rsidR="2589809D" w:rsidRDefault="2589809D" w:rsidP="0040134E">
      <w:pPr>
        <w:spacing w:before="480" w:line="480" w:lineRule="auto"/>
        <w:ind w:left="720" w:hanging="720"/>
        <w:rPr>
          <w:rFonts w:eastAsia="Times New Roman"/>
          <w:b/>
          <w:bCs/>
          <w:caps/>
          <w:sz w:val="24"/>
          <w:szCs w:val="24"/>
        </w:rPr>
      </w:pPr>
      <w:r w:rsidRPr="3C857C0F">
        <w:rPr>
          <w:rFonts w:eastAsia="Times New Roman"/>
          <w:b/>
          <w:bCs/>
          <w:caps/>
          <w:sz w:val="24"/>
          <w:szCs w:val="24"/>
        </w:rPr>
        <w:t>Q.</w:t>
      </w:r>
      <w:r>
        <w:tab/>
      </w:r>
      <w:r w:rsidRPr="3C857C0F">
        <w:rPr>
          <w:rFonts w:eastAsia="Times New Roman"/>
          <w:b/>
          <w:bCs/>
          <w:caps/>
          <w:sz w:val="24"/>
          <w:szCs w:val="24"/>
        </w:rPr>
        <w:t xml:space="preserve">Why would the Commission consider adopting </w:t>
      </w:r>
      <w:r w:rsidRPr="37DE904A">
        <w:rPr>
          <w:rFonts w:eastAsia="Times New Roman"/>
          <w:b/>
          <w:bCs/>
          <w:caps/>
          <w:sz w:val="24"/>
          <w:szCs w:val="24"/>
        </w:rPr>
        <w:t>scenario</w:t>
      </w:r>
      <w:r w:rsidR="7D2DC15B" w:rsidRPr="37DE904A">
        <w:rPr>
          <w:rFonts w:eastAsia="Times New Roman"/>
          <w:b/>
          <w:bCs/>
          <w:caps/>
          <w:sz w:val="24"/>
          <w:szCs w:val="24"/>
        </w:rPr>
        <w:t xml:space="preserve"> 2</w:t>
      </w:r>
      <w:r w:rsidRPr="37DE904A">
        <w:rPr>
          <w:rFonts w:eastAsia="Times New Roman"/>
          <w:b/>
          <w:bCs/>
          <w:caps/>
          <w:sz w:val="24"/>
          <w:szCs w:val="24"/>
        </w:rPr>
        <w:t>?</w:t>
      </w:r>
    </w:p>
    <w:p w14:paraId="579AE4A9" w14:textId="5427B40F" w:rsidR="2589809D" w:rsidRDefault="2589809D" w:rsidP="0040134E">
      <w:pPr>
        <w:spacing w:line="480" w:lineRule="auto"/>
        <w:ind w:left="720" w:hanging="720"/>
        <w:rPr>
          <w:rFonts w:eastAsia="Times New Roman"/>
          <w:sz w:val="24"/>
          <w:szCs w:val="24"/>
        </w:rPr>
      </w:pPr>
      <w:r w:rsidRPr="5CEB4324">
        <w:rPr>
          <w:rFonts w:eastAsia="Times New Roman"/>
          <w:sz w:val="24"/>
          <w:szCs w:val="24"/>
        </w:rPr>
        <w:t>A.</w:t>
      </w:r>
      <w:r>
        <w:tab/>
      </w:r>
      <w:r w:rsidR="7694F59B" w:rsidRPr="5CEB4324">
        <w:rPr>
          <w:rFonts w:eastAsia="Times New Roman"/>
          <w:sz w:val="24"/>
          <w:szCs w:val="24"/>
        </w:rPr>
        <w:t xml:space="preserve">The Company views the new </w:t>
      </w:r>
      <w:r w:rsidR="00DF5880">
        <w:rPr>
          <w:rFonts w:eastAsia="Times New Roman"/>
          <w:sz w:val="24"/>
          <w:szCs w:val="24"/>
        </w:rPr>
        <w:t>D</w:t>
      </w:r>
      <w:r w:rsidR="7694F59B" w:rsidRPr="5CEB4324">
        <w:rPr>
          <w:rFonts w:eastAsia="Times New Roman"/>
          <w:sz w:val="24"/>
          <w:szCs w:val="24"/>
        </w:rPr>
        <w:t xml:space="preserve">ata </w:t>
      </w:r>
      <w:r w:rsidR="00DF5880">
        <w:rPr>
          <w:rFonts w:eastAsia="Times New Roman"/>
          <w:sz w:val="24"/>
          <w:szCs w:val="24"/>
        </w:rPr>
        <w:t>C</w:t>
      </w:r>
      <w:r w:rsidR="7694F59B" w:rsidRPr="5CEB4324">
        <w:rPr>
          <w:rFonts w:eastAsia="Times New Roman"/>
          <w:sz w:val="24"/>
          <w:szCs w:val="24"/>
        </w:rPr>
        <w:t xml:space="preserve">enter market as an opportunity for economic development. </w:t>
      </w:r>
      <w:r w:rsidR="00E14FD2">
        <w:rPr>
          <w:rFonts w:eastAsia="Times New Roman"/>
          <w:sz w:val="24"/>
          <w:szCs w:val="24"/>
        </w:rPr>
        <w:t>However,</w:t>
      </w:r>
      <w:r w:rsidR="7C6D378A" w:rsidRPr="5CEB4324">
        <w:rPr>
          <w:rFonts w:eastAsia="Times New Roman"/>
          <w:sz w:val="24"/>
          <w:szCs w:val="24"/>
        </w:rPr>
        <w:t xml:space="preserve"> it is an opportunity that comes with risk. </w:t>
      </w:r>
      <w:r w:rsidRPr="5CEB4324">
        <w:rPr>
          <w:rFonts w:eastAsia="Times New Roman"/>
          <w:sz w:val="24"/>
          <w:szCs w:val="24"/>
        </w:rPr>
        <w:t xml:space="preserve">The Commission’s decision to select </w:t>
      </w:r>
      <w:r w:rsidR="4E19871E" w:rsidRPr="37DE904A">
        <w:rPr>
          <w:rFonts w:eastAsia="Times New Roman"/>
          <w:sz w:val="24"/>
          <w:szCs w:val="24"/>
        </w:rPr>
        <w:t>S</w:t>
      </w:r>
      <w:r w:rsidRPr="37DE904A">
        <w:rPr>
          <w:rFonts w:eastAsia="Times New Roman"/>
          <w:sz w:val="24"/>
          <w:szCs w:val="24"/>
        </w:rPr>
        <w:t xml:space="preserve">cenario </w:t>
      </w:r>
      <w:r w:rsidR="2BD2AF79" w:rsidRPr="37DE904A">
        <w:rPr>
          <w:rFonts w:eastAsia="Times New Roman"/>
          <w:sz w:val="24"/>
          <w:szCs w:val="24"/>
        </w:rPr>
        <w:t>2</w:t>
      </w:r>
      <w:r w:rsidRPr="5CEB4324">
        <w:rPr>
          <w:rFonts w:eastAsia="Times New Roman"/>
          <w:sz w:val="24"/>
          <w:szCs w:val="24"/>
        </w:rPr>
        <w:t xml:space="preserve"> depends on its tolerance for more uncertainty in the materialization of the LRM (and more risk to existing customers) by including more speculative or otherwise uncertain projects.</w:t>
      </w:r>
      <w:r w:rsidR="00664B3E">
        <w:rPr>
          <w:rFonts w:eastAsia="Times New Roman"/>
          <w:sz w:val="24"/>
          <w:szCs w:val="24"/>
        </w:rPr>
        <w:t xml:space="preserve"> </w:t>
      </w:r>
    </w:p>
    <w:p w14:paraId="672FCB5B" w14:textId="6A4C1A56" w:rsidR="2589809D" w:rsidRDefault="03292447" w:rsidP="5CEB4324">
      <w:pPr>
        <w:spacing w:before="480" w:line="480" w:lineRule="auto"/>
        <w:ind w:left="720" w:hanging="720"/>
        <w:rPr>
          <w:rFonts w:eastAsia="Times New Roman"/>
          <w:b/>
          <w:bCs/>
          <w:caps/>
          <w:sz w:val="24"/>
          <w:szCs w:val="24"/>
        </w:rPr>
      </w:pPr>
      <w:r w:rsidRPr="5CEB4324">
        <w:rPr>
          <w:rFonts w:eastAsia="Times New Roman"/>
          <w:b/>
          <w:bCs/>
          <w:caps/>
          <w:sz w:val="24"/>
          <w:szCs w:val="24"/>
        </w:rPr>
        <w:lastRenderedPageBreak/>
        <w:t>Q.</w:t>
      </w:r>
      <w:r w:rsidR="2589809D">
        <w:tab/>
      </w:r>
      <w:r w:rsidRPr="5CEB4324">
        <w:rPr>
          <w:rFonts w:eastAsia="Times New Roman"/>
          <w:b/>
          <w:bCs/>
          <w:caps/>
          <w:sz w:val="24"/>
          <w:szCs w:val="24"/>
        </w:rPr>
        <w:t>How does increasing the amount of capacity the company is certified to build increase the risk to existing customers?</w:t>
      </w:r>
    </w:p>
    <w:p w14:paraId="54AC5722" w14:textId="1233872F" w:rsidR="2589809D" w:rsidRDefault="03292447" w:rsidP="5CEB4324">
      <w:pPr>
        <w:spacing w:before="480" w:line="480" w:lineRule="auto"/>
        <w:ind w:left="720" w:hanging="720"/>
        <w:rPr>
          <w:rFonts w:eastAsia="Times New Roman"/>
          <w:sz w:val="24"/>
          <w:szCs w:val="24"/>
        </w:rPr>
      </w:pPr>
      <w:r w:rsidRPr="414874BF">
        <w:rPr>
          <w:rFonts w:eastAsia="Times New Roman"/>
          <w:sz w:val="24"/>
          <w:szCs w:val="24"/>
        </w:rPr>
        <w:t>A.</w:t>
      </w:r>
      <w:r>
        <w:tab/>
      </w:r>
      <w:r w:rsidRPr="414874BF">
        <w:rPr>
          <w:rFonts w:eastAsia="Times New Roman"/>
          <w:sz w:val="24"/>
          <w:szCs w:val="24"/>
        </w:rPr>
        <w:t>When the Commission certifies new generation</w:t>
      </w:r>
      <w:r w:rsidR="60C5162C" w:rsidRPr="414874BF">
        <w:rPr>
          <w:rFonts w:eastAsia="Times New Roman"/>
          <w:sz w:val="24"/>
          <w:szCs w:val="24"/>
        </w:rPr>
        <w:t>,</w:t>
      </w:r>
      <w:r w:rsidRPr="414874BF">
        <w:rPr>
          <w:rFonts w:eastAsia="Times New Roman"/>
          <w:sz w:val="24"/>
          <w:szCs w:val="24"/>
        </w:rPr>
        <w:t xml:space="preserve"> the Company begins incurring costs to build or otherwise acquire it</w:t>
      </w:r>
      <w:r w:rsidR="00550223" w:rsidRPr="414874BF">
        <w:rPr>
          <w:rFonts w:eastAsia="Times New Roman"/>
          <w:sz w:val="24"/>
          <w:szCs w:val="24"/>
        </w:rPr>
        <w:t xml:space="preserve">. </w:t>
      </w:r>
      <w:r w:rsidRPr="414874BF">
        <w:rPr>
          <w:rFonts w:eastAsia="Times New Roman"/>
          <w:sz w:val="24"/>
          <w:szCs w:val="24"/>
        </w:rPr>
        <w:t>As more speculative new generation is built and more costs are incurred, there is a risk that the large load customers needed to cover those costs will not materialize</w:t>
      </w:r>
      <w:r w:rsidR="00550223" w:rsidRPr="414874BF">
        <w:rPr>
          <w:rFonts w:eastAsia="Times New Roman"/>
          <w:sz w:val="24"/>
          <w:szCs w:val="24"/>
        </w:rPr>
        <w:t xml:space="preserve">. </w:t>
      </w:r>
      <w:r w:rsidR="46F61EE6" w:rsidRPr="414874BF">
        <w:rPr>
          <w:rFonts w:eastAsia="Times New Roman"/>
          <w:sz w:val="24"/>
          <w:szCs w:val="24"/>
        </w:rPr>
        <w:t>I</w:t>
      </w:r>
      <w:r w:rsidRPr="414874BF">
        <w:rPr>
          <w:rFonts w:eastAsia="Times New Roman"/>
          <w:sz w:val="24"/>
          <w:szCs w:val="24"/>
        </w:rPr>
        <w:t xml:space="preserve">f the large load customers do not materialize, the Company may </w:t>
      </w:r>
      <w:r w:rsidR="00E13140">
        <w:rPr>
          <w:rFonts w:eastAsia="Times New Roman"/>
          <w:sz w:val="24"/>
          <w:szCs w:val="24"/>
        </w:rPr>
        <w:t xml:space="preserve">still </w:t>
      </w:r>
      <w:r w:rsidRPr="414874BF">
        <w:rPr>
          <w:rFonts w:eastAsia="Times New Roman"/>
          <w:sz w:val="24"/>
          <w:szCs w:val="24"/>
        </w:rPr>
        <w:t>seek recovery of the costs</w:t>
      </w:r>
      <w:r w:rsidR="09066085" w:rsidRPr="414874BF">
        <w:rPr>
          <w:rFonts w:eastAsia="Times New Roman"/>
          <w:sz w:val="24"/>
          <w:szCs w:val="24"/>
        </w:rPr>
        <w:t xml:space="preserve"> incurred for the excess capacity</w:t>
      </w:r>
      <w:r w:rsidR="0A723984" w:rsidRPr="414874BF">
        <w:rPr>
          <w:rFonts w:eastAsia="Times New Roman"/>
          <w:sz w:val="24"/>
          <w:szCs w:val="24"/>
        </w:rPr>
        <w:t xml:space="preserve"> </w:t>
      </w:r>
      <w:r w:rsidR="52984687" w:rsidRPr="414874BF">
        <w:rPr>
          <w:rFonts w:eastAsia="Times New Roman"/>
          <w:sz w:val="24"/>
          <w:szCs w:val="24"/>
        </w:rPr>
        <w:t>(</w:t>
      </w:r>
      <w:r w:rsidR="0A723984" w:rsidRPr="414874BF">
        <w:rPr>
          <w:rFonts w:eastAsia="Times New Roman"/>
          <w:sz w:val="24"/>
          <w:szCs w:val="24"/>
        </w:rPr>
        <w:t>or</w:t>
      </w:r>
      <w:r w:rsidR="1C4A3E84" w:rsidRPr="414874BF">
        <w:rPr>
          <w:rFonts w:eastAsia="Times New Roman"/>
          <w:sz w:val="24"/>
          <w:szCs w:val="24"/>
        </w:rPr>
        <w:t xml:space="preserve"> for</w:t>
      </w:r>
      <w:r w:rsidR="0A723984" w:rsidRPr="414874BF">
        <w:rPr>
          <w:rFonts w:eastAsia="Times New Roman"/>
          <w:sz w:val="24"/>
          <w:szCs w:val="24"/>
        </w:rPr>
        <w:t xml:space="preserve"> the abandoned or delayed projects</w:t>
      </w:r>
      <w:r w:rsidR="11A6762B" w:rsidRPr="414874BF">
        <w:rPr>
          <w:rFonts w:eastAsia="Times New Roman"/>
          <w:sz w:val="24"/>
          <w:szCs w:val="24"/>
        </w:rPr>
        <w:t>)</w:t>
      </w:r>
      <w:r w:rsidRPr="414874BF">
        <w:rPr>
          <w:rFonts w:eastAsia="Times New Roman"/>
          <w:sz w:val="24"/>
          <w:szCs w:val="24"/>
        </w:rPr>
        <w:t xml:space="preserve"> from other customers</w:t>
      </w:r>
      <w:r w:rsidR="00E13140">
        <w:rPr>
          <w:rFonts w:eastAsia="Times New Roman"/>
          <w:sz w:val="24"/>
          <w:szCs w:val="24"/>
        </w:rPr>
        <w:t>,</w:t>
      </w:r>
      <w:r w:rsidR="00EC145F">
        <w:rPr>
          <w:rFonts w:eastAsia="Times New Roman"/>
          <w:sz w:val="24"/>
          <w:szCs w:val="24"/>
        </w:rPr>
        <w:t xml:space="preserve"> as they have done in this proceeding</w:t>
      </w:r>
      <w:r w:rsidR="00E13140">
        <w:rPr>
          <w:rFonts w:eastAsia="Times New Roman"/>
          <w:sz w:val="24"/>
          <w:szCs w:val="24"/>
        </w:rPr>
        <w:t>,</w:t>
      </w:r>
      <w:r w:rsidR="00EC145F">
        <w:rPr>
          <w:rFonts w:eastAsia="Times New Roman"/>
          <w:sz w:val="24"/>
          <w:szCs w:val="24"/>
        </w:rPr>
        <w:t xml:space="preserve"> with </w:t>
      </w:r>
      <w:r w:rsidR="00FD19B2">
        <w:rPr>
          <w:rFonts w:eastAsia="Times New Roman"/>
          <w:sz w:val="24"/>
          <w:szCs w:val="24"/>
        </w:rPr>
        <w:t xml:space="preserve">a </w:t>
      </w:r>
      <w:r w:rsidR="00EC145F">
        <w:rPr>
          <w:rFonts w:eastAsia="Times New Roman"/>
          <w:sz w:val="24"/>
          <w:szCs w:val="24"/>
        </w:rPr>
        <w:t xml:space="preserve">request </w:t>
      </w:r>
      <w:r w:rsidR="00FD19B2">
        <w:rPr>
          <w:rFonts w:eastAsia="Times New Roman"/>
          <w:sz w:val="24"/>
          <w:szCs w:val="24"/>
        </w:rPr>
        <w:t>to recover</w:t>
      </w:r>
      <w:r w:rsidR="00DA1BF1">
        <w:rPr>
          <w:rFonts w:eastAsia="Times New Roman"/>
          <w:sz w:val="24"/>
          <w:szCs w:val="24"/>
        </w:rPr>
        <w:t xml:space="preserve"> </w:t>
      </w:r>
      <w:r w:rsidR="00DC0AB0">
        <w:rPr>
          <w:rFonts w:eastAsia="Times New Roman"/>
          <w:sz w:val="24"/>
          <w:szCs w:val="24"/>
        </w:rPr>
        <w:t xml:space="preserve">development </w:t>
      </w:r>
      <w:r w:rsidR="0065082C">
        <w:rPr>
          <w:rFonts w:eastAsia="Times New Roman"/>
          <w:sz w:val="24"/>
          <w:szCs w:val="24"/>
        </w:rPr>
        <w:t>costs</w:t>
      </w:r>
      <w:r w:rsidR="00F874B0">
        <w:rPr>
          <w:rFonts w:eastAsia="Times New Roman"/>
          <w:sz w:val="24"/>
          <w:szCs w:val="24"/>
        </w:rPr>
        <w:t xml:space="preserve"> </w:t>
      </w:r>
      <w:r w:rsidR="0065082C">
        <w:rPr>
          <w:rFonts w:eastAsia="Times New Roman"/>
          <w:sz w:val="24"/>
          <w:szCs w:val="24"/>
        </w:rPr>
        <w:t>of</w:t>
      </w:r>
      <w:r w:rsidR="00772E06">
        <w:rPr>
          <w:rFonts w:eastAsia="Times New Roman"/>
          <w:sz w:val="24"/>
          <w:szCs w:val="24"/>
        </w:rPr>
        <w:t xml:space="preserve"> projects that are not approved </w:t>
      </w:r>
      <w:r w:rsidR="00735650">
        <w:rPr>
          <w:rFonts w:eastAsia="Times New Roman"/>
          <w:sz w:val="24"/>
          <w:szCs w:val="24"/>
        </w:rPr>
        <w:t>by</w:t>
      </w:r>
      <w:r w:rsidR="00772E06">
        <w:rPr>
          <w:rFonts w:eastAsia="Times New Roman"/>
          <w:sz w:val="24"/>
          <w:szCs w:val="24"/>
        </w:rPr>
        <w:t xml:space="preserve"> the Commission</w:t>
      </w:r>
      <w:r w:rsidR="005962C5">
        <w:rPr>
          <w:rFonts w:eastAsia="Times New Roman"/>
          <w:sz w:val="24"/>
          <w:szCs w:val="24"/>
        </w:rPr>
        <w:t xml:space="preserve"> from ratepayers</w:t>
      </w:r>
      <w:r w:rsidR="00E13140">
        <w:rPr>
          <w:rFonts w:eastAsia="Times New Roman"/>
          <w:sz w:val="24"/>
          <w:szCs w:val="24"/>
        </w:rPr>
        <w:t>.</w:t>
      </w:r>
      <w:r w:rsidR="00BF3768">
        <w:rPr>
          <w:rStyle w:val="FootnoteReference"/>
          <w:rFonts w:eastAsia="Times New Roman"/>
          <w:sz w:val="24"/>
          <w:szCs w:val="24"/>
        </w:rPr>
        <w:footnoteReference w:id="66"/>
      </w:r>
      <w:r w:rsidR="4B8729BA" w:rsidRPr="414874BF">
        <w:rPr>
          <w:rFonts w:eastAsia="Times New Roman"/>
          <w:sz w:val="24"/>
          <w:szCs w:val="24"/>
        </w:rPr>
        <w:t xml:space="preserve"> D</w:t>
      </w:r>
      <w:r w:rsidRPr="414874BF">
        <w:rPr>
          <w:rFonts w:eastAsia="Times New Roman"/>
          <w:sz w:val="24"/>
          <w:szCs w:val="24"/>
        </w:rPr>
        <w:t>epending on the circumstances, the Commission</w:t>
      </w:r>
      <w:r w:rsidR="00664B3E">
        <w:rPr>
          <w:rFonts w:eastAsia="Times New Roman"/>
          <w:sz w:val="24"/>
          <w:szCs w:val="24"/>
        </w:rPr>
        <w:t>’s</w:t>
      </w:r>
      <w:r w:rsidRPr="414874BF">
        <w:rPr>
          <w:rFonts w:eastAsia="Times New Roman"/>
          <w:sz w:val="24"/>
          <w:szCs w:val="24"/>
        </w:rPr>
        <w:t xml:space="preserve"> ability to deny such a request may be limited.</w:t>
      </w:r>
      <w:r w:rsidR="374F03B9" w:rsidRPr="414874BF">
        <w:rPr>
          <w:rFonts w:eastAsia="Times New Roman"/>
          <w:sz w:val="24"/>
          <w:szCs w:val="24"/>
        </w:rPr>
        <w:t xml:space="preserve"> </w:t>
      </w:r>
    </w:p>
    <w:p w14:paraId="1A4A213B" w14:textId="088197A7" w:rsidR="004C0393" w:rsidRDefault="004C0393" w:rsidP="004C0393">
      <w:pPr>
        <w:spacing w:before="480" w:line="480" w:lineRule="auto"/>
        <w:ind w:left="720" w:hanging="720"/>
        <w:rPr>
          <w:rFonts w:eastAsia="Times New Roman"/>
          <w:b/>
          <w:bCs/>
          <w:caps/>
          <w:sz w:val="24"/>
          <w:szCs w:val="24"/>
        </w:rPr>
      </w:pPr>
      <w:r w:rsidRPr="5CEB4324">
        <w:rPr>
          <w:rFonts w:eastAsia="Times New Roman"/>
          <w:b/>
          <w:bCs/>
          <w:caps/>
          <w:sz w:val="24"/>
          <w:szCs w:val="24"/>
        </w:rPr>
        <w:t>Q.</w:t>
      </w:r>
      <w:r>
        <w:tab/>
      </w:r>
      <w:r>
        <w:rPr>
          <w:rFonts w:eastAsia="Times New Roman"/>
          <w:b/>
          <w:bCs/>
          <w:caps/>
          <w:sz w:val="24"/>
          <w:szCs w:val="24"/>
        </w:rPr>
        <w:t xml:space="preserve">DO PROTECTIONS BUILT INTO NEW LARGE LOAD CONTRACTS FULLY PROTECT </w:t>
      </w:r>
      <w:r w:rsidR="00E65A10">
        <w:rPr>
          <w:rFonts w:eastAsia="Times New Roman"/>
          <w:b/>
          <w:bCs/>
          <w:caps/>
          <w:sz w:val="24"/>
          <w:szCs w:val="24"/>
        </w:rPr>
        <w:t xml:space="preserve">OTHER </w:t>
      </w:r>
      <w:r>
        <w:rPr>
          <w:rFonts w:eastAsia="Times New Roman"/>
          <w:b/>
          <w:bCs/>
          <w:caps/>
          <w:sz w:val="24"/>
          <w:szCs w:val="24"/>
        </w:rPr>
        <w:t>CUSTOMER</w:t>
      </w:r>
      <w:r w:rsidR="00E65A10">
        <w:rPr>
          <w:rFonts w:eastAsia="Times New Roman"/>
          <w:b/>
          <w:bCs/>
          <w:caps/>
          <w:sz w:val="24"/>
          <w:szCs w:val="24"/>
        </w:rPr>
        <w:t xml:space="preserve"> CLASSES</w:t>
      </w:r>
      <w:r>
        <w:rPr>
          <w:rFonts w:eastAsia="Times New Roman"/>
          <w:b/>
          <w:bCs/>
          <w:caps/>
          <w:sz w:val="24"/>
          <w:szCs w:val="24"/>
        </w:rPr>
        <w:t xml:space="preserve"> FROM </w:t>
      </w:r>
      <w:r w:rsidR="00E50CE9">
        <w:rPr>
          <w:rFonts w:eastAsia="Times New Roman"/>
          <w:b/>
          <w:bCs/>
          <w:caps/>
          <w:sz w:val="24"/>
          <w:szCs w:val="24"/>
        </w:rPr>
        <w:t>RISK</w:t>
      </w:r>
      <w:r w:rsidR="00E65A10">
        <w:rPr>
          <w:rFonts w:eastAsia="Times New Roman"/>
          <w:b/>
          <w:bCs/>
          <w:caps/>
          <w:sz w:val="24"/>
          <w:szCs w:val="24"/>
        </w:rPr>
        <w:t xml:space="preserve"> ASSOCIATED WITH LARGE LOAD NOT MATERIALIZING</w:t>
      </w:r>
      <w:r w:rsidR="00E50CE9">
        <w:rPr>
          <w:rFonts w:eastAsia="Times New Roman"/>
          <w:b/>
          <w:bCs/>
          <w:caps/>
          <w:sz w:val="24"/>
          <w:szCs w:val="24"/>
        </w:rPr>
        <w:t>?</w:t>
      </w:r>
    </w:p>
    <w:p w14:paraId="7921224E" w14:textId="2C67D3BF" w:rsidR="004C0393" w:rsidRDefault="004C0393" w:rsidP="3321C812">
      <w:pPr>
        <w:spacing w:before="480" w:line="480" w:lineRule="auto"/>
        <w:ind w:left="720" w:hanging="720"/>
        <w:rPr>
          <w:rFonts w:eastAsia="Times New Roman"/>
          <w:sz w:val="24"/>
          <w:szCs w:val="24"/>
        </w:rPr>
      </w:pPr>
      <w:r w:rsidRPr="3321C812">
        <w:rPr>
          <w:rFonts w:eastAsia="Times New Roman"/>
          <w:sz w:val="24"/>
          <w:szCs w:val="24"/>
        </w:rPr>
        <w:t>A.</w:t>
      </w:r>
      <w:r>
        <w:tab/>
      </w:r>
      <w:r w:rsidR="00E65A10" w:rsidRPr="3321C812">
        <w:rPr>
          <w:rFonts w:eastAsia="Times New Roman"/>
          <w:sz w:val="24"/>
          <w:szCs w:val="24"/>
        </w:rPr>
        <w:t xml:space="preserve">No. </w:t>
      </w:r>
      <w:r w:rsidR="006C39AB" w:rsidRPr="3321C812">
        <w:rPr>
          <w:rFonts w:eastAsia="Times New Roman"/>
          <w:sz w:val="24"/>
          <w:szCs w:val="24"/>
        </w:rPr>
        <w:t xml:space="preserve">It could turn out that the Company is not able to fully mitigate </w:t>
      </w:r>
      <w:r w:rsidR="00FD5495" w:rsidRPr="3321C812">
        <w:rPr>
          <w:rFonts w:eastAsia="Times New Roman"/>
          <w:sz w:val="24"/>
          <w:szCs w:val="24"/>
        </w:rPr>
        <w:t xml:space="preserve">costs associated with </w:t>
      </w:r>
      <w:r w:rsidR="00DB1DBC" w:rsidRPr="3321C812">
        <w:rPr>
          <w:rFonts w:eastAsia="Times New Roman"/>
          <w:sz w:val="24"/>
          <w:szCs w:val="24"/>
        </w:rPr>
        <w:t>load materializing below their forecast</w:t>
      </w:r>
      <w:r w:rsidR="1A8701D6" w:rsidRPr="3321C812">
        <w:rPr>
          <w:rFonts w:eastAsia="Times New Roman"/>
          <w:sz w:val="24"/>
          <w:szCs w:val="24"/>
        </w:rPr>
        <w:t>, with risk still present beyond the protections offered by the new rules and regulations</w:t>
      </w:r>
      <w:r w:rsidR="00DB1DBC" w:rsidRPr="3321C812">
        <w:rPr>
          <w:rFonts w:eastAsia="Times New Roman"/>
          <w:sz w:val="24"/>
          <w:szCs w:val="24"/>
        </w:rPr>
        <w:t xml:space="preserve">. </w:t>
      </w:r>
      <w:r w:rsidR="00E65A10" w:rsidRPr="3321C812">
        <w:rPr>
          <w:rFonts w:eastAsia="Times New Roman"/>
          <w:sz w:val="24"/>
          <w:szCs w:val="24"/>
        </w:rPr>
        <w:t xml:space="preserve">Many </w:t>
      </w:r>
      <w:r w:rsidR="00E60428" w:rsidRPr="3321C812">
        <w:rPr>
          <w:rFonts w:eastAsia="Times New Roman"/>
          <w:sz w:val="24"/>
          <w:szCs w:val="24"/>
        </w:rPr>
        <w:t xml:space="preserve">potential </w:t>
      </w:r>
      <w:r w:rsidR="00E65A10" w:rsidRPr="3321C812">
        <w:rPr>
          <w:rFonts w:eastAsia="Times New Roman"/>
          <w:sz w:val="24"/>
          <w:szCs w:val="24"/>
        </w:rPr>
        <w:t>mitigation</w:t>
      </w:r>
      <w:r w:rsidR="00DF5880" w:rsidRPr="3321C812">
        <w:rPr>
          <w:rFonts w:eastAsia="Times New Roman"/>
          <w:sz w:val="24"/>
          <w:szCs w:val="24"/>
        </w:rPr>
        <w:t xml:space="preserve"> measures</w:t>
      </w:r>
      <w:r w:rsidR="00E65A10" w:rsidRPr="3321C812">
        <w:rPr>
          <w:rFonts w:eastAsia="Times New Roman"/>
          <w:sz w:val="24"/>
          <w:szCs w:val="24"/>
        </w:rPr>
        <w:t xml:space="preserve"> </w:t>
      </w:r>
      <w:r w:rsidR="00DF5880" w:rsidRPr="3321C812">
        <w:rPr>
          <w:rFonts w:eastAsia="Times New Roman"/>
          <w:sz w:val="24"/>
          <w:szCs w:val="24"/>
        </w:rPr>
        <w:t xml:space="preserve">will present </w:t>
      </w:r>
      <w:r w:rsidR="00DF5880" w:rsidRPr="3321C812">
        <w:rPr>
          <w:rFonts w:eastAsia="Times New Roman"/>
          <w:sz w:val="24"/>
          <w:szCs w:val="24"/>
        </w:rPr>
        <w:lastRenderedPageBreak/>
        <w:t xml:space="preserve">associated </w:t>
      </w:r>
      <w:r w:rsidR="00E65A10" w:rsidRPr="3321C812">
        <w:rPr>
          <w:rFonts w:eastAsia="Times New Roman"/>
          <w:sz w:val="24"/>
          <w:szCs w:val="24"/>
        </w:rPr>
        <w:t>costs</w:t>
      </w:r>
      <w:r w:rsidR="00E60428" w:rsidRPr="3321C812">
        <w:rPr>
          <w:rFonts w:eastAsia="Times New Roman"/>
          <w:sz w:val="24"/>
          <w:szCs w:val="24"/>
        </w:rPr>
        <w:t>, e</w:t>
      </w:r>
      <w:r w:rsidR="00E65A10" w:rsidRPr="3321C812">
        <w:rPr>
          <w:rFonts w:eastAsia="Times New Roman"/>
          <w:sz w:val="24"/>
          <w:szCs w:val="24"/>
        </w:rPr>
        <w:t xml:space="preserve">specially if the </w:t>
      </w:r>
      <w:r w:rsidR="007A6049" w:rsidRPr="3321C812">
        <w:rPr>
          <w:rFonts w:eastAsia="Times New Roman"/>
          <w:sz w:val="24"/>
          <w:szCs w:val="24"/>
        </w:rPr>
        <w:t xml:space="preserve">Company </w:t>
      </w:r>
      <w:r w:rsidR="005B6A2A" w:rsidRPr="3321C812">
        <w:rPr>
          <w:rFonts w:eastAsia="Times New Roman"/>
          <w:sz w:val="24"/>
          <w:szCs w:val="24"/>
        </w:rPr>
        <w:t xml:space="preserve">intends to </w:t>
      </w:r>
      <w:r w:rsidR="00E65A10" w:rsidRPr="3321C812">
        <w:rPr>
          <w:rFonts w:eastAsia="Times New Roman"/>
          <w:sz w:val="24"/>
          <w:szCs w:val="24"/>
        </w:rPr>
        <w:t xml:space="preserve">cancel or delay a project </w:t>
      </w:r>
      <w:r w:rsidR="00DF5880" w:rsidRPr="3321C812">
        <w:rPr>
          <w:rFonts w:eastAsia="Times New Roman"/>
          <w:sz w:val="24"/>
          <w:szCs w:val="24"/>
        </w:rPr>
        <w:t>for</w:t>
      </w:r>
      <w:r w:rsidR="00121A06" w:rsidRPr="3321C812">
        <w:rPr>
          <w:rFonts w:eastAsia="Times New Roman"/>
          <w:sz w:val="24"/>
          <w:szCs w:val="24"/>
        </w:rPr>
        <w:t xml:space="preserve"> which they</w:t>
      </w:r>
      <w:r w:rsidR="00E65A10" w:rsidRPr="3321C812">
        <w:rPr>
          <w:rFonts w:eastAsia="Times New Roman"/>
          <w:sz w:val="24"/>
          <w:szCs w:val="24"/>
        </w:rPr>
        <w:t xml:space="preserve"> have already </w:t>
      </w:r>
      <w:r w:rsidR="00121A06" w:rsidRPr="3321C812">
        <w:rPr>
          <w:rFonts w:eastAsia="Times New Roman"/>
          <w:sz w:val="24"/>
          <w:szCs w:val="24"/>
        </w:rPr>
        <w:t>incurred significant costs</w:t>
      </w:r>
      <w:r w:rsidR="00E65A10" w:rsidRPr="3321C812">
        <w:rPr>
          <w:rFonts w:eastAsia="Times New Roman"/>
          <w:sz w:val="24"/>
          <w:szCs w:val="24"/>
        </w:rPr>
        <w:t xml:space="preserve">. </w:t>
      </w:r>
    </w:p>
    <w:p w14:paraId="01BFA8DE" w14:textId="130A1A0D" w:rsidR="7E22D862" w:rsidRDefault="7E22D862" w:rsidP="00A81F66">
      <w:pPr>
        <w:spacing w:before="480" w:line="480" w:lineRule="auto"/>
        <w:ind w:left="720" w:firstLine="360"/>
        <w:rPr>
          <w:rFonts w:eastAsia="Times New Roman"/>
          <w:sz w:val="24"/>
          <w:szCs w:val="24"/>
        </w:rPr>
      </w:pPr>
      <w:r w:rsidRPr="3321C812">
        <w:rPr>
          <w:rFonts w:eastAsia="Times New Roman"/>
          <w:sz w:val="24"/>
          <w:szCs w:val="24"/>
        </w:rPr>
        <w:t>Staff understands the mitigation strategies</w:t>
      </w:r>
      <w:r w:rsidR="70465BE1" w:rsidRPr="3321C812">
        <w:rPr>
          <w:rFonts w:eastAsia="Times New Roman"/>
          <w:sz w:val="24"/>
          <w:szCs w:val="24"/>
        </w:rPr>
        <w:t xml:space="preserve"> </w:t>
      </w:r>
      <w:r w:rsidR="5404A677" w:rsidRPr="3321C812">
        <w:rPr>
          <w:rFonts w:eastAsia="Times New Roman"/>
          <w:sz w:val="24"/>
          <w:szCs w:val="24"/>
        </w:rPr>
        <w:t xml:space="preserve">available to the Company </w:t>
      </w:r>
      <w:r w:rsidRPr="3321C812">
        <w:rPr>
          <w:rFonts w:eastAsia="Times New Roman"/>
          <w:sz w:val="24"/>
          <w:szCs w:val="24"/>
        </w:rPr>
        <w:t>to include the following:</w:t>
      </w:r>
    </w:p>
    <w:p w14:paraId="2E0A28D3" w14:textId="3A1DE22C" w:rsidR="7B91665A" w:rsidRPr="00A81F66" w:rsidRDefault="7B91665A" w:rsidP="00A81F66">
      <w:pPr>
        <w:pStyle w:val="Answers"/>
        <w:numPr>
          <w:ilvl w:val="0"/>
          <w:numId w:val="55"/>
        </w:numPr>
      </w:pPr>
      <w:r w:rsidRPr="00A81F66">
        <w:t xml:space="preserve">Electing not to </w:t>
      </w:r>
      <w:r w:rsidR="00107DA0" w:rsidRPr="00A81F66">
        <w:t xml:space="preserve">replace or </w:t>
      </w:r>
      <w:r w:rsidRPr="00A81F66">
        <w:t>renew PPA</w:t>
      </w:r>
      <w:r w:rsidR="000E1F3E" w:rsidRPr="00A81F66">
        <w:t>s</w:t>
      </w:r>
      <w:r w:rsidRPr="00A81F66">
        <w:t xml:space="preserve"> after expiration,</w:t>
      </w:r>
    </w:p>
    <w:p w14:paraId="165D14BF" w14:textId="277A7AD1" w:rsidR="00A81F66" w:rsidRPr="00A81F66" w:rsidRDefault="7B91665A" w:rsidP="00A81F66">
      <w:pPr>
        <w:pStyle w:val="Answers"/>
        <w:numPr>
          <w:ilvl w:val="0"/>
          <w:numId w:val="55"/>
        </w:numPr>
      </w:pPr>
      <w:r w:rsidRPr="00A81F66">
        <w:t>Cancelling capital spending on Company-owned proposals, and</w:t>
      </w:r>
    </w:p>
    <w:p w14:paraId="0B74DF7F" w14:textId="20C66CAF" w:rsidR="00A81F66" w:rsidRPr="00A81F66" w:rsidRDefault="7B91665A" w:rsidP="00A81F66">
      <w:pPr>
        <w:pStyle w:val="Answers"/>
        <w:numPr>
          <w:ilvl w:val="0"/>
          <w:numId w:val="55"/>
        </w:numPr>
      </w:pPr>
      <w:r w:rsidRPr="00A81F66">
        <w:t>Adding new large load contracts to replace any early terminations or diminished materialization.</w:t>
      </w:r>
      <w:r w:rsidR="00A81F66" w:rsidRPr="00A81F66">
        <w:t xml:space="preserve"> </w:t>
      </w:r>
    </w:p>
    <w:p w14:paraId="2B93C62D" w14:textId="6273B1B2" w:rsidR="2BFD6702" w:rsidRDefault="2BFD6702" w:rsidP="00A81F66">
      <w:pPr>
        <w:spacing w:before="480" w:line="480" w:lineRule="auto"/>
        <w:ind w:left="720" w:firstLine="720"/>
        <w:rPr>
          <w:rFonts w:eastAsia="Times New Roman"/>
          <w:sz w:val="24"/>
          <w:szCs w:val="24"/>
        </w:rPr>
      </w:pPr>
      <w:r w:rsidRPr="3321C812">
        <w:rPr>
          <w:rFonts w:eastAsia="Times New Roman"/>
          <w:sz w:val="24"/>
          <w:szCs w:val="24"/>
        </w:rPr>
        <w:t>Each of these strategies may present associated costs. The PPA expiration strategy requires the Company to continue any charges and fees associated with the contract for its duration. Cancellation of capital spending will present costs associated with an</w:t>
      </w:r>
      <w:r w:rsidR="17CF3C12" w:rsidRPr="3321C812">
        <w:rPr>
          <w:rFonts w:eastAsia="Times New Roman"/>
          <w:sz w:val="24"/>
          <w:szCs w:val="24"/>
        </w:rPr>
        <w:t xml:space="preserve">y construction completed up to the point of cancellation, referring to the recovery of CWIP and any financing costs that were prudently incurred. Finally, the addition of new contracts </w:t>
      </w:r>
      <w:r w:rsidR="68384F5F" w:rsidRPr="3321C812">
        <w:rPr>
          <w:rFonts w:eastAsia="Times New Roman"/>
          <w:sz w:val="24"/>
          <w:szCs w:val="24"/>
        </w:rPr>
        <w:t>would require ratepayers to pay for any excess capacity costs until the point of load actually materializing.</w:t>
      </w:r>
    </w:p>
    <w:p w14:paraId="5646D45D" w14:textId="1E67ED46" w:rsidR="004C0393" w:rsidRDefault="68384F5F" w:rsidP="3321C812">
      <w:pPr>
        <w:spacing w:before="480" w:line="480" w:lineRule="auto"/>
        <w:ind w:left="720"/>
        <w:rPr>
          <w:rFonts w:eastAsia="Times New Roman"/>
          <w:sz w:val="24"/>
          <w:szCs w:val="24"/>
        </w:rPr>
      </w:pPr>
      <w:r w:rsidRPr="3321C812">
        <w:rPr>
          <w:rFonts w:eastAsia="Times New Roman"/>
          <w:sz w:val="24"/>
          <w:szCs w:val="24"/>
        </w:rPr>
        <w:t xml:space="preserve">As such, </w:t>
      </w:r>
      <w:r w:rsidR="15DE5C89" w:rsidRPr="3321C812">
        <w:rPr>
          <w:rFonts w:eastAsia="Times New Roman"/>
          <w:sz w:val="24"/>
          <w:szCs w:val="24"/>
        </w:rPr>
        <w:t>t</w:t>
      </w:r>
      <w:r w:rsidR="00853A4A" w:rsidRPr="3321C812">
        <w:rPr>
          <w:rFonts w:eastAsia="Times New Roman"/>
          <w:sz w:val="24"/>
          <w:szCs w:val="24"/>
        </w:rPr>
        <w:t>he</w:t>
      </w:r>
      <w:r w:rsidR="00853A4A">
        <w:rPr>
          <w:rFonts w:eastAsia="Times New Roman"/>
          <w:sz w:val="24"/>
          <w:szCs w:val="24"/>
        </w:rPr>
        <w:t xml:space="preserve"> Company is </w:t>
      </w:r>
      <w:r w:rsidR="00E65A10" w:rsidRPr="00E65A10">
        <w:rPr>
          <w:rFonts w:eastAsia="Times New Roman"/>
          <w:sz w:val="24"/>
          <w:szCs w:val="24"/>
        </w:rPr>
        <w:t xml:space="preserve">planning to </w:t>
      </w:r>
      <w:r w:rsidR="00DF5880">
        <w:rPr>
          <w:rFonts w:eastAsia="Times New Roman"/>
          <w:sz w:val="24"/>
          <w:szCs w:val="24"/>
        </w:rPr>
        <w:t>employ</w:t>
      </w:r>
      <w:r w:rsidR="00E65A10" w:rsidRPr="00E65A10">
        <w:rPr>
          <w:rFonts w:eastAsia="Times New Roman"/>
          <w:sz w:val="24"/>
          <w:szCs w:val="24"/>
        </w:rPr>
        <w:t xml:space="preserve"> mitigation </w:t>
      </w:r>
      <w:r w:rsidR="00DF5880">
        <w:rPr>
          <w:rFonts w:eastAsia="Times New Roman"/>
          <w:sz w:val="24"/>
          <w:szCs w:val="24"/>
        </w:rPr>
        <w:t xml:space="preserve">measures </w:t>
      </w:r>
      <w:r w:rsidR="00E65A10" w:rsidRPr="00E65A10">
        <w:rPr>
          <w:rFonts w:eastAsia="Times New Roman"/>
          <w:sz w:val="24"/>
          <w:szCs w:val="24"/>
        </w:rPr>
        <w:t xml:space="preserve">for </w:t>
      </w:r>
      <w:r w:rsidR="00DF5880">
        <w:rPr>
          <w:rFonts w:eastAsia="Times New Roman"/>
          <w:sz w:val="24"/>
          <w:szCs w:val="24"/>
        </w:rPr>
        <w:t xml:space="preserve">both </w:t>
      </w:r>
      <w:r w:rsidR="00E65A10" w:rsidRPr="00E65A10">
        <w:rPr>
          <w:rFonts w:eastAsia="Times New Roman"/>
          <w:sz w:val="24"/>
          <w:szCs w:val="24"/>
        </w:rPr>
        <w:t>contracts that do not materialize,</w:t>
      </w:r>
      <w:r w:rsidR="00DF5880">
        <w:rPr>
          <w:rFonts w:eastAsia="Times New Roman"/>
          <w:sz w:val="24"/>
          <w:szCs w:val="24"/>
        </w:rPr>
        <w:t xml:space="preserve"> as well as</w:t>
      </w:r>
      <w:r w:rsidR="00E65A10" w:rsidRPr="00E65A10">
        <w:rPr>
          <w:rFonts w:eastAsia="Times New Roman"/>
          <w:sz w:val="24"/>
          <w:szCs w:val="24"/>
        </w:rPr>
        <w:t xml:space="preserve"> </w:t>
      </w:r>
      <w:r w:rsidR="00DF5880">
        <w:rPr>
          <w:rFonts w:eastAsia="Times New Roman"/>
          <w:sz w:val="24"/>
          <w:szCs w:val="24"/>
        </w:rPr>
        <w:t>those</w:t>
      </w:r>
      <w:r w:rsidR="00E65A10" w:rsidRPr="00E65A10">
        <w:rPr>
          <w:rFonts w:eastAsia="Times New Roman"/>
          <w:sz w:val="24"/>
          <w:szCs w:val="24"/>
        </w:rPr>
        <w:t xml:space="preserve"> that terminate</w:t>
      </w:r>
      <w:r w:rsidR="00B91AB8">
        <w:rPr>
          <w:rFonts w:eastAsia="Times New Roman"/>
          <w:sz w:val="24"/>
          <w:szCs w:val="24"/>
        </w:rPr>
        <w:t xml:space="preserve"> early</w:t>
      </w:r>
      <w:r w:rsidR="00EB11E3">
        <w:rPr>
          <w:rFonts w:eastAsia="Times New Roman"/>
          <w:sz w:val="24"/>
          <w:szCs w:val="24"/>
        </w:rPr>
        <w:t xml:space="preserve">. </w:t>
      </w:r>
      <w:r w:rsidR="005D6ADB">
        <w:rPr>
          <w:rFonts w:eastAsia="Times New Roman"/>
          <w:sz w:val="24"/>
          <w:szCs w:val="24"/>
        </w:rPr>
        <w:t>At least i</w:t>
      </w:r>
      <w:r w:rsidR="15209DE4" w:rsidRPr="2BFD206B">
        <w:rPr>
          <w:rFonts w:eastAsia="Times New Roman"/>
          <w:sz w:val="24"/>
          <w:szCs w:val="24"/>
        </w:rPr>
        <w:t xml:space="preserve">n regard to contracts that do not materialize, </w:t>
      </w:r>
      <w:r w:rsidR="29677346" w:rsidRPr="2BFD206B">
        <w:rPr>
          <w:rFonts w:eastAsia="Times New Roman"/>
          <w:sz w:val="24"/>
          <w:szCs w:val="24"/>
        </w:rPr>
        <w:t>t</w:t>
      </w:r>
      <w:r w:rsidR="7BF93914" w:rsidRPr="2BFD206B">
        <w:rPr>
          <w:rFonts w:eastAsia="Times New Roman"/>
          <w:sz w:val="24"/>
          <w:szCs w:val="24"/>
        </w:rPr>
        <w:t>he</w:t>
      </w:r>
      <w:r w:rsidR="2FC04623" w:rsidRPr="3321C812">
        <w:rPr>
          <w:rFonts w:eastAsia="Times New Roman"/>
          <w:sz w:val="24"/>
          <w:szCs w:val="24"/>
        </w:rPr>
        <w:t xml:space="preserve"> Commission’s ability to disallow any of these costs is limited to situations of imprudence, fraud, concealment, or failure to disclose a material fact. </w:t>
      </w:r>
      <w:r w:rsidR="1CB2CE2E" w:rsidRPr="457FB068">
        <w:rPr>
          <w:rFonts w:eastAsia="Times New Roman"/>
          <w:sz w:val="24"/>
          <w:szCs w:val="24"/>
          <w:u w:val="single"/>
        </w:rPr>
        <w:t xml:space="preserve">Even for contracts </w:t>
      </w:r>
      <w:r w:rsidR="1CB2CE2E" w:rsidRPr="4D72A2F6">
        <w:rPr>
          <w:rFonts w:eastAsia="Times New Roman"/>
          <w:sz w:val="24"/>
          <w:szCs w:val="24"/>
          <w:u w:val="single"/>
        </w:rPr>
        <w:t xml:space="preserve">that </w:t>
      </w:r>
      <w:r w:rsidR="1CB2CE2E" w:rsidRPr="64EF13D4">
        <w:rPr>
          <w:rFonts w:eastAsia="Times New Roman"/>
          <w:sz w:val="24"/>
          <w:szCs w:val="24"/>
          <w:u w:val="single"/>
        </w:rPr>
        <w:t>terminate early,</w:t>
      </w:r>
      <w:r w:rsidR="2FC04623" w:rsidRPr="78251550">
        <w:rPr>
          <w:rFonts w:eastAsia="Times New Roman"/>
          <w:sz w:val="24"/>
          <w:szCs w:val="24"/>
          <w:u w:val="single"/>
        </w:rPr>
        <w:t xml:space="preserve"> </w:t>
      </w:r>
      <w:r w:rsidR="1CB2CE2E" w:rsidRPr="78251550">
        <w:rPr>
          <w:rFonts w:eastAsia="Times New Roman"/>
          <w:sz w:val="24"/>
          <w:szCs w:val="24"/>
          <w:u w:val="single"/>
        </w:rPr>
        <w:t xml:space="preserve">the Company still retains the </w:t>
      </w:r>
      <w:r w:rsidR="1CB2CE2E" w:rsidRPr="235A45B1">
        <w:rPr>
          <w:rFonts w:eastAsia="Times New Roman"/>
          <w:sz w:val="24"/>
          <w:szCs w:val="24"/>
          <w:u w:val="single"/>
        </w:rPr>
        <w:t xml:space="preserve">ability to </w:t>
      </w:r>
      <w:r w:rsidR="1CB2CE2E" w:rsidRPr="586E9301">
        <w:rPr>
          <w:rFonts w:eastAsia="Times New Roman"/>
          <w:sz w:val="24"/>
          <w:szCs w:val="24"/>
          <w:u w:val="single"/>
        </w:rPr>
        <w:t xml:space="preserve">seek </w:t>
      </w:r>
      <w:r w:rsidR="5DD8542D" w:rsidRPr="57663C63">
        <w:rPr>
          <w:rFonts w:eastAsia="Times New Roman"/>
          <w:sz w:val="24"/>
          <w:szCs w:val="24"/>
          <w:u w:val="single"/>
        </w:rPr>
        <w:t xml:space="preserve">recovery </w:t>
      </w:r>
      <w:r w:rsidR="5DD8542D" w:rsidRPr="57663C63">
        <w:rPr>
          <w:rFonts w:eastAsia="Times New Roman"/>
          <w:sz w:val="24"/>
          <w:szCs w:val="24"/>
          <w:u w:val="single"/>
        </w:rPr>
        <w:lastRenderedPageBreak/>
        <w:t xml:space="preserve">from </w:t>
      </w:r>
      <w:r w:rsidR="5DD8542D" w:rsidRPr="5DAF5C17">
        <w:rPr>
          <w:rFonts w:eastAsia="Times New Roman"/>
          <w:sz w:val="24"/>
          <w:szCs w:val="24"/>
          <w:u w:val="single"/>
        </w:rPr>
        <w:t>existing</w:t>
      </w:r>
      <w:r w:rsidR="5DD8542D" w:rsidRPr="010DD1DD">
        <w:rPr>
          <w:rFonts w:eastAsia="Times New Roman"/>
          <w:sz w:val="24"/>
          <w:szCs w:val="24"/>
          <w:u w:val="single"/>
        </w:rPr>
        <w:t xml:space="preserve"> customers.</w:t>
      </w:r>
      <w:r w:rsidR="2FC04623" w:rsidRPr="78251550">
        <w:rPr>
          <w:rFonts w:eastAsia="Times New Roman"/>
          <w:sz w:val="24"/>
          <w:szCs w:val="24"/>
        </w:rPr>
        <w:t xml:space="preserve"> </w:t>
      </w:r>
      <w:r w:rsidR="00105309">
        <w:rPr>
          <w:rFonts w:eastAsia="Times New Roman"/>
          <w:sz w:val="24"/>
          <w:szCs w:val="24"/>
        </w:rPr>
        <w:t>In other words, the Company</w:t>
      </w:r>
      <w:r w:rsidR="00DD6133">
        <w:rPr>
          <w:rFonts w:eastAsia="Times New Roman"/>
          <w:sz w:val="24"/>
          <w:szCs w:val="24"/>
        </w:rPr>
        <w:t xml:space="preserve">’s mitigation is limited and may </w:t>
      </w:r>
      <w:r w:rsidR="006166A1">
        <w:rPr>
          <w:rFonts w:eastAsia="Times New Roman"/>
          <w:sz w:val="24"/>
          <w:szCs w:val="24"/>
        </w:rPr>
        <w:t xml:space="preserve">not be sufficient </w:t>
      </w:r>
      <w:r w:rsidR="22186024" w:rsidRPr="3321C812">
        <w:rPr>
          <w:rFonts w:eastAsia="Times New Roman"/>
          <w:sz w:val="24"/>
          <w:szCs w:val="24"/>
        </w:rPr>
        <w:t xml:space="preserve">to protect ratepayers </w:t>
      </w:r>
      <w:r w:rsidR="006166A1">
        <w:rPr>
          <w:rFonts w:eastAsia="Times New Roman"/>
          <w:sz w:val="24"/>
          <w:szCs w:val="24"/>
        </w:rPr>
        <w:t xml:space="preserve">if multiple large load customers terminate early. Potentially, </w:t>
      </w:r>
      <w:r w:rsidR="00E65A10" w:rsidRPr="00E65A10">
        <w:rPr>
          <w:rFonts w:eastAsia="Times New Roman"/>
          <w:sz w:val="24"/>
          <w:szCs w:val="24"/>
        </w:rPr>
        <w:t xml:space="preserve">every single forecasted </w:t>
      </w:r>
      <w:r w:rsidR="3456C0B5" w:rsidRPr="3321C812">
        <w:rPr>
          <w:rFonts w:eastAsia="Times New Roman"/>
          <w:sz w:val="24"/>
          <w:szCs w:val="24"/>
        </w:rPr>
        <w:t>D</w:t>
      </w:r>
      <w:r w:rsidR="00E65A10" w:rsidRPr="3321C812">
        <w:rPr>
          <w:rFonts w:eastAsia="Times New Roman"/>
          <w:sz w:val="24"/>
          <w:szCs w:val="24"/>
        </w:rPr>
        <w:t>ata</w:t>
      </w:r>
      <w:r w:rsidR="2EADAE4B" w:rsidRPr="3321C812">
        <w:rPr>
          <w:rFonts w:eastAsia="Times New Roman"/>
          <w:sz w:val="24"/>
          <w:szCs w:val="24"/>
        </w:rPr>
        <w:t xml:space="preserve"> C</w:t>
      </w:r>
      <w:r w:rsidR="00E65A10" w:rsidRPr="3321C812">
        <w:rPr>
          <w:rFonts w:eastAsia="Times New Roman"/>
          <w:sz w:val="24"/>
          <w:szCs w:val="24"/>
        </w:rPr>
        <w:t>enter</w:t>
      </w:r>
      <w:r w:rsidR="00E65A10" w:rsidRPr="00E65A10">
        <w:rPr>
          <w:rFonts w:eastAsia="Times New Roman"/>
          <w:sz w:val="24"/>
          <w:szCs w:val="24"/>
        </w:rPr>
        <w:t xml:space="preserve"> MW could need to be mitigated.</w:t>
      </w:r>
    </w:p>
    <w:p w14:paraId="672251D7" w14:textId="35067A10" w:rsidR="2589809D" w:rsidRDefault="2589809D" w:rsidP="5CEB4324">
      <w:pPr>
        <w:spacing w:before="480" w:line="480" w:lineRule="auto"/>
        <w:ind w:left="720" w:hanging="720"/>
        <w:rPr>
          <w:rFonts w:eastAsia="Times New Roman"/>
          <w:b/>
          <w:bCs/>
          <w:caps/>
          <w:sz w:val="24"/>
          <w:szCs w:val="24"/>
        </w:rPr>
      </w:pPr>
      <w:r w:rsidRPr="5CEB4324">
        <w:rPr>
          <w:rFonts w:eastAsia="Times New Roman"/>
          <w:b/>
          <w:bCs/>
          <w:caps/>
          <w:sz w:val="24"/>
          <w:szCs w:val="24"/>
        </w:rPr>
        <w:t>Q.</w:t>
      </w:r>
      <w:r>
        <w:tab/>
      </w:r>
      <w:r w:rsidRPr="5CEB4324">
        <w:rPr>
          <w:rFonts w:eastAsia="Times New Roman"/>
          <w:b/>
          <w:bCs/>
          <w:caps/>
          <w:sz w:val="24"/>
          <w:szCs w:val="24"/>
        </w:rPr>
        <w:t xml:space="preserve">Please Describe scenario </w:t>
      </w:r>
      <w:r w:rsidR="00E14FD2">
        <w:rPr>
          <w:rFonts w:eastAsia="Times New Roman"/>
          <w:b/>
          <w:bCs/>
          <w:caps/>
          <w:sz w:val="24"/>
          <w:szCs w:val="24"/>
        </w:rPr>
        <w:t>2</w:t>
      </w:r>
      <w:r w:rsidRPr="5CEB4324">
        <w:rPr>
          <w:rFonts w:eastAsia="Times New Roman"/>
          <w:b/>
          <w:bCs/>
          <w:caps/>
          <w:sz w:val="24"/>
          <w:szCs w:val="24"/>
        </w:rPr>
        <w:t xml:space="preserve"> in more detail</w:t>
      </w:r>
      <w:r w:rsidR="5D280C63" w:rsidRPr="33A16A6F">
        <w:rPr>
          <w:rFonts w:eastAsia="Times New Roman"/>
          <w:b/>
          <w:bCs/>
          <w:caps/>
          <w:sz w:val="24"/>
          <w:szCs w:val="24"/>
        </w:rPr>
        <w:t>.</w:t>
      </w:r>
    </w:p>
    <w:p w14:paraId="66E8742F" w14:textId="0AE1368E" w:rsidR="2589809D" w:rsidRDefault="2589809D">
      <w:pPr>
        <w:spacing w:line="480" w:lineRule="auto"/>
        <w:ind w:left="720" w:hanging="720"/>
        <w:rPr>
          <w:rFonts w:eastAsia="Times New Roman"/>
          <w:sz w:val="24"/>
          <w:szCs w:val="24"/>
        </w:rPr>
      </w:pPr>
      <w:r w:rsidRPr="5CEB4324">
        <w:rPr>
          <w:rFonts w:eastAsia="Times New Roman"/>
          <w:sz w:val="24"/>
          <w:szCs w:val="24"/>
        </w:rPr>
        <w:t>A.</w:t>
      </w:r>
      <w:r>
        <w:tab/>
      </w:r>
      <w:r w:rsidRPr="5CEB4324">
        <w:rPr>
          <w:rFonts w:eastAsia="Times New Roman"/>
          <w:sz w:val="24"/>
          <w:szCs w:val="24"/>
        </w:rPr>
        <w:t xml:space="preserve">Scenario </w:t>
      </w:r>
      <w:r w:rsidR="00664B3E">
        <w:rPr>
          <w:rFonts w:eastAsia="Times New Roman"/>
          <w:sz w:val="24"/>
          <w:szCs w:val="24"/>
        </w:rPr>
        <w:t>2</w:t>
      </w:r>
      <w:r w:rsidRPr="5CEB4324">
        <w:rPr>
          <w:rFonts w:eastAsia="Times New Roman"/>
          <w:sz w:val="24"/>
          <w:szCs w:val="24"/>
        </w:rPr>
        <w:t xml:space="preserve"> allows the Company more </w:t>
      </w:r>
      <w:r w:rsidRPr="016A7310">
        <w:rPr>
          <w:rFonts w:eastAsia="Times New Roman"/>
          <w:sz w:val="24"/>
          <w:szCs w:val="24"/>
        </w:rPr>
        <w:t>flexibility</w:t>
      </w:r>
      <w:r w:rsidRPr="5CEB4324">
        <w:rPr>
          <w:rFonts w:eastAsia="Times New Roman"/>
          <w:sz w:val="24"/>
          <w:szCs w:val="24"/>
        </w:rPr>
        <w:t xml:space="preserve"> to address longer development and procurement timelines associated with large load projects, but it also further increases the risk to existing customers by allowing the Company to incur more costs than Scenario </w:t>
      </w:r>
      <w:r w:rsidR="45A7A0FC" w:rsidRPr="2CB5B6BA">
        <w:rPr>
          <w:rFonts w:eastAsia="Times New Roman"/>
          <w:sz w:val="24"/>
          <w:szCs w:val="24"/>
        </w:rPr>
        <w:t>1</w:t>
      </w:r>
      <w:r w:rsidRPr="5CEB4324">
        <w:rPr>
          <w:rFonts w:eastAsia="Times New Roman"/>
          <w:sz w:val="24"/>
          <w:szCs w:val="24"/>
        </w:rPr>
        <w:t xml:space="preserve">. Roughly speaking, the additional capacity cost of Scenario </w:t>
      </w:r>
      <w:r w:rsidR="1EC03000" w:rsidRPr="57F8407D">
        <w:rPr>
          <w:rFonts w:eastAsia="Times New Roman"/>
          <w:sz w:val="24"/>
          <w:szCs w:val="24"/>
        </w:rPr>
        <w:t>2</w:t>
      </w:r>
      <w:r w:rsidRPr="5CEB4324">
        <w:rPr>
          <w:rFonts w:eastAsia="Times New Roman"/>
          <w:sz w:val="24"/>
          <w:szCs w:val="24"/>
        </w:rPr>
        <w:t xml:space="preserve"> over Scenario 1 is $</w:t>
      </w:r>
      <w:r w:rsidR="00841D57">
        <w:rPr>
          <w:rFonts w:eastAsia="Times New Roman"/>
          <w:sz w:val="24"/>
          <w:szCs w:val="24"/>
        </w:rPr>
        <w:t>5.</w:t>
      </w:r>
      <w:r w:rsidR="00390222">
        <w:rPr>
          <w:rFonts w:eastAsia="Times New Roman"/>
          <w:sz w:val="24"/>
          <w:szCs w:val="24"/>
        </w:rPr>
        <w:t>0</w:t>
      </w:r>
      <w:r w:rsidRPr="5CEB4324">
        <w:rPr>
          <w:rFonts w:eastAsia="Times New Roman"/>
          <w:sz w:val="24"/>
          <w:szCs w:val="24"/>
        </w:rPr>
        <w:t xml:space="preserve"> billion</w:t>
      </w:r>
      <w:r w:rsidR="00244D4B">
        <w:rPr>
          <w:rFonts w:eastAsia="Times New Roman"/>
          <w:sz w:val="24"/>
          <w:szCs w:val="24"/>
        </w:rPr>
        <w:t xml:space="preserve"> </w:t>
      </w:r>
      <w:r w:rsidR="00B316E7">
        <w:rPr>
          <w:rFonts w:eastAsia="Times New Roman"/>
          <w:sz w:val="24"/>
          <w:szCs w:val="24"/>
        </w:rPr>
        <w:t xml:space="preserve">in </w:t>
      </w:r>
      <w:r w:rsidR="00177C7E">
        <w:rPr>
          <w:rFonts w:eastAsia="Times New Roman"/>
          <w:sz w:val="24"/>
          <w:szCs w:val="24"/>
        </w:rPr>
        <w:t>capital investment by Georgia Power</w:t>
      </w:r>
      <w:r w:rsidRPr="5CEB4324">
        <w:rPr>
          <w:rFonts w:eastAsia="Times New Roman"/>
          <w:sz w:val="24"/>
          <w:szCs w:val="24"/>
        </w:rPr>
        <w:t>.</w:t>
      </w:r>
    </w:p>
    <w:p w14:paraId="298ED9D7" w14:textId="505B10E9" w:rsidR="0093280A" w:rsidRDefault="00664B3E" w:rsidP="00CD39F9">
      <w:pPr>
        <w:spacing w:line="480" w:lineRule="auto"/>
        <w:ind w:left="720" w:hanging="720"/>
      </w:pPr>
      <w:r>
        <w:rPr>
          <w:rFonts w:eastAsia="Times New Roman"/>
          <w:sz w:val="24"/>
          <w:szCs w:val="24"/>
        </w:rPr>
        <w:tab/>
      </w:r>
      <w:r>
        <w:rPr>
          <w:rFonts w:eastAsia="Times New Roman"/>
          <w:sz w:val="24"/>
          <w:szCs w:val="24"/>
        </w:rPr>
        <w:tab/>
      </w:r>
      <w:r w:rsidRPr="00CD39F9">
        <w:rPr>
          <w:sz w:val="24"/>
          <w:szCs w:val="24"/>
        </w:rPr>
        <w:t xml:space="preserve">However, Scenario </w:t>
      </w:r>
      <w:r w:rsidR="389A27BE" w:rsidRPr="00CD39F9">
        <w:rPr>
          <w:sz w:val="24"/>
          <w:szCs w:val="24"/>
        </w:rPr>
        <w:t>2</w:t>
      </w:r>
      <w:r w:rsidRPr="00CD39F9">
        <w:rPr>
          <w:sz w:val="24"/>
          <w:szCs w:val="24"/>
        </w:rPr>
        <w:t xml:space="preserve"> still poses less risk for existing customers than the Company’s request. Site control assumptions are moderated down to reflect lower levels of commitment to siting in Georgia</w:t>
      </w:r>
      <w:r w:rsidR="006F567F">
        <w:rPr>
          <w:sz w:val="24"/>
          <w:szCs w:val="24"/>
        </w:rPr>
        <w:t>, as evidenced by significant project removals</w:t>
      </w:r>
      <w:r w:rsidRPr="00CD39F9">
        <w:rPr>
          <w:sz w:val="24"/>
          <w:szCs w:val="24"/>
        </w:rPr>
        <w:t>. The higher materialization assumptions for data centers are moderated down to be equivalent to all other industries. Finally, load ramps for projects are corrected to reflect those specified in the contracts of each project.</w:t>
      </w:r>
    </w:p>
    <w:p w14:paraId="6E057FD9" w14:textId="50A4A438" w:rsidR="0093280A" w:rsidRDefault="0093280A" w:rsidP="0093280A">
      <w:pPr>
        <w:pStyle w:val="Question"/>
      </w:pPr>
      <w:r>
        <w:t>Q.</w:t>
      </w:r>
      <w:r>
        <w:tab/>
        <w:t xml:space="preserve">Please describe the adjustment for the P1 Probability in scenario </w:t>
      </w:r>
      <w:r w:rsidR="26A56AC8">
        <w:t>2</w:t>
      </w:r>
      <w:r>
        <w:t>.</w:t>
      </w:r>
    </w:p>
    <w:p w14:paraId="579F011C" w14:textId="581148B1" w:rsidR="0093280A" w:rsidRDefault="0093280A" w:rsidP="0093280A">
      <w:pPr>
        <w:pStyle w:val="Answers"/>
      </w:pPr>
      <w:r>
        <w:t>A.</w:t>
      </w:r>
      <w:r>
        <w:tab/>
        <w:t xml:space="preserve">Regarding the P1 adjustment, the Company </w:t>
      </w:r>
      <w:r w:rsidR="006F567F">
        <w:t xml:space="preserve">generally </w:t>
      </w:r>
      <w:r>
        <w:t xml:space="preserve">assigns a </w:t>
      </w:r>
      <w:r w:rsidRPr="25E2DD57">
        <w:rPr>
          <w:rFonts w:eastAsia="Times New Roman" w:cs="Times New Roman"/>
        </w:rPr>
        <w:t xml:space="preserve">50% </w:t>
      </w:r>
      <w:r w:rsidR="001A42EB">
        <w:rPr>
          <w:rFonts w:eastAsia="Times New Roman" w:cs="Times New Roman"/>
        </w:rPr>
        <w:t xml:space="preserve">probability </w:t>
      </w:r>
      <w:r w:rsidRPr="25E2DD57">
        <w:rPr>
          <w:rFonts w:eastAsia="Times New Roman" w:cs="Times New Roman"/>
        </w:rPr>
        <w:t xml:space="preserve">for customers who do not possess site control and 100% </w:t>
      </w:r>
      <w:r w:rsidR="00DD3301">
        <w:rPr>
          <w:rFonts w:eastAsia="Times New Roman" w:cs="Times New Roman"/>
        </w:rPr>
        <w:t xml:space="preserve">probability </w:t>
      </w:r>
      <w:r w:rsidRPr="25E2DD57">
        <w:rPr>
          <w:rFonts w:eastAsia="Times New Roman" w:cs="Times New Roman"/>
        </w:rPr>
        <w:t>for those with site control</w:t>
      </w:r>
      <w:r>
        <w:t>.</w:t>
      </w:r>
      <w:r>
        <w:rPr>
          <w:rStyle w:val="FootnoteReference"/>
        </w:rPr>
        <w:footnoteReference w:id="67"/>
      </w:r>
      <w:r>
        <w:t xml:space="preserve"> Under this structure, customers that own a site are treated the same as those who </w:t>
      </w:r>
      <w:r>
        <w:lastRenderedPageBreak/>
        <w:t xml:space="preserve">only have an option/purchase and sale agreement, or even just a letter of intent, as demonstrated in </w:t>
      </w:r>
      <w:r>
        <w:fldChar w:fldCharType="begin"/>
      </w:r>
      <w:r>
        <w:instrText xml:space="preserve"> REF _Ref212628401 \h </w:instrText>
      </w:r>
      <w:r>
        <w:fldChar w:fldCharType="separate"/>
      </w:r>
      <w:r w:rsidR="00220F39">
        <w:t xml:space="preserve">Table </w:t>
      </w:r>
      <w:r w:rsidR="00220F39">
        <w:rPr>
          <w:noProof/>
        </w:rPr>
        <w:t>12</w:t>
      </w:r>
      <w:r>
        <w:fldChar w:fldCharType="end"/>
      </w:r>
      <w:r>
        <w:t xml:space="preserve"> below. Furthermore, projects with absolutely no site control are provided a 50% likelihood of selecting the state of Georgia. As such, the Company does not differentiate the P1 values based on stages of ownership.</w:t>
      </w:r>
      <w:r>
        <w:rPr>
          <w:rStyle w:val="FootnoteReference"/>
        </w:rPr>
        <w:footnoteReference w:id="68"/>
      </w:r>
    </w:p>
    <w:p w14:paraId="491B386B" w14:textId="013FA310" w:rsidR="0093280A" w:rsidRDefault="0093280A" w:rsidP="0093280A">
      <w:pPr>
        <w:pStyle w:val="Caption"/>
        <w:keepLines/>
      </w:pPr>
      <w:bookmarkStart w:id="67" w:name="_Ref212628401"/>
      <w:bookmarkStart w:id="68" w:name="_Toc213766882"/>
      <w:r>
        <w:t xml:space="preserve">Table </w:t>
      </w:r>
      <w:fldSimple w:instr=" SEQ Table \* ARABIC ">
        <w:r w:rsidR="00220F39">
          <w:rPr>
            <w:noProof/>
          </w:rPr>
          <w:t>12</w:t>
        </w:r>
      </w:fldSimple>
      <w:bookmarkEnd w:id="67"/>
      <w:r>
        <w:t>: P1 Variable Options</w:t>
      </w:r>
      <w:r>
        <w:rPr>
          <w:rStyle w:val="FootnoteReference"/>
        </w:rPr>
        <w:footnoteReference w:id="69"/>
      </w:r>
      <w:bookmarkEnd w:id="68"/>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155"/>
      </w:tblGrid>
      <w:tr w:rsidR="0093280A" w14:paraId="59341357" w14:textId="77777777" w:rsidTr="00A81F66">
        <w:tc>
          <w:tcPr>
            <w:tcW w:w="6475" w:type="dxa"/>
            <w:shd w:val="clear" w:color="auto" w:fill="DEEAF6" w:themeFill="accent5" w:themeFillTint="33"/>
          </w:tcPr>
          <w:p w14:paraId="7AB1AA60" w14:textId="2353CCFA" w:rsidR="0093280A" w:rsidRPr="0093280A" w:rsidRDefault="0093280A" w:rsidP="0093280A">
            <w:pPr>
              <w:pStyle w:val="Answers"/>
              <w:keepNext/>
              <w:keepLines/>
              <w:spacing w:line="240" w:lineRule="auto"/>
              <w:ind w:left="0" w:firstLine="0"/>
              <w:rPr>
                <w:b/>
                <w:bCs/>
              </w:rPr>
            </w:pPr>
            <w:r w:rsidRPr="0093280A">
              <w:rPr>
                <w:b/>
                <w:bCs/>
              </w:rPr>
              <w:t>Ownership Description</w:t>
            </w:r>
          </w:p>
        </w:tc>
        <w:tc>
          <w:tcPr>
            <w:tcW w:w="2155" w:type="dxa"/>
            <w:shd w:val="clear" w:color="auto" w:fill="DEEAF6" w:themeFill="accent5" w:themeFillTint="33"/>
          </w:tcPr>
          <w:p w14:paraId="0CE21B0A" w14:textId="540BD90D" w:rsidR="0093280A" w:rsidRPr="0093280A" w:rsidRDefault="0093280A" w:rsidP="0093280A">
            <w:pPr>
              <w:pStyle w:val="Answers"/>
              <w:keepNext/>
              <w:keepLines/>
              <w:spacing w:line="240" w:lineRule="auto"/>
              <w:ind w:left="0" w:firstLine="0"/>
              <w:rPr>
                <w:b/>
                <w:bCs/>
              </w:rPr>
            </w:pPr>
            <w:r w:rsidRPr="0093280A">
              <w:rPr>
                <w:b/>
                <w:bCs/>
              </w:rPr>
              <w:t>P1 Assumption</w:t>
            </w:r>
          </w:p>
        </w:tc>
      </w:tr>
      <w:tr w:rsidR="0093280A" w14:paraId="397B34C9" w14:textId="77777777" w:rsidTr="00A81F66">
        <w:tc>
          <w:tcPr>
            <w:tcW w:w="6475" w:type="dxa"/>
          </w:tcPr>
          <w:p w14:paraId="3DD6E019" w14:textId="19FCA6F5" w:rsidR="0093280A" w:rsidRDefault="0093280A" w:rsidP="0093280A">
            <w:pPr>
              <w:pStyle w:val="Answers"/>
              <w:keepNext/>
              <w:keepLines/>
              <w:spacing w:line="240" w:lineRule="auto"/>
              <w:ind w:left="0" w:firstLine="0"/>
            </w:pPr>
            <w:r>
              <w:t>Owns the site</w:t>
            </w:r>
          </w:p>
        </w:tc>
        <w:tc>
          <w:tcPr>
            <w:tcW w:w="2155" w:type="dxa"/>
          </w:tcPr>
          <w:p w14:paraId="776003B5" w14:textId="17012D66" w:rsidR="0093280A" w:rsidRDefault="0093280A" w:rsidP="0093280A">
            <w:pPr>
              <w:pStyle w:val="Answers"/>
              <w:keepNext/>
              <w:keepLines/>
              <w:spacing w:line="240" w:lineRule="auto"/>
              <w:ind w:left="0" w:firstLine="0"/>
            </w:pPr>
            <w:r>
              <w:t>100%</w:t>
            </w:r>
          </w:p>
        </w:tc>
      </w:tr>
      <w:tr w:rsidR="0093280A" w14:paraId="7D5B7448" w14:textId="77777777" w:rsidTr="00A81F66">
        <w:tc>
          <w:tcPr>
            <w:tcW w:w="6475" w:type="dxa"/>
          </w:tcPr>
          <w:p w14:paraId="46A4CA93" w14:textId="36C49B52" w:rsidR="0093280A" w:rsidRDefault="0093280A" w:rsidP="0093280A">
            <w:pPr>
              <w:pStyle w:val="Answers"/>
              <w:keepNext/>
              <w:keepLines/>
              <w:spacing w:line="240" w:lineRule="auto"/>
              <w:ind w:left="0" w:firstLine="0"/>
            </w:pPr>
            <w:r>
              <w:t>Option/Purchase and Sales Agreement: Holds an option to purchase or lease the site</w:t>
            </w:r>
          </w:p>
        </w:tc>
        <w:tc>
          <w:tcPr>
            <w:tcW w:w="2155" w:type="dxa"/>
          </w:tcPr>
          <w:p w14:paraId="3AFC5526" w14:textId="1BEE9A91" w:rsidR="0093280A" w:rsidRDefault="0093280A" w:rsidP="0093280A">
            <w:pPr>
              <w:pStyle w:val="Answers"/>
              <w:keepNext/>
              <w:keepLines/>
              <w:spacing w:line="240" w:lineRule="auto"/>
              <w:ind w:left="0" w:firstLine="0"/>
            </w:pPr>
            <w:r>
              <w:t>100%</w:t>
            </w:r>
          </w:p>
        </w:tc>
      </w:tr>
      <w:tr w:rsidR="0093280A" w14:paraId="4E3E3781" w14:textId="77777777" w:rsidTr="00A81F66">
        <w:tc>
          <w:tcPr>
            <w:tcW w:w="6475" w:type="dxa"/>
          </w:tcPr>
          <w:p w14:paraId="3888FA6C" w14:textId="4A0070A2" w:rsidR="0093280A" w:rsidRDefault="0093280A" w:rsidP="0093280A">
            <w:pPr>
              <w:pStyle w:val="Answers"/>
              <w:keepNext/>
              <w:keepLines/>
              <w:spacing w:line="240" w:lineRule="auto"/>
              <w:ind w:left="0" w:firstLine="0"/>
            </w:pPr>
            <w:r>
              <w:t>LOI: Holds a binding easement or license granting rights to develop and operate on the site</w:t>
            </w:r>
          </w:p>
        </w:tc>
        <w:tc>
          <w:tcPr>
            <w:tcW w:w="2155" w:type="dxa"/>
          </w:tcPr>
          <w:p w14:paraId="79FBDC45" w14:textId="5B745DDA" w:rsidR="0093280A" w:rsidRDefault="0093280A" w:rsidP="0093280A">
            <w:pPr>
              <w:pStyle w:val="Answers"/>
              <w:keepNext/>
              <w:keepLines/>
              <w:spacing w:line="240" w:lineRule="auto"/>
              <w:ind w:left="0" w:firstLine="0"/>
            </w:pPr>
            <w:r>
              <w:t>100%</w:t>
            </w:r>
          </w:p>
        </w:tc>
      </w:tr>
      <w:tr w:rsidR="0093280A" w14:paraId="4824F7B6" w14:textId="77777777" w:rsidTr="00A81F66">
        <w:tc>
          <w:tcPr>
            <w:tcW w:w="6475" w:type="dxa"/>
          </w:tcPr>
          <w:p w14:paraId="6B02AB53" w14:textId="1DBBC88D" w:rsidR="0093280A" w:rsidRDefault="0093280A" w:rsidP="0093280A">
            <w:pPr>
              <w:pStyle w:val="Answers"/>
              <w:keepNext/>
              <w:keepLines/>
              <w:spacing w:line="240" w:lineRule="auto"/>
              <w:ind w:left="0" w:firstLine="0"/>
            </w:pPr>
            <w:r>
              <w:t>No site control</w:t>
            </w:r>
          </w:p>
        </w:tc>
        <w:tc>
          <w:tcPr>
            <w:tcW w:w="2155" w:type="dxa"/>
          </w:tcPr>
          <w:p w14:paraId="6073738E" w14:textId="52FC168B" w:rsidR="0093280A" w:rsidRDefault="0093280A" w:rsidP="0093280A">
            <w:pPr>
              <w:pStyle w:val="Answers"/>
              <w:keepNext/>
              <w:keepLines/>
              <w:spacing w:line="240" w:lineRule="auto"/>
              <w:ind w:left="0" w:firstLine="0"/>
            </w:pPr>
            <w:r>
              <w:t>50%</w:t>
            </w:r>
          </w:p>
        </w:tc>
      </w:tr>
    </w:tbl>
    <w:p w14:paraId="17C19885" w14:textId="02022A78" w:rsidR="0093280A" w:rsidRDefault="0093280A" w:rsidP="0093280A">
      <w:pPr>
        <w:pStyle w:val="Answers"/>
        <w:spacing w:before="240"/>
      </w:pPr>
      <w:r>
        <w:tab/>
      </w:r>
      <w:r>
        <w:tab/>
        <w:t>This lack of differentiation is in stark contrast to how the Company treats its P2 variable. In February 2025, the Company revealed a structured rubric to assign P2 values based on how a project progresses through the contract development process.</w:t>
      </w:r>
      <w:r>
        <w:rPr>
          <w:rStyle w:val="FootnoteReference"/>
        </w:rPr>
        <w:footnoteReference w:id="70"/>
      </w:r>
      <w:r w:rsidR="00123161">
        <w:t xml:space="preserve"> The P2 rubric considers that projects that are earlier on in the development process should be discounted in their likelihood to succeed.</w:t>
      </w:r>
    </w:p>
    <w:p w14:paraId="45545CBF" w14:textId="2257AA79" w:rsidR="00123161" w:rsidRDefault="00123161" w:rsidP="00546972">
      <w:pPr>
        <w:pStyle w:val="Answers"/>
        <w:spacing w:before="240"/>
      </w:pPr>
      <w:r>
        <w:tab/>
      </w:r>
      <w:r>
        <w:tab/>
      </w:r>
      <w:r w:rsidR="006F567F">
        <w:t>T</w:t>
      </w:r>
      <w:r>
        <w:t xml:space="preserve">he P1 variable assumes that an option or letter of intent demonstrates the same level of commitment to development as a project with outright ownership of a site. Further details </w:t>
      </w:r>
      <w:r w:rsidR="00DD3301">
        <w:t>regarding</w:t>
      </w:r>
      <w:r>
        <w:t xml:space="preserve"> project-level site control are provided in </w:t>
      </w:r>
      <w:r>
        <w:fldChar w:fldCharType="begin"/>
      </w:r>
      <w:r>
        <w:instrText xml:space="preserve"> REF _Ref212629198 \h </w:instrText>
      </w:r>
      <w:r>
        <w:fldChar w:fldCharType="separate"/>
      </w:r>
      <w:r w:rsidR="00220F39">
        <w:t xml:space="preserve">Table </w:t>
      </w:r>
      <w:r w:rsidR="00220F39">
        <w:rPr>
          <w:noProof/>
        </w:rPr>
        <w:t>13</w:t>
      </w:r>
      <w:r>
        <w:fldChar w:fldCharType="end"/>
      </w:r>
      <w:r>
        <w:t xml:space="preserve">, along with Staff’s recommended adjustments. Generally, Staff recommends that the Company apply a more disciplined approach to assigning P1 probabilities which recognizes that outright </w:t>
      </w:r>
      <w:r>
        <w:lastRenderedPageBreak/>
        <w:t xml:space="preserve">ownership of land should not reflect the same likelihood of project success as an option or intent to control. </w:t>
      </w:r>
    </w:p>
    <w:p w14:paraId="29E51F32" w14:textId="31FD20D3" w:rsidR="00123161" w:rsidRDefault="00123161" w:rsidP="00123161">
      <w:pPr>
        <w:pStyle w:val="Caption"/>
        <w:keepLines/>
      </w:pPr>
      <w:bookmarkStart w:id="69" w:name="_Ref212629198"/>
      <w:bookmarkStart w:id="70" w:name="_Toc213766883"/>
      <w:r>
        <w:t xml:space="preserve">Table </w:t>
      </w:r>
      <w:fldSimple w:instr=" SEQ Table \* ARABIC ">
        <w:r w:rsidR="00220F39">
          <w:rPr>
            <w:noProof/>
          </w:rPr>
          <w:t>13</w:t>
        </w:r>
      </w:fldSimple>
      <w:bookmarkEnd w:id="69"/>
      <w:r>
        <w:t>: LRM P1 Assumption Comparison</w:t>
      </w:r>
      <w:r>
        <w:rPr>
          <w:rStyle w:val="FootnoteReference"/>
        </w:rPr>
        <w:footnoteReference w:id="71"/>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1800"/>
        <w:gridCol w:w="934"/>
        <w:gridCol w:w="1131"/>
      </w:tblGrid>
      <w:tr w:rsidR="00123161" w:rsidRPr="00123161" w14:paraId="56703EBC" w14:textId="77777777" w:rsidTr="00123161">
        <w:trPr>
          <w:trHeight w:val="330"/>
        </w:trPr>
        <w:tc>
          <w:tcPr>
            <w:tcW w:w="5485" w:type="dxa"/>
            <w:shd w:val="clear" w:color="000000" w:fill="DCE6F1"/>
            <w:noWrap/>
            <w:vAlign w:val="center"/>
            <w:hideMark/>
          </w:tcPr>
          <w:p w14:paraId="5076DB09" w14:textId="1E3BB6C1" w:rsidR="00123161" w:rsidRPr="00123161" w:rsidRDefault="00123161" w:rsidP="00123161">
            <w:pPr>
              <w:keepNext/>
              <w:keepLines/>
              <w:jc w:val="left"/>
              <w:rPr>
                <w:rFonts w:eastAsia="Microsoft YaHei"/>
                <w:b/>
                <w:bCs/>
                <w:color w:val="000000"/>
                <w:sz w:val="24"/>
                <w:szCs w:val="24"/>
              </w:rPr>
            </w:pPr>
            <w:r>
              <w:rPr>
                <w:rFonts w:eastAsia="Microsoft YaHei"/>
                <w:b/>
                <w:bCs/>
                <w:color w:val="000000"/>
                <w:sz w:val="24"/>
                <w:szCs w:val="24"/>
              </w:rPr>
              <w:t xml:space="preserve">GPC </w:t>
            </w:r>
            <w:r w:rsidRPr="00123161">
              <w:rPr>
                <w:rFonts w:eastAsia="Microsoft YaHei"/>
                <w:b/>
                <w:bCs/>
                <w:color w:val="000000"/>
                <w:sz w:val="24"/>
                <w:szCs w:val="24"/>
              </w:rPr>
              <w:t xml:space="preserve">Site </w:t>
            </w:r>
            <w:r w:rsidRPr="00123161">
              <w:rPr>
                <w:rFonts w:eastAsia="Times New Roman"/>
                <w:b/>
                <w:bCs/>
                <w:sz w:val="24"/>
                <w:szCs w:val="24"/>
              </w:rPr>
              <w:t xml:space="preserve">Control </w:t>
            </w:r>
            <w:r>
              <w:rPr>
                <w:rFonts w:eastAsia="Times New Roman"/>
                <w:b/>
                <w:bCs/>
                <w:sz w:val="24"/>
                <w:szCs w:val="24"/>
              </w:rPr>
              <w:t>Description</w:t>
            </w:r>
          </w:p>
        </w:tc>
        <w:tc>
          <w:tcPr>
            <w:tcW w:w="1800" w:type="dxa"/>
            <w:shd w:val="clear" w:color="000000" w:fill="DCE6F1"/>
            <w:noWrap/>
            <w:vAlign w:val="center"/>
            <w:hideMark/>
          </w:tcPr>
          <w:p w14:paraId="7ABDC554" w14:textId="1181F3BC" w:rsidR="00123161" w:rsidRPr="00123161" w:rsidRDefault="00123161" w:rsidP="00123161">
            <w:pPr>
              <w:keepNext/>
              <w:keepLines/>
              <w:jc w:val="left"/>
              <w:rPr>
                <w:rFonts w:eastAsia="Microsoft YaHei"/>
                <w:b/>
                <w:bCs/>
                <w:color w:val="000000"/>
                <w:sz w:val="24"/>
                <w:szCs w:val="24"/>
              </w:rPr>
            </w:pPr>
            <w:r>
              <w:rPr>
                <w:rFonts w:eastAsia="Microsoft YaHei"/>
                <w:b/>
                <w:bCs/>
                <w:color w:val="000000"/>
                <w:sz w:val="24"/>
                <w:szCs w:val="24"/>
              </w:rPr>
              <w:t>Staff Short Name</w:t>
            </w:r>
          </w:p>
        </w:tc>
        <w:tc>
          <w:tcPr>
            <w:tcW w:w="934" w:type="dxa"/>
            <w:shd w:val="clear" w:color="000000" w:fill="DCE6F1"/>
            <w:noWrap/>
            <w:vAlign w:val="center"/>
            <w:hideMark/>
          </w:tcPr>
          <w:p w14:paraId="5D481848" w14:textId="77777777" w:rsidR="00123161" w:rsidRPr="00123161" w:rsidRDefault="00123161" w:rsidP="00123161">
            <w:pPr>
              <w:keepNext/>
              <w:keepLines/>
              <w:jc w:val="left"/>
              <w:rPr>
                <w:rFonts w:eastAsia="Microsoft YaHei"/>
                <w:b/>
                <w:bCs/>
                <w:color w:val="000000"/>
                <w:sz w:val="24"/>
                <w:szCs w:val="24"/>
              </w:rPr>
            </w:pPr>
            <w:r w:rsidRPr="00123161">
              <w:rPr>
                <w:rFonts w:eastAsia="Microsoft YaHei"/>
                <w:b/>
                <w:bCs/>
                <w:color w:val="000000"/>
                <w:sz w:val="24"/>
                <w:szCs w:val="24"/>
              </w:rPr>
              <w:t>GPC P1</w:t>
            </w:r>
          </w:p>
        </w:tc>
        <w:tc>
          <w:tcPr>
            <w:tcW w:w="1131" w:type="dxa"/>
            <w:shd w:val="clear" w:color="000000" w:fill="DCE6F1"/>
            <w:noWrap/>
            <w:vAlign w:val="center"/>
            <w:hideMark/>
          </w:tcPr>
          <w:p w14:paraId="31D86A3C" w14:textId="0B07AA79" w:rsidR="00123161" w:rsidRPr="00123161" w:rsidRDefault="00123161" w:rsidP="00123161">
            <w:pPr>
              <w:keepNext/>
              <w:keepLines/>
              <w:jc w:val="left"/>
              <w:rPr>
                <w:rFonts w:eastAsia="Microsoft YaHei"/>
                <w:b/>
                <w:bCs/>
                <w:color w:val="000000"/>
                <w:sz w:val="24"/>
                <w:szCs w:val="24"/>
              </w:rPr>
            </w:pPr>
            <w:r>
              <w:rPr>
                <w:rFonts w:eastAsia="Microsoft YaHei"/>
                <w:b/>
                <w:bCs/>
                <w:color w:val="000000"/>
                <w:sz w:val="24"/>
                <w:szCs w:val="24"/>
              </w:rPr>
              <w:t>Staff</w:t>
            </w:r>
            <w:r w:rsidRPr="00123161">
              <w:rPr>
                <w:rFonts w:eastAsia="Microsoft YaHei"/>
                <w:b/>
                <w:bCs/>
                <w:color w:val="000000"/>
                <w:sz w:val="24"/>
                <w:szCs w:val="24"/>
              </w:rPr>
              <w:t xml:space="preserve"> P1</w:t>
            </w:r>
          </w:p>
        </w:tc>
      </w:tr>
      <w:tr w:rsidR="00123161" w:rsidRPr="00123161" w14:paraId="2D94D17F" w14:textId="77777777" w:rsidTr="00123161">
        <w:trPr>
          <w:trHeight w:val="330"/>
        </w:trPr>
        <w:tc>
          <w:tcPr>
            <w:tcW w:w="5485" w:type="dxa"/>
            <w:noWrap/>
            <w:vAlign w:val="center"/>
            <w:hideMark/>
          </w:tcPr>
          <w:p w14:paraId="2B23A251"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Industrial project - site specific information not provided</w:t>
            </w:r>
          </w:p>
        </w:tc>
        <w:tc>
          <w:tcPr>
            <w:tcW w:w="1800" w:type="dxa"/>
            <w:noWrap/>
            <w:vAlign w:val="center"/>
            <w:hideMark/>
          </w:tcPr>
          <w:p w14:paraId="1116C61C"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No Site Control</w:t>
            </w:r>
          </w:p>
        </w:tc>
        <w:tc>
          <w:tcPr>
            <w:tcW w:w="934" w:type="dxa"/>
            <w:noWrap/>
            <w:vAlign w:val="center"/>
            <w:hideMark/>
          </w:tcPr>
          <w:p w14:paraId="31BADAFE" w14:textId="77777777" w:rsidR="00123161" w:rsidRPr="00123161" w:rsidRDefault="00123161" w:rsidP="00123161">
            <w:pPr>
              <w:keepNext/>
              <w:keepLines/>
              <w:jc w:val="right"/>
              <w:rPr>
                <w:rFonts w:eastAsia="Microsoft YaHei"/>
                <w:sz w:val="24"/>
                <w:szCs w:val="24"/>
              </w:rPr>
            </w:pPr>
            <w:r w:rsidRPr="00123161">
              <w:rPr>
                <w:rFonts w:eastAsia="Microsoft YaHei"/>
                <w:sz w:val="24"/>
                <w:szCs w:val="24"/>
              </w:rPr>
              <w:t>50%</w:t>
            </w:r>
          </w:p>
        </w:tc>
        <w:tc>
          <w:tcPr>
            <w:tcW w:w="1131" w:type="dxa"/>
            <w:noWrap/>
            <w:vAlign w:val="center"/>
            <w:hideMark/>
          </w:tcPr>
          <w:p w14:paraId="68700C4D" w14:textId="77777777" w:rsidR="00123161" w:rsidRPr="00123161" w:rsidRDefault="00123161" w:rsidP="00123161">
            <w:pPr>
              <w:keepNext/>
              <w:keepLines/>
              <w:jc w:val="right"/>
              <w:rPr>
                <w:rFonts w:eastAsia="Microsoft YaHei"/>
                <w:color w:val="000000"/>
                <w:sz w:val="24"/>
                <w:szCs w:val="24"/>
              </w:rPr>
            </w:pPr>
            <w:r w:rsidRPr="00123161">
              <w:rPr>
                <w:rFonts w:eastAsia="Microsoft YaHei"/>
                <w:color w:val="000000"/>
                <w:sz w:val="24"/>
                <w:szCs w:val="24"/>
              </w:rPr>
              <w:t>25%</w:t>
            </w:r>
          </w:p>
        </w:tc>
      </w:tr>
      <w:tr w:rsidR="00123161" w:rsidRPr="00123161" w14:paraId="3A93F67D" w14:textId="77777777" w:rsidTr="00123161">
        <w:trPr>
          <w:trHeight w:val="330"/>
        </w:trPr>
        <w:tc>
          <w:tcPr>
            <w:tcW w:w="5485" w:type="dxa"/>
            <w:noWrap/>
            <w:vAlign w:val="center"/>
            <w:hideMark/>
          </w:tcPr>
          <w:p w14:paraId="4135C1B7"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Industrial project - site specific information provided</w:t>
            </w:r>
          </w:p>
        </w:tc>
        <w:tc>
          <w:tcPr>
            <w:tcW w:w="1800" w:type="dxa"/>
            <w:noWrap/>
            <w:vAlign w:val="center"/>
            <w:hideMark/>
          </w:tcPr>
          <w:p w14:paraId="46555562"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Partial Site Control</w:t>
            </w:r>
          </w:p>
        </w:tc>
        <w:tc>
          <w:tcPr>
            <w:tcW w:w="934" w:type="dxa"/>
            <w:noWrap/>
            <w:vAlign w:val="center"/>
            <w:hideMark/>
          </w:tcPr>
          <w:p w14:paraId="52B96A84" w14:textId="77777777" w:rsidR="00123161" w:rsidRPr="00123161" w:rsidRDefault="00123161" w:rsidP="00123161">
            <w:pPr>
              <w:keepNext/>
              <w:keepLines/>
              <w:jc w:val="right"/>
              <w:rPr>
                <w:rFonts w:eastAsia="Microsoft YaHei"/>
                <w:sz w:val="24"/>
                <w:szCs w:val="24"/>
              </w:rPr>
            </w:pPr>
            <w:r w:rsidRPr="00123161">
              <w:rPr>
                <w:rFonts w:eastAsia="Microsoft YaHei"/>
                <w:sz w:val="24"/>
                <w:szCs w:val="24"/>
              </w:rPr>
              <w:t>100%</w:t>
            </w:r>
          </w:p>
        </w:tc>
        <w:tc>
          <w:tcPr>
            <w:tcW w:w="1131" w:type="dxa"/>
            <w:noWrap/>
            <w:vAlign w:val="center"/>
            <w:hideMark/>
          </w:tcPr>
          <w:p w14:paraId="2E382298" w14:textId="77777777" w:rsidR="00123161" w:rsidRPr="00123161" w:rsidRDefault="00123161" w:rsidP="00123161">
            <w:pPr>
              <w:keepNext/>
              <w:keepLines/>
              <w:jc w:val="right"/>
              <w:rPr>
                <w:rFonts w:eastAsia="Microsoft YaHei"/>
                <w:color w:val="000000"/>
                <w:sz w:val="24"/>
                <w:szCs w:val="24"/>
              </w:rPr>
            </w:pPr>
            <w:r w:rsidRPr="00123161">
              <w:rPr>
                <w:rFonts w:eastAsia="Microsoft YaHei"/>
                <w:color w:val="000000"/>
                <w:sz w:val="24"/>
                <w:szCs w:val="24"/>
              </w:rPr>
              <w:t>50%</w:t>
            </w:r>
          </w:p>
        </w:tc>
      </w:tr>
      <w:tr w:rsidR="00123161" w:rsidRPr="00123161" w14:paraId="778E74BF" w14:textId="77777777" w:rsidTr="00123161">
        <w:trPr>
          <w:trHeight w:val="330"/>
        </w:trPr>
        <w:tc>
          <w:tcPr>
            <w:tcW w:w="5485" w:type="dxa"/>
            <w:noWrap/>
            <w:vAlign w:val="center"/>
            <w:hideMark/>
          </w:tcPr>
          <w:p w14:paraId="5963E802" w14:textId="315B44A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 xml:space="preserve"> Full Site Control: Project demonstrates outright Ownership or Lease of site; or Lease of site; </w:t>
            </w:r>
          </w:p>
        </w:tc>
        <w:tc>
          <w:tcPr>
            <w:tcW w:w="1800" w:type="dxa"/>
            <w:noWrap/>
            <w:vAlign w:val="center"/>
            <w:hideMark/>
          </w:tcPr>
          <w:p w14:paraId="68C88352"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Full Site Control</w:t>
            </w:r>
          </w:p>
        </w:tc>
        <w:tc>
          <w:tcPr>
            <w:tcW w:w="934" w:type="dxa"/>
            <w:noWrap/>
            <w:vAlign w:val="center"/>
            <w:hideMark/>
          </w:tcPr>
          <w:p w14:paraId="6F62BE86" w14:textId="77777777" w:rsidR="00123161" w:rsidRPr="00123161" w:rsidRDefault="00123161" w:rsidP="00123161">
            <w:pPr>
              <w:keepNext/>
              <w:keepLines/>
              <w:jc w:val="right"/>
              <w:rPr>
                <w:rFonts w:eastAsia="Microsoft YaHei"/>
                <w:sz w:val="24"/>
                <w:szCs w:val="24"/>
              </w:rPr>
            </w:pPr>
            <w:r w:rsidRPr="00123161">
              <w:rPr>
                <w:rFonts w:eastAsia="Microsoft YaHei"/>
                <w:sz w:val="24"/>
                <w:szCs w:val="24"/>
              </w:rPr>
              <w:t>100%</w:t>
            </w:r>
          </w:p>
        </w:tc>
        <w:tc>
          <w:tcPr>
            <w:tcW w:w="1131" w:type="dxa"/>
            <w:noWrap/>
            <w:vAlign w:val="center"/>
            <w:hideMark/>
          </w:tcPr>
          <w:p w14:paraId="3A33FD70" w14:textId="77777777" w:rsidR="00123161" w:rsidRPr="00123161" w:rsidRDefault="00123161" w:rsidP="00123161">
            <w:pPr>
              <w:keepNext/>
              <w:keepLines/>
              <w:jc w:val="right"/>
              <w:rPr>
                <w:rFonts w:eastAsia="Microsoft YaHei"/>
                <w:color w:val="000000"/>
                <w:sz w:val="24"/>
                <w:szCs w:val="24"/>
              </w:rPr>
            </w:pPr>
            <w:r w:rsidRPr="00123161">
              <w:rPr>
                <w:rFonts w:eastAsia="Microsoft YaHei"/>
                <w:color w:val="000000"/>
                <w:sz w:val="24"/>
                <w:szCs w:val="24"/>
              </w:rPr>
              <w:t>100%</w:t>
            </w:r>
          </w:p>
        </w:tc>
      </w:tr>
      <w:tr w:rsidR="00123161" w:rsidRPr="00123161" w14:paraId="64B571E8" w14:textId="77777777" w:rsidTr="00123161">
        <w:trPr>
          <w:trHeight w:val="330"/>
        </w:trPr>
        <w:tc>
          <w:tcPr>
            <w:tcW w:w="5485" w:type="dxa"/>
            <w:noWrap/>
            <w:vAlign w:val="center"/>
            <w:hideMark/>
          </w:tcPr>
          <w:p w14:paraId="2F21B308"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 xml:space="preserve">Can not confirm site control </w:t>
            </w:r>
          </w:p>
        </w:tc>
        <w:tc>
          <w:tcPr>
            <w:tcW w:w="1800" w:type="dxa"/>
            <w:noWrap/>
            <w:vAlign w:val="center"/>
            <w:hideMark/>
          </w:tcPr>
          <w:p w14:paraId="3ADE0642"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No Site Control</w:t>
            </w:r>
          </w:p>
        </w:tc>
        <w:tc>
          <w:tcPr>
            <w:tcW w:w="934" w:type="dxa"/>
            <w:noWrap/>
            <w:vAlign w:val="center"/>
            <w:hideMark/>
          </w:tcPr>
          <w:p w14:paraId="72A2EF56" w14:textId="77777777" w:rsidR="00123161" w:rsidRPr="00123161" w:rsidRDefault="00123161" w:rsidP="00123161">
            <w:pPr>
              <w:keepNext/>
              <w:keepLines/>
              <w:jc w:val="right"/>
              <w:rPr>
                <w:rFonts w:eastAsia="Microsoft YaHei"/>
                <w:sz w:val="24"/>
                <w:szCs w:val="24"/>
              </w:rPr>
            </w:pPr>
            <w:r w:rsidRPr="00123161">
              <w:rPr>
                <w:rFonts w:eastAsia="Microsoft YaHei"/>
                <w:sz w:val="24"/>
                <w:szCs w:val="24"/>
              </w:rPr>
              <w:t>50%</w:t>
            </w:r>
          </w:p>
        </w:tc>
        <w:tc>
          <w:tcPr>
            <w:tcW w:w="1131" w:type="dxa"/>
            <w:noWrap/>
            <w:vAlign w:val="center"/>
            <w:hideMark/>
          </w:tcPr>
          <w:p w14:paraId="6FC49C84" w14:textId="77777777" w:rsidR="00123161" w:rsidRPr="00123161" w:rsidRDefault="00123161" w:rsidP="00123161">
            <w:pPr>
              <w:keepNext/>
              <w:keepLines/>
              <w:jc w:val="right"/>
              <w:rPr>
                <w:rFonts w:eastAsia="Microsoft YaHei"/>
                <w:color w:val="000000"/>
                <w:sz w:val="24"/>
                <w:szCs w:val="24"/>
              </w:rPr>
            </w:pPr>
            <w:r w:rsidRPr="00123161">
              <w:rPr>
                <w:rFonts w:eastAsia="Microsoft YaHei"/>
                <w:color w:val="000000"/>
                <w:sz w:val="24"/>
                <w:szCs w:val="24"/>
              </w:rPr>
              <w:t>25%</w:t>
            </w:r>
          </w:p>
        </w:tc>
      </w:tr>
      <w:tr w:rsidR="00123161" w:rsidRPr="00123161" w14:paraId="007ADE37" w14:textId="77777777" w:rsidTr="00123161">
        <w:trPr>
          <w:trHeight w:val="330"/>
        </w:trPr>
        <w:tc>
          <w:tcPr>
            <w:tcW w:w="5485" w:type="dxa"/>
            <w:noWrap/>
            <w:vAlign w:val="center"/>
            <w:hideMark/>
          </w:tcPr>
          <w:p w14:paraId="1FDFB829"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ii. Option/Purchase and Sale agreement: Project demonstrates an option to purchase or lease the site; </w:t>
            </w:r>
          </w:p>
        </w:tc>
        <w:tc>
          <w:tcPr>
            <w:tcW w:w="1800" w:type="dxa"/>
            <w:noWrap/>
            <w:vAlign w:val="center"/>
            <w:hideMark/>
          </w:tcPr>
          <w:p w14:paraId="64A8BF6E"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Partial Site Control</w:t>
            </w:r>
          </w:p>
        </w:tc>
        <w:tc>
          <w:tcPr>
            <w:tcW w:w="934" w:type="dxa"/>
            <w:noWrap/>
            <w:vAlign w:val="center"/>
            <w:hideMark/>
          </w:tcPr>
          <w:p w14:paraId="38C4C431" w14:textId="77777777" w:rsidR="00123161" w:rsidRPr="00123161" w:rsidRDefault="00123161" w:rsidP="00123161">
            <w:pPr>
              <w:keepNext/>
              <w:keepLines/>
              <w:jc w:val="right"/>
              <w:rPr>
                <w:rFonts w:eastAsia="Microsoft YaHei"/>
                <w:sz w:val="24"/>
                <w:szCs w:val="24"/>
              </w:rPr>
            </w:pPr>
            <w:r w:rsidRPr="00123161">
              <w:rPr>
                <w:rFonts w:eastAsia="Microsoft YaHei"/>
                <w:sz w:val="24"/>
                <w:szCs w:val="24"/>
              </w:rPr>
              <w:t>100%</w:t>
            </w:r>
          </w:p>
        </w:tc>
        <w:tc>
          <w:tcPr>
            <w:tcW w:w="1131" w:type="dxa"/>
            <w:noWrap/>
            <w:vAlign w:val="center"/>
            <w:hideMark/>
          </w:tcPr>
          <w:p w14:paraId="6FA74E7C" w14:textId="77777777" w:rsidR="00123161" w:rsidRPr="00123161" w:rsidRDefault="00123161" w:rsidP="00123161">
            <w:pPr>
              <w:keepNext/>
              <w:keepLines/>
              <w:jc w:val="right"/>
              <w:rPr>
                <w:rFonts w:eastAsia="Microsoft YaHei"/>
                <w:color w:val="000000"/>
                <w:sz w:val="24"/>
                <w:szCs w:val="24"/>
              </w:rPr>
            </w:pPr>
            <w:r w:rsidRPr="00123161">
              <w:rPr>
                <w:rFonts w:eastAsia="Microsoft YaHei"/>
                <w:color w:val="000000"/>
                <w:sz w:val="24"/>
                <w:szCs w:val="24"/>
              </w:rPr>
              <w:t>50%</w:t>
            </w:r>
          </w:p>
        </w:tc>
      </w:tr>
      <w:tr w:rsidR="00123161" w:rsidRPr="00123161" w14:paraId="22DF1A77" w14:textId="77777777" w:rsidTr="00123161">
        <w:trPr>
          <w:trHeight w:val="330"/>
        </w:trPr>
        <w:tc>
          <w:tcPr>
            <w:tcW w:w="5485" w:type="dxa"/>
            <w:noWrap/>
            <w:vAlign w:val="center"/>
            <w:hideMark/>
          </w:tcPr>
          <w:p w14:paraId="04AB9E81"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iv. No Site Control </w:t>
            </w:r>
          </w:p>
        </w:tc>
        <w:tc>
          <w:tcPr>
            <w:tcW w:w="1800" w:type="dxa"/>
            <w:noWrap/>
            <w:vAlign w:val="center"/>
            <w:hideMark/>
          </w:tcPr>
          <w:p w14:paraId="46EC6905"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No Site Control</w:t>
            </w:r>
          </w:p>
        </w:tc>
        <w:tc>
          <w:tcPr>
            <w:tcW w:w="934" w:type="dxa"/>
            <w:noWrap/>
            <w:vAlign w:val="center"/>
            <w:hideMark/>
          </w:tcPr>
          <w:p w14:paraId="7685C5F4" w14:textId="77777777" w:rsidR="00123161" w:rsidRPr="00123161" w:rsidRDefault="00123161" w:rsidP="00123161">
            <w:pPr>
              <w:keepNext/>
              <w:keepLines/>
              <w:jc w:val="right"/>
              <w:rPr>
                <w:rFonts w:eastAsia="Microsoft YaHei"/>
                <w:sz w:val="24"/>
                <w:szCs w:val="24"/>
              </w:rPr>
            </w:pPr>
            <w:r w:rsidRPr="00123161">
              <w:rPr>
                <w:rFonts w:eastAsia="Microsoft YaHei"/>
                <w:sz w:val="24"/>
                <w:szCs w:val="24"/>
              </w:rPr>
              <w:t>50%</w:t>
            </w:r>
          </w:p>
        </w:tc>
        <w:tc>
          <w:tcPr>
            <w:tcW w:w="1131" w:type="dxa"/>
            <w:noWrap/>
            <w:vAlign w:val="center"/>
            <w:hideMark/>
          </w:tcPr>
          <w:p w14:paraId="05081A21" w14:textId="77777777" w:rsidR="00123161" w:rsidRPr="00123161" w:rsidRDefault="00123161" w:rsidP="00123161">
            <w:pPr>
              <w:keepNext/>
              <w:keepLines/>
              <w:jc w:val="right"/>
              <w:rPr>
                <w:rFonts w:eastAsia="Microsoft YaHei"/>
                <w:color w:val="000000"/>
                <w:sz w:val="24"/>
                <w:szCs w:val="24"/>
              </w:rPr>
            </w:pPr>
            <w:r w:rsidRPr="00123161">
              <w:rPr>
                <w:rFonts w:eastAsia="Microsoft YaHei"/>
                <w:color w:val="000000"/>
                <w:sz w:val="24"/>
                <w:szCs w:val="24"/>
              </w:rPr>
              <w:t>25%</w:t>
            </w:r>
          </w:p>
        </w:tc>
      </w:tr>
      <w:tr w:rsidR="00123161" w:rsidRPr="00123161" w14:paraId="74FC866D" w14:textId="77777777" w:rsidTr="00123161">
        <w:trPr>
          <w:trHeight w:val="330"/>
        </w:trPr>
        <w:tc>
          <w:tcPr>
            <w:tcW w:w="5485" w:type="dxa"/>
            <w:noWrap/>
            <w:vAlign w:val="center"/>
            <w:hideMark/>
          </w:tcPr>
          <w:p w14:paraId="6406FCBA"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iii. Intent to Control: Projects holds a binding easement or license granting rights to develop and operate on site; or </w:t>
            </w:r>
          </w:p>
        </w:tc>
        <w:tc>
          <w:tcPr>
            <w:tcW w:w="1800" w:type="dxa"/>
            <w:noWrap/>
            <w:vAlign w:val="center"/>
            <w:hideMark/>
          </w:tcPr>
          <w:p w14:paraId="7B1A5FEE" w14:textId="77777777" w:rsidR="00123161" w:rsidRPr="00123161" w:rsidRDefault="00123161" w:rsidP="00123161">
            <w:pPr>
              <w:keepNext/>
              <w:keepLines/>
              <w:jc w:val="left"/>
              <w:rPr>
                <w:rFonts w:eastAsia="Microsoft YaHei"/>
                <w:color w:val="000000"/>
                <w:sz w:val="24"/>
                <w:szCs w:val="24"/>
              </w:rPr>
            </w:pPr>
            <w:r w:rsidRPr="00123161">
              <w:rPr>
                <w:rFonts w:eastAsia="Microsoft YaHei"/>
                <w:color w:val="000000"/>
                <w:sz w:val="24"/>
                <w:szCs w:val="24"/>
              </w:rPr>
              <w:t>Partial Site Control</w:t>
            </w:r>
          </w:p>
        </w:tc>
        <w:tc>
          <w:tcPr>
            <w:tcW w:w="934" w:type="dxa"/>
            <w:noWrap/>
            <w:vAlign w:val="center"/>
            <w:hideMark/>
          </w:tcPr>
          <w:p w14:paraId="3DDF3109" w14:textId="77777777" w:rsidR="00123161" w:rsidRPr="00123161" w:rsidRDefault="00123161" w:rsidP="00123161">
            <w:pPr>
              <w:keepNext/>
              <w:keepLines/>
              <w:jc w:val="right"/>
              <w:rPr>
                <w:rFonts w:eastAsia="Microsoft YaHei"/>
                <w:sz w:val="24"/>
                <w:szCs w:val="24"/>
              </w:rPr>
            </w:pPr>
            <w:r w:rsidRPr="00123161">
              <w:rPr>
                <w:rFonts w:eastAsia="Microsoft YaHei"/>
                <w:sz w:val="24"/>
                <w:szCs w:val="24"/>
              </w:rPr>
              <w:t>100%</w:t>
            </w:r>
          </w:p>
        </w:tc>
        <w:tc>
          <w:tcPr>
            <w:tcW w:w="1131" w:type="dxa"/>
            <w:noWrap/>
            <w:vAlign w:val="center"/>
            <w:hideMark/>
          </w:tcPr>
          <w:p w14:paraId="3668FE9C" w14:textId="77777777" w:rsidR="00123161" w:rsidRPr="00123161" w:rsidRDefault="00123161" w:rsidP="00123161">
            <w:pPr>
              <w:keepNext/>
              <w:keepLines/>
              <w:jc w:val="right"/>
              <w:rPr>
                <w:rFonts w:eastAsia="Microsoft YaHei"/>
                <w:color w:val="000000"/>
                <w:sz w:val="24"/>
                <w:szCs w:val="24"/>
              </w:rPr>
            </w:pPr>
            <w:r w:rsidRPr="00123161">
              <w:rPr>
                <w:rFonts w:eastAsia="Microsoft YaHei"/>
                <w:color w:val="000000"/>
                <w:sz w:val="24"/>
                <w:szCs w:val="24"/>
              </w:rPr>
              <w:t>50%</w:t>
            </w:r>
          </w:p>
        </w:tc>
      </w:tr>
    </w:tbl>
    <w:p w14:paraId="008D016A" w14:textId="0BE0176D" w:rsidR="0093280A" w:rsidRDefault="0093280A" w:rsidP="0093280A">
      <w:pPr>
        <w:pStyle w:val="Question"/>
      </w:pPr>
      <w:r>
        <w:t>Q.</w:t>
      </w:r>
      <w:r>
        <w:tab/>
        <w:t xml:space="preserve">Please describe the adjustment for load materialization in scenario </w:t>
      </w:r>
      <w:r w:rsidR="11359B9C">
        <w:t>2</w:t>
      </w:r>
      <w:r>
        <w:t>.</w:t>
      </w:r>
    </w:p>
    <w:p w14:paraId="2824660C" w14:textId="3A3001EE" w:rsidR="008F4987" w:rsidRDefault="0093280A" w:rsidP="0093280A">
      <w:pPr>
        <w:pStyle w:val="Answers"/>
      </w:pPr>
      <w:r>
        <w:t>A.</w:t>
      </w:r>
      <w:r>
        <w:tab/>
      </w:r>
      <w:r w:rsidR="008F4987">
        <w:t xml:space="preserve">The adjustment to the materialization assumptions sets all materialization assumptions uniformly along a </w:t>
      </w:r>
      <w:r w:rsidR="006751FE" w:rsidRPr="006751FE">
        <w:rPr>
          <w:rFonts w:ascii="Calibri" w:eastAsia="Times New Roman" w:hAnsi="Calibri"/>
          <w:color w:val="000000"/>
          <w:highlight w:val="black"/>
        </w:rPr>
        <w:t>XXXXXXXXXXX</w:t>
      </w:r>
      <w:r w:rsidR="008F4987">
        <w:t xml:space="preserve"> distribution. This assumption recognizes that the Company does not have sufficient data of operating large loads to inform any differentiation between customer segments. Lacking this information, the Company has no data to justify any differentiation between industry segments. </w:t>
      </w:r>
    </w:p>
    <w:p w14:paraId="4C2159EE" w14:textId="5E2CA91A" w:rsidR="00123161" w:rsidRPr="008F4987" w:rsidRDefault="008F4987" w:rsidP="008F4987">
      <w:pPr>
        <w:pStyle w:val="Answers"/>
      </w:pPr>
      <w:r>
        <w:tab/>
      </w:r>
      <w:r>
        <w:tab/>
      </w:r>
      <w:r w:rsidR="00123161">
        <w:t xml:space="preserve">As it stands, the materialization assumptions for all segments in the LRM remain the same as those introduced in the February 2025 sensitivity, </w:t>
      </w:r>
      <w:r>
        <w:t xml:space="preserve">summarized in </w:t>
      </w:r>
      <w:r>
        <w:fldChar w:fldCharType="begin"/>
      </w:r>
      <w:r>
        <w:instrText xml:space="preserve"> REF _Ref212631626 \h </w:instrText>
      </w:r>
      <w:r>
        <w:fldChar w:fldCharType="separate"/>
      </w:r>
      <w:r w:rsidR="00220F39">
        <w:t xml:space="preserve">Table </w:t>
      </w:r>
      <w:r w:rsidR="00220F39">
        <w:rPr>
          <w:noProof/>
        </w:rPr>
        <w:t>14</w:t>
      </w:r>
      <w:r>
        <w:fldChar w:fldCharType="end"/>
      </w:r>
      <w:r>
        <w:t xml:space="preserve"> </w:t>
      </w:r>
      <w:r>
        <w:lastRenderedPageBreak/>
        <w:t xml:space="preserve">below. Typically, all Large Industrial and Commercial segments are expected to materialize along a </w:t>
      </w:r>
      <w:r w:rsidR="006751FE" w:rsidRPr="007F67CD">
        <w:rPr>
          <w:rFonts w:ascii="Calibri" w:eastAsia="Times New Roman" w:hAnsi="Calibri"/>
          <w:color w:val="000000"/>
          <w:highlight w:val="black"/>
        </w:rPr>
        <w:t>XXXXXXXXXXXX</w:t>
      </w:r>
      <w:r w:rsidR="006751FE">
        <w:t xml:space="preserve"> </w:t>
      </w:r>
      <w:r>
        <w:t>distribution. However, materialization assumptions vary significantly</w:t>
      </w:r>
      <w:r w:rsidR="003117C7">
        <w:t xml:space="preserve"> for Data Centers</w:t>
      </w:r>
      <w:r>
        <w:t xml:space="preserve">, with assumptions for Hyperscalers and Colocators generally being higher than those for other industry segments. </w:t>
      </w:r>
    </w:p>
    <w:p w14:paraId="745DF05E" w14:textId="160A17C7" w:rsidR="00123161" w:rsidRDefault="00123161" w:rsidP="008F4987">
      <w:pPr>
        <w:pStyle w:val="Caption"/>
        <w:keepLines/>
      </w:pPr>
      <w:bookmarkStart w:id="71" w:name="_Ref212631626"/>
      <w:bookmarkStart w:id="72" w:name="_Toc213766884"/>
      <w:r>
        <w:t xml:space="preserve">Table </w:t>
      </w:r>
      <w:fldSimple w:instr=" SEQ Table \* ARABIC ">
        <w:r w:rsidR="00220F39">
          <w:rPr>
            <w:noProof/>
          </w:rPr>
          <w:t>14</w:t>
        </w:r>
      </w:fldSimple>
      <w:bookmarkEnd w:id="71"/>
      <w:r>
        <w:t>: LRM Materialization Assumptions</w:t>
      </w:r>
      <w:bookmarkEnd w:id="72"/>
    </w:p>
    <w:tbl>
      <w:tblPr>
        <w:tblW w:w="7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176"/>
        <w:gridCol w:w="1176"/>
        <w:gridCol w:w="1176"/>
      </w:tblGrid>
      <w:tr w:rsidR="00123161" w:rsidRPr="00123161" w14:paraId="5760EFE5" w14:textId="77777777" w:rsidTr="00123161">
        <w:trPr>
          <w:trHeight w:val="290"/>
          <w:jc w:val="center"/>
        </w:trPr>
        <w:tc>
          <w:tcPr>
            <w:tcW w:w="3796" w:type="dxa"/>
            <w:shd w:val="clear" w:color="auto" w:fill="DEEAF6" w:themeFill="accent5" w:themeFillTint="33"/>
            <w:noWrap/>
            <w:vAlign w:val="center"/>
            <w:hideMark/>
          </w:tcPr>
          <w:p w14:paraId="3683EC7C" w14:textId="77777777" w:rsidR="00123161" w:rsidRPr="00123161" w:rsidRDefault="00123161" w:rsidP="008F4987">
            <w:pPr>
              <w:keepNext/>
              <w:keepLines/>
              <w:shd w:val="clear" w:color="auto" w:fill="DEEAF6" w:themeFill="accent5" w:themeFillTint="33"/>
              <w:jc w:val="left"/>
              <w:rPr>
                <w:rFonts w:ascii="Calibri" w:eastAsia="Microsoft YaHei" w:hAnsi="Calibri" w:cs="Calibri"/>
                <w:b/>
                <w:bCs/>
                <w:color w:val="000000"/>
              </w:rPr>
            </w:pPr>
            <w:r w:rsidRPr="00123161">
              <w:rPr>
                <w:rFonts w:ascii="Calibri" w:eastAsia="Microsoft YaHei" w:hAnsi="Calibri" w:cs="Calibri"/>
                <w:b/>
                <w:bCs/>
                <w:color w:val="000000"/>
              </w:rPr>
              <w:t>Segment</w:t>
            </w:r>
          </w:p>
        </w:tc>
        <w:tc>
          <w:tcPr>
            <w:tcW w:w="1176" w:type="dxa"/>
            <w:shd w:val="clear" w:color="auto" w:fill="DEEAF6" w:themeFill="accent5" w:themeFillTint="33"/>
            <w:noWrap/>
            <w:vAlign w:val="center"/>
            <w:hideMark/>
          </w:tcPr>
          <w:p w14:paraId="7E140F89" w14:textId="77777777" w:rsidR="00123161" w:rsidRPr="00123161" w:rsidRDefault="00123161" w:rsidP="008F4987">
            <w:pPr>
              <w:keepNext/>
              <w:keepLines/>
              <w:shd w:val="clear" w:color="auto" w:fill="DEEAF6" w:themeFill="accent5" w:themeFillTint="33"/>
              <w:jc w:val="center"/>
              <w:rPr>
                <w:rFonts w:ascii="Calibri" w:eastAsia="Microsoft YaHei" w:hAnsi="Calibri" w:cs="Calibri"/>
                <w:b/>
                <w:bCs/>
                <w:color w:val="000000"/>
              </w:rPr>
            </w:pPr>
            <w:r w:rsidRPr="00123161">
              <w:rPr>
                <w:rFonts w:ascii="Calibri" w:eastAsia="Microsoft YaHei" w:hAnsi="Calibri" w:cs="Calibri"/>
                <w:b/>
                <w:bCs/>
                <w:color w:val="000000"/>
              </w:rPr>
              <w:t>Low</w:t>
            </w:r>
          </w:p>
        </w:tc>
        <w:tc>
          <w:tcPr>
            <w:tcW w:w="1176" w:type="dxa"/>
            <w:shd w:val="clear" w:color="auto" w:fill="DEEAF6" w:themeFill="accent5" w:themeFillTint="33"/>
            <w:noWrap/>
            <w:vAlign w:val="center"/>
            <w:hideMark/>
          </w:tcPr>
          <w:p w14:paraId="62A4E757" w14:textId="77777777" w:rsidR="00123161" w:rsidRPr="00123161" w:rsidRDefault="00123161" w:rsidP="008F4987">
            <w:pPr>
              <w:keepNext/>
              <w:keepLines/>
              <w:shd w:val="clear" w:color="auto" w:fill="DEEAF6" w:themeFill="accent5" w:themeFillTint="33"/>
              <w:jc w:val="center"/>
              <w:rPr>
                <w:rFonts w:ascii="Calibri" w:eastAsia="Microsoft YaHei" w:hAnsi="Calibri" w:cs="Calibri"/>
                <w:b/>
                <w:bCs/>
                <w:color w:val="000000"/>
              </w:rPr>
            </w:pPr>
            <w:r w:rsidRPr="00123161">
              <w:rPr>
                <w:rFonts w:ascii="Calibri" w:eastAsia="Microsoft YaHei" w:hAnsi="Calibri" w:cs="Calibri"/>
                <w:b/>
                <w:bCs/>
                <w:color w:val="000000"/>
              </w:rPr>
              <w:t>Mid</w:t>
            </w:r>
          </w:p>
        </w:tc>
        <w:tc>
          <w:tcPr>
            <w:tcW w:w="1176" w:type="dxa"/>
            <w:shd w:val="clear" w:color="auto" w:fill="DEEAF6" w:themeFill="accent5" w:themeFillTint="33"/>
            <w:noWrap/>
            <w:vAlign w:val="center"/>
            <w:hideMark/>
          </w:tcPr>
          <w:p w14:paraId="6B4BD616" w14:textId="77777777" w:rsidR="00123161" w:rsidRPr="00123161" w:rsidRDefault="00123161" w:rsidP="008F4987">
            <w:pPr>
              <w:keepNext/>
              <w:keepLines/>
              <w:shd w:val="clear" w:color="auto" w:fill="DEEAF6" w:themeFill="accent5" w:themeFillTint="33"/>
              <w:jc w:val="center"/>
              <w:rPr>
                <w:rFonts w:ascii="Calibri" w:eastAsia="Microsoft YaHei" w:hAnsi="Calibri" w:cs="Calibri"/>
                <w:b/>
                <w:bCs/>
                <w:color w:val="000000"/>
              </w:rPr>
            </w:pPr>
            <w:r w:rsidRPr="00123161">
              <w:rPr>
                <w:rFonts w:ascii="Calibri" w:eastAsia="Microsoft YaHei" w:hAnsi="Calibri" w:cs="Calibri"/>
                <w:b/>
                <w:bCs/>
                <w:color w:val="000000"/>
              </w:rPr>
              <w:t>High</w:t>
            </w:r>
          </w:p>
        </w:tc>
      </w:tr>
      <w:tr w:rsidR="006751FE" w:rsidRPr="00123161" w14:paraId="61784101" w14:textId="77777777" w:rsidTr="00AB25A5">
        <w:trPr>
          <w:trHeight w:val="290"/>
          <w:jc w:val="center"/>
        </w:trPr>
        <w:tc>
          <w:tcPr>
            <w:tcW w:w="3796" w:type="dxa"/>
            <w:shd w:val="clear" w:color="000000" w:fill="FFFF00"/>
            <w:noWrap/>
            <w:hideMark/>
          </w:tcPr>
          <w:p w14:paraId="3CDFFF3B" w14:textId="564B085E" w:rsidR="006751FE" w:rsidRPr="00123161" w:rsidRDefault="006751FE" w:rsidP="006751FE">
            <w:pPr>
              <w:keepNext/>
              <w:keepLines/>
              <w:jc w:val="left"/>
              <w:rPr>
                <w:rFonts w:ascii="Calibri" w:eastAsia="Microsoft YaHei" w:hAnsi="Calibri" w:cs="Calibri"/>
                <w:color w:val="000000"/>
              </w:rPr>
            </w:pPr>
            <w:r w:rsidRPr="006D6879">
              <w:rPr>
                <w:rFonts w:ascii="Calibri" w:eastAsia="Times New Roman" w:hAnsi="Calibri" w:cs="Calibri"/>
                <w:color w:val="000000"/>
                <w:highlight w:val="black"/>
              </w:rPr>
              <w:t>XXXX</w:t>
            </w:r>
            <w:r w:rsidRPr="006751FE">
              <w:rPr>
                <w:rFonts w:ascii="Calibri" w:eastAsia="Times New Roman" w:hAnsi="Calibri" w:cs="Calibri"/>
                <w:color w:val="000000"/>
                <w:highlight w:val="black"/>
              </w:rPr>
              <w:t>XXXXXXXXXXXXXXXX</w:t>
            </w:r>
          </w:p>
        </w:tc>
        <w:tc>
          <w:tcPr>
            <w:tcW w:w="1176" w:type="dxa"/>
            <w:shd w:val="clear" w:color="000000" w:fill="FFFF00"/>
            <w:noWrap/>
            <w:hideMark/>
          </w:tcPr>
          <w:p w14:paraId="784F4881" w14:textId="4559C261"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149D8769" w14:textId="53F1206A"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7A607513" w14:textId="52BB5E52"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r>
      <w:tr w:rsidR="006751FE" w:rsidRPr="00123161" w14:paraId="577BA658" w14:textId="77777777" w:rsidTr="00AB25A5">
        <w:trPr>
          <w:trHeight w:val="290"/>
          <w:jc w:val="center"/>
        </w:trPr>
        <w:tc>
          <w:tcPr>
            <w:tcW w:w="3796" w:type="dxa"/>
            <w:shd w:val="clear" w:color="000000" w:fill="FFFF00"/>
            <w:noWrap/>
            <w:hideMark/>
          </w:tcPr>
          <w:p w14:paraId="5D629ACE" w14:textId="379D8AB6" w:rsidR="006751FE" w:rsidRPr="00123161" w:rsidRDefault="006751FE" w:rsidP="006751FE">
            <w:pPr>
              <w:keepNext/>
              <w:keepLines/>
              <w:jc w:val="left"/>
              <w:rPr>
                <w:rFonts w:ascii="Calibri" w:eastAsia="Microsoft YaHei" w:hAnsi="Calibri" w:cs="Calibri"/>
                <w:color w:val="000000"/>
              </w:rPr>
            </w:pPr>
            <w:r w:rsidRPr="007E6F4C">
              <w:rPr>
                <w:rFonts w:ascii="Calibri" w:eastAsia="Times New Roman" w:hAnsi="Calibri" w:cs="Calibri"/>
                <w:color w:val="000000"/>
                <w:highlight w:val="black"/>
              </w:rPr>
              <w:t>XXXXXXXXXXXXXXXXXXXX</w:t>
            </w:r>
          </w:p>
        </w:tc>
        <w:tc>
          <w:tcPr>
            <w:tcW w:w="1176" w:type="dxa"/>
            <w:shd w:val="clear" w:color="000000" w:fill="FFFF00"/>
            <w:noWrap/>
            <w:hideMark/>
          </w:tcPr>
          <w:p w14:paraId="2AD9A9B4" w14:textId="7B6ACE4B"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7B502233" w14:textId="0921C8F1"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4C3CE720" w14:textId="1D4B7103"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r>
      <w:tr w:rsidR="006751FE" w:rsidRPr="00123161" w14:paraId="155E67EE" w14:textId="77777777" w:rsidTr="00AB25A5">
        <w:trPr>
          <w:trHeight w:val="290"/>
          <w:jc w:val="center"/>
        </w:trPr>
        <w:tc>
          <w:tcPr>
            <w:tcW w:w="3796" w:type="dxa"/>
            <w:shd w:val="clear" w:color="000000" w:fill="FFFF00"/>
            <w:noWrap/>
            <w:hideMark/>
          </w:tcPr>
          <w:p w14:paraId="3DA95124" w14:textId="5AB8FF48" w:rsidR="006751FE" w:rsidRPr="00123161" w:rsidRDefault="006751FE" w:rsidP="006751FE">
            <w:pPr>
              <w:keepNext/>
              <w:keepLines/>
              <w:jc w:val="left"/>
              <w:rPr>
                <w:rFonts w:ascii="Calibri" w:eastAsia="Microsoft YaHei" w:hAnsi="Calibri" w:cs="Calibri"/>
                <w:color w:val="000000"/>
              </w:rPr>
            </w:pPr>
            <w:r w:rsidRPr="007E6F4C">
              <w:rPr>
                <w:rFonts w:ascii="Calibri" w:eastAsia="Times New Roman" w:hAnsi="Calibri" w:cs="Calibri"/>
                <w:color w:val="000000"/>
                <w:highlight w:val="black"/>
              </w:rPr>
              <w:t>XXXXXXXXXXXXXXXXXXXX</w:t>
            </w:r>
          </w:p>
        </w:tc>
        <w:tc>
          <w:tcPr>
            <w:tcW w:w="1176" w:type="dxa"/>
            <w:shd w:val="clear" w:color="000000" w:fill="FFFF00"/>
            <w:noWrap/>
            <w:hideMark/>
          </w:tcPr>
          <w:p w14:paraId="239A9D62" w14:textId="00C35F52"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7D948121" w14:textId="103CE4DD"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452AC899" w14:textId="65F0BF6E"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r>
      <w:tr w:rsidR="006751FE" w:rsidRPr="00123161" w14:paraId="5F124958" w14:textId="77777777" w:rsidTr="00AB25A5">
        <w:trPr>
          <w:trHeight w:val="290"/>
          <w:jc w:val="center"/>
        </w:trPr>
        <w:tc>
          <w:tcPr>
            <w:tcW w:w="3796" w:type="dxa"/>
            <w:shd w:val="clear" w:color="000000" w:fill="FFFF00"/>
            <w:noWrap/>
            <w:hideMark/>
          </w:tcPr>
          <w:p w14:paraId="61C5E0D6" w14:textId="06F9E53E" w:rsidR="006751FE" w:rsidRPr="00123161" w:rsidRDefault="006751FE" w:rsidP="006751FE">
            <w:pPr>
              <w:keepNext/>
              <w:keepLines/>
              <w:jc w:val="left"/>
              <w:rPr>
                <w:rFonts w:ascii="Calibri" w:eastAsia="Microsoft YaHei" w:hAnsi="Calibri" w:cs="Calibri"/>
                <w:color w:val="000000"/>
              </w:rPr>
            </w:pPr>
            <w:r w:rsidRPr="007E6F4C">
              <w:rPr>
                <w:rFonts w:ascii="Calibri" w:eastAsia="Times New Roman" w:hAnsi="Calibri" w:cs="Calibri"/>
                <w:color w:val="000000"/>
                <w:highlight w:val="black"/>
              </w:rPr>
              <w:t>XXXXXXXXXXXXXXXXXXXX</w:t>
            </w:r>
          </w:p>
        </w:tc>
        <w:tc>
          <w:tcPr>
            <w:tcW w:w="1176" w:type="dxa"/>
            <w:shd w:val="clear" w:color="000000" w:fill="FFFF00"/>
            <w:noWrap/>
            <w:hideMark/>
          </w:tcPr>
          <w:p w14:paraId="7F4F679A" w14:textId="5DAF3FFE"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2446746F" w14:textId="1859B71E"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3DED98F8" w14:textId="1A09C4A9"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r>
      <w:tr w:rsidR="006751FE" w:rsidRPr="00123161" w14:paraId="58A8FA51" w14:textId="77777777" w:rsidTr="00AB25A5">
        <w:trPr>
          <w:trHeight w:val="290"/>
          <w:jc w:val="center"/>
        </w:trPr>
        <w:tc>
          <w:tcPr>
            <w:tcW w:w="3796" w:type="dxa"/>
            <w:shd w:val="clear" w:color="000000" w:fill="FFFF00"/>
            <w:noWrap/>
          </w:tcPr>
          <w:p w14:paraId="1102FA93" w14:textId="07EA3159" w:rsidR="006751FE" w:rsidRPr="00123161" w:rsidRDefault="006751FE" w:rsidP="006751FE">
            <w:pPr>
              <w:keepNext/>
              <w:keepLines/>
              <w:jc w:val="left"/>
              <w:rPr>
                <w:rFonts w:ascii="Calibri" w:eastAsia="Microsoft YaHei" w:hAnsi="Calibri" w:cs="Calibri"/>
                <w:color w:val="000000"/>
              </w:rPr>
            </w:pPr>
            <w:r w:rsidRPr="007E6F4C">
              <w:rPr>
                <w:rFonts w:ascii="Calibri" w:eastAsia="Times New Roman" w:hAnsi="Calibri" w:cs="Calibri"/>
                <w:color w:val="000000"/>
                <w:highlight w:val="black"/>
              </w:rPr>
              <w:t>XXXXXXXXXXXXXXXXXXXX</w:t>
            </w:r>
          </w:p>
        </w:tc>
        <w:tc>
          <w:tcPr>
            <w:tcW w:w="1176" w:type="dxa"/>
            <w:shd w:val="clear" w:color="000000" w:fill="FFFF00"/>
            <w:noWrap/>
          </w:tcPr>
          <w:p w14:paraId="3A539B0A" w14:textId="7BC0EAB4"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tcPr>
          <w:p w14:paraId="346FACF8" w14:textId="6340774D"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tcPr>
          <w:p w14:paraId="3B4B73DF" w14:textId="031B6DD7"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r>
      <w:tr w:rsidR="006751FE" w:rsidRPr="00123161" w14:paraId="5142DDB8" w14:textId="77777777" w:rsidTr="00AB25A5">
        <w:trPr>
          <w:trHeight w:val="290"/>
          <w:jc w:val="center"/>
        </w:trPr>
        <w:tc>
          <w:tcPr>
            <w:tcW w:w="3796" w:type="dxa"/>
            <w:shd w:val="clear" w:color="000000" w:fill="FFFF00"/>
            <w:noWrap/>
          </w:tcPr>
          <w:p w14:paraId="6597DA21" w14:textId="7FFB72BA" w:rsidR="006751FE" w:rsidRPr="00123161" w:rsidRDefault="006751FE" w:rsidP="006751FE">
            <w:pPr>
              <w:keepNext/>
              <w:keepLines/>
              <w:jc w:val="left"/>
              <w:rPr>
                <w:rFonts w:ascii="Calibri" w:eastAsia="Microsoft YaHei" w:hAnsi="Calibri" w:cs="Calibri"/>
                <w:color w:val="000000"/>
              </w:rPr>
            </w:pPr>
            <w:r w:rsidRPr="007E6F4C">
              <w:rPr>
                <w:rFonts w:ascii="Calibri" w:eastAsia="Times New Roman" w:hAnsi="Calibri" w:cs="Calibri"/>
                <w:color w:val="000000"/>
                <w:highlight w:val="black"/>
              </w:rPr>
              <w:t>XXXXXXXXXXXXXXXXXXXX</w:t>
            </w:r>
          </w:p>
        </w:tc>
        <w:tc>
          <w:tcPr>
            <w:tcW w:w="1176" w:type="dxa"/>
            <w:shd w:val="clear" w:color="000000" w:fill="FFFF00"/>
            <w:noWrap/>
          </w:tcPr>
          <w:p w14:paraId="0D9802A0" w14:textId="161AB97C"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tcPr>
          <w:p w14:paraId="1BA9776A" w14:textId="63238159"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tcPr>
          <w:p w14:paraId="4F56D554" w14:textId="26A32D76"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r>
      <w:tr w:rsidR="006751FE" w:rsidRPr="00123161" w14:paraId="3AB9B9D0" w14:textId="77777777" w:rsidTr="00AB25A5">
        <w:trPr>
          <w:trHeight w:val="290"/>
          <w:jc w:val="center"/>
        </w:trPr>
        <w:tc>
          <w:tcPr>
            <w:tcW w:w="3796" w:type="dxa"/>
            <w:shd w:val="clear" w:color="000000" w:fill="FFFF00"/>
            <w:noWrap/>
          </w:tcPr>
          <w:p w14:paraId="0D40AC65" w14:textId="3591DB40" w:rsidR="006751FE" w:rsidRPr="00123161" w:rsidRDefault="006751FE" w:rsidP="006751FE">
            <w:pPr>
              <w:keepNext/>
              <w:keepLines/>
              <w:jc w:val="left"/>
              <w:rPr>
                <w:rFonts w:ascii="Calibri" w:eastAsia="Microsoft YaHei" w:hAnsi="Calibri" w:cs="Calibri"/>
                <w:color w:val="000000"/>
              </w:rPr>
            </w:pPr>
            <w:r w:rsidRPr="007E6F4C">
              <w:rPr>
                <w:rFonts w:ascii="Calibri" w:eastAsia="Times New Roman" w:hAnsi="Calibri" w:cs="Calibri"/>
                <w:color w:val="000000"/>
                <w:highlight w:val="black"/>
              </w:rPr>
              <w:t>XXXXXXXXXXXXXXXXXXXX</w:t>
            </w:r>
          </w:p>
        </w:tc>
        <w:tc>
          <w:tcPr>
            <w:tcW w:w="1176" w:type="dxa"/>
            <w:shd w:val="clear" w:color="000000" w:fill="FFFF00"/>
            <w:noWrap/>
          </w:tcPr>
          <w:p w14:paraId="05225C49" w14:textId="378A662C"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tcPr>
          <w:p w14:paraId="123B1BD6" w14:textId="27ADEACA"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tcPr>
          <w:p w14:paraId="00A7A6E1" w14:textId="5E4B13FC"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r>
      <w:tr w:rsidR="006751FE" w:rsidRPr="00123161" w14:paraId="50369D64" w14:textId="77777777" w:rsidTr="00AB25A5">
        <w:trPr>
          <w:trHeight w:val="290"/>
          <w:jc w:val="center"/>
        </w:trPr>
        <w:tc>
          <w:tcPr>
            <w:tcW w:w="3796" w:type="dxa"/>
            <w:shd w:val="clear" w:color="000000" w:fill="FFFF00"/>
            <w:noWrap/>
            <w:hideMark/>
          </w:tcPr>
          <w:p w14:paraId="5B949A58" w14:textId="67CA1FB3" w:rsidR="006751FE" w:rsidRPr="00123161" w:rsidRDefault="006751FE" w:rsidP="006751FE">
            <w:pPr>
              <w:keepNext/>
              <w:keepLines/>
              <w:jc w:val="left"/>
              <w:rPr>
                <w:rFonts w:ascii="Calibri" w:eastAsia="Microsoft YaHei" w:hAnsi="Calibri" w:cs="Calibri"/>
                <w:color w:val="000000"/>
              </w:rPr>
            </w:pPr>
            <w:r w:rsidRPr="007E6F4C">
              <w:rPr>
                <w:rFonts w:ascii="Calibri" w:eastAsia="Times New Roman" w:hAnsi="Calibri" w:cs="Calibri"/>
                <w:color w:val="000000"/>
                <w:highlight w:val="black"/>
              </w:rPr>
              <w:t>XXXXXXXXXXXXXXXXXXXX</w:t>
            </w:r>
          </w:p>
        </w:tc>
        <w:tc>
          <w:tcPr>
            <w:tcW w:w="1176" w:type="dxa"/>
            <w:shd w:val="clear" w:color="000000" w:fill="FFFF00"/>
            <w:noWrap/>
            <w:hideMark/>
          </w:tcPr>
          <w:p w14:paraId="6EF218F4" w14:textId="334E9D9D"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58B43390" w14:textId="0141350F"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c>
          <w:tcPr>
            <w:tcW w:w="1176" w:type="dxa"/>
            <w:shd w:val="clear" w:color="000000" w:fill="FFFF00"/>
            <w:noWrap/>
            <w:hideMark/>
          </w:tcPr>
          <w:p w14:paraId="142AFCF2" w14:textId="2643936B" w:rsidR="006751FE" w:rsidRPr="00123161" w:rsidRDefault="006751FE" w:rsidP="006751FE">
            <w:pPr>
              <w:keepNext/>
              <w:keepLines/>
              <w:jc w:val="center"/>
              <w:rPr>
                <w:rFonts w:ascii="Calibri" w:eastAsia="Microsoft YaHei" w:hAnsi="Calibri" w:cs="Calibri"/>
                <w:color w:val="000000"/>
              </w:rPr>
            </w:pPr>
            <w:r w:rsidRPr="007F67CD">
              <w:rPr>
                <w:rFonts w:ascii="Calibri" w:eastAsia="Times New Roman" w:hAnsi="Calibri" w:cs="Calibri"/>
                <w:color w:val="000000"/>
                <w:highlight w:val="black"/>
              </w:rPr>
              <w:t>XXXX</w:t>
            </w:r>
          </w:p>
        </w:tc>
      </w:tr>
    </w:tbl>
    <w:p w14:paraId="4648C3C0" w14:textId="49AAFE2B" w:rsidR="00123161" w:rsidRDefault="008F4987" w:rsidP="008F4987">
      <w:pPr>
        <w:pStyle w:val="Answers"/>
        <w:spacing w:before="240"/>
      </w:pPr>
      <w:r>
        <w:tab/>
      </w:r>
      <w:r>
        <w:tab/>
        <w:t xml:space="preserve">As discussed in </w:t>
      </w:r>
      <w:r>
        <w:fldChar w:fldCharType="begin"/>
      </w:r>
      <w:r>
        <w:instrText xml:space="preserve"> REF _Ref212590935 \h </w:instrText>
      </w:r>
      <w:r>
        <w:fldChar w:fldCharType="separate"/>
      </w:r>
      <w:r w:rsidR="00220F39">
        <w:t xml:space="preserve">Table </w:t>
      </w:r>
      <w:r w:rsidR="00220F39">
        <w:rPr>
          <w:noProof/>
        </w:rPr>
        <w:t>7</w:t>
      </w:r>
      <w:r>
        <w:fldChar w:fldCharType="end"/>
      </w:r>
      <w:r>
        <w:t xml:space="preserve">, the Data Center segment specifically is materializing lower than other customer segments. Given this </w:t>
      </w:r>
      <w:r w:rsidR="00DD3301">
        <w:t>history</w:t>
      </w:r>
      <w:r>
        <w:t xml:space="preserve">, there is no clear </w:t>
      </w:r>
      <w:r w:rsidR="003117C7">
        <w:t xml:space="preserve">justification </w:t>
      </w:r>
      <w:r>
        <w:t>to expect that the Data Center segment, in aggregate, would materialize at a higher level than other segments. As such, Staff recommends that the Company maintain uniform materialization assumptions</w:t>
      </w:r>
      <w:r w:rsidR="003117C7">
        <w:t xml:space="preserve">, at </w:t>
      </w:r>
      <w:r w:rsidR="006751FE" w:rsidRPr="007F67CD">
        <w:rPr>
          <w:rFonts w:ascii="Calibri" w:eastAsia="Times New Roman" w:hAnsi="Calibri"/>
          <w:color w:val="000000"/>
          <w:highlight w:val="black"/>
        </w:rPr>
        <w:t>XXXXXXXXXXXX</w:t>
      </w:r>
      <w:r>
        <w:t>, unless data demonstrates that this segment is materializing differently.</w:t>
      </w:r>
    </w:p>
    <w:p w14:paraId="3ADE0759" w14:textId="34615745" w:rsidR="00123161" w:rsidRDefault="006F567F">
      <w:pPr>
        <w:pStyle w:val="Answers"/>
        <w:spacing w:before="240"/>
        <w:ind w:firstLine="0"/>
      </w:pPr>
      <w:r>
        <w:tab/>
      </w:r>
      <w:r w:rsidR="6D8892BF">
        <w:t xml:space="preserve">Acknowledging that the Data Center segment has materialized at a rate lower than other industries, as discussed in </w:t>
      </w:r>
      <w:r w:rsidR="008A4606">
        <w:fldChar w:fldCharType="begin"/>
      </w:r>
      <w:r w:rsidR="008A4606">
        <w:instrText xml:space="preserve"> REF _Ref212590935 \h </w:instrText>
      </w:r>
      <w:r w:rsidR="008A4606">
        <w:fldChar w:fldCharType="separate"/>
      </w:r>
      <w:r w:rsidR="00220F39">
        <w:t xml:space="preserve">Table </w:t>
      </w:r>
      <w:r w:rsidR="00220F39">
        <w:rPr>
          <w:noProof/>
        </w:rPr>
        <w:t>7</w:t>
      </w:r>
      <w:r w:rsidR="008A4606">
        <w:fldChar w:fldCharType="end"/>
      </w:r>
      <w:r w:rsidR="6D8892BF">
        <w:t>, assigning a materialization ra</w:t>
      </w:r>
      <w:r w:rsidR="2403311A">
        <w:t>te that is lower than other industry segments may be appropriate. However, Staff is electing to offer a more conservative adjustment to recognize that the behavior</w:t>
      </w:r>
      <w:r w:rsidR="008F4987" w:rsidDel="008F4987">
        <w:t xml:space="preserve"> </w:t>
      </w:r>
      <w:r w:rsidR="2403311A">
        <w:t>of these customers may evolve</w:t>
      </w:r>
      <w:r w:rsidR="008F4987" w:rsidDel="008F4987">
        <w:t xml:space="preserve"> </w:t>
      </w:r>
      <w:r w:rsidR="2403311A">
        <w:t>in the future.</w:t>
      </w:r>
    </w:p>
    <w:p w14:paraId="35A9CC3A" w14:textId="0B463123" w:rsidR="0093280A" w:rsidRDefault="0093280A" w:rsidP="0093280A">
      <w:pPr>
        <w:pStyle w:val="Question"/>
      </w:pPr>
      <w:r>
        <w:lastRenderedPageBreak/>
        <w:t>Q.</w:t>
      </w:r>
      <w:r>
        <w:tab/>
        <w:t xml:space="preserve">Please describe the adjustment for load ramp errors in scenario </w:t>
      </w:r>
      <w:r w:rsidR="60D5E651">
        <w:t>2</w:t>
      </w:r>
      <w:r>
        <w:t>.</w:t>
      </w:r>
    </w:p>
    <w:p w14:paraId="3FAB388C" w14:textId="14DD1E81" w:rsidR="0093280A" w:rsidRDefault="0093280A" w:rsidP="0093280A">
      <w:pPr>
        <w:pStyle w:val="Answers"/>
      </w:pPr>
      <w:r>
        <w:t>A.</w:t>
      </w:r>
      <w:r>
        <w:tab/>
      </w:r>
      <w:r w:rsidR="008F4987">
        <w:t xml:space="preserve">Multiple projects are input into the B2026 LRM with errors in the announced load ramp. This scenario’s reduction on the large load forecast ranges from 1 MW in 2025 up to ~220 MW in 2034. </w:t>
      </w:r>
    </w:p>
    <w:p w14:paraId="6B188941" w14:textId="3B8693CD" w:rsidR="008F4987" w:rsidRDefault="008F4987" w:rsidP="0093280A">
      <w:pPr>
        <w:pStyle w:val="Answers"/>
      </w:pPr>
      <w:r>
        <w:tab/>
      </w:r>
      <w:r>
        <w:tab/>
        <w:t xml:space="preserve">Projects with load ramps that differ </w:t>
      </w:r>
      <w:r w:rsidR="00DD3301">
        <w:t>from</w:t>
      </w:r>
      <w:r>
        <w:t xml:space="preserve"> their contracts are summarized in the list below:</w:t>
      </w:r>
    </w:p>
    <w:p w14:paraId="345B1F54" w14:textId="410C3093" w:rsidR="008F4987" w:rsidRDefault="006751FE" w:rsidP="008F4987">
      <w:pPr>
        <w:pStyle w:val="Answers"/>
        <w:numPr>
          <w:ilvl w:val="0"/>
          <w:numId w:val="49"/>
        </w:numPr>
      </w:pP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XXXXXXXXXXXX</w:t>
      </w:r>
      <w:r w:rsidR="008F4987">
        <w:t>: Load ramp for this data center has been delayed, resulting in a ~200 MW reduction in years 2027 and 2028.</w:t>
      </w:r>
    </w:p>
    <w:p w14:paraId="1228770E" w14:textId="7A13DDC8" w:rsidR="008F4987" w:rsidRDefault="006751FE" w:rsidP="008F4987">
      <w:pPr>
        <w:pStyle w:val="Answers"/>
        <w:numPr>
          <w:ilvl w:val="0"/>
          <w:numId w:val="49"/>
        </w:numPr>
      </w:pP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XXXXXXXXXXXX</w:t>
      </w:r>
      <w:r w:rsidR="008F4987">
        <w:t>: Load ramp for this data center has been delayed, resulting in a reduction of ~100 MW in 2026.</w:t>
      </w:r>
    </w:p>
    <w:p w14:paraId="24FDA0B3" w14:textId="765D060B" w:rsidR="008F4987" w:rsidRDefault="006751FE" w:rsidP="008F4987">
      <w:pPr>
        <w:pStyle w:val="Answers"/>
        <w:numPr>
          <w:ilvl w:val="0"/>
          <w:numId w:val="49"/>
        </w:numPr>
      </w:pP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XXXXXXXXXXXX</w:t>
      </w:r>
      <w:r w:rsidR="008F4987">
        <w:t>: Load Ramp for this data center has been delayed, resulting in a reduction of ~100 MW in 2027 and ~50 MW in 2028.</w:t>
      </w:r>
    </w:p>
    <w:p w14:paraId="663D4897" w14:textId="2695816B" w:rsidR="008F4987" w:rsidRPr="008F4987" w:rsidRDefault="006751FE" w:rsidP="008F4987">
      <w:pPr>
        <w:pStyle w:val="Answers"/>
        <w:numPr>
          <w:ilvl w:val="0"/>
          <w:numId w:val="49"/>
        </w:numPr>
      </w:pP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XXXXXXXXXXXX</w:t>
      </w:r>
      <w:r w:rsidR="008F4987">
        <w:t>: Load ramp for this data center has been delayed, resulting in a reduction of ~100 M</w:t>
      </w:r>
      <w:r w:rsidR="006D7EE6">
        <w:t>W</w:t>
      </w:r>
      <w:r w:rsidR="008F4987">
        <w:t xml:space="preserve"> in 2026 and 2027 as well as a reduction of ~50 MW in 2028.</w:t>
      </w:r>
    </w:p>
    <w:p w14:paraId="104D61C7" w14:textId="6E9DFA0B" w:rsidR="008F4987" w:rsidRDefault="006751FE" w:rsidP="008F4987">
      <w:pPr>
        <w:pStyle w:val="Answers"/>
        <w:numPr>
          <w:ilvl w:val="0"/>
          <w:numId w:val="49"/>
        </w:numPr>
      </w:pP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XXXXXXXXXXXX</w:t>
      </w:r>
      <w:r w:rsidR="008F4987">
        <w:t>: Load ramp for this data center has been accelerated in the near term, resulting in an increase of ~50 MW in the near term. However long-term max load has been reduced by ~50 MW, reducing max load in years 2028 through 2037.</w:t>
      </w:r>
    </w:p>
    <w:p w14:paraId="050D7913" w14:textId="7738EE05" w:rsidR="008F4987" w:rsidRDefault="006751FE" w:rsidP="008F4987">
      <w:pPr>
        <w:pStyle w:val="Answers"/>
        <w:numPr>
          <w:ilvl w:val="0"/>
          <w:numId w:val="49"/>
        </w:numPr>
      </w:pP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XXXXXXXXXXXX</w:t>
      </w:r>
      <w:r w:rsidR="008F4987">
        <w:t>: Load ramp for this data center has been delayed, resulting in a reduction of ~150 MW in 2026 and ~100 MW in 2027.</w:t>
      </w:r>
    </w:p>
    <w:p w14:paraId="163334AA" w14:textId="15C2E341" w:rsidR="008F4987" w:rsidRDefault="006751FE" w:rsidP="008F4987">
      <w:pPr>
        <w:pStyle w:val="Answers"/>
        <w:numPr>
          <w:ilvl w:val="0"/>
          <w:numId w:val="49"/>
        </w:numPr>
      </w:pPr>
      <w:r w:rsidRPr="007F67CD">
        <w:rPr>
          <w:rFonts w:ascii="Calibri" w:eastAsia="Times New Roman" w:hAnsi="Calibri"/>
          <w:color w:val="000000"/>
          <w:highlight w:val="black"/>
        </w:rPr>
        <w:lastRenderedPageBreak/>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XXXXXXXXXXXX</w:t>
      </w:r>
      <w:r w:rsidR="008F4987">
        <w:t>: Load ramp for this data center has been delayed/modified, resulting in a reduction of ~100 MW in 2027 and ~41 MW in 2029.</w:t>
      </w:r>
      <w:r w:rsidR="008F4987">
        <w:rPr>
          <w:rStyle w:val="FootnoteReference"/>
        </w:rPr>
        <w:footnoteReference w:id="72"/>
      </w:r>
      <w:r w:rsidR="008F4987">
        <w:t xml:space="preserve"> </w:t>
      </w:r>
    </w:p>
    <w:p w14:paraId="756781DD" w14:textId="11E52CDE" w:rsidR="008F4987" w:rsidRDefault="008F4987" w:rsidP="008F4987">
      <w:pPr>
        <w:pStyle w:val="Answers"/>
      </w:pPr>
      <w:r>
        <w:tab/>
        <w:t>Staff corrected the load ramps for these customers in its recommended scenario. In addition to these projects with differences in contracted load ramps, two projects are also inaccurately input into the LRM:</w:t>
      </w:r>
    </w:p>
    <w:p w14:paraId="5E665094" w14:textId="3F26D688" w:rsidR="008F4987" w:rsidRDefault="006751FE" w:rsidP="008F4987">
      <w:pPr>
        <w:pStyle w:val="Answers"/>
        <w:numPr>
          <w:ilvl w:val="0"/>
          <w:numId w:val="50"/>
        </w:numPr>
      </w:pP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w:t>
      </w:r>
      <w:r w:rsidR="008F4987">
        <w:t>: This data center only has 50% of its load under contract, while the remaining 50% are under a request for service.</w:t>
      </w:r>
      <w:r w:rsidR="008F4987">
        <w:rPr>
          <w:rStyle w:val="FootnoteReference"/>
        </w:rPr>
        <w:footnoteReference w:id="73"/>
      </w:r>
      <w:r w:rsidR="008F4987">
        <w:t xml:space="preserve"> Staff treated each portion of load as a separate project in the LRM, applying the relevant assumptions for projects under a Request for Service for 50% of the load, while leaving the other 50% under its current treatment. </w:t>
      </w:r>
    </w:p>
    <w:p w14:paraId="79EBF17D" w14:textId="5BB5AF69" w:rsidR="008F4987" w:rsidRDefault="006751FE" w:rsidP="008F4987">
      <w:pPr>
        <w:pStyle w:val="Answers"/>
        <w:numPr>
          <w:ilvl w:val="0"/>
          <w:numId w:val="50"/>
        </w:numPr>
      </w:pP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XXXXXXXXXXXX</w:t>
      </w:r>
      <w:r w:rsidRPr="006751FE">
        <w:rPr>
          <w:rFonts w:ascii="Calibri" w:eastAsia="Times New Roman" w:hAnsi="Calibri"/>
          <w:color w:val="000000"/>
          <w:highlight w:val="black"/>
        </w:rPr>
        <w:t xml:space="preserve"> </w:t>
      </w:r>
      <w:r w:rsidRPr="007F67CD">
        <w:rPr>
          <w:rFonts w:ascii="Calibri" w:eastAsia="Times New Roman" w:hAnsi="Calibri"/>
          <w:color w:val="000000"/>
          <w:highlight w:val="black"/>
        </w:rPr>
        <w:t>XXX</w:t>
      </w:r>
      <w:r w:rsidR="008F4987">
        <w:t>: This data center had ~33% of its load reduced in its contract.</w:t>
      </w:r>
      <w:r w:rsidR="008F4987">
        <w:rPr>
          <w:rStyle w:val="FootnoteReference"/>
        </w:rPr>
        <w:footnoteReference w:id="74"/>
      </w:r>
      <w:r w:rsidR="008F4987">
        <w:t xml:space="preserve"> Staff adjusted the load ramp of this project to follow the originally stated load ramp schedule, but cap out at the new max load. </w:t>
      </w:r>
    </w:p>
    <w:p w14:paraId="184B50AB" w14:textId="76F4EB6A" w:rsidR="00E3701D" w:rsidRDefault="00E3701D" w:rsidP="00E3701D">
      <w:pPr>
        <w:pStyle w:val="Question"/>
      </w:pPr>
      <w:r>
        <w:t>Q.</w:t>
      </w:r>
      <w:r>
        <w:tab/>
        <w:t>Do</w:t>
      </w:r>
      <w:r w:rsidR="1CB95331">
        <w:t>ES</w:t>
      </w:r>
      <w:r>
        <w:t xml:space="preserve"> your proposed adjustments preclude any further adjustments by you or another intervening party?</w:t>
      </w:r>
    </w:p>
    <w:p w14:paraId="3E688897" w14:textId="57415BCA" w:rsidR="00473E51" w:rsidRDefault="00E3701D" w:rsidP="009E4F3D">
      <w:pPr>
        <w:pStyle w:val="Answers"/>
      </w:pPr>
      <w:r>
        <w:t>A.</w:t>
      </w:r>
      <w:r>
        <w:tab/>
        <w:t>No</w:t>
      </w:r>
      <w:r w:rsidR="009E4F3D">
        <w:t>, not necessarily</w:t>
      </w:r>
      <w:r>
        <w:t xml:space="preserve">. </w:t>
      </w:r>
      <w:r w:rsidR="00456FFD">
        <w:t xml:space="preserve">The adjustments proposed in this testimony specifically address concerns regarding the </w:t>
      </w:r>
      <w:r w:rsidR="002F5412">
        <w:t>LRM</w:t>
      </w:r>
      <w:r w:rsidR="00456FFD">
        <w:t xml:space="preserve"> and its treatment of </w:t>
      </w:r>
      <w:r w:rsidR="00664B3E">
        <w:t>D</w:t>
      </w:r>
      <w:r w:rsidR="1E708C11">
        <w:t>ata</w:t>
      </w:r>
      <w:r w:rsidR="09FECB8F">
        <w:t xml:space="preserve"> </w:t>
      </w:r>
      <w:r w:rsidR="00664B3E">
        <w:t>C</w:t>
      </w:r>
      <w:r w:rsidR="1E708C11">
        <w:t>enter</w:t>
      </w:r>
      <w:r w:rsidR="00456FFD">
        <w:t xml:space="preserve"> projects</w:t>
      </w:r>
      <w:r w:rsidR="00550223">
        <w:t xml:space="preserve">. </w:t>
      </w:r>
    </w:p>
    <w:p w14:paraId="6A82C6E6" w14:textId="20493B68" w:rsidR="007D3E23" w:rsidRDefault="006F567F" w:rsidP="00955053">
      <w:pPr>
        <w:pStyle w:val="Heading1"/>
      </w:pPr>
      <w:bookmarkStart w:id="73" w:name="_Toc196919898"/>
      <w:r>
        <w:lastRenderedPageBreak/>
        <w:tab/>
      </w:r>
      <w:bookmarkStart w:id="74" w:name="_Toc213766870"/>
      <w:r w:rsidR="00955053">
        <w:t>Conclusions &amp; Recommendations</w:t>
      </w:r>
      <w:bookmarkEnd w:id="73"/>
      <w:bookmarkEnd w:id="74"/>
    </w:p>
    <w:p w14:paraId="3E3DC4B3" w14:textId="1618A35D" w:rsidR="00456FFD" w:rsidRDefault="00456FFD" w:rsidP="00456FFD">
      <w:pPr>
        <w:pStyle w:val="Question"/>
      </w:pPr>
      <w:r>
        <w:t>Q.</w:t>
      </w:r>
      <w:r>
        <w:tab/>
        <w:t>Please summarize your conclusions.</w:t>
      </w:r>
    </w:p>
    <w:p w14:paraId="6D6A5511" w14:textId="6B66ABC7" w:rsidR="00E41DD8" w:rsidRDefault="00456FFD" w:rsidP="009E4F3D">
      <w:pPr>
        <w:pStyle w:val="Answers"/>
      </w:pPr>
      <w:r>
        <w:t>A.</w:t>
      </w:r>
      <w:r>
        <w:tab/>
      </w:r>
      <w:r w:rsidR="1A2D1162">
        <w:t xml:space="preserve">The Company’s LRM is based on speculative assumptions, creating unreasonable risk to existing ratepayers </w:t>
      </w:r>
      <w:r w:rsidR="136451F7">
        <w:t>if</w:t>
      </w:r>
      <w:r w:rsidR="1A2D1162">
        <w:t xml:space="preserve"> forecasted load</w:t>
      </w:r>
      <w:r w:rsidR="42A77F8E">
        <w:t xml:space="preserve"> from data centers </w:t>
      </w:r>
      <w:r w:rsidR="60BCBD7A">
        <w:t>does</w:t>
      </w:r>
      <w:r w:rsidR="42A77F8E">
        <w:t xml:space="preserve"> not materialize. </w:t>
      </w:r>
      <w:r w:rsidR="00AA0432">
        <w:t>To date, the large load forecast and the underlying LRM have not materialized as expected</w:t>
      </w:r>
      <w:r w:rsidR="0D4A5BA2">
        <w:t>, underscoring the speculative nature of the model’s underlying assumptions</w:t>
      </w:r>
      <w:r w:rsidR="00AA0432">
        <w:t>. In the near term, large load projects continue to materialize lower than forecasted by the Company. This underperformance is driven primarily by the Data Center segment via diminished load materialization and project cancellations. Absent further adjustments to the underlying assumptions in the LRM to account for these factors, the Company is likely to overestimate its load and over-procure capacity resources, resulting in greater risk and potentially higher costs to existing ratepayers.</w:t>
      </w:r>
      <w:r w:rsidR="5E72B404">
        <w:t xml:space="preserve"> The most reasonable approach to forecasting large load is to limit predictions to those cu</w:t>
      </w:r>
      <w:r w:rsidR="3A8E5D6E">
        <w:t>stomers who have executed contracts for electric service with the Company.</w:t>
      </w:r>
    </w:p>
    <w:p w14:paraId="1AAF3D79" w14:textId="3649F2E7" w:rsidR="78DE8CB6" w:rsidRDefault="169A1F69" w:rsidP="78DE8CB6">
      <w:pPr>
        <w:pStyle w:val="Answers"/>
      </w:pPr>
      <w:r>
        <w:tab/>
      </w:r>
      <w:r w:rsidR="008A4606">
        <w:tab/>
      </w:r>
      <w:r w:rsidR="38036DB7">
        <w:t xml:space="preserve">In addition to modifying the Company’s load forecast, there are a number of uncertainties that may further mitigate the peak impact of large load projects. The most </w:t>
      </w:r>
      <w:r w:rsidR="640C0E7E">
        <w:t>significant of these uncertainties is the impact of</w:t>
      </w:r>
      <w:r w:rsidR="38036DB7">
        <w:t xml:space="preserve"> load flexibility. </w:t>
      </w:r>
      <w:r w:rsidR="663CD34A">
        <w:t xml:space="preserve">The Company has not demonstrated how load flexibility may impact its large load forecast. Further exploration of how load flexibility could impact peak demand at various curtailments level and the pathways through which </w:t>
      </w:r>
      <w:r w:rsidR="1BDE818C">
        <w:t>such a program could be administered is necessary to promote the cost efficient integration of large load customers.</w:t>
      </w:r>
    </w:p>
    <w:p w14:paraId="3879CB83" w14:textId="234E4D9C" w:rsidR="00473E51" w:rsidRDefault="00473E51" w:rsidP="00E41DD8">
      <w:pPr>
        <w:pStyle w:val="Question"/>
      </w:pPr>
      <w:r>
        <w:lastRenderedPageBreak/>
        <w:t>Q.</w:t>
      </w:r>
      <w:r>
        <w:tab/>
        <w:t>please summarize your recommendations.</w:t>
      </w:r>
    </w:p>
    <w:p w14:paraId="034982B3" w14:textId="4DF86222" w:rsidR="00B8731F" w:rsidRPr="00CD39F9" w:rsidRDefault="00473E51" w:rsidP="002C5354">
      <w:pPr>
        <w:autoSpaceDE w:val="0"/>
        <w:autoSpaceDN w:val="0"/>
        <w:adjustRightInd w:val="0"/>
        <w:spacing w:line="480" w:lineRule="auto"/>
        <w:ind w:left="720" w:hanging="720"/>
        <w:rPr>
          <w:sz w:val="24"/>
          <w:szCs w:val="24"/>
        </w:rPr>
      </w:pPr>
      <w:r w:rsidRPr="00CD39F9">
        <w:rPr>
          <w:sz w:val="24"/>
          <w:szCs w:val="24"/>
        </w:rPr>
        <w:t>A.</w:t>
      </w:r>
      <w:r>
        <w:tab/>
      </w:r>
      <w:r w:rsidR="25FF661F" w:rsidRPr="0E9590F5">
        <w:rPr>
          <w:sz w:val="24"/>
          <w:szCs w:val="24"/>
        </w:rPr>
        <w:t>Given the di</w:t>
      </w:r>
      <w:r w:rsidR="00E13140">
        <w:rPr>
          <w:sz w:val="24"/>
          <w:szCs w:val="24"/>
        </w:rPr>
        <w:t>s</w:t>
      </w:r>
      <w:r w:rsidR="25FF661F" w:rsidRPr="0E9590F5">
        <w:rPr>
          <w:sz w:val="24"/>
          <w:szCs w:val="24"/>
        </w:rPr>
        <w:t>cussion and conclusions above, Staff provides the following recommendations:</w:t>
      </w:r>
    </w:p>
    <w:p w14:paraId="42798F10" w14:textId="14065A05" w:rsidR="00B8731F" w:rsidRPr="00441F11" w:rsidRDefault="00AA0432" w:rsidP="00BF0CC9">
      <w:pPr>
        <w:pStyle w:val="ListParagraph"/>
        <w:numPr>
          <w:ilvl w:val="0"/>
          <w:numId w:val="51"/>
        </w:numPr>
        <w:autoSpaceDE w:val="0"/>
        <w:autoSpaceDN w:val="0"/>
        <w:adjustRightInd w:val="0"/>
        <w:spacing w:line="480" w:lineRule="auto"/>
        <w:jc w:val="both"/>
      </w:pPr>
      <w:r w:rsidRPr="00CD39F9">
        <w:rPr>
          <w:sz w:val="24"/>
          <w:szCs w:val="24"/>
        </w:rPr>
        <w:t>Staff recommends the Commission require the Company to adopt the adjustments and model modification provided in Staff Scenario 1. This scenario minimizes the amount of risk that existing ratepayers bear by limiting the large load forecast to only projects with executed contracts. While there is still risk associated with this scenario, as most (nearly 80%) of the load in this scenario comes from projects that are not subject to the new rules and regulations approved by the Commission, it offers a reasonable mitigation of this risk relative to the Company’s filing.</w:t>
      </w:r>
    </w:p>
    <w:p w14:paraId="523154DC" w14:textId="52B81F26" w:rsidR="00AA0432" w:rsidRDefault="00AA0432" w:rsidP="00BF0CC9">
      <w:pPr>
        <w:pStyle w:val="ListParagraph"/>
        <w:numPr>
          <w:ilvl w:val="0"/>
          <w:numId w:val="51"/>
        </w:numPr>
        <w:autoSpaceDE w:val="0"/>
        <w:autoSpaceDN w:val="0"/>
        <w:adjustRightInd w:val="0"/>
        <w:spacing w:line="480" w:lineRule="auto"/>
        <w:jc w:val="both"/>
      </w:pPr>
      <w:r w:rsidRPr="00CD39F9">
        <w:rPr>
          <w:sz w:val="24"/>
          <w:szCs w:val="24"/>
        </w:rPr>
        <w:t xml:space="preserve">If the Commission determines that Scenario 1 is not its preferred option, Staff </w:t>
      </w:r>
      <w:r w:rsidR="007B7176">
        <w:rPr>
          <w:sz w:val="24"/>
          <w:szCs w:val="24"/>
        </w:rPr>
        <w:t>has provided</w:t>
      </w:r>
      <w:r w:rsidRPr="00CD39F9">
        <w:rPr>
          <w:sz w:val="24"/>
          <w:szCs w:val="24"/>
        </w:rPr>
        <w:t xml:space="preserve"> Scenario 2</w:t>
      </w:r>
      <w:r w:rsidR="007B7176">
        <w:rPr>
          <w:sz w:val="24"/>
          <w:szCs w:val="24"/>
        </w:rPr>
        <w:t xml:space="preserve"> to the Commis</w:t>
      </w:r>
      <w:r w:rsidR="006C7AFC">
        <w:rPr>
          <w:sz w:val="24"/>
          <w:szCs w:val="24"/>
        </w:rPr>
        <w:t>sion as a lower-risk alternative to Georgia Power’s request</w:t>
      </w:r>
      <w:r w:rsidRPr="00CD39F9">
        <w:rPr>
          <w:sz w:val="24"/>
          <w:szCs w:val="24"/>
        </w:rPr>
        <w:t>. Scenario 2 provides a higher level of large load growth, but moderates this growth based on a number of modifications to the underlying assumptions in the LRM. This scenario provides a higher level of risk relative to Scenario 1, but offers a significantly lower level of risk than that presented in the Company’s B2026 base case.</w:t>
      </w:r>
    </w:p>
    <w:p w14:paraId="1094D701" w14:textId="4CD98080" w:rsidR="17E2E121" w:rsidRDefault="17E2E121" w:rsidP="00BF0CC9">
      <w:pPr>
        <w:pStyle w:val="ListParagraph"/>
        <w:numPr>
          <w:ilvl w:val="0"/>
          <w:numId w:val="51"/>
        </w:numPr>
        <w:spacing w:line="480" w:lineRule="auto"/>
        <w:jc w:val="both"/>
      </w:pPr>
      <w:r w:rsidRPr="0E9590F5">
        <w:rPr>
          <w:sz w:val="24"/>
          <w:szCs w:val="24"/>
        </w:rPr>
        <w:t xml:space="preserve">Staff recommends the Commission to require the Company to provide a report </w:t>
      </w:r>
      <w:r w:rsidR="00E13140">
        <w:rPr>
          <w:sz w:val="24"/>
          <w:szCs w:val="24"/>
        </w:rPr>
        <w:t xml:space="preserve">by February 15, 2026, </w:t>
      </w:r>
      <w:r w:rsidRPr="0E9590F5">
        <w:rPr>
          <w:sz w:val="24"/>
          <w:szCs w:val="24"/>
        </w:rPr>
        <w:t>propos</w:t>
      </w:r>
      <w:r w:rsidR="7447603A" w:rsidRPr="0E9590F5">
        <w:rPr>
          <w:sz w:val="24"/>
          <w:szCs w:val="24"/>
        </w:rPr>
        <w:t xml:space="preserve">ing a </w:t>
      </w:r>
      <w:r w:rsidRPr="0E9590F5">
        <w:rPr>
          <w:sz w:val="24"/>
          <w:szCs w:val="24"/>
        </w:rPr>
        <w:t>structure</w:t>
      </w:r>
      <w:r w:rsidR="2884827B" w:rsidRPr="0E9590F5">
        <w:rPr>
          <w:sz w:val="24"/>
          <w:szCs w:val="24"/>
        </w:rPr>
        <w:t xml:space="preserve">, potential administrative pathway, and estimated system impact of a load flexibility program in this docket by </w:t>
      </w:r>
      <w:r w:rsidR="003811CE">
        <w:rPr>
          <w:sz w:val="24"/>
          <w:szCs w:val="24"/>
        </w:rPr>
        <w:t>February</w:t>
      </w:r>
      <w:r w:rsidR="00461392">
        <w:rPr>
          <w:sz w:val="24"/>
          <w:szCs w:val="24"/>
        </w:rPr>
        <w:t xml:space="preserve"> 15</w:t>
      </w:r>
      <w:r w:rsidR="2884827B" w:rsidRPr="0E9590F5">
        <w:rPr>
          <w:sz w:val="24"/>
          <w:szCs w:val="24"/>
        </w:rPr>
        <w:t>, 2026.</w:t>
      </w:r>
      <w:r w:rsidR="19D99A2C" w:rsidRPr="0E9590F5">
        <w:rPr>
          <w:sz w:val="24"/>
          <w:szCs w:val="24"/>
        </w:rPr>
        <w:t xml:space="preserve"> The report should include the following:</w:t>
      </w:r>
    </w:p>
    <w:p w14:paraId="779C23D5" w14:textId="6EBFA557" w:rsidR="78BD8069" w:rsidRDefault="78BD8069" w:rsidP="00BF0CC9">
      <w:pPr>
        <w:pStyle w:val="ListParagraph"/>
        <w:numPr>
          <w:ilvl w:val="1"/>
          <w:numId w:val="51"/>
        </w:numPr>
        <w:spacing w:line="480" w:lineRule="auto"/>
        <w:jc w:val="both"/>
        <w:rPr>
          <w:sz w:val="24"/>
          <w:szCs w:val="24"/>
        </w:rPr>
      </w:pPr>
      <w:r w:rsidRPr="0E9590F5">
        <w:rPr>
          <w:b/>
          <w:bCs/>
          <w:sz w:val="24"/>
          <w:szCs w:val="24"/>
        </w:rPr>
        <w:t xml:space="preserve">Program Structure: </w:t>
      </w:r>
      <w:r w:rsidRPr="0E9590F5">
        <w:rPr>
          <w:sz w:val="24"/>
          <w:szCs w:val="24"/>
        </w:rPr>
        <w:t xml:space="preserve">A description of the load flexibility program including the types of customers eligible for the offering, the extent of curtailments that </w:t>
      </w:r>
      <w:r w:rsidRPr="0E9590F5">
        <w:rPr>
          <w:sz w:val="24"/>
          <w:szCs w:val="24"/>
        </w:rPr>
        <w:lastRenderedPageBreak/>
        <w:t>could be applied to these customers, and how prospective customers would be incentivize</w:t>
      </w:r>
      <w:r w:rsidR="13D49CA5" w:rsidRPr="0E9590F5">
        <w:rPr>
          <w:sz w:val="24"/>
          <w:szCs w:val="24"/>
        </w:rPr>
        <w:t>d to participate in this offering. Incentives could include a variety of mechanisms including priority interconnection.</w:t>
      </w:r>
    </w:p>
    <w:p w14:paraId="2D24ECC5" w14:textId="60C1E367" w:rsidR="13D49CA5" w:rsidRDefault="13D49CA5" w:rsidP="00BF0CC9">
      <w:pPr>
        <w:pStyle w:val="ListParagraph"/>
        <w:numPr>
          <w:ilvl w:val="1"/>
          <w:numId w:val="51"/>
        </w:numPr>
        <w:spacing w:line="480" w:lineRule="auto"/>
        <w:jc w:val="both"/>
        <w:rPr>
          <w:sz w:val="24"/>
          <w:szCs w:val="24"/>
        </w:rPr>
      </w:pPr>
      <w:r w:rsidRPr="0E9590F5">
        <w:rPr>
          <w:b/>
          <w:bCs/>
          <w:sz w:val="24"/>
          <w:szCs w:val="24"/>
        </w:rPr>
        <w:t xml:space="preserve">Administrative Pathway: </w:t>
      </w:r>
      <w:r w:rsidRPr="0E9590F5">
        <w:rPr>
          <w:sz w:val="24"/>
          <w:szCs w:val="24"/>
        </w:rPr>
        <w:t xml:space="preserve">The mechanism by which the Company will offer the load flexibility offering to large load customers. Staff recognizes that the new rules and regulations approved by the Commission allow the Company to require a wide variety of terms and conditions upon </w:t>
      </w:r>
      <w:r w:rsidR="2600861E" w:rsidRPr="0E9590F5">
        <w:rPr>
          <w:sz w:val="24"/>
          <w:szCs w:val="24"/>
        </w:rPr>
        <w:t>large load customers. This pathway offers the Company a means to develop a load flexibility offering rapidly. However, Staff recognizes that the optimal pathway may vary. As su</w:t>
      </w:r>
      <w:r w:rsidR="03FFE55C" w:rsidRPr="0E9590F5">
        <w:rPr>
          <w:sz w:val="24"/>
          <w:szCs w:val="24"/>
        </w:rPr>
        <w:t>ch, the Company should explain the various administrative pathways available for a large load flexibility offering, and any costs or benefits associated with these pathways.</w:t>
      </w:r>
    </w:p>
    <w:p w14:paraId="365855F4" w14:textId="61B3F4F6" w:rsidR="19D99A2C" w:rsidRDefault="73462549" w:rsidP="00BF0CC9">
      <w:pPr>
        <w:pStyle w:val="ListParagraph"/>
        <w:numPr>
          <w:ilvl w:val="1"/>
          <w:numId w:val="51"/>
        </w:numPr>
        <w:spacing w:line="480" w:lineRule="auto"/>
        <w:jc w:val="both"/>
      </w:pPr>
      <w:r w:rsidRPr="00CD39F9">
        <w:rPr>
          <w:b/>
          <w:bCs/>
          <w:sz w:val="24"/>
          <w:szCs w:val="24"/>
        </w:rPr>
        <w:t>Estimated System Impact:</w:t>
      </w:r>
      <w:r w:rsidRPr="0E9590F5">
        <w:rPr>
          <w:b/>
          <w:bCs/>
          <w:sz w:val="24"/>
          <w:szCs w:val="24"/>
        </w:rPr>
        <w:t xml:space="preserve"> </w:t>
      </w:r>
      <w:r w:rsidRPr="0E9590F5">
        <w:rPr>
          <w:sz w:val="24"/>
          <w:szCs w:val="24"/>
        </w:rPr>
        <w:t xml:space="preserve">The capacity headroom enabled by a load flexibility program and any resulting cost savings. The system impact analysis should consider the level of curtailment, the number of curtailable hours per year, and </w:t>
      </w:r>
      <w:r w:rsidR="06CBA7E7" w:rsidRPr="0E9590F5">
        <w:rPr>
          <w:sz w:val="24"/>
          <w:szCs w:val="24"/>
        </w:rPr>
        <w:t xml:space="preserve">the types of customers requested to curtail, producing an analysis of how </w:t>
      </w:r>
      <w:r w:rsidR="00EB11E3">
        <w:rPr>
          <w:sz w:val="24"/>
          <w:szCs w:val="24"/>
        </w:rPr>
        <w:t>many</w:t>
      </w:r>
      <w:r w:rsidR="06CBA7E7" w:rsidRPr="0E9590F5">
        <w:rPr>
          <w:sz w:val="24"/>
          <w:szCs w:val="24"/>
        </w:rPr>
        <w:t xml:space="preserve"> additional large load projects could be enabled without </w:t>
      </w:r>
      <w:r w:rsidR="2209134A" w:rsidRPr="0E9590F5">
        <w:rPr>
          <w:sz w:val="24"/>
          <w:szCs w:val="24"/>
        </w:rPr>
        <w:t>procuring additional capacity resources.</w:t>
      </w:r>
    </w:p>
    <w:p w14:paraId="35A5862B" w14:textId="4C722491" w:rsidR="00F348DA" w:rsidRPr="0092188D" w:rsidRDefault="00F348DA" w:rsidP="00B8731F">
      <w:pPr>
        <w:pStyle w:val="Question"/>
      </w:pPr>
      <w:r w:rsidRPr="0092188D">
        <w:t>Q.</w:t>
      </w:r>
      <w:r w:rsidRPr="0092188D">
        <w:tab/>
        <w:t xml:space="preserve">Does this conclude </w:t>
      </w:r>
      <w:r>
        <w:t>Staff’s</w:t>
      </w:r>
      <w:r w:rsidRPr="0092188D">
        <w:t xml:space="preserve"> testimony?</w:t>
      </w:r>
    </w:p>
    <w:p w14:paraId="2A18F710" w14:textId="77777777" w:rsidR="00F348DA" w:rsidRPr="00F348DA" w:rsidRDefault="00F348DA" w:rsidP="00C210FC">
      <w:pPr>
        <w:tabs>
          <w:tab w:val="left" w:pos="720"/>
          <w:tab w:val="left" w:pos="1725"/>
        </w:tabs>
        <w:spacing w:line="480" w:lineRule="auto"/>
        <w:ind w:left="720" w:hanging="720"/>
        <w:rPr>
          <w:rFonts w:cs="Calibri"/>
        </w:rPr>
      </w:pPr>
      <w:r w:rsidRPr="0092188D">
        <w:rPr>
          <w:sz w:val="24"/>
          <w:szCs w:val="24"/>
        </w:rPr>
        <w:t>A.</w:t>
      </w:r>
      <w:r w:rsidRPr="0092188D">
        <w:rPr>
          <w:sz w:val="24"/>
          <w:szCs w:val="24"/>
        </w:rPr>
        <w:tab/>
        <w:t>Yes.</w:t>
      </w:r>
    </w:p>
    <w:sectPr w:rsidR="00F348DA" w:rsidRPr="00F348DA" w:rsidSect="00BB7697">
      <w:headerReference w:type="default" r:id="rId25"/>
      <w:footerReference w:type="default" r:id="rId26"/>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08FF" w14:textId="77777777" w:rsidR="003438F9" w:rsidRDefault="003438F9" w:rsidP="009E7506">
      <w:r>
        <w:separator/>
      </w:r>
    </w:p>
  </w:endnote>
  <w:endnote w:type="continuationSeparator" w:id="0">
    <w:p w14:paraId="1CA2B063" w14:textId="77777777" w:rsidR="003438F9" w:rsidRDefault="003438F9" w:rsidP="009E7506">
      <w:r>
        <w:continuationSeparator/>
      </w:r>
    </w:p>
  </w:endnote>
  <w:endnote w:type="continuationNotice" w:id="1">
    <w:p w14:paraId="7376C654" w14:textId="77777777" w:rsidR="003438F9" w:rsidRDefault="00343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Noto Sans Symbols">
    <w:altName w:val="Calibri"/>
    <w:charset w:val="01"/>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F3D1" w14:textId="77777777" w:rsidR="000E579E" w:rsidRDefault="000E579E" w:rsidP="000672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29EF" w14:textId="77777777" w:rsidR="000E579E" w:rsidRPr="000672E8" w:rsidRDefault="000E579E" w:rsidP="00067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A3FD" w14:textId="44276C77" w:rsidR="000E579E" w:rsidRDefault="000E579E" w:rsidP="00525A9B">
    <w:pPr>
      <w:jc w:val="center"/>
      <w:rPr>
        <w:sz w:val="18"/>
        <w:szCs w:val="18"/>
      </w:rPr>
    </w:pPr>
  </w:p>
  <w:p w14:paraId="4324120D" w14:textId="69657C1F" w:rsidR="000E579E" w:rsidRPr="004E7DE1" w:rsidRDefault="000E579E" w:rsidP="00525A9B">
    <w:pPr>
      <w:jc w:val="center"/>
      <w:rPr>
        <w:sz w:val="20"/>
        <w:szCs w:val="20"/>
      </w:rPr>
    </w:pPr>
    <w:r w:rsidRPr="004E7DE1">
      <w:rPr>
        <w:sz w:val="20"/>
        <w:szCs w:val="20"/>
      </w:rPr>
      <w:t xml:space="preserve">Staff’s </w:t>
    </w:r>
    <w:r w:rsidR="00C45D71">
      <w:rPr>
        <w:sz w:val="20"/>
        <w:szCs w:val="20"/>
      </w:rPr>
      <w:t>PUBLIC DISCLOSURE</w:t>
    </w:r>
    <w:r w:rsidR="009F55E0">
      <w:rPr>
        <w:sz w:val="20"/>
        <w:szCs w:val="20"/>
      </w:rPr>
      <w:t xml:space="preserve"> </w:t>
    </w:r>
    <w:r w:rsidRPr="004E7DE1">
      <w:rPr>
        <w:sz w:val="20"/>
        <w:szCs w:val="20"/>
      </w:rPr>
      <w:t xml:space="preserve">Direct Testimony of </w:t>
    </w:r>
    <w:r w:rsidR="005837DC">
      <w:rPr>
        <w:sz w:val="20"/>
        <w:szCs w:val="20"/>
      </w:rPr>
      <w:t>Robert L. Trokey</w:t>
    </w:r>
    <w:r w:rsidR="000208AA">
      <w:rPr>
        <w:sz w:val="20"/>
        <w:szCs w:val="20"/>
      </w:rPr>
      <w:t xml:space="preserve">, </w:t>
    </w:r>
    <w:r w:rsidR="00006E7A">
      <w:rPr>
        <w:sz w:val="20"/>
        <w:szCs w:val="20"/>
      </w:rPr>
      <w:t xml:space="preserve">Dylan </w:t>
    </w:r>
    <w:r w:rsidR="00B17A50">
      <w:rPr>
        <w:sz w:val="20"/>
        <w:szCs w:val="20"/>
      </w:rPr>
      <w:t>A.</w:t>
    </w:r>
    <w:r w:rsidR="00006E7A">
      <w:rPr>
        <w:sz w:val="20"/>
        <w:szCs w:val="20"/>
      </w:rPr>
      <w:t xml:space="preserve"> Drugan,</w:t>
    </w:r>
    <w:r w:rsidR="000208AA">
      <w:rPr>
        <w:sz w:val="20"/>
        <w:szCs w:val="20"/>
      </w:rPr>
      <w:t xml:space="preserve"> and Karan </w:t>
    </w:r>
    <w:r w:rsidR="00E01138">
      <w:rPr>
        <w:sz w:val="20"/>
        <w:szCs w:val="20"/>
      </w:rPr>
      <w:t xml:space="preserve">A. </w:t>
    </w:r>
    <w:r w:rsidR="000208AA">
      <w:rPr>
        <w:sz w:val="20"/>
        <w:szCs w:val="20"/>
      </w:rPr>
      <w:t>Pol</w:t>
    </w:r>
  </w:p>
  <w:p w14:paraId="59D56133" w14:textId="4FC970EF" w:rsidR="000E579E" w:rsidRPr="004E7DE1" w:rsidRDefault="000E579E" w:rsidP="00AE5F1F">
    <w:pPr>
      <w:jc w:val="center"/>
      <w:rPr>
        <w:sz w:val="20"/>
        <w:szCs w:val="20"/>
      </w:rPr>
    </w:pPr>
    <w:r w:rsidRPr="004E7DE1">
      <w:rPr>
        <w:sz w:val="20"/>
        <w:szCs w:val="20"/>
      </w:rPr>
      <w:t>Docket No</w:t>
    </w:r>
    <w:r w:rsidR="00D244E8">
      <w:rPr>
        <w:sz w:val="20"/>
        <w:szCs w:val="20"/>
      </w:rPr>
      <w:t>s</w:t>
    </w:r>
    <w:r w:rsidR="00116A3C">
      <w:rPr>
        <w:sz w:val="20"/>
        <w:szCs w:val="20"/>
      </w:rPr>
      <w:t>. 5</w:t>
    </w:r>
    <w:r w:rsidR="00643B35">
      <w:rPr>
        <w:sz w:val="20"/>
        <w:szCs w:val="20"/>
      </w:rPr>
      <w:t>6298</w:t>
    </w:r>
    <w:r w:rsidR="00D244E8">
      <w:rPr>
        <w:sz w:val="20"/>
        <w:szCs w:val="20"/>
      </w:rPr>
      <w:t xml:space="preserve"> and 56310</w:t>
    </w:r>
  </w:p>
  <w:p w14:paraId="69FED19E" w14:textId="493B496D" w:rsidR="000E579E" w:rsidRPr="004E7DE1" w:rsidRDefault="000E579E" w:rsidP="00AE5F1F">
    <w:pPr>
      <w:jc w:val="center"/>
      <w:rPr>
        <w:sz w:val="20"/>
        <w:szCs w:val="20"/>
      </w:rPr>
    </w:pPr>
    <w:r w:rsidRPr="004E7DE1">
      <w:rPr>
        <w:sz w:val="20"/>
        <w:szCs w:val="20"/>
      </w:rPr>
      <w:t xml:space="preserve">Page </w:t>
    </w:r>
    <w:r w:rsidRPr="004E7DE1">
      <w:rPr>
        <w:rStyle w:val="PageNumber"/>
        <w:sz w:val="20"/>
        <w:szCs w:val="20"/>
      </w:rPr>
      <w:fldChar w:fldCharType="begin"/>
    </w:r>
    <w:r w:rsidRPr="004E7DE1">
      <w:rPr>
        <w:rStyle w:val="PageNumber"/>
        <w:sz w:val="20"/>
        <w:szCs w:val="20"/>
      </w:rPr>
      <w:instrText xml:space="preserve"> PAGE </w:instrText>
    </w:r>
    <w:r w:rsidRPr="004E7DE1">
      <w:rPr>
        <w:rStyle w:val="PageNumber"/>
        <w:sz w:val="20"/>
        <w:szCs w:val="20"/>
      </w:rPr>
      <w:fldChar w:fldCharType="separate"/>
    </w:r>
    <w:r>
      <w:rPr>
        <w:rStyle w:val="PageNumber"/>
        <w:noProof/>
        <w:sz w:val="20"/>
        <w:szCs w:val="20"/>
      </w:rPr>
      <w:t>75</w:t>
    </w:r>
    <w:r w:rsidRPr="004E7DE1">
      <w:rPr>
        <w:rStyle w:val="PageNumber"/>
        <w:sz w:val="20"/>
        <w:szCs w:val="20"/>
      </w:rPr>
      <w:fldChar w:fldCharType="end"/>
    </w:r>
    <w:r w:rsidRPr="004E7DE1">
      <w:rPr>
        <w:rStyle w:val="PageNumber"/>
        <w:sz w:val="20"/>
        <w:szCs w:val="20"/>
      </w:rPr>
      <w:t xml:space="preserve"> of </w:t>
    </w:r>
    <w:r>
      <w:rPr>
        <w:rStyle w:val="PageNumber"/>
        <w:color w:val="000000" w:themeColor="text1"/>
        <w:sz w:val="20"/>
        <w:szCs w:val="20"/>
      </w:rPr>
      <w:fldChar w:fldCharType="begin"/>
    </w:r>
    <w:r>
      <w:rPr>
        <w:rStyle w:val="PageNumber"/>
        <w:color w:val="000000" w:themeColor="text1"/>
        <w:sz w:val="20"/>
        <w:szCs w:val="20"/>
      </w:rPr>
      <w:instrText xml:space="preserve"> =</w:instrText>
    </w:r>
    <w:r w:rsidRPr="00D75A83">
      <w:rPr>
        <w:rStyle w:val="PageNumber"/>
        <w:color w:val="000000" w:themeColor="text1"/>
        <w:sz w:val="20"/>
        <w:szCs w:val="20"/>
      </w:rPr>
      <w:fldChar w:fldCharType="begin"/>
    </w:r>
    <w:r w:rsidRPr="00D75A83">
      <w:rPr>
        <w:rStyle w:val="PageNumber"/>
        <w:color w:val="000000" w:themeColor="text1"/>
        <w:sz w:val="20"/>
        <w:szCs w:val="20"/>
      </w:rPr>
      <w:instrText xml:space="preserve"> NUMPAGES   \* MERGEFORMAT </w:instrText>
    </w:r>
    <w:r w:rsidRPr="00D75A83">
      <w:rPr>
        <w:rStyle w:val="PageNumber"/>
        <w:color w:val="000000" w:themeColor="text1"/>
        <w:sz w:val="20"/>
        <w:szCs w:val="20"/>
      </w:rPr>
      <w:fldChar w:fldCharType="separate"/>
    </w:r>
    <w:r w:rsidR="00B930CF">
      <w:rPr>
        <w:rStyle w:val="PageNumber"/>
        <w:noProof/>
        <w:color w:val="000000" w:themeColor="text1"/>
        <w:sz w:val="20"/>
        <w:szCs w:val="20"/>
      </w:rPr>
      <w:instrText>54</w:instrText>
    </w:r>
    <w:r w:rsidRPr="00D75A83">
      <w:rPr>
        <w:rStyle w:val="PageNumber"/>
        <w:color w:val="000000" w:themeColor="text1"/>
        <w:sz w:val="20"/>
        <w:szCs w:val="20"/>
      </w:rPr>
      <w:fldChar w:fldCharType="end"/>
    </w:r>
    <w:r>
      <w:rPr>
        <w:rStyle w:val="PageNumber"/>
        <w:color w:val="000000" w:themeColor="text1"/>
        <w:sz w:val="20"/>
        <w:szCs w:val="20"/>
      </w:rPr>
      <w:instrText xml:space="preserve">-3 </w:instrText>
    </w:r>
    <w:r>
      <w:rPr>
        <w:rStyle w:val="PageNumber"/>
        <w:color w:val="000000" w:themeColor="text1"/>
        <w:sz w:val="20"/>
        <w:szCs w:val="20"/>
      </w:rPr>
      <w:fldChar w:fldCharType="separate"/>
    </w:r>
    <w:r w:rsidR="00B930CF">
      <w:rPr>
        <w:rStyle w:val="PageNumber"/>
        <w:noProof/>
        <w:color w:val="000000" w:themeColor="text1"/>
        <w:sz w:val="20"/>
        <w:szCs w:val="20"/>
      </w:rPr>
      <w:t>51</w:t>
    </w:r>
    <w:r>
      <w:rPr>
        <w:rStyle w:val="PageNumber"/>
        <w:color w:val="000000" w:themeColor="text1"/>
        <w:sz w:val="20"/>
        <w:szCs w:val="20"/>
      </w:rPr>
      <w:fldChar w:fldCharType="end"/>
    </w:r>
  </w:p>
  <w:p w14:paraId="6FBC9068" w14:textId="77777777" w:rsidR="000E579E" w:rsidRPr="004E7DE1" w:rsidRDefault="000E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F8EB" w14:textId="77777777" w:rsidR="003438F9" w:rsidRDefault="003438F9" w:rsidP="009E7506">
      <w:r>
        <w:separator/>
      </w:r>
    </w:p>
  </w:footnote>
  <w:footnote w:type="continuationSeparator" w:id="0">
    <w:p w14:paraId="1BC7619F" w14:textId="77777777" w:rsidR="003438F9" w:rsidRDefault="003438F9" w:rsidP="009E7506">
      <w:r>
        <w:continuationSeparator/>
      </w:r>
    </w:p>
  </w:footnote>
  <w:footnote w:type="continuationNotice" w:id="1">
    <w:p w14:paraId="449009B4" w14:textId="77777777" w:rsidR="003438F9" w:rsidRDefault="003438F9"/>
  </w:footnote>
  <w:footnote w:id="2">
    <w:p w14:paraId="6A72C098" w14:textId="43F4ADFE" w:rsidR="00BF0CC9" w:rsidRDefault="00BF0CC9">
      <w:pPr>
        <w:pStyle w:val="FootnoteText"/>
      </w:pPr>
      <w:r>
        <w:rPr>
          <w:rStyle w:val="FootnoteReference"/>
        </w:rPr>
        <w:footnoteRef/>
      </w:r>
      <w:r>
        <w:t xml:space="preserve"> Docket Nos. 56298 and 56310, October 22, 2025 Day 2 Hearing, pp. 439-444.</w:t>
      </w:r>
    </w:p>
  </w:footnote>
  <w:footnote w:id="3">
    <w:p w14:paraId="0F56D5A1" w14:textId="336A2039" w:rsidR="00BF0CC9" w:rsidRPr="00BF0CC9" w:rsidRDefault="00BF0CC9">
      <w:pPr>
        <w:pStyle w:val="FootnoteText"/>
      </w:pPr>
      <w:r>
        <w:rPr>
          <w:rStyle w:val="FootnoteReference"/>
        </w:rPr>
        <w:footnoteRef/>
      </w:r>
      <w:r>
        <w:t xml:space="preserve"> </w:t>
      </w:r>
      <w:r>
        <w:rPr>
          <w:i/>
          <w:iCs/>
        </w:rPr>
        <w:t>Id.</w:t>
      </w:r>
      <w:r w:rsidRPr="00BF0CC9">
        <w:t>, pp. 498-501.</w:t>
      </w:r>
    </w:p>
  </w:footnote>
  <w:footnote w:id="4">
    <w:p w14:paraId="2EBD044E" w14:textId="470A24B4" w:rsidR="0080431A" w:rsidRDefault="0080431A">
      <w:pPr>
        <w:pStyle w:val="FootnoteText"/>
      </w:pPr>
      <w:r>
        <w:rPr>
          <w:rStyle w:val="FootnoteReference"/>
        </w:rPr>
        <w:footnoteRef/>
      </w:r>
      <w:r>
        <w:t xml:space="preserve"> Docket Nos. 56298 and 56310, </w:t>
      </w:r>
      <w:r w:rsidR="00BF0CC9">
        <w:t>October 21, 2025 Day 1 Hearing</w:t>
      </w:r>
      <w:r>
        <w:t>, pp. 309-311.</w:t>
      </w:r>
    </w:p>
  </w:footnote>
  <w:footnote w:id="5">
    <w:p w14:paraId="07964F9B" w14:textId="53433F6F" w:rsidR="0080431A" w:rsidRDefault="0080431A">
      <w:pPr>
        <w:pStyle w:val="FootnoteText"/>
      </w:pPr>
      <w:r>
        <w:rPr>
          <w:rStyle w:val="FootnoteReference"/>
        </w:rPr>
        <w:footnoteRef/>
      </w:r>
      <w:r>
        <w:t xml:space="preserve"> </w:t>
      </w:r>
      <w:r w:rsidR="00BF0CC9">
        <w:rPr>
          <w:i/>
          <w:iCs/>
        </w:rPr>
        <w:t>Id.</w:t>
      </w:r>
      <w:r>
        <w:t>, pp. 312, lines 5-20.</w:t>
      </w:r>
    </w:p>
  </w:footnote>
  <w:footnote w:id="6">
    <w:p w14:paraId="539DE7A0" w14:textId="7DFE6C6B" w:rsidR="005B7F77" w:rsidRPr="00CD39F9" w:rsidRDefault="005B7F77">
      <w:pPr>
        <w:rPr>
          <w:sz w:val="20"/>
          <w:szCs w:val="20"/>
        </w:rPr>
      </w:pPr>
      <w:r>
        <w:footnoteRef/>
      </w:r>
      <w:r>
        <w:t xml:space="preserve"> </w:t>
      </w:r>
      <w:r w:rsidRPr="00CD39F9">
        <w:rPr>
          <w:sz w:val="20"/>
          <w:szCs w:val="20"/>
        </w:rPr>
        <w:t xml:space="preserve">Docket Nos. 56002 &amp; 56003, Company Response to </w:t>
      </w:r>
      <w:r w:rsidR="006F567F" w:rsidRPr="006F567F">
        <w:rPr>
          <w:sz w:val="20"/>
          <w:szCs w:val="20"/>
        </w:rPr>
        <w:t>Data Request</w:t>
      </w:r>
      <w:r w:rsidR="006F567F" w:rsidRPr="006F567F" w:rsidDel="006F567F">
        <w:rPr>
          <w:sz w:val="20"/>
          <w:szCs w:val="20"/>
        </w:rPr>
        <w:t xml:space="preserve"> </w:t>
      </w:r>
      <w:r w:rsidRPr="00CD39F9">
        <w:rPr>
          <w:sz w:val="20"/>
          <w:szCs w:val="20"/>
        </w:rPr>
        <w:t>STF-DEA-1-2 Attachment.</w:t>
      </w:r>
    </w:p>
  </w:footnote>
  <w:footnote w:id="7">
    <w:p w14:paraId="2F47D218" w14:textId="083FB319" w:rsidR="00E13140" w:rsidRPr="00CD39F9" w:rsidRDefault="00E13140" w:rsidP="00CD39F9">
      <w:pPr>
        <w:rPr>
          <w:sz w:val="20"/>
          <w:szCs w:val="20"/>
        </w:rPr>
      </w:pPr>
      <w:r>
        <w:rPr>
          <w:rStyle w:val="FootnoteReference"/>
        </w:rPr>
        <w:footnoteRef/>
      </w:r>
      <w:r>
        <w:t xml:space="preserve"> </w:t>
      </w:r>
      <w:r w:rsidRPr="00CD39F9">
        <w:rPr>
          <w:sz w:val="20"/>
          <w:szCs w:val="20"/>
        </w:rPr>
        <w:t>B2026 Load and Energy Forecast Report, p. 15, Figure 1.2.6-1.</w:t>
      </w:r>
    </w:p>
  </w:footnote>
  <w:footnote w:id="8">
    <w:p w14:paraId="470751A9" w14:textId="5F4C577D" w:rsidR="00B31CA5" w:rsidRDefault="00B31CA5">
      <w:pPr>
        <w:pStyle w:val="FootnoteText"/>
      </w:pPr>
      <w:r>
        <w:rPr>
          <w:rStyle w:val="FootnoteReference"/>
        </w:rPr>
        <w:footnoteRef/>
      </w:r>
      <w:r>
        <w:t xml:space="preserve"> </w:t>
      </w:r>
      <w:r w:rsidR="00C30688">
        <w:t xml:space="preserve">Docket 55378, Doc. No. 219697, Large Load Economic Development Report </w:t>
      </w:r>
      <w:r>
        <w:t xml:space="preserve">Q2 Report, </w:t>
      </w:r>
      <w:r w:rsidR="00C30688">
        <w:t xml:space="preserve">Tab: </w:t>
      </w:r>
      <w:r>
        <w:t>Removed Projects</w:t>
      </w:r>
      <w:r w:rsidR="00C30688">
        <w:t>.</w:t>
      </w:r>
    </w:p>
  </w:footnote>
  <w:footnote w:id="9">
    <w:p w14:paraId="21BA06D7" w14:textId="31E717B0" w:rsidR="00B31CA5" w:rsidRDefault="00B31CA5">
      <w:pPr>
        <w:pStyle w:val="FootnoteText"/>
      </w:pPr>
      <w:r>
        <w:rPr>
          <w:rStyle w:val="FootnoteReference"/>
        </w:rPr>
        <w:footnoteRef/>
      </w:r>
      <w:r w:rsidR="00C30688">
        <w:t xml:space="preserve"> Technical Appendix</w:t>
      </w:r>
      <w:r>
        <w:t xml:space="preserve"> </w:t>
      </w:r>
      <w:r w:rsidR="00C30688">
        <w:t xml:space="preserve">Volume 1, </w:t>
      </w:r>
      <w:r>
        <w:t>PUBLIC DISCOLSURE B2025 Load and Energy Forecast Report, 2025 to 2044, Section 1, p. 1, fn. 2.</w:t>
      </w:r>
    </w:p>
  </w:footnote>
  <w:footnote w:id="10">
    <w:p w14:paraId="25787B86" w14:textId="247F7CD5" w:rsidR="00C912D7" w:rsidRDefault="00C912D7" w:rsidP="00C912D7">
      <w:pPr>
        <w:pStyle w:val="FootnoteText"/>
      </w:pPr>
      <w:r>
        <w:rPr>
          <w:rStyle w:val="FootnoteReference"/>
        </w:rPr>
        <w:footnoteRef/>
      </w:r>
      <w:r>
        <w:t xml:space="preserve"> “Announced Load” refers to the peak load demands of a project after completing its load ramp. This can be interpreted as the maximum load a </w:t>
      </w:r>
      <w:r w:rsidR="00550223">
        <w:t>project</w:t>
      </w:r>
      <w:r>
        <w:t xml:space="preserve"> expects to demand from the Company.</w:t>
      </w:r>
    </w:p>
  </w:footnote>
  <w:footnote w:id="11">
    <w:p w14:paraId="055AF7EE" w14:textId="24923EC8" w:rsidR="007A0DDD" w:rsidRDefault="007A0DDD">
      <w:pPr>
        <w:pStyle w:val="FootnoteText"/>
      </w:pPr>
      <w:r>
        <w:rPr>
          <w:rStyle w:val="FootnoteReference"/>
        </w:rPr>
        <w:footnoteRef/>
      </w:r>
      <w:r>
        <w:t xml:space="preserve"> B2026 L</w:t>
      </w:r>
      <w:r w:rsidR="006F567F">
        <w:t>oad Realization Model</w:t>
      </w:r>
    </w:p>
  </w:footnote>
  <w:footnote w:id="12">
    <w:p w14:paraId="6A45E75A" w14:textId="100B37D1" w:rsidR="007A0DDD" w:rsidRDefault="007A0DDD">
      <w:pPr>
        <w:pStyle w:val="FootnoteText"/>
      </w:pPr>
      <w:r>
        <w:rPr>
          <w:rStyle w:val="FootnoteReference"/>
        </w:rPr>
        <w:footnoteRef/>
      </w:r>
      <w:r>
        <w:t xml:space="preserve"> </w:t>
      </w:r>
      <w:r w:rsidR="00EF5E2C">
        <w:t xml:space="preserve">PD B2026 Load and Energy Forecast Report, p. 11. </w:t>
      </w:r>
    </w:p>
  </w:footnote>
  <w:footnote w:id="13">
    <w:p w14:paraId="64134A1F" w14:textId="5940F175" w:rsidR="00EF5E2C" w:rsidRDefault="00EF5E2C">
      <w:pPr>
        <w:pStyle w:val="FootnoteText"/>
      </w:pPr>
      <w:r>
        <w:rPr>
          <w:rStyle w:val="FootnoteReference"/>
        </w:rPr>
        <w:footnoteRef/>
      </w:r>
      <w:r>
        <w:t xml:space="preserve"> Q2 2025 Large Load Economic Development Report, PD Attachment</w:t>
      </w:r>
    </w:p>
  </w:footnote>
  <w:footnote w:id="14">
    <w:p w14:paraId="74A3E03A" w14:textId="1480F4D6" w:rsidR="00A06DF0" w:rsidRDefault="00A06DF0">
      <w:pPr>
        <w:pStyle w:val="FootnoteText"/>
      </w:pPr>
      <w:r>
        <w:rPr>
          <w:rStyle w:val="FootnoteReference"/>
        </w:rPr>
        <w:footnoteRef/>
      </w:r>
      <w:r>
        <w:t xml:space="preserve"> </w:t>
      </w:r>
      <w:r w:rsidR="009A6BE6">
        <w:t xml:space="preserve">Based on data provided in </w:t>
      </w:r>
      <w:r w:rsidR="00EF5E2C">
        <w:t xml:space="preserve">TS Company Response to Data Request </w:t>
      </w:r>
      <w:r w:rsidR="00EF5E2C" w:rsidRPr="00EF5E2C">
        <w:t>STF-PIA-11-1</w:t>
      </w:r>
      <w:r w:rsidR="00EF5E2C">
        <w:t>,</w:t>
      </w:r>
      <w:r w:rsidR="00EF5E2C" w:rsidRPr="00EF5E2C">
        <w:t xml:space="preserve"> Attachment B</w:t>
      </w:r>
    </w:p>
  </w:footnote>
  <w:footnote w:id="15">
    <w:p w14:paraId="4B510143" w14:textId="2FFE547C" w:rsidR="009A6BE6" w:rsidRDefault="009A6BE6">
      <w:pPr>
        <w:pStyle w:val="FootnoteText"/>
      </w:pPr>
      <w:r>
        <w:rPr>
          <w:rStyle w:val="FootnoteReference"/>
        </w:rPr>
        <w:footnoteRef/>
      </w:r>
      <w:r>
        <w:t xml:space="preserve"> Based on data provided in TS Company Response to Data Request </w:t>
      </w:r>
      <w:r w:rsidRPr="00EF5E2C">
        <w:t>STF-PIA-11-1</w:t>
      </w:r>
      <w:r>
        <w:t>,</w:t>
      </w:r>
      <w:r w:rsidRPr="00EF5E2C">
        <w:t xml:space="preserve"> Attachment B</w:t>
      </w:r>
    </w:p>
  </w:footnote>
  <w:footnote w:id="16">
    <w:p w14:paraId="2F357BF5" w14:textId="04E90E00" w:rsidR="00EB262E" w:rsidRDefault="00EB262E">
      <w:pPr>
        <w:pStyle w:val="FootnoteText"/>
      </w:pPr>
      <w:r>
        <w:rPr>
          <w:rStyle w:val="FootnoteReference"/>
        </w:rPr>
        <w:footnoteRef/>
      </w:r>
      <w:r>
        <w:t xml:space="preserve"> </w:t>
      </w:r>
      <w:r w:rsidR="00E84F91">
        <w:t xml:space="preserve">Based on data provided in </w:t>
      </w:r>
      <w:r w:rsidR="004857B0">
        <w:t xml:space="preserve">Load and Energy Forecast reports and associated attachments from </w:t>
      </w:r>
      <w:r w:rsidR="00E84F91">
        <w:t>Dockets 55378, 56002 &amp; 56003, and 56298 &amp; 56310</w:t>
      </w:r>
      <w:r w:rsidR="004857B0">
        <w:t>. Additional citations available upon request.</w:t>
      </w:r>
    </w:p>
  </w:footnote>
  <w:footnote w:id="17">
    <w:p w14:paraId="52A26684" w14:textId="5E9F04B6" w:rsidR="00EB262E" w:rsidRDefault="00EB262E">
      <w:pPr>
        <w:pStyle w:val="FootnoteText"/>
      </w:pPr>
      <w:r>
        <w:rPr>
          <w:rStyle w:val="FootnoteReference"/>
        </w:rPr>
        <w:footnoteRef/>
      </w:r>
      <w:r>
        <w:t xml:space="preserve"> </w:t>
      </w:r>
      <w:r w:rsidR="004857B0">
        <w:t>Based on data provided in Load and Energy Forecast reports and associated attachments from Dockets 55378, 56002 &amp; 56003, and 56298 &amp; 56310. Additional citations available upon request.</w:t>
      </w:r>
    </w:p>
  </w:footnote>
  <w:footnote w:id="18">
    <w:p w14:paraId="1210EC18" w14:textId="626C0FD1" w:rsidR="00FB66E4" w:rsidRDefault="00FB66E4">
      <w:pPr>
        <w:pStyle w:val="FootnoteText"/>
      </w:pPr>
      <w:r>
        <w:rPr>
          <w:rStyle w:val="FootnoteReference"/>
        </w:rPr>
        <w:footnoteRef/>
      </w:r>
      <w:r>
        <w:t xml:space="preserve"> </w:t>
      </w:r>
      <w:r w:rsidR="004857B0">
        <w:t>Based on data provided in Load and Energy Forecast reports and associated attachments from Dockets 55378, 56002 &amp; 56003, and 56298 &amp; 56310. Additional citations available upon request.</w:t>
      </w:r>
    </w:p>
  </w:footnote>
  <w:footnote w:id="19">
    <w:p w14:paraId="0B94D3FD" w14:textId="0577AE12" w:rsidR="004857B0" w:rsidRDefault="004857B0">
      <w:pPr>
        <w:pStyle w:val="FootnoteText"/>
      </w:pPr>
      <w:r>
        <w:rPr>
          <w:rStyle w:val="FootnoteReference"/>
        </w:rPr>
        <w:footnoteRef/>
      </w:r>
      <w:r>
        <w:t xml:space="preserve"> Based on data provided in Load and Energy Forecast reports and associated attachments from Dockets 55378, 56002 &amp; 56003, and 56298 &amp; 56310. Additional citations available upon request.</w:t>
      </w:r>
    </w:p>
  </w:footnote>
  <w:footnote w:id="20">
    <w:p w14:paraId="045A6F4B" w14:textId="3772C06D" w:rsidR="004857B0" w:rsidRDefault="004857B0">
      <w:pPr>
        <w:pStyle w:val="FootnoteText"/>
      </w:pPr>
      <w:r>
        <w:rPr>
          <w:rStyle w:val="FootnoteReference"/>
        </w:rPr>
        <w:footnoteRef/>
      </w:r>
      <w:r>
        <w:t xml:space="preserve"> Based on data provided in Load and Energy Forecast reports and associated attachments from Dockets 55378, 56002 &amp; 56003, and 56298 &amp; 56310. Additional citations available upon request.</w:t>
      </w:r>
    </w:p>
  </w:footnote>
  <w:footnote w:id="21">
    <w:p w14:paraId="4090125E" w14:textId="3E5BDE82" w:rsidR="006B6993" w:rsidRDefault="006B6993">
      <w:pPr>
        <w:pStyle w:val="FootnoteText"/>
      </w:pPr>
      <w:r>
        <w:rPr>
          <w:rStyle w:val="FootnoteReference"/>
        </w:rPr>
        <w:footnoteRef/>
      </w:r>
      <w:r>
        <w:t xml:space="preserve"> </w:t>
      </w:r>
      <w:r w:rsidR="004857B0">
        <w:t>Peak load reductions between forecast vintages are calculated as the difference between forecasted peak load in the B2026 and B2025 forecast. Based on data provided in Company Response to STF-PIA-11-1, TS Attachment B and data provided in Dockets 56002 &amp; 56003, Technical Appendix Volume 1, TRADE SECRET Budget 2025 Load and Energy Forecast Report, 2025 to 2044, Attachments 6.0-1, 6.0-2, &amp; 7.0-1, and associated workpapers.</w:t>
      </w:r>
    </w:p>
  </w:footnote>
  <w:footnote w:id="22">
    <w:p w14:paraId="3953448A" w14:textId="3936A691" w:rsidR="00907EDF" w:rsidRDefault="00907EDF">
      <w:pPr>
        <w:pStyle w:val="FootnoteText"/>
      </w:pPr>
      <w:r>
        <w:rPr>
          <w:rStyle w:val="FootnoteReference"/>
        </w:rPr>
        <w:footnoteRef/>
      </w:r>
      <w:r>
        <w:t xml:space="preserve"> PD Company Response to Data Request STF-PIA-9-6.</w:t>
      </w:r>
    </w:p>
  </w:footnote>
  <w:footnote w:id="23">
    <w:p w14:paraId="77A40A91" w14:textId="677802D4" w:rsidR="00907EDF" w:rsidRDefault="00907EDF">
      <w:pPr>
        <w:pStyle w:val="FootnoteText"/>
      </w:pPr>
      <w:r>
        <w:rPr>
          <w:rStyle w:val="FootnoteReference"/>
        </w:rPr>
        <w:footnoteRef/>
      </w:r>
      <w:r>
        <w:t xml:space="preserve"> </w:t>
      </w:r>
      <w:r w:rsidR="00550223">
        <w:t xml:space="preserve">Docket </w:t>
      </w:r>
      <w:r>
        <w:t>56002 &amp; 56003, Main Panel Rebuttal Testimony</w:t>
      </w:r>
      <w:r w:rsidR="004857B0">
        <w:t>, Exhibit 1.</w:t>
      </w:r>
    </w:p>
  </w:footnote>
  <w:footnote w:id="24">
    <w:p w14:paraId="170501F0" w14:textId="510A17C8" w:rsidR="00907EDF" w:rsidRDefault="00907EDF">
      <w:pPr>
        <w:pStyle w:val="FootnoteText"/>
      </w:pPr>
      <w:r>
        <w:rPr>
          <w:rStyle w:val="FootnoteReference"/>
        </w:rPr>
        <w:footnoteRef/>
      </w:r>
      <w:r>
        <w:t xml:space="preserve"> </w:t>
      </w:r>
      <w:r w:rsidR="004857B0">
        <w:t>B2026 Load Realization Model and Dockets 56002 &amp; 56003, Main Panel Rebuttal Testimony, Exhibit 1, Table 7.1.7-1.</w:t>
      </w:r>
    </w:p>
  </w:footnote>
  <w:footnote w:id="25">
    <w:p w14:paraId="0659D2E4" w14:textId="62086E23" w:rsidR="002C638D" w:rsidRDefault="002C638D">
      <w:pPr>
        <w:pStyle w:val="FootnoteText"/>
      </w:pPr>
      <w:r>
        <w:rPr>
          <w:rStyle w:val="FootnoteReference"/>
        </w:rPr>
        <w:footnoteRef/>
      </w:r>
      <w:r>
        <w:t xml:space="preserve"> PD Load and Energy Forecast Report, p. 12</w:t>
      </w:r>
    </w:p>
  </w:footnote>
  <w:footnote w:id="26">
    <w:p w14:paraId="3CF2AF01" w14:textId="6777B951" w:rsidR="002C638D" w:rsidRDefault="002C638D">
      <w:pPr>
        <w:pStyle w:val="FootnoteText"/>
      </w:pPr>
      <w:r>
        <w:rPr>
          <w:rStyle w:val="FootnoteReference"/>
        </w:rPr>
        <w:footnoteRef/>
      </w:r>
      <w:r>
        <w:t xml:space="preserve"> PD Company Response to Data Request STF-PIA-9-7.</w:t>
      </w:r>
    </w:p>
  </w:footnote>
  <w:footnote w:id="27">
    <w:p w14:paraId="29967AEF" w14:textId="0BF9D382" w:rsidR="002C638D" w:rsidRDefault="002C638D">
      <w:pPr>
        <w:pStyle w:val="FootnoteText"/>
      </w:pPr>
      <w:r>
        <w:rPr>
          <w:rStyle w:val="FootnoteReference"/>
        </w:rPr>
        <w:footnoteRef/>
      </w:r>
      <w:r>
        <w:t xml:space="preserve"> PD Load and Energy Forecast Report, p. 11</w:t>
      </w:r>
    </w:p>
  </w:footnote>
  <w:footnote w:id="28">
    <w:p w14:paraId="4C2D6BCC" w14:textId="267F9BCD" w:rsidR="002C638D" w:rsidRDefault="002C638D">
      <w:pPr>
        <w:pStyle w:val="FootnoteText"/>
      </w:pPr>
      <w:r>
        <w:rPr>
          <w:rStyle w:val="FootnoteReference"/>
        </w:rPr>
        <w:footnoteRef/>
      </w:r>
      <w:r>
        <w:t xml:space="preserve"> PD Company Response to Data Request STF-PIA-9-6.</w:t>
      </w:r>
    </w:p>
  </w:footnote>
  <w:footnote w:id="29">
    <w:p w14:paraId="3BE877D3" w14:textId="03EB2E69" w:rsidR="007D7511" w:rsidRDefault="007D7511">
      <w:pPr>
        <w:pStyle w:val="FootnoteText"/>
      </w:pPr>
      <w:r>
        <w:rPr>
          <w:rStyle w:val="FootnoteReference"/>
        </w:rPr>
        <w:footnoteRef/>
      </w:r>
      <w:r>
        <w:t xml:space="preserve"> PD Load and Energy Forecast Report, p. 10.</w:t>
      </w:r>
    </w:p>
  </w:footnote>
  <w:footnote w:id="30">
    <w:p w14:paraId="09D6C614" w14:textId="39E5AC87" w:rsidR="007D7511" w:rsidRDefault="007D7511">
      <w:pPr>
        <w:pStyle w:val="FootnoteText"/>
      </w:pPr>
      <w:r>
        <w:rPr>
          <w:rStyle w:val="FootnoteReference"/>
        </w:rPr>
        <w:footnoteRef/>
      </w:r>
      <w:r>
        <w:t xml:space="preserve"> PD Company Response to Data Request STF-PIA-9-5.</w:t>
      </w:r>
    </w:p>
  </w:footnote>
  <w:footnote w:id="31">
    <w:p w14:paraId="02904CD4" w14:textId="415D0D20" w:rsidR="00177726" w:rsidRDefault="00177726" w:rsidP="00177726">
      <w:pPr>
        <w:pStyle w:val="FootnoteText"/>
      </w:pPr>
      <w:r>
        <w:rPr>
          <w:rStyle w:val="FootnoteReference"/>
        </w:rPr>
        <w:footnoteRef/>
      </w:r>
      <w:r>
        <w:t xml:space="preserve"> </w:t>
      </w:r>
      <w:r w:rsidR="004857B0">
        <w:t>Peak load growth between forecast vintages is calculated as the difference between forecasted peak load in the B2026 and B2025 forecast. Based on data provided in Company Response to STF-PIA-11-1, TS Attachment B and data provided in Dockets 56002 &amp; 56003, Technical Appendix Volume 1, TRADE SECRET Budget 2025 Load and Energy Forecast Report, 2025 to 2044, Attachments 6.0-1, 6.0-2, &amp; 7.0-1, and associated workpapers.</w:t>
      </w:r>
    </w:p>
  </w:footnote>
  <w:footnote w:id="32">
    <w:p w14:paraId="11E181CA" w14:textId="5B250FE2" w:rsidR="006751FE" w:rsidRDefault="006751FE" w:rsidP="006751FE">
      <w:pPr>
        <w:pStyle w:val="FootnoteText"/>
      </w:pPr>
      <w:r>
        <w:rPr>
          <w:rStyle w:val="FootnoteReference"/>
        </w:rPr>
        <w:footnoteRef/>
      </w:r>
      <w:r>
        <w:t xml:space="preserve"> High percentages are driven by the relatively small Net Peak Growth between the two forecast vintages in this forecast year . </w:t>
      </w:r>
    </w:p>
  </w:footnote>
  <w:footnote w:id="33">
    <w:p w14:paraId="5407994B" w14:textId="5E311390" w:rsidR="00B40A00" w:rsidRDefault="00B40A00">
      <w:pPr>
        <w:pStyle w:val="FootnoteText"/>
      </w:pPr>
      <w:r>
        <w:rPr>
          <w:rStyle w:val="FootnoteReference"/>
        </w:rPr>
        <w:footnoteRef/>
      </w:r>
      <w:r>
        <w:t xml:space="preserve"> PD Q1 2025 Large Load Report Attachment and PD Q2 Large Load Report Attachment.</w:t>
      </w:r>
    </w:p>
  </w:footnote>
  <w:footnote w:id="34">
    <w:p w14:paraId="01FA3D6E" w14:textId="6136F34B" w:rsidR="00FB66E4" w:rsidRDefault="00FB66E4">
      <w:pPr>
        <w:pStyle w:val="FootnoteText"/>
      </w:pPr>
      <w:r>
        <w:rPr>
          <w:rStyle w:val="FootnoteReference"/>
        </w:rPr>
        <w:footnoteRef/>
      </w:r>
      <w:r>
        <w:t xml:space="preserve"> </w:t>
      </w:r>
      <w:r w:rsidR="004857B0">
        <w:t>Direct Testimony of Fransico Valle, p</w:t>
      </w:r>
      <w:r w:rsidR="006F567F">
        <w:t>.</w:t>
      </w:r>
      <w:r w:rsidR="004857B0">
        <w:t xml:space="preserve"> 9, line 9.</w:t>
      </w:r>
    </w:p>
  </w:footnote>
  <w:footnote w:id="35">
    <w:p w14:paraId="310ACAA2" w14:textId="6931072C" w:rsidR="00DA3CE7" w:rsidRDefault="00DA3CE7">
      <w:pPr>
        <w:pStyle w:val="FootnoteText"/>
      </w:pPr>
      <w:r>
        <w:rPr>
          <w:rStyle w:val="FootnoteReference"/>
        </w:rPr>
        <w:footnoteRef/>
      </w:r>
      <w:r>
        <w:t xml:space="preserve"> Company Response to Data Request STF-5-18, TS Attachment.</w:t>
      </w:r>
    </w:p>
  </w:footnote>
  <w:footnote w:id="36">
    <w:p w14:paraId="01E08386" w14:textId="6D454175" w:rsidR="006751FE" w:rsidRDefault="006751FE" w:rsidP="006751FE">
      <w:pPr>
        <w:pStyle w:val="FootnoteText"/>
      </w:pPr>
      <w:r>
        <w:rPr>
          <w:rStyle w:val="FootnoteReference"/>
        </w:rPr>
        <w:footnoteRef/>
      </w:r>
      <w:r>
        <w:t xml:space="preserve"> Based on data provided in multiple vintages of the Company’s Load Realization Model: 2023 IRP Update LRM, B2025 LRM, February 2025 LRM Sensitivity, and B2026 LRM.</w:t>
      </w:r>
    </w:p>
  </w:footnote>
  <w:footnote w:id="37">
    <w:p w14:paraId="0DCD191D" w14:textId="77777777" w:rsidR="008A4606" w:rsidRDefault="008A4606" w:rsidP="008A4606">
      <w:pPr>
        <w:pStyle w:val="FootnoteText"/>
      </w:pPr>
      <w:r>
        <w:rPr>
          <w:rStyle w:val="FootnoteReference"/>
        </w:rPr>
        <w:footnoteRef/>
      </w:r>
      <w:r>
        <w:t xml:space="preserve"> Docket 55378, 2023 IRP Update Load and Energy Forecast Report, p. 20, Table 1.5.2.3-1</w:t>
      </w:r>
    </w:p>
  </w:footnote>
  <w:footnote w:id="38">
    <w:p w14:paraId="5708FEA5" w14:textId="77777777" w:rsidR="008A4606" w:rsidRDefault="008A4606" w:rsidP="008A4606">
      <w:pPr>
        <w:pStyle w:val="FootnoteText"/>
      </w:pPr>
      <w:r>
        <w:rPr>
          <w:rStyle w:val="FootnoteReference"/>
        </w:rPr>
        <w:footnoteRef/>
      </w:r>
      <w:r>
        <w:t xml:space="preserve"> Based on data provided in the B2025 Load Realization Model and data in Dockets 56002 &amp; 56003, Direct Testimony of Trokey-Drugan-Pol, p. 50, Table 16.</w:t>
      </w:r>
    </w:p>
  </w:footnote>
  <w:footnote w:id="39">
    <w:p w14:paraId="674D523A" w14:textId="77777777" w:rsidR="008A4606" w:rsidRDefault="008A4606" w:rsidP="008A4606">
      <w:pPr>
        <w:pStyle w:val="FootnoteText"/>
      </w:pPr>
      <w:r>
        <w:rPr>
          <w:rStyle w:val="FootnoteReference"/>
        </w:rPr>
        <w:footnoteRef/>
      </w:r>
      <w:r>
        <w:t xml:space="preserve"> B2026 Load Realization Model and Dockets 56002 &amp; 56003, Main Panel Rebuttal Testimony, Exhibit 1, Table 7.2.1.</w:t>
      </w:r>
    </w:p>
  </w:footnote>
  <w:footnote w:id="40">
    <w:p w14:paraId="5EDADF6C" w14:textId="77777777" w:rsidR="008A4606" w:rsidRDefault="008A4606" w:rsidP="008A4606">
      <w:pPr>
        <w:pStyle w:val="FootnoteText"/>
      </w:pPr>
      <w:r>
        <w:rPr>
          <w:rStyle w:val="FootnoteReference"/>
        </w:rPr>
        <w:footnoteRef/>
      </w:r>
      <w:r>
        <w:t xml:space="preserve"> TS B2026 Load and Energy Report, p. 28, Table 1.5.2.3-1.</w:t>
      </w:r>
    </w:p>
  </w:footnote>
  <w:footnote w:id="41">
    <w:p w14:paraId="7126FA45" w14:textId="197F4684" w:rsidR="006751FE" w:rsidRDefault="006751FE" w:rsidP="006751FE">
      <w:pPr>
        <w:pStyle w:val="FootnoteText"/>
      </w:pPr>
      <w:r>
        <w:rPr>
          <w:rStyle w:val="FootnoteReference"/>
        </w:rPr>
        <w:footnoteRef/>
      </w:r>
      <w:r>
        <w:t xml:space="preserve"> Company Response to Data Request</w:t>
      </w:r>
      <w:r w:rsidDel="006F567F">
        <w:t xml:space="preserve"> </w:t>
      </w:r>
      <w:r>
        <w:t>STF-PIA-5-18, TS Attachment.</w:t>
      </w:r>
    </w:p>
  </w:footnote>
  <w:footnote w:id="42">
    <w:p w14:paraId="59813A14" w14:textId="7FE2117D" w:rsidR="00545422" w:rsidRDefault="00545422">
      <w:pPr>
        <w:pStyle w:val="FootnoteText"/>
      </w:pPr>
      <w:r>
        <w:rPr>
          <w:rStyle w:val="FootnoteReference"/>
        </w:rPr>
        <w:footnoteRef/>
      </w:r>
      <w:r>
        <w:t xml:space="preserve"> Dockets 56002 &amp; 56003, Direct Testimony Trokey-Drugan-Pol, p. 60, Table 23.</w:t>
      </w:r>
    </w:p>
  </w:footnote>
  <w:footnote w:id="43">
    <w:p w14:paraId="5CD11FEB" w14:textId="021168BE" w:rsidR="00CE6B3E" w:rsidRDefault="00CE6B3E">
      <w:pPr>
        <w:pStyle w:val="FootnoteText"/>
      </w:pPr>
      <w:r>
        <w:rPr>
          <w:rStyle w:val="FootnoteReference"/>
        </w:rPr>
        <w:footnoteRef/>
      </w:r>
      <w:r>
        <w:t xml:space="preserve"> B2026 L</w:t>
      </w:r>
      <w:r w:rsidR="00976A82">
        <w:t>oad Realization Model.</w:t>
      </w:r>
    </w:p>
  </w:footnote>
  <w:footnote w:id="44">
    <w:p w14:paraId="1F5208D3" w14:textId="42C0F0D9" w:rsidR="0036730B" w:rsidRDefault="0036730B" w:rsidP="0036730B">
      <w:pPr>
        <w:pStyle w:val="FootnoteText"/>
      </w:pPr>
      <w:r>
        <w:rPr>
          <w:rStyle w:val="FootnoteReference"/>
        </w:rPr>
        <w:footnoteRef/>
      </w:r>
      <w:r>
        <w:t xml:space="preserve"> Based on data provided in Company Response to Data Request STF-PIA-5-18 TS Attachment</w:t>
      </w:r>
    </w:p>
  </w:footnote>
  <w:footnote w:id="45">
    <w:p w14:paraId="749209BD" w14:textId="77777777" w:rsidR="0036730B" w:rsidRDefault="0036730B" w:rsidP="0036730B">
      <w:pPr>
        <w:pStyle w:val="FootnoteText"/>
      </w:pPr>
      <w:r>
        <w:rPr>
          <w:rStyle w:val="FootnoteReference"/>
        </w:rPr>
        <w:footnoteRef/>
      </w:r>
      <w:r>
        <w:t xml:space="preserve"> Based on data provided in multiple vintages of the Company’s Load Realization Model: 2023 IRP Update LRM, B2025 LRM, February 2025 LRM Sensitivity, and B2026 LRM. </w:t>
      </w:r>
    </w:p>
  </w:footnote>
  <w:footnote w:id="46">
    <w:p w14:paraId="2DDC12BA" w14:textId="7EE485D3" w:rsidR="00334158" w:rsidRDefault="00334158" w:rsidP="00334158">
      <w:pPr>
        <w:pStyle w:val="FootnoteText"/>
      </w:pPr>
      <w:r>
        <w:rPr>
          <w:rStyle w:val="FootnoteReference"/>
        </w:rPr>
        <w:footnoteRef/>
      </w:r>
      <w:r>
        <w:t xml:space="preserve"> Refers to projects that were expected to be in operation for forecast year 2025, but do not show any operating load. Based on data provided in the B2026 Load Realization Model and Company Response to Data Request STF-PIA-18, TS Attachment.</w:t>
      </w:r>
    </w:p>
  </w:footnote>
  <w:footnote w:id="47">
    <w:p w14:paraId="75AFCCC6" w14:textId="51AA8171" w:rsidR="0036465A" w:rsidRDefault="0036465A">
      <w:pPr>
        <w:pStyle w:val="FootnoteText"/>
      </w:pPr>
      <w:r>
        <w:rPr>
          <w:rStyle w:val="FootnoteReference"/>
        </w:rPr>
        <w:footnoteRef/>
      </w:r>
      <w:r>
        <w:t xml:space="preserve"> B2026 L</w:t>
      </w:r>
      <w:r w:rsidR="00976A82">
        <w:t xml:space="preserve">oad </w:t>
      </w:r>
      <w:r>
        <w:t>R</w:t>
      </w:r>
      <w:r w:rsidR="00976A82">
        <w:t xml:space="preserve">ealization </w:t>
      </w:r>
      <w:r>
        <w:t>M</w:t>
      </w:r>
      <w:r w:rsidR="00976A82">
        <w:t>odel</w:t>
      </w:r>
      <w:r>
        <w:t>.</w:t>
      </w:r>
    </w:p>
  </w:footnote>
  <w:footnote w:id="48">
    <w:p w14:paraId="2A2AF93D" w14:textId="58CB1A96" w:rsidR="003A6DB4" w:rsidRDefault="003A6DB4">
      <w:pPr>
        <w:pStyle w:val="FootnoteText"/>
      </w:pPr>
      <w:r>
        <w:rPr>
          <w:rStyle w:val="FootnoteReference"/>
        </w:rPr>
        <w:footnoteRef/>
      </w:r>
      <w:r>
        <w:t xml:space="preserve"> A total of 60 projects have been removed since the 2023 IRP Update, representing a cumulative ~17,302 MW of announced load, based on reported load in the quarter prior to removal. Specific load calculations may vary depending on the vintage of the data source as projects may have altered load expectations between quarterly reports. Based on data retrieved from multiple vintages of Quarterly Large Load Economic Development Reports.</w:t>
      </w:r>
    </w:p>
  </w:footnote>
  <w:footnote w:id="49">
    <w:p w14:paraId="55493EE8" w14:textId="1C773559" w:rsidR="00EB11E3" w:rsidRDefault="00EB11E3">
      <w:pPr>
        <w:pStyle w:val="FootnoteText"/>
      </w:pPr>
      <w:r>
        <w:rPr>
          <w:rStyle w:val="FootnoteReference"/>
        </w:rPr>
        <w:footnoteRef/>
      </w:r>
      <w:r>
        <w:t xml:space="preserve"> Q1 2024 removals of 14 data center projects were split across Q4 2023 and Q1 2024 evenly, as a quarterly report was not provided for Q4 2023.</w:t>
      </w:r>
    </w:p>
  </w:footnote>
  <w:footnote w:id="50">
    <w:p w14:paraId="645FE923" w14:textId="5D088FDB" w:rsidR="009126C7" w:rsidRDefault="009126C7">
      <w:pPr>
        <w:pStyle w:val="FootnoteText"/>
      </w:pPr>
      <w:r>
        <w:rPr>
          <w:rStyle w:val="FootnoteReference"/>
        </w:rPr>
        <w:footnoteRef/>
      </w:r>
      <w:r>
        <w:t xml:space="preserve"> B2026 L</w:t>
      </w:r>
      <w:r w:rsidR="00976A82">
        <w:t xml:space="preserve">oad </w:t>
      </w:r>
      <w:r>
        <w:t>R</w:t>
      </w:r>
      <w:r w:rsidR="00976A82">
        <w:t xml:space="preserve">ealization </w:t>
      </w:r>
      <w:r>
        <w:t>M</w:t>
      </w:r>
      <w:r w:rsidR="00976A82">
        <w:t>odel</w:t>
      </w:r>
      <w:r>
        <w:t>.</w:t>
      </w:r>
    </w:p>
  </w:footnote>
  <w:footnote w:id="51">
    <w:p w14:paraId="701C0F60" w14:textId="359281BF" w:rsidR="009126C7" w:rsidRDefault="009126C7">
      <w:pPr>
        <w:pStyle w:val="FootnoteText"/>
      </w:pPr>
      <w:r>
        <w:rPr>
          <w:rStyle w:val="FootnoteReference"/>
        </w:rPr>
        <w:footnoteRef/>
      </w:r>
      <w:r>
        <w:t xml:space="preserve"> Based on data provided in multiple </w:t>
      </w:r>
      <w:r w:rsidR="00976A82">
        <w:t>Q</w:t>
      </w:r>
      <w:r>
        <w:t xml:space="preserve">uarterly </w:t>
      </w:r>
      <w:r w:rsidR="00976A82">
        <w:t>Large L</w:t>
      </w:r>
      <w:r>
        <w:t xml:space="preserve">oad </w:t>
      </w:r>
      <w:r w:rsidR="00976A82">
        <w:t>Economic D</w:t>
      </w:r>
      <w:r>
        <w:t xml:space="preserve">evelopment </w:t>
      </w:r>
      <w:r w:rsidR="00976A82">
        <w:t>R</w:t>
      </w:r>
      <w:r>
        <w:t>eports</w:t>
      </w:r>
      <w:r w:rsidR="00976A82">
        <w:t xml:space="preserve"> and associated attachments.</w:t>
      </w:r>
    </w:p>
  </w:footnote>
  <w:footnote w:id="52">
    <w:p w14:paraId="65C8DDFF" w14:textId="1FEEFD6B" w:rsidR="00D837AE" w:rsidRDefault="00D837AE" w:rsidP="00D837AE">
      <w:pPr>
        <w:pStyle w:val="FootnoteText"/>
      </w:pPr>
      <w:r>
        <w:rPr>
          <w:rStyle w:val="FootnoteReference"/>
        </w:rPr>
        <w:footnoteRef/>
      </w:r>
      <w:r>
        <w:t xml:space="preserve"> Based on data provided in </w:t>
      </w:r>
      <w:r w:rsidR="00EB11E3">
        <w:t>multiple Quarterly Large Load Economic Development Reports and associated attachments.</w:t>
      </w:r>
    </w:p>
  </w:footnote>
  <w:footnote w:id="53">
    <w:p w14:paraId="29B35B79" w14:textId="3B747B34" w:rsidR="00CE6B3E" w:rsidRDefault="00CE6B3E">
      <w:pPr>
        <w:pStyle w:val="FootnoteText"/>
      </w:pPr>
      <w:r>
        <w:rPr>
          <w:rStyle w:val="FootnoteReference"/>
        </w:rPr>
        <w:footnoteRef/>
      </w:r>
      <w:r>
        <w:t xml:space="preserve"> Company Responses to Data Request STF-PIA-12-2, STF-PIA-12-3, and STF-PIA-12-4</w:t>
      </w:r>
    </w:p>
  </w:footnote>
  <w:footnote w:id="54">
    <w:p w14:paraId="360C5FA2" w14:textId="58039741" w:rsidR="00026E8C" w:rsidRDefault="00026E8C" w:rsidP="0040134E">
      <w:pPr>
        <w:pStyle w:val="FootnoteText"/>
        <w:jc w:val="left"/>
      </w:pPr>
      <w:r>
        <w:rPr>
          <w:rStyle w:val="FootnoteReference"/>
        </w:rPr>
        <w:footnoteRef/>
      </w:r>
      <w:r>
        <w:t xml:space="preserve"> </w:t>
      </w:r>
      <w:r w:rsidRPr="00026E8C">
        <w:t xml:space="preserve">Nicholas Institute for Energy, Environment, &amp; Sustainability, </w:t>
      </w:r>
      <w:r w:rsidRPr="00026E8C">
        <w:rPr>
          <w:i/>
          <w:iCs/>
        </w:rPr>
        <w:t>Rethinking Load Growth: Assessing the Potential for Integration of Large Flexible Load in US Power System</w:t>
      </w:r>
      <w:r w:rsidRPr="00026E8C">
        <w:t xml:space="preserve">, p. 19, Figure 19 </w:t>
      </w:r>
      <w:r w:rsidRPr="00026E8C">
        <w:rPr>
          <w:i/>
          <w:iCs/>
        </w:rPr>
        <w:t xml:space="preserve">- </w:t>
      </w:r>
      <w:r w:rsidRPr="00026E8C">
        <w:t xml:space="preserve">https://nicholasinstitute.duke.edu/sites/default/files/publications/rethinking-load-growth.pdf#page=8&amp;zoom=100,94,93  </w:t>
      </w:r>
    </w:p>
  </w:footnote>
  <w:footnote w:id="55">
    <w:p w14:paraId="4DD9126B" w14:textId="02B16D0A" w:rsidR="00CA2D42" w:rsidRDefault="00CA2D42">
      <w:pPr>
        <w:pStyle w:val="FootnoteText"/>
      </w:pPr>
      <w:r>
        <w:rPr>
          <w:rStyle w:val="FootnoteReference"/>
        </w:rPr>
        <w:footnoteRef/>
      </w:r>
      <w:r>
        <w:t xml:space="preserve"> </w:t>
      </w:r>
      <w:r w:rsidR="006F567F">
        <w:rPr>
          <w:i/>
          <w:iCs/>
        </w:rPr>
        <w:t>Id</w:t>
      </w:r>
      <w:r w:rsidR="006F567F">
        <w:t>,</w:t>
      </w:r>
      <w:r>
        <w:t xml:space="preserve"> </w:t>
      </w:r>
      <w:r w:rsidR="00A50E8A">
        <w:t>Figure 1</w:t>
      </w:r>
      <w:r w:rsidR="00E414EF">
        <w:t xml:space="preserve">, </w:t>
      </w:r>
      <w:r w:rsidRPr="00CA2D42">
        <w:t>System Headroom Enabled by Load Curtailment of New Load by Balancing Authority</w:t>
      </w:r>
      <w:r w:rsidR="0044346E">
        <w:t xml:space="preserve">, p. </w:t>
      </w:r>
      <w:r w:rsidR="000E5D0F">
        <w:t>4</w:t>
      </w:r>
    </w:p>
  </w:footnote>
  <w:footnote w:id="56">
    <w:p w14:paraId="50B43CAC" w14:textId="505CF628" w:rsidR="00D85F8C" w:rsidRPr="0040134E" w:rsidRDefault="00D85F8C">
      <w:pPr>
        <w:pStyle w:val="FootnoteText"/>
        <w:rPr>
          <w:i/>
          <w:iCs/>
        </w:rPr>
      </w:pPr>
      <w:r>
        <w:rPr>
          <w:rStyle w:val="FootnoteReference"/>
        </w:rPr>
        <w:footnoteRef/>
      </w:r>
      <w:r>
        <w:t xml:space="preserve"> Garrett Hering, S&amp;P Global, (October 2025), </w:t>
      </w:r>
      <w:r>
        <w:rPr>
          <w:i/>
          <w:iCs/>
        </w:rPr>
        <w:t>‘Power-flexible’ AI data center unveiled in Virginia, touted as template</w:t>
      </w:r>
    </w:p>
  </w:footnote>
  <w:footnote w:id="57">
    <w:p w14:paraId="3E78A747" w14:textId="34628C43" w:rsidR="00D85F8C" w:rsidRDefault="00D85F8C">
      <w:pPr>
        <w:pStyle w:val="FootnoteText"/>
      </w:pPr>
      <w:r>
        <w:rPr>
          <w:rStyle w:val="FootnoteReference"/>
        </w:rPr>
        <w:footnoteRef/>
      </w:r>
      <w:r>
        <w:t xml:space="preserve"> </w:t>
      </w:r>
      <w:r w:rsidRPr="00D85F8C">
        <w:t>Dockets 56002 &amp; 56003, Day 3 Hearing Transcript, p. 0115, lines 1-3</w:t>
      </w:r>
      <w:r w:rsidR="00550223" w:rsidRPr="00D85F8C">
        <w:t xml:space="preserve">. </w:t>
      </w:r>
    </w:p>
  </w:footnote>
  <w:footnote w:id="58">
    <w:p w14:paraId="5D92BE82" w14:textId="366D4CD9" w:rsidR="00D85F8C" w:rsidRPr="00D85F8C" w:rsidRDefault="00D85F8C" w:rsidP="0040134E">
      <w:pPr>
        <w:pStyle w:val="FootnoteText"/>
        <w:jc w:val="left"/>
      </w:pPr>
      <w:r>
        <w:rPr>
          <w:rStyle w:val="FootnoteReference"/>
        </w:rPr>
        <w:footnoteRef/>
      </w:r>
      <w:r>
        <w:t xml:space="preserve"> EPRI (October 2024), </w:t>
      </w:r>
      <w:r>
        <w:rPr>
          <w:i/>
          <w:iCs/>
        </w:rPr>
        <w:t>EPRI Launches Initiative to Enhance Data Center Flexibility and Grid Reliability</w:t>
      </w:r>
      <w:r>
        <w:t xml:space="preserve"> - </w:t>
      </w:r>
      <w:hyperlink r:id="rId1" w:history="1">
        <w:r w:rsidRPr="00BD0B69">
          <w:rPr>
            <w:rStyle w:val="Hyperlink"/>
          </w:rPr>
          <w:t>https://www.epri.com/about/media-resources/press-release/yimzjv2xnv9cqiztau1zxbedletwyqk1</w:t>
        </w:r>
      </w:hyperlink>
      <w:r>
        <w:t xml:space="preserve"> </w:t>
      </w:r>
    </w:p>
  </w:footnote>
  <w:footnote w:id="59">
    <w:p w14:paraId="18125B88" w14:textId="757F8347" w:rsidR="008937FD" w:rsidRDefault="008937FD">
      <w:pPr>
        <w:pStyle w:val="FootnoteText"/>
      </w:pPr>
      <w:r>
        <w:rPr>
          <w:rStyle w:val="FootnoteReference"/>
        </w:rPr>
        <w:footnoteRef/>
      </w:r>
      <w:r>
        <w:t xml:space="preserve"> Company </w:t>
      </w:r>
      <w:r w:rsidR="006F567F">
        <w:t>R</w:t>
      </w:r>
      <w:r>
        <w:t xml:space="preserve">esponse to </w:t>
      </w:r>
      <w:r w:rsidR="006F567F">
        <w:t>Data Request</w:t>
      </w:r>
      <w:r w:rsidR="006F567F" w:rsidDel="006F567F">
        <w:t xml:space="preserve"> </w:t>
      </w:r>
      <w:r>
        <w:t>STF-PIA-8-8.</w:t>
      </w:r>
    </w:p>
  </w:footnote>
  <w:footnote w:id="60">
    <w:p w14:paraId="0315A8D1" w14:textId="16F298D6" w:rsidR="008937FD" w:rsidRDefault="008937FD">
      <w:pPr>
        <w:pStyle w:val="FootnoteText"/>
      </w:pPr>
      <w:r>
        <w:rPr>
          <w:rStyle w:val="FootnoteReference"/>
        </w:rPr>
        <w:footnoteRef/>
      </w:r>
      <w:r>
        <w:t xml:space="preserve"> Company </w:t>
      </w:r>
      <w:r w:rsidR="006F567F">
        <w:t>R</w:t>
      </w:r>
      <w:r>
        <w:t xml:space="preserve">esponse to </w:t>
      </w:r>
      <w:r w:rsidR="006F567F">
        <w:t>Data Request</w:t>
      </w:r>
      <w:r w:rsidR="006F567F" w:rsidDel="006F567F">
        <w:t xml:space="preserve"> </w:t>
      </w:r>
      <w:r>
        <w:t>STF-PIA-5-14.</w:t>
      </w:r>
    </w:p>
  </w:footnote>
  <w:footnote w:id="61">
    <w:p w14:paraId="275323BE" w14:textId="1B4F4197" w:rsidR="008937FD" w:rsidRPr="0040134E" w:rsidRDefault="008937FD">
      <w:pPr>
        <w:pStyle w:val="FootnoteText"/>
        <w:rPr>
          <w:i/>
          <w:iCs/>
        </w:rPr>
      </w:pPr>
      <w:r>
        <w:rPr>
          <w:rStyle w:val="FootnoteReference"/>
        </w:rPr>
        <w:footnoteRef/>
      </w:r>
      <w:r>
        <w:t xml:space="preserve"> </w:t>
      </w:r>
      <w:r>
        <w:rPr>
          <w:i/>
          <w:iCs/>
        </w:rPr>
        <w:t>Id.</w:t>
      </w:r>
    </w:p>
  </w:footnote>
  <w:footnote w:id="62">
    <w:p w14:paraId="328FA57A" w14:textId="1911DC7F" w:rsidR="0044351D" w:rsidRDefault="0044351D">
      <w:pPr>
        <w:pStyle w:val="FootnoteText"/>
      </w:pPr>
      <w:r>
        <w:rPr>
          <w:rStyle w:val="FootnoteReference"/>
        </w:rPr>
        <w:footnoteRef/>
      </w:r>
      <w:r>
        <w:t xml:space="preserve"> The P1 value reflects the probability that a project selects Georgia as its intended site for operation.</w:t>
      </w:r>
    </w:p>
  </w:footnote>
  <w:footnote w:id="63">
    <w:p w14:paraId="0F7160EF" w14:textId="6A92B821" w:rsidR="00263297" w:rsidRDefault="00263297">
      <w:pPr>
        <w:pStyle w:val="FootnoteText"/>
      </w:pPr>
      <w:r>
        <w:rPr>
          <w:rStyle w:val="FootnoteReference"/>
        </w:rPr>
        <w:footnoteRef/>
      </w:r>
      <w:r>
        <w:t xml:space="preserve"> </w:t>
      </w:r>
      <w:r w:rsidR="006F567F">
        <w:t>B2026 Load and Energy Forecast Report, p. 28, Table 1.5.2.3-1.</w:t>
      </w:r>
    </w:p>
  </w:footnote>
  <w:footnote w:id="64">
    <w:p w14:paraId="7D468889" w14:textId="73DDF8A5" w:rsidR="00E14FD2" w:rsidRPr="009212B0" w:rsidRDefault="00E14FD2" w:rsidP="00E14FD2">
      <w:pPr>
        <w:rPr>
          <w:rFonts w:eastAsia="Times New Roman"/>
          <w:sz w:val="20"/>
          <w:szCs w:val="20"/>
        </w:rPr>
      </w:pPr>
      <w:r>
        <w:rPr>
          <w:rStyle w:val="FootnoteReference"/>
        </w:rPr>
        <w:footnoteRef/>
      </w:r>
      <w:r>
        <w:t xml:space="preserve"> </w:t>
      </w:r>
      <w:r w:rsidRPr="2DAA9CBD">
        <w:rPr>
          <w:rFonts w:eastAsia="Times New Roman"/>
          <w:sz w:val="20"/>
          <w:szCs w:val="20"/>
        </w:rPr>
        <w:t>Even the new contracts are not completely risk free for existing customers</w:t>
      </w:r>
      <w:r w:rsidR="00550223" w:rsidRPr="2DAA9CBD">
        <w:rPr>
          <w:rFonts w:eastAsia="Times New Roman"/>
          <w:sz w:val="20"/>
          <w:szCs w:val="20"/>
        </w:rPr>
        <w:t xml:space="preserve">. </w:t>
      </w:r>
      <w:r w:rsidRPr="2DAA9CBD">
        <w:rPr>
          <w:rFonts w:eastAsia="Times New Roman"/>
          <w:sz w:val="20"/>
          <w:szCs w:val="20"/>
        </w:rPr>
        <w:t>If a large load customer terminates its contract before the end of the term and the Company is not be able to recover the incremental costs of the new generation from large load customers even after attempts to mitigate the generation costs, it could still seek it from other customers</w:t>
      </w:r>
      <w:r w:rsidR="00550223" w:rsidRPr="2DAA9CBD">
        <w:rPr>
          <w:rFonts w:eastAsia="Times New Roman"/>
          <w:sz w:val="20"/>
          <w:szCs w:val="20"/>
        </w:rPr>
        <w:t xml:space="preserve">. </w:t>
      </w:r>
      <w:r w:rsidRPr="2DAA9CBD">
        <w:rPr>
          <w:rFonts w:eastAsia="Times New Roman"/>
          <w:sz w:val="20"/>
          <w:szCs w:val="20"/>
        </w:rPr>
        <w:t>However, the Commission would have the authority to deny the request. [</w:t>
      </w:r>
      <w:r w:rsidR="00960070">
        <w:rPr>
          <w:rFonts w:eastAsia="Times New Roman"/>
          <w:sz w:val="20"/>
          <w:szCs w:val="20"/>
        </w:rPr>
        <w:t xml:space="preserve">Docket No. 44280, </w:t>
      </w:r>
      <w:r w:rsidR="00BD119F" w:rsidRPr="00BD119F">
        <w:rPr>
          <w:rFonts w:eastAsia="Times New Roman"/>
          <w:sz w:val="20"/>
          <w:szCs w:val="20"/>
        </w:rPr>
        <w:t>Joint Statement of Georgia Public Service Commission Staff and Georgia Power Regarding Large Load Contract,</w:t>
      </w:r>
      <w:r w:rsidR="00327330">
        <w:rPr>
          <w:rFonts w:eastAsia="Times New Roman"/>
          <w:sz w:val="20"/>
          <w:szCs w:val="20"/>
        </w:rPr>
        <w:t xml:space="preserve"> filed October 9, 2025</w:t>
      </w:r>
      <w:r w:rsidRPr="2DAA9CBD">
        <w:rPr>
          <w:rFonts w:eastAsia="Times New Roman"/>
          <w:sz w:val="20"/>
          <w:szCs w:val="20"/>
        </w:rPr>
        <w:t>.]</w:t>
      </w:r>
    </w:p>
  </w:footnote>
  <w:footnote w:id="65">
    <w:p w14:paraId="2F8EF6B6" w14:textId="2598C6E8" w:rsidR="009F48EA" w:rsidRDefault="009F48EA">
      <w:pPr>
        <w:pStyle w:val="FootnoteText"/>
      </w:pPr>
      <w:r>
        <w:rPr>
          <w:rStyle w:val="FootnoteReference"/>
        </w:rPr>
        <w:footnoteRef/>
      </w:r>
      <w:r>
        <w:t xml:space="preserve"> </w:t>
      </w:r>
      <w:r w:rsidR="00664B3E">
        <w:t>Based on data provided in Demonstrative Exhibit GPC-11</w:t>
      </w:r>
      <w:r w:rsidR="00E13140">
        <w:t xml:space="preserve">, Company Response to </w:t>
      </w:r>
      <w:r w:rsidR="006F567F">
        <w:t xml:space="preserve">Data Request </w:t>
      </w:r>
      <w:r w:rsidR="00E13140">
        <w:t>STF-PIA-11-1 Attachment C,</w:t>
      </w:r>
      <w:r w:rsidR="00664B3E">
        <w:t xml:space="preserve"> Filed contracts under the new rules and regulations</w:t>
      </w:r>
      <w:r w:rsidR="005E4CED">
        <w:t xml:space="preserve">, and Staff’s proposed Scenario 1 Load and Resource Balance Position (in the </w:t>
      </w:r>
      <w:r w:rsidR="00DF5880">
        <w:t>Direct T</w:t>
      </w:r>
      <w:r w:rsidR="005E4CED">
        <w:t>estimony of Hayett, Newsome, and Wellborn)</w:t>
      </w:r>
      <w:r w:rsidR="00664B3E">
        <w:t>.</w:t>
      </w:r>
    </w:p>
  </w:footnote>
  <w:footnote w:id="66">
    <w:p w14:paraId="2C5F91CD" w14:textId="1352B133" w:rsidR="00BF3768" w:rsidRDefault="00BF3768">
      <w:pPr>
        <w:pStyle w:val="FootnoteText"/>
      </w:pPr>
      <w:r>
        <w:rPr>
          <w:rStyle w:val="FootnoteReference"/>
        </w:rPr>
        <w:footnoteRef/>
      </w:r>
      <w:r>
        <w:t xml:space="preserve"> </w:t>
      </w:r>
      <w:r w:rsidR="00E13140">
        <w:t xml:space="preserve"> “…if [the] Commission does not certify one or more of the resources sought for certification… the Company would seek recovery of any pre-construction costs incurred that are not useful or transferable…[S]uch costs would include reservation fees for long lead time equipment and coping and engineering study costs associated with the projects…” Direct Testimony of Curylo, Grubb, and Looney, p. 28, lines 4-14.</w:t>
      </w:r>
    </w:p>
  </w:footnote>
  <w:footnote w:id="67">
    <w:p w14:paraId="142D13E7" w14:textId="15A1E9FA" w:rsidR="0093280A" w:rsidRDefault="0093280A">
      <w:pPr>
        <w:pStyle w:val="FootnoteText"/>
      </w:pPr>
      <w:r>
        <w:rPr>
          <w:rStyle w:val="FootnoteReference"/>
        </w:rPr>
        <w:footnoteRef/>
      </w:r>
      <w:r>
        <w:t xml:space="preserve"> Company Response to </w:t>
      </w:r>
      <w:r w:rsidR="006F567F">
        <w:t xml:space="preserve">Data Request </w:t>
      </w:r>
      <w:r>
        <w:t>STF-PIA-5-1.</w:t>
      </w:r>
    </w:p>
  </w:footnote>
  <w:footnote w:id="68">
    <w:p w14:paraId="27AB1A7C" w14:textId="0ADEC13A" w:rsidR="0093280A" w:rsidRDefault="0093280A">
      <w:pPr>
        <w:pStyle w:val="FootnoteText"/>
      </w:pPr>
      <w:r>
        <w:rPr>
          <w:rStyle w:val="FootnoteReference"/>
        </w:rPr>
        <w:footnoteRef/>
      </w:r>
      <w:r>
        <w:t xml:space="preserve"> Company Response to </w:t>
      </w:r>
      <w:r w:rsidR="006F567F">
        <w:t xml:space="preserve">Data Request </w:t>
      </w:r>
      <w:r>
        <w:t>STF-PIA-5-5.</w:t>
      </w:r>
    </w:p>
  </w:footnote>
  <w:footnote w:id="69">
    <w:p w14:paraId="134BD143" w14:textId="6664A9CC" w:rsidR="0093280A" w:rsidRDefault="0093280A">
      <w:pPr>
        <w:pStyle w:val="FootnoteText"/>
      </w:pPr>
      <w:r>
        <w:rPr>
          <w:rStyle w:val="FootnoteReference"/>
        </w:rPr>
        <w:footnoteRef/>
      </w:r>
      <w:r>
        <w:t xml:space="preserve"> Company Response to </w:t>
      </w:r>
      <w:r w:rsidR="006F567F">
        <w:t>Data Request</w:t>
      </w:r>
      <w:r w:rsidR="00664B3E">
        <w:t xml:space="preserve"> </w:t>
      </w:r>
      <w:r>
        <w:t>STF-PIA-5-2.</w:t>
      </w:r>
    </w:p>
  </w:footnote>
  <w:footnote w:id="70">
    <w:p w14:paraId="35B634B5" w14:textId="5E39E2CC" w:rsidR="0093280A" w:rsidRDefault="0093280A">
      <w:pPr>
        <w:pStyle w:val="FootnoteText"/>
      </w:pPr>
      <w:r>
        <w:rPr>
          <w:rStyle w:val="FootnoteReference"/>
        </w:rPr>
        <w:footnoteRef/>
      </w:r>
      <w:r>
        <w:t xml:space="preserve"> D</w:t>
      </w:r>
      <w:r w:rsidR="00664B3E">
        <w:t>oc</w:t>
      </w:r>
      <w:r>
        <w:t>k</w:t>
      </w:r>
      <w:r w:rsidR="00664B3E">
        <w:t>e</w:t>
      </w:r>
      <w:r>
        <w:t xml:space="preserve">t 56002 &amp;56003, Main Panel Rebuttal Testimony, </w:t>
      </w:r>
      <w:r w:rsidR="00123161">
        <w:t>Exhibit 1, Section 7.1.5</w:t>
      </w:r>
      <w:r w:rsidR="006F567F">
        <w:t>.</w:t>
      </w:r>
    </w:p>
  </w:footnote>
  <w:footnote w:id="71">
    <w:p w14:paraId="53954C1F" w14:textId="3ED2E0C2" w:rsidR="00123161" w:rsidRDefault="00123161">
      <w:pPr>
        <w:pStyle w:val="FootnoteText"/>
      </w:pPr>
      <w:r>
        <w:rPr>
          <w:rStyle w:val="FootnoteReference"/>
        </w:rPr>
        <w:footnoteRef/>
      </w:r>
      <w:r>
        <w:t xml:space="preserve"> Based on data </w:t>
      </w:r>
      <w:r w:rsidR="00664B3E">
        <w:t xml:space="preserve">provided </w:t>
      </w:r>
      <w:r>
        <w:t xml:space="preserve">in </w:t>
      </w:r>
      <w:r w:rsidR="00664B3E">
        <w:t xml:space="preserve">Company Response to </w:t>
      </w:r>
      <w:r w:rsidR="006F567F">
        <w:t>Data Request</w:t>
      </w:r>
      <w:r w:rsidR="006F567F" w:rsidDel="006F567F">
        <w:t xml:space="preserve"> </w:t>
      </w:r>
      <w:r>
        <w:t>STF-PIA-12-1</w:t>
      </w:r>
      <w:r w:rsidR="00664B3E">
        <w:t>, TS Attachment</w:t>
      </w:r>
      <w:r>
        <w:t xml:space="preserve"> and B2026 L</w:t>
      </w:r>
      <w:r w:rsidR="00664B3E">
        <w:t xml:space="preserve">oad </w:t>
      </w:r>
      <w:r>
        <w:t>R</w:t>
      </w:r>
      <w:r w:rsidR="00664B3E">
        <w:t xml:space="preserve">ealization </w:t>
      </w:r>
      <w:r>
        <w:t>M</w:t>
      </w:r>
      <w:r w:rsidR="00664B3E">
        <w:t>odel</w:t>
      </w:r>
    </w:p>
  </w:footnote>
  <w:footnote w:id="72">
    <w:p w14:paraId="7312511E" w14:textId="3B0550A9" w:rsidR="008F4987" w:rsidRDefault="008F4987">
      <w:pPr>
        <w:pStyle w:val="FootnoteText"/>
      </w:pPr>
      <w:r>
        <w:rPr>
          <w:rStyle w:val="FootnoteReference"/>
        </w:rPr>
        <w:footnoteRef/>
      </w:r>
      <w:r>
        <w:t xml:space="preserve"> Company Response to </w:t>
      </w:r>
      <w:r w:rsidR="006F567F">
        <w:t>Data Request</w:t>
      </w:r>
      <w:r w:rsidR="006F567F" w:rsidDel="006F567F">
        <w:t xml:space="preserve"> </w:t>
      </w:r>
      <w:r>
        <w:t>STF-PIA-12-4, TS Attachment</w:t>
      </w:r>
    </w:p>
  </w:footnote>
  <w:footnote w:id="73">
    <w:p w14:paraId="3B310477" w14:textId="17B84322" w:rsidR="008F4987" w:rsidRDefault="008F4987">
      <w:pPr>
        <w:pStyle w:val="FootnoteText"/>
      </w:pPr>
      <w:r>
        <w:rPr>
          <w:rStyle w:val="FootnoteReference"/>
        </w:rPr>
        <w:footnoteRef/>
      </w:r>
      <w:r>
        <w:t xml:space="preserve"> Company </w:t>
      </w:r>
      <w:r w:rsidR="006F567F">
        <w:t>R</w:t>
      </w:r>
      <w:r>
        <w:t xml:space="preserve">esponse to </w:t>
      </w:r>
      <w:r w:rsidR="006F567F">
        <w:t>Data Request</w:t>
      </w:r>
      <w:r w:rsidR="006F567F" w:rsidDel="006F567F">
        <w:t xml:space="preserve"> </w:t>
      </w:r>
      <w:r>
        <w:t>STF-PIA-12-3.</w:t>
      </w:r>
    </w:p>
  </w:footnote>
  <w:footnote w:id="74">
    <w:p w14:paraId="12002165" w14:textId="3C6CFF3B" w:rsidR="008F4987" w:rsidRDefault="008F4987">
      <w:pPr>
        <w:pStyle w:val="FootnoteText"/>
      </w:pPr>
      <w:r>
        <w:rPr>
          <w:rStyle w:val="FootnoteReference"/>
        </w:rPr>
        <w:footnoteRef/>
      </w:r>
      <w:r>
        <w:t xml:space="preserve"> Company </w:t>
      </w:r>
      <w:r w:rsidR="006F567F">
        <w:t>R</w:t>
      </w:r>
      <w:r>
        <w:t xml:space="preserve">esponse to </w:t>
      </w:r>
      <w:r w:rsidR="006F567F">
        <w:t>Data Request</w:t>
      </w:r>
      <w:r w:rsidR="006F567F" w:rsidDel="006F567F">
        <w:t xml:space="preserve"> </w:t>
      </w:r>
      <w:r>
        <w:t>STF-PIA-12-2</w:t>
      </w:r>
      <w:r w:rsidR="00664B3E">
        <w:t xml:space="preserve"> and associated TS Attachment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E754EA" w14:paraId="144A4A24" w14:textId="77777777" w:rsidTr="003F52A9">
      <w:trPr>
        <w:trHeight w:val="300"/>
      </w:trPr>
      <w:tc>
        <w:tcPr>
          <w:tcW w:w="3120" w:type="dxa"/>
        </w:tcPr>
        <w:p w14:paraId="7D4E68E9" w14:textId="164443FF" w:rsidR="30E754EA" w:rsidRDefault="30E754EA" w:rsidP="00E01138">
          <w:pPr>
            <w:pStyle w:val="Header"/>
            <w:ind w:left="-115"/>
            <w:jc w:val="left"/>
          </w:pPr>
        </w:p>
      </w:tc>
      <w:tc>
        <w:tcPr>
          <w:tcW w:w="3120" w:type="dxa"/>
        </w:tcPr>
        <w:p w14:paraId="4E235BFB" w14:textId="1987F8E6" w:rsidR="30E754EA" w:rsidRDefault="30E754EA" w:rsidP="00E01138">
          <w:pPr>
            <w:pStyle w:val="Header"/>
            <w:jc w:val="center"/>
          </w:pPr>
        </w:p>
      </w:tc>
      <w:tc>
        <w:tcPr>
          <w:tcW w:w="3120" w:type="dxa"/>
        </w:tcPr>
        <w:p w14:paraId="3AC787E5" w14:textId="560EC27B" w:rsidR="30E754EA" w:rsidRDefault="30E754EA" w:rsidP="00E01138">
          <w:pPr>
            <w:pStyle w:val="Header"/>
            <w:ind w:right="-115"/>
            <w:jc w:val="right"/>
          </w:pPr>
        </w:p>
      </w:tc>
    </w:tr>
  </w:tbl>
  <w:p w14:paraId="28DECE2B" w14:textId="57E6F629" w:rsidR="30E754EA" w:rsidRDefault="30E754EA" w:rsidP="00E0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E754EA" w14:paraId="4B29812A" w14:textId="77777777" w:rsidTr="003F52A9">
      <w:trPr>
        <w:trHeight w:val="300"/>
      </w:trPr>
      <w:tc>
        <w:tcPr>
          <w:tcW w:w="3120" w:type="dxa"/>
        </w:tcPr>
        <w:p w14:paraId="59D2C935" w14:textId="78EF54D4" w:rsidR="30E754EA" w:rsidRDefault="30E754EA" w:rsidP="00E01138">
          <w:pPr>
            <w:pStyle w:val="Header"/>
            <w:ind w:left="-115"/>
            <w:jc w:val="left"/>
          </w:pPr>
        </w:p>
      </w:tc>
      <w:tc>
        <w:tcPr>
          <w:tcW w:w="3120" w:type="dxa"/>
        </w:tcPr>
        <w:p w14:paraId="2EC88D8B" w14:textId="5D7DBAC2" w:rsidR="30E754EA" w:rsidRDefault="30E754EA" w:rsidP="00E01138">
          <w:pPr>
            <w:pStyle w:val="Header"/>
            <w:jc w:val="center"/>
          </w:pPr>
        </w:p>
      </w:tc>
      <w:tc>
        <w:tcPr>
          <w:tcW w:w="3120" w:type="dxa"/>
        </w:tcPr>
        <w:p w14:paraId="485952A6" w14:textId="3CD74E67" w:rsidR="30E754EA" w:rsidRDefault="30E754EA" w:rsidP="00E01138">
          <w:pPr>
            <w:pStyle w:val="Header"/>
            <w:ind w:right="-115"/>
            <w:jc w:val="right"/>
          </w:pPr>
        </w:p>
      </w:tc>
    </w:tr>
  </w:tbl>
  <w:p w14:paraId="26FD7071" w14:textId="097F3B1C" w:rsidR="30E754EA" w:rsidRDefault="30E754EA" w:rsidP="00E0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E754EA" w14:paraId="4C65717F" w14:textId="77777777" w:rsidTr="00E01138">
      <w:trPr>
        <w:trHeight w:val="300"/>
      </w:trPr>
      <w:tc>
        <w:tcPr>
          <w:tcW w:w="3120" w:type="dxa"/>
        </w:tcPr>
        <w:p w14:paraId="2E95AF31" w14:textId="5AF1A370" w:rsidR="30E754EA" w:rsidRDefault="30E754EA" w:rsidP="00E01138">
          <w:pPr>
            <w:pStyle w:val="Header"/>
            <w:ind w:left="-115"/>
            <w:jc w:val="left"/>
          </w:pPr>
        </w:p>
      </w:tc>
      <w:tc>
        <w:tcPr>
          <w:tcW w:w="3120" w:type="dxa"/>
        </w:tcPr>
        <w:p w14:paraId="30BDBCF0" w14:textId="745D69B2" w:rsidR="30E754EA" w:rsidRDefault="30E754EA" w:rsidP="00E01138">
          <w:pPr>
            <w:pStyle w:val="Header"/>
            <w:jc w:val="center"/>
          </w:pPr>
        </w:p>
      </w:tc>
      <w:tc>
        <w:tcPr>
          <w:tcW w:w="3120" w:type="dxa"/>
        </w:tcPr>
        <w:p w14:paraId="627FA642" w14:textId="3889D1D8" w:rsidR="30E754EA" w:rsidRDefault="30E754EA" w:rsidP="00E01138">
          <w:pPr>
            <w:pStyle w:val="Header"/>
            <w:ind w:right="-115"/>
            <w:jc w:val="right"/>
          </w:pPr>
        </w:p>
      </w:tc>
    </w:tr>
  </w:tbl>
  <w:p w14:paraId="1DAED170" w14:textId="5526DCB5" w:rsidR="30E754EA" w:rsidRDefault="30E754EA" w:rsidP="00E01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EA6"/>
    <w:multiLevelType w:val="hybridMultilevel"/>
    <w:tmpl w:val="E528EC20"/>
    <w:lvl w:ilvl="0" w:tplc="CEA6358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5F92"/>
    <w:multiLevelType w:val="hybridMultilevel"/>
    <w:tmpl w:val="5C824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503F09"/>
    <w:multiLevelType w:val="hybridMultilevel"/>
    <w:tmpl w:val="12464468"/>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3" w15:restartNumberingAfterBreak="0">
    <w:nsid w:val="03631668"/>
    <w:multiLevelType w:val="hybridMultilevel"/>
    <w:tmpl w:val="3F0E83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E662DA"/>
    <w:multiLevelType w:val="hybridMultilevel"/>
    <w:tmpl w:val="0B729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176C87"/>
    <w:multiLevelType w:val="hybridMultilevel"/>
    <w:tmpl w:val="8D4C0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0D655F"/>
    <w:multiLevelType w:val="hybridMultilevel"/>
    <w:tmpl w:val="6B423AC4"/>
    <w:lvl w:ilvl="0" w:tplc="0388CADA">
      <w:start w:val="1"/>
      <w:numFmt w:val="upperLetter"/>
      <w:lvlText w:val="%1."/>
      <w:lvlJc w:val="left"/>
      <w:pPr>
        <w:ind w:left="1020" w:hanging="360"/>
      </w:pPr>
    </w:lvl>
    <w:lvl w:ilvl="1" w:tplc="A14ECA02">
      <w:start w:val="1"/>
      <w:numFmt w:val="upperLetter"/>
      <w:lvlText w:val="%2."/>
      <w:lvlJc w:val="left"/>
      <w:pPr>
        <w:ind w:left="1020" w:hanging="360"/>
      </w:pPr>
    </w:lvl>
    <w:lvl w:ilvl="2" w:tplc="27788E44">
      <w:start w:val="1"/>
      <w:numFmt w:val="upperLetter"/>
      <w:lvlText w:val="%3."/>
      <w:lvlJc w:val="left"/>
      <w:pPr>
        <w:ind w:left="1020" w:hanging="360"/>
      </w:pPr>
    </w:lvl>
    <w:lvl w:ilvl="3" w:tplc="4A1C61F0">
      <w:start w:val="1"/>
      <w:numFmt w:val="upperLetter"/>
      <w:lvlText w:val="%4."/>
      <w:lvlJc w:val="left"/>
      <w:pPr>
        <w:ind w:left="1020" w:hanging="360"/>
      </w:pPr>
    </w:lvl>
    <w:lvl w:ilvl="4" w:tplc="D26024B0">
      <w:start w:val="1"/>
      <w:numFmt w:val="upperLetter"/>
      <w:lvlText w:val="%5."/>
      <w:lvlJc w:val="left"/>
      <w:pPr>
        <w:ind w:left="1020" w:hanging="360"/>
      </w:pPr>
    </w:lvl>
    <w:lvl w:ilvl="5" w:tplc="CC7C299C">
      <w:start w:val="1"/>
      <w:numFmt w:val="upperLetter"/>
      <w:lvlText w:val="%6."/>
      <w:lvlJc w:val="left"/>
      <w:pPr>
        <w:ind w:left="1020" w:hanging="360"/>
      </w:pPr>
    </w:lvl>
    <w:lvl w:ilvl="6" w:tplc="B1CED37C">
      <w:start w:val="1"/>
      <w:numFmt w:val="upperLetter"/>
      <w:lvlText w:val="%7."/>
      <w:lvlJc w:val="left"/>
      <w:pPr>
        <w:ind w:left="1020" w:hanging="360"/>
      </w:pPr>
    </w:lvl>
    <w:lvl w:ilvl="7" w:tplc="D7C8C364">
      <w:start w:val="1"/>
      <w:numFmt w:val="upperLetter"/>
      <w:lvlText w:val="%8."/>
      <w:lvlJc w:val="left"/>
      <w:pPr>
        <w:ind w:left="1020" w:hanging="360"/>
      </w:pPr>
    </w:lvl>
    <w:lvl w:ilvl="8" w:tplc="751AD98C">
      <w:start w:val="1"/>
      <w:numFmt w:val="upperLetter"/>
      <w:lvlText w:val="%9."/>
      <w:lvlJc w:val="left"/>
      <w:pPr>
        <w:ind w:left="1020" w:hanging="360"/>
      </w:pPr>
    </w:lvl>
  </w:abstractNum>
  <w:abstractNum w:abstractNumId="7" w15:restartNumberingAfterBreak="0">
    <w:nsid w:val="12B72C5E"/>
    <w:multiLevelType w:val="hybridMultilevel"/>
    <w:tmpl w:val="92B82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AA18AC"/>
    <w:multiLevelType w:val="hybridMultilevel"/>
    <w:tmpl w:val="6A1EA01A"/>
    <w:lvl w:ilvl="0" w:tplc="04090011">
      <w:start w:val="1"/>
      <w:numFmt w:val="decimal"/>
      <w:lvlText w:val="%1)"/>
      <w:lvlJc w:val="left"/>
      <w:pPr>
        <w:ind w:left="1377" w:hanging="360"/>
      </w:pPr>
    </w:lvl>
    <w:lvl w:ilvl="1" w:tplc="04090019">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9" w15:restartNumberingAfterBreak="0">
    <w:nsid w:val="17ACF5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8DA07CB"/>
    <w:multiLevelType w:val="hybridMultilevel"/>
    <w:tmpl w:val="422AA164"/>
    <w:lvl w:ilvl="0" w:tplc="24E4ACF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20F96"/>
    <w:multiLevelType w:val="hybridMultilevel"/>
    <w:tmpl w:val="419E9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AE06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CF3540"/>
    <w:multiLevelType w:val="hybridMultilevel"/>
    <w:tmpl w:val="31DC0DC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4" w15:restartNumberingAfterBreak="0">
    <w:nsid w:val="1F373FCE"/>
    <w:multiLevelType w:val="hybridMultilevel"/>
    <w:tmpl w:val="1E4EDA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A46E32"/>
    <w:multiLevelType w:val="hybridMultilevel"/>
    <w:tmpl w:val="7D885CF8"/>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22EC77A6"/>
    <w:multiLevelType w:val="hybridMultilevel"/>
    <w:tmpl w:val="74B005A0"/>
    <w:lvl w:ilvl="0" w:tplc="870E998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B517C4"/>
    <w:multiLevelType w:val="hybridMultilevel"/>
    <w:tmpl w:val="CC52F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A1769A"/>
    <w:multiLevelType w:val="hybridMultilevel"/>
    <w:tmpl w:val="79FC2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64265"/>
    <w:multiLevelType w:val="hybridMultilevel"/>
    <w:tmpl w:val="BEF2C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870C8"/>
    <w:multiLevelType w:val="hybridMultilevel"/>
    <w:tmpl w:val="F4D2B6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4F7738"/>
    <w:multiLevelType w:val="hybridMultilevel"/>
    <w:tmpl w:val="D218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97D54"/>
    <w:multiLevelType w:val="hybridMultilevel"/>
    <w:tmpl w:val="8444A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4F0012"/>
    <w:multiLevelType w:val="hybridMultilevel"/>
    <w:tmpl w:val="DC6A6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7A4CF1"/>
    <w:multiLevelType w:val="hybridMultilevel"/>
    <w:tmpl w:val="09185B12"/>
    <w:lvl w:ilvl="0" w:tplc="329870EA">
      <w:start w:val="1"/>
      <w:numFmt w:val="upperLetter"/>
      <w:lvlText w:val="%1)"/>
      <w:lvlJc w:val="left"/>
      <w:pPr>
        <w:ind w:left="1020" w:hanging="360"/>
      </w:pPr>
    </w:lvl>
    <w:lvl w:ilvl="1" w:tplc="41A6DE60">
      <w:start w:val="1"/>
      <w:numFmt w:val="upperLetter"/>
      <w:lvlText w:val="%2)"/>
      <w:lvlJc w:val="left"/>
      <w:pPr>
        <w:ind w:left="1020" w:hanging="360"/>
      </w:pPr>
    </w:lvl>
    <w:lvl w:ilvl="2" w:tplc="8F8443AA">
      <w:start w:val="1"/>
      <w:numFmt w:val="upperLetter"/>
      <w:lvlText w:val="%3)"/>
      <w:lvlJc w:val="left"/>
      <w:pPr>
        <w:ind w:left="1020" w:hanging="360"/>
      </w:pPr>
    </w:lvl>
    <w:lvl w:ilvl="3" w:tplc="213C4B5E">
      <w:start w:val="1"/>
      <w:numFmt w:val="upperLetter"/>
      <w:lvlText w:val="%4)"/>
      <w:lvlJc w:val="left"/>
      <w:pPr>
        <w:ind w:left="1020" w:hanging="360"/>
      </w:pPr>
    </w:lvl>
    <w:lvl w:ilvl="4" w:tplc="BF943AFA">
      <w:start w:val="1"/>
      <w:numFmt w:val="upperLetter"/>
      <w:lvlText w:val="%5)"/>
      <w:lvlJc w:val="left"/>
      <w:pPr>
        <w:ind w:left="1020" w:hanging="360"/>
      </w:pPr>
    </w:lvl>
    <w:lvl w:ilvl="5" w:tplc="F17E0374">
      <w:start w:val="1"/>
      <w:numFmt w:val="upperLetter"/>
      <w:lvlText w:val="%6)"/>
      <w:lvlJc w:val="left"/>
      <w:pPr>
        <w:ind w:left="1020" w:hanging="360"/>
      </w:pPr>
    </w:lvl>
    <w:lvl w:ilvl="6" w:tplc="C1D8281E">
      <w:start w:val="1"/>
      <w:numFmt w:val="upperLetter"/>
      <w:lvlText w:val="%7)"/>
      <w:lvlJc w:val="left"/>
      <w:pPr>
        <w:ind w:left="1020" w:hanging="360"/>
      </w:pPr>
    </w:lvl>
    <w:lvl w:ilvl="7" w:tplc="917A7256">
      <w:start w:val="1"/>
      <w:numFmt w:val="upperLetter"/>
      <w:lvlText w:val="%8)"/>
      <w:lvlJc w:val="left"/>
      <w:pPr>
        <w:ind w:left="1020" w:hanging="360"/>
      </w:pPr>
    </w:lvl>
    <w:lvl w:ilvl="8" w:tplc="CC9E6772">
      <w:start w:val="1"/>
      <w:numFmt w:val="upperLetter"/>
      <w:lvlText w:val="%9)"/>
      <w:lvlJc w:val="left"/>
      <w:pPr>
        <w:ind w:left="1020" w:hanging="360"/>
      </w:pPr>
    </w:lvl>
  </w:abstractNum>
  <w:abstractNum w:abstractNumId="25" w15:restartNumberingAfterBreak="0">
    <w:nsid w:val="3D797C05"/>
    <w:multiLevelType w:val="hybridMultilevel"/>
    <w:tmpl w:val="355C87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09333C"/>
    <w:multiLevelType w:val="hybridMultilevel"/>
    <w:tmpl w:val="72E2B4A2"/>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7" w15:restartNumberingAfterBreak="0">
    <w:nsid w:val="3FBA0780"/>
    <w:multiLevelType w:val="hybridMultilevel"/>
    <w:tmpl w:val="E2241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9A0526"/>
    <w:multiLevelType w:val="hybridMultilevel"/>
    <w:tmpl w:val="84B6B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2ED2F68"/>
    <w:multiLevelType w:val="hybridMultilevel"/>
    <w:tmpl w:val="D17E5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36F3830"/>
    <w:multiLevelType w:val="hybridMultilevel"/>
    <w:tmpl w:val="8ED89CF4"/>
    <w:lvl w:ilvl="0" w:tplc="04090011">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31" w15:restartNumberingAfterBreak="0">
    <w:nsid w:val="457A85BA"/>
    <w:multiLevelType w:val="hybridMultilevel"/>
    <w:tmpl w:val="FFFFFFFF"/>
    <w:lvl w:ilvl="0" w:tplc="A9D877D4">
      <w:start w:val="1"/>
      <w:numFmt w:val="bullet"/>
      <w:lvlText w:val=""/>
      <w:lvlJc w:val="left"/>
      <w:pPr>
        <w:ind w:left="720" w:hanging="360"/>
      </w:pPr>
      <w:rPr>
        <w:rFonts w:ascii="Symbol" w:hAnsi="Symbol" w:hint="default"/>
      </w:rPr>
    </w:lvl>
    <w:lvl w:ilvl="1" w:tplc="978424BC">
      <w:start w:val="1"/>
      <w:numFmt w:val="bullet"/>
      <w:lvlText w:val="o"/>
      <w:lvlJc w:val="left"/>
      <w:pPr>
        <w:ind w:left="1440" w:hanging="360"/>
      </w:pPr>
      <w:rPr>
        <w:rFonts w:ascii="Courier New" w:hAnsi="Courier New" w:hint="default"/>
      </w:rPr>
    </w:lvl>
    <w:lvl w:ilvl="2" w:tplc="97228C04">
      <w:start w:val="1"/>
      <w:numFmt w:val="bullet"/>
      <w:lvlText w:val=""/>
      <w:lvlJc w:val="left"/>
      <w:pPr>
        <w:ind w:left="2160" w:hanging="360"/>
      </w:pPr>
      <w:rPr>
        <w:rFonts w:ascii="Wingdings" w:hAnsi="Wingdings" w:hint="default"/>
      </w:rPr>
    </w:lvl>
    <w:lvl w:ilvl="3" w:tplc="E3303158">
      <w:start w:val="1"/>
      <w:numFmt w:val="bullet"/>
      <w:lvlText w:val=""/>
      <w:lvlJc w:val="left"/>
      <w:pPr>
        <w:ind w:left="2880" w:hanging="360"/>
      </w:pPr>
      <w:rPr>
        <w:rFonts w:ascii="Symbol" w:hAnsi="Symbol" w:hint="default"/>
      </w:rPr>
    </w:lvl>
    <w:lvl w:ilvl="4" w:tplc="7AFC88BC">
      <w:start w:val="1"/>
      <w:numFmt w:val="bullet"/>
      <w:lvlText w:val="o"/>
      <w:lvlJc w:val="left"/>
      <w:pPr>
        <w:ind w:left="3600" w:hanging="360"/>
      </w:pPr>
      <w:rPr>
        <w:rFonts w:ascii="Courier New" w:hAnsi="Courier New" w:hint="default"/>
      </w:rPr>
    </w:lvl>
    <w:lvl w:ilvl="5" w:tplc="136A28E0">
      <w:start w:val="1"/>
      <w:numFmt w:val="bullet"/>
      <w:lvlText w:val=""/>
      <w:lvlJc w:val="left"/>
      <w:pPr>
        <w:ind w:left="4320" w:hanging="360"/>
      </w:pPr>
      <w:rPr>
        <w:rFonts w:ascii="Wingdings" w:hAnsi="Wingdings" w:hint="default"/>
      </w:rPr>
    </w:lvl>
    <w:lvl w:ilvl="6" w:tplc="8B7CB7E6">
      <w:start w:val="1"/>
      <w:numFmt w:val="bullet"/>
      <w:lvlText w:val=""/>
      <w:lvlJc w:val="left"/>
      <w:pPr>
        <w:ind w:left="5040" w:hanging="360"/>
      </w:pPr>
      <w:rPr>
        <w:rFonts w:ascii="Symbol" w:hAnsi="Symbol" w:hint="default"/>
      </w:rPr>
    </w:lvl>
    <w:lvl w:ilvl="7" w:tplc="6406C634">
      <w:start w:val="1"/>
      <w:numFmt w:val="bullet"/>
      <w:lvlText w:val="o"/>
      <w:lvlJc w:val="left"/>
      <w:pPr>
        <w:ind w:left="5760" w:hanging="360"/>
      </w:pPr>
      <w:rPr>
        <w:rFonts w:ascii="Courier New" w:hAnsi="Courier New" w:hint="default"/>
      </w:rPr>
    </w:lvl>
    <w:lvl w:ilvl="8" w:tplc="6916E03A">
      <w:start w:val="1"/>
      <w:numFmt w:val="bullet"/>
      <w:lvlText w:val=""/>
      <w:lvlJc w:val="left"/>
      <w:pPr>
        <w:ind w:left="6480" w:hanging="360"/>
      </w:pPr>
      <w:rPr>
        <w:rFonts w:ascii="Wingdings" w:hAnsi="Wingdings" w:hint="default"/>
      </w:rPr>
    </w:lvl>
  </w:abstractNum>
  <w:abstractNum w:abstractNumId="32" w15:restartNumberingAfterBreak="0">
    <w:nsid w:val="47BF21E2"/>
    <w:multiLevelType w:val="hybridMultilevel"/>
    <w:tmpl w:val="3EC8F2DC"/>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3" w15:restartNumberingAfterBreak="0">
    <w:nsid w:val="48814CAA"/>
    <w:multiLevelType w:val="hybridMultilevel"/>
    <w:tmpl w:val="54C0D1A6"/>
    <w:lvl w:ilvl="0" w:tplc="3214A07C">
      <w:start w:val="1"/>
      <w:numFmt w:val="upperRoman"/>
      <w:pStyle w:val="TOC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A34CE4"/>
    <w:multiLevelType w:val="hybridMultilevel"/>
    <w:tmpl w:val="18BE9406"/>
    <w:lvl w:ilvl="0" w:tplc="7102EE68">
      <w:start w:val="1"/>
      <w:numFmt w:val="decimal"/>
      <w:lvlText w:val="Staff LRM Scenario %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C0774A2"/>
    <w:multiLevelType w:val="hybridMultilevel"/>
    <w:tmpl w:val="93469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D464D47"/>
    <w:multiLevelType w:val="hybridMultilevel"/>
    <w:tmpl w:val="BD7CB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EC106D5"/>
    <w:multiLevelType w:val="hybridMultilevel"/>
    <w:tmpl w:val="A9300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FCB5EF5"/>
    <w:multiLevelType w:val="hybridMultilevel"/>
    <w:tmpl w:val="DA069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0318C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2717AE6"/>
    <w:multiLevelType w:val="hybridMultilevel"/>
    <w:tmpl w:val="31CA7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29B5D22"/>
    <w:multiLevelType w:val="hybridMultilevel"/>
    <w:tmpl w:val="3B849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4F989A8"/>
    <w:multiLevelType w:val="hybridMultilevel"/>
    <w:tmpl w:val="FFFFFFFF"/>
    <w:lvl w:ilvl="0" w:tplc="7CC8889C">
      <w:start w:val="1"/>
      <w:numFmt w:val="decimal"/>
      <w:lvlText w:val="%1."/>
      <w:lvlJc w:val="left"/>
      <w:pPr>
        <w:ind w:left="1080" w:hanging="360"/>
      </w:pPr>
    </w:lvl>
    <w:lvl w:ilvl="1" w:tplc="3D0C552A">
      <w:start w:val="1"/>
      <w:numFmt w:val="lowerLetter"/>
      <w:lvlText w:val="%2."/>
      <w:lvlJc w:val="left"/>
      <w:pPr>
        <w:ind w:left="1800" w:hanging="360"/>
      </w:pPr>
    </w:lvl>
    <w:lvl w:ilvl="2" w:tplc="9D1E3524">
      <w:start w:val="1"/>
      <w:numFmt w:val="lowerRoman"/>
      <w:lvlText w:val="%3."/>
      <w:lvlJc w:val="right"/>
      <w:pPr>
        <w:ind w:left="2520" w:hanging="180"/>
      </w:pPr>
    </w:lvl>
    <w:lvl w:ilvl="3" w:tplc="00621ED8">
      <w:start w:val="1"/>
      <w:numFmt w:val="decimal"/>
      <w:lvlText w:val="%4."/>
      <w:lvlJc w:val="left"/>
      <w:pPr>
        <w:ind w:left="3240" w:hanging="360"/>
      </w:pPr>
    </w:lvl>
    <w:lvl w:ilvl="4" w:tplc="A5ECC4BA">
      <w:start w:val="1"/>
      <w:numFmt w:val="lowerLetter"/>
      <w:lvlText w:val="%5."/>
      <w:lvlJc w:val="left"/>
      <w:pPr>
        <w:ind w:left="3960" w:hanging="360"/>
      </w:pPr>
    </w:lvl>
    <w:lvl w:ilvl="5" w:tplc="914C90FC">
      <w:start w:val="1"/>
      <w:numFmt w:val="lowerRoman"/>
      <w:lvlText w:val="%6."/>
      <w:lvlJc w:val="right"/>
      <w:pPr>
        <w:ind w:left="4680" w:hanging="180"/>
      </w:pPr>
    </w:lvl>
    <w:lvl w:ilvl="6" w:tplc="8E12CE20">
      <w:start w:val="1"/>
      <w:numFmt w:val="decimal"/>
      <w:lvlText w:val="%7."/>
      <w:lvlJc w:val="left"/>
      <w:pPr>
        <w:ind w:left="5400" w:hanging="360"/>
      </w:pPr>
    </w:lvl>
    <w:lvl w:ilvl="7" w:tplc="32765F2A">
      <w:start w:val="1"/>
      <w:numFmt w:val="lowerLetter"/>
      <w:lvlText w:val="%8."/>
      <w:lvlJc w:val="left"/>
      <w:pPr>
        <w:ind w:left="6120" w:hanging="360"/>
      </w:pPr>
    </w:lvl>
    <w:lvl w:ilvl="8" w:tplc="28BC337A">
      <w:start w:val="1"/>
      <w:numFmt w:val="lowerRoman"/>
      <w:lvlText w:val="%9."/>
      <w:lvlJc w:val="right"/>
      <w:pPr>
        <w:ind w:left="6840" w:hanging="180"/>
      </w:pPr>
    </w:lvl>
  </w:abstractNum>
  <w:abstractNum w:abstractNumId="43" w15:restartNumberingAfterBreak="0">
    <w:nsid w:val="56B05953"/>
    <w:multiLevelType w:val="hybridMultilevel"/>
    <w:tmpl w:val="0AEA113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4" w15:restartNumberingAfterBreak="0">
    <w:nsid w:val="5A0E20A9"/>
    <w:multiLevelType w:val="hybridMultilevel"/>
    <w:tmpl w:val="4D2630B8"/>
    <w:lvl w:ilvl="0" w:tplc="79B8E542">
      <w:start w:val="1"/>
      <w:numFmt w:val="decimal"/>
      <w:lvlText w:val="%1."/>
      <w:lvlJc w:val="left"/>
      <w:pPr>
        <w:ind w:left="1020" w:hanging="360"/>
      </w:pPr>
    </w:lvl>
    <w:lvl w:ilvl="1" w:tplc="D16CB2C8">
      <w:start w:val="1"/>
      <w:numFmt w:val="decimal"/>
      <w:lvlText w:val="%2."/>
      <w:lvlJc w:val="left"/>
      <w:pPr>
        <w:ind w:left="1020" w:hanging="360"/>
      </w:pPr>
    </w:lvl>
    <w:lvl w:ilvl="2" w:tplc="36F82ACA">
      <w:start w:val="1"/>
      <w:numFmt w:val="decimal"/>
      <w:lvlText w:val="%3."/>
      <w:lvlJc w:val="left"/>
      <w:pPr>
        <w:ind w:left="1020" w:hanging="360"/>
      </w:pPr>
    </w:lvl>
    <w:lvl w:ilvl="3" w:tplc="06EA86BA">
      <w:start w:val="1"/>
      <w:numFmt w:val="decimal"/>
      <w:lvlText w:val="%4."/>
      <w:lvlJc w:val="left"/>
      <w:pPr>
        <w:ind w:left="1020" w:hanging="360"/>
      </w:pPr>
    </w:lvl>
    <w:lvl w:ilvl="4" w:tplc="33CA4CFE">
      <w:start w:val="1"/>
      <w:numFmt w:val="decimal"/>
      <w:lvlText w:val="%5."/>
      <w:lvlJc w:val="left"/>
      <w:pPr>
        <w:ind w:left="1020" w:hanging="360"/>
      </w:pPr>
    </w:lvl>
    <w:lvl w:ilvl="5" w:tplc="1FFAFC2C">
      <w:start w:val="1"/>
      <w:numFmt w:val="decimal"/>
      <w:lvlText w:val="%6."/>
      <w:lvlJc w:val="left"/>
      <w:pPr>
        <w:ind w:left="1020" w:hanging="360"/>
      </w:pPr>
    </w:lvl>
    <w:lvl w:ilvl="6" w:tplc="B9244BFC">
      <w:start w:val="1"/>
      <w:numFmt w:val="decimal"/>
      <w:lvlText w:val="%7."/>
      <w:lvlJc w:val="left"/>
      <w:pPr>
        <w:ind w:left="1020" w:hanging="360"/>
      </w:pPr>
    </w:lvl>
    <w:lvl w:ilvl="7" w:tplc="7396E5FE">
      <w:start w:val="1"/>
      <w:numFmt w:val="decimal"/>
      <w:lvlText w:val="%8."/>
      <w:lvlJc w:val="left"/>
      <w:pPr>
        <w:ind w:left="1020" w:hanging="360"/>
      </w:pPr>
    </w:lvl>
    <w:lvl w:ilvl="8" w:tplc="04F8DEC2">
      <w:start w:val="1"/>
      <w:numFmt w:val="decimal"/>
      <w:lvlText w:val="%9."/>
      <w:lvlJc w:val="left"/>
      <w:pPr>
        <w:ind w:left="1020" w:hanging="360"/>
      </w:pPr>
    </w:lvl>
  </w:abstractNum>
  <w:abstractNum w:abstractNumId="45" w15:restartNumberingAfterBreak="0">
    <w:nsid w:val="5AE002FC"/>
    <w:multiLevelType w:val="hybridMultilevel"/>
    <w:tmpl w:val="6E2E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C7405A0"/>
    <w:multiLevelType w:val="hybridMultilevel"/>
    <w:tmpl w:val="72FA5646"/>
    <w:lvl w:ilvl="0" w:tplc="C9BA9E4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6E6C21"/>
    <w:multiLevelType w:val="hybridMultilevel"/>
    <w:tmpl w:val="8E50FA5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69C444A0"/>
    <w:multiLevelType w:val="multilevel"/>
    <w:tmpl w:val="85AE0D7A"/>
    <w:lvl w:ilvl="0">
      <w:start w:val="1"/>
      <w:numFmt w:val="upperRoman"/>
      <w:pStyle w:val="Heading1"/>
      <w:lvlText w:val="%1."/>
      <w:lvlJc w:val="left"/>
      <w:pPr>
        <w:ind w:left="360" w:hanging="360"/>
      </w:pPr>
      <w:rPr>
        <w:rFonts w:cs="Times New Roman" w:hint="default"/>
        <w:b/>
        <w:bCs/>
      </w:rPr>
    </w:lvl>
    <w:lvl w:ilvl="1">
      <w:start w:val="1"/>
      <w:numFmt w:val="lowerLetter"/>
      <w:lvlText w:val="%2."/>
      <w:lvlJc w:val="left"/>
      <w:pPr>
        <w:ind w:left="720" w:hanging="72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6F3218C9"/>
    <w:multiLevelType w:val="hybridMultilevel"/>
    <w:tmpl w:val="7D885CF8"/>
    <w:lvl w:ilvl="0" w:tplc="FFFFFFFF">
      <w:start w:val="1"/>
      <w:numFmt w:val="decimal"/>
      <w:lvlText w:val="%1."/>
      <w:lvlJc w:val="left"/>
      <w:pPr>
        <w:ind w:left="1500" w:hanging="360"/>
      </w:p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50" w15:restartNumberingAfterBreak="0">
    <w:nsid w:val="708344EF"/>
    <w:multiLevelType w:val="hybridMultilevel"/>
    <w:tmpl w:val="FFFFFFFF"/>
    <w:lvl w:ilvl="0" w:tplc="2F6CB934">
      <w:start w:val="1"/>
      <w:numFmt w:val="decimal"/>
      <w:lvlText w:val="%1."/>
      <w:lvlJc w:val="left"/>
      <w:pPr>
        <w:ind w:left="1080" w:hanging="360"/>
      </w:pPr>
    </w:lvl>
    <w:lvl w:ilvl="1" w:tplc="7772D914">
      <w:start w:val="1"/>
      <w:numFmt w:val="lowerLetter"/>
      <w:lvlText w:val="%2."/>
      <w:lvlJc w:val="left"/>
      <w:pPr>
        <w:ind w:left="1800" w:hanging="360"/>
      </w:pPr>
    </w:lvl>
    <w:lvl w:ilvl="2" w:tplc="73388C74">
      <w:start w:val="1"/>
      <w:numFmt w:val="lowerRoman"/>
      <w:lvlText w:val="%3."/>
      <w:lvlJc w:val="right"/>
      <w:pPr>
        <w:ind w:left="2520" w:hanging="180"/>
      </w:pPr>
    </w:lvl>
    <w:lvl w:ilvl="3" w:tplc="B29202DA">
      <w:start w:val="1"/>
      <w:numFmt w:val="decimal"/>
      <w:lvlText w:val="%4."/>
      <w:lvlJc w:val="left"/>
      <w:pPr>
        <w:ind w:left="3240" w:hanging="360"/>
      </w:pPr>
    </w:lvl>
    <w:lvl w:ilvl="4" w:tplc="9CC0067C">
      <w:start w:val="1"/>
      <w:numFmt w:val="lowerLetter"/>
      <w:lvlText w:val="%5."/>
      <w:lvlJc w:val="left"/>
      <w:pPr>
        <w:ind w:left="3960" w:hanging="360"/>
      </w:pPr>
    </w:lvl>
    <w:lvl w:ilvl="5" w:tplc="FED00B50">
      <w:start w:val="1"/>
      <w:numFmt w:val="lowerRoman"/>
      <w:lvlText w:val="%6."/>
      <w:lvlJc w:val="right"/>
      <w:pPr>
        <w:ind w:left="4680" w:hanging="180"/>
      </w:pPr>
    </w:lvl>
    <w:lvl w:ilvl="6" w:tplc="473A017E">
      <w:start w:val="1"/>
      <w:numFmt w:val="decimal"/>
      <w:lvlText w:val="%7."/>
      <w:lvlJc w:val="left"/>
      <w:pPr>
        <w:ind w:left="5400" w:hanging="360"/>
      </w:pPr>
    </w:lvl>
    <w:lvl w:ilvl="7" w:tplc="7856E1A2">
      <w:start w:val="1"/>
      <w:numFmt w:val="lowerLetter"/>
      <w:lvlText w:val="%8."/>
      <w:lvlJc w:val="left"/>
      <w:pPr>
        <w:ind w:left="6120" w:hanging="360"/>
      </w:pPr>
    </w:lvl>
    <w:lvl w:ilvl="8" w:tplc="92FC5C14">
      <w:start w:val="1"/>
      <w:numFmt w:val="lowerRoman"/>
      <w:lvlText w:val="%9."/>
      <w:lvlJc w:val="right"/>
      <w:pPr>
        <w:ind w:left="6840" w:hanging="180"/>
      </w:pPr>
    </w:lvl>
  </w:abstractNum>
  <w:abstractNum w:abstractNumId="51" w15:restartNumberingAfterBreak="0">
    <w:nsid w:val="7315418D"/>
    <w:multiLevelType w:val="hybridMultilevel"/>
    <w:tmpl w:val="027A7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46B0D98"/>
    <w:multiLevelType w:val="hybridMultilevel"/>
    <w:tmpl w:val="525AD3D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3" w15:restartNumberingAfterBreak="0">
    <w:nsid w:val="79377662"/>
    <w:multiLevelType w:val="hybridMultilevel"/>
    <w:tmpl w:val="AA74A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9A50955"/>
    <w:multiLevelType w:val="hybridMultilevel"/>
    <w:tmpl w:val="47B09D7C"/>
    <w:lvl w:ilvl="0" w:tplc="0409000F">
      <w:start w:val="1"/>
      <w:numFmt w:val="decimal"/>
      <w:lvlText w:val="%1."/>
      <w:lvlJc w:val="left"/>
      <w:pPr>
        <w:ind w:left="1449" w:hanging="360"/>
      </w:pPr>
    </w:lvl>
    <w:lvl w:ilvl="1" w:tplc="04090019">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num w:numId="1" w16cid:durableId="702175153">
    <w:abstractNumId w:val="48"/>
  </w:num>
  <w:num w:numId="2" w16cid:durableId="1192649239">
    <w:abstractNumId w:val="33"/>
  </w:num>
  <w:num w:numId="3" w16cid:durableId="380328827">
    <w:abstractNumId w:val="38"/>
  </w:num>
  <w:num w:numId="4" w16cid:durableId="1390885488">
    <w:abstractNumId w:val="11"/>
  </w:num>
  <w:num w:numId="5" w16cid:durableId="1501044702">
    <w:abstractNumId w:val="30"/>
  </w:num>
  <w:num w:numId="6" w16cid:durableId="1621257291">
    <w:abstractNumId w:val="26"/>
  </w:num>
  <w:num w:numId="7" w16cid:durableId="670835346">
    <w:abstractNumId w:val="2"/>
  </w:num>
  <w:num w:numId="8" w16cid:durableId="1765228291">
    <w:abstractNumId w:val="8"/>
  </w:num>
  <w:num w:numId="9" w16cid:durableId="1153058132">
    <w:abstractNumId w:val="3"/>
  </w:num>
  <w:num w:numId="10" w16cid:durableId="1701082687">
    <w:abstractNumId w:val="21"/>
  </w:num>
  <w:num w:numId="11" w16cid:durableId="1544713385">
    <w:abstractNumId w:val="28"/>
  </w:num>
  <w:num w:numId="12" w16cid:durableId="1133015646">
    <w:abstractNumId w:val="36"/>
  </w:num>
  <w:num w:numId="13" w16cid:durableId="1019284088">
    <w:abstractNumId w:val="44"/>
  </w:num>
  <w:num w:numId="14" w16cid:durableId="52507993">
    <w:abstractNumId w:val="24"/>
  </w:num>
  <w:num w:numId="15" w16cid:durableId="740568717">
    <w:abstractNumId w:val="6"/>
  </w:num>
  <w:num w:numId="16" w16cid:durableId="1520924887">
    <w:abstractNumId w:val="15"/>
  </w:num>
  <w:num w:numId="17" w16cid:durableId="352730208">
    <w:abstractNumId w:val="0"/>
  </w:num>
  <w:num w:numId="18" w16cid:durableId="108206944">
    <w:abstractNumId w:val="46"/>
  </w:num>
  <w:num w:numId="19" w16cid:durableId="1619753692">
    <w:abstractNumId w:val="10"/>
  </w:num>
  <w:num w:numId="20" w16cid:durableId="2119521094">
    <w:abstractNumId w:val="12"/>
  </w:num>
  <w:num w:numId="21" w16cid:durableId="975530607">
    <w:abstractNumId w:val="39"/>
  </w:num>
  <w:num w:numId="22" w16cid:durableId="1556233509">
    <w:abstractNumId w:val="9"/>
  </w:num>
  <w:num w:numId="23" w16cid:durableId="1893885643">
    <w:abstractNumId w:val="47"/>
  </w:num>
  <w:num w:numId="24" w16cid:durableId="1988239119">
    <w:abstractNumId w:val="25"/>
  </w:num>
  <w:num w:numId="25" w16cid:durableId="1342928832">
    <w:abstractNumId w:val="41"/>
  </w:num>
  <w:num w:numId="26" w16cid:durableId="981541177">
    <w:abstractNumId w:val="35"/>
  </w:num>
  <w:num w:numId="27" w16cid:durableId="1633319889">
    <w:abstractNumId w:val="29"/>
  </w:num>
  <w:num w:numId="28" w16cid:durableId="795876711">
    <w:abstractNumId w:val="14"/>
  </w:num>
  <w:num w:numId="29" w16cid:durableId="1942253192">
    <w:abstractNumId w:val="23"/>
  </w:num>
  <w:num w:numId="30" w16cid:durableId="1498884409">
    <w:abstractNumId w:val="22"/>
  </w:num>
  <w:num w:numId="31" w16cid:durableId="410851078">
    <w:abstractNumId w:val="53"/>
  </w:num>
  <w:num w:numId="32" w16cid:durableId="804933615">
    <w:abstractNumId w:val="37"/>
  </w:num>
  <w:num w:numId="33" w16cid:durableId="706491942">
    <w:abstractNumId w:val="5"/>
  </w:num>
  <w:num w:numId="34" w16cid:durableId="718823451">
    <w:abstractNumId w:val="17"/>
  </w:num>
  <w:num w:numId="35" w16cid:durableId="483815631">
    <w:abstractNumId w:val="52"/>
  </w:num>
  <w:num w:numId="36" w16cid:durableId="157962841">
    <w:abstractNumId w:val="51"/>
  </w:num>
  <w:num w:numId="37" w16cid:durableId="837617803">
    <w:abstractNumId w:val="45"/>
  </w:num>
  <w:num w:numId="38" w16cid:durableId="566452705">
    <w:abstractNumId w:val="32"/>
  </w:num>
  <w:num w:numId="39" w16cid:durableId="1465655783">
    <w:abstractNumId w:val="43"/>
  </w:num>
  <w:num w:numId="40" w16cid:durableId="856237188">
    <w:abstractNumId w:val="13"/>
  </w:num>
  <w:num w:numId="41" w16cid:durableId="1080518058">
    <w:abstractNumId w:val="54"/>
  </w:num>
  <w:num w:numId="42" w16cid:durableId="1228999101">
    <w:abstractNumId w:val="16"/>
  </w:num>
  <w:num w:numId="43" w16cid:durableId="1662081848">
    <w:abstractNumId w:val="18"/>
  </w:num>
  <w:num w:numId="44" w16cid:durableId="1888297294">
    <w:abstractNumId w:val="19"/>
  </w:num>
  <w:num w:numId="45" w16cid:durableId="2084522432">
    <w:abstractNumId w:val="49"/>
  </w:num>
  <w:num w:numId="46" w16cid:durableId="1159345459">
    <w:abstractNumId w:val="7"/>
  </w:num>
  <w:num w:numId="47" w16cid:durableId="100271262">
    <w:abstractNumId w:val="27"/>
  </w:num>
  <w:num w:numId="48" w16cid:durableId="330331842">
    <w:abstractNumId w:val="34"/>
  </w:num>
  <w:num w:numId="49" w16cid:durableId="704713053">
    <w:abstractNumId w:val="40"/>
  </w:num>
  <w:num w:numId="50" w16cid:durableId="238950187">
    <w:abstractNumId w:val="1"/>
  </w:num>
  <w:num w:numId="51" w16cid:durableId="824972151">
    <w:abstractNumId w:val="50"/>
  </w:num>
  <w:num w:numId="52" w16cid:durableId="321785342">
    <w:abstractNumId w:val="42"/>
  </w:num>
  <w:num w:numId="53" w16cid:durableId="1248269152">
    <w:abstractNumId w:val="4"/>
  </w:num>
  <w:num w:numId="54" w16cid:durableId="615064331">
    <w:abstractNumId w:val="31"/>
  </w:num>
  <w:num w:numId="55" w16cid:durableId="1422407464">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2MjAxszA3NDKzMDZR0lEKTi0uzszPAykwrAUAL2FY0ywAAAA="/>
  </w:docVars>
  <w:rsids>
    <w:rsidRoot w:val="009E7506"/>
    <w:rsid w:val="00000689"/>
    <w:rsid w:val="00000966"/>
    <w:rsid w:val="000009D6"/>
    <w:rsid w:val="00000A3E"/>
    <w:rsid w:val="00000CA4"/>
    <w:rsid w:val="00001D6F"/>
    <w:rsid w:val="00001DDF"/>
    <w:rsid w:val="000025DC"/>
    <w:rsid w:val="0000269B"/>
    <w:rsid w:val="000027D8"/>
    <w:rsid w:val="00002B69"/>
    <w:rsid w:val="00002F15"/>
    <w:rsid w:val="000034F1"/>
    <w:rsid w:val="00003B2B"/>
    <w:rsid w:val="00003BE9"/>
    <w:rsid w:val="000040F5"/>
    <w:rsid w:val="000044F7"/>
    <w:rsid w:val="000049C7"/>
    <w:rsid w:val="00004BEB"/>
    <w:rsid w:val="00004C5F"/>
    <w:rsid w:val="00005472"/>
    <w:rsid w:val="000054C0"/>
    <w:rsid w:val="000056FD"/>
    <w:rsid w:val="00005BC8"/>
    <w:rsid w:val="00006B21"/>
    <w:rsid w:val="00006E2A"/>
    <w:rsid w:val="00006E7A"/>
    <w:rsid w:val="0000761B"/>
    <w:rsid w:val="0000764E"/>
    <w:rsid w:val="0000769F"/>
    <w:rsid w:val="00007714"/>
    <w:rsid w:val="00007821"/>
    <w:rsid w:val="00007BA9"/>
    <w:rsid w:val="00010822"/>
    <w:rsid w:val="0001107E"/>
    <w:rsid w:val="00011928"/>
    <w:rsid w:val="00011EC1"/>
    <w:rsid w:val="00012102"/>
    <w:rsid w:val="0001221F"/>
    <w:rsid w:val="00012AA2"/>
    <w:rsid w:val="0001359A"/>
    <w:rsid w:val="00013BE2"/>
    <w:rsid w:val="00013DDC"/>
    <w:rsid w:val="0001438D"/>
    <w:rsid w:val="00014560"/>
    <w:rsid w:val="00014937"/>
    <w:rsid w:val="00014FE7"/>
    <w:rsid w:val="00015294"/>
    <w:rsid w:val="00015590"/>
    <w:rsid w:val="000155B4"/>
    <w:rsid w:val="000158EA"/>
    <w:rsid w:val="00015D77"/>
    <w:rsid w:val="000165A4"/>
    <w:rsid w:val="0001687B"/>
    <w:rsid w:val="00016990"/>
    <w:rsid w:val="00016C1E"/>
    <w:rsid w:val="00016F67"/>
    <w:rsid w:val="00017B14"/>
    <w:rsid w:val="00017D90"/>
    <w:rsid w:val="0002011B"/>
    <w:rsid w:val="000208AA"/>
    <w:rsid w:val="00020B2E"/>
    <w:rsid w:val="00021192"/>
    <w:rsid w:val="000216FA"/>
    <w:rsid w:val="00021C90"/>
    <w:rsid w:val="00021FCF"/>
    <w:rsid w:val="00022809"/>
    <w:rsid w:val="00022C0B"/>
    <w:rsid w:val="0002365D"/>
    <w:rsid w:val="00024F98"/>
    <w:rsid w:val="000250EC"/>
    <w:rsid w:val="00025A30"/>
    <w:rsid w:val="00025EC2"/>
    <w:rsid w:val="000263BB"/>
    <w:rsid w:val="00026557"/>
    <w:rsid w:val="00026D97"/>
    <w:rsid w:val="00026E8C"/>
    <w:rsid w:val="00026ED7"/>
    <w:rsid w:val="00027373"/>
    <w:rsid w:val="000275B3"/>
    <w:rsid w:val="00027E05"/>
    <w:rsid w:val="00030864"/>
    <w:rsid w:val="00031251"/>
    <w:rsid w:val="000321E4"/>
    <w:rsid w:val="0003280C"/>
    <w:rsid w:val="00032B98"/>
    <w:rsid w:val="000337E3"/>
    <w:rsid w:val="000338D2"/>
    <w:rsid w:val="00033AF1"/>
    <w:rsid w:val="00033FEC"/>
    <w:rsid w:val="0003424F"/>
    <w:rsid w:val="000344D1"/>
    <w:rsid w:val="000346F8"/>
    <w:rsid w:val="000348AE"/>
    <w:rsid w:val="00034933"/>
    <w:rsid w:val="00034D03"/>
    <w:rsid w:val="00034F07"/>
    <w:rsid w:val="0003520B"/>
    <w:rsid w:val="000352AF"/>
    <w:rsid w:val="000352CB"/>
    <w:rsid w:val="0003592D"/>
    <w:rsid w:val="00035C1C"/>
    <w:rsid w:val="000360A7"/>
    <w:rsid w:val="000366C2"/>
    <w:rsid w:val="00036B50"/>
    <w:rsid w:val="00036D0D"/>
    <w:rsid w:val="00036E92"/>
    <w:rsid w:val="0003725D"/>
    <w:rsid w:val="0003743F"/>
    <w:rsid w:val="0003790E"/>
    <w:rsid w:val="00037AC1"/>
    <w:rsid w:val="000401DE"/>
    <w:rsid w:val="00040255"/>
    <w:rsid w:val="000402D6"/>
    <w:rsid w:val="00040447"/>
    <w:rsid w:val="00040708"/>
    <w:rsid w:val="000409BA"/>
    <w:rsid w:val="00040A30"/>
    <w:rsid w:val="00040A49"/>
    <w:rsid w:val="00040B46"/>
    <w:rsid w:val="000410FE"/>
    <w:rsid w:val="000414CF"/>
    <w:rsid w:val="00041BEF"/>
    <w:rsid w:val="0004279B"/>
    <w:rsid w:val="00043065"/>
    <w:rsid w:val="00043075"/>
    <w:rsid w:val="000431CF"/>
    <w:rsid w:val="00043834"/>
    <w:rsid w:val="00043D9E"/>
    <w:rsid w:val="000442EA"/>
    <w:rsid w:val="000444A2"/>
    <w:rsid w:val="0004465B"/>
    <w:rsid w:val="0004470F"/>
    <w:rsid w:val="00044B31"/>
    <w:rsid w:val="00044C6B"/>
    <w:rsid w:val="00045132"/>
    <w:rsid w:val="0004530D"/>
    <w:rsid w:val="00045737"/>
    <w:rsid w:val="0004629E"/>
    <w:rsid w:val="0004669F"/>
    <w:rsid w:val="000468B7"/>
    <w:rsid w:val="00046E71"/>
    <w:rsid w:val="0004758C"/>
    <w:rsid w:val="000476F1"/>
    <w:rsid w:val="00047AFA"/>
    <w:rsid w:val="00047B72"/>
    <w:rsid w:val="00047CF5"/>
    <w:rsid w:val="000501D4"/>
    <w:rsid w:val="000501D6"/>
    <w:rsid w:val="00050789"/>
    <w:rsid w:val="00050810"/>
    <w:rsid w:val="00050ED9"/>
    <w:rsid w:val="00051794"/>
    <w:rsid w:val="000528E9"/>
    <w:rsid w:val="000536B1"/>
    <w:rsid w:val="000539FB"/>
    <w:rsid w:val="00053C07"/>
    <w:rsid w:val="00053FC4"/>
    <w:rsid w:val="000541BA"/>
    <w:rsid w:val="000549B0"/>
    <w:rsid w:val="000555F4"/>
    <w:rsid w:val="000557A1"/>
    <w:rsid w:val="00055C2D"/>
    <w:rsid w:val="00055FB1"/>
    <w:rsid w:val="000561F9"/>
    <w:rsid w:val="00056548"/>
    <w:rsid w:val="0005750B"/>
    <w:rsid w:val="0005795B"/>
    <w:rsid w:val="00057F9D"/>
    <w:rsid w:val="0006038B"/>
    <w:rsid w:val="00060B0F"/>
    <w:rsid w:val="00060E46"/>
    <w:rsid w:val="00060EA1"/>
    <w:rsid w:val="0006116E"/>
    <w:rsid w:val="000613A8"/>
    <w:rsid w:val="00061665"/>
    <w:rsid w:val="000627CD"/>
    <w:rsid w:val="00062D82"/>
    <w:rsid w:val="00063A98"/>
    <w:rsid w:val="00063C06"/>
    <w:rsid w:val="00063DB9"/>
    <w:rsid w:val="00063F65"/>
    <w:rsid w:val="00063F89"/>
    <w:rsid w:val="00064368"/>
    <w:rsid w:val="00064DD7"/>
    <w:rsid w:val="00064E5C"/>
    <w:rsid w:val="000651F5"/>
    <w:rsid w:val="00065658"/>
    <w:rsid w:val="00066295"/>
    <w:rsid w:val="00066942"/>
    <w:rsid w:val="00066C6C"/>
    <w:rsid w:val="0006703F"/>
    <w:rsid w:val="000672E8"/>
    <w:rsid w:val="00067696"/>
    <w:rsid w:val="00067CBD"/>
    <w:rsid w:val="000706FA"/>
    <w:rsid w:val="000707E1"/>
    <w:rsid w:val="000709BD"/>
    <w:rsid w:val="00070BE9"/>
    <w:rsid w:val="00071755"/>
    <w:rsid w:val="00071A6F"/>
    <w:rsid w:val="00072852"/>
    <w:rsid w:val="00073452"/>
    <w:rsid w:val="0007394A"/>
    <w:rsid w:val="00074B2B"/>
    <w:rsid w:val="00074DDA"/>
    <w:rsid w:val="0007529B"/>
    <w:rsid w:val="00075C4B"/>
    <w:rsid w:val="00075CD1"/>
    <w:rsid w:val="00076133"/>
    <w:rsid w:val="000762CD"/>
    <w:rsid w:val="000766BB"/>
    <w:rsid w:val="00076715"/>
    <w:rsid w:val="00076A65"/>
    <w:rsid w:val="00077145"/>
    <w:rsid w:val="000779A1"/>
    <w:rsid w:val="00080068"/>
    <w:rsid w:val="0008008B"/>
    <w:rsid w:val="00080194"/>
    <w:rsid w:val="000801E1"/>
    <w:rsid w:val="00080D31"/>
    <w:rsid w:val="00080F75"/>
    <w:rsid w:val="00081939"/>
    <w:rsid w:val="00081E36"/>
    <w:rsid w:val="00082195"/>
    <w:rsid w:val="000824FE"/>
    <w:rsid w:val="00082B00"/>
    <w:rsid w:val="00082D51"/>
    <w:rsid w:val="00082EA2"/>
    <w:rsid w:val="00083062"/>
    <w:rsid w:val="00083502"/>
    <w:rsid w:val="0008352A"/>
    <w:rsid w:val="00083E9E"/>
    <w:rsid w:val="000848D3"/>
    <w:rsid w:val="00084C78"/>
    <w:rsid w:val="00085303"/>
    <w:rsid w:val="0008584A"/>
    <w:rsid w:val="00085A84"/>
    <w:rsid w:val="00085C39"/>
    <w:rsid w:val="00085D8E"/>
    <w:rsid w:val="00086774"/>
    <w:rsid w:val="00086C8E"/>
    <w:rsid w:val="00087161"/>
    <w:rsid w:val="000873DB"/>
    <w:rsid w:val="00087DDC"/>
    <w:rsid w:val="00087EBC"/>
    <w:rsid w:val="0009028A"/>
    <w:rsid w:val="000903E1"/>
    <w:rsid w:val="00090C73"/>
    <w:rsid w:val="000913D2"/>
    <w:rsid w:val="0009141E"/>
    <w:rsid w:val="00091945"/>
    <w:rsid w:val="00091AB9"/>
    <w:rsid w:val="00091CD2"/>
    <w:rsid w:val="00091D97"/>
    <w:rsid w:val="000920C6"/>
    <w:rsid w:val="000925B3"/>
    <w:rsid w:val="00092CFC"/>
    <w:rsid w:val="000933AA"/>
    <w:rsid w:val="00093609"/>
    <w:rsid w:val="0009371B"/>
    <w:rsid w:val="00093DD6"/>
    <w:rsid w:val="00094688"/>
    <w:rsid w:val="00094862"/>
    <w:rsid w:val="00094B0B"/>
    <w:rsid w:val="00094EBA"/>
    <w:rsid w:val="00095457"/>
    <w:rsid w:val="000956AA"/>
    <w:rsid w:val="00096093"/>
    <w:rsid w:val="000960CF"/>
    <w:rsid w:val="0009650E"/>
    <w:rsid w:val="00096D96"/>
    <w:rsid w:val="00097351"/>
    <w:rsid w:val="0009738B"/>
    <w:rsid w:val="00097592"/>
    <w:rsid w:val="000978ED"/>
    <w:rsid w:val="000979E3"/>
    <w:rsid w:val="00097AA7"/>
    <w:rsid w:val="00097ACE"/>
    <w:rsid w:val="00097F0A"/>
    <w:rsid w:val="00097F4F"/>
    <w:rsid w:val="000A120A"/>
    <w:rsid w:val="000A137D"/>
    <w:rsid w:val="000A189C"/>
    <w:rsid w:val="000A2483"/>
    <w:rsid w:val="000A26E4"/>
    <w:rsid w:val="000A28E9"/>
    <w:rsid w:val="000A2A58"/>
    <w:rsid w:val="000A2B48"/>
    <w:rsid w:val="000A3C73"/>
    <w:rsid w:val="000A4438"/>
    <w:rsid w:val="000A48C8"/>
    <w:rsid w:val="000A4BC4"/>
    <w:rsid w:val="000A4F03"/>
    <w:rsid w:val="000A4FA2"/>
    <w:rsid w:val="000A5117"/>
    <w:rsid w:val="000A51BF"/>
    <w:rsid w:val="000A5233"/>
    <w:rsid w:val="000A564D"/>
    <w:rsid w:val="000A571D"/>
    <w:rsid w:val="000A5ECB"/>
    <w:rsid w:val="000A6262"/>
    <w:rsid w:val="000A690A"/>
    <w:rsid w:val="000A6E3A"/>
    <w:rsid w:val="000A6F84"/>
    <w:rsid w:val="000A717B"/>
    <w:rsid w:val="000A748B"/>
    <w:rsid w:val="000A7750"/>
    <w:rsid w:val="000A7913"/>
    <w:rsid w:val="000A7C2E"/>
    <w:rsid w:val="000A7EDD"/>
    <w:rsid w:val="000B02ED"/>
    <w:rsid w:val="000B0CE7"/>
    <w:rsid w:val="000B11E4"/>
    <w:rsid w:val="000B12D6"/>
    <w:rsid w:val="000B135A"/>
    <w:rsid w:val="000B1A4B"/>
    <w:rsid w:val="000B1BF5"/>
    <w:rsid w:val="000B1DB1"/>
    <w:rsid w:val="000B2467"/>
    <w:rsid w:val="000B2697"/>
    <w:rsid w:val="000B2F70"/>
    <w:rsid w:val="000B3165"/>
    <w:rsid w:val="000B37A4"/>
    <w:rsid w:val="000B3B7A"/>
    <w:rsid w:val="000B4048"/>
    <w:rsid w:val="000B47CA"/>
    <w:rsid w:val="000B48F4"/>
    <w:rsid w:val="000B4B9C"/>
    <w:rsid w:val="000B55D4"/>
    <w:rsid w:val="000B55DD"/>
    <w:rsid w:val="000B588D"/>
    <w:rsid w:val="000B58DB"/>
    <w:rsid w:val="000B59DF"/>
    <w:rsid w:val="000B5C47"/>
    <w:rsid w:val="000B6B77"/>
    <w:rsid w:val="000B6F1D"/>
    <w:rsid w:val="000B6FFE"/>
    <w:rsid w:val="000B71D3"/>
    <w:rsid w:val="000B75A2"/>
    <w:rsid w:val="000B763D"/>
    <w:rsid w:val="000B77B8"/>
    <w:rsid w:val="000B7A75"/>
    <w:rsid w:val="000B7F8A"/>
    <w:rsid w:val="000C018C"/>
    <w:rsid w:val="000C02AC"/>
    <w:rsid w:val="000C03A5"/>
    <w:rsid w:val="000C03B6"/>
    <w:rsid w:val="000C0DAE"/>
    <w:rsid w:val="000C0DB1"/>
    <w:rsid w:val="000C1650"/>
    <w:rsid w:val="000C1723"/>
    <w:rsid w:val="000C194A"/>
    <w:rsid w:val="000C1A2B"/>
    <w:rsid w:val="000C1D5C"/>
    <w:rsid w:val="000C2AB4"/>
    <w:rsid w:val="000C2B99"/>
    <w:rsid w:val="000C2F43"/>
    <w:rsid w:val="000C37EE"/>
    <w:rsid w:val="000C4121"/>
    <w:rsid w:val="000C45E4"/>
    <w:rsid w:val="000C5E63"/>
    <w:rsid w:val="000C61CC"/>
    <w:rsid w:val="000C66D9"/>
    <w:rsid w:val="000C704E"/>
    <w:rsid w:val="000C71D7"/>
    <w:rsid w:val="000C7276"/>
    <w:rsid w:val="000C746F"/>
    <w:rsid w:val="000C7916"/>
    <w:rsid w:val="000C7C56"/>
    <w:rsid w:val="000C7E0D"/>
    <w:rsid w:val="000C7F8C"/>
    <w:rsid w:val="000D0043"/>
    <w:rsid w:val="000D03E2"/>
    <w:rsid w:val="000D04E8"/>
    <w:rsid w:val="000D0826"/>
    <w:rsid w:val="000D0EEB"/>
    <w:rsid w:val="000D11AE"/>
    <w:rsid w:val="000D11F1"/>
    <w:rsid w:val="000D137C"/>
    <w:rsid w:val="000D1FC9"/>
    <w:rsid w:val="000D237E"/>
    <w:rsid w:val="000D23A9"/>
    <w:rsid w:val="000D26EA"/>
    <w:rsid w:val="000D2BD5"/>
    <w:rsid w:val="000D381E"/>
    <w:rsid w:val="000D3CEC"/>
    <w:rsid w:val="000D3E6C"/>
    <w:rsid w:val="000D3EF5"/>
    <w:rsid w:val="000D4094"/>
    <w:rsid w:val="000D53AA"/>
    <w:rsid w:val="000D57ED"/>
    <w:rsid w:val="000D5E69"/>
    <w:rsid w:val="000D6030"/>
    <w:rsid w:val="000D7110"/>
    <w:rsid w:val="000D73EA"/>
    <w:rsid w:val="000D7778"/>
    <w:rsid w:val="000E039B"/>
    <w:rsid w:val="000E07B9"/>
    <w:rsid w:val="000E1378"/>
    <w:rsid w:val="000E13A0"/>
    <w:rsid w:val="000E160B"/>
    <w:rsid w:val="000E1F3E"/>
    <w:rsid w:val="000E1FB6"/>
    <w:rsid w:val="000E285A"/>
    <w:rsid w:val="000E286F"/>
    <w:rsid w:val="000E2894"/>
    <w:rsid w:val="000E2D2B"/>
    <w:rsid w:val="000E2E38"/>
    <w:rsid w:val="000E3068"/>
    <w:rsid w:val="000E3879"/>
    <w:rsid w:val="000E3DC8"/>
    <w:rsid w:val="000E3FD0"/>
    <w:rsid w:val="000E40BB"/>
    <w:rsid w:val="000E41C6"/>
    <w:rsid w:val="000E4E3A"/>
    <w:rsid w:val="000E4E48"/>
    <w:rsid w:val="000E50E2"/>
    <w:rsid w:val="000E579E"/>
    <w:rsid w:val="000E5D0F"/>
    <w:rsid w:val="000E5FE6"/>
    <w:rsid w:val="000E6677"/>
    <w:rsid w:val="000E67F7"/>
    <w:rsid w:val="000E6822"/>
    <w:rsid w:val="000E6A1A"/>
    <w:rsid w:val="000E78DC"/>
    <w:rsid w:val="000E79BC"/>
    <w:rsid w:val="000E7E48"/>
    <w:rsid w:val="000F0045"/>
    <w:rsid w:val="000F07C5"/>
    <w:rsid w:val="000F086F"/>
    <w:rsid w:val="000F091C"/>
    <w:rsid w:val="000F0BED"/>
    <w:rsid w:val="000F104E"/>
    <w:rsid w:val="000F109B"/>
    <w:rsid w:val="000F13BD"/>
    <w:rsid w:val="000F1996"/>
    <w:rsid w:val="000F19B1"/>
    <w:rsid w:val="000F251A"/>
    <w:rsid w:val="000F25C4"/>
    <w:rsid w:val="000F27C3"/>
    <w:rsid w:val="000F2CAA"/>
    <w:rsid w:val="000F2E52"/>
    <w:rsid w:val="000F327A"/>
    <w:rsid w:val="000F35B5"/>
    <w:rsid w:val="000F3C5B"/>
    <w:rsid w:val="000F41C0"/>
    <w:rsid w:val="000F44C0"/>
    <w:rsid w:val="000F4551"/>
    <w:rsid w:val="000F47F5"/>
    <w:rsid w:val="000F485A"/>
    <w:rsid w:val="000F4A22"/>
    <w:rsid w:val="000F4C65"/>
    <w:rsid w:val="000F51F2"/>
    <w:rsid w:val="000F543F"/>
    <w:rsid w:val="000F5462"/>
    <w:rsid w:val="000F57C3"/>
    <w:rsid w:val="000F5AB9"/>
    <w:rsid w:val="000F6FF1"/>
    <w:rsid w:val="000F70A0"/>
    <w:rsid w:val="000F7324"/>
    <w:rsid w:val="000F7A85"/>
    <w:rsid w:val="000F7B4B"/>
    <w:rsid w:val="000F7E1B"/>
    <w:rsid w:val="0010014A"/>
    <w:rsid w:val="001002F1"/>
    <w:rsid w:val="00100510"/>
    <w:rsid w:val="00100D37"/>
    <w:rsid w:val="00101474"/>
    <w:rsid w:val="00101638"/>
    <w:rsid w:val="00101868"/>
    <w:rsid w:val="00102973"/>
    <w:rsid w:val="00102C16"/>
    <w:rsid w:val="00102F9D"/>
    <w:rsid w:val="00103493"/>
    <w:rsid w:val="00103A1C"/>
    <w:rsid w:val="00103BB6"/>
    <w:rsid w:val="00103D70"/>
    <w:rsid w:val="00103D9E"/>
    <w:rsid w:val="00103EA9"/>
    <w:rsid w:val="00104326"/>
    <w:rsid w:val="00104CE7"/>
    <w:rsid w:val="00105140"/>
    <w:rsid w:val="001052F0"/>
    <w:rsid w:val="00105309"/>
    <w:rsid w:val="00105773"/>
    <w:rsid w:val="0010597B"/>
    <w:rsid w:val="00105D34"/>
    <w:rsid w:val="00106576"/>
    <w:rsid w:val="001065CA"/>
    <w:rsid w:val="00106BCF"/>
    <w:rsid w:val="00106C7B"/>
    <w:rsid w:val="00106E6F"/>
    <w:rsid w:val="001072BA"/>
    <w:rsid w:val="0010767A"/>
    <w:rsid w:val="00107758"/>
    <w:rsid w:val="00107D38"/>
    <w:rsid w:val="00107DA0"/>
    <w:rsid w:val="001100BF"/>
    <w:rsid w:val="0011076A"/>
    <w:rsid w:val="00110AE7"/>
    <w:rsid w:val="00111119"/>
    <w:rsid w:val="00111286"/>
    <w:rsid w:val="001112CB"/>
    <w:rsid w:val="00111E3C"/>
    <w:rsid w:val="00112107"/>
    <w:rsid w:val="001121E6"/>
    <w:rsid w:val="0011244B"/>
    <w:rsid w:val="00112984"/>
    <w:rsid w:val="00112A4F"/>
    <w:rsid w:val="00112D5F"/>
    <w:rsid w:val="001136F1"/>
    <w:rsid w:val="001145AD"/>
    <w:rsid w:val="00114F10"/>
    <w:rsid w:val="0011583B"/>
    <w:rsid w:val="00115A58"/>
    <w:rsid w:val="00115E47"/>
    <w:rsid w:val="0011655F"/>
    <w:rsid w:val="00116967"/>
    <w:rsid w:val="00116A3C"/>
    <w:rsid w:val="00116E60"/>
    <w:rsid w:val="00117C16"/>
    <w:rsid w:val="00117FDD"/>
    <w:rsid w:val="0012010F"/>
    <w:rsid w:val="00120788"/>
    <w:rsid w:val="001207F8"/>
    <w:rsid w:val="00120847"/>
    <w:rsid w:val="001208D6"/>
    <w:rsid w:val="00121209"/>
    <w:rsid w:val="00121649"/>
    <w:rsid w:val="00121A06"/>
    <w:rsid w:val="00121A62"/>
    <w:rsid w:val="00121F57"/>
    <w:rsid w:val="00122244"/>
    <w:rsid w:val="00122467"/>
    <w:rsid w:val="00122A4F"/>
    <w:rsid w:val="00122E60"/>
    <w:rsid w:val="00122E86"/>
    <w:rsid w:val="00123161"/>
    <w:rsid w:val="00123225"/>
    <w:rsid w:val="00123893"/>
    <w:rsid w:val="00123A6A"/>
    <w:rsid w:val="00123CD8"/>
    <w:rsid w:val="00123D71"/>
    <w:rsid w:val="0012400F"/>
    <w:rsid w:val="001242B6"/>
    <w:rsid w:val="001242EB"/>
    <w:rsid w:val="00124374"/>
    <w:rsid w:val="00124427"/>
    <w:rsid w:val="00124560"/>
    <w:rsid w:val="001245D5"/>
    <w:rsid w:val="00124752"/>
    <w:rsid w:val="00124C29"/>
    <w:rsid w:val="00125658"/>
    <w:rsid w:val="00125D7B"/>
    <w:rsid w:val="00126210"/>
    <w:rsid w:val="001264E9"/>
    <w:rsid w:val="00126BD0"/>
    <w:rsid w:val="00126E01"/>
    <w:rsid w:val="00126E60"/>
    <w:rsid w:val="00127042"/>
    <w:rsid w:val="001302E5"/>
    <w:rsid w:val="00131B1D"/>
    <w:rsid w:val="00132729"/>
    <w:rsid w:val="00132816"/>
    <w:rsid w:val="0013285F"/>
    <w:rsid w:val="00132D66"/>
    <w:rsid w:val="0013314C"/>
    <w:rsid w:val="0013394F"/>
    <w:rsid w:val="00133E50"/>
    <w:rsid w:val="0013402D"/>
    <w:rsid w:val="001342A1"/>
    <w:rsid w:val="001342EA"/>
    <w:rsid w:val="00134AF3"/>
    <w:rsid w:val="00134E8A"/>
    <w:rsid w:val="001358B0"/>
    <w:rsid w:val="00135D84"/>
    <w:rsid w:val="00135DFE"/>
    <w:rsid w:val="00136127"/>
    <w:rsid w:val="00136BD6"/>
    <w:rsid w:val="00136EDD"/>
    <w:rsid w:val="001373BF"/>
    <w:rsid w:val="00137415"/>
    <w:rsid w:val="0013760A"/>
    <w:rsid w:val="00140925"/>
    <w:rsid w:val="00140B47"/>
    <w:rsid w:val="001412C6"/>
    <w:rsid w:val="00141342"/>
    <w:rsid w:val="00141399"/>
    <w:rsid w:val="00141A2B"/>
    <w:rsid w:val="00141F27"/>
    <w:rsid w:val="001421BE"/>
    <w:rsid w:val="001421C3"/>
    <w:rsid w:val="00142299"/>
    <w:rsid w:val="00142588"/>
    <w:rsid w:val="00142631"/>
    <w:rsid w:val="00142BFC"/>
    <w:rsid w:val="00142CCB"/>
    <w:rsid w:val="00142D6A"/>
    <w:rsid w:val="00142EB0"/>
    <w:rsid w:val="00143177"/>
    <w:rsid w:val="0014331F"/>
    <w:rsid w:val="00143587"/>
    <w:rsid w:val="00143603"/>
    <w:rsid w:val="0014371C"/>
    <w:rsid w:val="00143E7B"/>
    <w:rsid w:val="00143FCE"/>
    <w:rsid w:val="001442D0"/>
    <w:rsid w:val="001444AC"/>
    <w:rsid w:val="00145089"/>
    <w:rsid w:val="001455EC"/>
    <w:rsid w:val="00145D49"/>
    <w:rsid w:val="0014621E"/>
    <w:rsid w:val="00146C45"/>
    <w:rsid w:val="00146C5A"/>
    <w:rsid w:val="00147135"/>
    <w:rsid w:val="00147700"/>
    <w:rsid w:val="00147714"/>
    <w:rsid w:val="00147CA5"/>
    <w:rsid w:val="00150747"/>
    <w:rsid w:val="0015084F"/>
    <w:rsid w:val="00150A97"/>
    <w:rsid w:val="00150CC4"/>
    <w:rsid w:val="00150E3A"/>
    <w:rsid w:val="001517C5"/>
    <w:rsid w:val="001520F2"/>
    <w:rsid w:val="00152957"/>
    <w:rsid w:val="001534EF"/>
    <w:rsid w:val="00153BF5"/>
    <w:rsid w:val="00154801"/>
    <w:rsid w:val="00154BAF"/>
    <w:rsid w:val="00155CB0"/>
    <w:rsid w:val="00156322"/>
    <w:rsid w:val="00156631"/>
    <w:rsid w:val="00156A4A"/>
    <w:rsid w:val="0015728F"/>
    <w:rsid w:val="00157A1D"/>
    <w:rsid w:val="001604FA"/>
    <w:rsid w:val="00160C67"/>
    <w:rsid w:val="001612B1"/>
    <w:rsid w:val="00161817"/>
    <w:rsid w:val="00161E4B"/>
    <w:rsid w:val="00162F3F"/>
    <w:rsid w:val="0016356D"/>
    <w:rsid w:val="00163773"/>
    <w:rsid w:val="00163AFD"/>
    <w:rsid w:val="00163B3E"/>
    <w:rsid w:val="00163B8B"/>
    <w:rsid w:val="00163BF1"/>
    <w:rsid w:val="00163EB5"/>
    <w:rsid w:val="00164167"/>
    <w:rsid w:val="00165470"/>
    <w:rsid w:val="0016550B"/>
    <w:rsid w:val="00165AD8"/>
    <w:rsid w:val="00165CB6"/>
    <w:rsid w:val="0016745D"/>
    <w:rsid w:val="00167552"/>
    <w:rsid w:val="0016756C"/>
    <w:rsid w:val="00167717"/>
    <w:rsid w:val="001679D2"/>
    <w:rsid w:val="00167A2B"/>
    <w:rsid w:val="00167F9F"/>
    <w:rsid w:val="00170181"/>
    <w:rsid w:val="0017031F"/>
    <w:rsid w:val="00170326"/>
    <w:rsid w:val="00170921"/>
    <w:rsid w:val="001713DB"/>
    <w:rsid w:val="00171874"/>
    <w:rsid w:val="00171C35"/>
    <w:rsid w:val="0017202B"/>
    <w:rsid w:val="001722AB"/>
    <w:rsid w:val="001725CB"/>
    <w:rsid w:val="001726C7"/>
    <w:rsid w:val="00172731"/>
    <w:rsid w:val="00172D98"/>
    <w:rsid w:val="0017329E"/>
    <w:rsid w:val="00173BDB"/>
    <w:rsid w:val="00173DA9"/>
    <w:rsid w:val="00174032"/>
    <w:rsid w:val="0017409B"/>
    <w:rsid w:val="00174187"/>
    <w:rsid w:val="0017494C"/>
    <w:rsid w:val="0017534F"/>
    <w:rsid w:val="0017545B"/>
    <w:rsid w:val="001757F0"/>
    <w:rsid w:val="00175B64"/>
    <w:rsid w:val="00175F0F"/>
    <w:rsid w:val="00175F29"/>
    <w:rsid w:val="00175F62"/>
    <w:rsid w:val="001767EA"/>
    <w:rsid w:val="0017681B"/>
    <w:rsid w:val="0017681D"/>
    <w:rsid w:val="00176B68"/>
    <w:rsid w:val="00176BF3"/>
    <w:rsid w:val="00176EBD"/>
    <w:rsid w:val="00176FE0"/>
    <w:rsid w:val="00177726"/>
    <w:rsid w:val="00177C7E"/>
    <w:rsid w:val="00177E65"/>
    <w:rsid w:val="001806D4"/>
    <w:rsid w:val="001808E2"/>
    <w:rsid w:val="00182086"/>
    <w:rsid w:val="0018234D"/>
    <w:rsid w:val="00182E98"/>
    <w:rsid w:val="00182FA2"/>
    <w:rsid w:val="0018418A"/>
    <w:rsid w:val="001845B8"/>
    <w:rsid w:val="0018479C"/>
    <w:rsid w:val="00184B73"/>
    <w:rsid w:val="00184CBA"/>
    <w:rsid w:val="00184D8B"/>
    <w:rsid w:val="0018512D"/>
    <w:rsid w:val="00185240"/>
    <w:rsid w:val="00185547"/>
    <w:rsid w:val="0018569F"/>
    <w:rsid w:val="001858A1"/>
    <w:rsid w:val="001858C8"/>
    <w:rsid w:val="00185ECB"/>
    <w:rsid w:val="0018612D"/>
    <w:rsid w:val="001868D1"/>
    <w:rsid w:val="00186F18"/>
    <w:rsid w:val="001875AB"/>
    <w:rsid w:val="00187A31"/>
    <w:rsid w:val="00187ADE"/>
    <w:rsid w:val="0019073C"/>
    <w:rsid w:val="00190BFC"/>
    <w:rsid w:val="0019139B"/>
    <w:rsid w:val="00191632"/>
    <w:rsid w:val="00191799"/>
    <w:rsid w:val="00191A4F"/>
    <w:rsid w:val="00191C10"/>
    <w:rsid w:val="00191F5D"/>
    <w:rsid w:val="00192660"/>
    <w:rsid w:val="0019291D"/>
    <w:rsid w:val="001935DB"/>
    <w:rsid w:val="00193A6E"/>
    <w:rsid w:val="00193AF8"/>
    <w:rsid w:val="00193B21"/>
    <w:rsid w:val="00193FEB"/>
    <w:rsid w:val="001940FE"/>
    <w:rsid w:val="00194113"/>
    <w:rsid w:val="00194926"/>
    <w:rsid w:val="00194A4F"/>
    <w:rsid w:val="00194E52"/>
    <w:rsid w:val="00194FE9"/>
    <w:rsid w:val="00195B49"/>
    <w:rsid w:val="00195FB0"/>
    <w:rsid w:val="001968E1"/>
    <w:rsid w:val="00196E3B"/>
    <w:rsid w:val="001975DB"/>
    <w:rsid w:val="00197622"/>
    <w:rsid w:val="001A0139"/>
    <w:rsid w:val="001A1B5E"/>
    <w:rsid w:val="001A1C06"/>
    <w:rsid w:val="001A1E61"/>
    <w:rsid w:val="001A1EFF"/>
    <w:rsid w:val="001A28EF"/>
    <w:rsid w:val="001A3D97"/>
    <w:rsid w:val="001A42EB"/>
    <w:rsid w:val="001A493C"/>
    <w:rsid w:val="001A4CD9"/>
    <w:rsid w:val="001A4E22"/>
    <w:rsid w:val="001A55F1"/>
    <w:rsid w:val="001A5A9B"/>
    <w:rsid w:val="001A6C0F"/>
    <w:rsid w:val="001A6C52"/>
    <w:rsid w:val="001A6D2C"/>
    <w:rsid w:val="001B0B7A"/>
    <w:rsid w:val="001B0C72"/>
    <w:rsid w:val="001B0D9A"/>
    <w:rsid w:val="001B0E74"/>
    <w:rsid w:val="001B1657"/>
    <w:rsid w:val="001B1C52"/>
    <w:rsid w:val="001B247C"/>
    <w:rsid w:val="001B2C21"/>
    <w:rsid w:val="001B2C44"/>
    <w:rsid w:val="001B2E42"/>
    <w:rsid w:val="001B31CC"/>
    <w:rsid w:val="001B336E"/>
    <w:rsid w:val="001B33FA"/>
    <w:rsid w:val="001B352F"/>
    <w:rsid w:val="001B371C"/>
    <w:rsid w:val="001B3C20"/>
    <w:rsid w:val="001B45D1"/>
    <w:rsid w:val="001B488B"/>
    <w:rsid w:val="001B508E"/>
    <w:rsid w:val="001B6624"/>
    <w:rsid w:val="001B68C5"/>
    <w:rsid w:val="001B6950"/>
    <w:rsid w:val="001B6B13"/>
    <w:rsid w:val="001B6B96"/>
    <w:rsid w:val="001B6E4C"/>
    <w:rsid w:val="001B7121"/>
    <w:rsid w:val="001B7722"/>
    <w:rsid w:val="001C00BA"/>
    <w:rsid w:val="001C0E39"/>
    <w:rsid w:val="001C1100"/>
    <w:rsid w:val="001C13F5"/>
    <w:rsid w:val="001C1787"/>
    <w:rsid w:val="001C1875"/>
    <w:rsid w:val="001C19BB"/>
    <w:rsid w:val="001C1C3C"/>
    <w:rsid w:val="001C1CC7"/>
    <w:rsid w:val="001C1D57"/>
    <w:rsid w:val="001C1ED6"/>
    <w:rsid w:val="001C25E2"/>
    <w:rsid w:val="001C2F00"/>
    <w:rsid w:val="001C332B"/>
    <w:rsid w:val="001C3428"/>
    <w:rsid w:val="001C3484"/>
    <w:rsid w:val="001C39E2"/>
    <w:rsid w:val="001C418F"/>
    <w:rsid w:val="001C471F"/>
    <w:rsid w:val="001C4C9D"/>
    <w:rsid w:val="001C4EC5"/>
    <w:rsid w:val="001C538D"/>
    <w:rsid w:val="001C5C63"/>
    <w:rsid w:val="001C6A58"/>
    <w:rsid w:val="001C7668"/>
    <w:rsid w:val="001C788D"/>
    <w:rsid w:val="001D097A"/>
    <w:rsid w:val="001D0DBF"/>
    <w:rsid w:val="001D14C4"/>
    <w:rsid w:val="001D170E"/>
    <w:rsid w:val="001D1870"/>
    <w:rsid w:val="001D1D01"/>
    <w:rsid w:val="001D1E63"/>
    <w:rsid w:val="001D233A"/>
    <w:rsid w:val="001D26BD"/>
    <w:rsid w:val="001D2D7E"/>
    <w:rsid w:val="001D309D"/>
    <w:rsid w:val="001D36E0"/>
    <w:rsid w:val="001D41DF"/>
    <w:rsid w:val="001D4386"/>
    <w:rsid w:val="001D470A"/>
    <w:rsid w:val="001D4C43"/>
    <w:rsid w:val="001D4E47"/>
    <w:rsid w:val="001D4E98"/>
    <w:rsid w:val="001D52ED"/>
    <w:rsid w:val="001D53C0"/>
    <w:rsid w:val="001D56EC"/>
    <w:rsid w:val="001D5EA5"/>
    <w:rsid w:val="001D5F7F"/>
    <w:rsid w:val="001D63DD"/>
    <w:rsid w:val="001D6766"/>
    <w:rsid w:val="001D7964"/>
    <w:rsid w:val="001E01EE"/>
    <w:rsid w:val="001E09FB"/>
    <w:rsid w:val="001E0A12"/>
    <w:rsid w:val="001E107A"/>
    <w:rsid w:val="001E1701"/>
    <w:rsid w:val="001E1C78"/>
    <w:rsid w:val="001E1D0D"/>
    <w:rsid w:val="001E1DBC"/>
    <w:rsid w:val="001E28E3"/>
    <w:rsid w:val="001E32D6"/>
    <w:rsid w:val="001E3A83"/>
    <w:rsid w:val="001E418E"/>
    <w:rsid w:val="001E4AD7"/>
    <w:rsid w:val="001E4B5D"/>
    <w:rsid w:val="001E566B"/>
    <w:rsid w:val="001E582A"/>
    <w:rsid w:val="001E5B2E"/>
    <w:rsid w:val="001E5F58"/>
    <w:rsid w:val="001E62B6"/>
    <w:rsid w:val="001E674F"/>
    <w:rsid w:val="001E6E32"/>
    <w:rsid w:val="001E6EAB"/>
    <w:rsid w:val="001E72FC"/>
    <w:rsid w:val="001E745F"/>
    <w:rsid w:val="001E77A9"/>
    <w:rsid w:val="001F08BD"/>
    <w:rsid w:val="001F09A8"/>
    <w:rsid w:val="001F0AA4"/>
    <w:rsid w:val="001F0E11"/>
    <w:rsid w:val="001F1381"/>
    <w:rsid w:val="001F15C2"/>
    <w:rsid w:val="001F180D"/>
    <w:rsid w:val="001F1979"/>
    <w:rsid w:val="001F2626"/>
    <w:rsid w:val="001F28DF"/>
    <w:rsid w:val="001F2A5F"/>
    <w:rsid w:val="001F30C1"/>
    <w:rsid w:val="001F3E07"/>
    <w:rsid w:val="001F4768"/>
    <w:rsid w:val="001F4A7C"/>
    <w:rsid w:val="001F4BE8"/>
    <w:rsid w:val="001F4F49"/>
    <w:rsid w:val="001F4FCF"/>
    <w:rsid w:val="001F575F"/>
    <w:rsid w:val="001F5A8B"/>
    <w:rsid w:val="001F638D"/>
    <w:rsid w:val="001F68ED"/>
    <w:rsid w:val="001F6A37"/>
    <w:rsid w:val="001F7135"/>
    <w:rsid w:val="002000DE"/>
    <w:rsid w:val="00200685"/>
    <w:rsid w:val="002007B6"/>
    <w:rsid w:val="00200945"/>
    <w:rsid w:val="0020099F"/>
    <w:rsid w:val="00200B7C"/>
    <w:rsid w:val="00201116"/>
    <w:rsid w:val="002013F9"/>
    <w:rsid w:val="002015D0"/>
    <w:rsid w:val="00201CD6"/>
    <w:rsid w:val="00201EB0"/>
    <w:rsid w:val="00201EF2"/>
    <w:rsid w:val="002022AD"/>
    <w:rsid w:val="0020238B"/>
    <w:rsid w:val="00202639"/>
    <w:rsid w:val="00202973"/>
    <w:rsid w:val="00203471"/>
    <w:rsid w:val="00203A63"/>
    <w:rsid w:val="00203A67"/>
    <w:rsid w:val="00203D02"/>
    <w:rsid w:val="00203E62"/>
    <w:rsid w:val="0020422A"/>
    <w:rsid w:val="002042BF"/>
    <w:rsid w:val="00204720"/>
    <w:rsid w:val="00204FEF"/>
    <w:rsid w:val="00205C09"/>
    <w:rsid w:val="00205DCA"/>
    <w:rsid w:val="002061B5"/>
    <w:rsid w:val="00206201"/>
    <w:rsid w:val="00206268"/>
    <w:rsid w:val="0020635E"/>
    <w:rsid w:val="00206ABB"/>
    <w:rsid w:val="00206B4A"/>
    <w:rsid w:val="0020779D"/>
    <w:rsid w:val="00207976"/>
    <w:rsid w:val="00207DC7"/>
    <w:rsid w:val="002105E8"/>
    <w:rsid w:val="002106E9"/>
    <w:rsid w:val="0021097B"/>
    <w:rsid w:val="00210A11"/>
    <w:rsid w:val="00210EEA"/>
    <w:rsid w:val="00211313"/>
    <w:rsid w:val="002118D3"/>
    <w:rsid w:val="00212839"/>
    <w:rsid w:val="0021291D"/>
    <w:rsid w:val="00212DAB"/>
    <w:rsid w:val="00213195"/>
    <w:rsid w:val="00213644"/>
    <w:rsid w:val="0021465F"/>
    <w:rsid w:val="002149EE"/>
    <w:rsid w:val="00214CAB"/>
    <w:rsid w:val="00214DB9"/>
    <w:rsid w:val="00215772"/>
    <w:rsid w:val="00215A65"/>
    <w:rsid w:val="002165BB"/>
    <w:rsid w:val="0021724C"/>
    <w:rsid w:val="002172F4"/>
    <w:rsid w:val="0021747B"/>
    <w:rsid w:val="0021794E"/>
    <w:rsid w:val="00217D0A"/>
    <w:rsid w:val="00220A8E"/>
    <w:rsid w:val="00220D2E"/>
    <w:rsid w:val="00220F39"/>
    <w:rsid w:val="002218F8"/>
    <w:rsid w:val="002219F5"/>
    <w:rsid w:val="00221FE7"/>
    <w:rsid w:val="00222467"/>
    <w:rsid w:val="002224F7"/>
    <w:rsid w:val="0022270E"/>
    <w:rsid w:val="00222839"/>
    <w:rsid w:val="0022297B"/>
    <w:rsid w:val="00222E79"/>
    <w:rsid w:val="00222F1E"/>
    <w:rsid w:val="00223423"/>
    <w:rsid w:val="0022342A"/>
    <w:rsid w:val="002235F8"/>
    <w:rsid w:val="00223C5B"/>
    <w:rsid w:val="00224406"/>
    <w:rsid w:val="00224427"/>
    <w:rsid w:val="00224B37"/>
    <w:rsid w:val="00225096"/>
    <w:rsid w:val="00225A92"/>
    <w:rsid w:val="00225B4D"/>
    <w:rsid w:val="00225BA3"/>
    <w:rsid w:val="00226521"/>
    <w:rsid w:val="00226B0D"/>
    <w:rsid w:val="00226BFF"/>
    <w:rsid w:val="002273F7"/>
    <w:rsid w:val="0022746B"/>
    <w:rsid w:val="00227572"/>
    <w:rsid w:val="002275A9"/>
    <w:rsid w:val="00227627"/>
    <w:rsid w:val="002277C0"/>
    <w:rsid w:val="002304F5"/>
    <w:rsid w:val="0023096D"/>
    <w:rsid w:val="002310BE"/>
    <w:rsid w:val="002312AE"/>
    <w:rsid w:val="002312E9"/>
    <w:rsid w:val="002314CF"/>
    <w:rsid w:val="00231ACD"/>
    <w:rsid w:val="00231C06"/>
    <w:rsid w:val="002321C4"/>
    <w:rsid w:val="00232396"/>
    <w:rsid w:val="00232BAC"/>
    <w:rsid w:val="00232E47"/>
    <w:rsid w:val="00232FC3"/>
    <w:rsid w:val="002330DB"/>
    <w:rsid w:val="0023386E"/>
    <w:rsid w:val="00233C39"/>
    <w:rsid w:val="00234B86"/>
    <w:rsid w:val="00234F6B"/>
    <w:rsid w:val="00235345"/>
    <w:rsid w:val="00235702"/>
    <w:rsid w:val="00236004"/>
    <w:rsid w:val="002361A2"/>
    <w:rsid w:val="002365C8"/>
    <w:rsid w:val="00236DCA"/>
    <w:rsid w:val="002378CB"/>
    <w:rsid w:val="0023BF33"/>
    <w:rsid w:val="00240425"/>
    <w:rsid w:val="00240827"/>
    <w:rsid w:val="00240E48"/>
    <w:rsid w:val="0024101F"/>
    <w:rsid w:val="00241150"/>
    <w:rsid w:val="00241441"/>
    <w:rsid w:val="002416F5"/>
    <w:rsid w:val="002419E4"/>
    <w:rsid w:val="00242119"/>
    <w:rsid w:val="0024258B"/>
    <w:rsid w:val="00242BE6"/>
    <w:rsid w:val="00242F68"/>
    <w:rsid w:val="00243309"/>
    <w:rsid w:val="0024331C"/>
    <w:rsid w:val="002433A3"/>
    <w:rsid w:val="0024495E"/>
    <w:rsid w:val="00244D46"/>
    <w:rsid w:val="00244D4B"/>
    <w:rsid w:val="002456EE"/>
    <w:rsid w:val="00245BB5"/>
    <w:rsid w:val="00245D1A"/>
    <w:rsid w:val="00246958"/>
    <w:rsid w:val="00246AD5"/>
    <w:rsid w:val="00246D45"/>
    <w:rsid w:val="0024764D"/>
    <w:rsid w:val="00247C43"/>
    <w:rsid w:val="00247CCF"/>
    <w:rsid w:val="00247E11"/>
    <w:rsid w:val="00247F3B"/>
    <w:rsid w:val="0025077A"/>
    <w:rsid w:val="00250E49"/>
    <w:rsid w:val="002514B0"/>
    <w:rsid w:val="00251E6F"/>
    <w:rsid w:val="00252771"/>
    <w:rsid w:val="00253407"/>
    <w:rsid w:val="002536EC"/>
    <w:rsid w:val="00253C08"/>
    <w:rsid w:val="00253E68"/>
    <w:rsid w:val="00254169"/>
    <w:rsid w:val="002542FC"/>
    <w:rsid w:val="00254992"/>
    <w:rsid w:val="002554E6"/>
    <w:rsid w:val="00255544"/>
    <w:rsid w:val="00255554"/>
    <w:rsid w:val="00255A7C"/>
    <w:rsid w:val="00255B3C"/>
    <w:rsid w:val="00255F3F"/>
    <w:rsid w:val="00256B37"/>
    <w:rsid w:val="002570BD"/>
    <w:rsid w:val="00260184"/>
    <w:rsid w:val="00260333"/>
    <w:rsid w:val="002612BF"/>
    <w:rsid w:val="0026177A"/>
    <w:rsid w:val="00261949"/>
    <w:rsid w:val="00262332"/>
    <w:rsid w:val="00263297"/>
    <w:rsid w:val="00264511"/>
    <w:rsid w:val="00264FD9"/>
    <w:rsid w:val="00265CC9"/>
    <w:rsid w:val="00265E12"/>
    <w:rsid w:val="002668B9"/>
    <w:rsid w:val="002675CD"/>
    <w:rsid w:val="00267D59"/>
    <w:rsid w:val="00267DA2"/>
    <w:rsid w:val="002706EA"/>
    <w:rsid w:val="00270A03"/>
    <w:rsid w:val="00270E30"/>
    <w:rsid w:val="00271A8D"/>
    <w:rsid w:val="00271C77"/>
    <w:rsid w:val="00271E6D"/>
    <w:rsid w:val="00272160"/>
    <w:rsid w:val="0027248A"/>
    <w:rsid w:val="00272BD8"/>
    <w:rsid w:val="00272F9C"/>
    <w:rsid w:val="00273F23"/>
    <w:rsid w:val="00273FB5"/>
    <w:rsid w:val="0027422C"/>
    <w:rsid w:val="0027465F"/>
    <w:rsid w:val="00274666"/>
    <w:rsid w:val="00274AAC"/>
    <w:rsid w:val="00274B2F"/>
    <w:rsid w:val="00274C99"/>
    <w:rsid w:val="00274D6E"/>
    <w:rsid w:val="0027518E"/>
    <w:rsid w:val="0027574C"/>
    <w:rsid w:val="00275ECE"/>
    <w:rsid w:val="002762D1"/>
    <w:rsid w:val="002769ED"/>
    <w:rsid w:val="00276BD0"/>
    <w:rsid w:val="00276FB8"/>
    <w:rsid w:val="00277D50"/>
    <w:rsid w:val="002800FE"/>
    <w:rsid w:val="002804D7"/>
    <w:rsid w:val="00280686"/>
    <w:rsid w:val="00280893"/>
    <w:rsid w:val="0028093B"/>
    <w:rsid w:val="002810B8"/>
    <w:rsid w:val="00281724"/>
    <w:rsid w:val="00281803"/>
    <w:rsid w:val="00281AE9"/>
    <w:rsid w:val="00282188"/>
    <w:rsid w:val="002825D4"/>
    <w:rsid w:val="0028270C"/>
    <w:rsid w:val="00282823"/>
    <w:rsid w:val="00282A90"/>
    <w:rsid w:val="00282D5E"/>
    <w:rsid w:val="00283396"/>
    <w:rsid w:val="00283900"/>
    <w:rsid w:val="00283EF3"/>
    <w:rsid w:val="0028415B"/>
    <w:rsid w:val="0028453E"/>
    <w:rsid w:val="00284813"/>
    <w:rsid w:val="00285449"/>
    <w:rsid w:val="00286184"/>
    <w:rsid w:val="00286291"/>
    <w:rsid w:val="002864DA"/>
    <w:rsid w:val="0028692F"/>
    <w:rsid w:val="00286DBF"/>
    <w:rsid w:val="00287B24"/>
    <w:rsid w:val="00287E55"/>
    <w:rsid w:val="0029017F"/>
    <w:rsid w:val="00290228"/>
    <w:rsid w:val="00290891"/>
    <w:rsid w:val="002917D0"/>
    <w:rsid w:val="002917DE"/>
    <w:rsid w:val="00292B0E"/>
    <w:rsid w:val="00292C9F"/>
    <w:rsid w:val="00292EE5"/>
    <w:rsid w:val="00292FAE"/>
    <w:rsid w:val="002931B1"/>
    <w:rsid w:val="00293A92"/>
    <w:rsid w:val="00294503"/>
    <w:rsid w:val="0029488D"/>
    <w:rsid w:val="00294E0D"/>
    <w:rsid w:val="0029526A"/>
    <w:rsid w:val="00295379"/>
    <w:rsid w:val="00295425"/>
    <w:rsid w:val="002956F7"/>
    <w:rsid w:val="0029580D"/>
    <w:rsid w:val="00295842"/>
    <w:rsid w:val="002961FC"/>
    <w:rsid w:val="002968E8"/>
    <w:rsid w:val="00297A01"/>
    <w:rsid w:val="00297A6C"/>
    <w:rsid w:val="002A0008"/>
    <w:rsid w:val="002A03DB"/>
    <w:rsid w:val="002A07AE"/>
    <w:rsid w:val="002A09EB"/>
    <w:rsid w:val="002A0B07"/>
    <w:rsid w:val="002A0EFD"/>
    <w:rsid w:val="002A1178"/>
    <w:rsid w:val="002A18E0"/>
    <w:rsid w:val="002A1C1D"/>
    <w:rsid w:val="002A2174"/>
    <w:rsid w:val="002A21F9"/>
    <w:rsid w:val="002A2366"/>
    <w:rsid w:val="002A26B2"/>
    <w:rsid w:val="002A2756"/>
    <w:rsid w:val="002A29A9"/>
    <w:rsid w:val="002A2EF9"/>
    <w:rsid w:val="002A3542"/>
    <w:rsid w:val="002A46AE"/>
    <w:rsid w:val="002A48B3"/>
    <w:rsid w:val="002A4BE2"/>
    <w:rsid w:val="002A5104"/>
    <w:rsid w:val="002A5254"/>
    <w:rsid w:val="002A552F"/>
    <w:rsid w:val="002A59A7"/>
    <w:rsid w:val="002A5D2D"/>
    <w:rsid w:val="002A5DE6"/>
    <w:rsid w:val="002A605C"/>
    <w:rsid w:val="002A614A"/>
    <w:rsid w:val="002A6177"/>
    <w:rsid w:val="002A695D"/>
    <w:rsid w:val="002A6B7D"/>
    <w:rsid w:val="002A6C4B"/>
    <w:rsid w:val="002A6C7D"/>
    <w:rsid w:val="002A76E6"/>
    <w:rsid w:val="002B058F"/>
    <w:rsid w:val="002B05F0"/>
    <w:rsid w:val="002B0D58"/>
    <w:rsid w:val="002B1069"/>
    <w:rsid w:val="002B1A6C"/>
    <w:rsid w:val="002B248B"/>
    <w:rsid w:val="002B2F5E"/>
    <w:rsid w:val="002B335D"/>
    <w:rsid w:val="002B3A16"/>
    <w:rsid w:val="002B3BE4"/>
    <w:rsid w:val="002B4215"/>
    <w:rsid w:val="002B4CD8"/>
    <w:rsid w:val="002B4D12"/>
    <w:rsid w:val="002B4F61"/>
    <w:rsid w:val="002B51A8"/>
    <w:rsid w:val="002B5374"/>
    <w:rsid w:val="002B571D"/>
    <w:rsid w:val="002B57D3"/>
    <w:rsid w:val="002B5F9C"/>
    <w:rsid w:val="002B653C"/>
    <w:rsid w:val="002B68B8"/>
    <w:rsid w:val="002B7277"/>
    <w:rsid w:val="002C056C"/>
    <w:rsid w:val="002C070D"/>
    <w:rsid w:val="002C0770"/>
    <w:rsid w:val="002C0B57"/>
    <w:rsid w:val="002C0BE9"/>
    <w:rsid w:val="002C1980"/>
    <w:rsid w:val="002C1BA9"/>
    <w:rsid w:val="002C2AA8"/>
    <w:rsid w:val="002C309D"/>
    <w:rsid w:val="002C387D"/>
    <w:rsid w:val="002C391F"/>
    <w:rsid w:val="002C436E"/>
    <w:rsid w:val="002C4386"/>
    <w:rsid w:val="002C4710"/>
    <w:rsid w:val="002C49F6"/>
    <w:rsid w:val="002C4BF1"/>
    <w:rsid w:val="002C4E53"/>
    <w:rsid w:val="002C51B0"/>
    <w:rsid w:val="002C529F"/>
    <w:rsid w:val="002C5354"/>
    <w:rsid w:val="002C5A42"/>
    <w:rsid w:val="002C5CE3"/>
    <w:rsid w:val="002C638D"/>
    <w:rsid w:val="002C72B7"/>
    <w:rsid w:val="002C78E7"/>
    <w:rsid w:val="002C7AF8"/>
    <w:rsid w:val="002D01CF"/>
    <w:rsid w:val="002D0784"/>
    <w:rsid w:val="002D0FD9"/>
    <w:rsid w:val="002D1186"/>
    <w:rsid w:val="002D13BE"/>
    <w:rsid w:val="002D1ADE"/>
    <w:rsid w:val="002D1BB7"/>
    <w:rsid w:val="002D2274"/>
    <w:rsid w:val="002D2C25"/>
    <w:rsid w:val="002D2EF5"/>
    <w:rsid w:val="002D304C"/>
    <w:rsid w:val="002D31F9"/>
    <w:rsid w:val="002D3249"/>
    <w:rsid w:val="002D330E"/>
    <w:rsid w:val="002D3A92"/>
    <w:rsid w:val="002D3C64"/>
    <w:rsid w:val="002D3EB6"/>
    <w:rsid w:val="002D43F0"/>
    <w:rsid w:val="002D4CFD"/>
    <w:rsid w:val="002D4D7E"/>
    <w:rsid w:val="002D4D80"/>
    <w:rsid w:val="002D4E55"/>
    <w:rsid w:val="002D4E68"/>
    <w:rsid w:val="002D5156"/>
    <w:rsid w:val="002D5557"/>
    <w:rsid w:val="002D5594"/>
    <w:rsid w:val="002D55CD"/>
    <w:rsid w:val="002D5B5F"/>
    <w:rsid w:val="002D615C"/>
    <w:rsid w:val="002D630A"/>
    <w:rsid w:val="002D6374"/>
    <w:rsid w:val="002D63C5"/>
    <w:rsid w:val="002D6A5C"/>
    <w:rsid w:val="002D70E5"/>
    <w:rsid w:val="002D73FD"/>
    <w:rsid w:val="002D7484"/>
    <w:rsid w:val="002D7D40"/>
    <w:rsid w:val="002E01D3"/>
    <w:rsid w:val="002E0B06"/>
    <w:rsid w:val="002E0EE4"/>
    <w:rsid w:val="002E15DB"/>
    <w:rsid w:val="002E16A9"/>
    <w:rsid w:val="002E2219"/>
    <w:rsid w:val="002E253B"/>
    <w:rsid w:val="002E277A"/>
    <w:rsid w:val="002E2D9B"/>
    <w:rsid w:val="002E3E48"/>
    <w:rsid w:val="002E41AB"/>
    <w:rsid w:val="002E4299"/>
    <w:rsid w:val="002E4349"/>
    <w:rsid w:val="002E4F8A"/>
    <w:rsid w:val="002E5B25"/>
    <w:rsid w:val="002E5D06"/>
    <w:rsid w:val="002E5F33"/>
    <w:rsid w:val="002E60B5"/>
    <w:rsid w:val="002E6970"/>
    <w:rsid w:val="002E69D6"/>
    <w:rsid w:val="002E6C05"/>
    <w:rsid w:val="002E6F67"/>
    <w:rsid w:val="002E728C"/>
    <w:rsid w:val="002E788F"/>
    <w:rsid w:val="002E78D9"/>
    <w:rsid w:val="002E7D81"/>
    <w:rsid w:val="002F0036"/>
    <w:rsid w:val="002F0224"/>
    <w:rsid w:val="002F0639"/>
    <w:rsid w:val="002F15EE"/>
    <w:rsid w:val="002F1F03"/>
    <w:rsid w:val="002F243D"/>
    <w:rsid w:val="002F2592"/>
    <w:rsid w:val="002F270D"/>
    <w:rsid w:val="002F27A5"/>
    <w:rsid w:val="002F2842"/>
    <w:rsid w:val="002F2B41"/>
    <w:rsid w:val="002F2D1B"/>
    <w:rsid w:val="002F2FE9"/>
    <w:rsid w:val="002F3171"/>
    <w:rsid w:val="002F3284"/>
    <w:rsid w:val="002F3DC4"/>
    <w:rsid w:val="002F4135"/>
    <w:rsid w:val="002F4285"/>
    <w:rsid w:val="002F44FA"/>
    <w:rsid w:val="002F477C"/>
    <w:rsid w:val="002F47CC"/>
    <w:rsid w:val="002F4907"/>
    <w:rsid w:val="002F4F37"/>
    <w:rsid w:val="002F5412"/>
    <w:rsid w:val="002F5438"/>
    <w:rsid w:val="002F57AC"/>
    <w:rsid w:val="002F599A"/>
    <w:rsid w:val="002F63B3"/>
    <w:rsid w:val="002F6BEA"/>
    <w:rsid w:val="002F6C71"/>
    <w:rsid w:val="002F6C97"/>
    <w:rsid w:val="002F6E71"/>
    <w:rsid w:val="002F6FFE"/>
    <w:rsid w:val="002F7229"/>
    <w:rsid w:val="002F741E"/>
    <w:rsid w:val="002F762B"/>
    <w:rsid w:val="002F7924"/>
    <w:rsid w:val="002F7C9D"/>
    <w:rsid w:val="002F7D3F"/>
    <w:rsid w:val="002F7FEC"/>
    <w:rsid w:val="0030009C"/>
    <w:rsid w:val="003009A7"/>
    <w:rsid w:val="00300B9B"/>
    <w:rsid w:val="003011F6"/>
    <w:rsid w:val="00301269"/>
    <w:rsid w:val="0030155B"/>
    <w:rsid w:val="003016D0"/>
    <w:rsid w:val="0030181C"/>
    <w:rsid w:val="00301894"/>
    <w:rsid w:val="003021DB"/>
    <w:rsid w:val="00302B0B"/>
    <w:rsid w:val="003036D5"/>
    <w:rsid w:val="00303EDA"/>
    <w:rsid w:val="00303FC6"/>
    <w:rsid w:val="00304402"/>
    <w:rsid w:val="003049C4"/>
    <w:rsid w:val="00304B31"/>
    <w:rsid w:val="00304B59"/>
    <w:rsid w:val="00304DC7"/>
    <w:rsid w:val="00304F5E"/>
    <w:rsid w:val="003058F2"/>
    <w:rsid w:val="00305BEC"/>
    <w:rsid w:val="00306775"/>
    <w:rsid w:val="0030684A"/>
    <w:rsid w:val="00306BAD"/>
    <w:rsid w:val="00306BB4"/>
    <w:rsid w:val="003070F9"/>
    <w:rsid w:val="00307A0B"/>
    <w:rsid w:val="00307A53"/>
    <w:rsid w:val="00307CD4"/>
    <w:rsid w:val="00307DE8"/>
    <w:rsid w:val="00307E88"/>
    <w:rsid w:val="00310729"/>
    <w:rsid w:val="0031124B"/>
    <w:rsid w:val="003117C7"/>
    <w:rsid w:val="00311F86"/>
    <w:rsid w:val="00312B87"/>
    <w:rsid w:val="00312B94"/>
    <w:rsid w:val="003133E1"/>
    <w:rsid w:val="0031349A"/>
    <w:rsid w:val="00314135"/>
    <w:rsid w:val="003141E1"/>
    <w:rsid w:val="00314494"/>
    <w:rsid w:val="003145BC"/>
    <w:rsid w:val="003149B8"/>
    <w:rsid w:val="00314C3A"/>
    <w:rsid w:val="00314E56"/>
    <w:rsid w:val="00314F46"/>
    <w:rsid w:val="0031544D"/>
    <w:rsid w:val="00315496"/>
    <w:rsid w:val="0031570A"/>
    <w:rsid w:val="003159B7"/>
    <w:rsid w:val="00315CFC"/>
    <w:rsid w:val="00315D8C"/>
    <w:rsid w:val="003167C0"/>
    <w:rsid w:val="003168D2"/>
    <w:rsid w:val="00316E17"/>
    <w:rsid w:val="00317656"/>
    <w:rsid w:val="003176E5"/>
    <w:rsid w:val="00320A49"/>
    <w:rsid w:val="00321305"/>
    <w:rsid w:val="00321640"/>
    <w:rsid w:val="00321924"/>
    <w:rsid w:val="00321BAB"/>
    <w:rsid w:val="00321C85"/>
    <w:rsid w:val="00321F3B"/>
    <w:rsid w:val="00322083"/>
    <w:rsid w:val="0032241E"/>
    <w:rsid w:val="00324023"/>
    <w:rsid w:val="003240BD"/>
    <w:rsid w:val="0032435D"/>
    <w:rsid w:val="003243B8"/>
    <w:rsid w:val="00324AB1"/>
    <w:rsid w:val="00324CB4"/>
    <w:rsid w:val="00325892"/>
    <w:rsid w:val="003259D7"/>
    <w:rsid w:val="00325A0C"/>
    <w:rsid w:val="00325E04"/>
    <w:rsid w:val="00325EF7"/>
    <w:rsid w:val="003261A9"/>
    <w:rsid w:val="0032650B"/>
    <w:rsid w:val="003266C5"/>
    <w:rsid w:val="00326793"/>
    <w:rsid w:val="00327330"/>
    <w:rsid w:val="00327673"/>
    <w:rsid w:val="003277DF"/>
    <w:rsid w:val="00327B66"/>
    <w:rsid w:val="00327B6C"/>
    <w:rsid w:val="003309C8"/>
    <w:rsid w:val="00330D77"/>
    <w:rsid w:val="00332076"/>
    <w:rsid w:val="003321D9"/>
    <w:rsid w:val="00332267"/>
    <w:rsid w:val="00332874"/>
    <w:rsid w:val="003328DC"/>
    <w:rsid w:val="00332C18"/>
    <w:rsid w:val="00333316"/>
    <w:rsid w:val="003333B1"/>
    <w:rsid w:val="00333438"/>
    <w:rsid w:val="00333760"/>
    <w:rsid w:val="00334158"/>
    <w:rsid w:val="003345A6"/>
    <w:rsid w:val="003346FA"/>
    <w:rsid w:val="00334847"/>
    <w:rsid w:val="00334E97"/>
    <w:rsid w:val="003359EB"/>
    <w:rsid w:val="00335FA6"/>
    <w:rsid w:val="00336028"/>
    <w:rsid w:val="0033633A"/>
    <w:rsid w:val="003363E8"/>
    <w:rsid w:val="003363FC"/>
    <w:rsid w:val="003364FB"/>
    <w:rsid w:val="0033668E"/>
    <w:rsid w:val="003374F6"/>
    <w:rsid w:val="00337B67"/>
    <w:rsid w:val="00337F09"/>
    <w:rsid w:val="0034036A"/>
    <w:rsid w:val="003403E0"/>
    <w:rsid w:val="0034081E"/>
    <w:rsid w:val="00340CBE"/>
    <w:rsid w:val="003410E5"/>
    <w:rsid w:val="00341551"/>
    <w:rsid w:val="00341707"/>
    <w:rsid w:val="0034187E"/>
    <w:rsid w:val="00341D4B"/>
    <w:rsid w:val="00342366"/>
    <w:rsid w:val="0034257C"/>
    <w:rsid w:val="003434AB"/>
    <w:rsid w:val="003438F9"/>
    <w:rsid w:val="00343BDC"/>
    <w:rsid w:val="00343F04"/>
    <w:rsid w:val="003443C9"/>
    <w:rsid w:val="00344863"/>
    <w:rsid w:val="00344A17"/>
    <w:rsid w:val="00344BBB"/>
    <w:rsid w:val="00344BFB"/>
    <w:rsid w:val="00344F25"/>
    <w:rsid w:val="003451C0"/>
    <w:rsid w:val="003457CB"/>
    <w:rsid w:val="00345A88"/>
    <w:rsid w:val="00345E3A"/>
    <w:rsid w:val="003462A3"/>
    <w:rsid w:val="003463F9"/>
    <w:rsid w:val="003469F3"/>
    <w:rsid w:val="00346ADA"/>
    <w:rsid w:val="00347030"/>
    <w:rsid w:val="00347573"/>
    <w:rsid w:val="00347F8A"/>
    <w:rsid w:val="00347FA5"/>
    <w:rsid w:val="00347FBF"/>
    <w:rsid w:val="00350237"/>
    <w:rsid w:val="0035033A"/>
    <w:rsid w:val="00350504"/>
    <w:rsid w:val="0035063E"/>
    <w:rsid w:val="00350854"/>
    <w:rsid w:val="0035151A"/>
    <w:rsid w:val="003515A0"/>
    <w:rsid w:val="00351E72"/>
    <w:rsid w:val="00352064"/>
    <w:rsid w:val="003522AA"/>
    <w:rsid w:val="00352525"/>
    <w:rsid w:val="00352BB2"/>
    <w:rsid w:val="00352CCF"/>
    <w:rsid w:val="00353601"/>
    <w:rsid w:val="003539CC"/>
    <w:rsid w:val="00353B18"/>
    <w:rsid w:val="0035495F"/>
    <w:rsid w:val="00354ADF"/>
    <w:rsid w:val="00355AFC"/>
    <w:rsid w:val="00355E2C"/>
    <w:rsid w:val="003561A4"/>
    <w:rsid w:val="0035664B"/>
    <w:rsid w:val="003569BC"/>
    <w:rsid w:val="00357055"/>
    <w:rsid w:val="0035776B"/>
    <w:rsid w:val="0035793A"/>
    <w:rsid w:val="00357F85"/>
    <w:rsid w:val="00360A8A"/>
    <w:rsid w:val="003610AB"/>
    <w:rsid w:val="00361377"/>
    <w:rsid w:val="00361B18"/>
    <w:rsid w:val="00361EC6"/>
    <w:rsid w:val="00361ED6"/>
    <w:rsid w:val="00362009"/>
    <w:rsid w:val="003626FB"/>
    <w:rsid w:val="003627B8"/>
    <w:rsid w:val="00362FF1"/>
    <w:rsid w:val="003631F5"/>
    <w:rsid w:val="00363C7E"/>
    <w:rsid w:val="00364461"/>
    <w:rsid w:val="0036465A"/>
    <w:rsid w:val="00364BA9"/>
    <w:rsid w:val="00365865"/>
    <w:rsid w:val="00365CAF"/>
    <w:rsid w:val="00365D20"/>
    <w:rsid w:val="003660BE"/>
    <w:rsid w:val="0036699E"/>
    <w:rsid w:val="00366A35"/>
    <w:rsid w:val="00366B40"/>
    <w:rsid w:val="003671C2"/>
    <w:rsid w:val="0036730B"/>
    <w:rsid w:val="0036734E"/>
    <w:rsid w:val="00367523"/>
    <w:rsid w:val="003676A7"/>
    <w:rsid w:val="003677A9"/>
    <w:rsid w:val="003702F4"/>
    <w:rsid w:val="0037068C"/>
    <w:rsid w:val="003708AD"/>
    <w:rsid w:val="003708B3"/>
    <w:rsid w:val="00370C8E"/>
    <w:rsid w:val="00370D15"/>
    <w:rsid w:val="00370E75"/>
    <w:rsid w:val="00371C64"/>
    <w:rsid w:val="00371D3A"/>
    <w:rsid w:val="003727E6"/>
    <w:rsid w:val="003737E5"/>
    <w:rsid w:val="003745B0"/>
    <w:rsid w:val="0037467A"/>
    <w:rsid w:val="00374746"/>
    <w:rsid w:val="00374882"/>
    <w:rsid w:val="003757E1"/>
    <w:rsid w:val="003759D1"/>
    <w:rsid w:val="003759E3"/>
    <w:rsid w:val="00375A51"/>
    <w:rsid w:val="00375EBD"/>
    <w:rsid w:val="00376338"/>
    <w:rsid w:val="00376478"/>
    <w:rsid w:val="003767AD"/>
    <w:rsid w:val="00376DDC"/>
    <w:rsid w:val="0037705F"/>
    <w:rsid w:val="00377165"/>
    <w:rsid w:val="00377239"/>
    <w:rsid w:val="003772B8"/>
    <w:rsid w:val="0037746F"/>
    <w:rsid w:val="00377520"/>
    <w:rsid w:val="00380746"/>
    <w:rsid w:val="00380A73"/>
    <w:rsid w:val="00381058"/>
    <w:rsid w:val="003811CE"/>
    <w:rsid w:val="00381478"/>
    <w:rsid w:val="003815CD"/>
    <w:rsid w:val="00381B80"/>
    <w:rsid w:val="00382642"/>
    <w:rsid w:val="003829FD"/>
    <w:rsid w:val="00383909"/>
    <w:rsid w:val="00383F73"/>
    <w:rsid w:val="00384175"/>
    <w:rsid w:val="003843DE"/>
    <w:rsid w:val="003844DD"/>
    <w:rsid w:val="003849C8"/>
    <w:rsid w:val="00384C16"/>
    <w:rsid w:val="003850EC"/>
    <w:rsid w:val="003851D2"/>
    <w:rsid w:val="0038527B"/>
    <w:rsid w:val="00385349"/>
    <w:rsid w:val="00385428"/>
    <w:rsid w:val="00385994"/>
    <w:rsid w:val="0038614D"/>
    <w:rsid w:val="00386602"/>
    <w:rsid w:val="00386833"/>
    <w:rsid w:val="00386FA8"/>
    <w:rsid w:val="00387801"/>
    <w:rsid w:val="003879E8"/>
    <w:rsid w:val="0038F953"/>
    <w:rsid w:val="003901AC"/>
    <w:rsid w:val="00390222"/>
    <w:rsid w:val="00390BA4"/>
    <w:rsid w:val="00390C21"/>
    <w:rsid w:val="00390F7B"/>
    <w:rsid w:val="00391035"/>
    <w:rsid w:val="003916B5"/>
    <w:rsid w:val="003918D8"/>
    <w:rsid w:val="00391C6B"/>
    <w:rsid w:val="00392399"/>
    <w:rsid w:val="003927F1"/>
    <w:rsid w:val="0039361A"/>
    <w:rsid w:val="003937D1"/>
    <w:rsid w:val="00393E51"/>
    <w:rsid w:val="00393E5B"/>
    <w:rsid w:val="0039433D"/>
    <w:rsid w:val="00394B60"/>
    <w:rsid w:val="00394C6D"/>
    <w:rsid w:val="00394D0B"/>
    <w:rsid w:val="00395095"/>
    <w:rsid w:val="00395209"/>
    <w:rsid w:val="003956E2"/>
    <w:rsid w:val="00395CC5"/>
    <w:rsid w:val="0039619A"/>
    <w:rsid w:val="00396527"/>
    <w:rsid w:val="003970EA"/>
    <w:rsid w:val="00397331"/>
    <w:rsid w:val="003A00B1"/>
    <w:rsid w:val="003A0191"/>
    <w:rsid w:val="003A0FAE"/>
    <w:rsid w:val="003A1974"/>
    <w:rsid w:val="003A1AF5"/>
    <w:rsid w:val="003A21A3"/>
    <w:rsid w:val="003A2472"/>
    <w:rsid w:val="003A2B91"/>
    <w:rsid w:val="003A32A3"/>
    <w:rsid w:val="003A3A3E"/>
    <w:rsid w:val="003A4628"/>
    <w:rsid w:val="003A46A7"/>
    <w:rsid w:val="003A4BB0"/>
    <w:rsid w:val="003A5251"/>
    <w:rsid w:val="003A5273"/>
    <w:rsid w:val="003A52D4"/>
    <w:rsid w:val="003A568F"/>
    <w:rsid w:val="003A5C5A"/>
    <w:rsid w:val="003A5D7E"/>
    <w:rsid w:val="003A63EB"/>
    <w:rsid w:val="003A64FF"/>
    <w:rsid w:val="003A657F"/>
    <w:rsid w:val="003A6DB4"/>
    <w:rsid w:val="003A7116"/>
    <w:rsid w:val="003A7815"/>
    <w:rsid w:val="003B006F"/>
    <w:rsid w:val="003B064F"/>
    <w:rsid w:val="003B0DB6"/>
    <w:rsid w:val="003B18AC"/>
    <w:rsid w:val="003B1DF4"/>
    <w:rsid w:val="003B2C67"/>
    <w:rsid w:val="003B4133"/>
    <w:rsid w:val="003B4A62"/>
    <w:rsid w:val="003B4C24"/>
    <w:rsid w:val="003B549F"/>
    <w:rsid w:val="003B5A2C"/>
    <w:rsid w:val="003B5CAD"/>
    <w:rsid w:val="003B5EA7"/>
    <w:rsid w:val="003B6150"/>
    <w:rsid w:val="003B67FC"/>
    <w:rsid w:val="003B6803"/>
    <w:rsid w:val="003B6963"/>
    <w:rsid w:val="003B7444"/>
    <w:rsid w:val="003B7538"/>
    <w:rsid w:val="003B7DFC"/>
    <w:rsid w:val="003B7E06"/>
    <w:rsid w:val="003C0195"/>
    <w:rsid w:val="003C04AE"/>
    <w:rsid w:val="003C067D"/>
    <w:rsid w:val="003C1031"/>
    <w:rsid w:val="003C1BF4"/>
    <w:rsid w:val="003C2754"/>
    <w:rsid w:val="003C27E6"/>
    <w:rsid w:val="003C28C6"/>
    <w:rsid w:val="003C3293"/>
    <w:rsid w:val="003C3602"/>
    <w:rsid w:val="003C3B07"/>
    <w:rsid w:val="003C3E6E"/>
    <w:rsid w:val="003C422B"/>
    <w:rsid w:val="003C4447"/>
    <w:rsid w:val="003C4A98"/>
    <w:rsid w:val="003C4C0C"/>
    <w:rsid w:val="003C5921"/>
    <w:rsid w:val="003C6BA3"/>
    <w:rsid w:val="003C6EB5"/>
    <w:rsid w:val="003C7122"/>
    <w:rsid w:val="003C761C"/>
    <w:rsid w:val="003C7F1D"/>
    <w:rsid w:val="003D00D2"/>
    <w:rsid w:val="003D05C7"/>
    <w:rsid w:val="003D0895"/>
    <w:rsid w:val="003D0F00"/>
    <w:rsid w:val="003D0F08"/>
    <w:rsid w:val="003D1165"/>
    <w:rsid w:val="003D11AC"/>
    <w:rsid w:val="003D11FA"/>
    <w:rsid w:val="003D12C7"/>
    <w:rsid w:val="003D136D"/>
    <w:rsid w:val="003D1ABB"/>
    <w:rsid w:val="003D1DDE"/>
    <w:rsid w:val="003D23A9"/>
    <w:rsid w:val="003D2764"/>
    <w:rsid w:val="003D2782"/>
    <w:rsid w:val="003D2D23"/>
    <w:rsid w:val="003D3514"/>
    <w:rsid w:val="003D39AB"/>
    <w:rsid w:val="003D41FC"/>
    <w:rsid w:val="003D4329"/>
    <w:rsid w:val="003D4562"/>
    <w:rsid w:val="003D4956"/>
    <w:rsid w:val="003D49C3"/>
    <w:rsid w:val="003D4A31"/>
    <w:rsid w:val="003D5864"/>
    <w:rsid w:val="003D58A3"/>
    <w:rsid w:val="003D5E68"/>
    <w:rsid w:val="003D6553"/>
    <w:rsid w:val="003D70D1"/>
    <w:rsid w:val="003D7A86"/>
    <w:rsid w:val="003D7C26"/>
    <w:rsid w:val="003D7D8E"/>
    <w:rsid w:val="003E0FFD"/>
    <w:rsid w:val="003E155B"/>
    <w:rsid w:val="003E191B"/>
    <w:rsid w:val="003E1D67"/>
    <w:rsid w:val="003E30E9"/>
    <w:rsid w:val="003E389A"/>
    <w:rsid w:val="003E3C77"/>
    <w:rsid w:val="003E41DE"/>
    <w:rsid w:val="003E44BE"/>
    <w:rsid w:val="003E4505"/>
    <w:rsid w:val="003E481A"/>
    <w:rsid w:val="003E4D9B"/>
    <w:rsid w:val="003E52E8"/>
    <w:rsid w:val="003E5583"/>
    <w:rsid w:val="003E59CA"/>
    <w:rsid w:val="003E5C09"/>
    <w:rsid w:val="003E5EC4"/>
    <w:rsid w:val="003E632A"/>
    <w:rsid w:val="003E7704"/>
    <w:rsid w:val="003E7CE4"/>
    <w:rsid w:val="003E7D37"/>
    <w:rsid w:val="003F022B"/>
    <w:rsid w:val="003F02EE"/>
    <w:rsid w:val="003F0C06"/>
    <w:rsid w:val="003F0DD0"/>
    <w:rsid w:val="003F0EA1"/>
    <w:rsid w:val="003F0F31"/>
    <w:rsid w:val="003F15A3"/>
    <w:rsid w:val="003F17B8"/>
    <w:rsid w:val="003F17BF"/>
    <w:rsid w:val="003F1B58"/>
    <w:rsid w:val="003F2240"/>
    <w:rsid w:val="003F292C"/>
    <w:rsid w:val="003F2D6B"/>
    <w:rsid w:val="003F2DAF"/>
    <w:rsid w:val="003F2F25"/>
    <w:rsid w:val="003F3397"/>
    <w:rsid w:val="003F3651"/>
    <w:rsid w:val="003F39CB"/>
    <w:rsid w:val="003F4EBF"/>
    <w:rsid w:val="003F52A9"/>
    <w:rsid w:val="003F60E6"/>
    <w:rsid w:val="003F6192"/>
    <w:rsid w:val="003F6198"/>
    <w:rsid w:val="003F699F"/>
    <w:rsid w:val="003F71BD"/>
    <w:rsid w:val="003F7818"/>
    <w:rsid w:val="003F7959"/>
    <w:rsid w:val="003F7A35"/>
    <w:rsid w:val="003F7BC4"/>
    <w:rsid w:val="003F7CD8"/>
    <w:rsid w:val="00400DD8"/>
    <w:rsid w:val="00400E0E"/>
    <w:rsid w:val="0040134E"/>
    <w:rsid w:val="00401685"/>
    <w:rsid w:val="00402009"/>
    <w:rsid w:val="004022B6"/>
    <w:rsid w:val="00402E01"/>
    <w:rsid w:val="0040333D"/>
    <w:rsid w:val="00403AB2"/>
    <w:rsid w:val="00403BD6"/>
    <w:rsid w:val="00403F09"/>
    <w:rsid w:val="004040A2"/>
    <w:rsid w:val="00404512"/>
    <w:rsid w:val="00404EA5"/>
    <w:rsid w:val="00405215"/>
    <w:rsid w:val="004053EF"/>
    <w:rsid w:val="00405E48"/>
    <w:rsid w:val="00406365"/>
    <w:rsid w:val="00406459"/>
    <w:rsid w:val="00406FF6"/>
    <w:rsid w:val="00407863"/>
    <w:rsid w:val="0040791A"/>
    <w:rsid w:val="00407DCA"/>
    <w:rsid w:val="00407DE8"/>
    <w:rsid w:val="00407F4A"/>
    <w:rsid w:val="0041028E"/>
    <w:rsid w:val="00410C80"/>
    <w:rsid w:val="004110A4"/>
    <w:rsid w:val="00411C8D"/>
    <w:rsid w:val="00412D9C"/>
    <w:rsid w:val="00413AD5"/>
    <w:rsid w:val="00413FAA"/>
    <w:rsid w:val="004144AF"/>
    <w:rsid w:val="00414600"/>
    <w:rsid w:val="00414860"/>
    <w:rsid w:val="0041501A"/>
    <w:rsid w:val="004150F0"/>
    <w:rsid w:val="00415336"/>
    <w:rsid w:val="00415D05"/>
    <w:rsid w:val="00417009"/>
    <w:rsid w:val="004175B3"/>
    <w:rsid w:val="0041771C"/>
    <w:rsid w:val="00417A8E"/>
    <w:rsid w:val="00417B52"/>
    <w:rsid w:val="004205E9"/>
    <w:rsid w:val="00420BA0"/>
    <w:rsid w:val="00420FC6"/>
    <w:rsid w:val="00421596"/>
    <w:rsid w:val="00421D10"/>
    <w:rsid w:val="004227C2"/>
    <w:rsid w:val="00422FAD"/>
    <w:rsid w:val="0042312C"/>
    <w:rsid w:val="004231A3"/>
    <w:rsid w:val="0042335E"/>
    <w:rsid w:val="004246CB"/>
    <w:rsid w:val="00424DC8"/>
    <w:rsid w:val="00425524"/>
    <w:rsid w:val="00425E37"/>
    <w:rsid w:val="004262C4"/>
    <w:rsid w:val="004263F4"/>
    <w:rsid w:val="004263F7"/>
    <w:rsid w:val="00426AFF"/>
    <w:rsid w:val="00426FBF"/>
    <w:rsid w:val="00430F25"/>
    <w:rsid w:val="004311C1"/>
    <w:rsid w:val="00431A46"/>
    <w:rsid w:val="00431B80"/>
    <w:rsid w:val="00431DBF"/>
    <w:rsid w:val="0043298A"/>
    <w:rsid w:val="00432998"/>
    <w:rsid w:val="00433ACE"/>
    <w:rsid w:val="00433E26"/>
    <w:rsid w:val="00434177"/>
    <w:rsid w:val="004343E9"/>
    <w:rsid w:val="00434437"/>
    <w:rsid w:val="00435A92"/>
    <w:rsid w:val="00436037"/>
    <w:rsid w:val="004362DB"/>
    <w:rsid w:val="0043655A"/>
    <w:rsid w:val="00436941"/>
    <w:rsid w:val="0043705A"/>
    <w:rsid w:val="00437BCF"/>
    <w:rsid w:val="00437CA6"/>
    <w:rsid w:val="00440F3B"/>
    <w:rsid w:val="004416BA"/>
    <w:rsid w:val="00441799"/>
    <w:rsid w:val="004418E2"/>
    <w:rsid w:val="0044198F"/>
    <w:rsid w:val="00441C2F"/>
    <w:rsid w:val="00441F11"/>
    <w:rsid w:val="00442170"/>
    <w:rsid w:val="004427FD"/>
    <w:rsid w:val="00442E55"/>
    <w:rsid w:val="0044346E"/>
    <w:rsid w:val="0044351D"/>
    <w:rsid w:val="00443525"/>
    <w:rsid w:val="00443720"/>
    <w:rsid w:val="004437DE"/>
    <w:rsid w:val="00443AD9"/>
    <w:rsid w:val="00443B71"/>
    <w:rsid w:val="00443EA7"/>
    <w:rsid w:val="00444497"/>
    <w:rsid w:val="00444779"/>
    <w:rsid w:val="00444EE2"/>
    <w:rsid w:val="004451FB"/>
    <w:rsid w:val="004452FD"/>
    <w:rsid w:val="004458E9"/>
    <w:rsid w:val="00445A74"/>
    <w:rsid w:val="00445D22"/>
    <w:rsid w:val="00445D59"/>
    <w:rsid w:val="00446E58"/>
    <w:rsid w:val="00446E74"/>
    <w:rsid w:val="00446E99"/>
    <w:rsid w:val="0044778E"/>
    <w:rsid w:val="004477DE"/>
    <w:rsid w:val="004478F6"/>
    <w:rsid w:val="00447CAB"/>
    <w:rsid w:val="00447F25"/>
    <w:rsid w:val="0045036A"/>
    <w:rsid w:val="00451048"/>
    <w:rsid w:val="00451348"/>
    <w:rsid w:val="00451E21"/>
    <w:rsid w:val="0045202B"/>
    <w:rsid w:val="004520D2"/>
    <w:rsid w:val="0045243A"/>
    <w:rsid w:val="004525BA"/>
    <w:rsid w:val="00452658"/>
    <w:rsid w:val="0045387E"/>
    <w:rsid w:val="00454B1B"/>
    <w:rsid w:val="00454DAC"/>
    <w:rsid w:val="004552E1"/>
    <w:rsid w:val="00455453"/>
    <w:rsid w:val="004554C5"/>
    <w:rsid w:val="004558AF"/>
    <w:rsid w:val="0045672F"/>
    <w:rsid w:val="00456AE8"/>
    <w:rsid w:val="00456FFD"/>
    <w:rsid w:val="0045770B"/>
    <w:rsid w:val="0045790A"/>
    <w:rsid w:val="00457CBC"/>
    <w:rsid w:val="00460592"/>
    <w:rsid w:val="004609C1"/>
    <w:rsid w:val="00461392"/>
    <w:rsid w:val="00462C00"/>
    <w:rsid w:val="00462EA3"/>
    <w:rsid w:val="004632CF"/>
    <w:rsid w:val="004636FE"/>
    <w:rsid w:val="004637E0"/>
    <w:rsid w:val="00463835"/>
    <w:rsid w:val="0046387E"/>
    <w:rsid w:val="00463EBC"/>
    <w:rsid w:val="004642DF"/>
    <w:rsid w:val="004649C1"/>
    <w:rsid w:val="00464DA2"/>
    <w:rsid w:val="00465626"/>
    <w:rsid w:val="00465EA2"/>
    <w:rsid w:val="004662BF"/>
    <w:rsid w:val="00466376"/>
    <w:rsid w:val="00466B7E"/>
    <w:rsid w:val="00466BB7"/>
    <w:rsid w:val="00466CEA"/>
    <w:rsid w:val="00466D8B"/>
    <w:rsid w:val="00467BCB"/>
    <w:rsid w:val="00467C3D"/>
    <w:rsid w:val="00467FCE"/>
    <w:rsid w:val="0047005D"/>
    <w:rsid w:val="004701BC"/>
    <w:rsid w:val="0047030B"/>
    <w:rsid w:val="00470757"/>
    <w:rsid w:val="00470C34"/>
    <w:rsid w:val="00471C7D"/>
    <w:rsid w:val="00472030"/>
    <w:rsid w:val="0047255C"/>
    <w:rsid w:val="00472588"/>
    <w:rsid w:val="00472ABC"/>
    <w:rsid w:val="00472B77"/>
    <w:rsid w:val="00472C53"/>
    <w:rsid w:val="00473451"/>
    <w:rsid w:val="00473B61"/>
    <w:rsid w:val="00473BEB"/>
    <w:rsid w:val="00473E51"/>
    <w:rsid w:val="0047408F"/>
    <w:rsid w:val="004747A3"/>
    <w:rsid w:val="00474D95"/>
    <w:rsid w:val="00475166"/>
    <w:rsid w:val="00475F89"/>
    <w:rsid w:val="00476852"/>
    <w:rsid w:val="00476D33"/>
    <w:rsid w:val="0047798A"/>
    <w:rsid w:val="00477BC1"/>
    <w:rsid w:val="00477C0B"/>
    <w:rsid w:val="0048039B"/>
    <w:rsid w:val="00481BC3"/>
    <w:rsid w:val="004821EC"/>
    <w:rsid w:val="004822B2"/>
    <w:rsid w:val="0048252D"/>
    <w:rsid w:val="004832BB"/>
    <w:rsid w:val="00484575"/>
    <w:rsid w:val="00484779"/>
    <w:rsid w:val="004848D8"/>
    <w:rsid w:val="004857B0"/>
    <w:rsid w:val="0049043F"/>
    <w:rsid w:val="00490494"/>
    <w:rsid w:val="00490C02"/>
    <w:rsid w:val="00490C12"/>
    <w:rsid w:val="004913C4"/>
    <w:rsid w:val="00491684"/>
    <w:rsid w:val="00491D67"/>
    <w:rsid w:val="004920F1"/>
    <w:rsid w:val="004926B1"/>
    <w:rsid w:val="00493006"/>
    <w:rsid w:val="004933F6"/>
    <w:rsid w:val="00493D1C"/>
    <w:rsid w:val="00494042"/>
    <w:rsid w:val="004941B4"/>
    <w:rsid w:val="004942DC"/>
    <w:rsid w:val="004949FD"/>
    <w:rsid w:val="00494D60"/>
    <w:rsid w:val="0049500C"/>
    <w:rsid w:val="004954FE"/>
    <w:rsid w:val="0049557C"/>
    <w:rsid w:val="004956B0"/>
    <w:rsid w:val="00495C0D"/>
    <w:rsid w:val="00496079"/>
    <w:rsid w:val="0049612D"/>
    <w:rsid w:val="0049654B"/>
    <w:rsid w:val="004965BE"/>
    <w:rsid w:val="00496698"/>
    <w:rsid w:val="00496B45"/>
    <w:rsid w:val="00496CE6"/>
    <w:rsid w:val="00496FA3"/>
    <w:rsid w:val="0049743A"/>
    <w:rsid w:val="00497C30"/>
    <w:rsid w:val="00497DF6"/>
    <w:rsid w:val="004A00FC"/>
    <w:rsid w:val="004A0663"/>
    <w:rsid w:val="004A0A60"/>
    <w:rsid w:val="004A134C"/>
    <w:rsid w:val="004A18E7"/>
    <w:rsid w:val="004A230C"/>
    <w:rsid w:val="004A2348"/>
    <w:rsid w:val="004A2483"/>
    <w:rsid w:val="004A2999"/>
    <w:rsid w:val="004A3241"/>
    <w:rsid w:val="004A3985"/>
    <w:rsid w:val="004A3E08"/>
    <w:rsid w:val="004A458E"/>
    <w:rsid w:val="004A4BBB"/>
    <w:rsid w:val="004A4F09"/>
    <w:rsid w:val="004A59EF"/>
    <w:rsid w:val="004A6423"/>
    <w:rsid w:val="004A648C"/>
    <w:rsid w:val="004A6985"/>
    <w:rsid w:val="004A6A35"/>
    <w:rsid w:val="004A740E"/>
    <w:rsid w:val="004A7BEA"/>
    <w:rsid w:val="004B003E"/>
    <w:rsid w:val="004B152C"/>
    <w:rsid w:val="004B1D01"/>
    <w:rsid w:val="004B1F15"/>
    <w:rsid w:val="004B2688"/>
    <w:rsid w:val="004B2BDD"/>
    <w:rsid w:val="004B34B7"/>
    <w:rsid w:val="004B34F1"/>
    <w:rsid w:val="004B3576"/>
    <w:rsid w:val="004B402B"/>
    <w:rsid w:val="004B471B"/>
    <w:rsid w:val="004B59ED"/>
    <w:rsid w:val="004B5D39"/>
    <w:rsid w:val="004B69D5"/>
    <w:rsid w:val="004B6BF7"/>
    <w:rsid w:val="004B6DCB"/>
    <w:rsid w:val="004B6E1B"/>
    <w:rsid w:val="004B6E86"/>
    <w:rsid w:val="004B744E"/>
    <w:rsid w:val="004B746D"/>
    <w:rsid w:val="004C01EE"/>
    <w:rsid w:val="004C0294"/>
    <w:rsid w:val="004C0393"/>
    <w:rsid w:val="004C0986"/>
    <w:rsid w:val="004C0BED"/>
    <w:rsid w:val="004C1D2D"/>
    <w:rsid w:val="004C2211"/>
    <w:rsid w:val="004C2527"/>
    <w:rsid w:val="004C2759"/>
    <w:rsid w:val="004C288F"/>
    <w:rsid w:val="004C29A0"/>
    <w:rsid w:val="004C30E8"/>
    <w:rsid w:val="004C31B6"/>
    <w:rsid w:val="004C38E2"/>
    <w:rsid w:val="004C3901"/>
    <w:rsid w:val="004C3B52"/>
    <w:rsid w:val="004C3CBC"/>
    <w:rsid w:val="004C4391"/>
    <w:rsid w:val="004C5438"/>
    <w:rsid w:val="004C605B"/>
    <w:rsid w:val="004C676E"/>
    <w:rsid w:val="004C739D"/>
    <w:rsid w:val="004D01C0"/>
    <w:rsid w:val="004D05B8"/>
    <w:rsid w:val="004D07FA"/>
    <w:rsid w:val="004D0C7C"/>
    <w:rsid w:val="004D0E4B"/>
    <w:rsid w:val="004D1343"/>
    <w:rsid w:val="004D1BE5"/>
    <w:rsid w:val="004D2BE6"/>
    <w:rsid w:val="004D3286"/>
    <w:rsid w:val="004D3BA3"/>
    <w:rsid w:val="004D4D49"/>
    <w:rsid w:val="004D4DBE"/>
    <w:rsid w:val="004D4F1C"/>
    <w:rsid w:val="004D599E"/>
    <w:rsid w:val="004D5B43"/>
    <w:rsid w:val="004D5C61"/>
    <w:rsid w:val="004D5E1A"/>
    <w:rsid w:val="004D6114"/>
    <w:rsid w:val="004D67AF"/>
    <w:rsid w:val="004D7EE4"/>
    <w:rsid w:val="004E016A"/>
    <w:rsid w:val="004E0548"/>
    <w:rsid w:val="004E07A3"/>
    <w:rsid w:val="004E091B"/>
    <w:rsid w:val="004E0FB1"/>
    <w:rsid w:val="004E0FCE"/>
    <w:rsid w:val="004E1204"/>
    <w:rsid w:val="004E12F3"/>
    <w:rsid w:val="004E1B4A"/>
    <w:rsid w:val="004E1CE8"/>
    <w:rsid w:val="004E261D"/>
    <w:rsid w:val="004E29BC"/>
    <w:rsid w:val="004E2B89"/>
    <w:rsid w:val="004E31EA"/>
    <w:rsid w:val="004E421C"/>
    <w:rsid w:val="004E4403"/>
    <w:rsid w:val="004E453E"/>
    <w:rsid w:val="004E475C"/>
    <w:rsid w:val="004E57C5"/>
    <w:rsid w:val="004E6099"/>
    <w:rsid w:val="004E6D6F"/>
    <w:rsid w:val="004E6ED5"/>
    <w:rsid w:val="004E7128"/>
    <w:rsid w:val="004E7402"/>
    <w:rsid w:val="004E7674"/>
    <w:rsid w:val="004E7C84"/>
    <w:rsid w:val="004E7DE1"/>
    <w:rsid w:val="004F0375"/>
    <w:rsid w:val="004F079F"/>
    <w:rsid w:val="004F0AB3"/>
    <w:rsid w:val="004F0AC7"/>
    <w:rsid w:val="004F0BBC"/>
    <w:rsid w:val="004F0D15"/>
    <w:rsid w:val="004F1B21"/>
    <w:rsid w:val="004F2240"/>
    <w:rsid w:val="004F2520"/>
    <w:rsid w:val="004F2C04"/>
    <w:rsid w:val="004F2C32"/>
    <w:rsid w:val="004F2DBE"/>
    <w:rsid w:val="004F2F3A"/>
    <w:rsid w:val="004F3092"/>
    <w:rsid w:val="004F30B1"/>
    <w:rsid w:val="004F406F"/>
    <w:rsid w:val="004F420A"/>
    <w:rsid w:val="004F459B"/>
    <w:rsid w:val="004F45FE"/>
    <w:rsid w:val="004F4764"/>
    <w:rsid w:val="004F4B32"/>
    <w:rsid w:val="004F539A"/>
    <w:rsid w:val="004F5E28"/>
    <w:rsid w:val="004F5E70"/>
    <w:rsid w:val="004F603F"/>
    <w:rsid w:val="004F6122"/>
    <w:rsid w:val="004F6439"/>
    <w:rsid w:val="004F696D"/>
    <w:rsid w:val="004F6AD9"/>
    <w:rsid w:val="004F7151"/>
    <w:rsid w:val="004F7220"/>
    <w:rsid w:val="004F726C"/>
    <w:rsid w:val="004F7F0F"/>
    <w:rsid w:val="00500599"/>
    <w:rsid w:val="00500614"/>
    <w:rsid w:val="00500A9B"/>
    <w:rsid w:val="00501117"/>
    <w:rsid w:val="00501282"/>
    <w:rsid w:val="00501731"/>
    <w:rsid w:val="00501EF0"/>
    <w:rsid w:val="00502BF6"/>
    <w:rsid w:val="00502E37"/>
    <w:rsid w:val="00503208"/>
    <w:rsid w:val="005033F4"/>
    <w:rsid w:val="00503564"/>
    <w:rsid w:val="00503ACB"/>
    <w:rsid w:val="00504362"/>
    <w:rsid w:val="005049DC"/>
    <w:rsid w:val="00504E8D"/>
    <w:rsid w:val="0050511E"/>
    <w:rsid w:val="00505631"/>
    <w:rsid w:val="00506742"/>
    <w:rsid w:val="005069B7"/>
    <w:rsid w:val="00506D0E"/>
    <w:rsid w:val="00507013"/>
    <w:rsid w:val="005070F7"/>
    <w:rsid w:val="005106AB"/>
    <w:rsid w:val="00510A81"/>
    <w:rsid w:val="00510BB8"/>
    <w:rsid w:val="00511411"/>
    <w:rsid w:val="00511B43"/>
    <w:rsid w:val="00511BB4"/>
    <w:rsid w:val="00512BB9"/>
    <w:rsid w:val="00512D5F"/>
    <w:rsid w:val="0051342C"/>
    <w:rsid w:val="0051343A"/>
    <w:rsid w:val="00513852"/>
    <w:rsid w:val="00513A22"/>
    <w:rsid w:val="00513C70"/>
    <w:rsid w:val="00513FD5"/>
    <w:rsid w:val="005142BE"/>
    <w:rsid w:val="005147ED"/>
    <w:rsid w:val="00514937"/>
    <w:rsid w:val="00514978"/>
    <w:rsid w:val="00514AF6"/>
    <w:rsid w:val="00514BB7"/>
    <w:rsid w:val="005152C7"/>
    <w:rsid w:val="005159D8"/>
    <w:rsid w:val="00516177"/>
    <w:rsid w:val="005165A7"/>
    <w:rsid w:val="00517724"/>
    <w:rsid w:val="00517B54"/>
    <w:rsid w:val="00517BFF"/>
    <w:rsid w:val="00517CCE"/>
    <w:rsid w:val="00521222"/>
    <w:rsid w:val="00521492"/>
    <w:rsid w:val="005224D1"/>
    <w:rsid w:val="00522647"/>
    <w:rsid w:val="00522E3A"/>
    <w:rsid w:val="00522F88"/>
    <w:rsid w:val="005232A0"/>
    <w:rsid w:val="00523596"/>
    <w:rsid w:val="005239FB"/>
    <w:rsid w:val="00524333"/>
    <w:rsid w:val="005245E4"/>
    <w:rsid w:val="005253F0"/>
    <w:rsid w:val="00525495"/>
    <w:rsid w:val="00525817"/>
    <w:rsid w:val="00525A9B"/>
    <w:rsid w:val="00525BA2"/>
    <w:rsid w:val="00526385"/>
    <w:rsid w:val="005264C9"/>
    <w:rsid w:val="0052691B"/>
    <w:rsid w:val="0052723E"/>
    <w:rsid w:val="00527413"/>
    <w:rsid w:val="00527879"/>
    <w:rsid w:val="005278C0"/>
    <w:rsid w:val="005278E6"/>
    <w:rsid w:val="00527A29"/>
    <w:rsid w:val="00527B60"/>
    <w:rsid w:val="00530073"/>
    <w:rsid w:val="00530496"/>
    <w:rsid w:val="00530B43"/>
    <w:rsid w:val="005312AA"/>
    <w:rsid w:val="005312E6"/>
    <w:rsid w:val="00531451"/>
    <w:rsid w:val="00531672"/>
    <w:rsid w:val="00531B43"/>
    <w:rsid w:val="005320CE"/>
    <w:rsid w:val="00532115"/>
    <w:rsid w:val="0053244B"/>
    <w:rsid w:val="00533617"/>
    <w:rsid w:val="005341EF"/>
    <w:rsid w:val="005343BD"/>
    <w:rsid w:val="00534BBE"/>
    <w:rsid w:val="00534CFD"/>
    <w:rsid w:val="00535303"/>
    <w:rsid w:val="0053582C"/>
    <w:rsid w:val="005369B8"/>
    <w:rsid w:val="00536ADC"/>
    <w:rsid w:val="00537B2B"/>
    <w:rsid w:val="00537BAE"/>
    <w:rsid w:val="00537C4D"/>
    <w:rsid w:val="00537DEB"/>
    <w:rsid w:val="005401AF"/>
    <w:rsid w:val="00540630"/>
    <w:rsid w:val="00540773"/>
    <w:rsid w:val="00540B92"/>
    <w:rsid w:val="00540BB5"/>
    <w:rsid w:val="00540E52"/>
    <w:rsid w:val="00541456"/>
    <w:rsid w:val="005416B9"/>
    <w:rsid w:val="00541B9C"/>
    <w:rsid w:val="005420E8"/>
    <w:rsid w:val="0054215D"/>
    <w:rsid w:val="00542902"/>
    <w:rsid w:val="00542A6E"/>
    <w:rsid w:val="00542AB5"/>
    <w:rsid w:val="00542AF4"/>
    <w:rsid w:val="00542E91"/>
    <w:rsid w:val="005438F0"/>
    <w:rsid w:val="00543CEB"/>
    <w:rsid w:val="00544CA5"/>
    <w:rsid w:val="00544E91"/>
    <w:rsid w:val="005452D9"/>
    <w:rsid w:val="00545422"/>
    <w:rsid w:val="0054568B"/>
    <w:rsid w:val="005456E2"/>
    <w:rsid w:val="005461D5"/>
    <w:rsid w:val="005462F2"/>
    <w:rsid w:val="00546972"/>
    <w:rsid w:val="00546B8F"/>
    <w:rsid w:val="005476AA"/>
    <w:rsid w:val="00550223"/>
    <w:rsid w:val="005509A9"/>
    <w:rsid w:val="00550ECD"/>
    <w:rsid w:val="005510C8"/>
    <w:rsid w:val="005518CD"/>
    <w:rsid w:val="005518F1"/>
    <w:rsid w:val="00551C27"/>
    <w:rsid w:val="00552B90"/>
    <w:rsid w:val="005531CB"/>
    <w:rsid w:val="00553475"/>
    <w:rsid w:val="005537CF"/>
    <w:rsid w:val="0055434C"/>
    <w:rsid w:val="0055501D"/>
    <w:rsid w:val="00555523"/>
    <w:rsid w:val="005556D0"/>
    <w:rsid w:val="0055573B"/>
    <w:rsid w:val="00555935"/>
    <w:rsid w:val="00555FE4"/>
    <w:rsid w:val="00556A1B"/>
    <w:rsid w:val="00556C59"/>
    <w:rsid w:val="00556FB3"/>
    <w:rsid w:val="005570AC"/>
    <w:rsid w:val="005571F3"/>
    <w:rsid w:val="005574AA"/>
    <w:rsid w:val="0055787F"/>
    <w:rsid w:val="00557E1E"/>
    <w:rsid w:val="00557FBF"/>
    <w:rsid w:val="005606BD"/>
    <w:rsid w:val="0056081B"/>
    <w:rsid w:val="00560D04"/>
    <w:rsid w:val="00560F74"/>
    <w:rsid w:val="00562189"/>
    <w:rsid w:val="005626A9"/>
    <w:rsid w:val="00562E2B"/>
    <w:rsid w:val="00563393"/>
    <w:rsid w:val="00563485"/>
    <w:rsid w:val="005636CD"/>
    <w:rsid w:val="00563AAB"/>
    <w:rsid w:val="00563ACD"/>
    <w:rsid w:val="00564FC2"/>
    <w:rsid w:val="0056501C"/>
    <w:rsid w:val="00565D7B"/>
    <w:rsid w:val="00566299"/>
    <w:rsid w:val="0056635D"/>
    <w:rsid w:val="00566B82"/>
    <w:rsid w:val="00566DDE"/>
    <w:rsid w:val="005670A6"/>
    <w:rsid w:val="00567204"/>
    <w:rsid w:val="00567C8C"/>
    <w:rsid w:val="00567DCF"/>
    <w:rsid w:val="005706BA"/>
    <w:rsid w:val="00570841"/>
    <w:rsid w:val="00570987"/>
    <w:rsid w:val="00570C66"/>
    <w:rsid w:val="00571044"/>
    <w:rsid w:val="005711AB"/>
    <w:rsid w:val="0057166A"/>
    <w:rsid w:val="00571D60"/>
    <w:rsid w:val="005720FC"/>
    <w:rsid w:val="00572202"/>
    <w:rsid w:val="0057232E"/>
    <w:rsid w:val="005724E9"/>
    <w:rsid w:val="00572D28"/>
    <w:rsid w:val="00573990"/>
    <w:rsid w:val="00573E13"/>
    <w:rsid w:val="0057429E"/>
    <w:rsid w:val="00574C8F"/>
    <w:rsid w:val="00576625"/>
    <w:rsid w:val="005767B2"/>
    <w:rsid w:val="00576A31"/>
    <w:rsid w:val="00576A52"/>
    <w:rsid w:val="0057701F"/>
    <w:rsid w:val="00577177"/>
    <w:rsid w:val="00577BD9"/>
    <w:rsid w:val="00577E49"/>
    <w:rsid w:val="00577E80"/>
    <w:rsid w:val="00577F50"/>
    <w:rsid w:val="005805E8"/>
    <w:rsid w:val="005807AE"/>
    <w:rsid w:val="005810E9"/>
    <w:rsid w:val="00581412"/>
    <w:rsid w:val="00581459"/>
    <w:rsid w:val="0058192D"/>
    <w:rsid w:val="00581BD5"/>
    <w:rsid w:val="00582419"/>
    <w:rsid w:val="005826FB"/>
    <w:rsid w:val="005828A2"/>
    <w:rsid w:val="00582AC3"/>
    <w:rsid w:val="00582F5D"/>
    <w:rsid w:val="005834B5"/>
    <w:rsid w:val="005837DC"/>
    <w:rsid w:val="00583CFF"/>
    <w:rsid w:val="0058531A"/>
    <w:rsid w:val="005854B4"/>
    <w:rsid w:val="00585E8F"/>
    <w:rsid w:val="00586C58"/>
    <w:rsid w:val="00586D5B"/>
    <w:rsid w:val="0058780E"/>
    <w:rsid w:val="005904B3"/>
    <w:rsid w:val="00591059"/>
    <w:rsid w:val="005910B2"/>
    <w:rsid w:val="00591115"/>
    <w:rsid w:val="00591E7C"/>
    <w:rsid w:val="005925E8"/>
    <w:rsid w:val="00592607"/>
    <w:rsid w:val="0059294A"/>
    <w:rsid w:val="00592DEA"/>
    <w:rsid w:val="00592F0D"/>
    <w:rsid w:val="00593227"/>
    <w:rsid w:val="00593278"/>
    <w:rsid w:val="00593B17"/>
    <w:rsid w:val="00593C09"/>
    <w:rsid w:val="00594206"/>
    <w:rsid w:val="00594742"/>
    <w:rsid w:val="005948E3"/>
    <w:rsid w:val="0059499B"/>
    <w:rsid w:val="00594F46"/>
    <w:rsid w:val="005962A9"/>
    <w:rsid w:val="005962C5"/>
    <w:rsid w:val="00596389"/>
    <w:rsid w:val="00596500"/>
    <w:rsid w:val="005966F1"/>
    <w:rsid w:val="005969FF"/>
    <w:rsid w:val="00596C99"/>
    <w:rsid w:val="00597216"/>
    <w:rsid w:val="0059736F"/>
    <w:rsid w:val="00597688"/>
    <w:rsid w:val="005A01E2"/>
    <w:rsid w:val="005A0424"/>
    <w:rsid w:val="005A09B6"/>
    <w:rsid w:val="005A0AA2"/>
    <w:rsid w:val="005A11D5"/>
    <w:rsid w:val="005A1275"/>
    <w:rsid w:val="005A12A6"/>
    <w:rsid w:val="005A1712"/>
    <w:rsid w:val="005A1B05"/>
    <w:rsid w:val="005A3667"/>
    <w:rsid w:val="005A37AF"/>
    <w:rsid w:val="005A3A84"/>
    <w:rsid w:val="005A44F0"/>
    <w:rsid w:val="005A4C99"/>
    <w:rsid w:val="005A4D6C"/>
    <w:rsid w:val="005A4DF0"/>
    <w:rsid w:val="005A5169"/>
    <w:rsid w:val="005A5256"/>
    <w:rsid w:val="005A56CF"/>
    <w:rsid w:val="005A587C"/>
    <w:rsid w:val="005A6A37"/>
    <w:rsid w:val="005A6A78"/>
    <w:rsid w:val="005A6F4B"/>
    <w:rsid w:val="005A6F8C"/>
    <w:rsid w:val="005A7247"/>
    <w:rsid w:val="005A7613"/>
    <w:rsid w:val="005A79B4"/>
    <w:rsid w:val="005A79E4"/>
    <w:rsid w:val="005B0371"/>
    <w:rsid w:val="005B0767"/>
    <w:rsid w:val="005B1FF8"/>
    <w:rsid w:val="005B2200"/>
    <w:rsid w:val="005B244F"/>
    <w:rsid w:val="005B2695"/>
    <w:rsid w:val="005B3E11"/>
    <w:rsid w:val="005B4082"/>
    <w:rsid w:val="005B4444"/>
    <w:rsid w:val="005B582B"/>
    <w:rsid w:val="005B5B28"/>
    <w:rsid w:val="005B5FDB"/>
    <w:rsid w:val="005B684D"/>
    <w:rsid w:val="005B6A2A"/>
    <w:rsid w:val="005B7015"/>
    <w:rsid w:val="005B78F6"/>
    <w:rsid w:val="005B7CB6"/>
    <w:rsid w:val="005B7F77"/>
    <w:rsid w:val="005C05D7"/>
    <w:rsid w:val="005C0846"/>
    <w:rsid w:val="005C0B31"/>
    <w:rsid w:val="005C0BBC"/>
    <w:rsid w:val="005C131D"/>
    <w:rsid w:val="005C162C"/>
    <w:rsid w:val="005C16DD"/>
    <w:rsid w:val="005C2002"/>
    <w:rsid w:val="005C28A3"/>
    <w:rsid w:val="005C2BD7"/>
    <w:rsid w:val="005C2DDD"/>
    <w:rsid w:val="005C36DC"/>
    <w:rsid w:val="005C389F"/>
    <w:rsid w:val="005C397E"/>
    <w:rsid w:val="005C3A60"/>
    <w:rsid w:val="005C4767"/>
    <w:rsid w:val="005C4BB4"/>
    <w:rsid w:val="005C5ADD"/>
    <w:rsid w:val="005C5F02"/>
    <w:rsid w:val="005C5FD3"/>
    <w:rsid w:val="005C601C"/>
    <w:rsid w:val="005C63F5"/>
    <w:rsid w:val="005C67F2"/>
    <w:rsid w:val="005C68A7"/>
    <w:rsid w:val="005C6AD4"/>
    <w:rsid w:val="005C6F80"/>
    <w:rsid w:val="005C7321"/>
    <w:rsid w:val="005C7405"/>
    <w:rsid w:val="005C7524"/>
    <w:rsid w:val="005C773E"/>
    <w:rsid w:val="005C7743"/>
    <w:rsid w:val="005D0485"/>
    <w:rsid w:val="005D09FE"/>
    <w:rsid w:val="005D0F28"/>
    <w:rsid w:val="005D135F"/>
    <w:rsid w:val="005D15E8"/>
    <w:rsid w:val="005D1A2E"/>
    <w:rsid w:val="005D1B53"/>
    <w:rsid w:val="005D1FA7"/>
    <w:rsid w:val="005D24AC"/>
    <w:rsid w:val="005D2E20"/>
    <w:rsid w:val="005D306C"/>
    <w:rsid w:val="005D3EFC"/>
    <w:rsid w:val="005D3F77"/>
    <w:rsid w:val="005D4A36"/>
    <w:rsid w:val="005D4BE3"/>
    <w:rsid w:val="005D4D1E"/>
    <w:rsid w:val="005D4FC7"/>
    <w:rsid w:val="005D5507"/>
    <w:rsid w:val="005D61D8"/>
    <w:rsid w:val="005D621E"/>
    <w:rsid w:val="005D6ADB"/>
    <w:rsid w:val="005D6AF7"/>
    <w:rsid w:val="005D6BAD"/>
    <w:rsid w:val="005D6FA6"/>
    <w:rsid w:val="005D70E7"/>
    <w:rsid w:val="005D71B8"/>
    <w:rsid w:val="005D7337"/>
    <w:rsid w:val="005D7859"/>
    <w:rsid w:val="005E1012"/>
    <w:rsid w:val="005E122B"/>
    <w:rsid w:val="005E1534"/>
    <w:rsid w:val="005E17A5"/>
    <w:rsid w:val="005E1BC4"/>
    <w:rsid w:val="005E1F1F"/>
    <w:rsid w:val="005E2600"/>
    <w:rsid w:val="005E2911"/>
    <w:rsid w:val="005E2A67"/>
    <w:rsid w:val="005E2C47"/>
    <w:rsid w:val="005E4318"/>
    <w:rsid w:val="005E4B0B"/>
    <w:rsid w:val="005E4CED"/>
    <w:rsid w:val="005E4FC0"/>
    <w:rsid w:val="005E58DD"/>
    <w:rsid w:val="005E5986"/>
    <w:rsid w:val="005E61EF"/>
    <w:rsid w:val="005E6647"/>
    <w:rsid w:val="005E7EAA"/>
    <w:rsid w:val="005F041F"/>
    <w:rsid w:val="005F0FC7"/>
    <w:rsid w:val="005F17E8"/>
    <w:rsid w:val="005F1FF9"/>
    <w:rsid w:val="005F2004"/>
    <w:rsid w:val="005F2A1A"/>
    <w:rsid w:val="005F2E2F"/>
    <w:rsid w:val="005F3CAB"/>
    <w:rsid w:val="005F3D5B"/>
    <w:rsid w:val="005F3E58"/>
    <w:rsid w:val="005F3FE0"/>
    <w:rsid w:val="005F43EA"/>
    <w:rsid w:val="005F49A8"/>
    <w:rsid w:val="005F56E2"/>
    <w:rsid w:val="005F5961"/>
    <w:rsid w:val="005F5982"/>
    <w:rsid w:val="005F598C"/>
    <w:rsid w:val="005F5DBA"/>
    <w:rsid w:val="005F5EEC"/>
    <w:rsid w:val="005F6480"/>
    <w:rsid w:val="005F6557"/>
    <w:rsid w:val="005F6562"/>
    <w:rsid w:val="005F6B72"/>
    <w:rsid w:val="005F6CA9"/>
    <w:rsid w:val="0060093F"/>
    <w:rsid w:val="00600A7A"/>
    <w:rsid w:val="00600C16"/>
    <w:rsid w:val="00600C62"/>
    <w:rsid w:val="00600D13"/>
    <w:rsid w:val="00600E32"/>
    <w:rsid w:val="00601093"/>
    <w:rsid w:val="006010C7"/>
    <w:rsid w:val="0060156B"/>
    <w:rsid w:val="006017BD"/>
    <w:rsid w:val="0060201E"/>
    <w:rsid w:val="00602135"/>
    <w:rsid w:val="006021AA"/>
    <w:rsid w:val="00602263"/>
    <w:rsid w:val="00602AE2"/>
    <w:rsid w:val="00603200"/>
    <w:rsid w:val="00603372"/>
    <w:rsid w:val="006035CD"/>
    <w:rsid w:val="00603A46"/>
    <w:rsid w:val="00603D77"/>
    <w:rsid w:val="00603FA5"/>
    <w:rsid w:val="006043B4"/>
    <w:rsid w:val="00604AA3"/>
    <w:rsid w:val="00604C80"/>
    <w:rsid w:val="00605067"/>
    <w:rsid w:val="006056E2"/>
    <w:rsid w:val="00605724"/>
    <w:rsid w:val="00605E65"/>
    <w:rsid w:val="00606808"/>
    <w:rsid w:val="00607061"/>
    <w:rsid w:val="006073DB"/>
    <w:rsid w:val="00607B48"/>
    <w:rsid w:val="00607C30"/>
    <w:rsid w:val="00607DC7"/>
    <w:rsid w:val="00607FB6"/>
    <w:rsid w:val="0061018A"/>
    <w:rsid w:val="00610AC2"/>
    <w:rsid w:val="00610DE7"/>
    <w:rsid w:val="0061178E"/>
    <w:rsid w:val="00611968"/>
    <w:rsid w:val="00611A03"/>
    <w:rsid w:val="00611C40"/>
    <w:rsid w:val="00612151"/>
    <w:rsid w:val="00613677"/>
    <w:rsid w:val="00613D1B"/>
    <w:rsid w:val="00613EEE"/>
    <w:rsid w:val="00613FDF"/>
    <w:rsid w:val="0061405A"/>
    <w:rsid w:val="00614604"/>
    <w:rsid w:val="00615073"/>
    <w:rsid w:val="00615296"/>
    <w:rsid w:val="006152D6"/>
    <w:rsid w:val="006156D4"/>
    <w:rsid w:val="006166A1"/>
    <w:rsid w:val="006167C3"/>
    <w:rsid w:val="00616A95"/>
    <w:rsid w:val="00616AA9"/>
    <w:rsid w:val="00616D08"/>
    <w:rsid w:val="00616E10"/>
    <w:rsid w:val="00616E55"/>
    <w:rsid w:val="006178B0"/>
    <w:rsid w:val="006209B9"/>
    <w:rsid w:val="00620C4B"/>
    <w:rsid w:val="00620E3D"/>
    <w:rsid w:val="00620F71"/>
    <w:rsid w:val="006210F1"/>
    <w:rsid w:val="00621160"/>
    <w:rsid w:val="0062122B"/>
    <w:rsid w:val="00621C02"/>
    <w:rsid w:val="00621D8C"/>
    <w:rsid w:val="0062206A"/>
    <w:rsid w:val="006226F7"/>
    <w:rsid w:val="0062293F"/>
    <w:rsid w:val="00624125"/>
    <w:rsid w:val="0062421B"/>
    <w:rsid w:val="006242D0"/>
    <w:rsid w:val="00624E1F"/>
    <w:rsid w:val="0062511C"/>
    <w:rsid w:val="00625191"/>
    <w:rsid w:val="00625441"/>
    <w:rsid w:val="00625F85"/>
    <w:rsid w:val="0062607E"/>
    <w:rsid w:val="006261C3"/>
    <w:rsid w:val="00626728"/>
    <w:rsid w:val="006268B2"/>
    <w:rsid w:val="00626A69"/>
    <w:rsid w:val="00626BBA"/>
    <w:rsid w:val="0062773A"/>
    <w:rsid w:val="006301EE"/>
    <w:rsid w:val="00631151"/>
    <w:rsid w:val="0063120A"/>
    <w:rsid w:val="0063139F"/>
    <w:rsid w:val="00631450"/>
    <w:rsid w:val="0063146B"/>
    <w:rsid w:val="00631D3C"/>
    <w:rsid w:val="00631FD8"/>
    <w:rsid w:val="00632086"/>
    <w:rsid w:val="0063237E"/>
    <w:rsid w:val="006324FB"/>
    <w:rsid w:val="00633417"/>
    <w:rsid w:val="00633510"/>
    <w:rsid w:val="006335F3"/>
    <w:rsid w:val="00633878"/>
    <w:rsid w:val="00633D09"/>
    <w:rsid w:val="00633FBB"/>
    <w:rsid w:val="0063435B"/>
    <w:rsid w:val="00634414"/>
    <w:rsid w:val="00634665"/>
    <w:rsid w:val="006348BB"/>
    <w:rsid w:val="00634E74"/>
    <w:rsid w:val="006358D5"/>
    <w:rsid w:val="00635D47"/>
    <w:rsid w:val="00635F03"/>
    <w:rsid w:val="0063646F"/>
    <w:rsid w:val="006365D7"/>
    <w:rsid w:val="0063687F"/>
    <w:rsid w:val="00636E60"/>
    <w:rsid w:val="0063713E"/>
    <w:rsid w:val="006373A2"/>
    <w:rsid w:val="00637B19"/>
    <w:rsid w:val="00637B26"/>
    <w:rsid w:val="00637D78"/>
    <w:rsid w:val="00637F43"/>
    <w:rsid w:val="00637F4F"/>
    <w:rsid w:val="00637FA3"/>
    <w:rsid w:val="00640018"/>
    <w:rsid w:val="006406C5"/>
    <w:rsid w:val="006408BA"/>
    <w:rsid w:val="0064091F"/>
    <w:rsid w:val="00640AD2"/>
    <w:rsid w:val="00642390"/>
    <w:rsid w:val="006423F4"/>
    <w:rsid w:val="00642A9E"/>
    <w:rsid w:val="00642AF1"/>
    <w:rsid w:val="00642AFD"/>
    <w:rsid w:val="00642C2B"/>
    <w:rsid w:val="00643B35"/>
    <w:rsid w:val="00643EA4"/>
    <w:rsid w:val="006440B6"/>
    <w:rsid w:val="00644149"/>
    <w:rsid w:val="006444AB"/>
    <w:rsid w:val="00644628"/>
    <w:rsid w:val="00644AD6"/>
    <w:rsid w:val="00645253"/>
    <w:rsid w:val="0064528D"/>
    <w:rsid w:val="00645438"/>
    <w:rsid w:val="00645738"/>
    <w:rsid w:val="00645F73"/>
    <w:rsid w:val="00646BDF"/>
    <w:rsid w:val="00647162"/>
    <w:rsid w:val="0064728F"/>
    <w:rsid w:val="00647E36"/>
    <w:rsid w:val="006503EA"/>
    <w:rsid w:val="0065082C"/>
    <w:rsid w:val="00650A5B"/>
    <w:rsid w:val="00650BB0"/>
    <w:rsid w:val="00650D42"/>
    <w:rsid w:val="006511D7"/>
    <w:rsid w:val="0065142B"/>
    <w:rsid w:val="00651F00"/>
    <w:rsid w:val="006520B4"/>
    <w:rsid w:val="00652A93"/>
    <w:rsid w:val="00652B16"/>
    <w:rsid w:val="00652D85"/>
    <w:rsid w:val="00652EBD"/>
    <w:rsid w:val="00653B72"/>
    <w:rsid w:val="00653D4E"/>
    <w:rsid w:val="0065452C"/>
    <w:rsid w:val="00654778"/>
    <w:rsid w:val="00654DEB"/>
    <w:rsid w:val="00654E6F"/>
    <w:rsid w:val="00654FE9"/>
    <w:rsid w:val="006550D7"/>
    <w:rsid w:val="00655286"/>
    <w:rsid w:val="006552BB"/>
    <w:rsid w:val="00655443"/>
    <w:rsid w:val="00655474"/>
    <w:rsid w:val="00655E06"/>
    <w:rsid w:val="006563F0"/>
    <w:rsid w:val="006568F4"/>
    <w:rsid w:val="00656AE7"/>
    <w:rsid w:val="00657787"/>
    <w:rsid w:val="006606E4"/>
    <w:rsid w:val="00660AC4"/>
    <w:rsid w:val="00660BDC"/>
    <w:rsid w:val="00660D4B"/>
    <w:rsid w:val="00660EFD"/>
    <w:rsid w:val="0066159C"/>
    <w:rsid w:val="006622A5"/>
    <w:rsid w:val="006622EB"/>
    <w:rsid w:val="0066234B"/>
    <w:rsid w:val="00662C0A"/>
    <w:rsid w:val="00662D4F"/>
    <w:rsid w:val="00663584"/>
    <w:rsid w:val="0066369B"/>
    <w:rsid w:val="00663B04"/>
    <w:rsid w:val="0066422E"/>
    <w:rsid w:val="0066491C"/>
    <w:rsid w:val="00664983"/>
    <w:rsid w:val="00664A1B"/>
    <w:rsid w:val="00664B3E"/>
    <w:rsid w:val="00664E3B"/>
    <w:rsid w:val="006650AA"/>
    <w:rsid w:val="0066549B"/>
    <w:rsid w:val="00665622"/>
    <w:rsid w:val="006656CF"/>
    <w:rsid w:val="00666B9D"/>
    <w:rsid w:val="00667351"/>
    <w:rsid w:val="00667898"/>
    <w:rsid w:val="00667CC9"/>
    <w:rsid w:val="006714BE"/>
    <w:rsid w:val="00671E93"/>
    <w:rsid w:val="00672CBD"/>
    <w:rsid w:val="00673070"/>
    <w:rsid w:val="00673250"/>
    <w:rsid w:val="0067384D"/>
    <w:rsid w:val="00673F82"/>
    <w:rsid w:val="00674228"/>
    <w:rsid w:val="00674325"/>
    <w:rsid w:val="006751FE"/>
    <w:rsid w:val="006752FB"/>
    <w:rsid w:val="00675370"/>
    <w:rsid w:val="0067629D"/>
    <w:rsid w:val="00676650"/>
    <w:rsid w:val="006772EE"/>
    <w:rsid w:val="006774B7"/>
    <w:rsid w:val="00677900"/>
    <w:rsid w:val="00677E19"/>
    <w:rsid w:val="006806E3"/>
    <w:rsid w:val="006817F5"/>
    <w:rsid w:val="00681D83"/>
    <w:rsid w:val="00681FC4"/>
    <w:rsid w:val="006831DD"/>
    <w:rsid w:val="006833D8"/>
    <w:rsid w:val="006840BD"/>
    <w:rsid w:val="006845D2"/>
    <w:rsid w:val="0068544A"/>
    <w:rsid w:val="006858B0"/>
    <w:rsid w:val="00685C9E"/>
    <w:rsid w:val="00686122"/>
    <w:rsid w:val="00686373"/>
    <w:rsid w:val="0068689A"/>
    <w:rsid w:val="006871B4"/>
    <w:rsid w:val="0068743C"/>
    <w:rsid w:val="00687AFA"/>
    <w:rsid w:val="00687E44"/>
    <w:rsid w:val="0069128C"/>
    <w:rsid w:val="00691593"/>
    <w:rsid w:val="0069169E"/>
    <w:rsid w:val="006917D6"/>
    <w:rsid w:val="006927D9"/>
    <w:rsid w:val="00692D45"/>
    <w:rsid w:val="00692F00"/>
    <w:rsid w:val="0069318D"/>
    <w:rsid w:val="006931F6"/>
    <w:rsid w:val="00693525"/>
    <w:rsid w:val="0069352E"/>
    <w:rsid w:val="00694618"/>
    <w:rsid w:val="00694B80"/>
    <w:rsid w:val="00694B91"/>
    <w:rsid w:val="00695014"/>
    <w:rsid w:val="00695248"/>
    <w:rsid w:val="006959E1"/>
    <w:rsid w:val="00695B41"/>
    <w:rsid w:val="00695B6F"/>
    <w:rsid w:val="00695FD7"/>
    <w:rsid w:val="0069631E"/>
    <w:rsid w:val="00696B3E"/>
    <w:rsid w:val="00696E09"/>
    <w:rsid w:val="00697247"/>
    <w:rsid w:val="00697D44"/>
    <w:rsid w:val="006A02CE"/>
    <w:rsid w:val="006A171E"/>
    <w:rsid w:val="006A1BDB"/>
    <w:rsid w:val="006A1DD1"/>
    <w:rsid w:val="006A22D3"/>
    <w:rsid w:val="006A239A"/>
    <w:rsid w:val="006A25D9"/>
    <w:rsid w:val="006A2C07"/>
    <w:rsid w:val="006A315C"/>
    <w:rsid w:val="006A4299"/>
    <w:rsid w:val="006A451C"/>
    <w:rsid w:val="006A4A4D"/>
    <w:rsid w:val="006A4EB9"/>
    <w:rsid w:val="006A5D12"/>
    <w:rsid w:val="006A62DF"/>
    <w:rsid w:val="006A67ED"/>
    <w:rsid w:val="006A69B5"/>
    <w:rsid w:val="006A7354"/>
    <w:rsid w:val="006A7863"/>
    <w:rsid w:val="006A7DDB"/>
    <w:rsid w:val="006A7EB1"/>
    <w:rsid w:val="006B0158"/>
    <w:rsid w:val="006B0161"/>
    <w:rsid w:val="006B0520"/>
    <w:rsid w:val="006B0609"/>
    <w:rsid w:val="006B15C0"/>
    <w:rsid w:val="006B1EF5"/>
    <w:rsid w:val="006B24B0"/>
    <w:rsid w:val="006B3435"/>
    <w:rsid w:val="006B3BCC"/>
    <w:rsid w:val="006B3C6D"/>
    <w:rsid w:val="006B430F"/>
    <w:rsid w:val="006B485C"/>
    <w:rsid w:val="006B4C1F"/>
    <w:rsid w:val="006B5B70"/>
    <w:rsid w:val="006B6279"/>
    <w:rsid w:val="006B6993"/>
    <w:rsid w:val="006B6B6D"/>
    <w:rsid w:val="006B6E6B"/>
    <w:rsid w:val="006B715E"/>
    <w:rsid w:val="006B729C"/>
    <w:rsid w:val="006B730A"/>
    <w:rsid w:val="006B7526"/>
    <w:rsid w:val="006B788B"/>
    <w:rsid w:val="006B798A"/>
    <w:rsid w:val="006B798D"/>
    <w:rsid w:val="006C0498"/>
    <w:rsid w:val="006C0B52"/>
    <w:rsid w:val="006C0F79"/>
    <w:rsid w:val="006C127D"/>
    <w:rsid w:val="006C26A8"/>
    <w:rsid w:val="006C2F9E"/>
    <w:rsid w:val="006C3666"/>
    <w:rsid w:val="006C39AB"/>
    <w:rsid w:val="006C3DA2"/>
    <w:rsid w:val="006C3F8D"/>
    <w:rsid w:val="006C4183"/>
    <w:rsid w:val="006C43E5"/>
    <w:rsid w:val="006C4685"/>
    <w:rsid w:val="006C4920"/>
    <w:rsid w:val="006C5151"/>
    <w:rsid w:val="006C5FE5"/>
    <w:rsid w:val="006C681B"/>
    <w:rsid w:val="006C7AFC"/>
    <w:rsid w:val="006C7B1D"/>
    <w:rsid w:val="006C7E5E"/>
    <w:rsid w:val="006D03EA"/>
    <w:rsid w:val="006D0778"/>
    <w:rsid w:val="006D0C35"/>
    <w:rsid w:val="006D0CD2"/>
    <w:rsid w:val="006D100E"/>
    <w:rsid w:val="006D10A3"/>
    <w:rsid w:val="006D1127"/>
    <w:rsid w:val="006D1158"/>
    <w:rsid w:val="006D23D3"/>
    <w:rsid w:val="006D2A0B"/>
    <w:rsid w:val="006D2B8C"/>
    <w:rsid w:val="006D2E6B"/>
    <w:rsid w:val="006D3BC7"/>
    <w:rsid w:val="006D3D68"/>
    <w:rsid w:val="006D3FF1"/>
    <w:rsid w:val="006D4869"/>
    <w:rsid w:val="006D49E4"/>
    <w:rsid w:val="006D535A"/>
    <w:rsid w:val="006D538E"/>
    <w:rsid w:val="006D575A"/>
    <w:rsid w:val="006D59BB"/>
    <w:rsid w:val="006D5C7D"/>
    <w:rsid w:val="006D64D0"/>
    <w:rsid w:val="006D6AE2"/>
    <w:rsid w:val="006D6DF1"/>
    <w:rsid w:val="006D7EE6"/>
    <w:rsid w:val="006E0262"/>
    <w:rsid w:val="006E04ED"/>
    <w:rsid w:val="006E08B7"/>
    <w:rsid w:val="006E0AA1"/>
    <w:rsid w:val="006E1079"/>
    <w:rsid w:val="006E1534"/>
    <w:rsid w:val="006E1CF3"/>
    <w:rsid w:val="006E1F58"/>
    <w:rsid w:val="006E2304"/>
    <w:rsid w:val="006E27F9"/>
    <w:rsid w:val="006E2F6A"/>
    <w:rsid w:val="006E322B"/>
    <w:rsid w:val="006E35CD"/>
    <w:rsid w:val="006E40F2"/>
    <w:rsid w:val="006E438B"/>
    <w:rsid w:val="006E5400"/>
    <w:rsid w:val="006E593A"/>
    <w:rsid w:val="006E5FF1"/>
    <w:rsid w:val="006E66CB"/>
    <w:rsid w:val="006E67E1"/>
    <w:rsid w:val="006E6C47"/>
    <w:rsid w:val="006E786A"/>
    <w:rsid w:val="006E7A87"/>
    <w:rsid w:val="006E7AD5"/>
    <w:rsid w:val="006E7C42"/>
    <w:rsid w:val="006E7D24"/>
    <w:rsid w:val="006F0063"/>
    <w:rsid w:val="006F0B48"/>
    <w:rsid w:val="006F1A87"/>
    <w:rsid w:val="006F2206"/>
    <w:rsid w:val="006F22B1"/>
    <w:rsid w:val="006F338A"/>
    <w:rsid w:val="006F43E9"/>
    <w:rsid w:val="006F47F4"/>
    <w:rsid w:val="006F4888"/>
    <w:rsid w:val="006F496A"/>
    <w:rsid w:val="006F4A84"/>
    <w:rsid w:val="006F5357"/>
    <w:rsid w:val="006F549D"/>
    <w:rsid w:val="006F567F"/>
    <w:rsid w:val="006F56A1"/>
    <w:rsid w:val="006F5800"/>
    <w:rsid w:val="006F5E4A"/>
    <w:rsid w:val="006F61C9"/>
    <w:rsid w:val="006F623F"/>
    <w:rsid w:val="006F642C"/>
    <w:rsid w:val="006F65F7"/>
    <w:rsid w:val="006F6985"/>
    <w:rsid w:val="006F6A86"/>
    <w:rsid w:val="006F7925"/>
    <w:rsid w:val="006F7EFC"/>
    <w:rsid w:val="006F7FB1"/>
    <w:rsid w:val="0070005A"/>
    <w:rsid w:val="007001D5"/>
    <w:rsid w:val="0070076F"/>
    <w:rsid w:val="007012DC"/>
    <w:rsid w:val="00701517"/>
    <w:rsid w:val="007015F9"/>
    <w:rsid w:val="00701831"/>
    <w:rsid w:val="00701917"/>
    <w:rsid w:val="00701A10"/>
    <w:rsid w:val="00701A29"/>
    <w:rsid w:val="00701AA1"/>
    <w:rsid w:val="00701F27"/>
    <w:rsid w:val="007020B5"/>
    <w:rsid w:val="0070231A"/>
    <w:rsid w:val="00702427"/>
    <w:rsid w:val="00702CB2"/>
    <w:rsid w:val="00703473"/>
    <w:rsid w:val="00703515"/>
    <w:rsid w:val="0070357B"/>
    <w:rsid w:val="00703A84"/>
    <w:rsid w:val="00703CA9"/>
    <w:rsid w:val="0070437E"/>
    <w:rsid w:val="007054F0"/>
    <w:rsid w:val="00705604"/>
    <w:rsid w:val="00705707"/>
    <w:rsid w:val="00705BAB"/>
    <w:rsid w:val="00705BD9"/>
    <w:rsid w:val="00706618"/>
    <w:rsid w:val="00706C41"/>
    <w:rsid w:val="007072CE"/>
    <w:rsid w:val="00710820"/>
    <w:rsid w:val="007108E4"/>
    <w:rsid w:val="00711147"/>
    <w:rsid w:val="0071195A"/>
    <w:rsid w:val="00711BEE"/>
    <w:rsid w:val="007122DE"/>
    <w:rsid w:val="007127F8"/>
    <w:rsid w:val="007133C3"/>
    <w:rsid w:val="0071348A"/>
    <w:rsid w:val="007141CA"/>
    <w:rsid w:val="00714216"/>
    <w:rsid w:val="007149AD"/>
    <w:rsid w:val="00714F14"/>
    <w:rsid w:val="00714F2A"/>
    <w:rsid w:val="00714F73"/>
    <w:rsid w:val="00715329"/>
    <w:rsid w:val="00716BEC"/>
    <w:rsid w:val="0071703D"/>
    <w:rsid w:val="007176F7"/>
    <w:rsid w:val="007178E1"/>
    <w:rsid w:val="007179F9"/>
    <w:rsid w:val="00717F6D"/>
    <w:rsid w:val="007201E0"/>
    <w:rsid w:val="00720D3D"/>
    <w:rsid w:val="00721865"/>
    <w:rsid w:val="007220B8"/>
    <w:rsid w:val="007225CC"/>
    <w:rsid w:val="007228BF"/>
    <w:rsid w:val="00724CE2"/>
    <w:rsid w:val="00725FBA"/>
    <w:rsid w:val="00726EBC"/>
    <w:rsid w:val="007271AB"/>
    <w:rsid w:val="007272A2"/>
    <w:rsid w:val="00727475"/>
    <w:rsid w:val="00727726"/>
    <w:rsid w:val="00727A3E"/>
    <w:rsid w:val="00727FAF"/>
    <w:rsid w:val="0073008E"/>
    <w:rsid w:val="0073020F"/>
    <w:rsid w:val="007302E7"/>
    <w:rsid w:val="0073030D"/>
    <w:rsid w:val="00730502"/>
    <w:rsid w:val="00730785"/>
    <w:rsid w:val="00730DF3"/>
    <w:rsid w:val="007318AD"/>
    <w:rsid w:val="00731C71"/>
    <w:rsid w:val="00732184"/>
    <w:rsid w:val="00732340"/>
    <w:rsid w:val="00732CE9"/>
    <w:rsid w:val="00732EAC"/>
    <w:rsid w:val="00732FF0"/>
    <w:rsid w:val="007332DE"/>
    <w:rsid w:val="007336BF"/>
    <w:rsid w:val="00733AA5"/>
    <w:rsid w:val="00734256"/>
    <w:rsid w:val="007342E2"/>
    <w:rsid w:val="00734EBA"/>
    <w:rsid w:val="00735650"/>
    <w:rsid w:val="00735FA9"/>
    <w:rsid w:val="0073622C"/>
    <w:rsid w:val="007373A9"/>
    <w:rsid w:val="007375C3"/>
    <w:rsid w:val="00737B23"/>
    <w:rsid w:val="00737D16"/>
    <w:rsid w:val="00737DB0"/>
    <w:rsid w:val="00740528"/>
    <w:rsid w:val="007406A1"/>
    <w:rsid w:val="00740829"/>
    <w:rsid w:val="00740BD7"/>
    <w:rsid w:val="00740F4B"/>
    <w:rsid w:val="00740FBE"/>
    <w:rsid w:val="007413BE"/>
    <w:rsid w:val="00741D36"/>
    <w:rsid w:val="00741F4F"/>
    <w:rsid w:val="00742680"/>
    <w:rsid w:val="00742A8C"/>
    <w:rsid w:val="00742BB5"/>
    <w:rsid w:val="00743327"/>
    <w:rsid w:val="00743519"/>
    <w:rsid w:val="007435CE"/>
    <w:rsid w:val="00743758"/>
    <w:rsid w:val="0074431F"/>
    <w:rsid w:val="007446B0"/>
    <w:rsid w:val="00744CAA"/>
    <w:rsid w:val="007465C8"/>
    <w:rsid w:val="00746A00"/>
    <w:rsid w:val="007502CF"/>
    <w:rsid w:val="00750A2A"/>
    <w:rsid w:val="00750B78"/>
    <w:rsid w:val="007514AB"/>
    <w:rsid w:val="00751787"/>
    <w:rsid w:val="007519EC"/>
    <w:rsid w:val="00752269"/>
    <w:rsid w:val="007525D8"/>
    <w:rsid w:val="007526D1"/>
    <w:rsid w:val="0075282B"/>
    <w:rsid w:val="00753263"/>
    <w:rsid w:val="007533D4"/>
    <w:rsid w:val="007533EB"/>
    <w:rsid w:val="007538E2"/>
    <w:rsid w:val="00753AEA"/>
    <w:rsid w:val="00753E1E"/>
    <w:rsid w:val="0075429A"/>
    <w:rsid w:val="00754427"/>
    <w:rsid w:val="00754738"/>
    <w:rsid w:val="0075520B"/>
    <w:rsid w:val="00755CEF"/>
    <w:rsid w:val="00756BFD"/>
    <w:rsid w:val="00756DBF"/>
    <w:rsid w:val="007573DA"/>
    <w:rsid w:val="00757B3A"/>
    <w:rsid w:val="00757B84"/>
    <w:rsid w:val="00757D80"/>
    <w:rsid w:val="0076029F"/>
    <w:rsid w:val="00760D34"/>
    <w:rsid w:val="00760FBD"/>
    <w:rsid w:val="00761D21"/>
    <w:rsid w:val="007627D1"/>
    <w:rsid w:val="00763428"/>
    <w:rsid w:val="0076347F"/>
    <w:rsid w:val="007636F0"/>
    <w:rsid w:val="00763755"/>
    <w:rsid w:val="0076380C"/>
    <w:rsid w:val="00763A52"/>
    <w:rsid w:val="00763D32"/>
    <w:rsid w:val="0076418C"/>
    <w:rsid w:val="00764274"/>
    <w:rsid w:val="00764C7C"/>
    <w:rsid w:val="00765159"/>
    <w:rsid w:val="00765487"/>
    <w:rsid w:val="00765752"/>
    <w:rsid w:val="00766AAE"/>
    <w:rsid w:val="00767300"/>
    <w:rsid w:val="00767D66"/>
    <w:rsid w:val="00770DE2"/>
    <w:rsid w:val="007710E6"/>
    <w:rsid w:val="00771296"/>
    <w:rsid w:val="00771AAF"/>
    <w:rsid w:val="00771F07"/>
    <w:rsid w:val="00772363"/>
    <w:rsid w:val="00772AF5"/>
    <w:rsid w:val="00772B66"/>
    <w:rsid w:val="00772E06"/>
    <w:rsid w:val="0077342E"/>
    <w:rsid w:val="007734C6"/>
    <w:rsid w:val="007737A3"/>
    <w:rsid w:val="00773B50"/>
    <w:rsid w:val="00773BC8"/>
    <w:rsid w:val="00773E57"/>
    <w:rsid w:val="00774DB1"/>
    <w:rsid w:val="00774DD2"/>
    <w:rsid w:val="007755BF"/>
    <w:rsid w:val="007758B3"/>
    <w:rsid w:val="007761A5"/>
    <w:rsid w:val="007764B6"/>
    <w:rsid w:val="00776F76"/>
    <w:rsid w:val="00777196"/>
    <w:rsid w:val="00777270"/>
    <w:rsid w:val="007775DA"/>
    <w:rsid w:val="00777DDD"/>
    <w:rsid w:val="0078011B"/>
    <w:rsid w:val="00780252"/>
    <w:rsid w:val="0078029A"/>
    <w:rsid w:val="00782282"/>
    <w:rsid w:val="007825D3"/>
    <w:rsid w:val="007827FA"/>
    <w:rsid w:val="00782F02"/>
    <w:rsid w:val="00783013"/>
    <w:rsid w:val="0078322A"/>
    <w:rsid w:val="007833FC"/>
    <w:rsid w:val="00783637"/>
    <w:rsid w:val="00783B0A"/>
    <w:rsid w:val="0078461A"/>
    <w:rsid w:val="00784ABC"/>
    <w:rsid w:val="0078590F"/>
    <w:rsid w:val="007861FA"/>
    <w:rsid w:val="00787187"/>
    <w:rsid w:val="007874F3"/>
    <w:rsid w:val="00787B5C"/>
    <w:rsid w:val="00787FC6"/>
    <w:rsid w:val="00791435"/>
    <w:rsid w:val="007917C3"/>
    <w:rsid w:val="00791C86"/>
    <w:rsid w:val="00791EBE"/>
    <w:rsid w:val="007920F5"/>
    <w:rsid w:val="00792812"/>
    <w:rsid w:val="0079341D"/>
    <w:rsid w:val="007937AC"/>
    <w:rsid w:val="00793954"/>
    <w:rsid w:val="00793995"/>
    <w:rsid w:val="00793E45"/>
    <w:rsid w:val="00793EA9"/>
    <w:rsid w:val="00793EE0"/>
    <w:rsid w:val="00793FBC"/>
    <w:rsid w:val="007940CC"/>
    <w:rsid w:val="007943A1"/>
    <w:rsid w:val="0079470D"/>
    <w:rsid w:val="007950D9"/>
    <w:rsid w:val="0079522D"/>
    <w:rsid w:val="007953DA"/>
    <w:rsid w:val="0079540A"/>
    <w:rsid w:val="00795412"/>
    <w:rsid w:val="007957CD"/>
    <w:rsid w:val="00795BC8"/>
    <w:rsid w:val="007961E5"/>
    <w:rsid w:val="00796392"/>
    <w:rsid w:val="0079639B"/>
    <w:rsid w:val="00796CC9"/>
    <w:rsid w:val="00796EBC"/>
    <w:rsid w:val="00797934"/>
    <w:rsid w:val="00797C5F"/>
    <w:rsid w:val="007A004B"/>
    <w:rsid w:val="007A00C5"/>
    <w:rsid w:val="007A01B6"/>
    <w:rsid w:val="007A0564"/>
    <w:rsid w:val="007A07C5"/>
    <w:rsid w:val="007A0856"/>
    <w:rsid w:val="007A0A7E"/>
    <w:rsid w:val="007A0DDD"/>
    <w:rsid w:val="007A1309"/>
    <w:rsid w:val="007A1354"/>
    <w:rsid w:val="007A1385"/>
    <w:rsid w:val="007A138C"/>
    <w:rsid w:val="007A1517"/>
    <w:rsid w:val="007A1971"/>
    <w:rsid w:val="007A1AA5"/>
    <w:rsid w:val="007A1C22"/>
    <w:rsid w:val="007A2DBA"/>
    <w:rsid w:val="007A2DFE"/>
    <w:rsid w:val="007A33FC"/>
    <w:rsid w:val="007A39A7"/>
    <w:rsid w:val="007A434F"/>
    <w:rsid w:val="007A45F0"/>
    <w:rsid w:val="007A4673"/>
    <w:rsid w:val="007A57EF"/>
    <w:rsid w:val="007A5C42"/>
    <w:rsid w:val="007A6049"/>
    <w:rsid w:val="007A6D28"/>
    <w:rsid w:val="007A702D"/>
    <w:rsid w:val="007A709F"/>
    <w:rsid w:val="007A7582"/>
    <w:rsid w:val="007A760C"/>
    <w:rsid w:val="007A7AC9"/>
    <w:rsid w:val="007A7DB8"/>
    <w:rsid w:val="007B0211"/>
    <w:rsid w:val="007B0594"/>
    <w:rsid w:val="007B0737"/>
    <w:rsid w:val="007B0777"/>
    <w:rsid w:val="007B1254"/>
    <w:rsid w:val="007B16AE"/>
    <w:rsid w:val="007B2134"/>
    <w:rsid w:val="007B278B"/>
    <w:rsid w:val="007B27CE"/>
    <w:rsid w:val="007B2CFF"/>
    <w:rsid w:val="007B3F4F"/>
    <w:rsid w:val="007B4F46"/>
    <w:rsid w:val="007B5023"/>
    <w:rsid w:val="007B545C"/>
    <w:rsid w:val="007B56C8"/>
    <w:rsid w:val="007B57E5"/>
    <w:rsid w:val="007B5C70"/>
    <w:rsid w:val="007B5F2B"/>
    <w:rsid w:val="007B5F37"/>
    <w:rsid w:val="007B7176"/>
    <w:rsid w:val="007B7632"/>
    <w:rsid w:val="007B7AAB"/>
    <w:rsid w:val="007B7BE3"/>
    <w:rsid w:val="007B7DAC"/>
    <w:rsid w:val="007C0A78"/>
    <w:rsid w:val="007C0FEB"/>
    <w:rsid w:val="007C1006"/>
    <w:rsid w:val="007C1513"/>
    <w:rsid w:val="007C25AD"/>
    <w:rsid w:val="007C3040"/>
    <w:rsid w:val="007C32AF"/>
    <w:rsid w:val="007C34BA"/>
    <w:rsid w:val="007C4168"/>
    <w:rsid w:val="007C44C0"/>
    <w:rsid w:val="007C5953"/>
    <w:rsid w:val="007C6054"/>
    <w:rsid w:val="007C60F3"/>
    <w:rsid w:val="007C69C0"/>
    <w:rsid w:val="007C7B92"/>
    <w:rsid w:val="007D0037"/>
    <w:rsid w:val="007D0FB3"/>
    <w:rsid w:val="007D148E"/>
    <w:rsid w:val="007D1C5E"/>
    <w:rsid w:val="007D1C71"/>
    <w:rsid w:val="007D2971"/>
    <w:rsid w:val="007D394F"/>
    <w:rsid w:val="007D3E23"/>
    <w:rsid w:val="007D3F37"/>
    <w:rsid w:val="007D424D"/>
    <w:rsid w:val="007D4942"/>
    <w:rsid w:val="007D4B8A"/>
    <w:rsid w:val="007D55D7"/>
    <w:rsid w:val="007D5CE4"/>
    <w:rsid w:val="007D5D5A"/>
    <w:rsid w:val="007D61C9"/>
    <w:rsid w:val="007D64DD"/>
    <w:rsid w:val="007D6D65"/>
    <w:rsid w:val="007D7511"/>
    <w:rsid w:val="007D772E"/>
    <w:rsid w:val="007D77C2"/>
    <w:rsid w:val="007D79BA"/>
    <w:rsid w:val="007DACF5"/>
    <w:rsid w:val="007E004B"/>
    <w:rsid w:val="007E02DA"/>
    <w:rsid w:val="007E0A43"/>
    <w:rsid w:val="007E0BE7"/>
    <w:rsid w:val="007E0DCA"/>
    <w:rsid w:val="007E104F"/>
    <w:rsid w:val="007E129A"/>
    <w:rsid w:val="007E12DD"/>
    <w:rsid w:val="007E19C5"/>
    <w:rsid w:val="007E1C12"/>
    <w:rsid w:val="007E1FC5"/>
    <w:rsid w:val="007E2BF4"/>
    <w:rsid w:val="007E2DF8"/>
    <w:rsid w:val="007E351E"/>
    <w:rsid w:val="007E377B"/>
    <w:rsid w:val="007E3A96"/>
    <w:rsid w:val="007E3AEA"/>
    <w:rsid w:val="007E3DD6"/>
    <w:rsid w:val="007E3ECD"/>
    <w:rsid w:val="007E4B57"/>
    <w:rsid w:val="007E5AE2"/>
    <w:rsid w:val="007E5B2F"/>
    <w:rsid w:val="007E6195"/>
    <w:rsid w:val="007E626F"/>
    <w:rsid w:val="007E646B"/>
    <w:rsid w:val="007E6A70"/>
    <w:rsid w:val="007E7CE7"/>
    <w:rsid w:val="007E7D91"/>
    <w:rsid w:val="007F01C1"/>
    <w:rsid w:val="007F0A0A"/>
    <w:rsid w:val="007F0B26"/>
    <w:rsid w:val="007F0BC8"/>
    <w:rsid w:val="007F0D9F"/>
    <w:rsid w:val="007F1A53"/>
    <w:rsid w:val="007F1BD3"/>
    <w:rsid w:val="007F389C"/>
    <w:rsid w:val="007F4719"/>
    <w:rsid w:val="007F4FD6"/>
    <w:rsid w:val="007F5BBF"/>
    <w:rsid w:val="007F6013"/>
    <w:rsid w:val="007F6235"/>
    <w:rsid w:val="007F6669"/>
    <w:rsid w:val="007F6687"/>
    <w:rsid w:val="007F6689"/>
    <w:rsid w:val="007F7322"/>
    <w:rsid w:val="007F7A9D"/>
    <w:rsid w:val="007F7CA8"/>
    <w:rsid w:val="007F7D9B"/>
    <w:rsid w:val="007F7DB8"/>
    <w:rsid w:val="00800E09"/>
    <w:rsid w:val="0080156A"/>
    <w:rsid w:val="00801851"/>
    <w:rsid w:val="00801966"/>
    <w:rsid w:val="00801A42"/>
    <w:rsid w:val="00801B6B"/>
    <w:rsid w:val="00801F81"/>
    <w:rsid w:val="00802232"/>
    <w:rsid w:val="00802ECD"/>
    <w:rsid w:val="00803925"/>
    <w:rsid w:val="00803BAE"/>
    <w:rsid w:val="00804276"/>
    <w:rsid w:val="0080431A"/>
    <w:rsid w:val="00804908"/>
    <w:rsid w:val="00804DCB"/>
    <w:rsid w:val="008057D6"/>
    <w:rsid w:val="00806298"/>
    <w:rsid w:val="008062AE"/>
    <w:rsid w:val="008062D2"/>
    <w:rsid w:val="00806568"/>
    <w:rsid w:val="008067F6"/>
    <w:rsid w:val="0080680E"/>
    <w:rsid w:val="00806C2E"/>
    <w:rsid w:val="00806E91"/>
    <w:rsid w:val="008075B7"/>
    <w:rsid w:val="00807B04"/>
    <w:rsid w:val="00807FD3"/>
    <w:rsid w:val="00810007"/>
    <w:rsid w:val="00810299"/>
    <w:rsid w:val="008112AC"/>
    <w:rsid w:val="008114EC"/>
    <w:rsid w:val="008116E2"/>
    <w:rsid w:val="00811CD3"/>
    <w:rsid w:val="00812230"/>
    <w:rsid w:val="00812C7D"/>
    <w:rsid w:val="008137C0"/>
    <w:rsid w:val="00813CE9"/>
    <w:rsid w:val="008143A4"/>
    <w:rsid w:val="00814800"/>
    <w:rsid w:val="00815065"/>
    <w:rsid w:val="00815316"/>
    <w:rsid w:val="00815388"/>
    <w:rsid w:val="008154DB"/>
    <w:rsid w:val="008156F8"/>
    <w:rsid w:val="0081584A"/>
    <w:rsid w:val="00815AF8"/>
    <w:rsid w:val="00815DF9"/>
    <w:rsid w:val="00815F1A"/>
    <w:rsid w:val="00816A9B"/>
    <w:rsid w:val="00816BD9"/>
    <w:rsid w:val="008174A8"/>
    <w:rsid w:val="008177FE"/>
    <w:rsid w:val="00817BE9"/>
    <w:rsid w:val="008203C9"/>
    <w:rsid w:val="0082054B"/>
    <w:rsid w:val="00820CBF"/>
    <w:rsid w:val="00820DF2"/>
    <w:rsid w:val="00820ED0"/>
    <w:rsid w:val="00820F50"/>
    <w:rsid w:val="008211C3"/>
    <w:rsid w:val="008217F9"/>
    <w:rsid w:val="00821BFC"/>
    <w:rsid w:val="00822541"/>
    <w:rsid w:val="00822674"/>
    <w:rsid w:val="00822F75"/>
    <w:rsid w:val="00823C5A"/>
    <w:rsid w:val="008240B6"/>
    <w:rsid w:val="0082412A"/>
    <w:rsid w:val="00825142"/>
    <w:rsid w:val="008252E1"/>
    <w:rsid w:val="00825369"/>
    <w:rsid w:val="008257C9"/>
    <w:rsid w:val="00825FCF"/>
    <w:rsid w:val="00826589"/>
    <w:rsid w:val="00827513"/>
    <w:rsid w:val="008300D8"/>
    <w:rsid w:val="00830178"/>
    <w:rsid w:val="0083021E"/>
    <w:rsid w:val="008303F6"/>
    <w:rsid w:val="00830604"/>
    <w:rsid w:val="008314B2"/>
    <w:rsid w:val="00831535"/>
    <w:rsid w:val="00831A91"/>
    <w:rsid w:val="00831AAF"/>
    <w:rsid w:val="00831D57"/>
    <w:rsid w:val="008326AA"/>
    <w:rsid w:val="00832FC3"/>
    <w:rsid w:val="00833097"/>
    <w:rsid w:val="0083323E"/>
    <w:rsid w:val="008338AF"/>
    <w:rsid w:val="00833B4A"/>
    <w:rsid w:val="00833C6D"/>
    <w:rsid w:val="00833F1A"/>
    <w:rsid w:val="008342C0"/>
    <w:rsid w:val="0083485C"/>
    <w:rsid w:val="00834FFB"/>
    <w:rsid w:val="008354E6"/>
    <w:rsid w:val="00835622"/>
    <w:rsid w:val="00835A0F"/>
    <w:rsid w:val="00835AA9"/>
    <w:rsid w:val="00835C6D"/>
    <w:rsid w:val="00835CE6"/>
    <w:rsid w:val="00835DD2"/>
    <w:rsid w:val="008364D1"/>
    <w:rsid w:val="00836792"/>
    <w:rsid w:val="00837402"/>
    <w:rsid w:val="00837E7C"/>
    <w:rsid w:val="00837EF2"/>
    <w:rsid w:val="00837F81"/>
    <w:rsid w:val="00841374"/>
    <w:rsid w:val="0084157B"/>
    <w:rsid w:val="00841A52"/>
    <w:rsid w:val="00841D57"/>
    <w:rsid w:val="00841E2B"/>
    <w:rsid w:val="00841F08"/>
    <w:rsid w:val="00841FB8"/>
    <w:rsid w:val="00842BD1"/>
    <w:rsid w:val="0084303D"/>
    <w:rsid w:val="008439DA"/>
    <w:rsid w:val="00843DA1"/>
    <w:rsid w:val="00843EE7"/>
    <w:rsid w:val="0084438E"/>
    <w:rsid w:val="00844639"/>
    <w:rsid w:val="00845194"/>
    <w:rsid w:val="0084529A"/>
    <w:rsid w:val="00845B05"/>
    <w:rsid w:val="0084633C"/>
    <w:rsid w:val="008465BF"/>
    <w:rsid w:val="00846CC9"/>
    <w:rsid w:val="00846D3F"/>
    <w:rsid w:val="008475BE"/>
    <w:rsid w:val="008478B8"/>
    <w:rsid w:val="0084793A"/>
    <w:rsid w:val="00847B8F"/>
    <w:rsid w:val="00847C56"/>
    <w:rsid w:val="00850295"/>
    <w:rsid w:val="00850433"/>
    <w:rsid w:val="00850F8B"/>
    <w:rsid w:val="0085138A"/>
    <w:rsid w:val="00851844"/>
    <w:rsid w:val="00851DC3"/>
    <w:rsid w:val="00851EC4"/>
    <w:rsid w:val="00853780"/>
    <w:rsid w:val="00853A4A"/>
    <w:rsid w:val="00853B1C"/>
    <w:rsid w:val="00853D1A"/>
    <w:rsid w:val="00853F30"/>
    <w:rsid w:val="008542C3"/>
    <w:rsid w:val="00854420"/>
    <w:rsid w:val="00854503"/>
    <w:rsid w:val="0085472F"/>
    <w:rsid w:val="00854A94"/>
    <w:rsid w:val="00854ECC"/>
    <w:rsid w:val="00855263"/>
    <w:rsid w:val="00855B04"/>
    <w:rsid w:val="008560D0"/>
    <w:rsid w:val="008562E7"/>
    <w:rsid w:val="00857037"/>
    <w:rsid w:val="008577DB"/>
    <w:rsid w:val="00857B6E"/>
    <w:rsid w:val="00857B97"/>
    <w:rsid w:val="008602FC"/>
    <w:rsid w:val="008604B7"/>
    <w:rsid w:val="008610E2"/>
    <w:rsid w:val="008612FF"/>
    <w:rsid w:val="00861B99"/>
    <w:rsid w:val="008621A4"/>
    <w:rsid w:val="008622E3"/>
    <w:rsid w:val="008633A4"/>
    <w:rsid w:val="008640C2"/>
    <w:rsid w:val="00864F9A"/>
    <w:rsid w:val="008653C7"/>
    <w:rsid w:val="0086609C"/>
    <w:rsid w:val="0086641C"/>
    <w:rsid w:val="00866B21"/>
    <w:rsid w:val="00866E8C"/>
    <w:rsid w:val="008673BB"/>
    <w:rsid w:val="00867F93"/>
    <w:rsid w:val="008688E6"/>
    <w:rsid w:val="00870845"/>
    <w:rsid w:val="00871559"/>
    <w:rsid w:val="00871C65"/>
    <w:rsid w:val="00871EA2"/>
    <w:rsid w:val="0087269E"/>
    <w:rsid w:val="00872A13"/>
    <w:rsid w:val="00872D6B"/>
    <w:rsid w:val="008732D4"/>
    <w:rsid w:val="008734B4"/>
    <w:rsid w:val="00873902"/>
    <w:rsid w:val="00873A47"/>
    <w:rsid w:val="008742B8"/>
    <w:rsid w:val="00874ADA"/>
    <w:rsid w:val="00874CDF"/>
    <w:rsid w:val="00874FD2"/>
    <w:rsid w:val="0087555D"/>
    <w:rsid w:val="008758F5"/>
    <w:rsid w:val="00875918"/>
    <w:rsid w:val="00875A17"/>
    <w:rsid w:val="00875B40"/>
    <w:rsid w:val="00875E34"/>
    <w:rsid w:val="0087687A"/>
    <w:rsid w:val="00876926"/>
    <w:rsid w:val="008769BB"/>
    <w:rsid w:val="008770F9"/>
    <w:rsid w:val="00877EFA"/>
    <w:rsid w:val="00880364"/>
    <w:rsid w:val="00880537"/>
    <w:rsid w:val="008808BC"/>
    <w:rsid w:val="00882157"/>
    <w:rsid w:val="008825E6"/>
    <w:rsid w:val="008830CE"/>
    <w:rsid w:val="00883941"/>
    <w:rsid w:val="00883A86"/>
    <w:rsid w:val="00883FE3"/>
    <w:rsid w:val="008845AC"/>
    <w:rsid w:val="00885567"/>
    <w:rsid w:val="008858D3"/>
    <w:rsid w:val="00886459"/>
    <w:rsid w:val="00886DC0"/>
    <w:rsid w:val="00886E1C"/>
    <w:rsid w:val="0088703F"/>
    <w:rsid w:val="008879C0"/>
    <w:rsid w:val="00887A23"/>
    <w:rsid w:val="00887C35"/>
    <w:rsid w:val="00887CCF"/>
    <w:rsid w:val="008905FF"/>
    <w:rsid w:val="00890A46"/>
    <w:rsid w:val="00890C8A"/>
    <w:rsid w:val="00891EF6"/>
    <w:rsid w:val="00892177"/>
    <w:rsid w:val="008921B9"/>
    <w:rsid w:val="00892AC0"/>
    <w:rsid w:val="00892AC2"/>
    <w:rsid w:val="00892AC5"/>
    <w:rsid w:val="00892DB9"/>
    <w:rsid w:val="0089319B"/>
    <w:rsid w:val="008937FD"/>
    <w:rsid w:val="00893869"/>
    <w:rsid w:val="00893A83"/>
    <w:rsid w:val="00893AF5"/>
    <w:rsid w:val="00893DDA"/>
    <w:rsid w:val="00894129"/>
    <w:rsid w:val="008942F7"/>
    <w:rsid w:val="008947F4"/>
    <w:rsid w:val="00894B7E"/>
    <w:rsid w:val="00895640"/>
    <w:rsid w:val="00895AAA"/>
    <w:rsid w:val="00895E9A"/>
    <w:rsid w:val="00895EF4"/>
    <w:rsid w:val="00896859"/>
    <w:rsid w:val="008968CC"/>
    <w:rsid w:val="008969A4"/>
    <w:rsid w:val="0089721A"/>
    <w:rsid w:val="008979AB"/>
    <w:rsid w:val="00897BDC"/>
    <w:rsid w:val="00897D0E"/>
    <w:rsid w:val="008A01D2"/>
    <w:rsid w:val="008A06F8"/>
    <w:rsid w:val="008A085F"/>
    <w:rsid w:val="008A0D03"/>
    <w:rsid w:val="008A0E34"/>
    <w:rsid w:val="008A10B0"/>
    <w:rsid w:val="008A149C"/>
    <w:rsid w:val="008A1659"/>
    <w:rsid w:val="008A193B"/>
    <w:rsid w:val="008A1967"/>
    <w:rsid w:val="008A1D57"/>
    <w:rsid w:val="008A1FB0"/>
    <w:rsid w:val="008A2023"/>
    <w:rsid w:val="008A2145"/>
    <w:rsid w:val="008A2C5C"/>
    <w:rsid w:val="008A3616"/>
    <w:rsid w:val="008A39E2"/>
    <w:rsid w:val="008A3EBE"/>
    <w:rsid w:val="008A4606"/>
    <w:rsid w:val="008A4C20"/>
    <w:rsid w:val="008A4C7B"/>
    <w:rsid w:val="008A4FDD"/>
    <w:rsid w:val="008A5D7B"/>
    <w:rsid w:val="008A5F81"/>
    <w:rsid w:val="008A633F"/>
    <w:rsid w:val="008A6360"/>
    <w:rsid w:val="008A63E8"/>
    <w:rsid w:val="008A6C23"/>
    <w:rsid w:val="008A6F89"/>
    <w:rsid w:val="008A70A7"/>
    <w:rsid w:val="008A7456"/>
    <w:rsid w:val="008A7471"/>
    <w:rsid w:val="008A793C"/>
    <w:rsid w:val="008A798F"/>
    <w:rsid w:val="008A7B53"/>
    <w:rsid w:val="008B015D"/>
    <w:rsid w:val="008B073A"/>
    <w:rsid w:val="008B0CB8"/>
    <w:rsid w:val="008B12A5"/>
    <w:rsid w:val="008B227F"/>
    <w:rsid w:val="008B25A7"/>
    <w:rsid w:val="008B2948"/>
    <w:rsid w:val="008B30CB"/>
    <w:rsid w:val="008B3349"/>
    <w:rsid w:val="008B3FB1"/>
    <w:rsid w:val="008B432C"/>
    <w:rsid w:val="008B49DF"/>
    <w:rsid w:val="008B4A80"/>
    <w:rsid w:val="008B526F"/>
    <w:rsid w:val="008B5502"/>
    <w:rsid w:val="008B552C"/>
    <w:rsid w:val="008B56B3"/>
    <w:rsid w:val="008B5744"/>
    <w:rsid w:val="008B5966"/>
    <w:rsid w:val="008B5AA4"/>
    <w:rsid w:val="008B5DB3"/>
    <w:rsid w:val="008B5F7C"/>
    <w:rsid w:val="008B5FE2"/>
    <w:rsid w:val="008B6023"/>
    <w:rsid w:val="008B678C"/>
    <w:rsid w:val="008B679B"/>
    <w:rsid w:val="008B73BF"/>
    <w:rsid w:val="008C06D9"/>
    <w:rsid w:val="008C0926"/>
    <w:rsid w:val="008C0D26"/>
    <w:rsid w:val="008C0EFA"/>
    <w:rsid w:val="008C105D"/>
    <w:rsid w:val="008C15B8"/>
    <w:rsid w:val="008C1772"/>
    <w:rsid w:val="008C1774"/>
    <w:rsid w:val="008C21D4"/>
    <w:rsid w:val="008C287A"/>
    <w:rsid w:val="008C31F7"/>
    <w:rsid w:val="008C3E43"/>
    <w:rsid w:val="008C4042"/>
    <w:rsid w:val="008C4293"/>
    <w:rsid w:val="008C45A0"/>
    <w:rsid w:val="008C4BD8"/>
    <w:rsid w:val="008C4D23"/>
    <w:rsid w:val="008C4F99"/>
    <w:rsid w:val="008C5838"/>
    <w:rsid w:val="008C5888"/>
    <w:rsid w:val="008C5B24"/>
    <w:rsid w:val="008C6047"/>
    <w:rsid w:val="008C61FB"/>
    <w:rsid w:val="008C6361"/>
    <w:rsid w:val="008C6397"/>
    <w:rsid w:val="008C63E9"/>
    <w:rsid w:val="008C74E5"/>
    <w:rsid w:val="008C76A0"/>
    <w:rsid w:val="008D0D13"/>
    <w:rsid w:val="008D12AB"/>
    <w:rsid w:val="008D1AF8"/>
    <w:rsid w:val="008D1B3A"/>
    <w:rsid w:val="008D2144"/>
    <w:rsid w:val="008D2A86"/>
    <w:rsid w:val="008D3415"/>
    <w:rsid w:val="008D4990"/>
    <w:rsid w:val="008D4ACC"/>
    <w:rsid w:val="008D4C82"/>
    <w:rsid w:val="008D4D4B"/>
    <w:rsid w:val="008D58C3"/>
    <w:rsid w:val="008D5BA3"/>
    <w:rsid w:val="008D5D12"/>
    <w:rsid w:val="008D632C"/>
    <w:rsid w:val="008D64CE"/>
    <w:rsid w:val="008D6921"/>
    <w:rsid w:val="008D6BD9"/>
    <w:rsid w:val="008D6C51"/>
    <w:rsid w:val="008D762A"/>
    <w:rsid w:val="008D7E48"/>
    <w:rsid w:val="008E0152"/>
    <w:rsid w:val="008E01DD"/>
    <w:rsid w:val="008E0711"/>
    <w:rsid w:val="008E0AF0"/>
    <w:rsid w:val="008E15B8"/>
    <w:rsid w:val="008E179D"/>
    <w:rsid w:val="008E203E"/>
    <w:rsid w:val="008E27DF"/>
    <w:rsid w:val="008E2DCA"/>
    <w:rsid w:val="008E2F33"/>
    <w:rsid w:val="008E2FA3"/>
    <w:rsid w:val="008E32D7"/>
    <w:rsid w:val="008E3937"/>
    <w:rsid w:val="008E3E06"/>
    <w:rsid w:val="008E3F01"/>
    <w:rsid w:val="008E4805"/>
    <w:rsid w:val="008E4D18"/>
    <w:rsid w:val="008E4ECD"/>
    <w:rsid w:val="008E53BB"/>
    <w:rsid w:val="008E55BE"/>
    <w:rsid w:val="008E6002"/>
    <w:rsid w:val="008E64CA"/>
    <w:rsid w:val="008E6EFA"/>
    <w:rsid w:val="008E6FC2"/>
    <w:rsid w:val="008E711F"/>
    <w:rsid w:val="008E77E6"/>
    <w:rsid w:val="008E7B7F"/>
    <w:rsid w:val="008F03A9"/>
    <w:rsid w:val="008F041B"/>
    <w:rsid w:val="008F0699"/>
    <w:rsid w:val="008F0AD7"/>
    <w:rsid w:val="008F0B12"/>
    <w:rsid w:val="008F15FD"/>
    <w:rsid w:val="008F1A51"/>
    <w:rsid w:val="008F1DC9"/>
    <w:rsid w:val="008F258D"/>
    <w:rsid w:val="008F25B6"/>
    <w:rsid w:val="008F2681"/>
    <w:rsid w:val="008F280F"/>
    <w:rsid w:val="008F28F9"/>
    <w:rsid w:val="008F2A66"/>
    <w:rsid w:val="008F300F"/>
    <w:rsid w:val="008F3112"/>
    <w:rsid w:val="008F33FF"/>
    <w:rsid w:val="008F35D5"/>
    <w:rsid w:val="008F36E8"/>
    <w:rsid w:val="008F38D4"/>
    <w:rsid w:val="008F3951"/>
    <w:rsid w:val="008F3E79"/>
    <w:rsid w:val="008F4617"/>
    <w:rsid w:val="008F4987"/>
    <w:rsid w:val="008F4B81"/>
    <w:rsid w:val="008F573B"/>
    <w:rsid w:val="008F57DE"/>
    <w:rsid w:val="008F59B1"/>
    <w:rsid w:val="008F615E"/>
    <w:rsid w:val="008F6546"/>
    <w:rsid w:val="008F666B"/>
    <w:rsid w:val="008F687F"/>
    <w:rsid w:val="008F7362"/>
    <w:rsid w:val="008F7367"/>
    <w:rsid w:val="008F7820"/>
    <w:rsid w:val="008F7983"/>
    <w:rsid w:val="008F7C8F"/>
    <w:rsid w:val="009008FB"/>
    <w:rsid w:val="00900BC2"/>
    <w:rsid w:val="0090137E"/>
    <w:rsid w:val="00901B10"/>
    <w:rsid w:val="009020B5"/>
    <w:rsid w:val="00902E38"/>
    <w:rsid w:val="00902E75"/>
    <w:rsid w:val="009030CB"/>
    <w:rsid w:val="009035AB"/>
    <w:rsid w:val="00903E44"/>
    <w:rsid w:val="00904532"/>
    <w:rsid w:val="00904662"/>
    <w:rsid w:val="0090477A"/>
    <w:rsid w:val="00904B69"/>
    <w:rsid w:val="009051EC"/>
    <w:rsid w:val="00905228"/>
    <w:rsid w:val="009057CB"/>
    <w:rsid w:val="00905848"/>
    <w:rsid w:val="00905A2B"/>
    <w:rsid w:val="0090739A"/>
    <w:rsid w:val="0090749A"/>
    <w:rsid w:val="00907EDF"/>
    <w:rsid w:val="009103FD"/>
    <w:rsid w:val="00910D67"/>
    <w:rsid w:val="00910DFD"/>
    <w:rsid w:val="0091115E"/>
    <w:rsid w:val="009114DA"/>
    <w:rsid w:val="00911DAD"/>
    <w:rsid w:val="00911F6E"/>
    <w:rsid w:val="00912687"/>
    <w:rsid w:val="009126C7"/>
    <w:rsid w:val="00913552"/>
    <w:rsid w:val="009137B0"/>
    <w:rsid w:val="00914414"/>
    <w:rsid w:val="00914571"/>
    <w:rsid w:val="00914E9C"/>
    <w:rsid w:val="009152AD"/>
    <w:rsid w:val="009156DE"/>
    <w:rsid w:val="009158C4"/>
    <w:rsid w:val="00916556"/>
    <w:rsid w:val="009166AD"/>
    <w:rsid w:val="009166C1"/>
    <w:rsid w:val="00916A2D"/>
    <w:rsid w:val="00916A6F"/>
    <w:rsid w:val="00916C37"/>
    <w:rsid w:val="00916D83"/>
    <w:rsid w:val="00917870"/>
    <w:rsid w:val="009204CB"/>
    <w:rsid w:val="009205B4"/>
    <w:rsid w:val="00920785"/>
    <w:rsid w:val="00920EFE"/>
    <w:rsid w:val="009212DD"/>
    <w:rsid w:val="0092164C"/>
    <w:rsid w:val="009222DA"/>
    <w:rsid w:val="0092327D"/>
    <w:rsid w:val="009234A6"/>
    <w:rsid w:val="0092392F"/>
    <w:rsid w:val="00923E03"/>
    <w:rsid w:val="00925024"/>
    <w:rsid w:val="0092553B"/>
    <w:rsid w:val="00925B67"/>
    <w:rsid w:val="00925D56"/>
    <w:rsid w:val="00925F8C"/>
    <w:rsid w:val="00926128"/>
    <w:rsid w:val="009262C9"/>
    <w:rsid w:val="00926C23"/>
    <w:rsid w:val="00926FC4"/>
    <w:rsid w:val="0092710D"/>
    <w:rsid w:val="0092798A"/>
    <w:rsid w:val="00927B82"/>
    <w:rsid w:val="00930B98"/>
    <w:rsid w:val="0093109F"/>
    <w:rsid w:val="00932414"/>
    <w:rsid w:val="0093263B"/>
    <w:rsid w:val="00932745"/>
    <w:rsid w:val="0093280A"/>
    <w:rsid w:val="00932CF8"/>
    <w:rsid w:val="00934033"/>
    <w:rsid w:val="009341D6"/>
    <w:rsid w:val="00934846"/>
    <w:rsid w:val="00934A3E"/>
    <w:rsid w:val="00934D26"/>
    <w:rsid w:val="00934FA2"/>
    <w:rsid w:val="0093529E"/>
    <w:rsid w:val="009352B6"/>
    <w:rsid w:val="009355D6"/>
    <w:rsid w:val="0093560C"/>
    <w:rsid w:val="0093661D"/>
    <w:rsid w:val="009368D1"/>
    <w:rsid w:val="00936A06"/>
    <w:rsid w:val="00937082"/>
    <w:rsid w:val="00937380"/>
    <w:rsid w:val="009374B5"/>
    <w:rsid w:val="00937D7E"/>
    <w:rsid w:val="009400BF"/>
    <w:rsid w:val="009403DD"/>
    <w:rsid w:val="009405F5"/>
    <w:rsid w:val="009407C7"/>
    <w:rsid w:val="009411D9"/>
    <w:rsid w:val="0094180D"/>
    <w:rsid w:val="0094185E"/>
    <w:rsid w:val="00941D0E"/>
    <w:rsid w:val="00941E29"/>
    <w:rsid w:val="00941EBC"/>
    <w:rsid w:val="00942803"/>
    <w:rsid w:val="0094339A"/>
    <w:rsid w:val="00943B43"/>
    <w:rsid w:val="00943DF8"/>
    <w:rsid w:val="00943E91"/>
    <w:rsid w:val="00943FAB"/>
    <w:rsid w:val="00944008"/>
    <w:rsid w:val="00944668"/>
    <w:rsid w:val="00944AE0"/>
    <w:rsid w:val="00944B1B"/>
    <w:rsid w:val="009450B5"/>
    <w:rsid w:val="00945367"/>
    <w:rsid w:val="00945FCE"/>
    <w:rsid w:val="00946311"/>
    <w:rsid w:val="00946C1B"/>
    <w:rsid w:val="00947194"/>
    <w:rsid w:val="00947BC2"/>
    <w:rsid w:val="00947D64"/>
    <w:rsid w:val="0094B14B"/>
    <w:rsid w:val="009501CD"/>
    <w:rsid w:val="00950563"/>
    <w:rsid w:val="0095069D"/>
    <w:rsid w:val="009506BE"/>
    <w:rsid w:val="00950A07"/>
    <w:rsid w:val="00950ECE"/>
    <w:rsid w:val="009512F1"/>
    <w:rsid w:val="0095152A"/>
    <w:rsid w:val="00951589"/>
    <w:rsid w:val="00951ABF"/>
    <w:rsid w:val="00951D4F"/>
    <w:rsid w:val="0095231F"/>
    <w:rsid w:val="00952662"/>
    <w:rsid w:val="009528E7"/>
    <w:rsid w:val="00952DDF"/>
    <w:rsid w:val="00952EB4"/>
    <w:rsid w:val="00953160"/>
    <w:rsid w:val="0095377C"/>
    <w:rsid w:val="00953853"/>
    <w:rsid w:val="00953C7B"/>
    <w:rsid w:val="00953F08"/>
    <w:rsid w:val="00954150"/>
    <w:rsid w:val="00954171"/>
    <w:rsid w:val="0095493F"/>
    <w:rsid w:val="0095498E"/>
    <w:rsid w:val="009549CD"/>
    <w:rsid w:val="00955053"/>
    <w:rsid w:val="00955714"/>
    <w:rsid w:val="00955AD5"/>
    <w:rsid w:val="00955D3B"/>
    <w:rsid w:val="009562FA"/>
    <w:rsid w:val="00956694"/>
    <w:rsid w:val="009568A4"/>
    <w:rsid w:val="009573DE"/>
    <w:rsid w:val="00957482"/>
    <w:rsid w:val="0095772E"/>
    <w:rsid w:val="00957CB0"/>
    <w:rsid w:val="00957F51"/>
    <w:rsid w:val="00960070"/>
    <w:rsid w:val="00960291"/>
    <w:rsid w:val="009602FF"/>
    <w:rsid w:val="009608D7"/>
    <w:rsid w:val="009608DF"/>
    <w:rsid w:val="00960E20"/>
    <w:rsid w:val="009611A9"/>
    <w:rsid w:val="00961254"/>
    <w:rsid w:val="0096181B"/>
    <w:rsid w:val="00962166"/>
    <w:rsid w:val="0096237F"/>
    <w:rsid w:val="00962C9A"/>
    <w:rsid w:val="009632B4"/>
    <w:rsid w:val="00963408"/>
    <w:rsid w:val="0096393F"/>
    <w:rsid w:val="0096464F"/>
    <w:rsid w:val="009646E8"/>
    <w:rsid w:val="009647FC"/>
    <w:rsid w:val="00964B0C"/>
    <w:rsid w:val="00964BEF"/>
    <w:rsid w:val="00964C18"/>
    <w:rsid w:val="00964D83"/>
    <w:rsid w:val="00964DE3"/>
    <w:rsid w:val="00964E50"/>
    <w:rsid w:val="009653F6"/>
    <w:rsid w:val="009655F4"/>
    <w:rsid w:val="009658B0"/>
    <w:rsid w:val="00965A37"/>
    <w:rsid w:val="00965D8D"/>
    <w:rsid w:val="0096671B"/>
    <w:rsid w:val="00966822"/>
    <w:rsid w:val="00966A6F"/>
    <w:rsid w:val="00966A9C"/>
    <w:rsid w:val="00967125"/>
    <w:rsid w:val="00967242"/>
    <w:rsid w:val="00967AD0"/>
    <w:rsid w:val="009707AA"/>
    <w:rsid w:val="0097129D"/>
    <w:rsid w:val="00971589"/>
    <w:rsid w:val="009718D1"/>
    <w:rsid w:val="00972D15"/>
    <w:rsid w:val="00972DA9"/>
    <w:rsid w:val="009734B6"/>
    <w:rsid w:val="00973BBC"/>
    <w:rsid w:val="00973FCB"/>
    <w:rsid w:val="009746F3"/>
    <w:rsid w:val="0097493A"/>
    <w:rsid w:val="009751FB"/>
    <w:rsid w:val="00975539"/>
    <w:rsid w:val="00975844"/>
    <w:rsid w:val="00975A5A"/>
    <w:rsid w:val="00975AA6"/>
    <w:rsid w:val="00976A82"/>
    <w:rsid w:val="0097716B"/>
    <w:rsid w:val="00977926"/>
    <w:rsid w:val="00977B61"/>
    <w:rsid w:val="00977E88"/>
    <w:rsid w:val="00980623"/>
    <w:rsid w:val="00981B03"/>
    <w:rsid w:val="009824DA"/>
    <w:rsid w:val="00983505"/>
    <w:rsid w:val="00983564"/>
    <w:rsid w:val="00983A87"/>
    <w:rsid w:val="009844FA"/>
    <w:rsid w:val="009848F0"/>
    <w:rsid w:val="0098490C"/>
    <w:rsid w:val="00984B4D"/>
    <w:rsid w:val="00984B5F"/>
    <w:rsid w:val="00985590"/>
    <w:rsid w:val="009856C8"/>
    <w:rsid w:val="009860C1"/>
    <w:rsid w:val="00986139"/>
    <w:rsid w:val="00986283"/>
    <w:rsid w:val="0098644D"/>
    <w:rsid w:val="0098655C"/>
    <w:rsid w:val="0098673B"/>
    <w:rsid w:val="00986741"/>
    <w:rsid w:val="009867A8"/>
    <w:rsid w:val="00986895"/>
    <w:rsid w:val="00986D94"/>
    <w:rsid w:val="0098750B"/>
    <w:rsid w:val="00987994"/>
    <w:rsid w:val="00990615"/>
    <w:rsid w:val="00990EB4"/>
    <w:rsid w:val="00991080"/>
    <w:rsid w:val="0099112F"/>
    <w:rsid w:val="009912CF"/>
    <w:rsid w:val="00991449"/>
    <w:rsid w:val="00991CC1"/>
    <w:rsid w:val="00991CCC"/>
    <w:rsid w:val="0099399E"/>
    <w:rsid w:val="00994B1E"/>
    <w:rsid w:val="00995404"/>
    <w:rsid w:val="0099583A"/>
    <w:rsid w:val="00995F15"/>
    <w:rsid w:val="0099644C"/>
    <w:rsid w:val="00997415"/>
    <w:rsid w:val="0099768F"/>
    <w:rsid w:val="00997D86"/>
    <w:rsid w:val="009A0016"/>
    <w:rsid w:val="009A00B7"/>
    <w:rsid w:val="009A0439"/>
    <w:rsid w:val="009A04B1"/>
    <w:rsid w:val="009A08BF"/>
    <w:rsid w:val="009A0AD0"/>
    <w:rsid w:val="009A1C08"/>
    <w:rsid w:val="009A20CA"/>
    <w:rsid w:val="009A22A8"/>
    <w:rsid w:val="009A2349"/>
    <w:rsid w:val="009A239E"/>
    <w:rsid w:val="009A2439"/>
    <w:rsid w:val="009A2719"/>
    <w:rsid w:val="009A3245"/>
    <w:rsid w:val="009A3A3F"/>
    <w:rsid w:val="009A4039"/>
    <w:rsid w:val="009A4921"/>
    <w:rsid w:val="009A4A54"/>
    <w:rsid w:val="009A4A69"/>
    <w:rsid w:val="009A4E4C"/>
    <w:rsid w:val="009A4F18"/>
    <w:rsid w:val="009A5580"/>
    <w:rsid w:val="009A5B42"/>
    <w:rsid w:val="009A5C8B"/>
    <w:rsid w:val="009A5E62"/>
    <w:rsid w:val="009A5FB1"/>
    <w:rsid w:val="009A6BE6"/>
    <w:rsid w:val="009A7415"/>
    <w:rsid w:val="009A78EE"/>
    <w:rsid w:val="009A7A2C"/>
    <w:rsid w:val="009A7A34"/>
    <w:rsid w:val="009A7B27"/>
    <w:rsid w:val="009B01A1"/>
    <w:rsid w:val="009B046B"/>
    <w:rsid w:val="009B09CE"/>
    <w:rsid w:val="009B0F56"/>
    <w:rsid w:val="009B12E3"/>
    <w:rsid w:val="009B14C1"/>
    <w:rsid w:val="009B1DAC"/>
    <w:rsid w:val="009B1F27"/>
    <w:rsid w:val="009B2EE5"/>
    <w:rsid w:val="009B2EF0"/>
    <w:rsid w:val="009B2F6D"/>
    <w:rsid w:val="009B3294"/>
    <w:rsid w:val="009B357E"/>
    <w:rsid w:val="009B412F"/>
    <w:rsid w:val="009B426B"/>
    <w:rsid w:val="009B43D3"/>
    <w:rsid w:val="009B4483"/>
    <w:rsid w:val="009B4612"/>
    <w:rsid w:val="009B61F6"/>
    <w:rsid w:val="009B7226"/>
    <w:rsid w:val="009B75DF"/>
    <w:rsid w:val="009B7744"/>
    <w:rsid w:val="009B7D4C"/>
    <w:rsid w:val="009B7FDD"/>
    <w:rsid w:val="009C0416"/>
    <w:rsid w:val="009C04E2"/>
    <w:rsid w:val="009C074F"/>
    <w:rsid w:val="009C07FC"/>
    <w:rsid w:val="009C20E5"/>
    <w:rsid w:val="009C2AB8"/>
    <w:rsid w:val="009C2C1F"/>
    <w:rsid w:val="009C2C6C"/>
    <w:rsid w:val="009C3346"/>
    <w:rsid w:val="009C3967"/>
    <w:rsid w:val="009C3A7D"/>
    <w:rsid w:val="009C3A96"/>
    <w:rsid w:val="009C3F3D"/>
    <w:rsid w:val="009C3F56"/>
    <w:rsid w:val="009C4063"/>
    <w:rsid w:val="009C49F7"/>
    <w:rsid w:val="009C6636"/>
    <w:rsid w:val="009C67DB"/>
    <w:rsid w:val="009C67FC"/>
    <w:rsid w:val="009C6832"/>
    <w:rsid w:val="009C6CB6"/>
    <w:rsid w:val="009C6D7F"/>
    <w:rsid w:val="009C6F7F"/>
    <w:rsid w:val="009C6FB2"/>
    <w:rsid w:val="009C713A"/>
    <w:rsid w:val="009C7649"/>
    <w:rsid w:val="009C76B4"/>
    <w:rsid w:val="009D0016"/>
    <w:rsid w:val="009D014A"/>
    <w:rsid w:val="009D016B"/>
    <w:rsid w:val="009D01E5"/>
    <w:rsid w:val="009D05B7"/>
    <w:rsid w:val="009D062C"/>
    <w:rsid w:val="009D07B8"/>
    <w:rsid w:val="009D1D28"/>
    <w:rsid w:val="009D1E9A"/>
    <w:rsid w:val="009D2D69"/>
    <w:rsid w:val="009D2DD6"/>
    <w:rsid w:val="009D3982"/>
    <w:rsid w:val="009D3F74"/>
    <w:rsid w:val="009D40D8"/>
    <w:rsid w:val="009D416E"/>
    <w:rsid w:val="009D41AF"/>
    <w:rsid w:val="009D4668"/>
    <w:rsid w:val="009D4678"/>
    <w:rsid w:val="009D47FF"/>
    <w:rsid w:val="009D4F6B"/>
    <w:rsid w:val="009D4FB7"/>
    <w:rsid w:val="009D577D"/>
    <w:rsid w:val="009D5ED9"/>
    <w:rsid w:val="009D6E11"/>
    <w:rsid w:val="009D7367"/>
    <w:rsid w:val="009D73B2"/>
    <w:rsid w:val="009D7D3E"/>
    <w:rsid w:val="009D7F92"/>
    <w:rsid w:val="009E0982"/>
    <w:rsid w:val="009E0CA4"/>
    <w:rsid w:val="009E1772"/>
    <w:rsid w:val="009E1B06"/>
    <w:rsid w:val="009E1CD8"/>
    <w:rsid w:val="009E1D00"/>
    <w:rsid w:val="009E27F0"/>
    <w:rsid w:val="009E2F20"/>
    <w:rsid w:val="009E32F8"/>
    <w:rsid w:val="009E39B6"/>
    <w:rsid w:val="009E3F2B"/>
    <w:rsid w:val="009E4C03"/>
    <w:rsid w:val="009E4DC8"/>
    <w:rsid w:val="009E4F3D"/>
    <w:rsid w:val="009E5076"/>
    <w:rsid w:val="009E54B0"/>
    <w:rsid w:val="009E5701"/>
    <w:rsid w:val="009E60A6"/>
    <w:rsid w:val="009E6259"/>
    <w:rsid w:val="009E6A63"/>
    <w:rsid w:val="009E6EA9"/>
    <w:rsid w:val="009E7113"/>
    <w:rsid w:val="009E717B"/>
    <w:rsid w:val="009E72AB"/>
    <w:rsid w:val="009E72E3"/>
    <w:rsid w:val="009E7506"/>
    <w:rsid w:val="009E7639"/>
    <w:rsid w:val="009F0901"/>
    <w:rsid w:val="009F1CDC"/>
    <w:rsid w:val="009F1CFC"/>
    <w:rsid w:val="009F1F4B"/>
    <w:rsid w:val="009F238C"/>
    <w:rsid w:val="009F28C1"/>
    <w:rsid w:val="009F2905"/>
    <w:rsid w:val="009F2AB7"/>
    <w:rsid w:val="009F32BC"/>
    <w:rsid w:val="009F3987"/>
    <w:rsid w:val="009F3AD9"/>
    <w:rsid w:val="009F3C80"/>
    <w:rsid w:val="009F4042"/>
    <w:rsid w:val="009F4395"/>
    <w:rsid w:val="009F45A9"/>
    <w:rsid w:val="009F48EA"/>
    <w:rsid w:val="009F4BB0"/>
    <w:rsid w:val="009F5438"/>
    <w:rsid w:val="009F557F"/>
    <w:rsid w:val="009F55E0"/>
    <w:rsid w:val="009F5A2E"/>
    <w:rsid w:val="009F5A3C"/>
    <w:rsid w:val="009F5B5C"/>
    <w:rsid w:val="009F646E"/>
    <w:rsid w:val="009F65F1"/>
    <w:rsid w:val="009F68D0"/>
    <w:rsid w:val="009F68D9"/>
    <w:rsid w:val="009F760C"/>
    <w:rsid w:val="00A011DA"/>
    <w:rsid w:val="00A01433"/>
    <w:rsid w:val="00A014E3"/>
    <w:rsid w:val="00A019D9"/>
    <w:rsid w:val="00A026C0"/>
    <w:rsid w:val="00A02C40"/>
    <w:rsid w:val="00A02F47"/>
    <w:rsid w:val="00A02F4A"/>
    <w:rsid w:val="00A02FBB"/>
    <w:rsid w:val="00A032D0"/>
    <w:rsid w:val="00A03607"/>
    <w:rsid w:val="00A0390C"/>
    <w:rsid w:val="00A03F93"/>
    <w:rsid w:val="00A04605"/>
    <w:rsid w:val="00A05A86"/>
    <w:rsid w:val="00A05AB6"/>
    <w:rsid w:val="00A0622E"/>
    <w:rsid w:val="00A067D4"/>
    <w:rsid w:val="00A06D83"/>
    <w:rsid w:val="00A06DF0"/>
    <w:rsid w:val="00A06EC3"/>
    <w:rsid w:val="00A07428"/>
    <w:rsid w:val="00A074B8"/>
    <w:rsid w:val="00A1013C"/>
    <w:rsid w:val="00A1060E"/>
    <w:rsid w:val="00A10778"/>
    <w:rsid w:val="00A1132C"/>
    <w:rsid w:val="00A11915"/>
    <w:rsid w:val="00A11A9D"/>
    <w:rsid w:val="00A120D4"/>
    <w:rsid w:val="00A12F79"/>
    <w:rsid w:val="00A13123"/>
    <w:rsid w:val="00A13133"/>
    <w:rsid w:val="00A137E4"/>
    <w:rsid w:val="00A14876"/>
    <w:rsid w:val="00A148C2"/>
    <w:rsid w:val="00A14E41"/>
    <w:rsid w:val="00A14E4A"/>
    <w:rsid w:val="00A153E7"/>
    <w:rsid w:val="00A15427"/>
    <w:rsid w:val="00A15E64"/>
    <w:rsid w:val="00A15EB7"/>
    <w:rsid w:val="00A163D8"/>
    <w:rsid w:val="00A164D3"/>
    <w:rsid w:val="00A16963"/>
    <w:rsid w:val="00A17632"/>
    <w:rsid w:val="00A1771C"/>
    <w:rsid w:val="00A17739"/>
    <w:rsid w:val="00A1775C"/>
    <w:rsid w:val="00A17930"/>
    <w:rsid w:val="00A1797E"/>
    <w:rsid w:val="00A17E7D"/>
    <w:rsid w:val="00A20436"/>
    <w:rsid w:val="00A2046C"/>
    <w:rsid w:val="00A207C2"/>
    <w:rsid w:val="00A2090F"/>
    <w:rsid w:val="00A20F2C"/>
    <w:rsid w:val="00A21E43"/>
    <w:rsid w:val="00A21F4E"/>
    <w:rsid w:val="00A22391"/>
    <w:rsid w:val="00A22632"/>
    <w:rsid w:val="00A229D6"/>
    <w:rsid w:val="00A22CA4"/>
    <w:rsid w:val="00A23741"/>
    <w:rsid w:val="00A24182"/>
    <w:rsid w:val="00A249F2"/>
    <w:rsid w:val="00A2548B"/>
    <w:rsid w:val="00A256F7"/>
    <w:rsid w:val="00A26B1A"/>
    <w:rsid w:val="00A26FF0"/>
    <w:rsid w:val="00A27067"/>
    <w:rsid w:val="00A27158"/>
    <w:rsid w:val="00A2719F"/>
    <w:rsid w:val="00A272C9"/>
    <w:rsid w:val="00A27569"/>
    <w:rsid w:val="00A27609"/>
    <w:rsid w:val="00A30144"/>
    <w:rsid w:val="00A3059C"/>
    <w:rsid w:val="00A31199"/>
    <w:rsid w:val="00A3128E"/>
    <w:rsid w:val="00A3131A"/>
    <w:rsid w:val="00A3201D"/>
    <w:rsid w:val="00A322FE"/>
    <w:rsid w:val="00A3265F"/>
    <w:rsid w:val="00A32943"/>
    <w:rsid w:val="00A329FF"/>
    <w:rsid w:val="00A32C30"/>
    <w:rsid w:val="00A330B4"/>
    <w:rsid w:val="00A34518"/>
    <w:rsid w:val="00A34698"/>
    <w:rsid w:val="00A34E40"/>
    <w:rsid w:val="00A35389"/>
    <w:rsid w:val="00A3540F"/>
    <w:rsid w:val="00A36077"/>
    <w:rsid w:val="00A361DC"/>
    <w:rsid w:val="00A36F2B"/>
    <w:rsid w:val="00A37156"/>
    <w:rsid w:val="00A37633"/>
    <w:rsid w:val="00A37857"/>
    <w:rsid w:val="00A40034"/>
    <w:rsid w:val="00A4080F"/>
    <w:rsid w:val="00A41247"/>
    <w:rsid w:val="00A419E3"/>
    <w:rsid w:val="00A41AA8"/>
    <w:rsid w:val="00A41D54"/>
    <w:rsid w:val="00A420EB"/>
    <w:rsid w:val="00A42330"/>
    <w:rsid w:val="00A43A5C"/>
    <w:rsid w:val="00A4407E"/>
    <w:rsid w:val="00A44128"/>
    <w:rsid w:val="00A44962"/>
    <w:rsid w:val="00A44A45"/>
    <w:rsid w:val="00A44A7B"/>
    <w:rsid w:val="00A450C0"/>
    <w:rsid w:val="00A455E7"/>
    <w:rsid w:val="00A45FC7"/>
    <w:rsid w:val="00A46260"/>
    <w:rsid w:val="00A466A9"/>
    <w:rsid w:val="00A466B5"/>
    <w:rsid w:val="00A46C2A"/>
    <w:rsid w:val="00A4724E"/>
    <w:rsid w:val="00A47527"/>
    <w:rsid w:val="00A500AC"/>
    <w:rsid w:val="00A509F3"/>
    <w:rsid w:val="00A50A3B"/>
    <w:rsid w:val="00A50E8A"/>
    <w:rsid w:val="00A52008"/>
    <w:rsid w:val="00A52344"/>
    <w:rsid w:val="00A52556"/>
    <w:rsid w:val="00A52A40"/>
    <w:rsid w:val="00A5403D"/>
    <w:rsid w:val="00A54A0A"/>
    <w:rsid w:val="00A54B0B"/>
    <w:rsid w:val="00A54CED"/>
    <w:rsid w:val="00A54F89"/>
    <w:rsid w:val="00A55AE8"/>
    <w:rsid w:val="00A55D14"/>
    <w:rsid w:val="00A5711E"/>
    <w:rsid w:val="00A57607"/>
    <w:rsid w:val="00A57713"/>
    <w:rsid w:val="00A57ACC"/>
    <w:rsid w:val="00A57F41"/>
    <w:rsid w:val="00A60512"/>
    <w:rsid w:val="00A60B71"/>
    <w:rsid w:val="00A61112"/>
    <w:rsid w:val="00A627EF"/>
    <w:rsid w:val="00A62B9C"/>
    <w:rsid w:val="00A63420"/>
    <w:rsid w:val="00A63587"/>
    <w:rsid w:val="00A638EB"/>
    <w:rsid w:val="00A63D7F"/>
    <w:rsid w:val="00A63FB3"/>
    <w:rsid w:val="00A6401E"/>
    <w:rsid w:val="00A650DB"/>
    <w:rsid w:val="00A6514E"/>
    <w:rsid w:val="00A658EB"/>
    <w:rsid w:val="00A65F12"/>
    <w:rsid w:val="00A65FE2"/>
    <w:rsid w:val="00A6651B"/>
    <w:rsid w:val="00A66614"/>
    <w:rsid w:val="00A66E8C"/>
    <w:rsid w:val="00A672BC"/>
    <w:rsid w:val="00A67842"/>
    <w:rsid w:val="00A6793E"/>
    <w:rsid w:val="00A67CAD"/>
    <w:rsid w:val="00A67DD9"/>
    <w:rsid w:val="00A70507"/>
    <w:rsid w:val="00A70626"/>
    <w:rsid w:val="00A70D08"/>
    <w:rsid w:val="00A71147"/>
    <w:rsid w:val="00A71868"/>
    <w:rsid w:val="00A728CF"/>
    <w:rsid w:val="00A72C70"/>
    <w:rsid w:val="00A72FE2"/>
    <w:rsid w:val="00A730BC"/>
    <w:rsid w:val="00A73455"/>
    <w:rsid w:val="00A738F2"/>
    <w:rsid w:val="00A73D07"/>
    <w:rsid w:val="00A7429E"/>
    <w:rsid w:val="00A74404"/>
    <w:rsid w:val="00A74745"/>
    <w:rsid w:val="00A757A3"/>
    <w:rsid w:val="00A75AE0"/>
    <w:rsid w:val="00A75CF7"/>
    <w:rsid w:val="00A76C67"/>
    <w:rsid w:val="00A77B12"/>
    <w:rsid w:val="00A77BF8"/>
    <w:rsid w:val="00A77C18"/>
    <w:rsid w:val="00A77EE7"/>
    <w:rsid w:val="00A80125"/>
    <w:rsid w:val="00A80614"/>
    <w:rsid w:val="00A80619"/>
    <w:rsid w:val="00A806FF"/>
    <w:rsid w:val="00A80EE0"/>
    <w:rsid w:val="00A81368"/>
    <w:rsid w:val="00A81F66"/>
    <w:rsid w:val="00A82331"/>
    <w:rsid w:val="00A82ECE"/>
    <w:rsid w:val="00A82F37"/>
    <w:rsid w:val="00A83356"/>
    <w:rsid w:val="00A835BF"/>
    <w:rsid w:val="00A83DA4"/>
    <w:rsid w:val="00A8449E"/>
    <w:rsid w:val="00A8450F"/>
    <w:rsid w:val="00A84953"/>
    <w:rsid w:val="00A853CD"/>
    <w:rsid w:val="00A85B35"/>
    <w:rsid w:val="00A86671"/>
    <w:rsid w:val="00A86A09"/>
    <w:rsid w:val="00A86CFF"/>
    <w:rsid w:val="00A8763F"/>
    <w:rsid w:val="00A876DE"/>
    <w:rsid w:val="00A8791D"/>
    <w:rsid w:val="00A9001D"/>
    <w:rsid w:val="00A90198"/>
    <w:rsid w:val="00A902A3"/>
    <w:rsid w:val="00A904F8"/>
    <w:rsid w:val="00A912D3"/>
    <w:rsid w:val="00A913B7"/>
    <w:rsid w:val="00A91538"/>
    <w:rsid w:val="00A9166C"/>
    <w:rsid w:val="00A91DC5"/>
    <w:rsid w:val="00A925E3"/>
    <w:rsid w:val="00A928D5"/>
    <w:rsid w:val="00A92A46"/>
    <w:rsid w:val="00A92B82"/>
    <w:rsid w:val="00A932D3"/>
    <w:rsid w:val="00A9382D"/>
    <w:rsid w:val="00A9399F"/>
    <w:rsid w:val="00A943FD"/>
    <w:rsid w:val="00A9477D"/>
    <w:rsid w:val="00A9580A"/>
    <w:rsid w:val="00A960AA"/>
    <w:rsid w:val="00A96135"/>
    <w:rsid w:val="00A96A83"/>
    <w:rsid w:val="00A9709E"/>
    <w:rsid w:val="00A974EF"/>
    <w:rsid w:val="00A978A1"/>
    <w:rsid w:val="00A97B5F"/>
    <w:rsid w:val="00AA03EE"/>
    <w:rsid w:val="00AA0432"/>
    <w:rsid w:val="00AA04CE"/>
    <w:rsid w:val="00AA0884"/>
    <w:rsid w:val="00AA0C06"/>
    <w:rsid w:val="00AA0FCB"/>
    <w:rsid w:val="00AA10EC"/>
    <w:rsid w:val="00AA11F2"/>
    <w:rsid w:val="00AA138B"/>
    <w:rsid w:val="00AA1732"/>
    <w:rsid w:val="00AA188D"/>
    <w:rsid w:val="00AA1C97"/>
    <w:rsid w:val="00AA26B3"/>
    <w:rsid w:val="00AA2A69"/>
    <w:rsid w:val="00AA2D0D"/>
    <w:rsid w:val="00AA32CB"/>
    <w:rsid w:val="00AA371D"/>
    <w:rsid w:val="00AA3771"/>
    <w:rsid w:val="00AA4A64"/>
    <w:rsid w:val="00AA4B6D"/>
    <w:rsid w:val="00AA4D96"/>
    <w:rsid w:val="00AA5891"/>
    <w:rsid w:val="00AA6353"/>
    <w:rsid w:val="00AA6C3C"/>
    <w:rsid w:val="00AA6C4A"/>
    <w:rsid w:val="00AA6C77"/>
    <w:rsid w:val="00AA70F8"/>
    <w:rsid w:val="00AA7399"/>
    <w:rsid w:val="00AA7D66"/>
    <w:rsid w:val="00AA7E0C"/>
    <w:rsid w:val="00AB01B7"/>
    <w:rsid w:val="00AB0589"/>
    <w:rsid w:val="00AB09A4"/>
    <w:rsid w:val="00AB0D31"/>
    <w:rsid w:val="00AB1906"/>
    <w:rsid w:val="00AB1B33"/>
    <w:rsid w:val="00AB1FAD"/>
    <w:rsid w:val="00AB2021"/>
    <w:rsid w:val="00AB2345"/>
    <w:rsid w:val="00AB25D1"/>
    <w:rsid w:val="00AB2644"/>
    <w:rsid w:val="00AB27C9"/>
    <w:rsid w:val="00AB2AAF"/>
    <w:rsid w:val="00AB2E31"/>
    <w:rsid w:val="00AB2FD5"/>
    <w:rsid w:val="00AB3337"/>
    <w:rsid w:val="00AB33A4"/>
    <w:rsid w:val="00AB38B1"/>
    <w:rsid w:val="00AB4151"/>
    <w:rsid w:val="00AB47A6"/>
    <w:rsid w:val="00AB4857"/>
    <w:rsid w:val="00AB4B11"/>
    <w:rsid w:val="00AB56A0"/>
    <w:rsid w:val="00AB5E2C"/>
    <w:rsid w:val="00AB5EB8"/>
    <w:rsid w:val="00AB689C"/>
    <w:rsid w:val="00AB6F0E"/>
    <w:rsid w:val="00AB7C25"/>
    <w:rsid w:val="00AC02B9"/>
    <w:rsid w:val="00AC02D6"/>
    <w:rsid w:val="00AC0F8B"/>
    <w:rsid w:val="00AC10D9"/>
    <w:rsid w:val="00AC1D8D"/>
    <w:rsid w:val="00AC2461"/>
    <w:rsid w:val="00AC2B62"/>
    <w:rsid w:val="00AC34BB"/>
    <w:rsid w:val="00AC3554"/>
    <w:rsid w:val="00AC396D"/>
    <w:rsid w:val="00AC42D7"/>
    <w:rsid w:val="00AC5585"/>
    <w:rsid w:val="00AC5B8F"/>
    <w:rsid w:val="00AC5E45"/>
    <w:rsid w:val="00AC6573"/>
    <w:rsid w:val="00AC6800"/>
    <w:rsid w:val="00AC6936"/>
    <w:rsid w:val="00AC6B07"/>
    <w:rsid w:val="00AC6D11"/>
    <w:rsid w:val="00AC780E"/>
    <w:rsid w:val="00AC7D31"/>
    <w:rsid w:val="00AD04A3"/>
    <w:rsid w:val="00AD0B55"/>
    <w:rsid w:val="00AD1046"/>
    <w:rsid w:val="00AD1969"/>
    <w:rsid w:val="00AD25A2"/>
    <w:rsid w:val="00AD270C"/>
    <w:rsid w:val="00AD2E6B"/>
    <w:rsid w:val="00AD340D"/>
    <w:rsid w:val="00AD34B7"/>
    <w:rsid w:val="00AD35E5"/>
    <w:rsid w:val="00AD3E77"/>
    <w:rsid w:val="00AD42A4"/>
    <w:rsid w:val="00AD5753"/>
    <w:rsid w:val="00AD5F49"/>
    <w:rsid w:val="00AD605F"/>
    <w:rsid w:val="00AD65CA"/>
    <w:rsid w:val="00AD6C5D"/>
    <w:rsid w:val="00AD7038"/>
    <w:rsid w:val="00AD73B0"/>
    <w:rsid w:val="00AD763C"/>
    <w:rsid w:val="00AE1487"/>
    <w:rsid w:val="00AE1990"/>
    <w:rsid w:val="00AE2512"/>
    <w:rsid w:val="00AE25F8"/>
    <w:rsid w:val="00AE2C1E"/>
    <w:rsid w:val="00AE2E20"/>
    <w:rsid w:val="00AE2FA0"/>
    <w:rsid w:val="00AE30B0"/>
    <w:rsid w:val="00AE3192"/>
    <w:rsid w:val="00AE35B4"/>
    <w:rsid w:val="00AE37EB"/>
    <w:rsid w:val="00AE3847"/>
    <w:rsid w:val="00AE3A52"/>
    <w:rsid w:val="00AE431A"/>
    <w:rsid w:val="00AE4746"/>
    <w:rsid w:val="00AE4A68"/>
    <w:rsid w:val="00AE4AEA"/>
    <w:rsid w:val="00AE4EA6"/>
    <w:rsid w:val="00AE57EA"/>
    <w:rsid w:val="00AE5F1F"/>
    <w:rsid w:val="00AE5FBF"/>
    <w:rsid w:val="00AE641D"/>
    <w:rsid w:val="00AE65A6"/>
    <w:rsid w:val="00AE70BC"/>
    <w:rsid w:val="00AE73C5"/>
    <w:rsid w:val="00AE762B"/>
    <w:rsid w:val="00AE7A86"/>
    <w:rsid w:val="00AE7F82"/>
    <w:rsid w:val="00AF029D"/>
    <w:rsid w:val="00AF0323"/>
    <w:rsid w:val="00AF070C"/>
    <w:rsid w:val="00AF0EBD"/>
    <w:rsid w:val="00AF1166"/>
    <w:rsid w:val="00AF1F8C"/>
    <w:rsid w:val="00AF280E"/>
    <w:rsid w:val="00AF3DBE"/>
    <w:rsid w:val="00AF40FF"/>
    <w:rsid w:val="00AF4619"/>
    <w:rsid w:val="00AF4DC5"/>
    <w:rsid w:val="00AF4FE3"/>
    <w:rsid w:val="00AF55CA"/>
    <w:rsid w:val="00AF55EF"/>
    <w:rsid w:val="00AF5853"/>
    <w:rsid w:val="00AF72FF"/>
    <w:rsid w:val="00AF784B"/>
    <w:rsid w:val="00AF7A82"/>
    <w:rsid w:val="00AF7CEE"/>
    <w:rsid w:val="00B00208"/>
    <w:rsid w:val="00B0039D"/>
    <w:rsid w:val="00B004C2"/>
    <w:rsid w:val="00B0053B"/>
    <w:rsid w:val="00B012EC"/>
    <w:rsid w:val="00B01BCB"/>
    <w:rsid w:val="00B01D06"/>
    <w:rsid w:val="00B0207E"/>
    <w:rsid w:val="00B02513"/>
    <w:rsid w:val="00B032D5"/>
    <w:rsid w:val="00B033DB"/>
    <w:rsid w:val="00B03728"/>
    <w:rsid w:val="00B03BD9"/>
    <w:rsid w:val="00B04188"/>
    <w:rsid w:val="00B041B1"/>
    <w:rsid w:val="00B046C3"/>
    <w:rsid w:val="00B047BD"/>
    <w:rsid w:val="00B04F25"/>
    <w:rsid w:val="00B05487"/>
    <w:rsid w:val="00B057E7"/>
    <w:rsid w:val="00B05BED"/>
    <w:rsid w:val="00B05CE5"/>
    <w:rsid w:val="00B05F98"/>
    <w:rsid w:val="00B06153"/>
    <w:rsid w:val="00B0628A"/>
    <w:rsid w:val="00B067AC"/>
    <w:rsid w:val="00B068DB"/>
    <w:rsid w:val="00B0760F"/>
    <w:rsid w:val="00B07718"/>
    <w:rsid w:val="00B07E16"/>
    <w:rsid w:val="00B113A2"/>
    <w:rsid w:val="00B11730"/>
    <w:rsid w:val="00B119F1"/>
    <w:rsid w:val="00B11D12"/>
    <w:rsid w:val="00B13007"/>
    <w:rsid w:val="00B130F2"/>
    <w:rsid w:val="00B131D1"/>
    <w:rsid w:val="00B13298"/>
    <w:rsid w:val="00B13575"/>
    <w:rsid w:val="00B13C84"/>
    <w:rsid w:val="00B14702"/>
    <w:rsid w:val="00B148ED"/>
    <w:rsid w:val="00B14928"/>
    <w:rsid w:val="00B14D1E"/>
    <w:rsid w:val="00B160F7"/>
    <w:rsid w:val="00B16B4C"/>
    <w:rsid w:val="00B16F19"/>
    <w:rsid w:val="00B17792"/>
    <w:rsid w:val="00B17A22"/>
    <w:rsid w:val="00B17A50"/>
    <w:rsid w:val="00B200C4"/>
    <w:rsid w:val="00B2016A"/>
    <w:rsid w:val="00B2038F"/>
    <w:rsid w:val="00B20ACD"/>
    <w:rsid w:val="00B20E69"/>
    <w:rsid w:val="00B21247"/>
    <w:rsid w:val="00B22538"/>
    <w:rsid w:val="00B22EED"/>
    <w:rsid w:val="00B22EF8"/>
    <w:rsid w:val="00B2338A"/>
    <w:rsid w:val="00B240C5"/>
    <w:rsid w:val="00B2423E"/>
    <w:rsid w:val="00B243D7"/>
    <w:rsid w:val="00B243DD"/>
    <w:rsid w:val="00B24662"/>
    <w:rsid w:val="00B248D3"/>
    <w:rsid w:val="00B24A0C"/>
    <w:rsid w:val="00B24AB5"/>
    <w:rsid w:val="00B24E0E"/>
    <w:rsid w:val="00B25AD6"/>
    <w:rsid w:val="00B25ED2"/>
    <w:rsid w:val="00B2614D"/>
    <w:rsid w:val="00B26EF7"/>
    <w:rsid w:val="00B26F9E"/>
    <w:rsid w:val="00B27868"/>
    <w:rsid w:val="00B3076E"/>
    <w:rsid w:val="00B30A9E"/>
    <w:rsid w:val="00B30C0D"/>
    <w:rsid w:val="00B3107E"/>
    <w:rsid w:val="00B31574"/>
    <w:rsid w:val="00B316E7"/>
    <w:rsid w:val="00B31C77"/>
    <w:rsid w:val="00B31CA5"/>
    <w:rsid w:val="00B3273B"/>
    <w:rsid w:val="00B33443"/>
    <w:rsid w:val="00B335B7"/>
    <w:rsid w:val="00B335BD"/>
    <w:rsid w:val="00B337D8"/>
    <w:rsid w:val="00B33947"/>
    <w:rsid w:val="00B34713"/>
    <w:rsid w:val="00B348EA"/>
    <w:rsid w:val="00B34F17"/>
    <w:rsid w:val="00B34FE9"/>
    <w:rsid w:val="00B361BF"/>
    <w:rsid w:val="00B3628F"/>
    <w:rsid w:val="00B36867"/>
    <w:rsid w:val="00B36B8C"/>
    <w:rsid w:val="00B36E21"/>
    <w:rsid w:val="00B36F1D"/>
    <w:rsid w:val="00B37146"/>
    <w:rsid w:val="00B372DB"/>
    <w:rsid w:val="00B373E2"/>
    <w:rsid w:val="00B378E9"/>
    <w:rsid w:val="00B378F2"/>
    <w:rsid w:val="00B402CE"/>
    <w:rsid w:val="00B402E6"/>
    <w:rsid w:val="00B4058A"/>
    <w:rsid w:val="00B407C3"/>
    <w:rsid w:val="00B40A00"/>
    <w:rsid w:val="00B40D9A"/>
    <w:rsid w:val="00B40F63"/>
    <w:rsid w:val="00B417ED"/>
    <w:rsid w:val="00B41BCF"/>
    <w:rsid w:val="00B42ABE"/>
    <w:rsid w:val="00B432E2"/>
    <w:rsid w:val="00B44472"/>
    <w:rsid w:val="00B45052"/>
    <w:rsid w:val="00B45082"/>
    <w:rsid w:val="00B45287"/>
    <w:rsid w:val="00B454FF"/>
    <w:rsid w:val="00B45604"/>
    <w:rsid w:val="00B45BA8"/>
    <w:rsid w:val="00B45CAE"/>
    <w:rsid w:val="00B46660"/>
    <w:rsid w:val="00B46975"/>
    <w:rsid w:val="00B46B10"/>
    <w:rsid w:val="00B46E65"/>
    <w:rsid w:val="00B474D9"/>
    <w:rsid w:val="00B47511"/>
    <w:rsid w:val="00B47965"/>
    <w:rsid w:val="00B479D9"/>
    <w:rsid w:val="00B47AAC"/>
    <w:rsid w:val="00B47B84"/>
    <w:rsid w:val="00B47CE9"/>
    <w:rsid w:val="00B47F69"/>
    <w:rsid w:val="00B51663"/>
    <w:rsid w:val="00B5192D"/>
    <w:rsid w:val="00B52897"/>
    <w:rsid w:val="00B52B4E"/>
    <w:rsid w:val="00B52D76"/>
    <w:rsid w:val="00B5318C"/>
    <w:rsid w:val="00B531C3"/>
    <w:rsid w:val="00B536BB"/>
    <w:rsid w:val="00B537B3"/>
    <w:rsid w:val="00B54237"/>
    <w:rsid w:val="00B5517D"/>
    <w:rsid w:val="00B55380"/>
    <w:rsid w:val="00B562F4"/>
    <w:rsid w:val="00B5630C"/>
    <w:rsid w:val="00B56444"/>
    <w:rsid w:val="00B568D3"/>
    <w:rsid w:val="00B56A09"/>
    <w:rsid w:val="00B56A84"/>
    <w:rsid w:val="00B56DB8"/>
    <w:rsid w:val="00B57577"/>
    <w:rsid w:val="00B57C21"/>
    <w:rsid w:val="00B60423"/>
    <w:rsid w:val="00B606B5"/>
    <w:rsid w:val="00B60835"/>
    <w:rsid w:val="00B60A7C"/>
    <w:rsid w:val="00B60BED"/>
    <w:rsid w:val="00B60C9D"/>
    <w:rsid w:val="00B627B8"/>
    <w:rsid w:val="00B629CF"/>
    <w:rsid w:val="00B63185"/>
    <w:rsid w:val="00B631C6"/>
    <w:rsid w:val="00B633F5"/>
    <w:rsid w:val="00B6459B"/>
    <w:rsid w:val="00B6477E"/>
    <w:rsid w:val="00B64F51"/>
    <w:rsid w:val="00B6565D"/>
    <w:rsid w:val="00B65E1A"/>
    <w:rsid w:val="00B66CC0"/>
    <w:rsid w:val="00B6749D"/>
    <w:rsid w:val="00B674AD"/>
    <w:rsid w:val="00B674E3"/>
    <w:rsid w:val="00B679FF"/>
    <w:rsid w:val="00B67DDE"/>
    <w:rsid w:val="00B67F5E"/>
    <w:rsid w:val="00B712D7"/>
    <w:rsid w:val="00B7143F"/>
    <w:rsid w:val="00B7152E"/>
    <w:rsid w:val="00B71E69"/>
    <w:rsid w:val="00B73031"/>
    <w:rsid w:val="00B731D5"/>
    <w:rsid w:val="00B73997"/>
    <w:rsid w:val="00B73C5F"/>
    <w:rsid w:val="00B73E41"/>
    <w:rsid w:val="00B73E5F"/>
    <w:rsid w:val="00B73F12"/>
    <w:rsid w:val="00B74B13"/>
    <w:rsid w:val="00B74C0A"/>
    <w:rsid w:val="00B74D8C"/>
    <w:rsid w:val="00B751C2"/>
    <w:rsid w:val="00B75545"/>
    <w:rsid w:val="00B7604F"/>
    <w:rsid w:val="00B767C3"/>
    <w:rsid w:val="00B76B6C"/>
    <w:rsid w:val="00B76C44"/>
    <w:rsid w:val="00B76D6C"/>
    <w:rsid w:val="00B76E94"/>
    <w:rsid w:val="00B76FA2"/>
    <w:rsid w:val="00B770C1"/>
    <w:rsid w:val="00B77124"/>
    <w:rsid w:val="00B77983"/>
    <w:rsid w:val="00B80453"/>
    <w:rsid w:val="00B808E0"/>
    <w:rsid w:val="00B80DA5"/>
    <w:rsid w:val="00B80F3C"/>
    <w:rsid w:val="00B80F4F"/>
    <w:rsid w:val="00B811C4"/>
    <w:rsid w:val="00B81B86"/>
    <w:rsid w:val="00B81F7B"/>
    <w:rsid w:val="00B82260"/>
    <w:rsid w:val="00B824C1"/>
    <w:rsid w:val="00B826DC"/>
    <w:rsid w:val="00B82719"/>
    <w:rsid w:val="00B8273F"/>
    <w:rsid w:val="00B82C7E"/>
    <w:rsid w:val="00B82C9F"/>
    <w:rsid w:val="00B8393D"/>
    <w:rsid w:val="00B84168"/>
    <w:rsid w:val="00B8436D"/>
    <w:rsid w:val="00B843EB"/>
    <w:rsid w:val="00B859B2"/>
    <w:rsid w:val="00B859BB"/>
    <w:rsid w:val="00B85CD3"/>
    <w:rsid w:val="00B86AB6"/>
    <w:rsid w:val="00B86F96"/>
    <w:rsid w:val="00B87063"/>
    <w:rsid w:val="00B8731F"/>
    <w:rsid w:val="00B87734"/>
    <w:rsid w:val="00B87D15"/>
    <w:rsid w:val="00B9046F"/>
    <w:rsid w:val="00B90718"/>
    <w:rsid w:val="00B90D82"/>
    <w:rsid w:val="00B91232"/>
    <w:rsid w:val="00B91522"/>
    <w:rsid w:val="00B91864"/>
    <w:rsid w:val="00B91A93"/>
    <w:rsid w:val="00B91AB8"/>
    <w:rsid w:val="00B9278A"/>
    <w:rsid w:val="00B92A6F"/>
    <w:rsid w:val="00B92F86"/>
    <w:rsid w:val="00B92FAA"/>
    <w:rsid w:val="00B930CF"/>
    <w:rsid w:val="00B9391A"/>
    <w:rsid w:val="00B94696"/>
    <w:rsid w:val="00B9514B"/>
    <w:rsid w:val="00B95466"/>
    <w:rsid w:val="00B96275"/>
    <w:rsid w:val="00B968A7"/>
    <w:rsid w:val="00B96B98"/>
    <w:rsid w:val="00B97044"/>
    <w:rsid w:val="00B97352"/>
    <w:rsid w:val="00B97A47"/>
    <w:rsid w:val="00B97A58"/>
    <w:rsid w:val="00B97B86"/>
    <w:rsid w:val="00BA1440"/>
    <w:rsid w:val="00BA17D7"/>
    <w:rsid w:val="00BA1BAB"/>
    <w:rsid w:val="00BA1CA0"/>
    <w:rsid w:val="00BA1E0E"/>
    <w:rsid w:val="00BA2E75"/>
    <w:rsid w:val="00BA388A"/>
    <w:rsid w:val="00BA3E9C"/>
    <w:rsid w:val="00BA4614"/>
    <w:rsid w:val="00BA5188"/>
    <w:rsid w:val="00BA536A"/>
    <w:rsid w:val="00BA596E"/>
    <w:rsid w:val="00BA5ADE"/>
    <w:rsid w:val="00BA688F"/>
    <w:rsid w:val="00BA77A2"/>
    <w:rsid w:val="00BA782A"/>
    <w:rsid w:val="00BA7B1C"/>
    <w:rsid w:val="00BB036F"/>
    <w:rsid w:val="00BB12BA"/>
    <w:rsid w:val="00BB1512"/>
    <w:rsid w:val="00BB16A4"/>
    <w:rsid w:val="00BB1997"/>
    <w:rsid w:val="00BB1B20"/>
    <w:rsid w:val="00BB1F3F"/>
    <w:rsid w:val="00BB2382"/>
    <w:rsid w:val="00BB3975"/>
    <w:rsid w:val="00BB3C4A"/>
    <w:rsid w:val="00BB3F7B"/>
    <w:rsid w:val="00BB44C8"/>
    <w:rsid w:val="00BB45DB"/>
    <w:rsid w:val="00BB4AEC"/>
    <w:rsid w:val="00BB4D50"/>
    <w:rsid w:val="00BB5A06"/>
    <w:rsid w:val="00BB5A8A"/>
    <w:rsid w:val="00BB5C26"/>
    <w:rsid w:val="00BB6613"/>
    <w:rsid w:val="00BB6E2C"/>
    <w:rsid w:val="00BB7697"/>
    <w:rsid w:val="00BB77CD"/>
    <w:rsid w:val="00BB7B05"/>
    <w:rsid w:val="00BBED4F"/>
    <w:rsid w:val="00BC005B"/>
    <w:rsid w:val="00BC013E"/>
    <w:rsid w:val="00BC050E"/>
    <w:rsid w:val="00BC1129"/>
    <w:rsid w:val="00BC1A10"/>
    <w:rsid w:val="00BC1E66"/>
    <w:rsid w:val="00BC1E67"/>
    <w:rsid w:val="00BC217E"/>
    <w:rsid w:val="00BC2744"/>
    <w:rsid w:val="00BC2BC5"/>
    <w:rsid w:val="00BC3AD1"/>
    <w:rsid w:val="00BC3CB0"/>
    <w:rsid w:val="00BC4265"/>
    <w:rsid w:val="00BC46BD"/>
    <w:rsid w:val="00BC47CD"/>
    <w:rsid w:val="00BC59A4"/>
    <w:rsid w:val="00BC5FA5"/>
    <w:rsid w:val="00BC6087"/>
    <w:rsid w:val="00BC6270"/>
    <w:rsid w:val="00BC6788"/>
    <w:rsid w:val="00BC707D"/>
    <w:rsid w:val="00BC71F6"/>
    <w:rsid w:val="00BC7BB8"/>
    <w:rsid w:val="00BD0049"/>
    <w:rsid w:val="00BD01C6"/>
    <w:rsid w:val="00BD0797"/>
    <w:rsid w:val="00BD0A36"/>
    <w:rsid w:val="00BD0F05"/>
    <w:rsid w:val="00BD119F"/>
    <w:rsid w:val="00BD1382"/>
    <w:rsid w:val="00BD1649"/>
    <w:rsid w:val="00BD18BD"/>
    <w:rsid w:val="00BD1E1A"/>
    <w:rsid w:val="00BD1FCA"/>
    <w:rsid w:val="00BD1FD8"/>
    <w:rsid w:val="00BD2759"/>
    <w:rsid w:val="00BD299A"/>
    <w:rsid w:val="00BD2DA9"/>
    <w:rsid w:val="00BD3317"/>
    <w:rsid w:val="00BD402F"/>
    <w:rsid w:val="00BD47FC"/>
    <w:rsid w:val="00BD4AB3"/>
    <w:rsid w:val="00BD504F"/>
    <w:rsid w:val="00BD53D0"/>
    <w:rsid w:val="00BD5573"/>
    <w:rsid w:val="00BD5753"/>
    <w:rsid w:val="00BD5B89"/>
    <w:rsid w:val="00BD5BB6"/>
    <w:rsid w:val="00BD61AD"/>
    <w:rsid w:val="00BD6C48"/>
    <w:rsid w:val="00BD7655"/>
    <w:rsid w:val="00BD7683"/>
    <w:rsid w:val="00BD794E"/>
    <w:rsid w:val="00BE05FF"/>
    <w:rsid w:val="00BE1209"/>
    <w:rsid w:val="00BE1731"/>
    <w:rsid w:val="00BE2166"/>
    <w:rsid w:val="00BE2185"/>
    <w:rsid w:val="00BE3110"/>
    <w:rsid w:val="00BE314B"/>
    <w:rsid w:val="00BE3943"/>
    <w:rsid w:val="00BE3A32"/>
    <w:rsid w:val="00BE3ABA"/>
    <w:rsid w:val="00BE4B1F"/>
    <w:rsid w:val="00BE509E"/>
    <w:rsid w:val="00BE56B2"/>
    <w:rsid w:val="00BE5772"/>
    <w:rsid w:val="00BE5775"/>
    <w:rsid w:val="00BE58FF"/>
    <w:rsid w:val="00BE5C55"/>
    <w:rsid w:val="00BE6281"/>
    <w:rsid w:val="00BE6702"/>
    <w:rsid w:val="00BE6B38"/>
    <w:rsid w:val="00BE6BD4"/>
    <w:rsid w:val="00BE7747"/>
    <w:rsid w:val="00BE7A64"/>
    <w:rsid w:val="00BE7B11"/>
    <w:rsid w:val="00BE7ED4"/>
    <w:rsid w:val="00BF0255"/>
    <w:rsid w:val="00BF0712"/>
    <w:rsid w:val="00BF0817"/>
    <w:rsid w:val="00BF097D"/>
    <w:rsid w:val="00BF0CC9"/>
    <w:rsid w:val="00BF15F6"/>
    <w:rsid w:val="00BF1DD0"/>
    <w:rsid w:val="00BF1FE6"/>
    <w:rsid w:val="00BF28E2"/>
    <w:rsid w:val="00BF2C9E"/>
    <w:rsid w:val="00BF36EE"/>
    <w:rsid w:val="00BF3768"/>
    <w:rsid w:val="00BF4778"/>
    <w:rsid w:val="00BF4D5F"/>
    <w:rsid w:val="00BF50F7"/>
    <w:rsid w:val="00BF5552"/>
    <w:rsid w:val="00BF6026"/>
    <w:rsid w:val="00BF61E0"/>
    <w:rsid w:val="00BF643A"/>
    <w:rsid w:val="00BF6762"/>
    <w:rsid w:val="00BF6A7B"/>
    <w:rsid w:val="00BF7072"/>
    <w:rsid w:val="00BF71CD"/>
    <w:rsid w:val="00BF7E63"/>
    <w:rsid w:val="00C00840"/>
    <w:rsid w:val="00C01171"/>
    <w:rsid w:val="00C012BE"/>
    <w:rsid w:val="00C012E5"/>
    <w:rsid w:val="00C0150C"/>
    <w:rsid w:val="00C01967"/>
    <w:rsid w:val="00C01F46"/>
    <w:rsid w:val="00C02956"/>
    <w:rsid w:val="00C029D4"/>
    <w:rsid w:val="00C02D2D"/>
    <w:rsid w:val="00C02E88"/>
    <w:rsid w:val="00C03250"/>
    <w:rsid w:val="00C03596"/>
    <w:rsid w:val="00C04094"/>
    <w:rsid w:val="00C050E3"/>
    <w:rsid w:val="00C05742"/>
    <w:rsid w:val="00C06B6E"/>
    <w:rsid w:val="00C072FE"/>
    <w:rsid w:val="00C07812"/>
    <w:rsid w:val="00C07EF2"/>
    <w:rsid w:val="00C10009"/>
    <w:rsid w:val="00C10B35"/>
    <w:rsid w:val="00C10BA4"/>
    <w:rsid w:val="00C11392"/>
    <w:rsid w:val="00C11F20"/>
    <w:rsid w:val="00C122DF"/>
    <w:rsid w:val="00C12BF3"/>
    <w:rsid w:val="00C12D60"/>
    <w:rsid w:val="00C1304E"/>
    <w:rsid w:val="00C1325E"/>
    <w:rsid w:val="00C1362A"/>
    <w:rsid w:val="00C14D48"/>
    <w:rsid w:val="00C153E8"/>
    <w:rsid w:val="00C156CB"/>
    <w:rsid w:val="00C157CB"/>
    <w:rsid w:val="00C16B16"/>
    <w:rsid w:val="00C17242"/>
    <w:rsid w:val="00C173F2"/>
    <w:rsid w:val="00C17A00"/>
    <w:rsid w:val="00C17E64"/>
    <w:rsid w:val="00C20071"/>
    <w:rsid w:val="00C2091E"/>
    <w:rsid w:val="00C20ACB"/>
    <w:rsid w:val="00C20F0A"/>
    <w:rsid w:val="00C2106D"/>
    <w:rsid w:val="00C210FC"/>
    <w:rsid w:val="00C21429"/>
    <w:rsid w:val="00C218B2"/>
    <w:rsid w:val="00C21B07"/>
    <w:rsid w:val="00C21DB4"/>
    <w:rsid w:val="00C22783"/>
    <w:rsid w:val="00C236FC"/>
    <w:rsid w:val="00C23767"/>
    <w:rsid w:val="00C24240"/>
    <w:rsid w:val="00C2467A"/>
    <w:rsid w:val="00C24737"/>
    <w:rsid w:val="00C248C4"/>
    <w:rsid w:val="00C24CF7"/>
    <w:rsid w:val="00C2517B"/>
    <w:rsid w:val="00C259D0"/>
    <w:rsid w:val="00C25DC3"/>
    <w:rsid w:val="00C268A7"/>
    <w:rsid w:val="00C268FD"/>
    <w:rsid w:val="00C26DEF"/>
    <w:rsid w:val="00C26DF3"/>
    <w:rsid w:val="00C27734"/>
    <w:rsid w:val="00C27FD5"/>
    <w:rsid w:val="00C30688"/>
    <w:rsid w:val="00C31067"/>
    <w:rsid w:val="00C312F6"/>
    <w:rsid w:val="00C31920"/>
    <w:rsid w:val="00C319D4"/>
    <w:rsid w:val="00C31AF7"/>
    <w:rsid w:val="00C31EAF"/>
    <w:rsid w:val="00C32788"/>
    <w:rsid w:val="00C32B11"/>
    <w:rsid w:val="00C32DFB"/>
    <w:rsid w:val="00C32F67"/>
    <w:rsid w:val="00C32FC5"/>
    <w:rsid w:val="00C33048"/>
    <w:rsid w:val="00C330B1"/>
    <w:rsid w:val="00C33122"/>
    <w:rsid w:val="00C33A69"/>
    <w:rsid w:val="00C3458F"/>
    <w:rsid w:val="00C345F6"/>
    <w:rsid w:val="00C34A02"/>
    <w:rsid w:val="00C351CE"/>
    <w:rsid w:val="00C35261"/>
    <w:rsid w:val="00C35DB9"/>
    <w:rsid w:val="00C363A5"/>
    <w:rsid w:val="00C36CE9"/>
    <w:rsid w:val="00C370D5"/>
    <w:rsid w:val="00C3724F"/>
    <w:rsid w:val="00C37C3C"/>
    <w:rsid w:val="00C37C80"/>
    <w:rsid w:val="00C37ED0"/>
    <w:rsid w:val="00C40541"/>
    <w:rsid w:val="00C40985"/>
    <w:rsid w:val="00C4176C"/>
    <w:rsid w:val="00C4196A"/>
    <w:rsid w:val="00C41D2C"/>
    <w:rsid w:val="00C42035"/>
    <w:rsid w:val="00C4287B"/>
    <w:rsid w:val="00C42C3E"/>
    <w:rsid w:val="00C42F79"/>
    <w:rsid w:val="00C4331B"/>
    <w:rsid w:val="00C4369A"/>
    <w:rsid w:val="00C4385C"/>
    <w:rsid w:val="00C438F9"/>
    <w:rsid w:val="00C43AB8"/>
    <w:rsid w:val="00C43CB5"/>
    <w:rsid w:val="00C44B9B"/>
    <w:rsid w:val="00C44DE0"/>
    <w:rsid w:val="00C452E9"/>
    <w:rsid w:val="00C4553E"/>
    <w:rsid w:val="00C45D71"/>
    <w:rsid w:val="00C45E00"/>
    <w:rsid w:val="00C45FBF"/>
    <w:rsid w:val="00C46F89"/>
    <w:rsid w:val="00C46FEE"/>
    <w:rsid w:val="00C47033"/>
    <w:rsid w:val="00C4716E"/>
    <w:rsid w:val="00C47BD7"/>
    <w:rsid w:val="00C47FAF"/>
    <w:rsid w:val="00C5018B"/>
    <w:rsid w:val="00C5085A"/>
    <w:rsid w:val="00C5119C"/>
    <w:rsid w:val="00C51407"/>
    <w:rsid w:val="00C51763"/>
    <w:rsid w:val="00C51ACE"/>
    <w:rsid w:val="00C51B1C"/>
    <w:rsid w:val="00C52303"/>
    <w:rsid w:val="00C52314"/>
    <w:rsid w:val="00C5253A"/>
    <w:rsid w:val="00C52B5C"/>
    <w:rsid w:val="00C532A2"/>
    <w:rsid w:val="00C53A3B"/>
    <w:rsid w:val="00C53F60"/>
    <w:rsid w:val="00C5424A"/>
    <w:rsid w:val="00C5430F"/>
    <w:rsid w:val="00C54FE1"/>
    <w:rsid w:val="00C55680"/>
    <w:rsid w:val="00C556C8"/>
    <w:rsid w:val="00C56603"/>
    <w:rsid w:val="00C56A7F"/>
    <w:rsid w:val="00C57AFD"/>
    <w:rsid w:val="00C57E17"/>
    <w:rsid w:val="00C57E84"/>
    <w:rsid w:val="00C607BE"/>
    <w:rsid w:val="00C60969"/>
    <w:rsid w:val="00C60CCD"/>
    <w:rsid w:val="00C616BC"/>
    <w:rsid w:val="00C61AF7"/>
    <w:rsid w:val="00C62054"/>
    <w:rsid w:val="00C62690"/>
    <w:rsid w:val="00C626B8"/>
    <w:rsid w:val="00C62BAC"/>
    <w:rsid w:val="00C62D72"/>
    <w:rsid w:val="00C6303D"/>
    <w:rsid w:val="00C63234"/>
    <w:rsid w:val="00C632A0"/>
    <w:rsid w:val="00C63751"/>
    <w:rsid w:val="00C63820"/>
    <w:rsid w:val="00C639C1"/>
    <w:rsid w:val="00C63A99"/>
    <w:rsid w:val="00C651C8"/>
    <w:rsid w:val="00C65AA6"/>
    <w:rsid w:val="00C65BB2"/>
    <w:rsid w:val="00C65D36"/>
    <w:rsid w:val="00C65DA0"/>
    <w:rsid w:val="00C66C58"/>
    <w:rsid w:val="00C66D34"/>
    <w:rsid w:val="00C67232"/>
    <w:rsid w:val="00C67327"/>
    <w:rsid w:val="00C67C0F"/>
    <w:rsid w:val="00C702A7"/>
    <w:rsid w:val="00C70651"/>
    <w:rsid w:val="00C70F0C"/>
    <w:rsid w:val="00C70FE6"/>
    <w:rsid w:val="00C71164"/>
    <w:rsid w:val="00C71364"/>
    <w:rsid w:val="00C71584"/>
    <w:rsid w:val="00C71771"/>
    <w:rsid w:val="00C71DE6"/>
    <w:rsid w:val="00C725DA"/>
    <w:rsid w:val="00C7271C"/>
    <w:rsid w:val="00C72813"/>
    <w:rsid w:val="00C72A3C"/>
    <w:rsid w:val="00C73292"/>
    <w:rsid w:val="00C73CF5"/>
    <w:rsid w:val="00C74489"/>
    <w:rsid w:val="00C74740"/>
    <w:rsid w:val="00C74822"/>
    <w:rsid w:val="00C74893"/>
    <w:rsid w:val="00C74DC6"/>
    <w:rsid w:val="00C74EB4"/>
    <w:rsid w:val="00C75457"/>
    <w:rsid w:val="00C760B9"/>
    <w:rsid w:val="00C76DD4"/>
    <w:rsid w:val="00C7706F"/>
    <w:rsid w:val="00C771F2"/>
    <w:rsid w:val="00C77249"/>
    <w:rsid w:val="00C77508"/>
    <w:rsid w:val="00C7756A"/>
    <w:rsid w:val="00C77709"/>
    <w:rsid w:val="00C778B4"/>
    <w:rsid w:val="00C779CA"/>
    <w:rsid w:val="00C77D8B"/>
    <w:rsid w:val="00C80028"/>
    <w:rsid w:val="00C80D66"/>
    <w:rsid w:val="00C8142B"/>
    <w:rsid w:val="00C81823"/>
    <w:rsid w:val="00C81EB1"/>
    <w:rsid w:val="00C824F1"/>
    <w:rsid w:val="00C827F5"/>
    <w:rsid w:val="00C82C5E"/>
    <w:rsid w:val="00C82D20"/>
    <w:rsid w:val="00C83020"/>
    <w:rsid w:val="00C83075"/>
    <w:rsid w:val="00C83A5C"/>
    <w:rsid w:val="00C83E82"/>
    <w:rsid w:val="00C8530C"/>
    <w:rsid w:val="00C8558F"/>
    <w:rsid w:val="00C85924"/>
    <w:rsid w:val="00C85F3F"/>
    <w:rsid w:val="00C85F54"/>
    <w:rsid w:val="00C860BB"/>
    <w:rsid w:val="00C862A5"/>
    <w:rsid w:val="00C864CC"/>
    <w:rsid w:val="00C8728D"/>
    <w:rsid w:val="00C8775F"/>
    <w:rsid w:val="00C87772"/>
    <w:rsid w:val="00C87893"/>
    <w:rsid w:val="00C87925"/>
    <w:rsid w:val="00C87E98"/>
    <w:rsid w:val="00C87EC7"/>
    <w:rsid w:val="00C9018B"/>
    <w:rsid w:val="00C90325"/>
    <w:rsid w:val="00C903E1"/>
    <w:rsid w:val="00C904EA"/>
    <w:rsid w:val="00C9063D"/>
    <w:rsid w:val="00C9091E"/>
    <w:rsid w:val="00C90F29"/>
    <w:rsid w:val="00C9107E"/>
    <w:rsid w:val="00C9119D"/>
    <w:rsid w:val="00C911AB"/>
    <w:rsid w:val="00C912D7"/>
    <w:rsid w:val="00C9227C"/>
    <w:rsid w:val="00C926DF"/>
    <w:rsid w:val="00C9272E"/>
    <w:rsid w:val="00C92DB0"/>
    <w:rsid w:val="00C92DDA"/>
    <w:rsid w:val="00C93486"/>
    <w:rsid w:val="00C93AF2"/>
    <w:rsid w:val="00C942A0"/>
    <w:rsid w:val="00C942EB"/>
    <w:rsid w:val="00C95808"/>
    <w:rsid w:val="00C97581"/>
    <w:rsid w:val="00C975B9"/>
    <w:rsid w:val="00C9794A"/>
    <w:rsid w:val="00C97B62"/>
    <w:rsid w:val="00CA0A2E"/>
    <w:rsid w:val="00CA138A"/>
    <w:rsid w:val="00CA16CD"/>
    <w:rsid w:val="00CA1CC8"/>
    <w:rsid w:val="00CA21F2"/>
    <w:rsid w:val="00CA27F5"/>
    <w:rsid w:val="00CA28DF"/>
    <w:rsid w:val="00CA2D42"/>
    <w:rsid w:val="00CA3DFD"/>
    <w:rsid w:val="00CA4160"/>
    <w:rsid w:val="00CA48C9"/>
    <w:rsid w:val="00CA4A09"/>
    <w:rsid w:val="00CA4B36"/>
    <w:rsid w:val="00CA5085"/>
    <w:rsid w:val="00CA56A6"/>
    <w:rsid w:val="00CA5A9A"/>
    <w:rsid w:val="00CA5F44"/>
    <w:rsid w:val="00CA668D"/>
    <w:rsid w:val="00CA66B9"/>
    <w:rsid w:val="00CA6EF9"/>
    <w:rsid w:val="00CA72D8"/>
    <w:rsid w:val="00CA796A"/>
    <w:rsid w:val="00CA7CCF"/>
    <w:rsid w:val="00CB0319"/>
    <w:rsid w:val="00CB0BB4"/>
    <w:rsid w:val="00CB0EDA"/>
    <w:rsid w:val="00CB117B"/>
    <w:rsid w:val="00CB13DF"/>
    <w:rsid w:val="00CB1A10"/>
    <w:rsid w:val="00CB1C0A"/>
    <w:rsid w:val="00CB287D"/>
    <w:rsid w:val="00CB2AD1"/>
    <w:rsid w:val="00CB41BD"/>
    <w:rsid w:val="00CB45D8"/>
    <w:rsid w:val="00CB4B56"/>
    <w:rsid w:val="00CB4DA9"/>
    <w:rsid w:val="00CB4E76"/>
    <w:rsid w:val="00CB59E2"/>
    <w:rsid w:val="00CB5B81"/>
    <w:rsid w:val="00CB5C56"/>
    <w:rsid w:val="00CB5DF1"/>
    <w:rsid w:val="00CB6A29"/>
    <w:rsid w:val="00CB719F"/>
    <w:rsid w:val="00CB71CB"/>
    <w:rsid w:val="00CB71F5"/>
    <w:rsid w:val="00CB763C"/>
    <w:rsid w:val="00CC0752"/>
    <w:rsid w:val="00CC0CBE"/>
    <w:rsid w:val="00CC14B0"/>
    <w:rsid w:val="00CC211C"/>
    <w:rsid w:val="00CC2B79"/>
    <w:rsid w:val="00CC2FA9"/>
    <w:rsid w:val="00CC2FD6"/>
    <w:rsid w:val="00CC31F9"/>
    <w:rsid w:val="00CC3388"/>
    <w:rsid w:val="00CC3463"/>
    <w:rsid w:val="00CC495C"/>
    <w:rsid w:val="00CC4E73"/>
    <w:rsid w:val="00CC51AF"/>
    <w:rsid w:val="00CC529C"/>
    <w:rsid w:val="00CC5A20"/>
    <w:rsid w:val="00CC5C56"/>
    <w:rsid w:val="00CC61DC"/>
    <w:rsid w:val="00CC65DB"/>
    <w:rsid w:val="00CC6B1B"/>
    <w:rsid w:val="00CC70F8"/>
    <w:rsid w:val="00CC7204"/>
    <w:rsid w:val="00CC72C9"/>
    <w:rsid w:val="00CC79D7"/>
    <w:rsid w:val="00CD0090"/>
    <w:rsid w:val="00CD04D0"/>
    <w:rsid w:val="00CD0969"/>
    <w:rsid w:val="00CD0A3F"/>
    <w:rsid w:val="00CD16DF"/>
    <w:rsid w:val="00CD19A9"/>
    <w:rsid w:val="00CD1A01"/>
    <w:rsid w:val="00CD1C18"/>
    <w:rsid w:val="00CD23DA"/>
    <w:rsid w:val="00CD2786"/>
    <w:rsid w:val="00CD2FA3"/>
    <w:rsid w:val="00CD32C8"/>
    <w:rsid w:val="00CD372B"/>
    <w:rsid w:val="00CD39F9"/>
    <w:rsid w:val="00CD3E0A"/>
    <w:rsid w:val="00CD475C"/>
    <w:rsid w:val="00CD49F0"/>
    <w:rsid w:val="00CD4AF8"/>
    <w:rsid w:val="00CD5125"/>
    <w:rsid w:val="00CD5136"/>
    <w:rsid w:val="00CD5175"/>
    <w:rsid w:val="00CD536C"/>
    <w:rsid w:val="00CD7011"/>
    <w:rsid w:val="00CD788A"/>
    <w:rsid w:val="00CD78E1"/>
    <w:rsid w:val="00CE0A8B"/>
    <w:rsid w:val="00CE22DF"/>
    <w:rsid w:val="00CE23EF"/>
    <w:rsid w:val="00CE24CE"/>
    <w:rsid w:val="00CE250B"/>
    <w:rsid w:val="00CE25BA"/>
    <w:rsid w:val="00CE2CF5"/>
    <w:rsid w:val="00CE2E6C"/>
    <w:rsid w:val="00CE31C4"/>
    <w:rsid w:val="00CE4263"/>
    <w:rsid w:val="00CE444C"/>
    <w:rsid w:val="00CE4509"/>
    <w:rsid w:val="00CE4B01"/>
    <w:rsid w:val="00CE519D"/>
    <w:rsid w:val="00CE578A"/>
    <w:rsid w:val="00CE5FF1"/>
    <w:rsid w:val="00CE6100"/>
    <w:rsid w:val="00CE63C9"/>
    <w:rsid w:val="00CE6B3E"/>
    <w:rsid w:val="00CE6CDC"/>
    <w:rsid w:val="00CE760A"/>
    <w:rsid w:val="00CE7DAF"/>
    <w:rsid w:val="00CE7E51"/>
    <w:rsid w:val="00CF0310"/>
    <w:rsid w:val="00CF06A8"/>
    <w:rsid w:val="00CF08E2"/>
    <w:rsid w:val="00CF0915"/>
    <w:rsid w:val="00CF0DC4"/>
    <w:rsid w:val="00CF0F42"/>
    <w:rsid w:val="00CF13F1"/>
    <w:rsid w:val="00CF185E"/>
    <w:rsid w:val="00CF1A70"/>
    <w:rsid w:val="00CF1BBD"/>
    <w:rsid w:val="00CF1C83"/>
    <w:rsid w:val="00CF1E51"/>
    <w:rsid w:val="00CF1F8D"/>
    <w:rsid w:val="00CF2290"/>
    <w:rsid w:val="00CF276E"/>
    <w:rsid w:val="00CF30DA"/>
    <w:rsid w:val="00CF39FC"/>
    <w:rsid w:val="00CF3BB0"/>
    <w:rsid w:val="00CF3C03"/>
    <w:rsid w:val="00CF4090"/>
    <w:rsid w:val="00CF4637"/>
    <w:rsid w:val="00CF465B"/>
    <w:rsid w:val="00CF47C5"/>
    <w:rsid w:val="00CF5226"/>
    <w:rsid w:val="00CF539A"/>
    <w:rsid w:val="00CF5FC4"/>
    <w:rsid w:val="00CF6189"/>
    <w:rsid w:val="00CF651D"/>
    <w:rsid w:val="00CF6EA4"/>
    <w:rsid w:val="00CF7369"/>
    <w:rsid w:val="00CF7517"/>
    <w:rsid w:val="00CF7F1B"/>
    <w:rsid w:val="00CF7F56"/>
    <w:rsid w:val="00D006B4"/>
    <w:rsid w:val="00D00B66"/>
    <w:rsid w:val="00D00D22"/>
    <w:rsid w:val="00D00F5E"/>
    <w:rsid w:val="00D00FCD"/>
    <w:rsid w:val="00D013D4"/>
    <w:rsid w:val="00D01697"/>
    <w:rsid w:val="00D01ABD"/>
    <w:rsid w:val="00D01DEB"/>
    <w:rsid w:val="00D0213B"/>
    <w:rsid w:val="00D0241B"/>
    <w:rsid w:val="00D02840"/>
    <w:rsid w:val="00D02B7F"/>
    <w:rsid w:val="00D033DE"/>
    <w:rsid w:val="00D03832"/>
    <w:rsid w:val="00D038BA"/>
    <w:rsid w:val="00D03C2F"/>
    <w:rsid w:val="00D04717"/>
    <w:rsid w:val="00D04CF9"/>
    <w:rsid w:val="00D059DD"/>
    <w:rsid w:val="00D05AAD"/>
    <w:rsid w:val="00D05B06"/>
    <w:rsid w:val="00D060C7"/>
    <w:rsid w:val="00D076C3"/>
    <w:rsid w:val="00D079A7"/>
    <w:rsid w:val="00D07CED"/>
    <w:rsid w:val="00D1014B"/>
    <w:rsid w:val="00D10853"/>
    <w:rsid w:val="00D10C88"/>
    <w:rsid w:val="00D1178B"/>
    <w:rsid w:val="00D11B01"/>
    <w:rsid w:val="00D12365"/>
    <w:rsid w:val="00D1260B"/>
    <w:rsid w:val="00D12904"/>
    <w:rsid w:val="00D12E5B"/>
    <w:rsid w:val="00D1377C"/>
    <w:rsid w:val="00D144BC"/>
    <w:rsid w:val="00D145D6"/>
    <w:rsid w:val="00D14BD7"/>
    <w:rsid w:val="00D14F15"/>
    <w:rsid w:val="00D14F33"/>
    <w:rsid w:val="00D15CE5"/>
    <w:rsid w:val="00D16BCF"/>
    <w:rsid w:val="00D16C4F"/>
    <w:rsid w:val="00D1701F"/>
    <w:rsid w:val="00D1765E"/>
    <w:rsid w:val="00D17841"/>
    <w:rsid w:val="00D17863"/>
    <w:rsid w:val="00D20481"/>
    <w:rsid w:val="00D206B7"/>
    <w:rsid w:val="00D21804"/>
    <w:rsid w:val="00D21AED"/>
    <w:rsid w:val="00D21FE7"/>
    <w:rsid w:val="00D22374"/>
    <w:rsid w:val="00D2243D"/>
    <w:rsid w:val="00D2260B"/>
    <w:rsid w:val="00D22786"/>
    <w:rsid w:val="00D22BEE"/>
    <w:rsid w:val="00D22CE9"/>
    <w:rsid w:val="00D23038"/>
    <w:rsid w:val="00D230B9"/>
    <w:rsid w:val="00D230C8"/>
    <w:rsid w:val="00D2395B"/>
    <w:rsid w:val="00D23C5E"/>
    <w:rsid w:val="00D23D18"/>
    <w:rsid w:val="00D2447C"/>
    <w:rsid w:val="00D244E8"/>
    <w:rsid w:val="00D246F8"/>
    <w:rsid w:val="00D248F5"/>
    <w:rsid w:val="00D253FA"/>
    <w:rsid w:val="00D26A30"/>
    <w:rsid w:val="00D26A6A"/>
    <w:rsid w:val="00D26B89"/>
    <w:rsid w:val="00D26D91"/>
    <w:rsid w:val="00D30614"/>
    <w:rsid w:val="00D30933"/>
    <w:rsid w:val="00D30E9F"/>
    <w:rsid w:val="00D31DDF"/>
    <w:rsid w:val="00D31E0A"/>
    <w:rsid w:val="00D32735"/>
    <w:rsid w:val="00D32A09"/>
    <w:rsid w:val="00D32EF8"/>
    <w:rsid w:val="00D3327A"/>
    <w:rsid w:val="00D3353B"/>
    <w:rsid w:val="00D35199"/>
    <w:rsid w:val="00D3559A"/>
    <w:rsid w:val="00D361FA"/>
    <w:rsid w:val="00D363E2"/>
    <w:rsid w:val="00D36CBC"/>
    <w:rsid w:val="00D36DE4"/>
    <w:rsid w:val="00D36E1B"/>
    <w:rsid w:val="00D3752F"/>
    <w:rsid w:val="00D377D8"/>
    <w:rsid w:val="00D37F1F"/>
    <w:rsid w:val="00D40336"/>
    <w:rsid w:val="00D41B88"/>
    <w:rsid w:val="00D41CE5"/>
    <w:rsid w:val="00D41D48"/>
    <w:rsid w:val="00D421F3"/>
    <w:rsid w:val="00D426AC"/>
    <w:rsid w:val="00D42853"/>
    <w:rsid w:val="00D42BCA"/>
    <w:rsid w:val="00D42C01"/>
    <w:rsid w:val="00D4332B"/>
    <w:rsid w:val="00D43666"/>
    <w:rsid w:val="00D43C5D"/>
    <w:rsid w:val="00D43EA4"/>
    <w:rsid w:val="00D43F98"/>
    <w:rsid w:val="00D444FE"/>
    <w:rsid w:val="00D445DF"/>
    <w:rsid w:val="00D44947"/>
    <w:rsid w:val="00D44C1E"/>
    <w:rsid w:val="00D4518E"/>
    <w:rsid w:val="00D45B28"/>
    <w:rsid w:val="00D46ACC"/>
    <w:rsid w:val="00D46D5A"/>
    <w:rsid w:val="00D46D84"/>
    <w:rsid w:val="00D471A9"/>
    <w:rsid w:val="00D474BA"/>
    <w:rsid w:val="00D47AC6"/>
    <w:rsid w:val="00D47AF0"/>
    <w:rsid w:val="00D47B76"/>
    <w:rsid w:val="00D506C6"/>
    <w:rsid w:val="00D50D53"/>
    <w:rsid w:val="00D513E4"/>
    <w:rsid w:val="00D51411"/>
    <w:rsid w:val="00D51E23"/>
    <w:rsid w:val="00D52612"/>
    <w:rsid w:val="00D52967"/>
    <w:rsid w:val="00D52B2C"/>
    <w:rsid w:val="00D52F14"/>
    <w:rsid w:val="00D530F4"/>
    <w:rsid w:val="00D53A6F"/>
    <w:rsid w:val="00D5414F"/>
    <w:rsid w:val="00D541D2"/>
    <w:rsid w:val="00D54396"/>
    <w:rsid w:val="00D54672"/>
    <w:rsid w:val="00D548A2"/>
    <w:rsid w:val="00D54B33"/>
    <w:rsid w:val="00D54C09"/>
    <w:rsid w:val="00D55342"/>
    <w:rsid w:val="00D5537E"/>
    <w:rsid w:val="00D5551F"/>
    <w:rsid w:val="00D55C0B"/>
    <w:rsid w:val="00D55CE9"/>
    <w:rsid w:val="00D569F9"/>
    <w:rsid w:val="00D56FF8"/>
    <w:rsid w:val="00D570EA"/>
    <w:rsid w:val="00D57189"/>
    <w:rsid w:val="00D57C58"/>
    <w:rsid w:val="00D57F0D"/>
    <w:rsid w:val="00D60E0F"/>
    <w:rsid w:val="00D61712"/>
    <w:rsid w:val="00D61C1F"/>
    <w:rsid w:val="00D61CEA"/>
    <w:rsid w:val="00D628B8"/>
    <w:rsid w:val="00D62D31"/>
    <w:rsid w:val="00D62D46"/>
    <w:rsid w:val="00D62FB6"/>
    <w:rsid w:val="00D63A4C"/>
    <w:rsid w:val="00D63E01"/>
    <w:rsid w:val="00D64101"/>
    <w:rsid w:val="00D64DE7"/>
    <w:rsid w:val="00D64FEB"/>
    <w:rsid w:val="00D6558C"/>
    <w:rsid w:val="00D65937"/>
    <w:rsid w:val="00D65D1A"/>
    <w:rsid w:val="00D66299"/>
    <w:rsid w:val="00D66332"/>
    <w:rsid w:val="00D663E0"/>
    <w:rsid w:val="00D6640D"/>
    <w:rsid w:val="00D66589"/>
    <w:rsid w:val="00D6672C"/>
    <w:rsid w:val="00D670D6"/>
    <w:rsid w:val="00D67424"/>
    <w:rsid w:val="00D6749C"/>
    <w:rsid w:val="00D675E4"/>
    <w:rsid w:val="00D6765B"/>
    <w:rsid w:val="00D67C86"/>
    <w:rsid w:val="00D7015A"/>
    <w:rsid w:val="00D70221"/>
    <w:rsid w:val="00D7023C"/>
    <w:rsid w:val="00D70271"/>
    <w:rsid w:val="00D70783"/>
    <w:rsid w:val="00D71862"/>
    <w:rsid w:val="00D72082"/>
    <w:rsid w:val="00D72110"/>
    <w:rsid w:val="00D72A5C"/>
    <w:rsid w:val="00D72B90"/>
    <w:rsid w:val="00D72CFE"/>
    <w:rsid w:val="00D72E6E"/>
    <w:rsid w:val="00D73539"/>
    <w:rsid w:val="00D74BDA"/>
    <w:rsid w:val="00D74E50"/>
    <w:rsid w:val="00D7520F"/>
    <w:rsid w:val="00D75543"/>
    <w:rsid w:val="00D758E6"/>
    <w:rsid w:val="00D75A83"/>
    <w:rsid w:val="00D7606A"/>
    <w:rsid w:val="00D7694E"/>
    <w:rsid w:val="00D76BFA"/>
    <w:rsid w:val="00D770EA"/>
    <w:rsid w:val="00D7732C"/>
    <w:rsid w:val="00D7756A"/>
    <w:rsid w:val="00D7787D"/>
    <w:rsid w:val="00D80151"/>
    <w:rsid w:val="00D80181"/>
    <w:rsid w:val="00D80544"/>
    <w:rsid w:val="00D807F9"/>
    <w:rsid w:val="00D80AEE"/>
    <w:rsid w:val="00D80E86"/>
    <w:rsid w:val="00D81289"/>
    <w:rsid w:val="00D81C4B"/>
    <w:rsid w:val="00D837AE"/>
    <w:rsid w:val="00D83907"/>
    <w:rsid w:val="00D839C4"/>
    <w:rsid w:val="00D83B31"/>
    <w:rsid w:val="00D83ED6"/>
    <w:rsid w:val="00D8469A"/>
    <w:rsid w:val="00D853EF"/>
    <w:rsid w:val="00D857A2"/>
    <w:rsid w:val="00D85F8C"/>
    <w:rsid w:val="00D8662D"/>
    <w:rsid w:val="00D868CE"/>
    <w:rsid w:val="00D873CB"/>
    <w:rsid w:val="00D90122"/>
    <w:rsid w:val="00D90D63"/>
    <w:rsid w:val="00D91CB1"/>
    <w:rsid w:val="00D91FA5"/>
    <w:rsid w:val="00D92398"/>
    <w:rsid w:val="00D92593"/>
    <w:rsid w:val="00D92D1F"/>
    <w:rsid w:val="00D9359F"/>
    <w:rsid w:val="00D93B72"/>
    <w:rsid w:val="00D941CC"/>
    <w:rsid w:val="00D94381"/>
    <w:rsid w:val="00D94893"/>
    <w:rsid w:val="00D94B90"/>
    <w:rsid w:val="00D950B6"/>
    <w:rsid w:val="00D950CC"/>
    <w:rsid w:val="00D95206"/>
    <w:rsid w:val="00D952B1"/>
    <w:rsid w:val="00D9530B"/>
    <w:rsid w:val="00D959F9"/>
    <w:rsid w:val="00D95C71"/>
    <w:rsid w:val="00D962F4"/>
    <w:rsid w:val="00D9675D"/>
    <w:rsid w:val="00D96A3E"/>
    <w:rsid w:val="00D9794E"/>
    <w:rsid w:val="00D97CC5"/>
    <w:rsid w:val="00DA03F0"/>
    <w:rsid w:val="00DA05C4"/>
    <w:rsid w:val="00DA0956"/>
    <w:rsid w:val="00DA0C47"/>
    <w:rsid w:val="00DA0C8A"/>
    <w:rsid w:val="00DA1BD2"/>
    <w:rsid w:val="00DA1BF1"/>
    <w:rsid w:val="00DA1F4D"/>
    <w:rsid w:val="00DA2194"/>
    <w:rsid w:val="00DA234A"/>
    <w:rsid w:val="00DA2FFE"/>
    <w:rsid w:val="00DA3184"/>
    <w:rsid w:val="00DA326E"/>
    <w:rsid w:val="00DA3283"/>
    <w:rsid w:val="00DA351E"/>
    <w:rsid w:val="00DA3CE7"/>
    <w:rsid w:val="00DA46FE"/>
    <w:rsid w:val="00DA47A5"/>
    <w:rsid w:val="00DA494B"/>
    <w:rsid w:val="00DA49A8"/>
    <w:rsid w:val="00DA501A"/>
    <w:rsid w:val="00DA5398"/>
    <w:rsid w:val="00DA5464"/>
    <w:rsid w:val="00DA586A"/>
    <w:rsid w:val="00DA7387"/>
    <w:rsid w:val="00DA78AF"/>
    <w:rsid w:val="00DB0524"/>
    <w:rsid w:val="00DB1108"/>
    <w:rsid w:val="00DB1727"/>
    <w:rsid w:val="00DB1814"/>
    <w:rsid w:val="00DB1DBC"/>
    <w:rsid w:val="00DB1F60"/>
    <w:rsid w:val="00DB26AB"/>
    <w:rsid w:val="00DB2E03"/>
    <w:rsid w:val="00DB3750"/>
    <w:rsid w:val="00DB44E0"/>
    <w:rsid w:val="00DB472B"/>
    <w:rsid w:val="00DB474D"/>
    <w:rsid w:val="00DB4D0D"/>
    <w:rsid w:val="00DB5171"/>
    <w:rsid w:val="00DB5255"/>
    <w:rsid w:val="00DB5E59"/>
    <w:rsid w:val="00DB5EE8"/>
    <w:rsid w:val="00DB60E6"/>
    <w:rsid w:val="00DB66BB"/>
    <w:rsid w:val="00DB69A7"/>
    <w:rsid w:val="00DB6FCB"/>
    <w:rsid w:val="00DB7370"/>
    <w:rsid w:val="00DB7A30"/>
    <w:rsid w:val="00DB7C83"/>
    <w:rsid w:val="00DB7D63"/>
    <w:rsid w:val="00DB7ECF"/>
    <w:rsid w:val="00DB7F3C"/>
    <w:rsid w:val="00DC0170"/>
    <w:rsid w:val="00DC0210"/>
    <w:rsid w:val="00DC021E"/>
    <w:rsid w:val="00DC077D"/>
    <w:rsid w:val="00DC086B"/>
    <w:rsid w:val="00DC0A7D"/>
    <w:rsid w:val="00DC0AB0"/>
    <w:rsid w:val="00DC1467"/>
    <w:rsid w:val="00DC173C"/>
    <w:rsid w:val="00DC1E3D"/>
    <w:rsid w:val="00DC23A8"/>
    <w:rsid w:val="00DC2533"/>
    <w:rsid w:val="00DC2BB8"/>
    <w:rsid w:val="00DC3274"/>
    <w:rsid w:val="00DC3278"/>
    <w:rsid w:val="00DC35BA"/>
    <w:rsid w:val="00DC4164"/>
    <w:rsid w:val="00DC463B"/>
    <w:rsid w:val="00DC5013"/>
    <w:rsid w:val="00DC51AC"/>
    <w:rsid w:val="00DC584C"/>
    <w:rsid w:val="00DC6AA0"/>
    <w:rsid w:val="00DC7DA5"/>
    <w:rsid w:val="00DD0709"/>
    <w:rsid w:val="00DD0D7F"/>
    <w:rsid w:val="00DD12ED"/>
    <w:rsid w:val="00DD1896"/>
    <w:rsid w:val="00DD19D9"/>
    <w:rsid w:val="00DD19F0"/>
    <w:rsid w:val="00DD29A0"/>
    <w:rsid w:val="00DD3301"/>
    <w:rsid w:val="00DD34FD"/>
    <w:rsid w:val="00DD35DB"/>
    <w:rsid w:val="00DD3D7D"/>
    <w:rsid w:val="00DD405E"/>
    <w:rsid w:val="00DD41DB"/>
    <w:rsid w:val="00DD47FE"/>
    <w:rsid w:val="00DD4923"/>
    <w:rsid w:val="00DD4C67"/>
    <w:rsid w:val="00DD4CCB"/>
    <w:rsid w:val="00DD5B36"/>
    <w:rsid w:val="00DD6133"/>
    <w:rsid w:val="00DD6B21"/>
    <w:rsid w:val="00DD73C1"/>
    <w:rsid w:val="00DD78CF"/>
    <w:rsid w:val="00DD7EAE"/>
    <w:rsid w:val="00DD7F2D"/>
    <w:rsid w:val="00DE06A8"/>
    <w:rsid w:val="00DE1300"/>
    <w:rsid w:val="00DE16AB"/>
    <w:rsid w:val="00DE16CA"/>
    <w:rsid w:val="00DE1953"/>
    <w:rsid w:val="00DE249E"/>
    <w:rsid w:val="00DE28E9"/>
    <w:rsid w:val="00DE3169"/>
    <w:rsid w:val="00DE3BFB"/>
    <w:rsid w:val="00DE3E01"/>
    <w:rsid w:val="00DE3EF3"/>
    <w:rsid w:val="00DE43D6"/>
    <w:rsid w:val="00DE454A"/>
    <w:rsid w:val="00DE4813"/>
    <w:rsid w:val="00DE4BAB"/>
    <w:rsid w:val="00DE4CD4"/>
    <w:rsid w:val="00DE5420"/>
    <w:rsid w:val="00DE5480"/>
    <w:rsid w:val="00DE5A33"/>
    <w:rsid w:val="00DE60C2"/>
    <w:rsid w:val="00DE60E2"/>
    <w:rsid w:val="00DE66DA"/>
    <w:rsid w:val="00DE67FF"/>
    <w:rsid w:val="00DE7233"/>
    <w:rsid w:val="00DE75A7"/>
    <w:rsid w:val="00DE7712"/>
    <w:rsid w:val="00DE7A3E"/>
    <w:rsid w:val="00DE7BA6"/>
    <w:rsid w:val="00DE7DD1"/>
    <w:rsid w:val="00DF005E"/>
    <w:rsid w:val="00DF09D3"/>
    <w:rsid w:val="00DF0B72"/>
    <w:rsid w:val="00DF237C"/>
    <w:rsid w:val="00DF2506"/>
    <w:rsid w:val="00DF3203"/>
    <w:rsid w:val="00DF376E"/>
    <w:rsid w:val="00DF39A3"/>
    <w:rsid w:val="00DF3B2C"/>
    <w:rsid w:val="00DF3C80"/>
    <w:rsid w:val="00DF4350"/>
    <w:rsid w:val="00DF54C9"/>
    <w:rsid w:val="00DF5880"/>
    <w:rsid w:val="00DF5AF2"/>
    <w:rsid w:val="00DF61B1"/>
    <w:rsid w:val="00DF62DA"/>
    <w:rsid w:val="00DF63BC"/>
    <w:rsid w:val="00DF675A"/>
    <w:rsid w:val="00DF6893"/>
    <w:rsid w:val="00DF69D8"/>
    <w:rsid w:val="00DF76C8"/>
    <w:rsid w:val="00DF7C53"/>
    <w:rsid w:val="00DF7C76"/>
    <w:rsid w:val="00E009E6"/>
    <w:rsid w:val="00E00AC1"/>
    <w:rsid w:val="00E00C58"/>
    <w:rsid w:val="00E00CBC"/>
    <w:rsid w:val="00E01138"/>
    <w:rsid w:val="00E017B9"/>
    <w:rsid w:val="00E01AC5"/>
    <w:rsid w:val="00E0229F"/>
    <w:rsid w:val="00E024EC"/>
    <w:rsid w:val="00E02883"/>
    <w:rsid w:val="00E03054"/>
    <w:rsid w:val="00E03142"/>
    <w:rsid w:val="00E03A18"/>
    <w:rsid w:val="00E03C5A"/>
    <w:rsid w:val="00E03CD7"/>
    <w:rsid w:val="00E0445F"/>
    <w:rsid w:val="00E05150"/>
    <w:rsid w:val="00E05433"/>
    <w:rsid w:val="00E05584"/>
    <w:rsid w:val="00E05A50"/>
    <w:rsid w:val="00E06095"/>
    <w:rsid w:val="00E060CA"/>
    <w:rsid w:val="00E066E4"/>
    <w:rsid w:val="00E0695E"/>
    <w:rsid w:val="00E06BA4"/>
    <w:rsid w:val="00E06F8B"/>
    <w:rsid w:val="00E079F6"/>
    <w:rsid w:val="00E07CB6"/>
    <w:rsid w:val="00E07FF6"/>
    <w:rsid w:val="00E10180"/>
    <w:rsid w:val="00E10286"/>
    <w:rsid w:val="00E10CAB"/>
    <w:rsid w:val="00E11335"/>
    <w:rsid w:val="00E11D78"/>
    <w:rsid w:val="00E11D8F"/>
    <w:rsid w:val="00E121E1"/>
    <w:rsid w:val="00E123F5"/>
    <w:rsid w:val="00E12766"/>
    <w:rsid w:val="00E128B2"/>
    <w:rsid w:val="00E13140"/>
    <w:rsid w:val="00E13510"/>
    <w:rsid w:val="00E135F0"/>
    <w:rsid w:val="00E13AC5"/>
    <w:rsid w:val="00E13D1B"/>
    <w:rsid w:val="00E13FB6"/>
    <w:rsid w:val="00E13FE7"/>
    <w:rsid w:val="00E14045"/>
    <w:rsid w:val="00E14A3D"/>
    <w:rsid w:val="00E14CF2"/>
    <w:rsid w:val="00E14D21"/>
    <w:rsid w:val="00E14E2B"/>
    <w:rsid w:val="00E14F4C"/>
    <w:rsid w:val="00E14FD2"/>
    <w:rsid w:val="00E15389"/>
    <w:rsid w:val="00E159D9"/>
    <w:rsid w:val="00E1661D"/>
    <w:rsid w:val="00E167D1"/>
    <w:rsid w:val="00E20A76"/>
    <w:rsid w:val="00E20F2E"/>
    <w:rsid w:val="00E20FE7"/>
    <w:rsid w:val="00E215C4"/>
    <w:rsid w:val="00E2237F"/>
    <w:rsid w:val="00E223E9"/>
    <w:rsid w:val="00E22906"/>
    <w:rsid w:val="00E2310B"/>
    <w:rsid w:val="00E239B0"/>
    <w:rsid w:val="00E23C4B"/>
    <w:rsid w:val="00E23EFB"/>
    <w:rsid w:val="00E242C8"/>
    <w:rsid w:val="00E248D6"/>
    <w:rsid w:val="00E25040"/>
    <w:rsid w:val="00E258AB"/>
    <w:rsid w:val="00E259B6"/>
    <w:rsid w:val="00E268D3"/>
    <w:rsid w:val="00E27C3A"/>
    <w:rsid w:val="00E30182"/>
    <w:rsid w:val="00E30291"/>
    <w:rsid w:val="00E302B9"/>
    <w:rsid w:val="00E306E4"/>
    <w:rsid w:val="00E308D4"/>
    <w:rsid w:val="00E30974"/>
    <w:rsid w:val="00E30A94"/>
    <w:rsid w:val="00E316D0"/>
    <w:rsid w:val="00E31B03"/>
    <w:rsid w:val="00E32152"/>
    <w:rsid w:val="00E340D6"/>
    <w:rsid w:val="00E34927"/>
    <w:rsid w:val="00E34972"/>
    <w:rsid w:val="00E34ABB"/>
    <w:rsid w:val="00E35ABA"/>
    <w:rsid w:val="00E35B15"/>
    <w:rsid w:val="00E3648D"/>
    <w:rsid w:val="00E364B2"/>
    <w:rsid w:val="00E36E94"/>
    <w:rsid w:val="00E3701D"/>
    <w:rsid w:val="00E371D1"/>
    <w:rsid w:val="00E37C0D"/>
    <w:rsid w:val="00E40016"/>
    <w:rsid w:val="00E403F5"/>
    <w:rsid w:val="00E40637"/>
    <w:rsid w:val="00E406DC"/>
    <w:rsid w:val="00E40DB1"/>
    <w:rsid w:val="00E40DE5"/>
    <w:rsid w:val="00E413E2"/>
    <w:rsid w:val="00E414EF"/>
    <w:rsid w:val="00E4169F"/>
    <w:rsid w:val="00E41DD8"/>
    <w:rsid w:val="00E41E64"/>
    <w:rsid w:val="00E4205B"/>
    <w:rsid w:val="00E42759"/>
    <w:rsid w:val="00E42FBC"/>
    <w:rsid w:val="00E43A1E"/>
    <w:rsid w:val="00E43A54"/>
    <w:rsid w:val="00E43C49"/>
    <w:rsid w:val="00E43E9B"/>
    <w:rsid w:val="00E4546E"/>
    <w:rsid w:val="00E47172"/>
    <w:rsid w:val="00E47AE9"/>
    <w:rsid w:val="00E47AFD"/>
    <w:rsid w:val="00E47B95"/>
    <w:rsid w:val="00E47BB5"/>
    <w:rsid w:val="00E47D26"/>
    <w:rsid w:val="00E500E2"/>
    <w:rsid w:val="00E5021A"/>
    <w:rsid w:val="00E5042F"/>
    <w:rsid w:val="00E50CCF"/>
    <w:rsid w:val="00E50CE9"/>
    <w:rsid w:val="00E50D74"/>
    <w:rsid w:val="00E51439"/>
    <w:rsid w:val="00E514A9"/>
    <w:rsid w:val="00E514EF"/>
    <w:rsid w:val="00E519A1"/>
    <w:rsid w:val="00E51AD1"/>
    <w:rsid w:val="00E51EA5"/>
    <w:rsid w:val="00E5208E"/>
    <w:rsid w:val="00E5255E"/>
    <w:rsid w:val="00E52694"/>
    <w:rsid w:val="00E526D2"/>
    <w:rsid w:val="00E535F1"/>
    <w:rsid w:val="00E54314"/>
    <w:rsid w:val="00E54C04"/>
    <w:rsid w:val="00E5517C"/>
    <w:rsid w:val="00E563CC"/>
    <w:rsid w:val="00E564F9"/>
    <w:rsid w:val="00E56B5F"/>
    <w:rsid w:val="00E56D55"/>
    <w:rsid w:val="00E56EF8"/>
    <w:rsid w:val="00E57029"/>
    <w:rsid w:val="00E5721D"/>
    <w:rsid w:val="00E575F9"/>
    <w:rsid w:val="00E5784E"/>
    <w:rsid w:val="00E57E46"/>
    <w:rsid w:val="00E57E65"/>
    <w:rsid w:val="00E57F1B"/>
    <w:rsid w:val="00E6006E"/>
    <w:rsid w:val="00E60201"/>
    <w:rsid w:val="00E60428"/>
    <w:rsid w:val="00E606D4"/>
    <w:rsid w:val="00E60D0B"/>
    <w:rsid w:val="00E61716"/>
    <w:rsid w:val="00E61AB2"/>
    <w:rsid w:val="00E61FA0"/>
    <w:rsid w:val="00E620A7"/>
    <w:rsid w:val="00E622FD"/>
    <w:rsid w:val="00E6247D"/>
    <w:rsid w:val="00E62745"/>
    <w:rsid w:val="00E62B7E"/>
    <w:rsid w:val="00E63590"/>
    <w:rsid w:val="00E635E8"/>
    <w:rsid w:val="00E63EF9"/>
    <w:rsid w:val="00E64181"/>
    <w:rsid w:val="00E6420F"/>
    <w:rsid w:val="00E6457E"/>
    <w:rsid w:val="00E64A2D"/>
    <w:rsid w:val="00E64C9F"/>
    <w:rsid w:val="00E65024"/>
    <w:rsid w:val="00E651C9"/>
    <w:rsid w:val="00E65315"/>
    <w:rsid w:val="00E65A10"/>
    <w:rsid w:val="00E66854"/>
    <w:rsid w:val="00E66F47"/>
    <w:rsid w:val="00E6719A"/>
    <w:rsid w:val="00E67525"/>
    <w:rsid w:val="00E675D8"/>
    <w:rsid w:val="00E67868"/>
    <w:rsid w:val="00E6798B"/>
    <w:rsid w:val="00E7014F"/>
    <w:rsid w:val="00E7020F"/>
    <w:rsid w:val="00E703C5"/>
    <w:rsid w:val="00E70752"/>
    <w:rsid w:val="00E70FCE"/>
    <w:rsid w:val="00E71608"/>
    <w:rsid w:val="00E71CD6"/>
    <w:rsid w:val="00E721BB"/>
    <w:rsid w:val="00E723D6"/>
    <w:rsid w:val="00E726BE"/>
    <w:rsid w:val="00E728BC"/>
    <w:rsid w:val="00E72E23"/>
    <w:rsid w:val="00E73095"/>
    <w:rsid w:val="00E73304"/>
    <w:rsid w:val="00E73434"/>
    <w:rsid w:val="00E737D1"/>
    <w:rsid w:val="00E73A3C"/>
    <w:rsid w:val="00E73C6E"/>
    <w:rsid w:val="00E74043"/>
    <w:rsid w:val="00E7411C"/>
    <w:rsid w:val="00E74977"/>
    <w:rsid w:val="00E74BE7"/>
    <w:rsid w:val="00E74E88"/>
    <w:rsid w:val="00E75125"/>
    <w:rsid w:val="00E76525"/>
    <w:rsid w:val="00E766F4"/>
    <w:rsid w:val="00E766FF"/>
    <w:rsid w:val="00E76E20"/>
    <w:rsid w:val="00E77C26"/>
    <w:rsid w:val="00E77CC2"/>
    <w:rsid w:val="00E77DDD"/>
    <w:rsid w:val="00E800A4"/>
    <w:rsid w:val="00E80AC8"/>
    <w:rsid w:val="00E80EAE"/>
    <w:rsid w:val="00E81EFD"/>
    <w:rsid w:val="00E822B4"/>
    <w:rsid w:val="00E82B1F"/>
    <w:rsid w:val="00E832D6"/>
    <w:rsid w:val="00E83735"/>
    <w:rsid w:val="00E83792"/>
    <w:rsid w:val="00E83C59"/>
    <w:rsid w:val="00E83E6E"/>
    <w:rsid w:val="00E847C4"/>
    <w:rsid w:val="00E84B22"/>
    <w:rsid w:val="00E84F91"/>
    <w:rsid w:val="00E851D5"/>
    <w:rsid w:val="00E852EB"/>
    <w:rsid w:val="00E85CD2"/>
    <w:rsid w:val="00E85D5E"/>
    <w:rsid w:val="00E85DD1"/>
    <w:rsid w:val="00E860EB"/>
    <w:rsid w:val="00E86591"/>
    <w:rsid w:val="00E8659A"/>
    <w:rsid w:val="00E87755"/>
    <w:rsid w:val="00E87A96"/>
    <w:rsid w:val="00E90246"/>
    <w:rsid w:val="00E9043C"/>
    <w:rsid w:val="00E904A6"/>
    <w:rsid w:val="00E90BB5"/>
    <w:rsid w:val="00E90CAC"/>
    <w:rsid w:val="00E91E20"/>
    <w:rsid w:val="00E92083"/>
    <w:rsid w:val="00E92505"/>
    <w:rsid w:val="00E92B42"/>
    <w:rsid w:val="00E93BB6"/>
    <w:rsid w:val="00E93C3C"/>
    <w:rsid w:val="00E94964"/>
    <w:rsid w:val="00E94AF0"/>
    <w:rsid w:val="00E94E46"/>
    <w:rsid w:val="00E959ED"/>
    <w:rsid w:val="00E961CE"/>
    <w:rsid w:val="00E96AB4"/>
    <w:rsid w:val="00E97A02"/>
    <w:rsid w:val="00E97AC9"/>
    <w:rsid w:val="00E97C63"/>
    <w:rsid w:val="00EA06B5"/>
    <w:rsid w:val="00EA06CA"/>
    <w:rsid w:val="00EA073F"/>
    <w:rsid w:val="00EA07BE"/>
    <w:rsid w:val="00EA0892"/>
    <w:rsid w:val="00EA0B7F"/>
    <w:rsid w:val="00EA0C3F"/>
    <w:rsid w:val="00EA18A6"/>
    <w:rsid w:val="00EA1915"/>
    <w:rsid w:val="00EA1A5A"/>
    <w:rsid w:val="00EA226A"/>
    <w:rsid w:val="00EA24EB"/>
    <w:rsid w:val="00EA29F2"/>
    <w:rsid w:val="00EA3069"/>
    <w:rsid w:val="00EA38ED"/>
    <w:rsid w:val="00EA3928"/>
    <w:rsid w:val="00EA3BCE"/>
    <w:rsid w:val="00EA3E49"/>
    <w:rsid w:val="00EA3EBC"/>
    <w:rsid w:val="00EA3F64"/>
    <w:rsid w:val="00EA464F"/>
    <w:rsid w:val="00EA46A0"/>
    <w:rsid w:val="00EA485A"/>
    <w:rsid w:val="00EA4A51"/>
    <w:rsid w:val="00EA5D35"/>
    <w:rsid w:val="00EA5EFF"/>
    <w:rsid w:val="00EA6021"/>
    <w:rsid w:val="00EA6C4C"/>
    <w:rsid w:val="00EA6D32"/>
    <w:rsid w:val="00EA6D9C"/>
    <w:rsid w:val="00EA7304"/>
    <w:rsid w:val="00EA74E3"/>
    <w:rsid w:val="00EA782F"/>
    <w:rsid w:val="00EA7F11"/>
    <w:rsid w:val="00EB012C"/>
    <w:rsid w:val="00EB0185"/>
    <w:rsid w:val="00EB0FD3"/>
    <w:rsid w:val="00EB1183"/>
    <w:rsid w:val="00EB11E3"/>
    <w:rsid w:val="00EB1215"/>
    <w:rsid w:val="00EB1321"/>
    <w:rsid w:val="00EB13E7"/>
    <w:rsid w:val="00EB1495"/>
    <w:rsid w:val="00EB1CDE"/>
    <w:rsid w:val="00EB262E"/>
    <w:rsid w:val="00EB2CCD"/>
    <w:rsid w:val="00EB34CE"/>
    <w:rsid w:val="00EB387A"/>
    <w:rsid w:val="00EB4081"/>
    <w:rsid w:val="00EB419D"/>
    <w:rsid w:val="00EB433B"/>
    <w:rsid w:val="00EB4936"/>
    <w:rsid w:val="00EB4DC0"/>
    <w:rsid w:val="00EB60D2"/>
    <w:rsid w:val="00EB6154"/>
    <w:rsid w:val="00EB713B"/>
    <w:rsid w:val="00EB74DB"/>
    <w:rsid w:val="00EB76D3"/>
    <w:rsid w:val="00EB77DC"/>
    <w:rsid w:val="00EB7BB3"/>
    <w:rsid w:val="00EB7E98"/>
    <w:rsid w:val="00EC0A7F"/>
    <w:rsid w:val="00EC0F4B"/>
    <w:rsid w:val="00EC10ED"/>
    <w:rsid w:val="00EC1386"/>
    <w:rsid w:val="00EC145F"/>
    <w:rsid w:val="00EC16B8"/>
    <w:rsid w:val="00EC16C6"/>
    <w:rsid w:val="00EC1864"/>
    <w:rsid w:val="00EC189A"/>
    <w:rsid w:val="00EC2949"/>
    <w:rsid w:val="00EC2A41"/>
    <w:rsid w:val="00EC3031"/>
    <w:rsid w:val="00EC3C8E"/>
    <w:rsid w:val="00EC3D3C"/>
    <w:rsid w:val="00EC3ED6"/>
    <w:rsid w:val="00EC3FAC"/>
    <w:rsid w:val="00EC432F"/>
    <w:rsid w:val="00EC4592"/>
    <w:rsid w:val="00EC47F6"/>
    <w:rsid w:val="00EC4D3C"/>
    <w:rsid w:val="00EC557C"/>
    <w:rsid w:val="00EC65B9"/>
    <w:rsid w:val="00EC6633"/>
    <w:rsid w:val="00EC6C63"/>
    <w:rsid w:val="00EC70B0"/>
    <w:rsid w:val="00EC727A"/>
    <w:rsid w:val="00ED074E"/>
    <w:rsid w:val="00ED078B"/>
    <w:rsid w:val="00ED0848"/>
    <w:rsid w:val="00ED0C48"/>
    <w:rsid w:val="00ED1BE5"/>
    <w:rsid w:val="00ED1DAA"/>
    <w:rsid w:val="00ED1FB9"/>
    <w:rsid w:val="00ED2579"/>
    <w:rsid w:val="00ED2B41"/>
    <w:rsid w:val="00ED2CDD"/>
    <w:rsid w:val="00ED3178"/>
    <w:rsid w:val="00ED3708"/>
    <w:rsid w:val="00ED3A55"/>
    <w:rsid w:val="00ED3EE2"/>
    <w:rsid w:val="00ED4B40"/>
    <w:rsid w:val="00ED4D07"/>
    <w:rsid w:val="00ED509A"/>
    <w:rsid w:val="00ED5166"/>
    <w:rsid w:val="00ED5637"/>
    <w:rsid w:val="00ED58F4"/>
    <w:rsid w:val="00ED5916"/>
    <w:rsid w:val="00ED69A4"/>
    <w:rsid w:val="00ED6C52"/>
    <w:rsid w:val="00ED7035"/>
    <w:rsid w:val="00ED788C"/>
    <w:rsid w:val="00ED7A34"/>
    <w:rsid w:val="00EE05BF"/>
    <w:rsid w:val="00EE08E8"/>
    <w:rsid w:val="00EE0E4A"/>
    <w:rsid w:val="00EE1690"/>
    <w:rsid w:val="00EE1D30"/>
    <w:rsid w:val="00EE1FE5"/>
    <w:rsid w:val="00EE2E77"/>
    <w:rsid w:val="00EE2EC3"/>
    <w:rsid w:val="00EE3945"/>
    <w:rsid w:val="00EE3E02"/>
    <w:rsid w:val="00EE3E0A"/>
    <w:rsid w:val="00EE40F5"/>
    <w:rsid w:val="00EE42CF"/>
    <w:rsid w:val="00EE4607"/>
    <w:rsid w:val="00EE478A"/>
    <w:rsid w:val="00EE47BF"/>
    <w:rsid w:val="00EE4D08"/>
    <w:rsid w:val="00EE5067"/>
    <w:rsid w:val="00EE5591"/>
    <w:rsid w:val="00EE56DC"/>
    <w:rsid w:val="00EE59BC"/>
    <w:rsid w:val="00EE5C34"/>
    <w:rsid w:val="00EE67D8"/>
    <w:rsid w:val="00EE6EFD"/>
    <w:rsid w:val="00EE716C"/>
    <w:rsid w:val="00EE7C81"/>
    <w:rsid w:val="00EE7FED"/>
    <w:rsid w:val="00EF14DE"/>
    <w:rsid w:val="00EF15D0"/>
    <w:rsid w:val="00EF1875"/>
    <w:rsid w:val="00EF18E9"/>
    <w:rsid w:val="00EF1E02"/>
    <w:rsid w:val="00EF1ECF"/>
    <w:rsid w:val="00EF1F20"/>
    <w:rsid w:val="00EF2848"/>
    <w:rsid w:val="00EF2883"/>
    <w:rsid w:val="00EF2FC1"/>
    <w:rsid w:val="00EF3EE9"/>
    <w:rsid w:val="00EF41A6"/>
    <w:rsid w:val="00EF424A"/>
    <w:rsid w:val="00EF43B7"/>
    <w:rsid w:val="00EF450A"/>
    <w:rsid w:val="00EF4529"/>
    <w:rsid w:val="00EF4551"/>
    <w:rsid w:val="00EF45C0"/>
    <w:rsid w:val="00EF4CF6"/>
    <w:rsid w:val="00EF4DDC"/>
    <w:rsid w:val="00EF558B"/>
    <w:rsid w:val="00EF5A36"/>
    <w:rsid w:val="00EF5A3F"/>
    <w:rsid w:val="00EF5E2C"/>
    <w:rsid w:val="00EF6511"/>
    <w:rsid w:val="00EF65A7"/>
    <w:rsid w:val="00EF669D"/>
    <w:rsid w:val="00EF6B88"/>
    <w:rsid w:val="00EF7466"/>
    <w:rsid w:val="00EF7938"/>
    <w:rsid w:val="00EF7AF8"/>
    <w:rsid w:val="00F00536"/>
    <w:rsid w:val="00F00BB1"/>
    <w:rsid w:val="00F01000"/>
    <w:rsid w:val="00F01C68"/>
    <w:rsid w:val="00F0244A"/>
    <w:rsid w:val="00F0248D"/>
    <w:rsid w:val="00F02535"/>
    <w:rsid w:val="00F02583"/>
    <w:rsid w:val="00F02F9F"/>
    <w:rsid w:val="00F03D0B"/>
    <w:rsid w:val="00F03F1D"/>
    <w:rsid w:val="00F040AF"/>
    <w:rsid w:val="00F041D6"/>
    <w:rsid w:val="00F047BC"/>
    <w:rsid w:val="00F04CDF"/>
    <w:rsid w:val="00F04FFE"/>
    <w:rsid w:val="00F05262"/>
    <w:rsid w:val="00F05314"/>
    <w:rsid w:val="00F05D64"/>
    <w:rsid w:val="00F06581"/>
    <w:rsid w:val="00F065B4"/>
    <w:rsid w:val="00F06A20"/>
    <w:rsid w:val="00F06DC5"/>
    <w:rsid w:val="00F06F56"/>
    <w:rsid w:val="00F074CF"/>
    <w:rsid w:val="00F0758F"/>
    <w:rsid w:val="00F07BF4"/>
    <w:rsid w:val="00F10E3B"/>
    <w:rsid w:val="00F110E6"/>
    <w:rsid w:val="00F1127E"/>
    <w:rsid w:val="00F1178C"/>
    <w:rsid w:val="00F118F7"/>
    <w:rsid w:val="00F11D03"/>
    <w:rsid w:val="00F11FFF"/>
    <w:rsid w:val="00F121F6"/>
    <w:rsid w:val="00F125E7"/>
    <w:rsid w:val="00F12F2F"/>
    <w:rsid w:val="00F12F98"/>
    <w:rsid w:val="00F13551"/>
    <w:rsid w:val="00F13FDC"/>
    <w:rsid w:val="00F14CF0"/>
    <w:rsid w:val="00F14EA5"/>
    <w:rsid w:val="00F15C28"/>
    <w:rsid w:val="00F161A8"/>
    <w:rsid w:val="00F16B99"/>
    <w:rsid w:val="00F16DBF"/>
    <w:rsid w:val="00F16EDA"/>
    <w:rsid w:val="00F16F22"/>
    <w:rsid w:val="00F17F05"/>
    <w:rsid w:val="00F17F71"/>
    <w:rsid w:val="00F201D5"/>
    <w:rsid w:val="00F20306"/>
    <w:rsid w:val="00F20735"/>
    <w:rsid w:val="00F208AB"/>
    <w:rsid w:val="00F21CD0"/>
    <w:rsid w:val="00F21F6A"/>
    <w:rsid w:val="00F224EB"/>
    <w:rsid w:val="00F22BAD"/>
    <w:rsid w:val="00F239A4"/>
    <w:rsid w:val="00F23A01"/>
    <w:rsid w:val="00F23BB5"/>
    <w:rsid w:val="00F23C35"/>
    <w:rsid w:val="00F24079"/>
    <w:rsid w:val="00F24707"/>
    <w:rsid w:val="00F248D4"/>
    <w:rsid w:val="00F2534B"/>
    <w:rsid w:val="00F2576F"/>
    <w:rsid w:val="00F261EA"/>
    <w:rsid w:val="00F2632D"/>
    <w:rsid w:val="00F264EE"/>
    <w:rsid w:val="00F268BB"/>
    <w:rsid w:val="00F26955"/>
    <w:rsid w:val="00F26EE2"/>
    <w:rsid w:val="00F27036"/>
    <w:rsid w:val="00F27860"/>
    <w:rsid w:val="00F27912"/>
    <w:rsid w:val="00F27918"/>
    <w:rsid w:val="00F27C19"/>
    <w:rsid w:val="00F304F0"/>
    <w:rsid w:val="00F30634"/>
    <w:rsid w:val="00F306F4"/>
    <w:rsid w:val="00F30B4A"/>
    <w:rsid w:val="00F30CC0"/>
    <w:rsid w:val="00F311F2"/>
    <w:rsid w:val="00F3161E"/>
    <w:rsid w:val="00F319C8"/>
    <w:rsid w:val="00F31D00"/>
    <w:rsid w:val="00F31DEF"/>
    <w:rsid w:val="00F3274B"/>
    <w:rsid w:val="00F32AC6"/>
    <w:rsid w:val="00F32B97"/>
    <w:rsid w:val="00F331BB"/>
    <w:rsid w:val="00F33B8D"/>
    <w:rsid w:val="00F348DA"/>
    <w:rsid w:val="00F34DB3"/>
    <w:rsid w:val="00F352CE"/>
    <w:rsid w:val="00F355F7"/>
    <w:rsid w:val="00F35828"/>
    <w:rsid w:val="00F36023"/>
    <w:rsid w:val="00F36B2B"/>
    <w:rsid w:val="00F372A0"/>
    <w:rsid w:val="00F37EF6"/>
    <w:rsid w:val="00F405C6"/>
    <w:rsid w:val="00F40781"/>
    <w:rsid w:val="00F40C6F"/>
    <w:rsid w:val="00F40ED0"/>
    <w:rsid w:val="00F412AF"/>
    <w:rsid w:val="00F415B1"/>
    <w:rsid w:val="00F421B6"/>
    <w:rsid w:val="00F421F1"/>
    <w:rsid w:val="00F424FE"/>
    <w:rsid w:val="00F4278B"/>
    <w:rsid w:val="00F42989"/>
    <w:rsid w:val="00F42A7F"/>
    <w:rsid w:val="00F42ACA"/>
    <w:rsid w:val="00F42C30"/>
    <w:rsid w:val="00F42EA4"/>
    <w:rsid w:val="00F42F5B"/>
    <w:rsid w:val="00F436DA"/>
    <w:rsid w:val="00F43876"/>
    <w:rsid w:val="00F445FC"/>
    <w:rsid w:val="00F44616"/>
    <w:rsid w:val="00F449FC"/>
    <w:rsid w:val="00F44AD7"/>
    <w:rsid w:val="00F44FD8"/>
    <w:rsid w:val="00F451A1"/>
    <w:rsid w:val="00F45638"/>
    <w:rsid w:val="00F45948"/>
    <w:rsid w:val="00F46552"/>
    <w:rsid w:val="00F46684"/>
    <w:rsid w:val="00F46D53"/>
    <w:rsid w:val="00F46F47"/>
    <w:rsid w:val="00F47266"/>
    <w:rsid w:val="00F475D4"/>
    <w:rsid w:val="00F479B5"/>
    <w:rsid w:val="00F5020B"/>
    <w:rsid w:val="00F5029E"/>
    <w:rsid w:val="00F507ED"/>
    <w:rsid w:val="00F514B2"/>
    <w:rsid w:val="00F52991"/>
    <w:rsid w:val="00F52A3A"/>
    <w:rsid w:val="00F530B8"/>
    <w:rsid w:val="00F5415C"/>
    <w:rsid w:val="00F5467E"/>
    <w:rsid w:val="00F54A8C"/>
    <w:rsid w:val="00F55669"/>
    <w:rsid w:val="00F55949"/>
    <w:rsid w:val="00F55D06"/>
    <w:rsid w:val="00F56A95"/>
    <w:rsid w:val="00F56E8F"/>
    <w:rsid w:val="00F5711B"/>
    <w:rsid w:val="00F60000"/>
    <w:rsid w:val="00F600E5"/>
    <w:rsid w:val="00F606AC"/>
    <w:rsid w:val="00F6081C"/>
    <w:rsid w:val="00F608B7"/>
    <w:rsid w:val="00F60A59"/>
    <w:rsid w:val="00F60FDF"/>
    <w:rsid w:val="00F61088"/>
    <w:rsid w:val="00F61404"/>
    <w:rsid w:val="00F61457"/>
    <w:rsid w:val="00F6185F"/>
    <w:rsid w:val="00F64586"/>
    <w:rsid w:val="00F64B1B"/>
    <w:rsid w:val="00F64F7F"/>
    <w:rsid w:val="00F64FE2"/>
    <w:rsid w:val="00F65585"/>
    <w:rsid w:val="00F66932"/>
    <w:rsid w:val="00F669D5"/>
    <w:rsid w:val="00F67246"/>
    <w:rsid w:val="00F672FA"/>
    <w:rsid w:val="00F67533"/>
    <w:rsid w:val="00F67994"/>
    <w:rsid w:val="00F67B07"/>
    <w:rsid w:val="00F67D60"/>
    <w:rsid w:val="00F703A3"/>
    <w:rsid w:val="00F70F92"/>
    <w:rsid w:val="00F71338"/>
    <w:rsid w:val="00F71405"/>
    <w:rsid w:val="00F71BAF"/>
    <w:rsid w:val="00F71FE9"/>
    <w:rsid w:val="00F72E08"/>
    <w:rsid w:val="00F735B6"/>
    <w:rsid w:val="00F7365E"/>
    <w:rsid w:val="00F74451"/>
    <w:rsid w:val="00F7541B"/>
    <w:rsid w:val="00F754C0"/>
    <w:rsid w:val="00F75C30"/>
    <w:rsid w:val="00F7602C"/>
    <w:rsid w:val="00F772C9"/>
    <w:rsid w:val="00F77A3D"/>
    <w:rsid w:val="00F77ACA"/>
    <w:rsid w:val="00F77D4B"/>
    <w:rsid w:val="00F77DBF"/>
    <w:rsid w:val="00F77F37"/>
    <w:rsid w:val="00F805C9"/>
    <w:rsid w:val="00F81225"/>
    <w:rsid w:val="00F8143B"/>
    <w:rsid w:val="00F814B7"/>
    <w:rsid w:val="00F8174B"/>
    <w:rsid w:val="00F8181E"/>
    <w:rsid w:val="00F822A5"/>
    <w:rsid w:val="00F82300"/>
    <w:rsid w:val="00F824D4"/>
    <w:rsid w:val="00F8253B"/>
    <w:rsid w:val="00F8255A"/>
    <w:rsid w:val="00F82A13"/>
    <w:rsid w:val="00F83463"/>
    <w:rsid w:val="00F83500"/>
    <w:rsid w:val="00F83D9C"/>
    <w:rsid w:val="00F8457D"/>
    <w:rsid w:val="00F84998"/>
    <w:rsid w:val="00F849FB"/>
    <w:rsid w:val="00F84B2A"/>
    <w:rsid w:val="00F84CC2"/>
    <w:rsid w:val="00F84CFE"/>
    <w:rsid w:val="00F85366"/>
    <w:rsid w:val="00F8563E"/>
    <w:rsid w:val="00F85C84"/>
    <w:rsid w:val="00F85C8B"/>
    <w:rsid w:val="00F85D4E"/>
    <w:rsid w:val="00F85E1B"/>
    <w:rsid w:val="00F86387"/>
    <w:rsid w:val="00F86800"/>
    <w:rsid w:val="00F869E1"/>
    <w:rsid w:val="00F86E0A"/>
    <w:rsid w:val="00F874B0"/>
    <w:rsid w:val="00F8770B"/>
    <w:rsid w:val="00F87CB7"/>
    <w:rsid w:val="00F906EC"/>
    <w:rsid w:val="00F90CA8"/>
    <w:rsid w:val="00F90D97"/>
    <w:rsid w:val="00F914FA"/>
    <w:rsid w:val="00F91681"/>
    <w:rsid w:val="00F91D88"/>
    <w:rsid w:val="00F91F54"/>
    <w:rsid w:val="00F91F6B"/>
    <w:rsid w:val="00F9250F"/>
    <w:rsid w:val="00F927A7"/>
    <w:rsid w:val="00F93094"/>
    <w:rsid w:val="00F930BE"/>
    <w:rsid w:val="00F9342B"/>
    <w:rsid w:val="00F93A93"/>
    <w:rsid w:val="00F93CFD"/>
    <w:rsid w:val="00F93E60"/>
    <w:rsid w:val="00F94248"/>
    <w:rsid w:val="00F94251"/>
    <w:rsid w:val="00F944BA"/>
    <w:rsid w:val="00F946BA"/>
    <w:rsid w:val="00F947BD"/>
    <w:rsid w:val="00F94C9B"/>
    <w:rsid w:val="00F94EDF"/>
    <w:rsid w:val="00F94FE6"/>
    <w:rsid w:val="00F95479"/>
    <w:rsid w:val="00F95CC0"/>
    <w:rsid w:val="00F96022"/>
    <w:rsid w:val="00F9620C"/>
    <w:rsid w:val="00F96211"/>
    <w:rsid w:val="00F96B11"/>
    <w:rsid w:val="00F96B83"/>
    <w:rsid w:val="00F9737A"/>
    <w:rsid w:val="00F977D4"/>
    <w:rsid w:val="00F97BB7"/>
    <w:rsid w:val="00FA0276"/>
    <w:rsid w:val="00FA0810"/>
    <w:rsid w:val="00FA0A2A"/>
    <w:rsid w:val="00FA1923"/>
    <w:rsid w:val="00FA26C4"/>
    <w:rsid w:val="00FA280D"/>
    <w:rsid w:val="00FA2A25"/>
    <w:rsid w:val="00FA2AD7"/>
    <w:rsid w:val="00FA2E7F"/>
    <w:rsid w:val="00FA2EE2"/>
    <w:rsid w:val="00FA2EF1"/>
    <w:rsid w:val="00FA2F17"/>
    <w:rsid w:val="00FA30D1"/>
    <w:rsid w:val="00FA3665"/>
    <w:rsid w:val="00FA4080"/>
    <w:rsid w:val="00FA43F2"/>
    <w:rsid w:val="00FA4402"/>
    <w:rsid w:val="00FA457B"/>
    <w:rsid w:val="00FA4AB2"/>
    <w:rsid w:val="00FA53D9"/>
    <w:rsid w:val="00FA5658"/>
    <w:rsid w:val="00FA5A0B"/>
    <w:rsid w:val="00FA5A30"/>
    <w:rsid w:val="00FA5B18"/>
    <w:rsid w:val="00FA66C9"/>
    <w:rsid w:val="00FA6777"/>
    <w:rsid w:val="00FA6790"/>
    <w:rsid w:val="00FA70E5"/>
    <w:rsid w:val="00FA786D"/>
    <w:rsid w:val="00FA7B36"/>
    <w:rsid w:val="00FA7B4D"/>
    <w:rsid w:val="00FB0276"/>
    <w:rsid w:val="00FB02C9"/>
    <w:rsid w:val="00FB0668"/>
    <w:rsid w:val="00FB0BE1"/>
    <w:rsid w:val="00FB0CB4"/>
    <w:rsid w:val="00FB1129"/>
    <w:rsid w:val="00FB14F2"/>
    <w:rsid w:val="00FB193B"/>
    <w:rsid w:val="00FB198A"/>
    <w:rsid w:val="00FB1B02"/>
    <w:rsid w:val="00FB1B9B"/>
    <w:rsid w:val="00FB26C1"/>
    <w:rsid w:val="00FB2865"/>
    <w:rsid w:val="00FB2896"/>
    <w:rsid w:val="00FB2B58"/>
    <w:rsid w:val="00FB3398"/>
    <w:rsid w:val="00FB3977"/>
    <w:rsid w:val="00FB4545"/>
    <w:rsid w:val="00FB46AA"/>
    <w:rsid w:val="00FB49CF"/>
    <w:rsid w:val="00FB4C7C"/>
    <w:rsid w:val="00FB4E34"/>
    <w:rsid w:val="00FB5BD6"/>
    <w:rsid w:val="00FB5F3F"/>
    <w:rsid w:val="00FB6103"/>
    <w:rsid w:val="00FB66AD"/>
    <w:rsid w:val="00FB66E4"/>
    <w:rsid w:val="00FB6797"/>
    <w:rsid w:val="00FB6883"/>
    <w:rsid w:val="00FB6C9E"/>
    <w:rsid w:val="00FB70AD"/>
    <w:rsid w:val="00FB743C"/>
    <w:rsid w:val="00FB7A26"/>
    <w:rsid w:val="00FC0673"/>
    <w:rsid w:val="00FC0746"/>
    <w:rsid w:val="00FC09EF"/>
    <w:rsid w:val="00FC1064"/>
    <w:rsid w:val="00FC1146"/>
    <w:rsid w:val="00FC20C8"/>
    <w:rsid w:val="00FC2D39"/>
    <w:rsid w:val="00FC2D8A"/>
    <w:rsid w:val="00FC2D8B"/>
    <w:rsid w:val="00FC41F8"/>
    <w:rsid w:val="00FC48CB"/>
    <w:rsid w:val="00FC4ABB"/>
    <w:rsid w:val="00FC5301"/>
    <w:rsid w:val="00FC53F7"/>
    <w:rsid w:val="00FC55B2"/>
    <w:rsid w:val="00FC57C7"/>
    <w:rsid w:val="00FC6063"/>
    <w:rsid w:val="00FC63A6"/>
    <w:rsid w:val="00FC7BD2"/>
    <w:rsid w:val="00FC7E55"/>
    <w:rsid w:val="00FD09C6"/>
    <w:rsid w:val="00FD10A4"/>
    <w:rsid w:val="00FD1242"/>
    <w:rsid w:val="00FD1265"/>
    <w:rsid w:val="00FD14B0"/>
    <w:rsid w:val="00FD14BE"/>
    <w:rsid w:val="00FD19B2"/>
    <w:rsid w:val="00FD19C3"/>
    <w:rsid w:val="00FD1AF4"/>
    <w:rsid w:val="00FD2665"/>
    <w:rsid w:val="00FD3000"/>
    <w:rsid w:val="00FD353D"/>
    <w:rsid w:val="00FD3E4D"/>
    <w:rsid w:val="00FD444C"/>
    <w:rsid w:val="00FD4D5E"/>
    <w:rsid w:val="00FD5495"/>
    <w:rsid w:val="00FD58D4"/>
    <w:rsid w:val="00FD5B56"/>
    <w:rsid w:val="00FD5DDE"/>
    <w:rsid w:val="00FD5E51"/>
    <w:rsid w:val="00FD6E98"/>
    <w:rsid w:val="00FD7024"/>
    <w:rsid w:val="00FD72AD"/>
    <w:rsid w:val="00FD73F9"/>
    <w:rsid w:val="00FD7870"/>
    <w:rsid w:val="00FE0263"/>
    <w:rsid w:val="00FE0378"/>
    <w:rsid w:val="00FE06E7"/>
    <w:rsid w:val="00FE0A78"/>
    <w:rsid w:val="00FE0DF3"/>
    <w:rsid w:val="00FE12AD"/>
    <w:rsid w:val="00FE1A10"/>
    <w:rsid w:val="00FE27F3"/>
    <w:rsid w:val="00FE2864"/>
    <w:rsid w:val="00FE2C27"/>
    <w:rsid w:val="00FE2E46"/>
    <w:rsid w:val="00FE3155"/>
    <w:rsid w:val="00FE3D3E"/>
    <w:rsid w:val="00FE415B"/>
    <w:rsid w:val="00FE43E4"/>
    <w:rsid w:val="00FE4D53"/>
    <w:rsid w:val="00FE5049"/>
    <w:rsid w:val="00FE50A5"/>
    <w:rsid w:val="00FE5C4E"/>
    <w:rsid w:val="00FE60A1"/>
    <w:rsid w:val="00FF08BE"/>
    <w:rsid w:val="00FF0BF7"/>
    <w:rsid w:val="00FF0ED6"/>
    <w:rsid w:val="00FF121B"/>
    <w:rsid w:val="00FF18C9"/>
    <w:rsid w:val="00FF19B7"/>
    <w:rsid w:val="00FF1B80"/>
    <w:rsid w:val="00FF1D1F"/>
    <w:rsid w:val="00FF2D58"/>
    <w:rsid w:val="00FF3144"/>
    <w:rsid w:val="00FF31D7"/>
    <w:rsid w:val="00FF33E3"/>
    <w:rsid w:val="00FF365D"/>
    <w:rsid w:val="00FF3779"/>
    <w:rsid w:val="00FF40B0"/>
    <w:rsid w:val="00FF4215"/>
    <w:rsid w:val="00FF4842"/>
    <w:rsid w:val="00FF48CA"/>
    <w:rsid w:val="00FF532B"/>
    <w:rsid w:val="00FF5665"/>
    <w:rsid w:val="00FF5ACC"/>
    <w:rsid w:val="00FF5DFD"/>
    <w:rsid w:val="00FF5FA8"/>
    <w:rsid w:val="00FF6EFB"/>
    <w:rsid w:val="00FF7376"/>
    <w:rsid w:val="00FF7819"/>
    <w:rsid w:val="0107A5B4"/>
    <w:rsid w:val="0109807E"/>
    <w:rsid w:val="010DD1DD"/>
    <w:rsid w:val="010E2613"/>
    <w:rsid w:val="01306379"/>
    <w:rsid w:val="01436406"/>
    <w:rsid w:val="015335E2"/>
    <w:rsid w:val="016A7310"/>
    <w:rsid w:val="017207F1"/>
    <w:rsid w:val="0176F17E"/>
    <w:rsid w:val="0184DB6D"/>
    <w:rsid w:val="018D62C2"/>
    <w:rsid w:val="0192E6E5"/>
    <w:rsid w:val="01A720F4"/>
    <w:rsid w:val="01A737DE"/>
    <w:rsid w:val="01C2ED02"/>
    <w:rsid w:val="0234FA13"/>
    <w:rsid w:val="0255CF67"/>
    <w:rsid w:val="0282966C"/>
    <w:rsid w:val="028DEB2E"/>
    <w:rsid w:val="029C68C6"/>
    <w:rsid w:val="02ACE665"/>
    <w:rsid w:val="02B84424"/>
    <w:rsid w:val="02CE21A3"/>
    <w:rsid w:val="02CE315F"/>
    <w:rsid w:val="02DBE2CF"/>
    <w:rsid w:val="02EA1C01"/>
    <w:rsid w:val="02F39775"/>
    <w:rsid w:val="02F97443"/>
    <w:rsid w:val="0316E65D"/>
    <w:rsid w:val="03292447"/>
    <w:rsid w:val="0359377D"/>
    <w:rsid w:val="037469E4"/>
    <w:rsid w:val="037D57D2"/>
    <w:rsid w:val="0386D4D2"/>
    <w:rsid w:val="03892F09"/>
    <w:rsid w:val="038A5FCF"/>
    <w:rsid w:val="03BF8E6B"/>
    <w:rsid w:val="03CF2E1F"/>
    <w:rsid w:val="03D48EBB"/>
    <w:rsid w:val="03DF476D"/>
    <w:rsid w:val="03F0C515"/>
    <w:rsid w:val="03FFE55C"/>
    <w:rsid w:val="0416CBC2"/>
    <w:rsid w:val="0420C8F5"/>
    <w:rsid w:val="0421E290"/>
    <w:rsid w:val="0422997D"/>
    <w:rsid w:val="0422FAD0"/>
    <w:rsid w:val="0426CB6D"/>
    <w:rsid w:val="04420D98"/>
    <w:rsid w:val="044E34F0"/>
    <w:rsid w:val="04502556"/>
    <w:rsid w:val="046BAB82"/>
    <w:rsid w:val="04802141"/>
    <w:rsid w:val="04A80017"/>
    <w:rsid w:val="04AF2BE4"/>
    <w:rsid w:val="04DBA232"/>
    <w:rsid w:val="04EB8AB1"/>
    <w:rsid w:val="04EFB715"/>
    <w:rsid w:val="04F13AEB"/>
    <w:rsid w:val="05307C27"/>
    <w:rsid w:val="053BC7EA"/>
    <w:rsid w:val="05467908"/>
    <w:rsid w:val="0554C0D1"/>
    <w:rsid w:val="05659C78"/>
    <w:rsid w:val="056C793C"/>
    <w:rsid w:val="057CE1BD"/>
    <w:rsid w:val="058BBF10"/>
    <w:rsid w:val="0590B146"/>
    <w:rsid w:val="05C53622"/>
    <w:rsid w:val="05D14CF0"/>
    <w:rsid w:val="05DBA857"/>
    <w:rsid w:val="05E1D2E0"/>
    <w:rsid w:val="05E611E3"/>
    <w:rsid w:val="05F317F1"/>
    <w:rsid w:val="060B13E0"/>
    <w:rsid w:val="060B471B"/>
    <w:rsid w:val="0618A7B4"/>
    <w:rsid w:val="061D8EB4"/>
    <w:rsid w:val="0641B1FE"/>
    <w:rsid w:val="064C6AE0"/>
    <w:rsid w:val="066E843E"/>
    <w:rsid w:val="06885219"/>
    <w:rsid w:val="06946DEC"/>
    <w:rsid w:val="0698A692"/>
    <w:rsid w:val="06BFCD8D"/>
    <w:rsid w:val="06C36D47"/>
    <w:rsid w:val="06C6CAE3"/>
    <w:rsid w:val="06CBA7E7"/>
    <w:rsid w:val="06DE756D"/>
    <w:rsid w:val="06EA9611"/>
    <w:rsid w:val="06EE4B32"/>
    <w:rsid w:val="0707DB78"/>
    <w:rsid w:val="070B2869"/>
    <w:rsid w:val="072A1568"/>
    <w:rsid w:val="076A0960"/>
    <w:rsid w:val="077443D0"/>
    <w:rsid w:val="078609E6"/>
    <w:rsid w:val="07A6AE6E"/>
    <w:rsid w:val="07AB684C"/>
    <w:rsid w:val="07AC1850"/>
    <w:rsid w:val="07B7F499"/>
    <w:rsid w:val="07C76F78"/>
    <w:rsid w:val="07D04674"/>
    <w:rsid w:val="07D41846"/>
    <w:rsid w:val="07E60F8D"/>
    <w:rsid w:val="0818F329"/>
    <w:rsid w:val="081F7A91"/>
    <w:rsid w:val="082E4314"/>
    <w:rsid w:val="083DDB38"/>
    <w:rsid w:val="084F54B7"/>
    <w:rsid w:val="08583B9A"/>
    <w:rsid w:val="089C7358"/>
    <w:rsid w:val="089EDDA6"/>
    <w:rsid w:val="08B20CD9"/>
    <w:rsid w:val="08B7987B"/>
    <w:rsid w:val="08D5257E"/>
    <w:rsid w:val="08DBBDA1"/>
    <w:rsid w:val="08E0AA0E"/>
    <w:rsid w:val="08F4DBA3"/>
    <w:rsid w:val="08FF8A56"/>
    <w:rsid w:val="09066085"/>
    <w:rsid w:val="09302DBB"/>
    <w:rsid w:val="0935404E"/>
    <w:rsid w:val="093EBE12"/>
    <w:rsid w:val="094CA6A6"/>
    <w:rsid w:val="094F2D4F"/>
    <w:rsid w:val="0959172A"/>
    <w:rsid w:val="095E5C5F"/>
    <w:rsid w:val="097D19D6"/>
    <w:rsid w:val="09864995"/>
    <w:rsid w:val="0986666A"/>
    <w:rsid w:val="0991AFFC"/>
    <w:rsid w:val="09A36B5B"/>
    <w:rsid w:val="09A40F6B"/>
    <w:rsid w:val="09A54EC8"/>
    <w:rsid w:val="09C980B0"/>
    <w:rsid w:val="09DFE598"/>
    <w:rsid w:val="09E89FC3"/>
    <w:rsid w:val="09FA8868"/>
    <w:rsid w:val="09FECB8F"/>
    <w:rsid w:val="0A068E1F"/>
    <w:rsid w:val="0A18FC62"/>
    <w:rsid w:val="0A2D34A2"/>
    <w:rsid w:val="0A38148F"/>
    <w:rsid w:val="0A58A19D"/>
    <w:rsid w:val="0A723984"/>
    <w:rsid w:val="0A8B1E75"/>
    <w:rsid w:val="0A965F57"/>
    <w:rsid w:val="0A9AA910"/>
    <w:rsid w:val="0AB5AEA8"/>
    <w:rsid w:val="0AE1E258"/>
    <w:rsid w:val="0AEC8AD1"/>
    <w:rsid w:val="0AF31931"/>
    <w:rsid w:val="0AF66B56"/>
    <w:rsid w:val="0B09C2F0"/>
    <w:rsid w:val="0B246055"/>
    <w:rsid w:val="0BB0E3CD"/>
    <w:rsid w:val="0BB2F0D3"/>
    <w:rsid w:val="0BB31984"/>
    <w:rsid w:val="0BCD72CE"/>
    <w:rsid w:val="0BEA5516"/>
    <w:rsid w:val="0BEEA0D0"/>
    <w:rsid w:val="0BFB8156"/>
    <w:rsid w:val="0C4B3ADE"/>
    <w:rsid w:val="0C624E3A"/>
    <w:rsid w:val="0C7E108D"/>
    <w:rsid w:val="0C7EE5DE"/>
    <w:rsid w:val="0CA2A0E7"/>
    <w:rsid w:val="0CA2F409"/>
    <w:rsid w:val="0CA48E3B"/>
    <w:rsid w:val="0CC24F8C"/>
    <w:rsid w:val="0CC66C16"/>
    <w:rsid w:val="0CC8DB66"/>
    <w:rsid w:val="0CCDEB05"/>
    <w:rsid w:val="0CD58159"/>
    <w:rsid w:val="0CFC9CF2"/>
    <w:rsid w:val="0D02ADC5"/>
    <w:rsid w:val="0D05C378"/>
    <w:rsid w:val="0D1D23C1"/>
    <w:rsid w:val="0D3A41A3"/>
    <w:rsid w:val="0D45875C"/>
    <w:rsid w:val="0D4A5BA2"/>
    <w:rsid w:val="0D5C05F6"/>
    <w:rsid w:val="0D6498FE"/>
    <w:rsid w:val="0D662D95"/>
    <w:rsid w:val="0D80D474"/>
    <w:rsid w:val="0D824DEC"/>
    <w:rsid w:val="0D8C103E"/>
    <w:rsid w:val="0DA85545"/>
    <w:rsid w:val="0DB10A12"/>
    <w:rsid w:val="0DBA1520"/>
    <w:rsid w:val="0DC267A1"/>
    <w:rsid w:val="0DC93BE5"/>
    <w:rsid w:val="0DD51ABB"/>
    <w:rsid w:val="0DD7809A"/>
    <w:rsid w:val="0E1CD372"/>
    <w:rsid w:val="0E259CD3"/>
    <w:rsid w:val="0E38CC91"/>
    <w:rsid w:val="0E4EEBD2"/>
    <w:rsid w:val="0E5E3243"/>
    <w:rsid w:val="0E68CD32"/>
    <w:rsid w:val="0E73EA4A"/>
    <w:rsid w:val="0E89994E"/>
    <w:rsid w:val="0E9590F5"/>
    <w:rsid w:val="0E992344"/>
    <w:rsid w:val="0EC3D88F"/>
    <w:rsid w:val="0ED00234"/>
    <w:rsid w:val="0ED93D9B"/>
    <w:rsid w:val="0F12FF73"/>
    <w:rsid w:val="0F2E779D"/>
    <w:rsid w:val="0F7D60A9"/>
    <w:rsid w:val="0F823C50"/>
    <w:rsid w:val="0FA2ABBE"/>
    <w:rsid w:val="0FBBA65A"/>
    <w:rsid w:val="0FD88980"/>
    <w:rsid w:val="0FD8CC7C"/>
    <w:rsid w:val="0FDCE67F"/>
    <w:rsid w:val="100DF3FD"/>
    <w:rsid w:val="10259C89"/>
    <w:rsid w:val="102F5826"/>
    <w:rsid w:val="108791CE"/>
    <w:rsid w:val="108903E8"/>
    <w:rsid w:val="10994B91"/>
    <w:rsid w:val="10B095C0"/>
    <w:rsid w:val="10B97375"/>
    <w:rsid w:val="11186338"/>
    <w:rsid w:val="112071B6"/>
    <w:rsid w:val="1124850A"/>
    <w:rsid w:val="11291A89"/>
    <w:rsid w:val="11359B9C"/>
    <w:rsid w:val="114FDE26"/>
    <w:rsid w:val="1172B298"/>
    <w:rsid w:val="118779FA"/>
    <w:rsid w:val="11A6762B"/>
    <w:rsid w:val="11AD5471"/>
    <w:rsid w:val="11B5CE2F"/>
    <w:rsid w:val="11BC07A9"/>
    <w:rsid w:val="11BC2C50"/>
    <w:rsid w:val="11C44288"/>
    <w:rsid w:val="11C57708"/>
    <w:rsid w:val="11D82744"/>
    <w:rsid w:val="11F6B1A3"/>
    <w:rsid w:val="12020A23"/>
    <w:rsid w:val="1209DA01"/>
    <w:rsid w:val="120CCEB2"/>
    <w:rsid w:val="121DDA3D"/>
    <w:rsid w:val="122B2EE4"/>
    <w:rsid w:val="12362E1E"/>
    <w:rsid w:val="123680DB"/>
    <w:rsid w:val="12492760"/>
    <w:rsid w:val="126F13CA"/>
    <w:rsid w:val="127191F0"/>
    <w:rsid w:val="127291A1"/>
    <w:rsid w:val="127A6B40"/>
    <w:rsid w:val="128BD55A"/>
    <w:rsid w:val="128C0628"/>
    <w:rsid w:val="12BC5310"/>
    <w:rsid w:val="12BDE44C"/>
    <w:rsid w:val="12C6C41E"/>
    <w:rsid w:val="12C979A9"/>
    <w:rsid w:val="12E34A74"/>
    <w:rsid w:val="12EFAA52"/>
    <w:rsid w:val="1309E8A0"/>
    <w:rsid w:val="1311C409"/>
    <w:rsid w:val="132F59EF"/>
    <w:rsid w:val="136451F7"/>
    <w:rsid w:val="1366BE25"/>
    <w:rsid w:val="139AE0AF"/>
    <w:rsid w:val="139DBD3D"/>
    <w:rsid w:val="13A49A0E"/>
    <w:rsid w:val="13D49CA5"/>
    <w:rsid w:val="13E60332"/>
    <w:rsid w:val="13EAA80A"/>
    <w:rsid w:val="13F8715B"/>
    <w:rsid w:val="13FDD895"/>
    <w:rsid w:val="14014049"/>
    <w:rsid w:val="1425DB2E"/>
    <w:rsid w:val="142838FB"/>
    <w:rsid w:val="14342D30"/>
    <w:rsid w:val="143531F0"/>
    <w:rsid w:val="1470C878"/>
    <w:rsid w:val="1473927A"/>
    <w:rsid w:val="1474BF73"/>
    <w:rsid w:val="14879C9C"/>
    <w:rsid w:val="149594ED"/>
    <w:rsid w:val="14974995"/>
    <w:rsid w:val="149CEF49"/>
    <w:rsid w:val="149F30DE"/>
    <w:rsid w:val="14BA44EC"/>
    <w:rsid w:val="14BA8362"/>
    <w:rsid w:val="14BB48EF"/>
    <w:rsid w:val="14C5A108"/>
    <w:rsid w:val="14D9C411"/>
    <w:rsid w:val="14DC8ADB"/>
    <w:rsid w:val="14E292BD"/>
    <w:rsid w:val="14E98C9B"/>
    <w:rsid w:val="150D234F"/>
    <w:rsid w:val="151C9CDB"/>
    <w:rsid w:val="15209DE4"/>
    <w:rsid w:val="1526EB4F"/>
    <w:rsid w:val="1540D1B1"/>
    <w:rsid w:val="15553CAB"/>
    <w:rsid w:val="155D7F14"/>
    <w:rsid w:val="156BA35D"/>
    <w:rsid w:val="157D8BD3"/>
    <w:rsid w:val="159456CE"/>
    <w:rsid w:val="15A05030"/>
    <w:rsid w:val="15C5A11B"/>
    <w:rsid w:val="15C7812B"/>
    <w:rsid w:val="15DE5C89"/>
    <w:rsid w:val="15DEEC34"/>
    <w:rsid w:val="15E3B09A"/>
    <w:rsid w:val="15EB39B7"/>
    <w:rsid w:val="15FD0D7B"/>
    <w:rsid w:val="160160BD"/>
    <w:rsid w:val="16026333"/>
    <w:rsid w:val="1602B504"/>
    <w:rsid w:val="160D6061"/>
    <w:rsid w:val="16377AF6"/>
    <w:rsid w:val="163D5A6C"/>
    <w:rsid w:val="16415FF6"/>
    <w:rsid w:val="164D2CED"/>
    <w:rsid w:val="1651A0D9"/>
    <w:rsid w:val="16532C1C"/>
    <w:rsid w:val="166655E7"/>
    <w:rsid w:val="167A9852"/>
    <w:rsid w:val="16838941"/>
    <w:rsid w:val="1697A7AB"/>
    <w:rsid w:val="169A1F69"/>
    <w:rsid w:val="16AB1F54"/>
    <w:rsid w:val="16B8455F"/>
    <w:rsid w:val="16D6A58D"/>
    <w:rsid w:val="16E9293D"/>
    <w:rsid w:val="16F46291"/>
    <w:rsid w:val="170DBAAF"/>
    <w:rsid w:val="172DF7E0"/>
    <w:rsid w:val="17409D74"/>
    <w:rsid w:val="17583823"/>
    <w:rsid w:val="1761B831"/>
    <w:rsid w:val="17623E0C"/>
    <w:rsid w:val="176B911B"/>
    <w:rsid w:val="1775F00A"/>
    <w:rsid w:val="17A2DD91"/>
    <w:rsid w:val="17C3ED81"/>
    <w:rsid w:val="17C42026"/>
    <w:rsid w:val="17C455AC"/>
    <w:rsid w:val="17CF3C12"/>
    <w:rsid w:val="17D112B8"/>
    <w:rsid w:val="17E2E121"/>
    <w:rsid w:val="17FBC63F"/>
    <w:rsid w:val="17FF5AC5"/>
    <w:rsid w:val="180CF347"/>
    <w:rsid w:val="181E670C"/>
    <w:rsid w:val="18386B95"/>
    <w:rsid w:val="184D2411"/>
    <w:rsid w:val="1856616C"/>
    <w:rsid w:val="185EAB88"/>
    <w:rsid w:val="18689FAD"/>
    <w:rsid w:val="1872A44C"/>
    <w:rsid w:val="1875E429"/>
    <w:rsid w:val="18885A91"/>
    <w:rsid w:val="188BD11B"/>
    <w:rsid w:val="189CCF37"/>
    <w:rsid w:val="18BDD2A1"/>
    <w:rsid w:val="18BE8239"/>
    <w:rsid w:val="18E27240"/>
    <w:rsid w:val="18F3C747"/>
    <w:rsid w:val="19068EF5"/>
    <w:rsid w:val="19433B62"/>
    <w:rsid w:val="199C8E2D"/>
    <w:rsid w:val="19B78F0A"/>
    <w:rsid w:val="19D99A2C"/>
    <w:rsid w:val="19FF6346"/>
    <w:rsid w:val="1A135B56"/>
    <w:rsid w:val="1A14D1EC"/>
    <w:rsid w:val="1A18B534"/>
    <w:rsid w:val="1A2D1162"/>
    <w:rsid w:val="1A472021"/>
    <w:rsid w:val="1A56FA47"/>
    <w:rsid w:val="1A5FDD5D"/>
    <w:rsid w:val="1A82B82E"/>
    <w:rsid w:val="1A8701D6"/>
    <w:rsid w:val="1A9D60ED"/>
    <w:rsid w:val="1AB655DA"/>
    <w:rsid w:val="1AEE6211"/>
    <w:rsid w:val="1AF21A0D"/>
    <w:rsid w:val="1AFA0471"/>
    <w:rsid w:val="1B117E4A"/>
    <w:rsid w:val="1B13DA32"/>
    <w:rsid w:val="1B1A754D"/>
    <w:rsid w:val="1B3ECC12"/>
    <w:rsid w:val="1B572703"/>
    <w:rsid w:val="1B65A05D"/>
    <w:rsid w:val="1B667149"/>
    <w:rsid w:val="1B951627"/>
    <w:rsid w:val="1BB62EE9"/>
    <w:rsid w:val="1BDE818C"/>
    <w:rsid w:val="1BE5815A"/>
    <w:rsid w:val="1C143793"/>
    <w:rsid w:val="1C1A42C8"/>
    <w:rsid w:val="1C24644C"/>
    <w:rsid w:val="1C4A3E84"/>
    <w:rsid w:val="1C7A0535"/>
    <w:rsid w:val="1C7E49DC"/>
    <w:rsid w:val="1C94D1C2"/>
    <w:rsid w:val="1CA18117"/>
    <w:rsid w:val="1CB2CE2E"/>
    <w:rsid w:val="1CB95331"/>
    <w:rsid w:val="1CE8582F"/>
    <w:rsid w:val="1CF73D98"/>
    <w:rsid w:val="1D1A6235"/>
    <w:rsid w:val="1D217375"/>
    <w:rsid w:val="1D21E4F2"/>
    <w:rsid w:val="1D39F6AF"/>
    <w:rsid w:val="1D4548C5"/>
    <w:rsid w:val="1D64D503"/>
    <w:rsid w:val="1D7EE8BF"/>
    <w:rsid w:val="1D8D3245"/>
    <w:rsid w:val="1DA95FD7"/>
    <w:rsid w:val="1DDDCD2F"/>
    <w:rsid w:val="1DDEA0C6"/>
    <w:rsid w:val="1DF43DC2"/>
    <w:rsid w:val="1E1FDCA6"/>
    <w:rsid w:val="1E35AB1C"/>
    <w:rsid w:val="1E4527D6"/>
    <w:rsid w:val="1E6D959C"/>
    <w:rsid w:val="1E6DFCD5"/>
    <w:rsid w:val="1E6E1BC5"/>
    <w:rsid w:val="1E708C11"/>
    <w:rsid w:val="1E721978"/>
    <w:rsid w:val="1E8865BB"/>
    <w:rsid w:val="1EC03000"/>
    <w:rsid w:val="1ED2FE1A"/>
    <w:rsid w:val="1EDE9CF4"/>
    <w:rsid w:val="1EE73EA0"/>
    <w:rsid w:val="1EED62E4"/>
    <w:rsid w:val="1EFA230F"/>
    <w:rsid w:val="1F0D2791"/>
    <w:rsid w:val="1F0F0F8D"/>
    <w:rsid w:val="1F1ACB01"/>
    <w:rsid w:val="1F1CA89C"/>
    <w:rsid w:val="1F2C2264"/>
    <w:rsid w:val="1F3EDAB4"/>
    <w:rsid w:val="1F4973BE"/>
    <w:rsid w:val="1F579366"/>
    <w:rsid w:val="1F5A03CD"/>
    <w:rsid w:val="1F7D4D73"/>
    <w:rsid w:val="1F8E666F"/>
    <w:rsid w:val="1FC622F0"/>
    <w:rsid w:val="1FEA8581"/>
    <w:rsid w:val="1FF5EDCB"/>
    <w:rsid w:val="1FFD4597"/>
    <w:rsid w:val="2000CFB9"/>
    <w:rsid w:val="204BDCCE"/>
    <w:rsid w:val="20643FC0"/>
    <w:rsid w:val="2071A90D"/>
    <w:rsid w:val="20B26825"/>
    <w:rsid w:val="20B3ADBA"/>
    <w:rsid w:val="20DA1302"/>
    <w:rsid w:val="20F0E080"/>
    <w:rsid w:val="211541FF"/>
    <w:rsid w:val="21176014"/>
    <w:rsid w:val="2123BC43"/>
    <w:rsid w:val="2146B37E"/>
    <w:rsid w:val="214CA2B0"/>
    <w:rsid w:val="215AB52E"/>
    <w:rsid w:val="21647785"/>
    <w:rsid w:val="21683A05"/>
    <w:rsid w:val="21873866"/>
    <w:rsid w:val="2189FC94"/>
    <w:rsid w:val="2191F646"/>
    <w:rsid w:val="219275CC"/>
    <w:rsid w:val="2198CB5E"/>
    <w:rsid w:val="21A49750"/>
    <w:rsid w:val="21ADAE8E"/>
    <w:rsid w:val="21B73E77"/>
    <w:rsid w:val="21BA04CB"/>
    <w:rsid w:val="21C02CA2"/>
    <w:rsid w:val="21D12633"/>
    <w:rsid w:val="21F78ECD"/>
    <w:rsid w:val="21FB6FBE"/>
    <w:rsid w:val="2200CF4D"/>
    <w:rsid w:val="2209134A"/>
    <w:rsid w:val="220CE909"/>
    <w:rsid w:val="22186024"/>
    <w:rsid w:val="222160F6"/>
    <w:rsid w:val="222FCAE6"/>
    <w:rsid w:val="2238C7C7"/>
    <w:rsid w:val="2254495E"/>
    <w:rsid w:val="22736D6D"/>
    <w:rsid w:val="22C02EDE"/>
    <w:rsid w:val="22CA02B9"/>
    <w:rsid w:val="230D460C"/>
    <w:rsid w:val="231BE9BE"/>
    <w:rsid w:val="232C8367"/>
    <w:rsid w:val="2330126B"/>
    <w:rsid w:val="23385A7A"/>
    <w:rsid w:val="23449403"/>
    <w:rsid w:val="234A9B81"/>
    <w:rsid w:val="2350B609"/>
    <w:rsid w:val="2351FBA5"/>
    <w:rsid w:val="235A45B1"/>
    <w:rsid w:val="235EFA78"/>
    <w:rsid w:val="236EB94D"/>
    <w:rsid w:val="238E7506"/>
    <w:rsid w:val="2391EE91"/>
    <w:rsid w:val="23ACE0B3"/>
    <w:rsid w:val="23E3BF17"/>
    <w:rsid w:val="23E50738"/>
    <w:rsid w:val="23EEF704"/>
    <w:rsid w:val="2403311A"/>
    <w:rsid w:val="2408247C"/>
    <w:rsid w:val="24146C86"/>
    <w:rsid w:val="2416ECF0"/>
    <w:rsid w:val="244FF9BA"/>
    <w:rsid w:val="2451600A"/>
    <w:rsid w:val="24813475"/>
    <w:rsid w:val="2482123A"/>
    <w:rsid w:val="24C9260F"/>
    <w:rsid w:val="24C9354A"/>
    <w:rsid w:val="24E8AB8E"/>
    <w:rsid w:val="24F3BF60"/>
    <w:rsid w:val="2500B0E3"/>
    <w:rsid w:val="25087D6F"/>
    <w:rsid w:val="251A47AA"/>
    <w:rsid w:val="25301B7F"/>
    <w:rsid w:val="25412899"/>
    <w:rsid w:val="255B2640"/>
    <w:rsid w:val="25666588"/>
    <w:rsid w:val="2570A0A7"/>
    <w:rsid w:val="25711786"/>
    <w:rsid w:val="2589809D"/>
    <w:rsid w:val="25961DB0"/>
    <w:rsid w:val="25A3DBCD"/>
    <w:rsid w:val="25BA0F5A"/>
    <w:rsid w:val="25EC3C6A"/>
    <w:rsid w:val="25FBB8FD"/>
    <w:rsid w:val="25FF661F"/>
    <w:rsid w:val="2600861E"/>
    <w:rsid w:val="2607637C"/>
    <w:rsid w:val="261994C0"/>
    <w:rsid w:val="262D825E"/>
    <w:rsid w:val="26491C5E"/>
    <w:rsid w:val="264B8B57"/>
    <w:rsid w:val="265D422F"/>
    <w:rsid w:val="265DA0FE"/>
    <w:rsid w:val="2675B25E"/>
    <w:rsid w:val="268A13E1"/>
    <w:rsid w:val="26939C9A"/>
    <w:rsid w:val="269679B3"/>
    <w:rsid w:val="26A56AC8"/>
    <w:rsid w:val="26A667FD"/>
    <w:rsid w:val="26AAD854"/>
    <w:rsid w:val="26CF97F3"/>
    <w:rsid w:val="26D0B0A7"/>
    <w:rsid w:val="26D9EE71"/>
    <w:rsid w:val="26FBDCE3"/>
    <w:rsid w:val="270226BB"/>
    <w:rsid w:val="27078029"/>
    <w:rsid w:val="27093C9C"/>
    <w:rsid w:val="27260CCF"/>
    <w:rsid w:val="27381101"/>
    <w:rsid w:val="273CFCC3"/>
    <w:rsid w:val="275448C4"/>
    <w:rsid w:val="2768BC08"/>
    <w:rsid w:val="277C6D77"/>
    <w:rsid w:val="2784F25A"/>
    <w:rsid w:val="27B02E06"/>
    <w:rsid w:val="27BD4258"/>
    <w:rsid w:val="27CDA260"/>
    <w:rsid w:val="27D26109"/>
    <w:rsid w:val="27FBA1D9"/>
    <w:rsid w:val="2801A7B9"/>
    <w:rsid w:val="285E9A92"/>
    <w:rsid w:val="286B8A95"/>
    <w:rsid w:val="287100ED"/>
    <w:rsid w:val="2882BFBF"/>
    <w:rsid w:val="2884827B"/>
    <w:rsid w:val="289F24AB"/>
    <w:rsid w:val="28A6C66A"/>
    <w:rsid w:val="28B8E706"/>
    <w:rsid w:val="28D58A7F"/>
    <w:rsid w:val="28E10633"/>
    <w:rsid w:val="28F5C280"/>
    <w:rsid w:val="291DACE6"/>
    <w:rsid w:val="292C683D"/>
    <w:rsid w:val="29336BAD"/>
    <w:rsid w:val="29338C32"/>
    <w:rsid w:val="2957EE16"/>
    <w:rsid w:val="29677346"/>
    <w:rsid w:val="298ADE44"/>
    <w:rsid w:val="29AB9303"/>
    <w:rsid w:val="29AF62B9"/>
    <w:rsid w:val="29CF66A3"/>
    <w:rsid w:val="29D3A990"/>
    <w:rsid w:val="2A066FB0"/>
    <w:rsid w:val="2A092F72"/>
    <w:rsid w:val="2A0A5AC0"/>
    <w:rsid w:val="2A0EAF43"/>
    <w:rsid w:val="2A2D565A"/>
    <w:rsid w:val="2A2FF746"/>
    <w:rsid w:val="2A609F34"/>
    <w:rsid w:val="2A692717"/>
    <w:rsid w:val="2A75F581"/>
    <w:rsid w:val="2A925F30"/>
    <w:rsid w:val="2AA0DBCE"/>
    <w:rsid w:val="2ACE88D1"/>
    <w:rsid w:val="2AD6979A"/>
    <w:rsid w:val="2B036502"/>
    <w:rsid w:val="2B33FDB7"/>
    <w:rsid w:val="2B3C213F"/>
    <w:rsid w:val="2B4D677F"/>
    <w:rsid w:val="2B4FBAD6"/>
    <w:rsid w:val="2B6CCB01"/>
    <w:rsid w:val="2B73D102"/>
    <w:rsid w:val="2B8BFB5D"/>
    <w:rsid w:val="2B8C88D0"/>
    <w:rsid w:val="2B8CCE63"/>
    <w:rsid w:val="2B956E64"/>
    <w:rsid w:val="2BA14A72"/>
    <w:rsid w:val="2BAA9A05"/>
    <w:rsid w:val="2BBDDC63"/>
    <w:rsid w:val="2BC07954"/>
    <w:rsid w:val="2BC767F7"/>
    <w:rsid w:val="2BD2AF79"/>
    <w:rsid w:val="2BD8702A"/>
    <w:rsid w:val="2BFBB65C"/>
    <w:rsid w:val="2BFD206B"/>
    <w:rsid w:val="2BFD6702"/>
    <w:rsid w:val="2C05D13A"/>
    <w:rsid w:val="2C081451"/>
    <w:rsid w:val="2C2E59B6"/>
    <w:rsid w:val="2C6374A6"/>
    <w:rsid w:val="2C7F8376"/>
    <w:rsid w:val="2C88D263"/>
    <w:rsid w:val="2C969573"/>
    <w:rsid w:val="2CB0EBCE"/>
    <w:rsid w:val="2CB5B6BA"/>
    <w:rsid w:val="2CC57806"/>
    <w:rsid w:val="2CCD7C08"/>
    <w:rsid w:val="2CE0B1E8"/>
    <w:rsid w:val="2CFBB8D8"/>
    <w:rsid w:val="2D02D4B6"/>
    <w:rsid w:val="2D321F5A"/>
    <w:rsid w:val="2D3494B0"/>
    <w:rsid w:val="2D3546C4"/>
    <w:rsid w:val="2D4692EC"/>
    <w:rsid w:val="2D572B73"/>
    <w:rsid w:val="2D5BB50C"/>
    <w:rsid w:val="2D792B26"/>
    <w:rsid w:val="2D794E6C"/>
    <w:rsid w:val="2D7FDC91"/>
    <w:rsid w:val="2D863DA7"/>
    <w:rsid w:val="2D915331"/>
    <w:rsid w:val="2D9DA3D3"/>
    <w:rsid w:val="2D9F31C2"/>
    <w:rsid w:val="2DAA9CBD"/>
    <w:rsid w:val="2DB35681"/>
    <w:rsid w:val="2DC39440"/>
    <w:rsid w:val="2DDF4E58"/>
    <w:rsid w:val="2DE9A2D6"/>
    <w:rsid w:val="2DEF52CA"/>
    <w:rsid w:val="2DF51E2A"/>
    <w:rsid w:val="2E0B59A2"/>
    <w:rsid w:val="2E121F9B"/>
    <w:rsid w:val="2E222E08"/>
    <w:rsid w:val="2E25DB15"/>
    <w:rsid w:val="2E3F85E4"/>
    <w:rsid w:val="2E42CFA6"/>
    <w:rsid w:val="2E61DD54"/>
    <w:rsid w:val="2E93BAD8"/>
    <w:rsid w:val="2EA81FE9"/>
    <w:rsid w:val="2EADAE4B"/>
    <w:rsid w:val="2EB260A9"/>
    <w:rsid w:val="2EBF772F"/>
    <w:rsid w:val="2EC6D3D4"/>
    <w:rsid w:val="2ECA97E4"/>
    <w:rsid w:val="2ECD3C51"/>
    <w:rsid w:val="2ECF2A66"/>
    <w:rsid w:val="2EDAC109"/>
    <w:rsid w:val="2EFD2142"/>
    <w:rsid w:val="2F1C2CE9"/>
    <w:rsid w:val="2F3D018F"/>
    <w:rsid w:val="2F56CF1A"/>
    <w:rsid w:val="2F5B0158"/>
    <w:rsid w:val="2F7DDBAD"/>
    <w:rsid w:val="2FA326F8"/>
    <w:rsid w:val="2FBDCA51"/>
    <w:rsid w:val="2FC04623"/>
    <w:rsid w:val="2FD18F90"/>
    <w:rsid w:val="2FDF0F9B"/>
    <w:rsid w:val="30197F34"/>
    <w:rsid w:val="30233676"/>
    <w:rsid w:val="30335D7D"/>
    <w:rsid w:val="30475F19"/>
    <w:rsid w:val="30A586F5"/>
    <w:rsid w:val="30A5B36F"/>
    <w:rsid w:val="30C03CA6"/>
    <w:rsid w:val="30C50F96"/>
    <w:rsid w:val="30E754EA"/>
    <w:rsid w:val="31398EF9"/>
    <w:rsid w:val="31B6A088"/>
    <w:rsid w:val="31C69291"/>
    <w:rsid w:val="31C8F575"/>
    <w:rsid w:val="31D730C3"/>
    <w:rsid w:val="31ED2598"/>
    <w:rsid w:val="31F8FCA5"/>
    <w:rsid w:val="32189B81"/>
    <w:rsid w:val="321A2AB2"/>
    <w:rsid w:val="324CE34D"/>
    <w:rsid w:val="327CD338"/>
    <w:rsid w:val="327D365E"/>
    <w:rsid w:val="32815473"/>
    <w:rsid w:val="3289E1A4"/>
    <w:rsid w:val="329B528A"/>
    <w:rsid w:val="32AB1306"/>
    <w:rsid w:val="32ABF91A"/>
    <w:rsid w:val="32C59843"/>
    <w:rsid w:val="32CD54D3"/>
    <w:rsid w:val="32D2438E"/>
    <w:rsid w:val="330F8598"/>
    <w:rsid w:val="3316DFFE"/>
    <w:rsid w:val="331B2A06"/>
    <w:rsid w:val="3321C812"/>
    <w:rsid w:val="3322A3CE"/>
    <w:rsid w:val="333CE1B7"/>
    <w:rsid w:val="336B66FC"/>
    <w:rsid w:val="3378D0F9"/>
    <w:rsid w:val="3397B4E8"/>
    <w:rsid w:val="3397F65B"/>
    <w:rsid w:val="339C1B36"/>
    <w:rsid w:val="33A16A6F"/>
    <w:rsid w:val="33A91368"/>
    <w:rsid w:val="33B79D1B"/>
    <w:rsid w:val="33BF436D"/>
    <w:rsid w:val="33C08DCD"/>
    <w:rsid w:val="33D35C73"/>
    <w:rsid w:val="33D84F01"/>
    <w:rsid w:val="33F08890"/>
    <w:rsid w:val="3403A862"/>
    <w:rsid w:val="3410D709"/>
    <w:rsid w:val="341F34E4"/>
    <w:rsid w:val="341FCA8D"/>
    <w:rsid w:val="34244CC5"/>
    <w:rsid w:val="34425CD3"/>
    <w:rsid w:val="3456C0B5"/>
    <w:rsid w:val="345849A8"/>
    <w:rsid w:val="347436E6"/>
    <w:rsid w:val="34936662"/>
    <w:rsid w:val="34CD8413"/>
    <w:rsid w:val="34DD0A27"/>
    <w:rsid w:val="34E6878A"/>
    <w:rsid w:val="3510F01D"/>
    <w:rsid w:val="3515F6EC"/>
    <w:rsid w:val="3517D529"/>
    <w:rsid w:val="351B7470"/>
    <w:rsid w:val="352D4851"/>
    <w:rsid w:val="35461469"/>
    <w:rsid w:val="358B11D3"/>
    <w:rsid w:val="359ACE10"/>
    <w:rsid w:val="35A2EF35"/>
    <w:rsid w:val="35B1518D"/>
    <w:rsid w:val="35C021C6"/>
    <w:rsid w:val="35C0C1D4"/>
    <w:rsid w:val="35CE9C2D"/>
    <w:rsid w:val="35E23897"/>
    <w:rsid w:val="35EA48BB"/>
    <w:rsid w:val="36019835"/>
    <w:rsid w:val="3602A62F"/>
    <w:rsid w:val="360F21A6"/>
    <w:rsid w:val="36100747"/>
    <w:rsid w:val="365FB1D9"/>
    <w:rsid w:val="36A18A6F"/>
    <w:rsid w:val="36A3F9CD"/>
    <w:rsid w:val="36B6A8B1"/>
    <w:rsid w:val="372E2EF8"/>
    <w:rsid w:val="37348379"/>
    <w:rsid w:val="374F03B9"/>
    <w:rsid w:val="376484C8"/>
    <w:rsid w:val="376CE382"/>
    <w:rsid w:val="376DDE04"/>
    <w:rsid w:val="3775F3A6"/>
    <w:rsid w:val="37873C98"/>
    <w:rsid w:val="37907346"/>
    <w:rsid w:val="379B748B"/>
    <w:rsid w:val="37A37AE3"/>
    <w:rsid w:val="37C9D748"/>
    <w:rsid w:val="37DE904A"/>
    <w:rsid w:val="37FF1A3D"/>
    <w:rsid w:val="37FFA6F8"/>
    <w:rsid w:val="38036DB7"/>
    <w:rsid w:val="381B2698"/>
    <w:rsid w:val="38276C0B"/>
    <w:rsid w:val="38291768"/>
    <w:rsid w:val="382C7AEA"/>
    <w:rsid w:val="383C7DC2"/>
    <w:rsid w:val="383F004D"/>
    <w:rsid w:val="3862D194"/>
    <w:rsid w:val="386342A7"/>
    <w:rsid w:val="3866EAEF"/>
    <w:rsid w:val="387D582D"/>
    <w:rsid w:val="388991E3"/>
    <w:rsid w:val="3893CA59"/>
    <w:rsid w:val="389A27BE"/>
    <w:rsid w:val="38A4B003"/>
    <w:rsid w:val="38A9310F"/>
    <w:rsid w:val="38F01A38"/>
    <w:rsid w:val="3900C3EE"/>
    <w:rsid w:val="390AC513"/>
    <w:rsid w:val="391F1F9D"/>
    <w:rsid w:val="3937B2FD"/>
    <w:rsid w:val="39566782"/>
    <w:rsid w:val="396DB697"/>
    <w:rsid w:val="39A9080D"/>
    <w:rsid w:val="39B61B24"/>
    <w:rsid w:val="39D2D30D"/>
    <w:rsid w:val="39E413B1"/>
    <w:rsid w:val="39E83B90"/>
    <w:rsid w:val="39F739BA"/>
    <w:rsid w:val="3A003446"/>
    <w:rsid w:val="3A0BDAD6"/>
    <w:rsid w:val="3A2C4BE6"/>
    <w:rsid w:val="3A31FC38"/>
    <w:rsid w:val="3A380A9F"/>
    <w:rsid w:val="3A3FC4E2"/>
    <w:rsid w:val="3A3FD61C"/>
    <w:rsid w:val="3A49BF84"/>
    <w:rsid w:val="3A4E3CDD"/>
    <w:rsid w:val="3A50B12D"/>
    <w:rsid w:val="3A51EB36"/>
    <w:rsid w:val="3A662E83"/>
    <w:rsid w:val="3A8E5D6E"/>
    <w:rsid w:val="3A92574F"/>
    <w:rsid w:val="3A9EA560"/>
    <w:rsid w:val="3ABA002A"/>
    <w:rsid w:val="3ABB7694"/>
    <w:rsid w:val="3AEEA707"/>
    <w:rsid w:val="3AF342D4"/>
    <w:rsid w:val="3AF9CBA3"/>
    <w:rsid w:val="3AFCA615"/>
    <w:rsid w:val="3B1FE947"/>
    <w:rsid w:val="3B678569"/>
    <w:rsid w:val="3B6E80A0"/>
    <w:rsid w:val="3B905E12"/>
    <w:rsid w:val="3BB10C2B"/>
    <w:rsid w:val="3BBD42AC"/>
    <w:rsid w:val="3BBF1000"/>
    <w:rsid w:val="3BE4EF4A"/>
    <w:rsid w:val="3BE7432A"/>
    <w:rsid w:val="3BE8BDAD"/>
    <w:rsid w:val="3C0D9C8D"/>
    <w:rsid w:val="3C1A58D3"/>
    <w:rsid w:val="3C48B53A"/>
    <w:rsid w:val="3C6070A4"/>
    <w:rsid w:val="3C714236"/>
    <w:rsid w:val="3C857C0F"/>
    <w:rsid w:val="3CC7056E"/>
    <w:rsid w:val="3CCD7030"/>
    <w:rsid w:val="3CEDA09F"/>
    <w:rsid w:val="3D20E128"/>
    <w:rsid w:val="3D4D908F"/>
    <w:rsid w:val="3D4FD73C"/>
    <w:rsid w:val="3D6A8291"/>
    <w:rsid w:val="3D6E046C"/>
    <w:rsid w:val="3D760FE4"/>
    <w:rsid w:val="3D89CFF5"/>
    <w:rsid w:val="3D8C7AC4"/>
    <w:rsid w:val="3DF0FEE4"/>
    <w:rsid w:val="3DF46D93"/>
    <w:rsid w:val="3DF8D785"/>
    <w:rsid w:val="3DF90740"/>
    <w:rsid w:val="3E04AC9B"/>
    <w:rsid w:val="3E093572"/>
    <w:rsid w:val="3E156FB7"/>
    <w:rsid w:val="3E34ABA1"/>
    <w:rsid w:val="3E41E197"/>
    <w:rsid w:val="3E5412F1"/>
    <w:rsid w:val="3E5EC4BD"/>
    <w:rsid w:val="3E8650CA"/>
    <w:rsid w:val="3E8DD001"/>
    <w:rsid w:val="3EA89B12"/>
    <w:rsid w:val="3ECCB8FD"/>
    <w:rsid w:val="3ECE562C"/>
    <w:rsid w:val="3ED03902"/>
    <w:rsid w:val="3ED39101"/>
    <w:rsid w:val="3EDD069E"/>
    <w:rsid w:val="3EEB4D1D"/>
    <w:rsid w:val="3EFE0F07"/>
    <w:rsid w:val="3F0174A1"/>
    <w:rsid w:val="3F18AB17"/>
    <w:rsid w:val="3F1FBFE2"/>
    <w:rsid w:val="3F701019"/>
    <w:rsid w:val="3F81BAE1"/>
    <w:rsid w:val="3FB2BB24"/>
    <w:rsid w:val="3FE097BB"/>
    <w:rsid w:val="3FE2A3C2"/>
    <w:rsid w:val="3FEA5FAC"/>
    <w:rsid w:val="3FF21DA2"/>
    <w:rsid w:val="3FFCE84A"/>
    <w:rsid w:val="4026ED88"/>
    <w:rsid w:val="403BAE4B"/>
    <w:rsid w:val="4047C801"/>
    <w:rsid w:val="405D1DEC"/>
    <w:rsid w:val="40670848"/>
    <w:rsid w:val="40676464"/>
    <w:rsid w:val="4071D8C0"/>
    <w:rsid w:val="40ADE0DA"/>
    <w:rsid w:val="40E375D7"/>
    <w:rsid w:val="413468D3"/>
    <w:rsid w:val="41480DD3"/>
    <w:rsid w:val="414874BF"/>
    <w:rsid w:val="414E7C24"/>
    <w:rsid w:val="415AAC24"/>
    <w:rsid w:val="416D521D"/>
    <w:rsid w:val="4171522E"/>
    <w:rsid w:val="417836BC"/>
    <w:rsid w:val="418751E6"/>
    <w:rsid w:val="41AE0A97"/>
    <w:rsid w:val="41B2766E"/>
    <w:rsid w:val="41B96F67"/>
    <w:rsid w:val="41BA22B5"/>
    <w:rsid w:val="41C327F5"/>
    <w:rsid w:val="41FEFFED"/>
    <w:rsid w:val="4231DCD8"/>
    <w:rsid w:val="42412615"/>
    <w:rsid w:val="42510140"/>
    <w:rsid w:val="4253AEFB"/>
    <w:rsid w:val="4284A547"/>
    <w:rsid w:val="4298E30B"/>
    <w:rsid w:val="42A77F8E"/>
    <w:rsid w:val="42B58576"/>
    <w:rsid w:val="42D707DE"/>
    <w:rsid w:val="42DFB609"/>
    <w:rsid w:val="42EC2AB8"/>
    <w:rsid w:val="433A8950"/>
    <w:rsid w:val="4340CA44"/>
    <w:rsid w:val="434D09EE"/>
    <w:rsid w:val="435B055A"/>
    <w:rsid w:val="4363181F"/>
    <w:rsid w:val="436438DD"/>
    <w:rsid w:val="43AE81D9"/>
    <w:rsid w:val="43B810AA"/>
    <w:rsid w:val="43E3A580"/>
    <w:rsid w:val="43F4F545"/>
    <w:rsid w:val="440A1E58"/>
    <w:rsid w:val="440B590E"/>
    <w:rsid w:val="441308BB"/>
    <w:rsid w:val="44245986"/>
    <w:rsid w:val="444DCB6A"/>
    <w:rsid w:val="44634E5F"/>
    <w:rsid w:val="44772BD4"/>
    <w:rsid w:val="4480FCD3"/>
    <w:rsid w:val="448DED98"/>
    <w:rsid w:val="4491DBDB"/>
    <w:rsid w:val="449EE16D"/>
    <w:rsid w:val="44BBF7B3"/>
    <w:rsid w:val="44C26B6E"/>
    <w:rsid w:val="44C90D0D"/>
    <w:rsid w:val="44CE32E4"/>
    <w:rsid w:val="44D2C222"/>
    <w:rsid w:val="44F717E8"/>
    <w:rsid w:val="44FEA386"/>
    <w:rsid w:val="4501B066"/>
    <w:rsid w:val="450E578F"/>
    <w:rsid w:val="451AB392"/>
    <w:rsid w:val="45262CAB"/>
    <w:rsid w:val="452BD3AD"/>
    <w:rsid w:val="452CB17E"/>
    <w:rsid w:val="45336F17"/>
    <w:rsid w:val="45430B00"/>
    <w:rsid w:val="454B9F56"/>
    <w:rsid w:val="45558583"/>
    <w:rsid w:val="45685DBC"/>
    <w:rsid w:val="45691AF3"/>
    <w:rsid w:val="457FB068"/>
    <w:rsid w:val="4587E677"/>
    <w:rsid w:val="45A7A0FC"/>
    <w:rsid w:val="45AD8E2D"/>
    <w:rsid w:val="45BB1109"/>
    <w:rsid w:val="45CE1D0D"/>
    <w:rsid w:val="461B49B1"/>
    <w:rsid w:val="462E2436"/>
    <w:rsid w:val="4634C02F"/>
    <w:rsid w:val="46482AD0"/>
    <w:rsid w:val="4679CF3F"/>
    <w:rsid w:val="4682C028"/>
    <w:rsid w:val="46866BC8"/>
    <w:rsid w:val="46937219"/>
    <w:rsid w:val="469E8FEF"/>
    <w:rsid w:val="46D7300A"/>
    <w:rsid w:val="46DF39EF"/>
    <w:rsid w:val="46F61EE6"/>
    <w:rsid w:val="4703DB42"/>
    <w:rsid w:val="4708E06C"/>
    <w:rsid w:val="47317471"/>
    <w:rsid w:val="47522E20"/>
    <w:rsid w:val="47555BB1"/>
    <w:rsid w:val="475B2ECA"/>
    <w:rsid w:val="47797F18"/>
    <w:rsid w:val="4781F45E"/>
    <w:rsid w:val="47A8C51A"/>
    <w:rsid w:val="47CB4301"/>
    <w:rsid w:val="47E53498"/>
    <w:rsid w:val="47E63C2F"/>
    <w:rsid w:val="47F87AC2"/>
    <w:rsid w:val="47FF0833"/>
    <w:rsid w:val="480AC0D3"/>
    <w:rsid w:val="481532D4"/>
    <w:rsid w:val="48162CFE"/>
    <w:rsid w:val="48263ED5"/>
    <w:rsid w:val="482D7504"/>
    <w:rsid w:val="4831E180"/>
    <w:rsid w:val="4834FB50"/>
    <w:rsid w:val="4841E2A5"/>
    <w:rsid w:val="4843A851"/>
    <w:rsid w:val="484562ED"/>
    <w:rsid w:val="48574666"/>
    <w:rsid w:val="4857E12B"/>
    <w:rsid w:val="4860F96C"/>
    <w:rsid w:val="4883C130"/>
    <w:rsid w:val="488F2A15"/>
    <w:rsid w:val="48B01945"/>
    <w:rsid w:val="48B16CC1"/>
    <w:rsid w:val="48B88C9A"/>
    <w:rsid w:val="48FC8B48"/>
    <w:rsid w:val="491DFBB5"/>
    <w:rsid w:val="4933FF29"/>
    <w:rsid w:val="49365267"/>
    <w:rsid w:val="49423DD4"/>
    <w:rsid w:val="494BA2B3"/>
    <w:rsid w:val="49763325"/>
    <w:rsid w:val="4979D154"/>
    <w:rsid w:val="497F0837"/>
    <w:rsid w:val="49861213"/>
    <w:rsid w:val="49B0DB49"/>
    <w:rsid w:val="49B757CE"/>
    <w:rsid w:val="49C7A833"/>
    <w:rsid w:val="49CEC96B"/>
    <w:rsid w:val="49F3D8DF"/>
    <w:rsid w:val="49F3FBC3"/>
    <w:rsid w:val="49F818C6"/>
    <w:rsid w:val="49F97993"/>
    <w:rsid w:val="4A057945"/>
    <w:rsid w:val="4A24C984"/>
    <w:rsid w:val="4A2AABB8"/>
    <w:rsid w:val="4A3EC658"/>
    <w:rsid w:val="4A54276E"/>
    <w:rsid w:val="4A5ADF80"/>
    <w:rsid w:val="4A68A518"/>
    <w:rsid w:val="4A701F43"/>
    <w:rsid w:val="4A7AE3C9"/>
    <w:rsid w:val="4A9B02C3"/>
    <w:rsid w:val="4AA0E416"/>
    <w:rsid w:val="4AB3C0DF"/>
    <w:rsid w:val="4AB50FC0"/>
    <w:rsid w:val="4ABBDF41"/>
    <w:rsid w:val="4AC23B90"/>
    <w:rsid w:val="4AEFC6F1"/>
    <w:rsid w:val="4AF92A45"/>
    <w:rsid w:val="4B01526D"/>
    <w:rsid w:val="4B10FCCC"/>
    <w:rsid w:val="4B2D2152"/>
    <w:rsid w:val="4B32377A"/>
    <w:rsid w:val="4B39824A"/>
    <w:rsid w:val="4B55D6B9"/>
    <w:rsid w:val="4B57B46D"/>
    <w:rsid w:val="4B595F3D"/>
    <w:rsid w:val="4B81AA9F"/>
    <w:rsid w:val="4B85112A"/>
    <w:rsid w:val="4B8729BA"/>
    <w:rsid w:val="4B87EC36"/>
    <w:rsid w:val="4B8A130C"/>
    <w:rsid w:val="4B9DEA2F"/>
    <w:rsid w:val="4BB01B0C"/>
    <w:rsid w:val="4BB2D4DC"/>
    <w:rsid w:val="4BC30E21"/>
    <w:rsid w:val="4BC8E4E2"/>
    <w:rsid w:val="4BE0FC2B"/>
    <w:rsid w:val="4BECDD63"/>
    <w:rsid w:val="4BEEF8B4"/>
    <w:rsid w:val="4C1AF565"/>
    <w:rsid w:val="4C75DDEA"/>
    <w:rsid w:val="4C7D4A1E"/>
    <w:rsid w:val="4C90E49A"/>
    <w:rsid w:val="4C9382DA"/>
    <w:rsid w:val="4CA38722"/>
    <w:rsid w:val="4CA774E8"/>
    <w:rsid w:val="4CED8611"/>
    <w:rsid w:val="4D234FBA"/>
    <w:rsid w:val="4D324FD1"/>
    <w:rsid w:val="4D3D3D14"/>
    <w:rsid w:val="4D4CA190"/>
    <w:rsid w:val="4D4DBEB5"/>
    <w:rsid w:val="4D6758F4"/>
    <w:rsid w:val="4D72A2F6"/>
    <w:rsid w:val="4D7CC17A"/>
    <w:rsid w:val="4DB7EDFD"/>
    <w:rsid w:val="4DCA0DCC"/>
    <w:rsid w:val="4DF8C80D"/>
    <w:rsid w:val="4E161709"/>
    <w:rsid w:val="4E19871E"/>
    <w:rsid w:val="4E324BD5"/>
    <w:rsid w:val="4E361C61"/>
    <w:rsid w:val="4E45C9B9"/>
    <w:rsid w:val="4E683646"/>
    <w:rsid w:val="4E69C2D0"/>
    <w:rsid w:val="4E6D9806"/>
    <w:rsid w:val="4E6FBDF3"/>
    <w:rsid w:val="4E7FF545"/>
    <w:rsid w:val="4E9C7944"/>
    <w:rsid w:val="4EA5CBB5"/>
    <w:rsid w:val="4ECF9343"/>
    <w:rsid w:val="4EE0EBF3"/>
    <w:rsid w:val="4F13EF4D"/>
    <w:rsid w:val="4F1DB500"/>
    <w:rsid w:val="4F1E3DEB"/>
    <w:rsid w:val="4F3B8B8F"/>
    <w:rsid w:val="4F3F0122"/>
    <w:rsid w:val="4F53F75A"/>
    <w:rsid w:val="4F824C52"/>
    <w:rsid w:val="4FDA09E1"/>
    <w:rsid w:val="4FF12D59"/>
    <w:rsid w:val="4FF5B9EB"/>
    <w:rsid w:val="503AB3DD"/>
    <w:rsid w:val="504A0A19"/>
    <w:rsid w:val="5052E071"/>
    <w:rsid w:val="50588E02"/>
    <w:rsid w:val="505CE140"/>
    <w:rsid w:val="505D5429"/>
    <w:rsid w:val="506A6D67"/>
    <w:rsid w:val="50760285"/>
    <w:rsid w:val="5091102E"/>
    <w:rsid w:val="509B698B"/>
    <w:rsid w:val="50A3BFAF"/>
    <w:rsid w:val="50A588B4"/>
    <w:rsid w:val="50C443DF"/>
    <w:rsid w:val="50D08F9A"/>
    <w:rsid w:val="50EB5386"/>
    <w:rsid w:val="514439BB"/>
    <w:rsid w:val="51539AAE"/>
    <w:rsid w:val="5169DDA9"/>
    <w:rsid w:val="51750E52"/>
    <w:rsid w:val="51AC9FFB"/>
    <w:rsid w:val="51B14C38"/>
    <w:rsid w:val="51B3CB06"/>
    <w:rsid w:val="51BB1863"/>
    <w:rsid w:val="51DFCC5A"/>
    <w:rsid w:val="51E97BB9"/>
    <w:rsid w:val="51FB0ECA"/>
    <w:rsid w:val="522B4C90"/>
    <w:rsid w:val="5231B21C"/>
    <w:rsid w:val="525A9995"/>
    <w:rsid w:val="527B7B79"/>
    <w:rsid w:val="527ECA8E"/>
    <w:rsid w:val="528FB421"/>
    <w:rsid w:val="5293B207"/>
    <w:rsid w:val="52984687"/>
    <w:rsid w:val="529E654F"/>
    <w:rsid w:val="52E0006A"/>
    <w:rsid w:val="52F37A61"/>
    <w:rsid w:val="5311D1FE"/>
    <w:rsid w:val="5336FA5E"/>
    <w:rsid w:val="5340271F"/>
    <w:rsid w:val="534AA7AA"/>
    <w:rsid w:val="535B8067"/>
    <w:rsid w:val="537B8DCE"/>
    <w:rsid w:val="537F89AC"/>
    <w:rsid w:val="53801AE2"/>
    <w:rsid w:val="53838A2E"/>
    <w:rsid w:val="53AC6254"/>
    <w:rsid w:val="53B05AEC"/>
    <w:rsid w:val="53B27D69"/>
    <w:rsid w:val="53BD47FE"/>
    <w:rsid w:val="53C8FFCB"/>
    <w:rsid w:val="53CB7070"/>
    <w:rsid w:val="53E2C6F5"/>
    <w:rsid w:val="53FAC2E1"/>
    <w:rsid w:val="53FCEBEA"/>
    <w:rsid w:val="5404A677"/>
    <w:rsid w:val="54141DA0"/>
    <w:rsid w:val="541480A6"/>
    <w:rsid w:val="541A7AF1"/>
    <w:rsid w:val="542F0231"/>
    <w:rsid w:val="54354DC3"/>
    <w:rsid w:val="543B6983"/>
    <w:rsid w:val="54535077"/>
    <w:rsid w:val="5461013B"/>
    <w:rsid w:val="54744E2F"/>
    <w:rsid w:val="547D261E"/>
    <w:rsid w:val="548B3E11"/>
    <w:rsid w:val="5499ABC3"/>
    <w:rsid w:val="549A648B"/>
    <w:rsid w:val="549BFF9A"/>
    <w:rsid w:val="54A1F856"/>
    <w:rsid w:val="54AB9BBD"/>
    <w:rsid w:val="54B57639"/>
    <w:rsid w:val="54D7D2DF"/>
    <w:rsid w:val="54E4C68D"/>
    <w:rsid w:val="54E6BD78"/>
    <w:rsid w:val="54EC55FD"/>
    <w:rsid w:val="54F45441"/>
    <w:rsid w:val="54FFAE7F"/>
    <w:rsid w:val="5524E328"/>
    <w:rsid w:val="552E479C"/>
    <w:rsid w:val="554832EB"/>
    <w:rsid w:val="55592531"/>
    <w:rsid w:val="5572BF67"/>
    <w:rsid w:val="557A744F"/>
    <w:rsid w:val="5599420B"/>
    <w:rsid w:val="559D6C15"/>
    <w:rsid w:val="55AA55E9"/>
    <w:rsid w:val="55AF1B43"/>
    <w:rsid w:val="55D3381A"/>
    <w:rsid w:val="55D75149"/>
    <w:rsid w:val="55E972E6"/>
    <w:rsid w:val="560A93A7"/>
    <w:rsid w:val="561BB205"/>
    <w:rsid w:val="562B5B37"/>
    <w:rsid w:val="56364AB8"/>
    <w:rsid w:val="56580D58"/>
    <w:rsid w:val="56620B8D"/>
    <w:rsid w:val="56870CD0"/>
    <w:rsid w:val="568B493B"/>
    <w:rsid w:val="56924852"/>
    <w:rsid w:val="56A2FF0C"/>
    <w:rsid w:val="56BA387C"/>
    <w:rsid w:val="56C90379"/>
    <w:rsid w:val="56DD6BDD"/>
    <w:rsid w:val="56E1D8CB"/>
    <w:rsid w:val="56F41EFB"/>
    <w:rsid w:val="5705BE4C"/>
    <w:rsid w:val="57137774"/>
    <w:rsid w:val="5717B222"/>
    <w:rsid w:val="57205E44"/>
    <w:rsid w:val="5730667C"/>
    <w:rsid w:val="574F0838"/>
    <w:rsid w:val="574F5E20"/>
    <w:rsid w:val="5757F319"/>
    <w:rsid w:val="57663C63"/>
    <w:rsid w:val="5781F3EE"/>
    <w:rsid w:val="5785619F"/>
    <w:rsid w:val="578BB906"/>
    <w:rsid w:val="57930004"/>
    <w:rsid w:val="57968E1C"/>
    <w:rsid w:val="57EA5959"/>
    <w:rsid w:val="57F4A6C8"/>
    <w:rsid w:val="57F8407D"/>
    <w:rsid w:val="58007DDE"/>
    <w:rsid w:val="581770A5"/>
    <w:rsid w:val="5828AA08"/>
    <w:rsid w:val="58342D3B"/>
    <w:rsid w:val="58561154"/>
    <w:rsid w:val="58688A64"/>
    <w:rsid w:val="586E9301"/>
    <w:rsid w:val="58793C3E"/>
    <w:rsid w:val="58809136"/>
    <w:rsid w:val="5881EC59"/>
    <w:rsid w:val="58999483"/>
    <w:rsid w:val="58B7043D"/>
    <w:rsid w:val="58D49924"/>
    <w:rsid w:val="58DD400A"/>
    <w:rsid w:val="58F874A2"/>
    <w:rsid w:val="59080005"/>
    <w:rsid w:val="590E5F0D"/>
    <w:rsid w:val="591A9A52"/>
    <w:rsid w:val="593D7C93"/>
    <w:rsid w:val="5945FEDD"/>
    <w:rsid w:val="595E1F88"/>
    <w:rsid w:val="599C7D73"/>
    <w:rsid w:val="59B4B311"/>
    <w:rsid w:val="59D0955C"/>
    <w:rsid w:val="59D39417"/>
    <w:rsid w:val="59D54881"/>
    <w:rsid w:val="59E30083"/>
    <w:rsid w:val="59E78AD9"/>
    <w:rsid w:val="5A36B46A"/>
    <w:rsid w:val="5A3755C8"/>
    <w:rsid w:val="5A5990E6"/>
    <w:rsid w:val="5A5C1C48"/>
    <w:rsid w:val="5A5C313E"/>
    <w:rsid w:val="5A61829D"/>
    <w:rsid w:val="5A6CF887"/>
    <w:rsid w:val="5AA1FF77"/>
    <w:rsid w:val="5AB967E9"/>
    <w:rsid w:val="5ABB2399"/>
    <w:rsid w:val="5AC19EB9"/>
    <w:rsid w:val="5AC346BC"/>
    <w:rsid w:val="5AD17D53"/>
    <w:rsid w:val="5AE52CD5"/>
    <w:rsid w:val="5AEB77C2"/>
    <w:rsid w:val="5AEF3311"/>
    <w:rsid w:val="5B0804E7"/>
    <w:rsid w:val="5B0901CC"/>
    <w:rsid w:val="5B15C8D3"/>
    <w:rsid w:val="5B519DD8"/>
    <w:rsid w:val="5B8F04D6"/>
    <w:rsid w:val="5BA25FEB"/>
    <w:rsid w:val="5BBC679D"/>
    <w:rsid w:val="5BD08F72"/>
    <w:rsid w:val="5BE3BA7C"/>
    <w:rsid w:val="5BF8BA35"/>
    <w:rsid w:val="5C0C8031"/>
    <w:rsid w:val="5C2CE68D"/>
    <w:rsid w:val="5C379B61"/>
    <w:rsid w:val="5C795B0F"/>
    <w:rsid w:val="5C8F960C"/>
    <w:rsid w:val="5C8FA90A"/>
    <w:rsid w:val="5CB6AF36"/>
    <w:rsid w:val="5CD7B4D1"/>
    <w:rsid w:val="5CE5007F"/>
    <w:rsid w:val="5CEB4324"/>
    <w:rsid w:val="5CFF0B08"/>
    <w:rsid w:val="5D16E70F"/>
    <w:rsid w:val="5D1BB95E"/>
    <w:rsid w:val="5D2594E9"/>
    <w:rsid w:val="5D280C63"/>
    <w:rsid w:val="5D2A093C"/>
    <w:rsid w:val="5D4BC2B2"/>
    <w:rsid w:val="5D64E0B5"/>
    <w:rsid w:val="5D7FF63F"/>
    <w:rsid w:val="5D9C9230"/>
    <w:rsid w:val="5DAACCDC"/>
    <w:rsid w:val="5DAF5C17"/>
    <w:rsid w:val="5DB178E4"/>
    <w:rsid w:val="5DD8542D"/>
    <w:rsid w:val="5DEF5419"/>
    <w:rsid w:val="5E04E74A"/>
    <w:rsid w:val="5E198A04"/>
    <w:rsid w:val="5E370491"/>
    <w:rsid w:val="5E729233"/>
    <w:rsid w:val="5E72B404"/>
    <w:rsid w:val="5E881E32"/>
    <w:rsid w:val="5E9F30B5"/>
    <w:rsid w:val="5EADDA28"/>
    <w:rsid w:val="5EC4EDB3"/>
    <w:rsid w:val="5EDDC72F"/>
    <w:rsid w:val="5EF65E0C"/>
    <w:rsid w:val="5F007634"/>
    <w:rsid w:val="5F06267B"/>
    <w:rsid w:val="5F0BB412"/>
    <w:rsid w:val="5F0F9146"/>
    <w:rsid w:val="5F1971A1"/>
    <w:rsid w:val="5F20E395"/>
    <w:rsid w:val="5F2BAF0A"/>
    <w:rsid w:val="5F771029"/>
    <w:rsid w:val="5F7913F5"/>
    <w:rsid w:val="5F7EDC72"/>
    <w:rsid w:val="5FA482F5"/>
    <w:rsid w:val="5FBB2AD2"/>
    <w:rsid w:val="5FC5D018"/>
    <w:rsid w:val="5FDF14AA"/>
    <w:rsid w:val="5FF33D08"/>
    <w:rsid w:val="60251269"/>
    <w:rsid w:val="604BA456"/>
    <w:rsid w:val="606CE94F"/>
    <w:rsid w:val="6076FFF8"/>
    <w:rsid w:val="60844E23"/>
    <w:rsid w:val="60870509"/>
    <w:rsid w:val="6090931D"/>
    <w:rsid w:val="60991331"/>
    <w:rsid w:val="609D5AC2"/>
    <w:rsid w:val="60A50A67"/>
    <w:rsid w:val="60B2E519"/>
    <w:rsid w:val="60BCBD7A"/>
    <w:rsid w:val="60BEB106"/>
    <w:rsid w:val="60C5162C"/>
    <w:rsid w:val="60D548E1"/>
    <w:rsid w:val="60D5E651"/>
    <w:rsid w:val="6105D2DE"/>
    <w:rsid w:val="610D71B8"/>
    <w:rsid w:val="612A0A61"/>
    <w:rsid w:val="612D647C"/>
    <w:rsid w:val="61329008"/>
    <w:rsid w:val="6144B9A5"/>
    <w:rsid w:val="614FE74E"/>
    <w:rsid w:val="615A929B"/>
    <w:rsid w:val="6187B667"/>
    <w:rsid w:val="61BACE2D"/>
    <w:rsid w:val="61CECD29"/>
    <w:rsid w:val="61DD5E4B"/>
    <w:rsid w:val="61F45C5C"/>
    <w:rsid w:val="61F4DC60"/>
    <w:rsid w:val="62320542"/>
    <w:rsid w:val="624874B8"/>
    <w:rsid w:val="6256093C"/>
    <w:rsid w:val="626DEEC9"/>
    <w:rsid w:val="62834CC4"/>
    <w:rsid w:val="62A1B854"/>
    <w:rsid w:val="62B17C02"/>
    <w:rsid w:val="62B1D3E3"/>
    <w:rsid w:val="62C5D546"/>
    <w:rsid w:val="62D8CD39"/>
    <w:rsid w:val="62DB24FA"/>
    <w:rsid w:val="62E0FE23"/>
    <w:rsid w:val="62E7D04B"/>
    <w:rsid w:val="62EAF1A5"/>
    <w:rsid w:val="62ED8007"/>
    <w:rsid w:val="63049609"/>
    <w:rsid w:val="63194145"/>
    <w:rsid w:val="631CFE11"/>
    <w:rsid w:val="6333D103"/>
    <w:rsid w:val="634BF0E4"/>
    <w:rsid w:val="636304C2"/>
    <w:rsid w:val="63714985"/>
    <w:rsid w:val="6372E335"/>
    <w:rsid w:val="63734631"/>
    <w:rsid w:val="637E9436"/>
    <w:rsid w:val="6398A4BE"/>
    <w:rsid w:val="63A38AB9"/>
    <w:rsid w:val="63B5FC2F"/>
    <w:rsid w:val="63C1DA5B"/>
    <w:rsid w:val="63D3E757"/>
    <w:rsid w:val="63F9F0E6"/>
    <w:rsid w:val="63FE591E"/>
    <w:rsid w:val="6409DE2E"/>
    <w:rsid w:val="640C0E7E"/>
    <w:rsid w:val="640EF6B6"/>
    <w:rsid w:val="6413BA2E"/>
    <w:rsid w:val="642F2DF2"/>
    <w:rsid w:val="644E129B"/>
    <w:rsid w:val="6458C691"/>
    <w:rsid w:val="646F6958"/>
    <w:rsid w:val="649B737B"/>
    <w:rsid w:val="64A0C883"/>
    <w:rsid w:val="64A15F23"/>
    <w:rsid w:val="64A4A339"/>
    <w:rsid w:val="64C5B03F"/>
    <w:rsid w:val="64D2D0FB"/>
    <w:rsid w:val="64E1B0D6"/>
    <w:rsid w:val="64E5A29C"/>
    <w:rsid w:val="64ED7FC7"/>
    <w:rsid w:val="64EF13D4"/>
    <w:rsid w:val="6506DB8F"/>
    <w:rsid w:val="651195FD"/>
    <w:rsid w:val="651E3127"/>
    <w:rsid w:val="652233E6"/>
    <w:rsid w:val="652A2374"/>
    <w:rsid w:val="654461AE"/>
    <w:rsid w:val="65563460"/>
    <w:rsid w:val="65A613CE"/>
    <w:rsid w:val="65BE35A8"/>
    <w:rsid w:val="65D59A92"/>
    <w:rsid w:val="65E41C32"/>
    <w:rsid w:val="660045BC"/>
    <w:rsid w:val="662A6C56"/>
    <w:rsid w:val="662D2C4D"/>
    <w:rsid w:val="663CD34A"/>
    <w:rsid w:val="663FEAB6"/>
    <w:rsid w:val="66565D10"/>
    <w:rsid w:val="665BFF02"/>
    <w:rsid w:val="6673B566"/>
    <w:rsid w:val="668D04CB"/>
    <w:rsid w:val="66A8355F"/>
    <w:rsid w:val="66B467F3"/>
    <w:rsid w:val="66C4F36E"/>
    <w:rsid w:val="66D10DA4"/>
    <w:rsid w:val="66F2E228"/>
    <w:rsid w:val="6778BED9"/>
    <w:rsid w:val="677E101D"/>
    <w:rsid w:val="678795F5"/>
    <w:rsid w:val="678A8A04"/>
    <w:rsid w:val="678FC9AD"/>
    <w:rsid w:val="67B73FD9"/>
    <w:rsid w:val="67BCD268"/>
    <w:rsid w:val="67E7E32B"/>
    <w:rsid w:val="680CCFDF"/>
    <w:rsid w:val="682C737E"/>
    <w:rsid w:val="6830FDA3"/>
    <w:rsid w:val="6837B77D"/>
    <w:rsid w:val="68384F5F"/>
    <w:rsid w:val="684E5AA6"/>
    <w:rsid w:val="687480C4"/>
    <w:rsid w:val="6882251C"/>
    <w:rsid w:val="68885918"/>
    <w:rsid w:val="68BC1FD0"/>
    <w:rsid w:val="68C2AC04"/>
    <w:rsid w:val="68C70D43"/>
    <w:rsid w:val="69383BB4"/>
    <w:rsid w:val="6939BA09"/>
    <w:rsid w:val="693A0149"/>
    <w:rsid w:val="6941B261"/>
    <w:rsid w:val="694C461D"/>
    <w:rsid w:val="6961BE54"/>
    <w:rsid w:val="696679CA"/>
    <w:rsid w:val="696A95BB"/>
    <w:rsid w:val="6972A848"/>
    <w:rsid w:val="697B9433"/>
    <w:rsid w:val="69AD1585"/>
    <w:rsid w:val="69E71E49"/>
    <w:rsid w:val="6A049143"/>
    <w:rsid w:val="6A0B2065"/>
    <w:rsid w:val="6A1BA3EA"/>
    <w:rsid w:val="6A24B553"/>
    <w:rsid w:val="6A2AE057"/>
    <w:rsid w:val="6A3B30B0"/>
    <w:rsid w:val="6A450863"/>
    <w:rsid w:val="6A455237"/>
    <w:rsid w:val="6A593423"/>
    <w:rsid w:val="6A6262C1"/>
    <w:rsid w:val="6A943A71"/>
    <w:rsid w:val="6A967851"/>
    <w:rsid w:val="6AAAF7D7"/>
    <w:rsid w:val="6AAE8F06"/>
    <w:rsid w:val="6AC2AA25"/>
    <w:rsid w:val="6AC4777F"/>
    <w:rsid w:val="6AC6D6A6"/>
    <w:rsid w:val="6ACF3EFA"/>
    <w:rsid w:val="6AD4D8D3"/>
    <w:rsid w:val="6AE451FB"/>
    <w:rsid w:val="6AEA700E"/>
    <w:rsid w:val="6AFB7623"/>
    <w:rsid w:val="6B2E2B62"/>
    <w:rsid w:val="6B36EBCE"/>
    <w:rsid w:val="6B4382D3"/>
    <w:rsid w:val="6B4460C9"/>
    <w:rsid w:val="6B46DCB0"/>
    <w:rsid w:val="6B48F8F7"/>
    <w:rsid w:val="6B4BCD85"/>
    <w:rsid w:val="6B511BA0"/>
    <w:rsid w:val="6B662588"/>
    <w:rsid w:val="6B85E5A8"/>
    <w:rsid w:val="6B929BF4"/>
    <w:rsid w:val="6B9AD72E"/>
    <w:rsid w:val="6BA8430A"/>
    <w:rsid w:val="6BBD9796"/>
    <w:rsid w:val="6BD7C9EF"/>
    <w:rsid w:val="6BDB02F3"/>
    <w:rsid w:val="6BDCC0DE"/>
    <w:rsid w:val="6BE5EA19"/>
    <w:rsid w:val="6BF9BBF6"/>
    <w:rsid w:val="6C18A473"/>
    <w:rsid w:val="6C336993"/>
    <w:rsid w:val="6C6C5434"/>
    <w:rsid w:val="6C6FD3FA"/>
    <w:rsid w:val="6C7F0C3E"/>
    <w:rsid w:val="6C8A9596"/>
    <w:rsid w:val="6C964DB9"/>
    <w:rsid w:val="6CAA869A"/>
    <w:rsid w:val="6CCA96CD"/>
    <w:rsid w:val="6CCDE63B"/>
    <w:rsid w:val="6CD1C85D"/>
    <w:rsid w:val="6CD7C1B3"/>
    <w:rsid w:val="6CE3E526"/>
    <w:rsid w:val="6CF70987"/>
    <w:rsid w:val="6D053BDD"/>
    <w:rsid w:val="6D10607F"/>
    <w:rsid w:val="6D112598"/>
    <w:rsid w:val="6D13389A"/>
    <w:rsid w:val="6D22F713"/>
    <w:rsid w:val="6D25DB7A"/>
    <w:rsid w:val="6D2CD6D1"/>
    <w:rsid w:val="6D40BE02"/>
    <w:rsid w:val="6D598B9D"/>
    <w:rsid w:val="6D86EF97"/>
    <w:rsid w:val="6D8892BF"/>
    <w:rsid w:val="6D97233D"/>
    <w:rsid w:val="6DA4F946"/>
    <w:rsid w:val="6DB98ED6"/>
    <w:rsid w:val="6DDA93D0"/>
    <w:rsid w:val="6DDC5D86"/>
    <w:rsid w:val="6E37DC1B"/>
    <w:rsid w:val="6E4FD411"/>
    <w:rsid w:val="6E5E3FCC"/>
    <w:rsid w:val="6E6DFCE8"/>
    <w:rsid w:val="6E6F7F65"/>
    <w:rsid w:val="6E82F1EF"/>
    <w:rsid w:val="6E8E3CF5"/>
    <w:rsid w:val="6EA03DDB"/>
    <w:rsid w:val="6EAFE985"/>
    <w:rsid w:val="6EBC7A9F"/>
    <w:rsid w:val="6EDFD93C"/>
    <w:rsid w:val="6EF9E2CF"/>
    <w:rsid w:val="6F52FE0A"/>
    <w:rsid w:val="6F94B1D8"/>
    <w:rsid w:val="6FBF7F07"/>
    <w:rsid w:val="6FCEA579"/>
    <w:rsid w:val="6FE5C270"/>
    <w:rsid w:val="6FF09E13"/>
    <w:rsid w:val="7003BA45"/>
    <w:rsid w:val="70261DE6"/>
    <w:rsid w:val="703A1C6C"/>
    <w:rsid w:val="703AD0AC"/>
    <w:rsid w:val="703DE393"/>
    <w:rsid w:val="70465BE1"/>
    <w:rsid w:val="704E2C55"/>
    <w:rsid w:val="70650952"/>
    <w:rsid w:val="7085DBC7"/>
    <w:rsid w:val="708904C6"/>
    <w:rsid w:val="70C9D6ED"/>
    <w:rsid w:val="70D07A73"/>
    <w:rsid w:val="70DA5E43"/>
    <w:rsid w:val="70E18ECC"/>
    <w:rsid w:val="70E1C192"/>
    <w:rsid w:val="70E6A8F5"/>
    <w:rsid w:val="70E7911B"/>
    <w:rsid w:val="711365FE"/>
    <w:rsid w:val="7116FE14"/>
    <w:rsid w:val="71227705"/>
    <w:rsid w:val="71472DC2"/>
    <w:rsid w:val="71A69BC0"/>
    <w:rsid w:val="71B593E2"/>
    <w:rsid w:val="71BA8C33"/>
    <w:rsid w:val="71C180A8"/>
    <w:rsid w:val="7214BBE1"/>
    <w:rsid w:val="722817B4"/>
    <w:rsid w:val="722F8DCD"/>
    <w:rsid w:val="72376E97"/>
    <w:rsid w:val="724DB905"/>
    <w:rsid w:val="724E4443"/>
    <w:rsid w:val="7267376B"/>
    <w:rsid w:val="727440A4"/>
    <w:rsid w:val="72858DFE"/>
    <w:rsid w:val="729D1AD9"/>
    <w:rsid w:val="72A78D01"/>
    <w:rsid w:val="72A80B53"/>
    <w:rsid w:val="72C3EC3E"/>
    <w:rsid w:val="72CAF06E"/>
    <w:rsid w:val="72E99E8A"/>
    <w:rsid w:val="72F42CC7"/>
    <w:rsid w:val="733D4188"/>
    <w:rsid w:val="73439BE2"/>
    <w:rsid w:val="73462549"/>
    <w:rsid w:val="734C0F11"/>
    <w:rsid w:val="73A9F021"/>
    <w:rsid w:val="73AF5E83"/>
    <w:rsid w:val="73B24D48"/>
    <w:rsid w:val="73CCFBF1"/>
    <w:rsid w:val="73FBF7CC"/>
    <w:rsid w:val="73FFC464"/>
    <w:rsid w:val="740892A5"/>
    <w:rsid w:val="741259B7"/>
    <w:rsid w:val="7424165F"/>
    <w:rsid w:val="7439E32A"/>
    <w:rsid w:val="743D7E28"/>
    <w:rsid w:val="7447603A"/>
    <w:rsid w:val="7457E546"/>
    <w:rsid w:val="745CAC87"/>
    <w:rsid w:val="7476F680"/>
    <w:rsid w:val="74891BFD"/>
    <w:rsid w:val="748F4409"/>
    <w:rsid w:val="748FE5E6"/>
    <w:rsid w:val="74B4F5F3"/>
    <w:rsid w:val="74B84FCF"/>
    <w:rsid w:val="74BF46E9"/>
    <w:rsid w:val="74CF1550"/>
    <w:rsid w:val="74D1F7B0"/>
    <w:rsid w:val="74E4836B"/>
    <w:rsid w:val="751D59C8"/>
    <w:rsid w:val="756070CB"/>
    <w:rsid w:val="7572C96D"/>
    <w:rsid w:val="7586AF41"/>
    <w:rsid w:val="758E4910"/>
    <w:rsid w:val="75A5FEF6"/>
    <w:rsid w:val="75C7B7AF"/>
    <w:rsid w:val="75CC1C0E"/>
    <w:rsid w:val="75D6BE4B"/>
    <w:rsid w:val="75D905E6"/>
    <w:rsid w:val="75DB65F2"/>
    <w:rsid w:val="76168FB1"/>
    <w:rsid w:val="7625A8AF"/>
    <w:rsid w:val="76526475"/>
    <w:rsid w:val="76681247"/>
    <w:rsid w:val="7674F52A"/>
    <w:rsid w:val="7680F9B2"/>
    <w:rsid w:val="7684C296"/>
    <w:rsid w:val="768C1398"/>
    <w:rsid w:val="7694F59B"/>
    <w:rsid w:val="76A51591"/>
    <w:rsid w:val="76A95ADB"/>
    <w:rsid w:val="76AC227A"/>
    <w:rsid w:val="76B5838D"/>
    <w:rsid w:val="76D910B9"/>
    <w:rsid w:val="77299969"/>
    <w:rsid w:val="773929E2"/>
    <w:rsid w:val="7745745B"/>
    <w:rsid w:val="775F31C1"/>
    <w:rsid w:val="777C01C7"/>
    <w:rsid w:val="77904435"/>
    <w:rsid w:val="779D64A8"/>
    <w:rsid w:val="77A9AE4A"/>
    <w:rsid w:val="77B2717E"/>
    <w:rsid w:val="77B77F7B"/>
    <w:rsid w:val="77D0A2DE"/>
    <w:rsid w:val="77E047D6"/>
    <w:rsid w:val="77E47609"/>
    <w:rsid w:val="77E8B1E3"/>
    <w:rsid w:val="77EE00FA"/>
    <w:rsid w:val="7801C394"/>
    <w:rsid w:val="78118CE4"/>
    <w:rsid w:val="78141DD0"/>
    <w:rsid w:val="78251550"/>
    <w:rsid w:val="782AF881"/>
    <w:rsid w:val="784CC20C"/>
    <w:rsid w:val="78535CC3"/>
    <w:rsid w:val="78898326"/>
    <w:rsid w:val="78BA927F"/>
    <w:rsid w:val="78BD8069"/>
    <w:rsid w:val="78CC3E0F"/>
    <w:rsid w:val="78DE8CB6"/>
    <w:rsid w:val="78E7088D"/>
    <w:rsid w:val="790C8C32"/>
    <w:rsid w:val="791DC2C9"/>
    <w:rsid w:val="791FC298"/>
    <w:rsid w:val="7936A098"/>
    <w:rsid w:val="7957915D"/>
    <w:rsid w:val="79585865"/>
    <w:rsid w:val="795D1226"/>
    <w:rsid w:val="797982D8"/>
    <w:rsid w:val="798C5A85"/>
    <w:rsid w:val="798F4B0A"/>
    <w:rsid w:val="79E52CA7"/>
    <w:rsid w:val="79EAD1ED"/>
    <w:rsid w:val="79FDB6AC"/>
    <w:rsid w:val="7A0332B3"/>
    <w:rsid w:val="7A109B19"/>
    <w:rsid w:val="7A255C3F"/>
    <w:rsid w:val="7A47B571"/>
    <w:rsid w:val="7A4D1EA8"/>
    <w:rsid w:val="7A5C8AD1"/>
    <w:rsid w:val="7A62DDD7"/>
    <w:rsid w:val="7A76BD80"/>
    <w:rsid w:val="7A96FCC9"/>
    <w:rsid w:val="7AA06087"/>
    <w:rsid w:val="7AB9A2F2"/>
    <w:rsid w:val="7ABE2931"/>
    <w:rsid w:val="7AC5A5EB"/>
    <w:rsid w:val="7AC6AEF6"/>
    <w:rsid w:val="7AE0F3A9"/>
    <w:rsid w:val="7AEC73BD"/>
    <w:rsid w:val="7B30031C"/>
    <w:rsid w:val="7B393A15"/>
    <w:rsid w:val="7B458E89"/>
    <w:rsid w:val="7B7A72C3"/>
    <w:rsid w:val="7B8B16C0"/>
    <w:rsid w:val="7B91665A"/>
    <w:rsid w:val="7BA46F63"/>
    <w:rsid w:val="7BB90358"/>
    <w:rsid w:val="7BC2E785"/>
    <w:rsid w:val="7BC6191B"/>
    <w:rsid w:val="7BD90356"/>
    <w:rsid w:val="7BE3E5DA"/>
    <w:rsid w:val="7BEA0EF2"/>
    <w:rsid w:val="7BF93914"/>
    <w:rsid w:val="7C0C4C41"/>
    <w:rsid w:val="7C2D498E"/>
    <w:rsid w:val="7C6D378A"/>
    <w:rsid w:val="7C87D500"/>
    <w:rsid w:val="7C89CACA"/>
    <w:rsid w:val="7C98DCB6"/>
    <w:rsid w:val="7C9CE9D6"/>
    <w:rsid w:val="7CA0FA01"/>
    <w:rsid w:val="7CAA9FE0"/>
    <w:rsid w:val="7CBCC242"/>
    <w:rsid w:val="7CE99F50"/>
    <w:rsid w:val="7CF25F0B"/>
    <w:rsid w:val="7D010407"/>
    <w:rsid w:val="7D0E62F5"/>
    <w:rsid w:val="7D1D1BD1"/>
    <w:rsid w:val="7D2AC31D"/>
    <w:rsid w:val="7D2DC15B"/>
    <w:rsid w:val="7D49F568"/>
    <w:rsid w:val="7D4C4DC9"/>
    <w:rsid w:val="7D695CA2"/>
    <w:rsid w:val="7D767EE6"/>
    <w:rsid w:val="7D7AFBC4"/>
    <w:rsid w:val="7DBE7480"/>
    <w:rsid w:val="7DBEB32A"/>
    <w:rsid w:val="7DD24355"/>
    <w:rsid w:val="7DD4FFBD"/>
    <w:rsid w:val="7DE1C6A1"/>
    <w:rsid w:val="7DFDEF27"/>
    <w:rsid w:val="7E1598EF"/>
    <w:rsid w:val="7E17822B"/>
    <w:rsid w:val="7E18BF49"/>
    <w:rsid w:val="7E22D862"/>
    <w:rsid w:val="7E2E75F0"/>
    <w:rsid w:val="7E37D778"/>
    <w:rsid w:val="7E42717E"/>
    <w:rsid w:val="7E4D3D01"/>
    <w:rsid w:val="7E61825C"/>
    <w:rsid w:val="7E634022"/>
    <w:rsid w:val="7E6826AF"/>
    <w:rsid w:val="7E83BB90"/>
    <w:rsid w:val="7E944509"/>
    <w:rsid w:val="7EB4C06F"/>
    <w:rsid w:val="7EBB054C"/>
    <w:rsid w:val="7ECC49F1"/>
    <w:rsid w:val="7ED2CDEE"/>
    <w:rsid w:val="7EECF94B"/>
    <w:rsid w:val="7EF15385"/>
    <w:rsid w:val="7F031BA7"/>
    <w:rsid w:val="7F538FAE"/>
    <w:rsid w:val="7F724897"/>
    <w:rsid w:val="7F730F58"/>
    <w:rsid w:val="7F7362A7"/>
    <w:rsid w:val="7F9F7C55"/>
    <w:rsid w:val="7FA18812"/>
    <w:rsid w:val="7FA9C810"/>
    <w:rsid w:val="7FD1AEBB"/>
    <w:rsid w:val="7FE0D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5B15"/>
  <w15:docId w15:val="{CBDAE402-4BCC-4446-B1A6-3DEB7EC1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7A"/>
    <w:pPr>
      <w:spacing w:after="0" w:line="240" w:lineRule="auto"/>
      <w:jc w:val="both"/>
    </w:pPr>
  </w:style>
  <w:style w:type="paragraph" w:styleId="Heading1">
    <w:name w:val="heading 1"/>
    <w:basedOn w:val="Normal"/>
    <w:next w:val="Normal"/>
    <w:link w:val="Heading1Char"/>
    <w:uiPriority w:val="9"/>
    <w:qFormat/>
    <w:rsid w:val="00F30634"/>
    <w:pPr>
      <w:keepNext/>
      <w:numPr>
        <w:numId w:val="1"/>
      </w:numPr>
      <w:spacing w:before="480" w:line="480" w:lineRule="auto"/>
      <w:outlineLvl w:val="0"/>
    </w:pPr>
    <w:rPr>
      <w:rFonts w:eastAsia="Calibri"/>
      <w:b/>
      <w:bCs/>
      <w:kern w:val="32"/>
      <w:sz w:val="24"/>
      <w:szCs w:val="24"/>
    </w:rPr>
  </w:style>
  <w:style w:type="paragraph" w:styleId="Heading2">
    <w:name w:val="heading 2"/>
    <w:basedOn w:val="Normal"/>
    <w:next w:val="Normal"/>
    <w:link w:val="Heading2Char"/>
    <w:uiPriority w:val="9"/>
    <w:unhideWhenUsed/>
    <w:qFormat/>
    <w:rsid w:val="009E7506"/>
    <w:pPr>
      <w:keepNext/>
      <w:spacing w:before="240" w:after="60"/>
      <w:ind w:left="1890"/>
      <w:jc w:val="left"/>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9E7506"/>
    <w:pPr>
      <w:keepNext/>
      <w:spacing w:before="240" w:after="60"/>
      <w:ind w:left="2880"/>
      <w:jc w:val="left"/>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E7506"/>
    <w:pPr>
      <w:keepNext/>
      <w:spacing w:before="240" w:after="60"/>
      <w:ind w:left="3600"/>
      <w:jc w:val="left"/>
      <w:outlineLvl w:val="3"/>
    </w:pPr>
    <w:rPr>
      <w:b/>
      <w:bCs/>
      <w:sz w:val="28"/>
      <w:szCs w:val="28"/>
    </w:rPr>
  </w:style>
  <w:style w:type="paragraph" w:styleId="Heading5">
    <w:name w:val="heading 5"/>
    <w:basedOn w:val="Normal"/>
    <w:next w:val="Normal"/>
    <w:link w:val="Heading5Char"/>
    <w:uiPriority w:val="9"/>
    <w:semiHidden/>
    <w:unhideWhenUsed/>
    <w:qFormat/>
    <w:rsid w:val="009E7506"/>
    <w:pPr>
      <w:spacing w:before="240" w:after="60"/>
      <w:ind w:left="4320"/>
      <w:jc w:val="left"/>
      <w:outlineLvl w:val="4"/>
    </w:pPr>
    <w:rPr>
      <w:b/>
      <w:bCs/>
      <w:i/>
      <w:iCs/>
      <w:sz w:val="26"/>
      <w:szCs w:val="26"/>
    </w:rPr>
  </w:style>
  <w:style w:type="paragraph" w:styleId="Heading6">
    <w:name w:val="heading 6"/>
    <w:basedOn w:val="Normal"/>
    <w:link w:val="Heading6Char"/>
    <w:uiPriority w:val="9"/>
    <w:qFormat/>
    <w:rsid w:val="009E7506"/>
    <w:pPr>
      <w:widowControl w:val="0"/>
      <w:ind w:left="5040"/>
      <w:jc w:val="left"/>
      <w:outlineLvl w:val="5"/>
    </w:pPr>
    <w:rPr>
      <w:b/>
      <w:bCs/>
      <w:sz w:val="23"/>
      <w:szCs w:val="23"/>
    </w:rPr>
  </w:style>
  <w:style w:type="paragraph" w:styleId="Heading7">
    <w:name w:val="heading 7"/>
    <w:basedOn w:val="Normal"/>
    <w:next w:val="Normal"/>
    <w:link w:val="Heading7Char"/>
    <w:uiPriority w:val="9"/>
    <w:semiHidden/>
    <w:unhideWhenUsed/>
    <w:qFormat/>
    <w:rsid w:val="009E7506"/>
    <w:pPr>
      <w:spacing w:before="240" w:after="60"/>
      <w:ind w:left="5760"/>
      <w:jc w:val="left"/>
      <w:outlineLvl w:val="6"/>
    </w:pPr>
    <w:rPr>
      <w:sz w:val="24"/>
      <w:szCs w:val="24"/>
    </w:rPr>
  </w:style>
  <w:style w:type="paragraph" w:styleId="Heading8">
    <w:name w:val="heading 8"/>
    <w:basedOn w:val="Normal"/>
    <w:next w:val="Normal"/>
    <w:link w:val="Heading8Char"/>
    <w:uiPriority w:val="9"/>
    <w:semiHidden/>
    <w:unhideWhenUsed/>
    <w:qFormat/>
    <w:rsid w:val="009E7506"/>
    <w:pPr>
      <w:spacing w:before="240" w:after="60"/>
      <w:ind w:left="6480"/>
      <w:jc w:val="left"/>
      <w:outlineLvl w:val="7"/>
    </w:pPr>
    <w:rPr>
      <w:i/>
      <w:iCs/>
      <w:sz w:val="24"/>
      <w:szCs w:val="24"/>
    </w:rPr>
  </w:style>
  <w:style w:type="paragraph" w:styleId="Heading9">
    <w:name w:val="heading 9"/>
    <w:basedOn w:val="Normal"/>
    <w:next w:val="Normal"/>
    <w:link w:val="Heading9Char"/>
    <w:uiPriority w:val="9"/>
    <w:semiHidden/>
    <w:unhideWhenUsed/>
    <w:qFormat/>
    <w:rsid w:val="009E7506"/>
    <w:pPr>
      <w:spacing w:before="240" w:after="60"/>
      <w:ind w:left="7200"/>
      <w:jc w:val="left"/>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30634"/>
    <w:rPr>
      <w:rFonts w:eastAsia="Calibri"/>
      <w:b/>
      <w:bCs/>
      <w:kern w:val="32"/>
      <w:sz w:val="24"/>
      <w:szCs w:val="24"/>
    </w:rPr>
  </w:style>
  <w:style w:type="character" w:customStyle="1" w:styleId="Heading2Char">
    <w:name w:val="Heading 2 Char"/>
    <w:basedOn w:val="DefaultParagraphFont"/>
    <w:link w:val="Heading2"/>
    <w:uiPriority w:val="9"/>
    <w:qFormat/>
    <w:rsid w:val="009E750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qFormat/>
    <w:rsid w:val="009E750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qFormat/>
    <w:rsid w:val="009E750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sid w:val="009E750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qFormat/>
    <w:rsid w:val="009E7506"/>
    <w:rPr>
      <w:rFonts w:ascii="Times New Roman" w:eastAsia="Times New Roman" w:hAnsi="Times New Roman" w:cs="Times New Roman"/>
      <w:b/>
      <w:bCs/>
      <w:sz w:val="23"/>
      <w:szCs w:val="23"/>
    </w:rPr>
  </w:style>
  <w:style w:type="character" w:customStyle="1" w:styleId="Heading7Char">
    <w:name w:val="Heading 7 Char"/>
    <w:basedOn w:val="DefaultParagraphFont"/>
    <w:link w:val="Heading7"/>
    <w:uiPriority w:val="9"/>
    <w:semiHidden/>
    <w:qFormat/>
    <w:rsid w:val="009E750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qFormat/>
    <w:rsid w:val="009E750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qFormat/>
    <w:rsid w:val="009E7506"/>
    <w:rPr>
      <w:rFonts w:ascii="Calibri Light" w:eastAsia="Times New Roman" w:hAnsi="Calibri Light" w:cs="Times New Roman"/>
    </w:rPr>
  </w:style>
  <w:style w:type="paragraph" w:styleId="BalloonText">
    <w:name w:val="Balloon Text"/>
    <w:basedOn w:val="Normal"/>
    <w:link w:val="BalloonTextChar"/>
    <w:semiHidden/>
    <w:qFormat/>
    <w:rsid w:val="009E7506"/>
    <w:rPr>
      <w:rFonts w:ascii="Tahoma" w:eastAsia="Calibri" w:hAnsi="Tahoma"/>
      <w:sz w:val="16"/>
      <w:szCs w:val="16"/>
    </w:rPr>
  </w:style>
  <w:style w:type="character" w:customStyle="1" w:styleId="BalloonTextChar">
    <w:name w:val="Balloon Text Char"/>
    <w:basedOn w:val="DefaultParagraphFont"/>
    <w:link w:val="BalloonText"/>
    <w:semiHidden/>
    <w:qFormat/>
    <w:rsid w:val="009E7506"/>
    <w:rPr>
      <w:rFonts w:ascii="Tahoma" w:eastAsia="Calibri" w:hAnsi="Tahoma" w:cs="Times New Roman"/>
      <w:sz w:val="16"/>
      <w:szCs w:val="16"/>
    </w:rPr>
  </w:style>
  <w:style w:type="paragraph" w:styleId="Header">
    <w:name w:val="header"/>
    <w:basedOn w:val="Normal"/>
    <w:link w:val="HeaderChar"/>
    <w:uiPriority w:val="99"/>
    <w:rsid w:val="009E7506"/>
    <w:pPr>
      <w:tabs>
        <w:tab w:val="center" w:pos="4680"/>
        <w:tab w:val="right" w:pos="9360"/>
      </w:tabs>
    </w:pPr>
    <w:rPr>
      <w:rFonts w:eastAsia="Calibri"/>
      <w:sz w:val="20"/>
      <w:szCs w:val="20"/>
    </w:rPr>
  </w:style>
  <w:style w:type="character" w:customStyle="1" w:styleId="HeaderChar">
    <w:name w:val="Header Char"/>
    <w:basedOn w:val="DefaultParagraphFont"/>
    <w:link w:val="Header"/>
    <w:uiPriority w:val="99"/>
    <w:qFormat/>
    <w:rsid w:val="009E7506"/>
    <w:rPr>
      <w:rFonts w:ascii="Calibri" w:eastAsia="Calibri" w:hAnsi="Calibri" w:cs="Times New Roman"/>
      <w:sz w:val="20"/>
      <w:szCs w:val="20"/>
    </w:rPr>
  </w:style>
  <w:style w:type="paragraph" w:styleId="Footer">
    <w:name w:val="footer"/>
    <w:basedOn w:val="Normal"/>
    <w:link w:val="FooterChar"/>
    <w:uiPriority w:val="99"/>
    <w:rsid w:val="009E7506"/>
    <w:pPr>
      <w:tabs>
        <w:tab w:val="center" w:pos="4680"/>
        <w:tab w:val="right" w:pos="9360"/>
      </w:tabs>
    </w:pPr>
    <w:rPr>
      <w:rFonts w:eastAsia="Calibri"/>
      <w:sz w:val="20"/>
      <w:szCs w:val="20"/>
    </w:rPr>
  </w:style>
  <w:style w:type="character" w:customStyle="1" w:styleId="FooterChar">
    <w:name w:val="Footer Char"/>
    <w:basedOn w:val="DefaultParagraphFont"/>
    <w:link w:val="Footer"/>
    <w:uiPriority w:val="99"/>
    <w:qFormat/>
    <w:rsid w:val="009E7506"/>
    <w:rPr>
      <w:rFonts w:ascii="Calibri" w:eastAsia="Calibri" w:hAnsi="Calibri" w:cs="Times New Roman"/>
      <w:sz w:val="20"/>
      <w:szCs w:val="20"/>
    </w:rPr>
  </w:style>
  <w:style w:type="paragraph" w:styleId="ListParagraph">
    <w:name w:val="List Paragraph"/>
    <w:basedOn w:val="Normal"/>
    <w:link w:val="ListParagraphChar"/>
    <w:uiPriority w:val="34"/>
    <w:qFormat/>
    <w:rsid w:val="009E7506"/>
    <w:pPr>
      <w:spacing w:after="200" w:line="276" w:lineRule="auto"/>
      <w:ind w:left="720"/>
      <w:jc w:val="left"/>
    </w:pPr>
  </w:style>
  <w:style w:type="character" w:styleId="CommentReference">
    <w:name w:val="annotation reference"/>
    <w:uiPriority w:val="99"/>
    <w:qFormat/>
    <w:rsid w:val="009E7506"/>
    <w:rPr>
      <w:rFonts w:cs="Times New Roman"/>
      <w:sz w:val="16"/>
      <w:szCs w:val="16"/>
    </w:rPr>
  </w:style>
  <w:style w:type="paragraph" w:styleId="CommentText">
    <w:name w:val="annotation text"/>
    <w:basedOn w:val="Normal"/>
    <w:link w:val="CommentTextChar"/>
    <w:uiPriority w:val="99"/>
    <w:qFormat/>
    <w:rsid w:val="009E7506"/>
    <w:rPr>
      <w:rFonts w:eastAsia="Calibri"/>
      <w:sz w:val="20"/>
      <w:szCs w:val="20"/>
    </w:rPr>
  </w:style>
  <w:style w:type="character" w:customStyle="1" w:styleId="CommentTextChar">
    <w:name w:val="Comment Text Char"/>
    <w:basedOn w:val="DefaultParagraphFont"/>
    <w:link w:val="CommentText"/>
    <w:uiPriority w:val="99"/>
    <w:qFormat/>
    <w:rsid w:val="009E75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qFormat/>
    <w:rsid w:val="009E7506"/>
    <w:rPr>
      <w:b/>
      <w:bCs/>
    </w:rPr>
  </w:style>
  <w:style w:type="character" w:customStyle="1" w:styleId="CommentSubjectChar">
    <w:name w:val="Comment Subject Char"/>
    <w:basedOn w:val="CommentTextChar"/>
    <w:link w:val="CommentSubject"/>
    <w:uiPriority w:val="99"/>
    <w:semiHidden/>
    <w:qFormat/>
    <w:rsid w:val="009E7506"/>
    <w:rPr>
      <w:rFonts w:ascii="Calibri" w:eastAsia="Calibri" w:hAnsi="Calibri" w:cs="Times New Roman"/>
      <w:b/>
      <w:bCs/>
      <w:sz w:val="20"/>
      <w:szCs w:val="20"/>
    </w:rPr>
  </w:style>
  <w:style w:type="paragraph" w:styleId="FootnoteText">
    <w:name w:val="footnote text"/>
    <w:aliases w:val="EMI Footnote Text"/>
    <w:basedOn w:val="Normal"/>
    <w:link w:val="FootnoteTextChar2"/>
    <w:uiPriority w:val="99"/>
    <w:qFormat/>
    <w:rsid w:val="009E7506"/>
    <w:rPr>
      <w:rFonts w:eastAsia="Calibri"/>
      <w:sz w:val="20"/>
      <w:szCs w:val="20"/>
    </w:rPr>
  </w:style>
  <w:style w:type="character" w:customStyle="1" w:styleId="FootnoteTextChar">
    <w:name w:val="Footnote Text Char"/>
    <w:aliases w:val="EMI Footnote Text Char"/>
    <w:basedOn w:val="DefaultParagraphFont"/>
    <w:uiPriority w:val="99"/>
    <w:qFormat/>
    <w:rsid w:val="009E7506"/>
    <w:rPr>
      <w:rFonts w:ascii="Calibri" w:eastAsia="Times New Roman" w:hAnsi="Calibri" w:cs="Times New Roman"/>
      <w:sz w:val="20"/>
      <w:szCs w:val="20"/>
    </w:rPr>
  </w:style>
  <w:style w:type="character" w:customStyle="1" w:styleId="FootnoteTextChar2">
    <w:name w:val="Footnote Text Char2"/>
    <w:aliases w:val="EMI Footnote Text Char1"/>
    <w:link w:val="FootnoteText"/>
    <w:uiPriority w:val="99"/>
    <w:qFormat/>
    <w:locked/>
    <w:rsid w:val="009E7506"/>
    <w:rPr>
      <w:rFonts w:ascii="Calibri" w:eastAsia="Calibri" w:hAnsi="Calibri" w:cs="Times New Roman"/>
      <w:sz w:val="20"/>
      <w:szCs w:val="20"/>
    </w:rPr>
  </w:style>
  <w:style w:type="character" w:styleId="FootnoteReference">
    <w:name w:val="footnote reference"/>
    <w:aliases w:val="o"/>
    <w:uiPriority w:val="99"/>
    <w:qFormat/>
    <w:rsid w:val="009E7506"/>
    <w:rPr>
      <w:rFonts w:cs="Times New Roman"/>
      <w:vertAlign w:val="superscript"/>
    </w:rPr>
  </w:style>
  <w:style w:type="character" w:customStyle="1" w:styleId="72">
    <w:name w:val="72"/>
    <w:qFormat/>
    <w:rsid w:val="009E7506"/>
    <w:rPr>
      <w:rFonts w:cs="Times New Roman"/>
    </w:rPr>
  </w:style>
  <w:style w:type="paragraph" w:customStyle="1" w:styleId="Default">
    <w:name w:val="Default"/>
    <w:link w:val="DefaultChar"/>
    <w:qFormat/>
    <w:rsid w:val="009E7506"/>
    <w:pPr>
      <w:autoSpaceDE w:val="0"/>
      <w:autoSpaceDN w:val="0"/>
      <w:adjustRightInd w:val="0"/>
      <w:spacing w:after="0" w:line="240" w:lineRule="auto"/>
    </w:pPr>
    <w:rPr>
      <w:rFonts w:eastAsia="Times New Roman"/>
      <w:color w:val="000000"/>
      <w:sz w:val="24"/>
      <w:szCs w:val="24"/>
    </w:rPr>
  </w:style>
  <w:style w:type="character" w:styleId="Hyperlink">
    <w:name w:val="Hyperlink"/>
    <w:uiPriority w:val="99"/>
    <w:rsid w:val="009E7506"/>
    <w:rPr>
      <w:rFonts w:cs="Times New Roman"/>
      <w:color w:val="0000FF"/>
      <w:u w:val="single"/>
    </w:rPr>
  </w:style>
  <w:style w:type="paragraph" w:styleId="PlainText">
    <w:name w:val="Plain Text"/>
    <w:aliases w:val=" Char"/>
    <w:basedOn w:val="Normal"/>
    <w:link w:val="PlainTextChar"/>
    <w:semiHidden/>
    <w:qFormat/>
    <w:rsid w:val="009E7506"/>
    <w:pPr>
      <w:jc w:val="left"/>
    </w:pPr>
    <w:rPr>
      <w:rFonts w:eastAsia="Calibri"/>
      <w:sz w:val="24"/>
      <w:szCs w:val="24"/>
    </w:rPr>
  </w:style>
  <w:style w:type="character" w:customStyle="1" w:styleId="PlainTextChar">
    <w:name w:val="Plain Text Char"/>
    <w:aliases w:val=" Char Char"/>
    <w:basedOn w:val="DefaultParagraphFont"/>
    <w:link w:val="PlainText"/>
    <w:semiHidden/>
    <w:qFormat/>
    <w:rsid w:val="009E7506"/>
    <w:rPr>
      <w:rFonts w:ascii="Times New Roman" w:eastAsia="Calibri" w:hAnsi="Times New Roman" w:cs="Times New Roman"/>
      <w:sz w:val="24"/>
      <w:szCs w:val="24"/>
    </w:rPr>
  </w:style>
  <w:style w:type="paragraph" w:styleId="Caption">
    <w:name w:val="caption"/>
    <w:basedOn w:val="Normal"/>
    <w:next w:val="Normal"/>
    <w:uiPriority w:val="35"/>
    <w:qFormat/>
    <w:rsid w:val="009E7506"/>
    <w:pPr>
      <w:keepNext/>
      <w:spacing w:before="120" w:after="120"/>
      <w:jc w:val="center"/>
    </w:pPr>
    <w:rPr>
      <w:rFonts w:eastAsia="Calibri"/>
      <w:b/>
      <w:bCs/>
      <w:sz w:val="20"/>
      <w:szCs w:val="20"/>
    </w:rPr>
  </w:style>
  <w:style w:type="paragraph" w:customStyle="1" w:styleId="Question">
    <w:name w:val="Question"/>
    <w:basedOn w:val="Normal"/>
    <w:qFormat/>
    <w:rsid w:val="00804276"/>
    <w:pPr>
      <w:autoSpaceDE w:val="0"/>
      <w:autoSpaceDN w:val="0"/>
      <w:adjustRightInd w:val="0"/>
      <w:spacing w:before="480" w:line="480" w:lineRule="auto"/>
      <w:ind w:left="720" w:hanging="720"/>
    </w:pPr>
    <w:rPr>
      <w:b/>
      <w:caps/>
      <w:sz w:val="24"/>
      <w:szCs w:val="24"/>
    </w:rPr>
  </w:style>
  <w:style w:type="character" w:styleId="LineNumber">
    <w:name w:val="line number"/>
    <w:semiHidden/>
    <w:qFormat/>
    <w:rsid w:val="009E7506"/>
    <w:rPr>
      <w:rFonts w:cs="Times New Roman"/>
    </w:rPr>
  </w:style>
  <w:style w:type="character" w:customStyle="1" w:styleId="CharChar">
    <w:name w:val="Char Char"/>
    <w:rsid w:val="009E7506"/>
    <w:rPr>
      <w:rFonts w:cs="Times New Roman"/>
      <w:lang w:val="en-US" w:eastAsia="en-US" w:bidi="ar-SA"/>
    </w:rPr>
  </w:style>
  <w:style w:type="character" w:styleId="FollowedHyperlink">
    <w:name w:val="FollowedHyperlink"/>
    <w:uiPriority w:val="99"/>
    <w:semiHidden/>
    <w:qFormat/>
    <w:rsid w:val="009E7506"/>
    <w:rPr>
      <w:rFonts w:cs="Times New Roman"/>
      <w:color w:val="800080"/>
      <w:u w:val="single"/>
    </w:rPr>
  </w:style>
  <w:style w:type="character" w:styleId="PageNumber">
    <w:name w:val="page number"/>
    <w:qFormat/>
    <w:rsid w:val="009E7506"/>
    <w:rPr>
      <w:rFonts w:cs="Times New Roman"/>
    </w:rPr>
  </w:style>
  <w:style w:type="paragraph" w:styleId="TOC1">
    <w:name w:val="toc 1"/>
    <w:basedOn w:val="Normal"/>
    <w:next w:val="Normal"/>
    <w:autoRedefine/>
    <w:uiPriority w:val="39"/>
    <w:rsid w:val="0021465F"/>
    <w:pPr>
      <w:tabs>
        <w:tab w:val="left" w:pos="450"/>
        <w:tab w:val="right" w:leader="dot" w:pos="9350"/>
      </w:tabs>
      <w:spacing w:line="480" w:lineRule="auto"/>
      <w:ind w:left="446" w:right="1080" w:hanging="446"/>
      <w:jc w:val="left"/>
    </w:pPr>
  </w:style>
  <w:style w:type="character" w:customStyle="1" w:styleId="FootnoteTextChar1">
    <w:name w:val="Footnote Text Char1"/>
    <w:uiPriority w:val="99"/>
    <w:semiHidden/>
    <w:qFormat/>
    <w:rsid w:val="009E7506"/>
    <w:rPr>
      <w:rFonts w:ascii="Calibri" w:hAnsi="Calibri"/>
      <w:sz w:val="20"/>
    </w:rPr>
  </w:style>
  <w:style w:type="paragraph" w:customStyle="1" w:styleId="msonormalcxspmiddle">
    <w:name w:val="msonormalcxspmiddle"/>
    <w:basedOn w:val="Normal"/>
    <w:rsid w:val="009E7506"/>
    <w:pPr>
      <w:spacing w:before="100" w:beforeAutospacing="1" w:after="100" w:afterAutospacing="1"/>
      <w:jc w:val="left"/>
    </w:pPr>
    <w:rPr>
      <w:sz w:val="24"/>
      <w:szCs w:val="24"/>
    </w:rPr>
  </w:style>
  <w:style w:type="character" w:styleId="Emphasis">
    <w:name w:val="Emphasis"/>
    <w:qFormat/>
    <w:rsid w:val="009E7506"/>
    <w:rPr>
      <w:b/>
      <w:bCs/>
      <w:i w:val="0"/>
      <w:iCs w:val="0"/>
    </w:rPr>
  </w:style>
  <w:style w:type="character" w:customStyle="1" w:styleId="st1">
    <w:name w:val="st1"/>
    <w:basedOn w:val="DefaultParagraphFont"/>
    <w:rsid w:val="009E7506"/>
  </w:style>
  <w:style w:type="numbering" w:customStyle="1" w:styleId="NoList1">
    <w:name w:val="No List1"/>
    <w:next w:val="NoList"/>
    <w:uiPriority w:val="99"/>
    <w:semiHidden/>
    <w:unhideWhenUsed/>
    <w:rsid w:val="009E7506"/>
  </w:style>
  <w:style w:type="paragraph" w:customStyle="1" w:styleId="Style0">
    <w:name w:val="Style0"/>
    <w:rsid w:val="009E7506"/>
    <w:pPr>
      <w:snapToGrid w:val="0"/>
      <w:spacing w:after="0" w:line="240" w:lineRule="auto"/>
    </w:pPr>
    <w:rPr>
      <w:rFonts w:ascii="Arial" w:eastAsia="Times New Roman" w:hAnsi="Arial"/>
      <w:sz w:val="24"/>
      <w:szCs w:val="20"/>
    </w:rPr>
  </w:style>
  <w:style w:type="paragraph" w:styleId="BodyTextIndent">
    <w:name w:val="Body Text Indent"/>
    <w:basedOn w:val="Normal"/>
    <w:link w:val="BodyTextIndentChar"/>
    <w:semiHidden/>
    <w:rsid w:val="009E7506"/>
    <w:pPr>
      <w:spacing w:line="480" w:lineRule="auto"/>
      <w:ind w:left="720" w:hanging="720"/>
    </w:pPr>
    <w:rPr>
      <w:b/>
      <w:bCs/>
      <w:sz w:val="24"/>
      <w:szCs w:val="20"/>
    </w:rPr>
  </w:style>
  <w:style w:type="character" w:customStyle="1" w:styleId="BodyTextIndentChar">
    <w:name w:val="Body Text Indent Char"/>
    <w:basedOn w:val="DefaultParagraphFont"/>
    <w:link w:val="BodyTextIndent"/>
    <w:semiHidden/>
    <w:qFormat/>
    <w:rsid w:val="009E7506"/>
    <w:rPr>
      <w:rFonts w:ascii="Times New Roman" w:eastAsia="Times New Roman" w:hAnsi="Times New Roman" w:cs="Times New Roman"/>
      <w:b/>
      <w:bCs/>
      <w:sz w:val="24"/>
      <w:szCs w:val="20"/>
    </w:rPr>
  </w:style>
  <w:style w:type="paragraph" w:customStyle="1" w:styleId="PleaseNote">
    <w:name w:val="Please Note"/>
    <w:rsid w:val="009E7506"/>
    <w:pPr>
      <w:spacing w:before="60" w:after="60" w:line="240" w:lineRule="auto"/>
      <w:ind w:left="1440" w:hanging="720"/>
    </w:pPr>
    <w:rPr>
      <w:rFonts w:ascii="Tahoma" w:eastAsia="Times New Roman" w:hAnsi="Tahoma"/>
      <w:b/>
      <w:smallCaps/>
      <w:sz w:val="20"/>
      <w:szCs w:val="18"/>
    </w:rPr>
  </w:style>
  <w:style w:type="paragraph" w:styleId="BodyText">
    <w:name w:val="Body Text"/>
    <w:basedOn w:val="Normal"/>
    <w:link w:val="BodyTextChar"/>
    <w:uiPriority w:val="99"/>
    <w:unhideWhenUsed/>
    <w:rsid w:val="009E7506"/>
    <w:pPr>
      <w:spacing w:after="120"/>
      <w:jc w:val="left"/>
    </w:pPr>
    <w:rPr>
      <w:rFonts w:ascii="Arial" w:hAnsi="Arial"/>
      <w:sz w:val="23"/>
      <w:szCs w:val="20"/>
    </w:rPr>
  </w:style>
  <w:style w:type="character" w:customStyle="1" w:styleId="BodyTextChar">
    <w:name w:val="Body Text Char"/>
    <w:basedOn w:val="DefaultParagraphFont"/>
    <w:link w:val="BodyText"/>
    <w:uiPriority w:val="99"/>
    <w:qFormat/>
    <w:rsid w:val="009E7506"/>
    <w:rPr>
      <w:rFonts w:ascii="Arial" w:eastAsia="Times New Roman" w:hAnsi="Arial" w:cs="Times New Roman"/>
      <w:sz w:val="23"/>
      <w:szCs w:val="20"/>
    </w:rPr>
  </w:style>
  <w:style w:type="paragraph" w:customStyle="1" w:styleId="Footnote">
    <w:name w:val="Footnote"/>
    <w:basedOn w:val="FootnoteText"/>
    <w:link w:val="FootnoteChar"/>
    <w:rsid w:val="009E7506"/>
    <w:pPr>
      <w:spacing w:after="240"/>
      <w:jc w:val="left"/>
    </w:pPr>
    <w:rPr>
      <w:rFonts w:ascii="Arial" w:eastAsia="Times New Roman" w:hAnsi="Arial"/>
      <w:sz w:val="18"/>
      <w:szCs w:val="18"/>
    </w:rPr>
  </w:style>
  <w:style w:type="character" w:customStyle="1" w:styleId="FootnoteChar">
    <w:name w:val="Footnote Char"/>
    <w:link w:val="Footnote"/>
    <w:qFormat/>
    <w:rsid w:val="009E7506"/>
    <w:rPr>
      <w:rFonts w:ascii="Arial" w:eastAsia="Times New Roman" w:hAnsi="Arial" w:cs="Times New Roman"/>
      <w:sz w:val="18"/>
      <w:szCs w:val="18"/>
    </w:rPr>
  </w:style>
  <w:style w:type="paragraph" w:styleId="TOCHeading">
    <w:name w:val="TOC Heading"/>
    <w:basedOn w:val="Heading1"/>
    <w:next w:val="Normal"/>
    <w:uiPriority w:val="39"/>
    <w:unhideWhenUsed/>
    <w:qFormat/>
    <w:rsid w:val="009E7506"/>
    <w:pPr>
      <w:keepLines/>
      <w:numPr>
        <w:numId w:val="2"/>
      </w:numPr>
      <w:spacing w:before="240" w:line="259" w:lineRule="auto"/>
      <w:jc w:val="left"/>
      <w:outlineLvl w:val="9"/>
    </w:pPr>
    <w:rPr>
      <w:rFonts w:ascii="Calibri Light" w:eastAsia="Times New Roman" w:hAnsi="Calibri Light"/>
      <w:b w:val="0"/>
      <w:bCs w:val="0"/>
      <w:color w:val="2E74B5"/>
      <w:kern w:val="0"/>
      <w:sz w:val="32"/>
    </w:rPr>
  </w:style>
  <w:style w:type="paragraph" w:styleId="TOC2">
    <w:name w:val="toc 2"/>
    <w:basedOn w:val="Normal"/>
    <w:next w:val="Normal"/>
    <w:autoRedefine/>
    <w:uiPriority w:val="39"/>
    <w:unhideWhenUsed/>
    <w:rsid w:val="009E7506"/>
    <w:pPr>
      <w:tabs>
        <w:tab w:val="left" w:pos="880"/>
        <w:tab w:val="right" w:leader="dot" w:pos="9350"/>
      </w:tabs>
      <w:spacing w:before="120" w:after="240"/>
      <w:ind w:left="230"/>
      <w:jc w:val="left"/>
    </w:pPr>
    <w:rPr>
      <w:rFonts w:ascii="Arial" w:hAnsi="Arial"/>
      <w:sz w:val="23"/>
      <w:szCs w:val="20"/>
    </w:rPr>
  </w:style>
  <w:style w:type="table" w:styleId="TableGrid">
    <w:name w:val="Table Grid"/>
    <w:basedOn w:val="TableNormal"/>
    <w:uiPriority w:val="59"/>
    <w:rsid w:val="009E7506"/>
    <w:pPr>
      <w:spacing w:after="0" w:line="240" w:lineRule="auto"/>
    </w:pPr>
    <w:rPr>
      <w:rFonts w:eastAsia="Times New Roman"/>
      <w:sz w:val="20"/>
      <w:szCs w:val="20"/>
    </w:rPr>
    <w:tblPr/>
  </w:style>
  <w:style w:type="paragraph" w:styleId="Revision">
    <w:name w:val="Revision"/>
    <w:hidden/>
    <w:uiPriority w:val="99"/>
    <w:semiHidden/>
    <w:qFormat/>
    <w:rsid w:val="009E7506"/>
    <w:pPr>
      <w:spacing w:after="0" w:line="240" w:lineRule="auto"/>
    </w:pPr>
    <w:rPr>
      <w:rFonts w:ascii="Arial" w:eastAsia="Times New Roman" w:hAnsi="Arial"/>
      <w:sz w:val="23"/>
      <w:szCs w:val="20"/>
    </w:rPr>
  </w:style>
  <w:style w:type="paragraph" w:styleId="TOC3">
    <w:name w:val="toc 3"/>
    <w:basedOn w:val="Normal"/>
    <w:next w:val="Normal"/>
    <w:autoRedefine/>
    <w:uiPriority w:val="39"/>
    <w:unhideWhenUsed/>
    <w:rsid w:val="009E7506"/>
    <w:pPr>
      <w:ind w:left="460"/>
      <w:jc w:val="left"/>
    </w:pPr>
    <w:rPr>
      <w:rFonts w:ascii="Arial" w:hAnsi="Arial"/>
      <w:sz w:val="23"/>
      <w:szCs w:val="20"/>
    </w:rPr>
  </w:style>
  <w:style w:type="paragraph" w:customStyle="1" w:styleId="TestimonyQ">
    <w:name w:val="Testimony Q"/>
    <w:basedOn w:val="Default"/>
    <w:link w:val="TestimonyQChar"/>
    <w:qFormat/>
    <w:rsid w:val="009E7506"/>
    <w:pPr>
      <w:spacing w:before="480"/>
    </w:pPr>
    <w:rPr>
      <w:b/>
      <w:bCs/>
      <w:caps/>
    </w:rPr>
  </w:style>
  <w:style w:type="character" w:customStyle="1" w:styleId="DefaultChar">
    <w:name w:val="Default Char"/>
    <w:basedOn w:val="DefaultParagraphFont"/>
    <w:link w:val="Default"/>
    <w:rsid w:val="009E7506"/>
    <w:rPr>
      <w:rFonts w:ascii="Times New Roman" w:eastAsia="Times New Roman" w:hAnsi="Times New Roman" w:cs="Times New Roman"/>
      <w:color w:val="000000"/>
      <w:sz w:val="24"/>
      <w:szCs w:val="24"/>
    </w:rPr>
  </w:style>
  <w:style w:type="character" w:customStyle="1" w:styleId="TestimonyQChar">
    <w:name w:val="Testimony Q Char"/>
    <w:basedOn w:val="DefaultChar"/>
    <w:link w:val="TestimonyQ"/>
    <w:rsid w:val="009E7506"/>
    <w:rPr>
      <w:rFonts w:ascii="Times New Roman" w:eastAsia="Times New Roman" w:hAnsi="Times New Roman" w:cs="Times New Roman"/>
      <w:b/>
      <w:bCs/>
      <w:caps/>
      <w:color w:val="000000"/>
      <w:sz w:val="24"/>
      <w:szCs w:val="24"/>
    </w:rPr>
  </w:style>
  <w:style w:type="paragraph" w:customStyle="1" w:styleId="Answers">
    <w:name w:val="Answers"/>
    <w:basedOn w:val="Normal"/>
    <w:link w:val="AnswersChar"/>
    <w:qFormat/>
    <w:rsid w:val="00626BBA"/>
    <w:pPr>
      <w:tabs>
        <w:tab w:val="left" w:pos="720"/>
      </w:tabs>
      <w:spacing w:line="480" w:lineRule="auto"/>
      <w:ind w:left="720" w:hanging="720"/>
    </w:pPr>
    <w:rPr>
      <w:rFonts w:cs="Calibri"/>
      <w:sz w:val="24"/>
      <w:szCs w:val="24"/>
    </w:rPr>
  </w:style>
  <w:style w:type="paragraph" w:customStyle="1" w:styleId="UnderlinedSectionTitle">
    <w:name w:val="Underlined Section Title"/>
    <w:basedOn w:val="ListParagraph"/>
    <w:link w:val="UnderlinedSectionTitleChar"/>
    <w:qFormat/>
    <w:rsid w:val="00212DAB"/>
    <w:pPr>
      <w:spacing w:before="480" w:after="0" w:line="480" w:lineRule="auto"/>
    </w:pPr>
    <w:rPr>
      <w:rFonts w:ascii="Times New Roman Bold" w:hAnsi="Times New Roman Bold"/>
      <w:b/>
      <w:caps/>
      <w:sz w:val="24"/>
      <w:szCs w:val="24"/>
      <w:u w:val="single"/>
    </w:rPr>
  </w:style>
  <w:style w:type="character" w:customStyle="1" w:styleId="AnswersChar">
    <w:name w:val="Answers Char"/>
    <w:basedOn w:val="DefaultParagraphFont"/>
    <w:link w:val="Answers"/>
    <w:rsid w:val="00626BBA"/>
    <w:rPr>
      <w:rFonts w:ascii="Times New Roman" w:eastAsia="Times New Roman" w:hAnsi="Times New Roman" w:cs="Calibri"/>
      <w:sz w:val="24"/>
      <w:szCs w:val="24"/>
    </w:rPr>
  </w:style>
  <w:style w:type="character" w:customStyle="1" w:styleId="UnderlinedSectionTitleChar">
    <w:name w:val="Underlined Section Title Char"/>
    <w:basedOn w:val="DefaultParagraphFont"/>
    <w:link w:val="UnderlinedSectionTitle"/>
    <w:rsid w:val="00212DAB"/>
    <w:rPr>
      <w:rFonts w:ascii="Times New Roman Bold" w:eastAsia="Times New Roman" w:hAnsi="Times New Roman Bold" w:cs="Times New Roman"/>
      <w:b/>
      <w:caps/>
      <w:sz w:val="24"/>
      <w:szCs w:val="24"/>
      <w:u w:val="single"/>
    </w:rPr>
  </w:style>
  <w:style w:type="numbering" w:customStyle="1" w:styleId="NoList2">
    <w:name w:val="No List2"/>
    <w:next w:val="NoList"/>
    <w:uiPriority w:val="99"/>
    <w:semiHidden/>
    <w:unhideWhenUsed/>
    <w:rsid w:val="009E7506"/>
  </w:style>
  <w:style w:type="character" w:customStyle="1" w:styleId="FootnoteCharacters">
    <w:name w:val="Footnote Characters"/>
    <w:uiPriority w:val="99"/>
    <w:qFormat/>
    <w:rsid w:val="009E7506"/>
    <w:rPr>
      <w:rFonts w:cs="Times New Roman"/>
      <w:vertAlign w:val="superscript"/>
    </w:rPr>
  </w:style>
  <w:style w:type="character" w:customStyle="1" w:styleId="FootnoteAnchor">
    <w:name w:val="Footnote Anchor"/>
    <w:rsid w:val="009E7506"/>
    <w:rPr>
      <w:rFonts w:cs="Times New Roman"/>
      <w:vertAlign w:val="superscript"/>
    </w:rPr>
  </w:style>
  <w:style w:type="character" w:customStyle="1" w:styleId="InternetLink">
    <w:name w:val="Internet Link"/>
    <w:uiPriority w:val="99"/>
    <w:rsid w:val="009E7506"/>
    <w:rPr>
      <w:rFonts w:cs="Times New Roman"/>
      <w:color w:val="0000FF"/>
      <w:u w:val="single"/>
    </w:rPr>
  </w:style>
  <w:style w:type="character" w:customStyle="1" w:styleId="SubtitleChar">
    <w:name w:val="Subtitle Char"/>
    <w:basedOn w:val="DefaultParagraphFont"/>
    <w:link w:val="Subtitle"/>
    <w:uiPriority w:val="4"/>
    <w:qFormat/>
    <w:rsid w:val="009E7506"/>
    <w:rPr>
      <w:rFonts w:asciiTheme="majorHAnsi" w:eastAsiaTheme="minorEastAsia" w:hAnsiTheme="majorHAnsi"/>
      <w:color w:val="7F7F7F" w:themeColor="text1" w:themeTint="80"/>
      <w:spacing w:val="15"/>
      <w:sz w:val="32"/>
    </w:rPr>
  </w:style>
  <w:style w:type="character" w:customStyle="1" w:styleId="ListLabel1">
    <w:name w:val="ListLabel 1"/>
    <w:rsid w:val="009E7506"/>
    <w:rPr>
      <w:rFonts w:eastAsia="Noto Sans Symbols" w:cs="Noto Sans Symbols"/>
      <w:b w:val="0"/>
      <w:sz w:val="24"/>
    </w:rPr>
  </w:style>
  <w:style w:type="character" w:customStyle="1" w:styleId="ListLabel2">
    <w:name w:val="ListLabel 2"/>
    <w:rsid w:val="009E7506"/>
    <w:rPr>
      <w:rFonts w:eastAsia="Courier New" w:cs="Courier New"/>
    </w:rPr>
  </w:style>
  <w:style w:type="character" w:customStyle="1" w:styleId="ListLabel3">
    <w:name w:val="ListLabel 3"/>
    <w:rsid w:val="009E7506"/>
    <w:rPr>
      <w:rFonts w:eastAsia="Noto Sans Symbols" w:cs="Noto Sans Symbols"/>
    </w:rPr>
  </w:style>
  <w:style w:type="character" w:customStyle="1" w:styleId="ListLabel4">
    <w:name w:val="ListLabel 4"/>
    <w:rsid w:val="009E7506"/>
    <w:rPr>
      <w:rFonts w:eastAsia="Noto Sans Symbols" w:cs="Noto Sans Symbols"/>
    </w:rPr>
  </w:style>
  <w:style w:type="character" w:customStyle="1" w:styleId="ListLabel5">
    <w:name w:val="ListLabel 5"/>
    <w:rsid w:val="009E7506"/>
    <w:rPr>
      <w:rFonts w:eastAsia="Courier New" w:cs="Courier New"/>
    </w:rPr>
  </w:style>
  <w:style w:type="character" w:customStyle="1" w:styleId="ListLabel6">
    <w:name w:val="ListLabel 6"/>
    <w:rsid w:val="009E7506"/>
    <w:rPr>
      <w:rFonts w:eastAsia="Noto Sans Symbols" w:cs="Noto Sans Symbols"/>
    </w:rPr>
  </w:style>
  <w:style w:type="character" w:customStyle="1" w:styleId="ListLabel7">
    <w:name w:val="ListLabel 7"/>
    <w:rsid w:val="009E7506"/>
    <w:rPr>
      <w:rFonts w:eastAsia="Noto Sans Symbols" w:cs="Noto Sans Symbols"/>
    </w:rPr>
  </w:style>
  <w:style w:type="character" w:customStyle="1" w:styleId="ListLabel8">
    <w:name w:val="ListLabel 8"/>
    <w:rsid w:val="009E7506"/>
    <w:rPr>
      <w:rFonts w:eastAsia="Courier New" w:cs="Courier New"/>
    </w:rPr>
  </w:style>
  <w:style w:type="character" w:customStyle="1" w:styleId="ListLabel9">
    <w:name w:val="ListLabel 9"/>
    <w:rsid w:val="009E7506"/>
    <w:rPr>
      <w:rFonts w:eastAsia="Noto Sans Symbols" w:cs="Noto Sans Symbols"/>
    </w:rPr>
  </w:style>
  <w:style w:type="character" w:customStyle="1" w:styleId="ListLabel10">
    <w:name w:val="ListLabel 10"/>
    <w:rsid w:val="009E7506"/>
    <w:rPr>
      <w:rFonts w:eastAsia="Noto Sans Symbols" w:cs="Noto Sans Symbols"/>
      <w:b w:val="0"/>
      <w:sz w:val="24"/>
    </w:rPr>
  </w:style>
  <w:style w:type="character" w:customStyle="1" w:styleId="ListLabel11">
    <w:name w:val="ListLabel 11"/>
    <w:rsid w:val="009E7506"/>
    <w:rPr>
      <w:rFonts w:eastAsia="Courier New" w:cs="Courier New"/>
    </w:rPr>
  </w:style>
  <w:style w:type="character" w:customStyle="1" w:styleId="ListLabel12">
    <w:name w:val="ListLabel 12"/>
    <w:rsid w:val="009E7506"/>
    <w:rPr>
      <w:rFonts w:eastAsia="Noto Sans Symbols" w:cs="Noto Sans Symbols"/>
    </w:rPr>
  </w:style>
  <w:style w:type="character" w:customStyle="1" w:styleId="ListLabel13">
    <w:name w:val="ListLabel 13"/>
    <w:rsid w:val="009E7506"/>
    <w:rPr>
      <w:rFonts w:eastAsia="Noto Sans Symbols" w:cs="Noto Sans Symbols"/>
    </w:rPr>
  </w:style>
  <w:style w:type="character" w:customStyle="1" w:styleId="ListLabel14">
    <w:name w:val="ListLabel 14"/>
    <w:rsid w:val="009E7506"/>
    <w:rPr>
      <w:rFonts w:eastAsia="Courier New" w:cs="Courier New"/>
    </w:rPr>
  </w:style>
  <w:style w:type="character" w:customStyle="1" w:styleId="ListLabel15">
    <w:name w:val="ListLabel 15"/>
    <w:rsid w:val="009E7506"/>
    <w:rPr>
      <w:rFonts w:eastAsia="Noto Sans Symbols" w:cs="Noto Sans Symbols"/>
    </w:rPr>
  </w:style>
  <w:style w:type="character" w:customStyle="1" w:styleId="ListLabel16">
    <w:name w:val="ListLabel 16"/>
    <w:rsid w:val="009E7506"/>
    <w:rPr>
      <w:rFonts w:eastAsia="Noto Sans Symbols" w:cs="Noto Sans Symbols"/>
    </w:rPr>
  </w:style>
  <w:style w:type="character" w:customStyle="1" w:styleId="ListLabel17">
    <w:name w:val="ListLabel 17"/>
    <w:rsid w:val="009E7506"/>
    <w:rPr>
      <w:rFonts w:eastAsia="Courier New" w:cs="Courier New"/>
    </w:rPr>
  </w:style>
  <w:style w:type="character" w:customStyle="1" w:styleId="ListLabel18">
    <w:name w:val="ListLabel 18"/>
    <w:rsid w:val="009E7506"/>
    <w:rPr>
      <w:rFonts w:eastAsia="Noto Sans Symbols" w:cs="Noto Sans Symbols"/>
    </w:rPr>
  </w:style>
  <w:style w:type="character" w:customStyle="1" w:styleId="ListLabel19">
    <w:name w:val="ListLabel 19"/>
    <w:rsid w:val="009E7506"/>
    <w:rPr>
      <w:rFonts w:eastAsia="Noto Sans Symbols" w:cs="Noto Sans Symbols"/>
      <w:b w:val="0"/>
      <w:sz w:val="24"/>
    </w:rPr>
  </w:style>
  <w:style w:type="character" w:customStyle="1" w:styleId="ListLabel20">
    <w:name w:val="ListLabel 20"/>
    <w:rsid w:val="009E7506"/>
    <w:rPr>
      <w:rFonts w:eastAsia="Courier New" w:cs="Courier New"/>
    </w:rPr>
  </w:style>
  <w:style w:type="character" w:customStyle="1" w:styleId="ListLabel21">
    <w:name w:val="ListLabel 21"/>
    <w:rsid w:val="009E7506"/>
    <w:rPr>
      <w:rFonts w:eastAsia="Noto Sans Symbols" w:cs="Noto Sans Symbols"/>
    </w:rPr>
  </w:style>
  <w:style w:type="character" w:customStyle="1" w:styleId="ListLabel22">
    <w:name w:val="ListLabel 22"/>
    <w:rsid w:val="009E7506"/>
    <w:rPr>
      <w:rFonts w:eastAsia="Noto Sans Symbols" w:cs="Noto Sans Symbols"/>
    </w:rPr>
  </w:style>
  <w:style w:type="character" w:customStyle="1" w:styleId="ListLabel23">
    <w:name w:val="ListLabel 23"/>
    <w:rsid w:val="009E7506"/>
    <w:rPr>
      <w:rFonts w:eastAsia="Courier New" w:cs="Courier New"/>
    </w:rPr>
  </w:style>
  <w:style w:type="character" w:customStyle="1" w:styleId="ListLabel24">
    <w:name w:val="ListLabel 24"/>
    <w:rsid w:val="009E7506"/>
    <w:rPr>
      <w:rFonts w:eastAsia="Noto Sans Symbols" w:cs="Noto Sans Symbols"/>
    </w:rPr>
  </w:style>
  <w:style w:type="character" w:customStyle="1" w:styleId="ListLabel25">
    <w:name w:val="ListLabel 25"/>
    <w:rsid w:val="009E7506"/>
    <w:rPr>
      <w:rFonts w:eastAsia="Noto Sans Symbols" w:cs="Noto Sans Symbols"/>
    </w:rPr>
  </w:style>
  <w:style w:type="character" w:customStyle="1" w:styleId="ListLabel26">
    <w:name w:val="ListLabel 26"/>
    <w:rsid w:val="009E7506"/>
    <w:rPr>
      <w:rFonts w:eastAsia="Courier New" w:cs="Courier New"/>
    </w:rPr>
  </w:style>
  <w:style w:type="character" w:customStyle="1" w:styleId="ListLabel27">
    <w:name w:val="ListLabel 27"/>
    <w:rsid w:val="009E7506"/>
    <w:rPr>
      <w:rFonts w:eastAsia="Noto Sans Symbols" w:cs="Noto Sans Symbols"/>
    </w:rPr>
  </w:style>
  <w:style w:type="character" w:customStyle="1" w:styleId="IndexLink">
    <w:name w:val="Index Link"/>
    <w:rsid w:val="009E7506"/>
  </w:style>
  <w:style w:type="character" w:customStyle="1" w:styleId="EndnoteAnchor">
    <w:name w:val="Endnote Anchor"/>
    <w:rsid w:val="009E7506"/>
    <w:rPr>
      <w:vertAlign w:val="superscript"/>
    </w:rPr>
  </w:style>
  <w:style w:type="character" w:customStyle="1" w:styleId="EndnoteCharacters">
    <w:name w:val="Endnote Characters"/>
    <w:qFormat/>
    <w:rsid w:val="009E7506"/>
  </w:style>
  <w:style w:type="paragraph" w:customStyle="1" w:styleId="Heading">
    <w:name w:val="Heading"/>
    <w:basedOn w:val="Normal"/>
    <w:next w:val="BodyText"/>
    <w:qFormat/>
    <w:rsid w:val="009E7506"/>
    <w:pPr>
      <w:keepNext/>
      <w:spacing w:before="240" w:after="120"/>
    </w:pPr>
    <w:rPr>
      <w:rFonts w:ascii="Liberation Sans" w:eastAsia="Microsoft YaHei" w:hAnsi="Liberation Sans" w:cs="Lucida Sans"/>
      <w:sz w:val="28"/>
      <w:szCs w:val="28"/>
      <w:lang w:eastAsia="zh-CN" w:bidi="hi-IN"/>
    </w:rPr>
  </w:style>
  <w:style w:type="character" w:customStyle="1" w:styleId="BodyTextChar1">
    <w:name w:val="Body Text Char1"/>
    <w:basedOn w:val="DefaultParagraphFont"/>
    <w:uiPriority w:val="99"/>
    <w:semiHidden/>
    <w:rsid w:val="009E7506"/>
    <w:rPr>
      <w:rFonts w:eastAsia="Times New Roman" w:cs="Mangal"/>
      <w:sz w:val="22"/>
      <w:szCs w:val="20"/>
    </w:rPr>
  </w:style>
  <w:style w:type="paragraph" w:styleId="List">
    <w:name w:val="List"/>
    <w:basedOn w:val="BodyText"/>
    <w:rsid w:val="009E7506"/>
    <w:rPr>
      <w:rFonts w:cs="Lucida Sans"/>
      <w:szCs w:val="22"/>
      <w:lang w:eastAsia="zh-CN" w:bidi="hi-IN"/>
    </w:rPr>
  </w:style>
  <w:style w:type="paragraph" w:customStyle="1" w:styleId="Index">
    <w:name w:val="Index"/>
    <w:basedOn w:val="Normal"/>
    <w:qFormat/>
    <w:rsid w:val="009E7506"/>
    <w:pPr>
      <w:suppressLineNumbers/>
    </w:pPr>
    <w:rPr>
      <w:rFonts w:cs="Lucida Sans"/>
      <w:lang w:eastAsia="zh-CN" w:bidi="hi-IN"/>
    </w:rPr>
  </w:style>
  <w:style w:type="paragraph" w:customStyle="1" w:styleId="LO-normal">
    <w:name w:val="LO-normal"/>
    <w:rsid w:val="009E7506"/>
    <w:pPr>
      <w:spacing w:after="0" w:line="240" w:lineRule="auto"/>
      <w:jc w:val="both"/>
    </w:pPr>
    <w:rPr>
      <w:rFonts w:ascii="Calibri" w:eastAsia="Calibri" w:hAnsi="Calibri" w:cs="Calibri"/>
      <w:lang w:eastAsia="zh-CN" w:bidi="hi-IN"/>
    </w:rPr>
  </w:style>
  <w:style w:type="paragraph" w:styleId="Title">
    <w:name w:val="Title"/>
    <w:basedOn w:val="LO-normal"/>
    <w:next w:val="LO-normal"/>
    <w:link w:val="TitleChar"/>
    <w:uiPriority w:val="10"/>
    <w:qFormat/>
    <w:rsid w:val="009E7506"/>
    <w:pPr>
      <w:keepNext/>
      <w:keepLines/>
      <w:spacing w:before="480" w:after="120"/>
    </w:pPr>
    <w:rPr>
      <w:b/>
      <w:sz w:val="72"/>
      <w:szCs w:val="72"/>
    </w:rPr>
  </w:style>
  <w:style w:type="character" w:customStyle="1" w:styleId="TitleChar">
    <w:name w:val="Title Char"/>
    <w:basedOn w:val="DefaultParagraphFont"/>
    <w:link w:val="Title"/>
    <w:uiPriority w:val="10"/>
    <w:rsid w:val="009E7506"/>
    <w:rPr>
      <w:rFonts w:ascii="Calibri" w:eastAsia="Calibri" w:hAnsi="Calibri" w:cs="Calibri"/>
      <w:b/>
      <w:sz w:val="72"/>
      <w:szCs w:val="72"/>
      <w:lang w:eastAsia="zh-CN" w:bidi="hi-IN"/>
    </w:rPr>
  </w:style>
  <w:style w:type="character" w:customStyle="1" w:styleId="BalloonTextChar1">
    <w:name w:val="Balloon Text Char1"/>
    <w:basedOn w:val="DefaultParagraphFont"/>
    <w:uiPriority w:val="99"/>
    <w:semiHidden/>
    <w:rsid w:val="009E7506"/>
    <w:rPr>
      <w:rFonts w:ascii="Tahoma" w:eastAsia="Times New Roman" w:hAnsi="Tahoma" w:cs="Mangal"/>
      <w:sz w:val="16"/>
      <w:szCs w:val="14"/>
    </w:rPr>
  </w:style>
  <w:style w:type="character" w:customStyle="1" w:styleId="HeaderChar1">
    <w:name w:val="Header Char1"/>
    <w:basedOn w:val="DefaultParagraphFont"/>
    <w:uiPriority w:val="99"/>
    <w:semiHidden/>
    <w:rsid w:val="009E7506"/>
    <w:rPr>
      <w:rFonts w:eastAsia="Times New Roman" w:cs="Mangal"/>
      <w:sz w:val="22"/>
      <w:szCs w:val="20"/>
    </w:rPr>
  </w:style>
  <w:style w:type="character" w:customStyle="1" w:styleId="FooterChar1">
    <w:name w:val="Footer Char1"/>
    <w:basedOn w:val="DefaultParagraphFont"/>
    <w:uiPriority w:val="99"/>
    <w:semiHidden/>
    <w:rsid w:val="009E7506"/>
    <w:rPr>
      <w:rFonts w:eastAsia="Times New Roman" w:cs="Mangal"/>
      <w:sz w:val="22"/>
      <w:szCs w:val="20"/>
    </w:rPr>
  </w:style>
  <w:style w:type="character" w:customStyle="1" w:styleId="CommentTextChar1">
    <w:name w:val="Comment Text Char1"/>
    <w:basedOn w:val="DefaultParagraphFont"/>
    <w:uiPriority w:val="99"/>
    <w:semiHidden/>
    <w:rsid w:val="009E7506"/>
    <w:rPr>
      <w:rFonts w:eastAsia="Times New Roman" w:cs="Mangal"/>
      <w:szCs w:val="18"/>
    </w:rPr>
  </w:style>
  <w:style w:type="character" w:customStyle="1" w:styleId="CommentSubjectChar1">
    <w:name w:val="Comment Subject Char1"/>
    <w:basedOn w:val="CommentTextChar1"/>
    <w:uiPriority w:val="99"/>
    <w:semiHidden/>
    <w:rsid w:val="009E7506"/>
    <w:rPr>
      <w:rFonts w:eastAsia="Times New Roman" w:cs="Mangal"/>
      <w:b/>
      <w:bCs/>
      <w:szCs w:val="18"/>
    </w:rPr>
  </w:style>
  <w:style w:type="paragraph" w:customStyle="1" w:styleId="FootnoteText1">
    <w:name w:val="Footnote Text1"/>
    <w:basedOn w:val="LO-normal"/>
    <w:rsid w:val="009E7506"/>
    <w:pPr>
      <w:spacing w:after="240"/>
      <w:jc w:val="left"/>
    </w:pPr>
    <w:rPr>
      <w:rFonts w:ascii="Arial" w:eastAsia="Times New Roman" w:hAnsi="Arial"/>
      <w:sz w:val="18"/>
      <w:szCs w:val="18"/>
    </w:rPr>
  </w:style>
  <w:style w:type="character" w:customStyle="1" w:styleId="PlainTextChar1">
    <w:name w:val="Plain Text Char1"/>
    <w:basedOn w:val="DefaultParagraphFont"/>
    <w:uiPriority w:val="99"/>
    <w:semiHidden/>
    <w:rsid w:val="009E7506"/>
    <w:rPr>
      <w:rFonts w:ascii="Consolas" w:eastAsia="Times New Roman" w:hAnsi="Consolas" w:cs="Mangal"/>
      <w:sz w:val="21"/>
      <w:szCs w:val="19"/>
    </w:rPr>
  </w:style>
  <w:style w:type="character" w:customStyle="1" w:styleId="BodyTextIndentChar1">
    <w:name w:val="Body Text Indent Char1"/>
    <w:basedOn w:val="DefaultParagraphFont"/>
    <w:uiPriority w:val="99"/>
    <w:semiHidden/>
    <w:rsid w:val="009E7506"/>
    <w:rPr>
      <w:rFonts w:eastAsia="Times New Roman" w:cs="Mangal"/>
      <w:sz w:val="22"/>
      <w:szCs w:val="20"/>
    </w:rPr>
  </w:style>
  <w:style w:type="paragraph" w:styleId="Subtitle">
    <w:name w:val="Subtitle"/>
    <w:basedOn w:val="LO-normal"/>
    <w:next w:val="LO-normal"/>
    <w:link w:val="SubtitleChar"/>
    <w:uiPriority w:val="4"/>
    <w:qFormat/>
    <w:rsid w:val="009E7506"/>
    <w:pPr>
      <w:spacing w:after="240" w:line="259" w:lineRule="auto"/>
    </w:pPr>
    <w:rPr>
      <w:rFonts w:asciiTheme="majorHAnsi" w:eastAsiaTheme="minorEastAsia" w:hAnsiTheme="majorHAnsi" w:cstheme="minorBidi"/>
      <w:color w:val="7F7F7F" w:themeColor="text1" w:themeTint="80"/>
      <w:spacing w:val="15"/>
      <w:sz w:val="32"/>
      <w:lang w:eastAsia="en-US" w:bidi="ar-SA"/>
    </w:rPr>
  </w:style>
  <w:style w:type="character" w:customStyle="1" w:styleId="SubtitleChar1">
    <w:name w:val="Subtitle Char1"/>
    <w:basedOn w:val="DefaultParagraphFont"/>
    <w:uiPriority w:val="11"/>
    <w:rsid w:val="009E7506"/>
    <w:rPr>
      <w:rFonts w:eastAsiaTheme="minorEastAsia"/>
      <w:color w:val="5A5A5A" w:themeColor="text1" w:themeTint="A5"/>
      <w:spacing w:val="15"/>
    </w:rPr>
  </w:style>
  <w:style w:type="paragraph" w:customStyle="1" w:styleId="BULLETS">
    <w:name w:val="BULLETS"/>
    <w:basedOn w:val="ListParagraph"/>
    <w:qFormat/>
    <w:rsid w:val="009E7506"/>
    <w:pPr>
      <w:tabs>
        <w:tab w:val="left" w:pos="990"/>
        <w:tab w:val="left" w:pos="1725"/>
      </w:tabs>
      <w:spacing w:after="0" w:line="480" w:lineRule="auto"/>
      <w:ind w:left="1440"/>
    </w:pPr>
    <w:rPr>
      <w:rFonts w:eastAsia="Calibri" w:cs="Calibri"/>
      <w:sz w:val="24"/>
      <w:szCs w:val="24"/>
      <w:lang w:eastAsia="zh-CN" w:bidi="hi-IN"/>
    </w:rPr>
  </w:style>
  <w:style w:type="numbering" w:customStyle="1" w:styleId="NoList11">
    <w:name w:val="No List11"/>
    <w:uiPriority w:val="99"/>
    <w:semiHidden/>
    <w:unhideWhenUsed/>
    <w:qFormat/>
    <w:rsid w:val="009E7506"/>
  </w:style>
  <w:style w:type="table" w:customStyle="1" w:styleId="TableGrid1">
    <w:name w:val="Table Grid1"/>
    <w:basedOn w:val="TableNormal"/>
    <w:next w:val="TableGrid"/>
    <w:uiPriority w:val="39"/>
    <w:rsid w:val="009E7506"/>
    <w:pPr>
      <w:spacing w:after="0" w:line="240" w:lineRule="auto"/>
    </w:pPr>
    <w:rPr>
      <w:rFonts w:ascii="Calibri" w:eastAsia="Calibri" w:hAnsi="Calibri" w:cs="Calibri"/>
      <w:sz w:val="20"/>
      <w:lang w:eastAsia="zh-CN" w:bidi="hi-IN"/>
    </w:rPr>
    <w:tblPr/>
  </w:style>
  <w:style w:type="character" w:customStyle="1" w:styleId="FootnoteTextChar3">
    <w:name w:val="Footnote Text Char3"/>
    <w:basedOn w:val="DefaultParagraphFont"/>
    <w:uiPriority w:val="99"/>
    <w:semiHidden/>
    <w:rsid w:val="009E7506"/>
    <w:rPr>
      <w:rFonts w:eastAsia="Times New Roman" w:cs="Mangal"/>
      <w:szCs w:val="18"/>
    </w:rPr>
  </w:style>
  <w:style w:type="character" w:customStyle="1" w:styleId="UnresolvedMention1">
    <w:name w:val="Unresolved Mention1"/>
    <w:basedOn w:val="DefaultParagraphFont"/>
    <w:uiPriority w:val="99"/>
    <w:semiHidden/>
    <w:unhideWhenUsed/>
    <w:rsid w:val="009E7113"/>
    <w:rPr>
      <w:color w:val="605E5C"/>
      <w:shd w:val="clear" w:color="auto" w:fill="E1DFDD"/>
    </w:rPr>
  </w:style>
  <w:style w:type="character" w:customStyle="1" w:styleId="ListParagraphChar">
    <w:name w:val="List Paragraph Char"/>
    <w:link w:val="ListParagraph"/>
    <w:uiPriority w:val="34"/>
    <w:rsid w:val="00C43CB5"/>
    <w:rPr>
      <w:rFonts w:ascii="Calibri" w:eastAsia="Times New Roman" w:hAnsi="Calibri" w:cs="Times New Roman"/>
    </w:rPr>
  </w:style>
  <w:style w:type="table" w:customStyle="1" w:styleId="TableGrid2">
    <w:name w:val="Table Grid2"/>
    <w:basedOn w:val="TableNormal"/>
    <w:next w:val="TableGrid"/>
    <w:uiPriority w:val="39"/>
    <w:rsid w:val="006E593A"/>
    <w:pPr>
      <w:spacing w:after="0" w:line="240" w:lineRule="auto"/>
    </w:pPr>
    <w:rPr>
      <w:rFonts w:ascii="Calibri" w:eastAsia="Calibri" w:hAnsi="Calibri"/>
    </w:rPr>
    <w:tblPr/>
  </w:style>
  <w:style w:type="table" w:customStyle="1" w:styleId="TableGrid3">
    <w:name w:val="Table Grid3"/>
    <w:basedOn w:val="TableNormal"/>
    <w:next w:val="TableGrid"/>
    <w:uiPriority w:val="39"/>
    <w:rsid w:val="006E593A"/>
    <w:pPr>
      <w:spacing w:after="0" w:line="240" w:lineRule="auto"/>
    </w:pPr>
    <w:rPr>
      <w:rFonts w:ascii="Calibri" w:eastAsia="Calibri" w:hAnsi="Calibri"/>
    </w:rPr>
    <w:tblPr/>
  </w:style>
  <w:style w:type="table" w:customStyle="1" w:styleId="TableGrid4">
    <w:name w:val="Table Grid4"/>
    <w:basedOn w:val="TableNormal"/>
    <w:next w:val="TableGrid"/>
    <w:uiPriority w:val="39"/>
    <w:rsid w:val="006E593A"/>
    <w:pPr>
      <w:spacing w:after="0" w:line="240" w:lineRule="auto"/>
    </w:pPr>
    <w:rPr>
      <w:rFonts w:ascii="Calibri" w:eastAsia="Calibri" w:hAnsi="Calibri"/>
    </w:rPr>
    <w:tblPr/>
  </w:style>
  <w:style w:type="character" w:styleId="UnresolvedMention">
    <w:name w:val="Unresolved Mention"/>
    <w:basedOn w:val="DefaultParagraphFont"/>
    <w:uiPriority w:val="99"/>
    <w:semiHidden/>
    <w:unhideWhenUsed/>
    <w:rsid w:val="00F03F1D"/>
    <w:rPr>
      <w:color w:val="605E5C"/>
      <w:shd w:val="clear" w:color="auto" w:fill="E1DFDD"/>
    </w:rPr>
  </w:style>
  <w:style w:type="paragraph" w:styleId="Quote">
    <w:name w:val="Quote"/>
    <w:basedOn w:val="Normal"/>
    <w:next w:val="Normal"/>
    <w:link w:val="QuoteChar"/>
    <w:uiPriority w:val="29"/>
    <w:qFormat/>
    <w:rsid w:val="00E83E6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3E6E"/>
    <w:rPr>
      <w:rFonts w:ascii="Calibri" w:eastAsia="Times New Roman" w:hAnsi="Calibri" w:cs="Times New Roman"/>
      <w:i/>
      <w:iCs/>
      <w:color w:val="404040" w:themeColor="text1" w:themeTint="BF"/>
    </w:rPr>
  </w:style>
  <w:style w:type="paragraph" w:customStyle="1" w:styleId="xquestion">
    <w:name w:val="x_question"/>
    <w:basedOn w:val="Normal"/>
    <w:rsid w:val="00C4385C"/>
    <w:pPr>
      <w:spacing w:before="100" w:beforeAutospacing="1" w:after="100" w:afterAutospacing="1"/>
      <w:jc w:val="left"/>
    </w:pPr>
    <w:rPr>
      <w:sz w:val="24"/>
      <w:szCs w:val="24"/>
    </w:rPr>
  </w:style>
  <w:style w:type="character" w:customStyle="1" w:styleId="cf01">
    <w:name w:val="cf01"/>
    <w:basedOn w:val="DefaultParagraphFont"/>
    <w:rsid w:val="00E01138"/>
    <w:rPr>
      <w:rFonts w:ascii="Segoe UI" w:hAnsi="Segoe UI" w:cs="Segoe UI" w:hint="default"/>
      <w:sz w:val="18"/>
      <w:szCs w:val="18"/>
    </w:rPr>
  </w:style>
  <w:style w:type="paragraph" w:styleId="TableofFigures">
    <w:name w:val="table of figures"/>
    <w:basedOn w:val="Normal"/>
    <w:next w:val="Normal"/>
    <w:uiPriority w:val="99"/>
    <w:unhideWhenUsed/>
    <w:rsid w:val="0022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46">
      <w:bodyDiv w:val="1"/>
      <w:marLeft w:val="0"/>
      <w:marRight w:val="0"/>
      <w:marTop w:val="0"/>
      <w:marBottom w:val="0"/>
      <w:divBdr>
        <w:top w:val="none" w:sz="0" w:space="0" w:color="auto"/>
        <w:left w:val="none" w:sz="0" w:space="0" w:color="auto"/>
        <w:bottom w:val="none" w:sz="0" w:space="0" w:color="auto"/>
        <w:right w:val="none" w:sz="0" w:space="0" w:color="auto"/>
      </w:divBdr>
    </w:div>
    <w:div w:id="47580285">
      <w:bodyDiv w:val="1"/>
      <w:marLeft w:val="0"/>
      <w:marRight w:val="0"/>
      <w:marTop w:val="0"/>
      <w:marBottom w:val="0"/>
      <w:divBdr>
        <w:top w:val="none" w:sz="0" w:space="0" w:color="auto"/>
        <w:left w:val="none" w:sz="0" w:space="0" w:color="auto"/>
        <w:bottom w:val="none" w:sz="0" w:space="0" w:color="auto"/>
        <w:right w:val="none" w:sz="0" w:space="0" w:color="auto"/>
      </w:divBdr>
    </w:div>
    <w:div w:id="66537045">
      <w:bodyDiv w:val="1"/>
      <w:marLeft w:val="0"/>
      <w:marRight w:val="0"/>
      <w:marTop w:val="0"/>
      <w:marBottom w:val="0"/>
      <w:divBdr>
        <w:top w:val="none" w:sz="0" w:space="0" w:color="auto"/>
        <w:left w:val="none" w:sz="0" w:space="0" w:color="auto"/>
        <w:bottom w:val="none" w:sz="0" w:space="0" w:color="auto"/>
        <w:right w:val="none" w:sz="0" w:space="0" w:color="auto"/>
      </w:divBdr>
    </w:div>
    <w:div w:id="71049261">
      <w:bodyDiv w:val="1"/>
      <w:marLeft w:val="0"/>
      <w:marRight w:val="0"/>
      <w:marTop w:val="0"/>
      <w:marBottom w:val="0"/>
      <w:divBdr>
        <w:top w:val="none" w:sz="0" w:space="0" w:color="auto"/>
        <w:left w:val="none" w:sz="0" w:space="0" w:color="auto"/>
        <w:bottom w:val="none" w:sz="0" w:space="0" w:color="auto"/>
        <w:right w:val="none" w:sz="0" w:space="0" w:color="auto"/>
      </w:divBdr>
    </w:div>
    <w:div w:id="112942835">
      <w:bodyDiv w:val="1"/>
      <w:marLeft w:val="0"/>
      <w:marRight w:val="0"/>
      <w:marTop w:val="0"/>
      <w:marBottom w:val="0"/>
      <w:divBdr>
        <w:top w:val="none" w:sz="0" w:space="0" w:color="auto"/>
        <w:left w:val="none" w:sz="0" w:space="0" w:color="auto"/>
        <w:bottom w:val="none" w:sz="0" w:space="0" w:color="auto"/>
        <w:right w:val="none" w:sz="0" w:space="0" w:color="auto"/>
      </w:divBdr>
    </w:div>
    <w:div w:id="125323289">
      <w:bodyDiv w:val="1"/>
      <w:marLeft w:val="0"/>
      <w:marRight w:val="0"/>
      <w:marTop w:val="0"/>
      <w:marBottom w:val="0"/>
      <w:divBdr>
        <w:top w:val="none" w:sz="0" w:space="0" w:color="auto"/>
        <w:left w:val="none" w:sz="0" w:space="0" w:color="auto"/>
        <w:bottom w:val="none" w:sz="0" w:space="0" w:color="auto"/>
        <w:right w:val="none" w:sz="0" w:space="0" w:color="auto"/>
      </w:divBdr>
    </w:div>
    <w:div w:id="138772052">
      <w:bodyDiv w:val="1"/>
      <w:marLeft w:val="0"/>
      <w:marRight w:val="0"/>
      <w:marTop w:val="0"/>
      <w:marBottom w:val="0"/>
      <w:divBdr>
        <w:top w:val="none" w:sz="0" w:space="0" w:color="auto"/>
        <w:left w:val="none" w:sz="0" w:space="0" w:color="auto"/>
        <w:bottom w:val="none" w:sz="0" w:space="0" w:color="auto"/>
        <w:right w:val="none" w:sz="0" w:space="0" w:color="auto"/>
      </w:divBdr>
    </w:div>
    <w:div w:id="197856041">
      <w:bodyDiv w:val="1"/>
      <w:marLeft w:val="0"/>
      <w:marRight w:val="0"/>
      <w:marTop w:val="0"/>
      <w:marBottom w:val="0"/>
      <w:divBdr>
        <w:top w:val="none" w:sz="0" w:space="0" w:color="auto"/>
        <w:left w:val="none" w:sz="0" w:space="0" w:color="auto"/>
        <w:bottom w:val="none" w:sz="0" w:space="0" w:color="auto"/>
        <w:right w:val="none" w:sz="0" w:space="0" w:color="auto"/>
      </w:divBdr>
    </w:div>
    <w:div w:id="223415686">
      <w:bodyDiv w:val="1"/>
      <w:marLeft w:val="0"/>
      <w:marRight w:val="0"/>
      <w:marTop w:val="0"/>
      <w:marBottom w:val="0"/>
      <w:divBdr>
        <w:top w:val="none" w:sz="0" w:space="0" w:color="auto"/>
        <w:left w:val="none" w:sz="0" w:space="0" w:color="auto"/>
        <w:bottom w:val="none" w:sz="0" w:space="0" w:color="auto"/>
        <w:right w:val="none" w:sz="0" w:space="0" w:color="auto"/>
      </w:divBdr>
    </w:div>
    <w:div w:id="231081816">
      <w:bodyDiv w:val="1"/>
      <w:marLeft w:val="0"/>
      <w:marRight w:val="0"/>
      <w:marTop w:val="0"/>
      <w:marBottom w:val="0"/>
      <w:divBdr>
        <w:top w:val="none" w:sz="0" w:space="0" w:color="auto"/>
        <w:left w:val="none" w:sz="0" w:space="0" w:color="auto"/>
        <w:bottom w:val="none" w:sz="0" w:space="0" w:color="auto"/>
        <w:right w:val="none" w:sz="0" w:space="0" w:color="auto"/>
      </w:divBdr>
    </w:div>
    <w:div w:id="305162671">
      <w:bodyDiv w:val="1"/>
      <w:marLeft w:val="0"/>
      <w:marRight w:val="0"/>
      <w:marTop w:val="0"/>
      <w:marBottom w:val="0"/>
      <w:divBdr>
        <w:top w:val="none" w:sz="0" w:space="0" w:color="auto"/>
        <w:left w:val="none" w:sz="0" w:space="0" w:color="auto"/>
        <w:bottom w:val="none" w:sz="0" w:space="0" w:color="auto"/>
        <w:right w:val="none" w:sz="0" w:space="0" w:color="auto"/>
      </w:divBdr>
    </w:div>
    <w:div w:id="321128636">
      <w:bodyDiv w:val="1"/>
      <w:marLeft w:val="0"/>
      <w:marRight w:val="0"/>
      <w:marTop w:val="0"/>
      <w:marBottom w:val="0"/>
      <w:divBdr>
        <w:top w:val="none" w:sz="0" w:space="0" w:color="auto"/>
        <w:left w:val="none" w:sz="0" w:space="0" w:color="auto"/>
        <w:bottom w:val="none" w:sz="0" w:space="0" w:color="auto"/>
        <w:right w:val="none" w:sz="0" w:space="0" w:color="auto"/>
      </w:divBdr>
    </w:div>
    <w:div w:id="323969012">
      <w:bodyDiv w:val="1"/>
      <w:marLeft w:val="0"/>
      <w:marRight w:val="0"/>
      <w:marTop w:val="0"/>
      <w:marBottom w:val="0"/>
      <w:divBdr>
        <w:top w:val="none" w:sz="0" w:space="0" w:color="auto"/>
        <w:left w:val="none" w:sz="0" w:space="0" w:color="auto"/>
        <w:bottom w:val="none" w:sz="0" w:space="0" w:color="auto"/>
        <w:right w:val="none" w:sz="0" w:space="0" w:color="auto"/>
      </w:divBdr>
    </w:div>
    <w:div w:id="329262770">
      <w:bodyDiv w:val="1"/>
      <w:marLeft w:val="0"/>
      <w:marRight w:val="0"/>
      <w:marTop w:val="0"/>
      <w:marBottom w:val="0"/>
      <w:divBdr>
        <w:top w:val="none" w:sz="0" w:space="0" w:color="auto"/>
        <w:left w:val="none" w:sz="0" w:space="0" w:color="auto"/>
        <w:bottom w:val="none" w:sz="0" w:space="0" w:color="auto"/>
        <w:right w:val="none" w:sz="0" w:space="0" w:color="auto"/>
      </w:divBdr>
    </w:div>
    <w:div w:id="338121306">
      <w:bodyDiv w:val="1"/>
      <w:marLeft w:val="0"/>
      <w:marRight w:val="0"/>
      <w:marTop w:val="0"/>
      <w:marBottom w:val="0"/>
      <w:divBdr>
        <w:top w:val="none" w:sz="0" w:space="0" w:color="auto"/>
        <w:left w:val="none" w:sz="0" w:space="0" w:color="auto"/>
        <w:bottom w:val="none" w:sz="0" w:space="0" w:color="auto"/>
        <w:right w:val="none" w:sz="0" w:space="0" w:color="auto"/>
      </w:divBdr>
    </w:div>
    <w:div w:id="350224563">
      <w:bodyDiv w:val="1"/>
      <w:marLeft w:val="0"/>
      <w:marRight w:val="0"/>
      <w:marTop w:val="0"/>
      <w:marBottom w:val="0"/>
      <w:divBdr>
        <w:top w:val="none" w:sz="0" w:space="0" w:color="auto"/>
        <w:left w:val="none" w:sz="0" w:space="0" w:color="auto"/>
        <w:bottom w:val="none" w:sz="0" w:space="0" w:color="auto"/>
        <w:right w:val="none" w:sz="0" w:space="0" w:color="auto"/>
      </w:divBdr>
    </w:div>
    <w:div w:id="373771525">
      <w:bodyDiv w:val="1"/>
      <w:marLeft w:val="0"/>
      <w:marRight w:val="0"/>
      <w:marTop w:val="0"/>
      <w:marBottom w:val="0"/>
      <w:divBdr>
        <w:top w:val="none" w:sz="0" w:space="0" w:color="auto"/>
        <w:left w:val="none" w:sz="0" w:space="0" w:color="auto"/>
        <w:bottom w:val="none" w:sz="0" w:space="0" w:color="auto"/>
        <w:right w:val="none" w:sz="0" w:space="0" w:color="auto"/>
      </w:divBdr>
    </w:div>
    <w:div w:id="420296776">
      <w:bodyDiv w:val="1"/>
      <w:marLeft w:val="0"/>
      <w:marRight w:val="0"/>
      <w:marTop w:val="0"/>
      <w:marBottom w:val="0"/>
      <w:divBdr>
        <w:top w:val="none" w:sz="0" w:space="0" w:color="auto"/>
        <w:left w:val="none" w:sz="0" w:space="0" w:color="auto"/>
        <w:bottom w:val="none" w:sz="0" w:space="0" w:color="auto"/>
        <w:right w:val="none" w:sz="0" w:space="0" w:color="auto"/>
      </w:divBdr>
    </w:div>
    <w:div w:id="425267994">
      <w:bodyDiv w:val="1"/>
      <w:marLeft w:val="0"/>
      <w:marRight w:val="0"/>
      <w:marTop w:val="0"/>
      <w:marBottom w:val="0"/>
      <w:divBdr>
        <w:top w:val="none" w:sz="0" w:space="0" w:color="auto"/>
        <w:left w:val="none" w:sz="0" w:space="0" w:color="auto"/>
        <w:bottom w:val="none" w:sz="0" w:space="0" w:color="auto"/>
        <w:right w:val="none" w:sz="0" w:space="0" w:color="auto"/>
      </w:divBdr>
    </w:div>
    <w:div w:id="428278710">
      <w:bodyDiv w:val="1"/>
      <w:marLeft w:val="0"/>
      <w:marRight w:val="0"/>
      <w:marTop w:val="0"/>
      <w:marBottom w:val="0"/>
      <w:divBdr>
        <w:top w:val="none" w:sz="0" w:space="0" w:color="auto"/>
        <w:left w:val="none" w:sz="0" w:space="0" w:color="auto"/>
        <w:bottom w:val="none" w:sz="0" w:space="0" w:color="auto"/>
        <w:right w:val="none" w:sz="0" w:space="0" w:color="auto"/>
      </w:divBdr>
    </w:div>
    <w:div w:id="441415953">
      <w:bodyDiv w:val="1"/>
      <w:marLeft w:val="0"/>
      <w:marRight w:val="0"/>
      <w:marTop w:val="0"/>
      <w:marBottom w:val="0"/>
      <w:divBdr>
        <w:top w:val="none" w:sz="0" w:space="0" w:color="auto"/>
        <w:left w:val="none" w:sz="0" w:space="0" w:color="auto"/>
        <w:bottom w:val="none" w:sz="0" w:space="0" w:color="auto"/>
        <w:right w:val="none" w:sz="0" w:space="0" w:color="auto"/>
      </w:divBdr>
    </w:div>
    <w:div w:id="442963113">
      <w:bodyDiv w:val="1"/>
      <w:marLeft w:val="0"/>
      <w:marRight w:val="0"/>
      <w:marTop w:val="0"/>
      <w:marBottom w:val="0"/>
      <w:divBdr>
        <w:top w:val="none" w:sz="0" w:space="0" w:color="auto"/>
        <w:left w:val="none" w:sz="0" w:space="0" w:color="auto"/>
        <w:bottom w:val="none" w:sz="0" w:space="0" w:color="auto"/>
        <w:right w:val="none" w:sz="0" w:space="0" w:color="auto"/>
      </w:divBdr>
    </w:div>
    <w:div w:id="451018831">
      <w:bodyDiv w:val="1"/>
      <w:marLeft w:val="0"/>
      <w:marRight w:val="0"/>
      <w:marTop w:val="0"/>
      <w:marBottom w:val="0"/>
      <w:divBdr>
        <w:top w:val="none" w:sz="0" w:space="0" w:color="auto"/>
        <w:left w:val="none" w:sz="0" w:space="0" w:color="auto"/>
        <w:bottom w:val="none" w:sz="0" w:space="0" w:color="auto"/>
        <w:right w:val="none" w:sz="0" w:space="0" w:color="auto"/>
      </w:divBdr>
    </w:div>
    <w:div w:id="460347114">
      <w:bodyDiv w:val="1"/>
      <w:marLeft w:val="0"/>
      <w:marRight w:val="0"/>
      <w:marTop w:val="0"/>
      <w:marBottom w:val="0"/>
      <w:divBdr>
        <w:top w:val="none" w:sz="0" w:space="0" w:color="auto"/>
        <w:left w:val="none" w:sz="0" w:space="0" w:color="auto"/>
        <w:bottom w:val="none" w:sz="0" w:space="0" w:color="auto"/>
        <w:right w:val="none" w:sz="0" w:space="0" w:color="auto"/>
      </w:divBdr>
    </w:div>
    <w:div w:id="494761989">
      <w:bodyDiv w:val="1"/>
      <w:marLeft w:val="0"/>
      <w:marRight w:val="0"/>
      <w:marTop w:val="0"/>
      <w:marBottom w:val="0"/>
      <w:divBdr>
        <w:top w:val="none" w:sz="0" w:space="0" w:color="auto"/>
        <w:left w:val="none" w:sz="0" w:space="0" w:color="auto"/>
        <w:bottom w:val="none" w:sz="0" w:space="0" w:color="auto"/>
        <w:right w:val="none" w:sz="0" w:space="0" w:color="auto"/>
      </w:divBdr>
    </w:div>
    <w:div w:id="518468525">
      <w:bodyDiv w:val="1"/>
      <w:marLeft w:val="0"/>
      <w:marRight w:val="0"/>
      <w:marTop w:val="0"/>
      <w:marBottom w:val="0"/>
      <w:divBdr>
        <w:top w:val="none" w:sz="0" w:space="0" w:color="auto"/>
        <w:left w:val="none" w:sz="0" w:space="0" w:color="auto"/>
        <w:bottom w:val="none" w:sz="0" w:space="0" w:color="auto"/>
        <w:right w:val="none" w:sz="0" w:space="0" w:color="auto"/>
      </w:divBdr>
    </w:div>
    <w:div w:id="552959451">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80454420">
      <w:bodyDiv w:val="1"/>
      <w:marLeft w:val="0"/>
      <w:marRight w:val="0"/>
      <w:marTop w:val="0"/>
      <w:marBottom w:val="0"/>
      <w:divBdr>
        <w:top w:val="none" w:sz="0" w:space="0" w:color="auto"/>
        <w:left w:val="none" w:sz="0" w:space="0" w:color="auto"/>
        <w:bottom w:val="none" w:sz="0" w:space="0" w:color="auto"/>
        <w:right w:val="none" w:sz="0" w:space="0" w:color="auto"/>
      </w:divBdr>
    </w:div>
    <w:div w:id="586572646">
      <w:bodyDiv w:val="1"/>
      <w:marLeft w:val="0"/>
      <w:marRight w:val="0"/>
      <w:marTop w:val="0"/>
      <w:marBottom w:val="0"/>
      <w:divBdr>
        <w:top w:val="none" w:sz="0" w:space="0" w:color="auto"/>
        <w:left w:val="none" w:sz="0" w:space="0" w:color="auto"/>
        <w:bottom w:val="none" w:sz="0" w:space="0" w:color="auto"/>
        <w:right w:val="none" w:sz="0" w:space="0" w:color="auto"/>
      </w:divBdr>
    </w:div>
    <w:div w:id="601062742">
      <w:bodyDiv w:val="1"/>
      <w:marLeft w:val="0"/>
      <w:marRight w:val="0"/>
      <w:marTop w:val="0"/>
      <w:marBottom w:val="0"/>
      <w:divBdr>
        <w:top w:val="none" w:sz="0" w:space="0" w:color="auto"/>
        <w:left w:val="none" w:sz="0" w:space="0" w:color="auto"/>
        <w:bottom w:val="none" w:sz="0" w:space="0" w:color="auto"/>
        <w:right w:val="none" w:sz="0" w:space="0" w:color="auto"/>
      </w:divBdr>
    </w:div>
    <w:div w:id="627198729">
      <w:bodyDiv w:val="1"/>
      <w:marLeft w:val="0"/>
      <w:marRight w:val="0"/>
      <w:marTop w:val="0"/>
      <w:marBottom w:val="0"/>
      <w:divBdr>
        <w:top w:val="none" w:sz="0" w:space="0" w:color="auto"/>
        <w:left w:val="none" w:sz="0" w:space="0" w:color="auto"/>
        <w:bottom w:val="none" w:sz="0" w:space="0" w:color="auto"/>
        <w:right w:val="none" w:sz="0" w:space="0" w:color="auto"/>
      </w:divBdr>
    </w:div>
    <w:div w:id="643703652">
      <w:bodyDiv w:val="1"/>
      <w:marLeft w:val="0"/>
      <w:marRight w:val="0"/>
      <w:marTop w:val="0"/>
      <w:marBottom w:val="0"/>
      <w:divBdr>
        <w:top w:val="none" w:sz="0" w:space="0" w:color="auto"/>
        <w:left w:val="none" w:sz="0" w:space="0" w:color="auto"/>
        <w:bottom w:val="none" w:sz="0" w:space="0" w:color="auto"/>
        <w:right w:val="none" w:sz="0" w:space="0" w:color="auto"/>
      </w:divBdr>
    </w:div>
    <w:div w:id="699670126">
      <w:bodyDiv w:val="1"/>
      <w:marLeft w:val="0"/>
      <w:marRight w:val="0"/>
      <w:marTop w:val="0"/>
      <w:marBottom w:val="0"/>
      <w:divBdr>
        <w:top w:val="none" w:sz="0" w:space="0" w:color="auto"/>
        <w:left w:val="none" w:sz="0" w:space="0" w:color="auto"/>
        <w:bottom w:val="none" w:sz="0" w:space="0" w:color="auto"/>
        <w:right w:val="none" w:sz="0" w:space="0" w:color="auto"/>
      </w:divBdr>
    </w:div>
    <w:div w:id="700860322">
      <w:bodyDiv w:val="1"/>
      <w:marLeft w:val="0"/>
      <w:marRight w:val="0"/>
      <w:marTop w:val="0"/>
      <w:marBottom w:val="0"/>
      <w:divBdr>
        <w:top w:val="none" w:sz="0" w:space="0" w:color="auto"/>
        <w:left w:val="none" w:sz="0" w:space="0" w:color="auto"/>
        <w:bottom w:val="none" w:sz="0" w:space="0" w:color="auto"/>
        <w:right w:val="none" w:sz="0" w:space="0" w:color="auto"/>
      </w:divBdr>
    </w:div>
    <w:div w:id="700939988">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17048886">
      <w:bodyDiv w:val="1"/>
      <w:marLeft w:val="0"/>
      <w:marRight w:val="0"/>
      <w:marTop w:val="0"/>
      <w:marBottom w:val="0"/>
      <w:divBdr>
        <w:top w:val="none" w:sz="0" w:space="0" w:color="auto"/>
        <w:left w:val="none" w:sz="0" w:space="0" w:color="auto"/>
        <w:bottom w:val="none" w:sz="0" w:space="0" w:color="auto"/>
        <w:right w:val="none" w:sz="0" w:space="0" w:color="auto"/>
      </w:divBdr>
    </w:div>
    <w:div w:id="734625079">
      <w:bodyDiv w:val="1"/>
      <w:marLeft w:val="0"/>
      <w:marRight w:val="0"/>
      <w:marTop w:val="0"/>
      <w:marBottom w:val="0"/>
      <w:divBdr>
        <w:top w:val="none" w:sz="0" w:space="0" w:color="auto"/>
        <w:left w:val="none" w:sz="0" w:space="0" w:color="auto"/>
        <w:bottom w:val="none" w:sz="0" w:space="0" w:color="auto"/>
        <w:right w:val="none" w:sz="0" w:space="0" w:color="auto"/>
      </w:divBdr>
    </w:div>
    <w:div w:id="737509075">
      <w:bodyDiv w:val="1"/>
      <w:marLeft w:val="0"/>
      <w:marRight w:val="0"/>
      <w:marTop w:val="0"/>
      <w:marBottom w:val="0"/>
      <w:divBdr>
        <w:top w:val="none" w:sz="0" w:space="0" w:color="auto"/>
        <w:left w:val="none" w:sz="0" w:space="0" w:color="auto"/>
        <w:bottom w:val="none" w:sz="0" w:space="0" w:color="auto"/>
        <w:right w:val="none" w:sz="0" w:space="0" w:color="auto"/>
      </w:divBdr>
    </w:div>
    <w:div w:id="738283334">
      <w:bodyDiv w:val="1"/>
      <w:marLeft w:val="0"/>
      <w:marRight w:val="0"/>
      <w:marTop w:val="0"/>
      <w:marBottom w:val="0"/>
      <w:divBdr>
        <w:top w:val="none" w:sz="0" w:space="0" w:color="auto"/>
        <w:left w:val="none" w:sz="0" w:space="0" w:color="auto"/>
        <w:bottom w:val="none" w:sz="0" w:space="0" w:color="auto"/>
        <w:right w:val="none" w:sz="0" w:space="0" w:color="auto"/>
      </w:divBdr>
    </w:div>
    <w:div w:id="754979040">
      <w:bodyDiv w:val="1"/>
      <w:marLeft w:val="0"/>
      <w:marRight w:val="0"/>
      <w:marTop w:val="0"/>
      <w:marBottom w:val="0"/>
      <w:divBdr>
        <w:top w:val="none" w:sz="0" w:space="0" w:color="auto"/>
        <w:left w:val="none" w:sz="0" w:space="0" w:color="auto"/>
        <w:bottom w:val="none" w:sz="0" w:space="0" w:color="auto"/>
        <w:right w:val="none" w:sz="0" w:space="0" w:color="auto"/>
      </w:divBdr>
    </w:div>
    <w:div w:id="774791240">
      <w:bodyDiv w:val="1"/>
      <w:marLeft w:val="0"/>
      <w:marRight w:val="0"/>
      <w:marTop w:val="0"/>
      <w:marBottom w:val="0"/>
      <w:divBdr>
        <w:top w:val="none" w:sz="0" w:space="0" w:color="auto"/>
        <w:left w:val="none" w:sz="0" w:space="0" w:color="auto"/>
        <w:bottom w:val="none" w:sz="0" w:space="0" w:color="auto"/>
        <w:right w:val="none" w:sz="0" w:space="0" w:color="auto"/>
      </w:divBdr>
    </w:div>
    <w:div w:id="776868472">
      <w:bodyDiv w:val="1"/>
      <w:marLeft w:val="0"/>
      <w:marRight w:val="0"/>
      <w:marTop w:val="0"/>
      <w:marBottom w:val="0"/>
      <w:divBdr>
        <w:top w:val="none" w:sz="0" w:space="0" w:color="auto"/>
        <w:left w:val="none" w:sz="0" w:space="0" w:color="auto"/>
        <w:bottom w:val="none" w:sz="0" w:space="0" w:color="auto"/>
        <w:right w:val="none" w:sz="0" w:space="0" w:color="auto"/>
      </w:divBdr>
    </w:div>
    <w:div w:id="799498046">
      <w:bodyDiv w:val="1"/>
      <w:marLeft w:val="0"/>
      <w:marRight w:val="0"/>
      <w:marTop w:val="0"/>
      <w:marBottom w:val="0"/>
      <w:divBdr>
        <w:top w:val="none" w:sz="0" w:space="0" w:color="auto"/>
        <w:left w:val="none" w:sz="0" w:space="0" w:color="auto"/>
        <w:bottom w:val="none" w:sz="0" w:space="0" w:color="auto"/>
        <w:right w:val="none" w:sz="0" w:space="0" w:color="auto"/>
      </w:divBdr>
    </w:div>
    <w:div w:id="860899952">
      <w:bodyDiv w:val="1"/>
      <w:marLeft w:val="0"/>
      <w:marRight w:val="0"/>
      <w:marTop w:val="0"/>
      <w:marBottom w:val="0"/>
      <w:divBdr>
        <w:top w:val="none" w:sz="0" w:space="0" w:color="auto"/>
        <w:left w:val="none" w:sz="0" w:space="0" w:color="auto"/>
        <w:bottom w:val="none" w:sz="0" w:space="0" w:color="auto"/>
        <w:right w:val="none" w:sz="0" w:space="0" w:color="auto"/>
      </w:divBdr>
    </w:div>
    <w:div w:id="861825920">
      <w:bodyDiv w:val="1"/>
      <w:marLeft w:val="0"/>
      <w:marRight w:val="0"/>
      <w:marTop w:val="0"/>
      <w:marBottom w:val="0"/>
      <w:divBdr>
        <w:top w:val="none" w:sz="0" w:space="0" w:color="auto"/>
        <w:left w:val="none" w:sz="0" w:space="0" w:color="auto"/>
        <w:bottom w:val="none" w:sz="0" w:space="0" w:color="auto"/>
        <w:right w:val="none" w:sz="0" w:space="0" w:color="auto"/>
      </w:divBdr>
    </w:div>
    <w:div w:id="902447280">
      <w:bodyDiv w:val="1"/>
      <w:marLeft w:val="0"/>
      <w:marRight w:val="0"/>
      <w:marTop w:val="0"/>
      <w:marBottom w:val="0"/>
      <w:divBdr>
        <w:top w:val="none" w:sz="0" w:space="0" w:color="auto"/>
        <w:left w:val="none" w:sz="0" w:space="0" w:color="auto"/>
        <w:bottom w:val="none" w:sz="0" w:space="0" w:color="auto"/>
        <w:right w:val="none" w:sz="0" w:space="0" w:color="auto"/>
      </w:divBdr>
    </w:div>
    <w:div w:id="932013137">
      <w:bodyDiv w:val="1"/>
      <w:marLeft w:val="0"/>
      <w:marRight w:val="0"/>
      <w:marTop w:val="0"/>
      <w:marBottom w:val="0"/>
      <w:divBdr>
        <w:top w:val="none" w:sz="0" w:space="0" w:color="auto"/>
        <w:left w:val="none" w:sz="0" w:space="0" w:color="auto"/>
        <w:bottom w:val="none" w:sz="0" w:space="0" w:color="auto"/>
        <w:right w:val="none" w:sz="0" w:space="0" w:color="auto"/>
      </w:divBdr>
    </w:div>
    <w:div w:id="942567274">
      <w:bodyDiv w:val="1"/>
      <w:marLeft w:val="0"/>
      <w:marRight w:val="0"/>
      <w:marTop w:val="0"/>
      <w:marBottom w:val="0"/>
      <w:divBdr>
        <w:top w:val="none" w:sz="0" w:space="0" w:color="auto"/>
        <w:left w:val="none" w:sz="0" w:space="0" w:color="auto"/>
        <w:bottom w:val="none" w:sz="0" w:space="0" w:color="auto"/>
        <w:right w:val="none" w:sz="0" w:space="0" w:color="auto"/>
      </w:divBdr>
    </w:div>
    <w:div w:id="958295231">
      <w:bodyDiv w:val="1"/>
      <w:marLeft w:val="0"/>
      <w:marRight w:val="0"/>
      <w:marTop w:val="0"/>
      <w:marBottom w:val="0"/>
      <w:divBdr>
        <w:top w:val="none" w:sz="0" w:space="0" w:color="auto"/>
        <w:left w:val="none" w:sz="0" w:space="0" w:color="auto"/>
        <w:bottom w:val="none" w:sz="0" w:space="0" w:color="auto"/>
        <w:right w:val="none" w:sz="0" w:space="0" w:color="auto"/>
      </w:divBdr>
    </w:div>
    <w:div w:id="974094033">
      <w:bodyDiv w:val="1"/>
      <w:marLeft w:val="0"/>
      <w:marRight w:val="0"/>
      <w:marTop w:val="0"/>
      <w:marBottom w:val="0"/>
      <w:divBdr>
        <w:top w:val="none" w:sz="0" w:space="0" w:color="auto"/>
        <w:left w:val="none" w:sz="0" w:space="0" w:color="auto"/>
        <w:bottom w:val="none" w:sz="0" w:space="0" w:color="auto"/>
        <w:right w:val="none" w:sz="0" w:space="0" w:color="auto"/>
      </w:divBdr>
    </w:div>
    <w:div w:id="978415806">
      <w:bodyDiv w:val="1"/>
      <w:marLeft w:val="0"/>
      <w:marRight w:val="0"/>
      <w:marTop w:val="0"/>
      <w:marBottom w:val="0"/>
      <w:divBdr>
        <w:top w:val="none" w:sz="0" w:space="0" w:color="auto"/>
        <w:left w:val="none" w:sz="0" w:space="0" w:color="auto"/>
        <w:bottom w:val="none" w:sz="0" w:space="0" w:color="auto"/>
        <w:right w:val="none" w:sz="0" w:space="0" w:color="auto"/>
      </w:divBdr>
    </w:div>
    <w:div w:id="980425293">
      <w:bodyDiv w:val="1"/>
      <w:marLeft w:val="0"/>
      <w:marRight w:val="0"/>
      <w:marTop w:val="0"/>
      <w:marBottom w:val="0"/>
      <w:divBdr>
        <w:top w:val="none" w:sz="0" w:space="0" w:color="auto"/>
        <w:left w:val="none" w:sz="0" w:space="0" w:color="auto"/>
        <w:bottom w:val="none" w:sz="0" w:space="0" w:color="auto"/>
        <w:right w:val="none" w:sz="0" w:space="0" w:color="auto"/>
      </w:divBdr>
    </w:div>
    <w:div w:id="1045133790">
      <w:bodyDiv w:val="1"/>
      <w:marLeft w:val="0"/>
      <w:marRight w:val="0"/>
      <w:marTop w:val="0"/>
      <w:marBottom w:val="0"/>
      <w:divBdr>
        <w:top w:val="none" w:sz="0" w:space="0" w:color="auto"/>
        <w:left w:val="none" w:sz="0" w:space="0" w:color="auto"/>
        <w:bottom w:val="none" w:sz="0" w:space="0" w:color="auto"/>
        <w:right w:val="none" w:sz="0" w:space="0" w:color="auto"/>
      </w:divBdr>
    </w:div>
    <w:div w:id="1071541019">
      <w:bodyDiv w:val="1"/>
      <w:marLeft w:val="0"/>
      <w:marRight w:val="0"/>
      <w:marTop w:val="0"/>
      <w:marBottom w:val="0"/>
      <w:divBdr>
        <w:top w:val="none" w:sz="0" w:space="0" w:color="auto"/>
        <w:left w:val="none" w:sz="0" w:space="0" w:color="auto"/>
        <w:bottom w:val="none" w:sz="0" w:space="0" w:color="auto"/>
        <w:right w:val="none" w:sz="0" w:space="0" w:color="auto"/>
      </w:divBdr>
    </w:div>
    <w:div w:id="1116410698">
      <w:bodyDiv w:val="1"/>
      <w:marLeft w:val="0"/>
      <w:marRight w:val="0"/>
      <w:marTop w:val="0"/>
      <w:marBottom w:val="0"/>
      <w:divBdr>
        <w:top w:val="none" w:sz="0" w:space="0" w:color="auto"/>
        <w:left w:val="none" w:sz="0" w:space="0" w:color="auto"/>
        <w:bottom w:val="none" w:sz="0" w:space="0" w:color="auto"/>
        <w:right w:val="none" w:sz="0" w:space="0" w:color="auto"/>
      </w:divBdr>
    </w:div>
    <w:div w:id="1119101843">
      <w:bodyDiv w:val="1"/>
      <w:marLeft w:val="0"/>
      <w:marRight w:val="0"/>
      <w:marTop w:val="0"/>
      <w:marBottom w:val="0"/>
      <w:divBdr>
        <w:top w:val="none" w:sz="0" w:space="0" w:color="auto"/>
        <w:left w:val="none" w:sz="0" w:space="0" w:color="auto"/>
        <w:bottom w:val="none" w:sz="0" w:space="0" w:color="auto"/>
        <w:right w:val="none" w:sz="0" w:space="0" w:color="auto"/>
      </w:divBdr>
    </w:div>
    <w:div w:id="1119376392">
      <w:bodyDiv w:val="1"/>
      <w:marLeft w:val="0"/>
      <w:marRight w:val="0"/>
      <w:marTop w:val="0"/>
      <w:marBottom w:val="0"/>
      <w:divBdr>
        <w:top w:val="none" w:sz="0" w:space="0" w:color="auto"/>
        <w:left w:val="none" w:sz="0" w:space="0" w:color="auto"/>
        <w:bottom w:val="none" w:sz="0" w:space="0" w:color="auto"/>
        <w:right w:val="none" w:sz="0" w:space="0" w:color="auto"/>
      </w:divBdr>
    </w:div>
    <w:div w:id="1141844877">
      <w:bodyDiv w:val="1"/>
      <w:marLeft w:val="0"/>
      <w:marRight w:val="0"/>
      <w:marTop w:val="0"/>
      <w:marBottom w:val="0"/>
      <w:divBdr>
        <w:top w:val="none" w:sz="0" w:space="0" w:color="auto"/>
        <w:left w:val="none" w:sz="0" w:space="0" w:color="auto"/>
        <w:bottom w:val="none" w:sz="0" w:space="0" w:color="auto"/>
        <w:right w:val="none" w:sz="0" w:space="0" w:color="auto"/>
      </w:divBdr>
    </w:div>
    <w:div w:id="1145320680">
      <w:bodyDiv w:val="1"/>
      <w:marLeft w:val="0"/>
      <w:marRight w:val="0"/>
      <w:marTop w:val="0"/>
      <w:marBottom w:val="0"/>
      <w:divBdr>
        <w:top w:val="none" w:sz="0" w:space="0" w:color="auto"/>
        <w:left w:val="none" w:sz="0" w:space="0" w:color="auto"/>
        <w:bottom w:val="none" w:sz="0" w:space="0" w:color="auto"/>
        <w:right w:val="none" w:sz="0" w:space="0" w:color="auto"/>
      </w:divBdr>
    </w:div>
    <w:div w:id="1145971698">
      <w:bodyDiv w:val="1"/>
      <w:marLeft w:val="0"/>
      <w:marRight w:val="0"/>
      <w:marTop w:val="0"/>
      <w:marBottom w:val="0"/>
      <w:divBdr>
        <w:top w:val="none" w:sz="0" w:space="0" w:color="auto"/>
        <w:left w:val="none" w:sz="0" w:space="0" w:color="auto"/>
        <w:bottom w:val="none" w:sz="0" w:space="0" w:color="auto"/>
        <w:right w:val="none" w:sz="0" w:space="0" w:color="auto"/>
      </w:divBdr>
    </w:div>
    <w:div w:id="1148785533">
      <w:bodyDiv w:val="1"/>
      <w:marLeft w:val="0"/>
      <w:marRight w:val="0"/>
      <w:marTop w:val="0"/>
      <w:marBottom w:val="0"/>
      <w:divBdr>
        <w:top w:val="none" w:sz="0" w:space="0" w:color="auto"/>
        <w:left w:val="none" w:sz="0" w:space="0" w:color="auto"/>
        <w:bottom w:val="none" w:sz="0" w:space="0" w:color="auto"/>
        <w:right w:val="none" w:sz="0" w:space="0" w:color="auto"/>
      </w:divBdr>
    </w:div>
    <w:div w:id="1217350079">
      <w:bodyDiv w:val="1"/>
      <w:marLeft w:val="0"/>
      <w:marRight w:val="0"/>
      <w:marTop w:val="0"/>
      <w:marBottom w:val="0"/>
      <w:divBdr>
        <w:top w:val="none" w:sz="0" w:space="0" w:color="auto"/>
        <w:left w:val="none" w:sz="0" w:space="0" w:color="auto"/>
        <w:bottom w:val="none" w:sz="0" w:space="0" w:color="auto"/>
        <w:right w:val="none" w:sz="0" w:space="0" w:color="auto"/>
      </w:divBdr>
    </w:div>
    <w:div w:id="123936046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65918339">
      <w:bodyDiv w:val="1"/>
      <w:marLeft w:val="0"/>
      <w:marRight w:val="0"/>
      <w:marTop w:val="0"/>
      <w:marBottom w:val="0"/>
      <w:divBdr>
        <w:top w:val="none" w:sz="0" w:space="0" w:color="auto"/>
        <w:left w:val="none" w:sz="0" w:space="0" w:color="auto"/>
        <w:bottom w:val="none" w:sz="0" w:space="0" w:color="auto"/>
        <w:right w:val="none" w:sz="0" w:space="0" w:color="auto"/>
      </w:divBdr>
    </w:div>
    <w:div w:id="1296107306">
      <w:bodyDiv w:val="1"/>
      <w:marLeft w:val="0"/>
      <w:marRight w:val="0"/>
      <w:marTop w:val="0"/>
      <w:marBottom w:val="0"/>
      <w:divBdr>
        <w:top w:val="none" w:sz="0" w:space="0" w:color="auto"/>
        <w:left w:val="none" w:sz="0" w:space="0" w:color="auto"/>
        <w:bottom w:val="none" w:sz="0" w:space="0" w:color="auto"/>
        <w:right w:val="none" w:sz="0" w:space="0" w:color="auto"/>
      </w:divBdr>
    </w:div>
    <w:div w:id="1316833838">
      <w:bodyDiv w:val="1"/>
      <w:marLeft w:val="0"/>
      <w:marRight w:val="0"/>
      <w:marTop w:val="0"/>
      <w:marBottom w:val="0"/>
      <w:divBdr>
        <w:top w:val="none" w:sz="0" w:space="0" w:color="auto"/>
        <w:left w:val="none" w:sz="0" w:space="0" w:color="auto"/>
        <w:bottom w:val="none" w:sz="0" w:space="0" w:color="auto"/>
        <w:right w:val="none" w:sz="0" w:space="0" w:color="auto"/>
      </w:divBdr>
    </w:div>
    <w:div w:id="1350522282">
      <w:bodyDiv w:val="1"/>
      <w:marLeft w:val="0"/>
      <w:marRight w:val="0"/>
      <w:marTop w:val="0"/>
      <w:marBottom w:val="0"/>
      <w:divBdr>
        <w:top w:val="none" w:sz="0" w:space="0" w:color="auto"/>
        <w:left w:val="none" w:sz="0" w:space="0" w:color="auto"/>
        <w:bottom w:val="none" w:sz="0" w:space="0" w:color="auto"/>
        <w:right w:val="none" w:sz="0" w:space="0" w:color="auto"/>
      </w:divBdr>
    </w:div>
    <w:div w:id="1353188679">
      <w:bodyDiv w:val="1"/>
      <w:marLeft w:val="0"/>
      <w:marRight w:val="0"/>
      <w:marTop w:val="0"/>
      <w:marBottom w:val="0"/>
      <w:divBdr>
        <w:top w:val="none" w:sz="0" w:space="0" w:color="auto"/>
        <w:left w:val="none" w:sz="0" w:space="0" w:color="auto"/>
        <w:bottom w:val="none" w:sz="0" w:space="0" w:color="auto"/>
        <w:right w:val="none" w:sz="0" w:space="0" w:color="auto"/>
      </w:divBdr>
    </w:div>
    <w:div w:id="1363049238">
      <w:bodyDiv w:val="1"/>
      <w:marLeft w:val="0"/>
      <w:marRight w:val="0"/>
      <w:marTop w:val="0"/>
      <w:marBottom w:val="0"/>
      <w:divBdr>
        <w:top w:val="none" w:sz="0" w:space="0" w:color="auto"/>
        <w:left w:val="none" w:sz="0" w:space="0" w:color="auto"/>
        <w:bottom w:val="none" w:sz="0" w:space="0" w:color="auto"/>
        <w:right w:val="none" w:sz="0" w:space="0" w:color="auto"/>
      </w:divBdr>
    </w:div>
    <w:div w:id="1405034556">
      <w:bodyDiv w:val="1"/>
      <w:marLeft w:val="0"/>
      <w:marRight w:val="0"/>
      <w:marTop w:val="0"/>
      <w:marBottom w:val="0"/>
      <w:divBdr>
        <w:top w:val="none" w:sz="0" w:space="0" w:color="auto"/>
        <w:left w:val="none" w:sz="0" w:space="0" w:color="auto"/>
        <w:bottom w:val="none" w:sz="0" w:space="0" w:color="auto"/>
        <w:right w:val="none" w:sz="0" w:space="0" w:color="auto"/>
      </w:divBdr>
    </w:div>
    <w:div w:id="1425227189">
      <w:bodyDiv w:val="1"/>
      <w:marLeft w:val="0"/>
      <w:marRight w:val="0"/>
      <w:marTop w:val="0"/>
      <w:marBottom w:val="0"/>
      <w:divBdr>
        <w:top w:val="none" w:sz="0" w:space="0" w:color="auto"/>
        <w:left w:val="none" w:sz="0" w:space="0" w:color="auto"/>
        <w:bottom w:val="none" w:sz="0" w:space="0" w:color="auto"/>
        <w:right w:val="none" w:sz="0" w:space="0" w:color="auto"/>
      </w:divBdr>
    </w:div>
    <w:div w:id="1448498947">
      <w:bodyDiv w:val="1"/>
      <w:marLeft w:val="0"/>
      <w:marRight w:val="0"/>
      <w:marTop w:val="0"/>
      <w:marBottom w:val="0"/>
      <w:divBdr>
        <w:top w:val="none" w:sz="0" w:space="0" w:color="auto"/>
        <w:left w:val="none" w:sz="0" w:space="0" w:color="auto"/>
        <w:bottom w:val="none" w:sz="0" w:space="0" w:color="auto"/>
        <w:right w:val="none" w:sz="0" w:space="0" w:color="auto"/>
      </w:divBdr>
    </w:div>
    <w:div w:id="1457484539">
      <w:bodyDiv w:val="1"/>
      <w:marLeft w:val="0"/>
      <w:marRight w:val="0"/>
      <w:marTop w:val="0"/>
      <w:marBottom w:val="0"/>
      <w:divBdr>
        <w:top w:val="none" w:sz="0" w:space="0" w:color="auto"/>
        <w:left w:val="none" w:sz="0" w:space="0" w:color="auto"/>
        <w:bottom w:val="none" w:sz="0" w:space="0" w:color="auto"/>
        <w:right w:val="none" w:sz="0" w:space="0" w:color="auto"/>
      </w:divBdr>
    </w:div>
    <w:div w:id="1483548402">
      <w:bodyDiv w:val="1"/>
      <w:marLeft w:val="0"/>
      <w:marRight w:val="0"/>
      <w:marTop w:val="0"/>
      <w:marBottom w:val="0"/>
      <w:divBdr>
        <w:top w:val="none" w:sz="0" w:space="0" w:color="auto"/>
        <w:left w:val="none" w:sz="0" w:space="0" w:color="auto"/>
        <w:bottom w:val="none" w:sz="0" w:space="0" w:color="auto"/>
        <w:right w:val="none" w:sz="0" w:space="0" w:color="auto"/>
      </w:divBdr>
    </w:div>
    <w:div w:id="1501888676">
      <w:bodyDiv w:val="1"/>
      <w:marLeft w:val="0"/>
      <w:marRight w:val="0"/>
      <w:marTop w:val="0"/>
      <w:marBottom w:val="0"/>
      <w:divBdr>
        <w:top w:val="none" w:sz="0" w:space="0" w:color="auto"/>
        <w:left w:val="none" w:sz="0" w:space="0" w:color="auto"/>
        <w:bottom w:val="none" w:sz="0" w:space="0" w:color="auto"/>
        <w:right w:val="none" w:sz="0" w:space="0" w:color="auto"/>
      </w:divBdr>
    </w:div>
    <w:div w:id="1522737472">
      <w:bodyDiv w:val="1"/>
      <w:marLeft w:val="0"/>
      <w:marRight w:val="0"/>
      <w:marTop w:val="0"/>
      <w:marBottom w:val="0"/>
      <w:divBdr>
        <w:top w:val="none" w:sz="0" w:space="0" w:color="auto"/>
        <w:left w:val="none" w:sz="0" w:space="0" w:color="auto"/>
        <w:bottom w:val="none" w:sz="0" w:space="0" w:color="auto"/>
        <w:right w:val="none" w:sz="0" w:space="0" w:color="auto"/>
      </w:divBdr>
    </w:div>
    <w:div w:id="1540623175">
      <w:bodyDiv w:val="1"/>
      <w:marLeft w:val="0"/>
      <w:marRight w:val="0"/>
      <w:marTop w:val="0"/>
      <w:marBottom w:val="0"/>
      <w:divBdr>
        <w:top w:val="none" w:sz="0" w:space="0" w:color="auto"/>
        <w:left w:val="none" w:sz="0" w:space="0" w:color="auto"/>
        <w:bottom w:val="none" w:sz="0" w:space="0" w:color="auto"/>
        <w:right w:val="none" w:sz="0" w:space="0" w:color="auto"/>
      </w:divBdr>
    </w:div>
    <w:div w:id="1548688131">
      <w:bodyDiv w:val="1"/>
      <w:marLeft w:val="0"/>
      <w:marRight w:val="0"/>
      <w:marTop w:val="0"/>
      <w:marBottom w:val="0"/>
      <w:divBdr>
        <w:top w:val="none" w:sz="0" w:space="0" w:color="auto"/>
        <w:left w:val="none" w:sz="0" w:space="0" w:color="auto"/>
        <w:bottom w:val="none" w:sz="0" w:space="0" w:color="auto"/>
        <w:right w:val="none" w:sz="0" w:space="0" w:color="auto"/>
      </w:divBdr>
    </w:div>
    <w:div w:id="1627929140">
      <w:bodyDiv w:val="1"/>
      <w:marLeft w:val="0"/>
      <w:marRight w:val="0"/>
      <w:marTop w:val="0"/>
      <w:marBottom w:val="0"/>
      <w:divBdr>
        <w:top w:val="none" w:sz="0" w:space="0" w:color="auto"/>
        <w:left w:val="none" w:sz="0" w:space="0" w:color="auto"/>
        <w:bottom w:val="none" w:sz="0" w:space="0" w:color="auto"/>
        <w:right w:val="none" w:sz="0" w:space="0" w:color="auto"/>
      </w:divBdr>
    </w:div>
    <w:div w:id="1642231710">
      <w:bodyDiv w:val="1"/>
      <w:marLeft w:val="0"/>
      <w:marRight w:val="0"/>
      <w:marTop w:val="0"/>
      <w:marBottom w:val="0"/>
      <w:divBdr>
        <w:top w:val="none" w:sz="0" w:space="0" w:color="auto"/>
        <w:left w:val="none" w:sz="0" w:space="0" w:color="auto"/>
        <w:bottom w:val="none" w:sz="0" w:space="0" w:color="auto"/>
        <w:right w:val="none" w:sz="0" w:space="0" w:color="auto"/>
      </w:divBdr>
    </w:div>
    <w:div w:id="1684209761">
      <w:bodyDiv w:val="1"/>
      <w:marLeft w:val="0"/>
      <w:marRight w:val="0"/>
      <w:marTop w:val="0"/>
      <w:marBottom w:val="0"/>
      <w:divBdr>
        <w:top w:val="none" w:sz="0" w:space="0" w:color="auto"/>
        <w:left w:val="none" w:sz="0" w:space="0" w:color="auto"/>
        <w:bottom w:val="none" w:sz="0" w:space="0" w:color="auto"/>
        <w:right w:val="none" w:sz="0" w:space="0" w:color="auto"/>
      </w:divBdr>
    </w:div>
    <w:div w:id="1756706040">
      <w:bodyDiv w:val="1"/>
      <w:marLeft w:val="0"/>
      <w:marRight w:val="0"/>
      <w:marTop w:val="0"/>
      <w:marBottom w:val="0"/>
      <w:divBdr>
        <w:top w:val="none" w:sz="0" w:space="0" w:color="auto"/>
        <w:left w:val="none" w:sz="0" w:space="0" w:color="auto"/>
        <w:bottom w:val="none" w:sz="0" w:space="0" w:color="auto"/>
        <w:right w:val="none" w:sz="0" w:space="0" w:color="auto"/>
      </w:divBdr>
    </w:div>
    <w:div w:id="1777795666">
      <w:bodyDiv w:val="1"/>
      <w:marLeft w:val="0"/>
      <w:marRight w:val="0"/>
      <w:marTop w:val="0"/>
      <w:marBottom w:val="0"/>
      <w:divBdr>
        <w:top w:val="none" w:sz="0" w:space="0" w:color="auto"/>
        <w:left w:val="none" w:sz="0" w:space="0" w:color="auto"/>
        <w:bottom w:val="none" w:sz="0" w:space="0" w:color="auto"/>
        <w:right w:val="none" w:sz="0" w:space="0" w:color="auto"/>
      </w:divBdr>
    </w:div>
    <w:div w:id="1789540206">
      <w:bodyDiv w:val="1"/>
      <w:marLeft w:val="0"/>
      <w:marRight w:val="0"/>
      <w:marTop w:val="0"/>
      <w:marBottom w:val="0"/>
      <w:divBdr>
        <w:top w:val="none" w:sz="0" w:space="0" w:color="auto"/>
        <w:left w:val="none" w:sz="0" w:space="0" w:color="auto"/>
        <w:bottom w:val="none" w:sz="0" w:space="0" w:color="auto"/>
        <w:right w:val="none" w:sz="0" w:space="0" w:color="auto"/>
      </w:divBdr>
    </w:div>
    <w:div w:id="1797678091">
      <w:bodyDiv w:val="1"/>
      <w:marLeft w:val="0"/>
      <w:marRight w:val="0"/>
      <w:marTop w:val="0"/>
      <w:marBottom w:val="0"/>
      <w:divBdr>
        <w:top w:val="none" w:sz="0" w:space="0" w:color="auto"/>
        <w:left w:val="none" w:sz="0" w:space="0" w:color="auto"/>
        <w:bottom w:val="none" w:sz="0" w:space="0" w:color="auto"/>
        <w:right w:val="none" w:sz="0" w:space="0" w:color="auto"/>
      </w:divBdr>
    </w:div>
    <w:div w:id="1805268095">
      <w:bodyDiv w:val="1"/>
      <w:marLeft w:val="0"/>
      <w:marRight w:val="0"/>
      <w:marTop w:val="0"/>
      <w:marBottom w:val="0"/>
      <w:divBdr>
        <w:top w:val="none" w:sz="0" w:space="0" w:color="auto"/>
        <w:left w:val="none" w:sz="0" w:space="0" w:color="auto"/>
        <w:bottom w:val="none" w:sz="0" w:space="0" w:color="auto"/>
        <w:right w:val="none" w:sz="0" w:space="0" w:color="auto"/>
      </w:divBdr>
    </w:div>
    <w:div w:id="1851334380">
      <w:bodyDiv w:val="1"/>
      <w:marLeft w:val="0"/>
      <w:marRight w:val="0"/>
      <w:marTop w:val="0"/>
      <w:marBottom w:val="0"/>
      <w:divBdr>
        <w:top w:val="none" w:sz="0" w:space="0" w:color="auto"/>
        <w:left w:val="none" w:sz="0" w:space="0" w:color="auto"/>
        <w:bottom w:val="none" w:sz="0" w:space="0" w:color="auto"/>
        <w:right w:val="none" w:sz="0" w:space="0" w:color="auto"/>
      </w:divBdr>
    </w:div>
    <w:div w:id="1852642476">
      <w:bodyDiv w:val="1"/>
      <w:marLeft w:val="0"/>
      <w:marRight w:val="0"/>
      <w:marTop w:val="0"/>
      <w:marBottom w:val="0"/>
      <w:divBdr>
        <w:top w:val="none" w:sz="0" w:space="0" w:color="auto"/>
        <w:left w:val="none" w:sz="0" w:space="0" w:color="auto"/>
        <w:bottom w:val="none" w:sz="0" w:space="0" w:color="auto"/>
        <w:right w:val="none" w:sz="0" w:space="0" w:color="auto"/>
      </w:divBdr>
    </w:div>
    <w:div w:id="1895698460">
      <w:bodyDiv w:val="1"/>
      <w:marLeft w:val="0"/>
      <w:marRight w:val="0"/>
      <w:marTop w:val="0"/>
      <w:marBottom w:val="0"/>
      <w:divBdr>
        <w:top w:val="none" w:sz="0" w:space="0" w:color="auto"/>
        <w:left w:val="none" w:sz="0" w:space="0" w:color="auto"/>
        <w:bottom w:val="none" w:sz="0" w:space="0" w:color="auto"/>
        <w:right w:val="none" w:sz="0" w:space="0" w:color="auto"/>
      </w:divBdr>
    </w:div>
    <w:div w:id="1931961105">
      <w:bodyDiv w:val="1"/>
      <w:marLeft w:val="0"/>
      <w:marRight w:val="0"/>
      <w:marTop w:val="0"/>
      <w:marBottom w:val="0"/>
      <w:divBdr>
        <w:top w:val="none" w:sz="0" w:space="0" w:color="auto"/>
        <w:left w:val="none" w:sz="0" w:space="0" w:color="auto"/>
        <w:bottom w:val="none" w:sz="0" w:space="0" w:color="auto"/>
        <w:right w:val="none" w:sz="0" w:space="0" w:color="auto"/>
      </w:divBdr>
    </w:div>
    <w:div w:id="1933660318">
      <w:bodyDiv w:val="1"/>
      <w:marLeft w:val="0"/>
      <w:marRight w:val="0"/>
      <w:marTop w:val="0"/>
      <w:marBottom w:val="0"/>
      <w:divBdr>
        <w:top w:val="none" w:sz="0" w:space="0" w:color="auto"/>
        <w:left w:val="none" w:sz="0" w:space="0" w:color="auto"/>
        <w:bottom w:val="none" w:sz="0" w:space="0" w:color="auto"/>
        <w:right w:val="none" w:sz="0" w:space="0" w:color="auto"/>
      </w:divBdr>
    </w:div>
    <w:div w:id="1960523581">
      <w:bodyDiv w:val="1"/>
      <w:marLeft w:val="0"/>
      <w:marRight w:val="0"/>
      <w:marTop w:val="0"/>
      <w:marBottom w:val="0"/>
      <w:divBdr>
        <w:top w:val="none" w:sz="0" w:space="0" w:color="auto"/>
        <w:left w:val="none" w:sz="0" w:space="0" w:color="auto"/>
        <w:bottom w:val="none" w:sz="0" w:space="0" w:color="auto"/>
        <w:right w:val="none" w:sz="0" w:space="0" w:color="auto"/>
      </w:divBdr>
    </w:div>
    <w:div w:id="1961036844">
      <w:bodyDiv w:val="1"/>
      <w:marLeft w:val="0"/>
      <w:marRight w:val="0"/>
      <w:marTop w:val="0"/>
      <w:marBottom w:val="0"/>
      <w:divBdr>
        <w:top w:val="none" w:sz="0" w:space="0" w:color="auto"/>
        <w:left w:val="none" w:sz="0" w:space="0" w:color="auto"/>
        <w:bottom w:val="none" w:sz="0" w:space="0" w:color="auto"/>
        <w:right w:val="none" w:sz="0" w:space="0" w:color="auto"/>
      </w:divBdr>
    </w:div>
    <w:div w:id="1991405392">
      <w:bodyDiv w:val="1"/>
      <w:marLeft w:val="0"/>
      <w:marRight w:val="0"/>
      <w:marTop w:val="0"/>
      <w:marBottom w:val="0"/>
      <w:divBdr>
        <w:top w:val="none" w:sz="0" w:space="0" w:color="auto"/>
        <w:left w:val="none" w:sz="0" w:space="0" w:color="auto"/>
        <w:bottom w:val="none" w:sz="0" w:space="0" w:color="auto"/>
        <w:right w:val="none" w:sz="0" w:space="0" w:color="auto"/>
      </w:divBdr>
    </w:div>
    <w:div w:id="2006858107">
      <w:bodyDiv w:val="1"/>
      <w:marLeft w:val="0"/>
      <w:marRight w:val="0"/>
      <w:marTop w:val="0"/>
      <w:marBottom w:val="0"/>
      <w:divBdr>
        <w:top w:val="none" w:sz="0" w:space="0" w:color="auto"/>
        <w:left w:val="none" w:sz="0" w:space="0" w:color="auto"/>
        <w:bottom w:val="none" w:sz="0" w:space="0" w:color="auto"/>
        <w:right w:val="none" w:sz="0" w:space="0" w:color="auto"/>
      </w:divBdr>
    </w:div>
    <w:div w:id="2039623717">
      <w:bodyDiv w:val="1"/>
      <w:marLeft w:val="0"/>
      <w:marRight w:val="0"/>
      <w:marTop w:val="0"/>
      <w:marBottom w:val="0"/>
      <w:divBdr>
        <w:top w:val="none" w:sz="0" w:space="0" w:color="auto"/>
        <w:left w:val="none" w:sz="0" w:space="0" w:color="auto"/>
        <w:bottom w:val="none" w:sz="0" w:space="0" w:color="auto"/>
        <w:right w:val="none" w:sz="0" w:space="0" w:color="auto"/>
      </w:divBdr>
    </w:div>
    <w:div w:id="2056464933">
      <w:bodyDiv w:val="1"/>
      <w:marLeft w:val="0"/>
      <w:marRight w:val="0"/>
      <w:marTop w:val="0"/>
      <w:marBottom w:val="0"/>
      <w:divBdr>
        <w:top w:val="none" w:sz="0" w:space="0" w:color="auto"/>
        <w:left w:val="none" w:sz="0" w:space="0" w:color="auto"/>
        <w:bottom w:val="none" w:sz="0" w:space="0" w:color="auto"/>
        <w:right w:val="none" w:sz="0" w:space="0" w:color="auto"/>
      </w:divBdr>
    </w:div>
    <w:div w:id="2099517690">
      <w:bodyDiv w:val="1"/>
      <w:marLeft w:val="0"/>
      <w:marRight w:val="0"/>
      <w:marTop w:val="0"/>
      <w:marBottom w:val="0"/>
      <w:divBdr>
        <w:top w:val="none" w:sz="0" w:space="0" w:color="auto"/>
        <w:left w:val="none" w:sz="0" w:space="0" w:color="auto"/>
        <w:bottom w:val="none" w:sz="0" w:space="0" w:color="auto"/>
        <w:right w:val="none" w:sz="0" w:space="0" w:color="auto"/>
      </w:divBdr>
    </w:div>
    <w:div w:id="2102487125">
      <w:bodyDiv w:val="1"/>
      <w:marLeft w:val="0"/>
      <w:marRight w:val="0"/>
      <w:marTop w:val="0"/>
      <w:marBottom w:val="0"/>
      <w:divBdr>
        <w:top w:val="none" w:sz="0" w:space="0" w:color="auto"/>
        <w:left w:val="none" w:sz="0" w:space="0" w:color="auto"/>
        <w:bottom w:val="none" w:sz="0" w:space="0" w:color="auto"/>
        <w:right w:val="none" w:sz="0" w:space="0" w:color="auto"/>
      </w:divBdr>
    </w:div>
    <w:div w:id="2107723243">
      <w:bodyDiv w:val="1"/>
      <w:marLeft w:val="0"/>
      <w:marRight w:val="0"/>
      <w:marTop w:val="0"/>
      <w:marBottom w:val="0"/>
      <w:divBdr>
        <w:top w:val="none" w:sz="0" w:space="0" w:color="auto"/>
        <w:left w:val="none" w:sz="0" w:space="0" w:color="auto"/>
        <w:bottom w:val="none" w:sz="0" w:space="0" w:color="auto"/>
        <w:right w:val="none" w:sz="0" w:space="0" w:color="auto"/>
      </w:divBdr>
    </w:div>
    <w:div w:id="2113934230">
      <w:bodyDiv w:val="1"/>
      <w:marLeft w:val="0"/>
      <w:marRight w:val="0"/>
      <w:marTop w:val="0"/>
      <w:marBottom w:val="0"/>
      <w:divBdr>
        <w:top w:val="none" w:sz="0" w:space="0" w:color="auto"/>
        <w:left w:val="none" w:sz="0" w:space="0" w:color="auto"/>
        <w:bottom w:val="none" w:sz="0" w:space="0" w:color="auto"/>
        <w:right w:val="none" w:sz="0" w:space="0" w:color="auto"/>
      </w:divBdr>
    </w:div>
    <w:div w:id="2118593741">
      <w:bodyDiv w:val="1"/>
      <w:marLeft w:val="0"/>
      <w:marRight w:val="0"/>
      <w:marTop w:val="0"/>
      <w:marBottom w:val="0"/>
      <w:divBdr>
        <w:top w:val="none" w:sz="0" w:space="0" w:color="auto"/>
        <w:left w:val="none" w:sz="0" w:space="0" w:color="auto"/>
        <w:bottom w:val="none" w:sz="0" w:space="0" w:color="auto"/>
        <w:right w:val="none" w:sz="0" w:space="0" w:color="auto"/>
      </w:divBdr>
    </w:div>
    <w:div w:id="213899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ri.com/about/media-resources/press-release/yimzjv2xnv9cqiztau1zxbedletwyqk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wopi.dropbox.com/wopi/files/oid_231935487717140736/WOPIServiceId_TP_DROPBOX_PLUS/WOPIUserId_-/Tables%20and%20Figures%20(DRAF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wopi.dropbox.com/wopi/files/oid_231935487717140736/WOPIServiceId_TP_DROPBOX_PLUS/WOPIUserId_-/Tables%20and%20Figures%20(DRAFT).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wopi.dropbox.com/wopi/files/oid_231935487717140736/WOPIServiceId_TP_DROPBOX_PLUS/WOPIUserId_-/Tables%20and%20Figures%20(DRAF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wopi.dropbox.com/wopi/files/oid_231935487717140736/WOPIServiceId_TP_DROPBOX_PLUS/WOPIUserId_-/Tables%20and%20Figures%20(DRAF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wopi.dropbox.com/wopi/files/oid_231935487717140736/WOPIServiceId_TP_DROPBOX_PLUS/WOPIUserId_-/Tables%20and%20Figures%20(DRAF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wopi.dropbox.com/wopi/files/oid_231935487717140736/WOPIServiceId_TP_DROPBOX_PLUS/WOPIUserId_-/Tables%20and%20Figures%20(DRAF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wopi.dropbox.com/wopi/files/oid_231935487721600768/WOPIServiceId_TP_DROPBOX_PLUS/WOPIUserId_-/Large%20Load%20Report%20Analysis%20v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wopi.dropbox.com/wopi/files/oid_231935487735000832/WOPIServiceId_TP_DROPBOX_PLUS/WOPIUserId_-/Sensitivity%20Summary%20MAST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wopi.dropbox.com/wopi/files/oid_231935487735000832/WOPIServiceId_TP_DROPBOX_PLUS/WOPIUserId_-/Sensitivity%20Summary%20MASTE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wopi.dropbox.com/wopi/files/oid_231935487735000832/WOPIServiceId_TP_DROPBOX_PLUS/WOPIUserId_-/Sensitivity%20Summary%20MASTE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Sheet5!$C$18</c:f>
              <c:strCache>
                <c:ptCount val="1"/>
                <c:pt idx="0">
                  <c:v>Summer Peak</c:v>
                </c:pt>
              </c:strCache>
            </c:strRef>
          </c:tx>
          <c:spPr>
            <a:ln w="28575" cap="rnd">
              <a:solidFill>
                <a:srgbClr val="FFC000"/>
              </a:solidFill>
              <a:round/>
            </a:ln>
            <a:effectLst/>
          </c:spPr>
          <c:marker>
            <c:symbol val="none"/>
          </c:marker>
          <c:cat>
            <c:numRef>
              <c:f>Sheet5!$B$19:$B$39</c:f>
              <c:numCache>
                <c:formatCode>General</c:formatCode>
                <c:ptCount val="21"/>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numCache>
            </c:numRef>
          </c:cat>
          <c:val>
            <c:numRef>
              <c:f>Sheet5!$C$19:$C$39</c:f>
              <c:numCache>
                <c:formatCode>_(* #,##0_);_(* \(#,##0\);_(* "-"??_);_(@_)</c:formatCode>
                <c:ptCount val="21"/>
                <c:pt idx="0">
                  <c:v>17288.419354524249</c:v>
                </c:pt>
                <c:pt idx="1">
                  <c:v>18151.338598966311</c:v>
                </c:pt>
                <c:pt idx="2">
                  <c:v>19796.243553072782</c:v>
                </c:pt>
                <c:pt idx="3">
                  <c:v>22100.786133473197</c:v>
                </c:pt>
                <c:pt idx="4">
                  <c:v>24229.43553828531</c:v>
                </c:pt>
                <c:pt idx="5">
                  <c:v>25844.561494739959</c:v>
                </c:pt>
                <c:pt idx="6">
                  <c:v>26979.332349230917</c:v>
                </c:pt>
                <c:pt idx="7">
                  <c:v>27554.476770182366</c:v>
                </c:pt>
                <c:pt idx="8">
                  <c:v>28006.859201206844</c:v>
                </c:pt>
                <c:pt idx="9">
                  <c:v>28312.010645483577</c:v>
                </c:pt>
                <c:pt idx="10">
                  <c:v>28498.810809679824</c:v>
                </c:pt>
                <c:pt idx="11">
                  <c:v>28587.952692849398</c:v>
                </c:pt>
                <c:pt idx="12">
                  <c:v>28819.651621260276</c:v>
                </c:pt>
                <c:pt idx="13">
                  <c:v>29043.221621260276</c:v>
                </c:pt>
                <c:pt idx="14">
                  <c:v>29273.141621260274</c:v>
                </c:pt>
                <c:pt idx="15">
                  <c:v>29413.641621260282</c:v>
                </c:pt>
                <c:pt idx="16">
                  <c:v>29670.531621260277</c:v>
                </c:pt>
                <c:pt idx="17">
                  <c:v>29900.141621260274</c:v>
                </c:pt>
                <c:pt idx="18">
                  <c:v>30261.421621260273</c:v>
                </c:pt>
                <c:pt idx="19">
                  <c:v>30731.521621260275</c:v>
                </c:pt>
                <c:pt idx="20">
                  <c:v>31220.991621260277</c:v>
                </c:pt>
              </c:numCache>
            </c:numRef>
          </c:val>
          <c:smooth val="0"/>
          <c:extLst>
            <c:ext xmlns:c16="http://schemas.microsoft.com/office/drawing/2014/chart" uri="{C3380CC4-5D6E-409C-BE32-E72D297353CC}">
              <c16:uniqueId val="{00000000-89CD-4C8D-84E7-4B88BF87103C}"/>
            </c:ext>
          </c:extLst>
        </c:ser>
        <c:ser>
          <c:idx val="2"/>
          <c:order val="2"/>
          <c:tx>
            <c:strRef>
              <c:f>Sheet5!$D$18</c:f>
              <c:strCache>
                <c:ptCount val="1"/>
                <c:pt idx="0">
                  <c:v>Winter Peak</c:v>
                </c:pt>
              </c:strCache>
            </c:strRef>
          </c:tx>
          <c:spPr>
            <a:ln w="28575" cap="rnd">
              <a:solidFill>
                <a:srgbClr val="0070C0"/>
              </a:solidFill>
              <a:round/>
            </a:ln>
            <a:effectLst/>
          </c:spPr>
          <c:marker>
            <c:symbol val="none"/>
          </c:marker>
          <c:cat>
            <c:numRef>
              <c:f>Sheet5!$B$19:$B$39</c:f>
              <c:numCache>
                <c:formatCode>General</c:formatCode>
                <c:ptCount val="21"/>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numCache>
            </c:numRef>
          </c:cat>
          <c:val>
            <c:numRef>
              <c:f>Sheet5!$D$19:$D$39</c:f>
              <c:numCache>
                <c:formatCode>_(* #,##0_);_(* \(#,##0\);_(* "-"??_);_(@_)</c:formatCode>
                <c:ptCount val="21"/>
                <c:pt idx="0">
                  <c:v>16063.23</c:v>
                </c:pt>
                <c:pt idx="1">
                  <c:v>16616.970346419883</c:v>
                </c:pt>
                <c:pt idx="2">
                  <c:v>17506.905253301207</c:v>
                </c:pt>
                <c:pt idx="3">
                  <c:v>19716.710862224507</c:v>
                </c:pt>
                <c:pt idx="4">
                  <c:v>21974.890462587242</c:v>
                </c:pt>
                <c:pt idx="5">
                  <c:v>23700.709978237508</c:v>
                </c:pt>
                <c:pt idx="6">
                  <c:v>25064.88635593405</c:v>
                </c:pt>
                <c:pt idx="7">
                  <c:v>25783.238332570647</c:v>
                </c:pt>
                <c:pt idx="8">
                  <c:v>26273.167170514884</c:v>
                </c:pt>
                <c:pt idx="9">
                  <c:v>26569.532424347963</c:v>
                </c:pt>
                <c:pt idx="10">
                  <c:v>26774.925994259178</c:v>
                </c:pt>
                <c:pt idx="11">
                  <c:v>26863.119163361753</c:v>
                </c:pt>
                <c:pt idx="12">
                  <c:v>27075.398960802606</c:v>
                </c:pt>
                <c:pt idx="13">
                  <c:v>27273.368960802603</c:v>
                </c:pt>
                <c:pt idx="14">
                  <c:v>27431.018960802608</c:v>
                </c:pt>
                <c:pt idx="15">
                  <c:v>27543.608960802609</c:v>
                </c:pt>
                <c:pt idx="16">
                  <c:v>27925.088960802605</c:v>
                </c:pt>
                <c:pt idx="17">
                  <c:v>28327.398960802602</c:v>
                </c:pt>
                <c:pt idx="18">
                  <c:v>28768.948960802605</c:v>
                </c:pt>
                <c:pt idx="19">
                  <c:v>29189.298960802604</c:v>
                </c:pt>
                <c:pt idx="20">
                  <c:v>29602.868960802607</c:v>
                </c:pt>
              </c:numCache>
            </c:numRef>
          </c:val>
          <c:smooth val="0"/>
          <c:extLst>
            <c:ext xmlns:c16="http://schemas.microsoft.com/office/drawing/2014/chart" uri="{C3380CC4-5D6E-409C-BE32-E72D297353CC}">
              <c16:uniqueId val="{00000001-89CD-4C8D-84E7-4B88BF87103C}"/>
            </c:ext>
          </c:extLst>
        </c:ser>
        <c:dLbls>
          <c:showLegendKey val="0"/>
          <c:showVal val="0"/>
          <c:showCatName val="0"/>
          <c:showSerName val="0"/>
          <c:showPercent val="0"/>
          <c:showBubbleSize val="0"/>
        </c:dLbls>
        <c:smooth val="0"/>
        <c:axId val="1800695872"/>
        <c:axId val="1800715552"/>
        <c:extLst>
          <c:ext xmlns:c15="http://schemas.microsoft.com/office/drawing/2012/chart" uri="{02D57815-91ED-43cb-92C2-25804820EDAC}">
            <c15:filteredLineSeries>
              <c15:ser>
                <c:idx val="0"/>
                <c:order val="0"/>
                <c:tx>
                  <c:strRef>
                    <c:extLst>
                      <c:ext uri="{02D57815-91ED-43cb-92C2-25804820EDAC}">
                        <c15:formulaRef>
                          <c15:sqref>Sheet5!$B$18</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Sheet5!$B$19:$B$39</c15:sqref>
                        </c15:formulaRef>
                      </c:ext>
                    </c:extLst>
                    <c:numCache>
                      <c:formatCode>General</c:formatCode>
                      <c:ptCount val="21"/>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numCache>
                  </c:numRef>
                </c:cat>
                <c:val>
                  <c:numRef>
                    <c:extLst>
                      <c:ext uri="{02D57815-91ED-43cb-92C2-25804820EDAC}">
                        <c15:formulaRef>
                          <c15:sqref>Sheet5!$B$19:$B$39</c15:sqref>
                        </c15:formulaRef>
                      </c:ext>
                    </c:extLst>
                    <c:numCache>
                      <c:formatCode>General</c:formatCode>
                      <c:ptCount val="21"/>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numCache>
                  </c:numRef>
                </c:val>
                <c:smooth val="0"/>
                <c:extLst>
                  <c:ext xmlns:c16="http://schemas.microsoft.com/office/drawing/2014/chart" uri="{C3380CC4-5D6E-409C-BE32-E72D297353CC}">
                    <c16:uniqueId val="{00000002-89CD-4C8D-84E7-4B88BF87103C}"/>
                  </c:ext>
                </c:extLst>
              </c15:ser>
            </c15:filteredLineSeries>
          </c:ext>
        </c:extLst>
      </c:lineChart>
      <c:catAx>
        <c:axId val="180069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0715552"/>
        <c:crosses val="autoZero"/>
        <c:auto val="1"/>
        <c:lblAlgn val="ctr"/>
        <c:lblOffset val="100"/>
        <c:noMultiLvlLbl val="0"/>
      </c:catAx>
      <c:valAx>
        <c:axId val="1800715552"/>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Coincident</a:t>
                </a:r>
                <a:r>
                  <a:rPr lang="en-US" baseline="0"/>
                  <a:t> Peak (MW)</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069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Sheet7!$H$28</c:f>
              <c:strCache>
                <c:ptCount val="1"/>
                <c:pt idx="0">
                  <c:v>Legacy Contracts, Covered under prior procurement</c:v>
                </c:pt>
              </c:strCache>
            </c:strRef>
          </c:tx>
          <c:spPr>
            <a:no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Sheet7!$I$25:$J$25</c:f>
              <c:strCache>
                <c:ptCount val="2"/>
                <c:pt idx="0">
                  <c:v>Company Request</c:v>
                </c:pt>
                <c:pt idx="1">
                  <c:v>Scenario 1</c:v>
                </c:pt>
              </c:strCache>
            </c:strRef>
          </c:cat>
          <c:val>
            <c:numRef>
              <c:f>Sheet7!$I$28:$J$28</c:f>
              <c:numCache>
                <c:formatCode>_(* #,##0_);_(* \(#,##0\);_(* "-"??_);_(@_)</c:formatCode>
                <c:ptCount val="2"/>
                <c:pt idx="1">
                  <c:v>-3426</c:v>
                </c:pt>
              </c:numCache>
            </c:numRef>
          </c:val>
          <c:extLst>
            <c:ext xmlns:c16="http://schemas.microsoft.com/office/drawing/2014/chart" uri="{C3380CC4-5D6E-409C-BE32-E72D297353CC}">
              <c16:uniqueId val="{00000000-5BA9-4FAB-8F25-514382B06A77}"/>
            </c:ext>
          </c:extLst>
        </c:ser>
        <c:ser>
          <c:idx val="1"/>
          <c:order val="1"/>
          <c:tx>
            <c:strRef>
              <c:f>Sheet7!$H$27</c:f>
              <c:strCache>
                <c:ptCount val="1"/>
                <c:pt idx="0">
                  <c:v>Legacy Contracts, Uncovered</c:v>
                </c:pt>
              </c:strCache>
            </c:strRef>
          </c:tx>
          <c:spPr>
            <a:solidFill>
              <a:schemeClr val="accent4">
                <a:lumMod val="20000"/>
                <a:lumOff val="8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Sheet7!$I$25:$J$25</c:f>
              <c:strCache>
                <c:ptCount val="2"/>
                <c:pt idx="0">
                  <c:v>Company Request</c:v>
                </c:pt>
                <c:pt idx="1">
                  <c:v>Scenario 1</c:v>
                </c:pt>
              </c:strCache>
            </c:strRef>
          </c:cat>
          <c:val>
            <c:numRef>
              <c:f>Sheet7!$I$27:$J$27</c:f>
              <c:numCache>
                <c:formatCode>_(* #,##0_);_(* \(#,##0\);_(* "-"??_);_(@_)</c:formatCode>
                <c:ptCount val="2"/>
                <c:pt idx="1">
                  <c:v>905</c:v>
                </c:pt>
              </c:numCache>
            </c:numRef>
          </c:val>
          <c:extLst>
            <c:ext xmlns:c16="http://schemas.microsoft.com/office/drawing/2014/chart" uri="{C3380CC4-5D6E-409C-BE32-E72D297353CC}">
              <c16:uniqueId val="{00000001-5BA9-4FAB-8F25-514382B06A77}"/>
            </c:ext>
          </c:extLst>
        </c:ser>
        <c:ser>
          <c:idx val="0"/>
          <c:order val="2"/>
          <c:tx>
            <c:strRef>
              <c:f>Sheet7!$H$26</c:f>
              <c:strCache>
                <c:ptCount val="1"/>
                <c:pt idx="0">
                  <c:v>New Contracts</c:v>
                </c:pt>
              </c:strCache>
            </c:strRef>
          </c:tx>
          <c:spPr>
            <a:solidFill>
              <a:schemeClr val="accent1">
                <a:lumMod val="20000"/>
                <a:lumOff val="8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Sheet7!$I$25:$J$25</c:f>
              <c:strCache>
                <c:ptCount val="2"/>
                <c:pt idx="0">
                  <c:v>Company Request</c:v>
                </c:pt>
                <c:pt idx="1">
                  <c:v>Scenario 1</c:v>
                </c:pt>
              </c:strCache>
            </c:strRef>
          </c:cat>
          <c:val>
            <c:numRef>
              <c:f>Sheet7!$I$26:$J$26</c:f>
              <c:numCache>
                <c:formatCode>_(* #,##0_);_(* \(#,##0\);_(* "-"??_);_(@_)</c:formatCode>
                <c:ptCount val="2"/>
                <c:pt idx="1">
                  <c:v>1881</c:v>
                </c:pt>
              </c:numCache>
            </c:numRef>
          </c:val>
          <c:extLst>
            <c:ext xmlns:c16="http://schemas.microsoft.com/office/drawing/2014/chart" uri="{C3380CC4-5D6E-409C-BE32-E72D297353CC}">
              <c16:uniqueId val="{00000002-5BA9-4FAB-8F25-514382B06A77}"/>
            </c:ext>
          </c:extLst>
        </c:ser>
        <c:ser>
          <c:idx val="3"/>
          <c:order val="3"/>
          <c:tx>
            <c:strRef>
              <c:f>Sheet7!$H$29</c:f>
              <c:strCache>
                <c:ptCount val="1"/>
                <c:pt idx="0">
                  <c:v>Speculative Load Growth</c:v>
                </c:pt>
              </c:strCache>
            </c:strRef>
          </c:tx>
          <c:spPr>
            <a:solidFill>
              <a:srgbClr val="FF0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Sheet7!$I$25:$J$25</c:f>
              <c:strCache>
                <c:ptCount val="2"/>
                <c:pt idx="0">
                  <c:v>Company Request</c:v>
                </c:pt>
                <c:pt idx="1">
                  <c:v>Scenario 1</c:v>
                </c:pt>
              </c:strCache>
            </c:strRef>
          </c:cat>
          <c:val>
            <c:numRef>
              <c:f>Sheet7!$I$29:$J$29</c:f>
              <c:numCache>
                <c:formatCode>_(* #,##0_);_(* \(#,##0\);_(* "-"??_);_(@_)</c:formatCode>
                <c:ptCount val="2"/>
                <c:pt idx="1">
                  <c:v>6079</c:v>
                </c:pt>
              </c:numCache>
            </c:numRef>
          </c:val>
          <c:extLst>
            <c:ext xmlns:c16="http://schemas.microsoft.com/office/drawing/2014/chart" uri="{C3380CC4-5D6E-409C-BE32-E72D297353CC}">
              <c16:uniqueId val="{00000003-5BA9-4FAB-8F25-514382B06A77}"/>
            </c:ext>
          </c:extLst>
        </c:ser>
        <c:ser>
          <c:idx val="4"/>
          <c:order val="4"/>
          <c:tx>
            <c:strRef>
              <c:f>Sheet7!$H$31</c:f>
              <c:strCache>
                <c:ptCount val="1"/>
                <c:pt idx="0">
                  <c:v>Incremental Capacity</c:v>
                </c:pt>
              </c:strCache>
            </c:strRef>
          </c:tx>
          <c:spPr>
            <a:solidFill>
              <a:srgbClr val="002060"/>
            </a:solidFill>
            <a:ln>
              <a:solidFill>
                <a:schemeClr val="tx1"/>
              </a:solid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4-5BA9-4FAB-8F25-514382B06A7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Sheet7!$I$25:$J$25</c:f>
              <c:strCache>
                <c:ptCount val="2"/>
                <c:pt idx="0">
                  <c:v>Company Request</c:v>
                </c:pt>
                <c:pt idx="1">
                  <c:v>Scenario 1</c:v>
                </c:pt>
              </c:strCache>
            </c:strRef>
          </c:cat>
          <c:val>
            <c:numRef>
              <c:f>Sheet7!$I$31:$J$31</c:f>
              <c:numCache>
                <c:formatCode>General</c:formatCode>
                <c:ptCount val="2"/>
                <c:pt idx="0" formatCode="_(* #,##0_);_(* \(#,##0\);_(* &quot;-&quot;??_);_(@_)">
                  <c:v>8865</c:v>
                </c:pt>
              </c:numCache>
            </c:numRef>
          </c:val>
          <c:extLst>
            <c:ext xmlns:c16="http://schemas.microsoft.com/office/drawing/2014/chart" uri="{C3380CC4-5D6E-409C-BE32-E72D297353CC}">
              <c16:uniqueId val="{00000005-5BA9-4FAB-8F25-514382B06A77}"/>
            </c:ext>
          </c:extLst>
        </c:ser>
        <c:dLbls>
          <c:showLegendKey val="0"/>
          <c:showVal val="0"/>
          <c:showCatName val="0"/>
          <c:showSerName val="0"/>
          <c:showPercent val="0"/>
          <c:showBubbleSize val="0"/>
        </c:dLbls>
        <c:gapWidth val="150"/>
        <c:overlap val="100"/>
        <c:axId val="59131392"/>
        <c:axId val="59131872"/>
      </c:barChart>
      <c:catAx>
        <c:axId val="591313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31872"/>
        <c:crosses val="autoZero"/>
        <c:auto val="1"/>
        <c:lblAlgn val="ctr"/>
        <c:lblOffset val="100"/>
        <c:noMultiLvlLbl val="0"/>
      </c:catAx>
      <c:valAx>
        <c:axId val="5913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Incremental Capacity Additions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31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'Peak Forecast Comp.'!$C$3</c:f>
              <c:strCache>
                <c:ptCount val="1"/>
                <c:pt idx="0">
                  <c:v>2023 IRP Update Forecast</c:v>
                </c:pt>
              </c:strCache>
            </c:strRef>
          </c:tx>
          <c:spPr>
            <a:ln w="28575" cap="rnd">
              <a:solidFill>
                <a:schemeClr val="accent2"/>
              </a:solidFill>
              <a:round/>
            </a:ln>
            <a:effectLst/>
          </c:spPr>
          <c:marker>
            <c:symbol val="none"/>
          </c:marker>
          <c:cat>
            <c:numRef>
              <c:f>'Peak Forecast Comp.'!$B$4:$B$25</c:f>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f>'Peak Forecast Comp.'!$C$4:$C$25</c:f>
              <c:numCache>
                <c:formatCode>#,##0</c:formatCode>
                <c:ptCount val="22"/>
                <c:pt idx="0">
                  <c:v>16757.35520239528</c:v>
                </c:pt>
                <c:pt idx="1">
                  <c:v>17382.558598441745</c:v>
                </c:pt>
                <c:pt idx="2">
                  <c:v>18803.735897999486</c:v>
                </c:pt>
                <c:pt idx="3">
                  <c:v>20633.489539235328</c:v>
                </c:pt>
                <c:pt idx="4">
                  <c:v>21561.330232299631</c:v>
                </c:pt>
                <c:pt idx="5">
                  <c:v>22445.277351877903</c:v>
                </c:pt>
                <c:pt idx="6">
                  <c:v>23304.605746451507</c:v>
                </c:pt>
                <c:pt idx="7">
                  <c:v>23921.245954588318</c:v>
                </c:pt>
                <c:pt idx="8">
                  <c:v>24236.045846221205</c:v>
                </c:pt>
                <c:pt idx="9">
                  <c:v>24497.488365560785</c:v>
                </c:pt>
                <c:pt idx="10">
                  <c:v>24716.84109924424</c:v>
                </c:pt>
                <c:pt idx="11">
                  <c:v>24878.571682142112</c:v>
                </c:pt>
                <c:pt idx="12">
                  <c:v>25052.140343337542</c:v>
                </c:pt>
                <c:pt idx="13">
                  <c:v>25298.613025816554</c:v>
                </c:pt>
                <c:pt idx="14">
                  <c:v>25531.8850628205</c:v>
                </c:pt>
                <c:pt idx="15">
                  <c:v>25762.687391869149</c:v>
                </c:pt>
                <c:pt idx="16">
                  <c:v>25984.017124710823</c:v>
                </c:pt>
                <c:pt idx="17">
                  <c:v>26377.659924359363</c:v>
                </c:pt>
                <c:pt idx="18">
                  <c:v>26743.439953039684</c:v>
                </c:pt>
                <c:pt idx="19">
                  <c:v>27122.432919109717</c:v>
                </c:pt>
                <c:pt idx="20">
                  <c:v>27530.272919109717</c:v>
                </c:pt>
              </c:numCache>
            </c:numRef>
          </c:val>
          <c:smooth val="0"/>
          <c:extLst>
            <c:ext xmlns:c16="http://schemas.microsoft.com/office/drawing/2014/chart" uri="{C3380CC4-5D6E-409C-BE32-E72D297353CC}">
              <c16:uniqueId val="{00000000-2B6F-4EA7-BD26-A5F7FD887679}"/>
            </c:ext>
          </c:extLst>
        </c:ser>
        <c:ser>
          <c:idx val="2"/>
          <c:order val="2"/>
          <c:tx>
            <c:strRef>
              <c:f>'Peak Forecast Comp.'!$D$3</c:f>
              <c:strCache>
                <c:ptCount val="1"/>
                <c:pt idx="0">
                  <c:v>B2025 Forecast</c:v>
                </c:pt>
              </c:strCache>
            </c:strRef>
          </c:tx>
          <c:spPr>
            <a:ln w="28575" cap="rnd">
              <a:solidFill>
                <a:schemeClr val="accent3"/>
              </a:solidFill>
              <a:round/>
            </a:ln>
            <a:effectLst/>
          </c:spPr>
          <c:marker>
            <c:symbol val="none"/>
          </c:marker>
          <c:cat>
            <c:numRef>
              <c:f>'Peak Forecast Comp.'!$B$4:$B$25</c:f>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f>'Peak Forecast Comp.'!$D$4:$D$25</c:f>
              <c:numCache>
                <c:formatCode>_(* #,##0_);_(* \(#,##0\);_(* "-"??_);_(@_)</c:formatCode>
                <c:ptCount val="22"/>
                <c:pt idx="0">
                  <c:v>17192.62341246504</c:v>
                </c:pt>
                <c:pt idx="1">
                  <c:v>17802.109354524244</c:v>
                </c:pt>
                <c:pt idx="2">
                  <c:v>18770.304442139266</c:v>
                </c:pt>
                <c:pt idx="3">
                  <c:v>20551.658753463773</c:v>
                </c:pt>
                <c:pt idx="4">
                  <c:v>22730.0279961386</c:v>
                </c:pt>
                <c:pt idx="5">
                  <c:v>24621.455088738818</c:v>
                </c:pt>
                <c:pt idx="6">
                  <c:v>25840.718124351024</c:v>
                </c:pt>
                <c:pt idx="7">
                  <c:v>26553.761040249177</c:v>
                </c:pt>
                <c:pt idx="8">
                  <c:v>26894.980417999188</c:v>
                </c:pt>
                <c:pt idx="9">
                  <c:v>27267.600740427151</c:v>
                </c:pt>
                <c:pt idx="10">
                  <c:v>27550.037898070703</c:v>
                </c:pt>
                <c:pt idx="11">
                  <c:v>27789.82414350512</c:v>
                </c:pt>
                <c:pt idx="12">
                  <c:v>27938.716977658369</c:v>
                </c:pt>
                <c:pt idx="13">
                  <c:v>28205.559660137384</c:v>
                </c:pt>
                <c:pt idx="14">
                  <c:v>28411.831529971267</c:v>
                </c:pt>
                <c:pt idx="15">
                  <c:v>28675.14582933476</c:v>
                </c:pt>
                <c:pt idx="16">
                  <c:v>28839.075157700179</c:v>
                </c:pt>
                <c:pt idx="17">
                  <c:v>29218.858098861892</c:v>
                </c:pt>
                <c:pt idx="18">
                  <c:v>29618.977948829641</c:v>
                </c:pt>
                <c:pt idx="19">
                  <c:v>30030.336236184907</c:v>
                </c:pt>
                <c:pt idx="20">
                  <c:v>30513.916236184908</c:v>
                </c:pt>
              </c:numCache>
            </c:numRef>
          </c:val>
          <c:smooth val="0"/>
          <c:extLst>
            <c:ext xmlns:c16="http://schemas.microsoft.com/office/drawing/2014/chart" uri="{C3380CC4-5D6E-409C-BE32-E72D297353CC}">
              <c16:uniqueId val="{00000001-2B6F-4EA7-BD26-A5F7FD887679}"/>
            </c:ext>
          </c:extLst>
        </c:ser>
        <c:ser>
          <c:idx val="3"/>
          <c:order val="3"/>
          <c:tx>
            <c:strRef>
              <c:f>'Peak Forecast Comp.'!$E$3</c:f>
              <c:strCache>
                <c:ptCount val="1"/>
                <c:pt idx="0">
                  <c:v>February 2025 Forecast</c:v>
                </c:pt>
              </c:strCache>
            </c:strRef>
          </c:tx>
          <c:spPr>
            <a:ln w="28575" cap="rnd">
              <a:solidFill>
                <a:schemeClr val="accent4"/>
              </a:solidFill>
              <a:round/>
            </a:ln>
            <a:effectLst/>
          </c:spPr>
          <c:marker>
            <c:symbol val="none"/>
          </c:marker>
          <c:cat>
            <c:numRef>
              <c:f>'Peak Forecast Comp.'!$B$4:$B$25</c:f>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f>'Peak Forecast Comp.'!$E$4:$E$25</c:f>
              <c:numCache>
                <c:formatCode>_(* #,##0_);_(* \(#,##0\);_(* "-"??_);_(@_)</c:formatCode>
                <c:ptCount val="22"/>
                <c:pt idx="1">
                  <c:v>17737.197195147823</c:v>
                </c:pt>
                <c:pt idx="2">
                  <c:v>18459.050801790898</c:v>
                </c:pt>
                <c:pt idx="3">
                  <c:v>19999.50587755087</c:v>
                </c:pt>
                <c:pt idx="4">
                  <c:v>22206.471122915034</c:v>
                </c:pt>
                <c:pt idx="5">
                  <c:v>24454.168118281759</c:v>
                </c:pt>
                <c:pt idx="6">
                  <c:v>25967.313460875121</c:v>
                </c:pt>
                <c:pt idx="7">
                  <c:v>27058.116013960425</c:v>
                </c:pt>
                <c:pt idx="8">
                  <c:v>27722.405273511977</c:v>
                </c:pt>
                <c:pt idx="9">
                  <c:v>28175.827957854235</c:v>
                </c:pt>
                <c:pt idx="10">
                  <c:v>28465.489892867328</c:v>
                </c:pt>
                <c:pt idx="11">
                  <c:v>28658.800452477175</c:v>
                </c:pt>
                <c:pt idx="12">
                  <c:v>28802.917236052144</c:v>
                </c:pt>
                <c:pt idx="13">
                  <c:v>28684.684442603309</c:v>
                </c:pt>
                <c:pt idx="14">
                  <c:v>28876.699201659208</c:v>
                </c:pt>
                <c:pt idx="15">
                  <c:v>29126.065642526031</c:v>
                </c:pt>
                <c:pt idx="16">
                  <c:v>29277.288190758387</c:v>
                </c:pt>
                <c:pt idx="17">
                  <c:v>29634.385787201623</c:v>
                </c:pt>
                <c:pt idx="18">
                  <c:v>30020.593546526085</c:v>
                </c:pt>
                <c:pt idx="19">
                  <c:v>30421.49002082165</c:v>
                </c:pt>
                <c:pt idx="20">
                  <c:v>30891.090186144873</c:v>
                </c:pt>
              </c:numCache>
            </c:numRef>
          </c:val>
          <c:smooth val="0"/>
          <c:extLst>
            <c:ext xmlns:c16="http://schemas.microsoft.com/office/drawing/2014/chart" uri="{C3380CC4-5D6E-409C-BE32-E72D297353CC}">
              <c16:uniqueId val="{00000002-2B6F-4EA7-BD26-A5F7FD887679}"/>
            </c:ext>
          </c:extLst>
        </c:ser>
        <c:ser>
          <c:idx val="4"/>
          <c:order val="4"/>
          <c:tx>
            <c:strRef>
              <c:f>'Peak Forecast Comp.'!$F$3</c:f>
              <c:strCache>
                <c:ptCount val="1"/>
                <c:pt idx="0">
                  <c:v>B2026 Forecast</c:v>
                </c:pt>
              </c:strCache>
            </c:strRef>
          </c:tx>
          <c:spPr>
            <a:ln w="28575" cap="rnd">
              <a:solidFill>
                <a:schemeClr val="accent5"/>
              </a:solidFill>
              <a:round/>
            </a:ln>
            <a:effectLst/>
          </c:spPr>
          <c:marker>
            <c:symbol val="none"/>
          </c:marker>
          <c:cat>
            <c:numRef>
              <c:f>'Peak Forecast Comp.'!$B$4:$B$25</c:f>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f>'Peak Forecast Comp.'!$F$4:$F$25</c:f>
              <c:numCache>
                <c:formatCode>_(* #,##0_);_(* \(#,##0\);_(* "-"??_);_(@_)</c:formatCode>
                <c:ptCount val="22"/>
                <c:pt idx="1">
                  <c:v>17288.419354524249</c:v>
                </c:pt>
                <c:pt idx="2">
                  <c:v>18151.338598966311</c:v>
                </c:pt>
                <c:pt idx="3">
                  <c:v>19796.243553072782</c:v>
                </c:pt>
                <c:pt idx="4">
                  <c:v>22100.786133473197</c:v>
                </c:pt>
                <c:pt idx="5">
                  <c:v>24229.43553828531</c:v>
                </c:pt>
                <c:pt idx="6">
                  <c:v>25844.561494739959</c:v>
                </c:pt>
                <c:pt idx="7">
                  <c:v>26979.332349230917</c:v>
                </c:pt>
                <c:pt idx="8">
                  <c:v>27554.476770182366</c:v>
                </c:pt>
                <c:pt idx="9">
                  <c:v>28006.859201206844</c:v>
                </c:pt>
                <c:pt idx="10">
                  <c:v>28312.010645483577</c:v>
                </c:pt>
                <c:pt idx="11">
                  <c:v>28498.810809679824</c:v>
                </c:pt>
                <c:pt idx="12">
                  <c:v>28587.952692849398</c:v>
                </c:pt>
                <c:pt idx="13">
                  <c:v>28819.651621260276</c:v>
                </c:pt>
                <c:pt idx="14">
                  <c:v>29043.221621260276</c:v>
                </c:pt>
                <c:pt idx="15">
                  <c:v>29273.141621260274</c:v>
                </c:pt>
                <c:pt idx="16">
                  <c:v>29413.641621260282</c:v>
                </c:pt>
                <c:pt idx="17">
                  <c:v>29670.531621260277</c:v>
                </c:pt>
                <c:pt idx="18">
                  <c:v>29900.141621260274</c:v>
                </c:pt>
                <c:pt idx="19">
                  <c:v>30261.421621260273</c:v>
                </c:pt>
                <c:pt idx="20">
                  <c:v>30731.521621260275</c:v>
                </c:pt>
                <c:pt idx="21">
                  <c:v>31220.991621260277</c:v>
                </c:pt>
              </c:numCache>
            </c:numRef>
          </c:val>
          <c:smooth val="0"/>
          <c:extLst>
            <c:ext xmlns:c16="http://schemas.microsoft.com/office/drawing/2014/chart" uri="{C3380CC4-5D6E-409C-BE32-E72D297353CC}">
              <c16:uniqueId val="{00000003-2B6F-4EA7-BD26-A5F7FD887679}"/>
            </c:ext>
          </c:extLst>
        </c:ser>
        <c:dLbls>
          <c:showLegendKey val="0"/>
          <c:showVal val="0"/>
          <c:showCatName val="0"/>
          <c:showSerName val="0"/>
          <c:showPercent val="0"/>
          <c:showBubbleSize val="0"/>
        </c:dLbls>
        <c:smooth val="0"/>
        <c:axId val="245116143"/>
        <c:axId val="32889536"/>
        <c:extLst>
          <c:ext xmlns:c15="http://schemas.microsoft.com/office/drawing/2012/chart" uri="{02D57815-91ED-43cb-92C2-25804820EDAC}">
            <c15:filteredLineSeries>
              <c15:ser>
                <c:idx val="0"/>
                <c:order val="0"/>
                <c:tx>
                  <c:strRef>
                    <c:extLst>
                      <c:ext uri="{02D57815-91ED-43cb-92C2-25804820EDAC}">
                        <c15:formulaRef>
                          <c15:sqref>'Peak Forecast Comp.'!$B$3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'Peak Forecast Comp.'!$B$4:$B$25</c15:sqref>
                        </c15:formulaRef>
                      </c:ext>
                    </c:extLst>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extLst>
                      <c:ext uri="{02D57815-91ED-43cb-92C2-25804820EDAC}">
                        <c15:formulaRef>
                          <c15:sqref>'Peak Forecast Comp.'!$B$4:$B$25</c15:sqref>
                        </c15:formulaRef>
                      </c:ext>
                    </c:extLst>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val>
                <c:smooth val="0"/>
                <c:extLst>
                  <c:ext xmlns:c16="http://schemas.microsoft.com/office/drawing/2014/chart" uri="{C3380CC4-5D6E-409C-BE32-E72D297353CC}">
                    <c16:uniqueId val="{00000004-2B6F-4EA7-BD26-A5F7FD887679}"/>
                  </c:ext>
                </c:extLst>
              </c15:ser>
            </c15:filteredLineSeries>
          </c:ext>
        </c:extLst>
      </c:lineChart>
      <c:catAx>
        <c:axId val="245116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89536"/>
        <c:crosses val="autoZero"/>
        <c:auto val="1"/>
        <c:lblAlgn val="ctr"/>
        <c:lblOffset val="100"/>
        <c:noMultiLvlLbl val="0"/>
      </c:catAx>
      <c:valAx>
        <c:axId val="32889536"/>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Summer Peak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16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'Peak Forecast Comp.'!$J$3</c:f>
              <c:strCache>
                <c:ptCount val="1"/>
                <c:pt idx="0">
                  <c:v>2023 IRP Update Forecast</c:v>
                </c:pt>
              </c:strCache>
            </c:strRef>
          </c:tx>
          <c:spPr>
            <a:ln w="28575" cap="rnd">
              <a:solidFill>
                <a:schemeClr val="accent2"/>
              </a:solidFill>
              <a:round/>
            </a:ln>
            <a:effectLst/>
          </c:spPr>
          <c:marker>
            <c:symbol val="none"/>
          </c:marker>
          <c:cat>
            <c:numRef>
              <c:f>'Peak Forecast Comp.'!$I$4:$I$25</c:f>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f>'Peak Forecast Comp.'!$J$4:$J$25</c:f>
              <c:numCache>
                <c:formatCode>_(* #,##0_);_(* \(#,##0\);_(* "-"??_);_(@_)</c:formatCode>
                <c:ptCount val="22"/>
                <c:pt idx="0">
                  <c:v>15282.99684137539</c:v>
                </c:pt>
                <c:pt idx="1">
                  <c:v>15947.429495881737</c:v>
                </c:pt>
                <c:pt idx="2">
                  <c:v>17255.657349547015</c:v>
                </c:pt>
                <c:pt idx="3">
                  <c:v>18928.003306018818</c:v>
                </c:pt>
                <c:pt idx="4">
                  <c:v>19750.557191064523</c:v>
                </c:pt>
                <c:pt idx="5">
                  <c:v>20550.76450320959</c:v>
                </c:pt>
                <c:pt idx="6">
                  <c:v>21326.189397361875</c:v>
                </c:pt>
                <c:pt idx="7">
                  <c:v>21880.424854556855</c:v>
                </c:pt>
                <c:pt idx="8">
                  <c:v>22140.580220792774</c:v>
                </c:pt>
                <c:pt idx="9">
                  <c:v>22352.891070908456</c:v>
                </c:pt>
                <c:pt idx="10">
                  <c:v>22515.387168237539</c:v>
                </c:pt>
                <c:pt idx="11">
                  <c:v>22630.377451562807</c:v>
                </c:pt>
                <c:pt idx="12">
                  <c:v>22745.864378464175</c:v>
                </c:pt>
                <c:pt idx="13">
                  <c:v>22938.383650989279</c:v>
                </c:pt>
                <c:pt idx="14">
                  <c:v>23257.083230269724</c:v>
                </c:pt>
                <c:pt idx="15">
                  <c:v>23624.402159040732</c:v>
                </c:pt>
                <c:pt idx="16">
                  <c:v>23925.914863062029</c:v>
                </c:pt>
                <c:pt idx="17">
                  <c:v>24282.01154813623</c:v>
                </c:pt>
                <c:pt idx="18">
                  <c:v>24643.319051620743</c:v>
                </c:pt>
                <c:pt idx="19">
                  <c:v>25033.367877647455</c:v>
                </c:pt>
                <c:pt idx="20">
                  <c:v>25402.347877647459</c:v>
                </c:pt>
              </c:numCache>
            </c:numRef>
          </c:val>
          <c:smooth val="0"/>
          <c:extLst>
            <c:ext xmlns:c16="http://schemas.microsoft.com/office/drawing/2014/chart" uri="{C3380CC4-5D6E-409C-BE32-E72D297353CC}">
              <c16:uniqueId val="{00000000-DF8F-4E37-A8E8-6079DAADE52A}"/>
            </c:ext>
          </c:extLst>
        </c:ser>
        <c:ser>
          <c:idx val="2"/>
          <c:order val="2"/>
          <c:tx>
            <c:strRef>
              <c:f>'Peak Forecast Comp.'!$K$3</c:f>
              <c:strCache>
                <c:ptCount val="1"/>
                <c:pt idx="0">
                  <c:v>B2025 Forecast</c:v>
                </c:pt>
              </c:strCache>
            </c:strRef>
          </c:tx>
          <c:spPr>
            <a:ln w="28575" cap="rnd">
              <a:solidFill>
                <a:schemeClr val="accent3"/>
              </a:solidFill>
              <a:round/>
            </a:ln>
            <a:effectLst/>
          </c:spPr>
          <c:marker>
            <c:symbol val="none"/>
          </c:marker>
          <c:cat>
            <c:numRef>
              <c:f>'Peak Forecast Comp.'!$I$4:$I$25</c:f>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f>'Peak Forecast Comp.'!$K$4:$K$25</c:f>
              <c:numCache>
                <c:formatCode>_(* #,##0_);_(* \(#,##0\);_(* "-"??_);_(@_)</c:formatCode>
                <c:ptCount val="22"/>
                <c:pt idx="0">
                  <c:v>15991.67</c:v>
                </c:pt>
                <c:pt idx="1">
                  <c:v>16264.185602202324</c:v>
                </c:pt>
                <c:pt idx="2">
                  <c:v>16891.555142308804</c:v>
                </c:pt>
                <c:pt idx="3">
                  <c:v>18333.662163683457</c:v>
                </c:pt>
                <c:pt idx="4">
                  <c:v>20319.597384505079</c:v>
                </c:pt>
                <c:pt idx="5">
                  <c:v>22167.912077126657</c:v>
                </c:pt>
                <c:pt idx="6">
                  <c:v>23612.352318253514</c:v>
                </c:pt>
                <c:pt idx="7">
                  <c:v>24468.860785180354</c:v>
                </c:pt>
                <c:pt idx="8">
                  <c:v>24900.324567355558</c:v>
                </c:pt>
                <c:pt idx="9">
                  <c:v>25212.500200341834</c:v>
                </c:pt>
                <c:pt idx="10">
                  <c:v>25450.694772600596</c:v>
                </c:pt>
                <c:pt idx="11">
                  <c:v>25652.556686075335</c:v>
                </c:pt>
                <c:pt idx="12">
                  <c:v>25768.495877750356</c:v>
                </c:pt>
                <c:pt idx="13">
                  <c:v>25987.26515027546</c:v>
                </c:pt>
                <c:pt idx="14">
                  <c:v>26215.694510893656</c:v>
                </c:pt>
                <c:pt idx="15">
                  <c:v>26604.647979668458</c:v>
                </c:pt>
                <c:pt idx="16">
                  <c:v>26917.079625944709</c:v>
                </c:pt>
                <c:pt idx="17">
                  <c:v>27294.607390272016</c:v>
                </c:pt>
                <c:pt idx="18">
                  <c:v>27687.359688844488</c:v>
                </c:pt>
                <c:pt idx="19">
                  <c:v>28117.773163387272</c:v>
                </c:pt>
                <c:pt idx="20">
                  <c:v>28543.69316338727</c:v>
                </c:pt>
              </c:numCache>
            </c:numRef>
          </c:val>
          <c:smooth val="0"/>
          <c:extLst>
            <c:ext xmlns:c16="http://schemas.microsoft.com/office/drawing/2014/chart" uri="{C3380CC4-5D6E-409C-BE32-E72D297353CC}">
              <c16:uniqueId val="{00000001-DF8F-4E37-A8E8-6079DAADE52A}"/>
            </c:ext>
          </c:extLst>
        </c:ser>
        <c:ser>
          <c:idx val="3"/>
          <c:order val="3"/>
          <c:tx>
            <c:strRef>
              <c:f>'Peak Forecast Comp.'!$L$3</c:f>
              <c:strCache>
                <c:ptCount val="1"/>
                <c:pt idx="0">
                  <c:v>February 2025 Forecast</c:v>
                </c:pt>
              </c:strCache>
            </c:strRef>
          </c:tx>
          <c:spPr>
            <a:ln w="28575" cap="rnd">
              <a:solidFill>
                <a:schemeClr val="accent4"/>
              </a:solidFill>
              <a:round/>
            </a:ln>
            <a:effectLst/>
          </c:spPr>
          <c:marker>
            <c:symbol val="none"/>
          </c:marker>
          <c:cat>
            <c:numRef>
              <c:f>'Peak Forecast Comp.'!$I$4:$I$25</c:f>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f>'Peak Forecast Comp.'!$L$4:$L$25</c:f>
              <c:numCache>
                <c:formatCode>_(* #,##0_);_(* \(#,##0\);_(* "-"??_);_(@_)</c:formatCode>
                <c:ptCount val="22"/>
                <c:pt idx="1">
                  <c:v>16199.263442825903</c:v>
                </c:pt>
                <c:pt idx="2">
                  <c:v>16580.311501960437</c:v>
                </c:pt>
                <c:pt idx="3">
                  <c:v>17781.50928777055</c:v>
                </c:pt>
                <c:pt idx="4">
                  <c:v>19796.040511281513</c:v>
                </c:pt>
                <c:pt idx="5">
                  <c:v>22000.605106669595</c:v>
                </c:pt>
                <c:pt idx="6">
                  <c:v>23738.947654777614</c:v>
                </c:pt>
                <c:pt idx="7">
                  <c:v>24973.205758891592</c:v>
                </c:pt>
                <c:pt idx="8">
                  <c:v>25727.759422868352</c:v>
                </c:pt>
                <c:pt idx="9">
                  <c:v>26120.73741776892</c:v>
                </c:pt>
                <c:pt idx="10">
                  <c:v>26366.166767397219</c:v>
                </c:pt>
                <c:pt idx="11">
                  <c:v>26521.522995047391</c:v>
                </c:pt>
                <c:pt idx="12">
                  <c:v>26632.68613614413</c:v>
                </c:pt>
                <c:pt idx="13">
                  <c:v>26466.389932741393</c:v>
                </c:pt>
                <c:pt idx="14">
                  <c:v>26680.552182581603</c:v>
                </c:pt>
                <c:pt idx="15">
                  <c:v>27055.577792859731</c:v>
                </c:pt>
                <c:pt idx="16">
                  <c:v>27355.292659002916</c:v>
                </c:pt>
                <c:pt idx="17">
                  <c:v>27710.135078611755</c:v>
                </c:pt>
                <c:pt idx="18">
                  <c:v>28088.995286540943</c:v>
                </c:pt>
                <c:pt idx="19">
                  <c:v>28508.916948024016</c:v>
                </c:pt>
                <c:pt idx="20">
                  <c:v>28920.867113347238</c:v>
                </c:pt>
              </c:numCache>
            </c:numRef>
          </c:val>
          <c:smooth val="0"/>
          <c:extLst>
            <c:ext xmlns:c16="http://schemas.microsoft.com/office/drawing/2014/chart" uri="{C3380CC4-5D6E-409C-BE32-E72D297353CC}">
              <c16:uniqueId val="{00000002-DF8F-4E37-A8E8-6079DAADE52A}"/>
            </c:ext>
          </c:extLst>
        </c:ser>
        <c:ser>
          <c:idx val="4"/>
          <c:order val="4"/>
          <c:tx>
            <c:strRef>
              <c:f>'Peak Forecast Comp.'!$M$3</c:f>
              <c:strCache>
                <c:ptCount val="1"/>
                <c:pt idx="0">
                  <c:v>B2026 Forecast</c:v>
                </c:pt>
              </c:strCache>
            </c:strRef>
          </c:tx>
          <c:spPr>
            <a:ln w="28575" cap="rnd">
              <a:solidFill>
                <a:schemeClr val="accent5"/>
              </a:solidFill>
              <a:round/>
            </a:ln>
            <a:effectLst/>
          </c:spPr>
          <c:marker>
            <c:symbol val="none"/>
          </c:marker>
          <c:cat>
            <c:numRef>
              <c:f>'Peak Forecast Comp.'!$I$4:$I$25</c:f>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f>'Peak Forecast Comp.'!$M$4:$M$25</c:f>
              <c:numCache>
                <c:formatCode>_(* #,##0_);_(* \(#,##0\);_(* "-"??_);_(@_)</c:formatCode>
                <c:ptCount val="22"/>
                <c:pt idx="1">
                  <c:v>16063.23</c:v>
                </c:pt>
                <c:pt idx="2">
                  <c:v>16616.970346419883</c:v>
                </c:pt>
                <c:pt idx="3">
                  <c:v>17506.905253301207</c:v>
                </c:pt>
                <c:pt idx="4">
                  <c:v>19716.710862224507</c:v>
                </c:pt>
                <c:pt idx="5">
                  <c:v>21974.890462587242</c:v>
                </c:pt>
                <c:pt idx="6">
                  <c:v>23700.709978237508</c:v>
                </c:pt>
                <c:pt idx="7">
                  <c:v>25064.88635593405</c:v>
                </c:pt>
                <c:pt idx="8">
                  <c:v>25783.238332570647</c:v>
                </c:pt>
                <c:pt idx="9">
                  <c:v>26273.167170514884</c:v>
                </c:pt>
                <c:pt idx="10">
                  <c:v>26569.532424347963</c:v>
                </c:pt>
                <c:pt idx="11">
                  <c:v>26774.925994259178</c:v>
                </c:pt>
                <c:pt idx="12">
                  <c:v>26863.119163361753</c:v>
                </c:pt>
                <c:pt idx="13">
                  <c:v>27075.398960802606</c:v>
                </c:pt>
                <c:pt idx="14">
                  <c:v>27273.368960802603</c:v>
                </c:pt>
                <c:pt idx="15">
                  <c:v>27431.018960802608</c:v>
                </c:pt>
                <c:pt idx="16">
                  <c:v>27543.608960802609</c:v>
                </c:pt>
                <c:pt idx="17">
                  <c:v>27925.088960802605</c:v>
                </c:pt>
                <c:pt idx="18">
                  <c:v>28327.398960802602</c:v>
                </c:pt>
                <c:pt idx="19">
                  <c:v>28768.948960802605</c:v>
                </c:pt>
                <c:pt idx="20">
                  <c:v>29189.298960802604</c:v>
                </c:pt>
                <c:pt idx="21">
                  <c:v>29602.868960802607</c:v>
                </c:pt>
              </c:numCache>
            </c:numRef>
          </c:val>
          <c:smooth val="0"/>
          <c:extLst>
            <c:ext xmlns:c16="http://schemas.microsoft.com/office/drawing/2014/chart" uri="{C3380CC4-5D6E-409C-BE32-E72D297353CC}">
              <c16:uniqueId val="{00000003-DF8F-4E37-A8E8-6079DAADE52A}"/>
            </c:ext>
          </c:extLst>
        </c:ser>
        <c:dLbls>
          <c:showLegendKey val="0"/>
          <c:showVal val="0"/>
          <c:showCatName val="0"/>
          <c:showSerName val="0"/>
          <c:showPercent val="0"/>
          <c:showBubbleSize val="0"/>
        </c:dLbls>
        <c:smooth val="0"/>
        <c:axId val="1407463280"/>
        <c:axId val="1407463760"/>
        <c:extLst>
          <c:ext xmlns:c15="http://schemas.microsoft.com/office/drawing/2012/chart" uri="{02D57815-91ED-43cb-92C2-25804820EDAC}">
            <c15:filteredLineSeries>
              <c15:ser>
                <c:idx val="0"/>
                <c:order val="0"/>
                <c:tx>
                  <c:strRef>
                    <c:extLst>
                      <c:ext uri="{02D57815-91ED-43cb-92C2-25804820EDAC}">
                        <c15:formulaRef>
                          <c15:sqref>'Peak Forecast Comp.'!$I$3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'Peak Forecast Comp.'!$I$4:$I$25</c15:sqref>
                        </c15:formulaRef>
                      </c:ext>
                    </c:extLst>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cat>
                <c:val>
                  <c:numRef>
                    <c:extLst>
                      <c:ext uri="{02D57815-91ED-43cb-92C2-25804820EDAC}">
                        <c15:formulaRef>
                          <c15:sqref>'Peak Forecast Comp.'!$I$4:$I$25</c15:sqref>
                        </c15:formulaRef>
                      </c:ext>
                    </c:extLst>
                    <c:numCache>
                      <c:formatCode>General</c:formatCode>
                      <c:ptCount val="22"/>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numCache>
                  </c:numRef>
                </c:val>
                <c:smooth val="0"/>
                <c:extLst>
                  <c:ext xmlns:c16="http://schemas.microsoft.com/office/drawing/2014/chart" uri="{C3380CC4-5D6E-409C-BE32-E72D297353CC}">
                    <c16:uniqueId val="{00000004-DF8F-4E37-A8E8-6079DAADE52A}"/>
                  </c:ext>
                </c:extLst>
              </c15:ser>
            </c15:filteredLineSeries>
          </c:ext>
        </c:extLst>
      </c:lineChart>
      <c:catAx>
        <c:axId val="140746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463760"/>
        <c:crosses val="autoZero"/>
        <c:auto val="1"/>
        <c:lblAlgn val="ctr"/>
        <c:lblOffset val="100"/>
        <c:noMultiLvlLbl val="0"/>
      </c:catAx>
      <c:valAx>
        <c:axId val="140746376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Winter</a:t>
                </a:r>
                <a:r>
                  <a:rPr lang="en-US" baseline="0"/>
                  <a:t> Peak (MW)</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46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86784400504521"/>
          <c:y val="4.3392504930966469E-2"/>
          <c:w val="0.83652825621034987"/>
          <c:h val="0.77485843855316905"/>
        </c:manualLayout>
      </c:layout>
      <c:lineChart>
        <c:grouping val="standard"/>
        <c:varyColors val="0"/>
        <c:ser>
          <c:idx val="1"/>
          <c:order val="1"/>
          <c:tx>
            <c:strRef>
              <c:f>'Peak Forecast Comp.'!$C$3</c:f>
              <c:strCache>
                <c:ptCount val="1"/>
                <c:pt idx="0">
                  <c:v>2023 IRP Update Forecast</c:v>
                </c:pt>
              </c:strCache>
            </c:strRef>
          </c:tx>
          <c:spPr>
            <a:ln w="28575" cap="rnd">
              <a:solidFill>
                <a:schemeClr val="accent2"/>
              </a:solidFill>
              <a:round/>
            </a:ln>
            <a:effectLst/>
          </c:spPr>
          <c:marker>
            <c:symbol val="none"/>
          </c:marker>
          <c:cat>
            <c:numRef>
              <c:f>'Peak Forecast Comp.'!$B$4:$B$9</c:f>
              <c:numCache>
                <c:formatCode>General</c:formatCode>
                <c:ptCount val="6"/>
                <c:pt idx="0">
                  <c:v>2024</c:v>
                </c:pt>
                <c:pt idx="1">
                  <c:v>2025</c:v>
                </c:pt>
                <c:pt idx="2">
                  <c:v>2026</c:v>
                </c:pt>
                <c:pt idx="3">
                  <c:v>2027</c:v>
                </c:pt>
                <c:pt idx="4">
                  <c:v>2028</c:v>
                </c:pt>
                <c:pt idx="5">
                  <c:v>2029</c:v>
                </c:pt>
              </c:numCache>
              <c:extLst/>
            </c:numRef>
          </c:cat>
          <c:val>
            <c:numRef>
              <c:f>'Peak Forecast Comp.'!$C$4:$C$9</c:f>
              <c:numCache>
                <c:formatCode>#,##0</c:formatCode>
                <c:ptCount val="6"/>
                <c:pt idx="0">
                  <c:v>16757.35520239528</c:v>
                </c:pt>
                <c:pt idx="1">
                  <c:v>17382.558598441745</c:v>
                </c:pt>
                <c:pt idx="2">
                  <c:v>18803.735897999486</c:v>
                </c:pt>
                <c:pt idx="3">
                  <c:v>20633.489539235328</c:v>
                </c:pt>
                <c:pt idx="4">
                  <c:v>21561.330232299631</c:v>
                </c:pt>
                <c:pt idx="5">
                  <c:v>22445.277351877903</c:v>
                </c:pt>
              </c:numCache>
              <c:extLst/>
            </c:numRef>
          </c:val>
          <c:smooth val="0"/>
          <c:extLst>
            <c:ext xmlns:c16="http://schemas.microsoft.com/office/drawing/2014/chart" uri="{C3380CC4-5D6E-409C-BE32-E72D297353CC}">
              <c16:uniqueId val="{00000000-49B8-4DDD-8647-5CD029F09FA1}"/>
            </c:ext>
          </c:extLst>
        </c:ser>
        <c:ser>
          <c:idx val="2"/>
          <c:order val="2"/>
          <c:tx>
            <c:strRef>
              <c:f>'Peak Forecast Comp.'!$D$3</c:f>
              <c:strCache>
                <c:ptCount val="1"/>
                <c:pt idx="0">
                  <c:v>B2025 Forecast</c:v>
                </c:pt>
              </c:strCache>
            </c:strRef>
          </c:tx>
          <c:spPr>
            <a:ln w="28575" cap="rnd">
              <a:solidFill>
                <a:schemeClr val="accent3"/>
              </a:solidFill>
              <a:round/>
            </a:ln>
            <a:effectLst/>
          </c:spPr>
          <c:marker>
            <c:symbol val="none"/>
          </c:marker>
          <c:cat>
            <c:numRef>
              <c:f>'Peak Forecast Comp.'!$B$4:$B$9</c:f>
              <c:numCache>
                <c:formatCode>General</c:formatCode>
                <c:ptCount val="6"/>
                <c:pt idx="0">
                  <c:v>2024</c:v>
                </c:pt>
                <c:pt idx="1">
                  <c:v>2025</c:v>
                </c:pt>
                <c:pt idx="2">
                  <c:v>2026</c:v>
                </c:pt>
                <c:pt idx="3">
                  <c:v>2027</c:v>
                </c:pt>
                <c:pt idx="4">
                  <c:v>2028</c:v>
                </c:pt>
                <c:pt idx="5">
                  <c:v>2029</c:v>
                </c:pt>
              </c:numCache>
              <c:extLst/>
            </c:numRef>
          </c:cat>
          <c:val>
            <c:numRef>
              <c:f>'Peak Forecast Comp.'!$D$4:$D$9</c:f>
              <c:numCache>
                <c:formatCode>_(* #,##0_);_(* \(#,##0\);_(* "-"??_);_(@_)</c:formatCode>
                <c:ptCount val="6"/>
                <c:pt idx="0">
                  <c:v>17192.62341246504</c:v>
                </c:pt>
                <c:pt idx="1">
                  <c:v>17802.109354524244</c:v>
                </c:pt>
                <c:pt idx="2">
                  <c:v>18770.304442139266</c:v>
                </c:pt>
                <c:pt idx="3">
                  <c:v>20551.658753463773</c:v>
                </c:pt>
                <c:pt idx="4">
                  <c:v>22730.0279961386</c:v>
                </c:pt>
                <c:pt idx="5">
                  <c:v>24621.455088738818</c:v>
                </c:pt>
              </c:numCache>
              <c:extLst/>
            </c:numRef>
          </c:val>
          <c:smooth val="0"/>
          <c:extLst>
            <c:ext xmlns:c16="http://schemas.microsoft.com/office/drawing/2014/chart" uri="{C3380CC4-5D6E-409C-BE32-E72D297353CC}">
              <c16:uniqueId val="{00000001-49B8-4DDD-8647-5CD029F09FA1}"/>
            </c:ext>
          </c:extLst>
        </c:ser>
        <c:ser>
          <c:idx val="3"/>
          <c:order val="3"/>
          <c:tx>
            <c:strRef>
              <c:f>'Peak Forecast Comp.'!$E$3</c:f>
              <c:strCache>
                <c:ptCount val="1"/>
                <c:pt idx="0">
                  <c:v>February 2025 Forecast</c:v>
                </c:pt>
              </c:strCache>
            </c:strRef>
          </c:tx>
          <c:spPr>
            <a:ln w="28575" cap="rnd">
              <a:solidFill>
                <a:schemeClr val="accent4"/>
              </a:solidFill>
              <a:round/>
            </a:ln>
            <a:effectLst/>
          </c:spPr>
          <c:marker>
            <c:symbol val="none"/>
          </c:marker>
          <c:cat>
            <c:numRef>
              <c:f>'Peak Forecast Comp.'!$B$4:$B$9</c:f>
              <c:numCache>
                <c:formatCode>General</c:formatCode>
                <c:ptCount val="6"/>
                <c:pt idx="0">
                  <c:v>2024</c:v>
                </c:pt>
                <c:pt idx="1">
                  <c:v>2025</c:v>
                </c:pt>
                <c:pt idx="2">
                  <c:v>2026</c:v>
                </c:pt>
                <c:pt idx="3">
                  <c:v>2027</c:v>
                </c:pt>
                <c:pt idx="4">
                  <c:v>2028</c:v>
                </c:pt>
                <c:pt idx="5">
                  <c:v>2029</c:v>
                </c:pt>
              </c:numCache>
              <c:extLst/>
            </c:numRef>
          </c:cat>
          <c:val>
            <c:numRef>
              <c:f>'Peak Forecast Comp.'!$E$4:$E$9</c:f>
              <c:numCache>
                <c:formatCode>_(* #,##0_);_(* \(#,##0\);_(* "-"??_);_(@_)</c:formatCode>
                <c:ptCount val="6"/>
                <c:pt idx="1">
                  <c:v>17737.197195147823</c:v>
                </c:pt>
                <c:pt idx="2">
                  <c:v>18459.050801790898</c:v>
                </c:pt>
                <c:pt idx="3">
                  <c:v>19999.50587755087</c:v>
                </c:pt>
                <c:pt idx="4">
                  <c:v>22206.471122915034</c:v>
                </c:pt>
                <c:pt idx="5">
                  <c:v>24454.168118281759</c:v>
                </c:pt>
              </c:numCache>
              <c:extLst/>
            </c:numRef>
          </c:val>
          <c:smooth val="0"/>
          <c:extLst>
            <c:ext xmlns:c16="http://schemas.microsoft.com/office/drawing/2014/chart" uri="{C3380CC4-5D6E-409C-BE32-E72D297353CC}">
              <c16:uniqueId val="{00000002-49B8-4DDD-8647-5CD029F09FA1}"/>
            </c:ext>
          </c:extLst>
        </c:ser>
        <c:ser>
          <c:idx val="4"/>
          <c:order val="4"/>
          <c:tx>
            <c:strRef>
              <c:f>'Peak Forecast Comp.'!$F$3</c:f>
              <c:strCache>
                <c:ptCount val="1"/>
                <c:pt idx="0">
                  <c:v>B2026 Forecast</c:v>
                </c:pt>
              </c:strCache>
            </c:strRef>
          </c:tx>
          <c:spPr>
            <a:ln w="28575" cap="rnd">
              <a:solidFill>
                <a:schemeClr val="accent5"/>
              </a:solidFill>
              <a:round/>
            </a:ln>
            <a:effectLst/>
          </c:spPr>
          <c:marker>
            <c:symbol val="none"/>
          </c:marker>
          <c:cat>
            <c:numRef>
              <c:f>'Peak Forecast Comp.'!$B$4:$B$9</c:f>
              <c:numCache>
                <c:formatCode>General</c:formatCode>
                <c:ptCount val="6"/>
                <c:pt idx="0">
                  <c:v>2024</c:v>
                </c:pt>
                <c:pt idx="1">
                  <c:v>2025</c:v>
                </c:pt>
                <c:pt idx="2">
                  <c:v>2026</c:v>
                </c:pt>
                <c:pt idx="3">
                  <c:v>2027</c:v>
                </c:pt>
                <c:pt idx="4">
                  <c:v>2028</c:v>
                </c:pt>
                <c:pt idx="5">
                  <c:v>2029</c:v>
                </c:pt>
              </c:numCache>
              <c:extLst/>
            </c:numRef>
          </c:cat>
          <c:val>
            <c:numRef>
              <c:f>'Peak Forecast Comp.'!$F$4:$F$9</c:f>
              <c:numCache>
                <c:formatCode>_(* #,##0_);_(* \(#,##0\);_(* "-"??_);_(@_)</c:formatCode>
                <c:ptCount val="6"/>
                <c:pt idx="1">
                  <c:v>17288.419354524249</c:v>
                </c:pt>
                <c:pt idx="2">
                  <c:v>18151.338598966311</c:v>
                </c:pt>
                <c:pt idx="3">
                  <c:v>19796.243553072782</c:v>
                </c:pt>
                <c:pt idx="4">
                  <c:v>22100.786133473197</c:v>
                </c:pt>
                <c:pt idx="5">
                  <c:v>24229.43553828531</c:v>
                </c:pt>
              </c:numCache>
              <c:extLst/>
            </c:numRef>
          </c:val>
          <c:smooth val="0"/>
          <c:extLst>
            <c:ext xmlns:c16="http://schemas.microsoft.com/office/drawing/2014/chart" uri="{C3380CC4-5D6E-409C-BE32-E72D297353CC}">
              <c16:uniqueId val="{00000003-49B8-4DDD-8647-5CD029F09FA1}"/>
            </c:ext>
          </c:extLst>
        </c:ser>
        <c:dLbls>
          <c:showLegendKey val="0"/>
          <c:showVal val="0"/>
          <c:showCatName val="0"/>
          <c:showSerName val="0"/>
          <c:showPercent val="0"/>
          <c:showBubbleSize val="0"/>
        </c:dLbls>
        <c:smooth val="0"/>
        <c:axId val="245116143"/>
        <c:axId val="32889536"/>
        <c:extLst>
          <c:ext xmlns:c15="http://schemas.microsoft.com/office/drawing/2012/chart" uri="{02D57815-91ED-43cb-92C2-25804820EDAC}">
            <c15:filteredLineSeries>
              <c15:ser>
                <c:idx val="0"/>
                <c:order val="0"/>
                <c:tx>
                  <c:strRef>
                    <c:extLst>
                      <c:ext uri="{02D57815-91ED-43cb-92C2-25804820EDAC}">
                        <c15:formulaRef>
                          <c15:sqref>'Peak Forecast Comp.'!$B$3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'Peak Forecast Comp.'!$B$4:$B$9</c15:sqref>
                        </c15:formulaRef>
                      </c:ext>
                    </c:extLst>
                    <c:numCache>
                      <c:formatCode>General</c:formatCode>
                      <c:ptCount val="6"/>
                      <c:pt idx="0">
                        <c:v>2024</c:v>
                      </c:pt>
                      <c:pt idx="1">
                        <c:v>2025</c:v>
                      </c:pt>
                      <c:pt idx="2">
                        <c:v>2026</c:v>
                      </c:pt>
                      <c:pt idx="3">
                        <c:v>2027</c:v>
                      </c:pt>
                      <c:pt idx="4">
                        <c:v>2028</c:v>
                      </c:pt>
                      <c:pt idx="5">
                        <c:v>2029</c:v>
                      </c:pt>
                    </c:numCache>
                  </c:numRef>
                </c:cat>
                <c:val>
                  <c:numRef>
                    <c:extLst>
                      <c:ext uri="{02D57815-91ED-43cb-92C2-25804820EDAC}">
                        <c15:formulaRef>
                          <c15:sqref>'Peak Forecast Comp.'!$B$4:$B$9</c15:sqref>
                        </c15:formulaRef>
                      </c:ext>
                    </c:extLst>
                    <c:numCache>
                      <c:formatCode>General</c:formatCode>
                      <c:ptCount val="6"/>
                      <c:pt idx="0">
                        <c:v>2024</c:v>
                      </c:pt>
                      <c:pt idx="1">
                        <c:v>2025</c:v>
                      </c:pt>
                      <c:pt idx="2">
                        <c:v>2026</c:v>
                      </c:pt>
                      <c:pt idx="3">
                        <c:v>2027</c:v>
                      </c:pt>
                      <c:pt idx="4">
                        <c:v>2028</c:v>
                      </c:pt>
                      <c:pt idx="5">
                        <c:v>2029</c:v>
                      </c:pt>
                    </c:numCache>
                  </c:numRef>
                </c:val>
                <c:smooth val="0"/>
                <c:extLst>
                  <c:ext xmlns:c16="http://schemas.microsoft.com/office/drawing/2014/chart" uri="{C3380CC4-5D6E-409C-BE32-E72D297353CC}">
                    <c16:uniqueId val="{00000004-49B8-4DDD-8647-5CD029F09FA1}"/>
                  </c:ext>
                </c:extLst>
              </c15:ser>
            </c15:filteredLineSeries>
          </c:ext>
        </c:extLst>
      </c:lineChart>
      <c:catAx>
        <c:axId val="245116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89536"/>
        <c:crosses val="autoZero"/>
        <c:auto val="1"/>
        <c:lblAlgn val="ctr"/>
        <c:lblOffset val="100"/>
        <c:noMultiLvlLbl val="0"/>
      </c:catAx>
      <c:valAx>
        <c:axId val="32889536"/>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Summer Peak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16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'Peak Forecast Comp.'!$J$3</c:f>
              <c:strCache>
                <c:ptCount val="1"/>
                <c:pt idx="0">
                  <c:v>2023 IRP Update Forecast</c:v>
                </c:pt>
              </c:strCache>
            </c:strRef>
          </c:tx>
          <c:spPr>
            <a:ln w="28575" cap="rnd">
              <a:solidFill>
                <a:schemeClr val="accent2"/>
              </a:solidFill>
              <a:round/>
            </a:ln>
            <a:effectLst/>
          </c:spPr>
          <c:marker>
            <c:symbol val="none"/>
          </c:marker>
          <c:cat>
            <c:numRef>
              <c:f>'Peak Forecast Comp.'!$I$4:$I$9</c:f>
              <c:numCache>
                <c:formatCode>General</c:formatCode>
                <c:ptCount val="6"/>
                <c:pt idx="0">
                  <c:v>2024</c:v>
                </c:pt>
                <c:pt idx="1">
                  <c:v>2025</c:v>
                </c:pt>
                <c:pt idx="2">
                  <c:v>2026</c:v>
                </c:pt>
                <c:pt idx="3">
                  <c:v>2027</c:v>
                </c:pt>
                <c:pt idx="4">
                  <c:v>2028</c:v>
                </c:pt>
                <c:pt idx="5">
                  <c:v>2029</c:v>
                </c:pt>
              </c:numCache>
              <c:extLst/>
            </c:numRef>
          </c:cat>
          <c:val>
            <c:numRef>
              <c:f>'Peak Forecast Comp.'!$J$4:$J$9</c:f>
              <c:numCache>
                <c:formatCode>_(* #,##0_);_(* \(#,##0\);_(* "-"??_);_(@_)</c:formatCode>
                <c:ptCount val="6"/>
                <c:pt idx="0">
                  <c:v>15282.99684137539</c:v>
                </c:pt>
                <c:pt idx="1">
                  <c:v>15947.429495881737</c:v>
                </c:pt>
                <c:pt idx="2">
                  <c:v>17255.657349547015</c:v>
                </c:pt>
                <c:pt idx="3">
                  <c:v>18928.003306018818</c:v>
                </c:pt>
                <c:pt idx="4">
                  <c:v>19750.557191064523</c:v>
                </c:pt>
                <c:pt idx="5">
                  <c:v>20550.76450320959</c:v>
                </c:pt>
              </c:numCache>
              <c:extLst/>
            </c:numRef>
          </c:val>
          <c:smooth val="0"/>
          <c:extLst>
            <c:ext xmlns:c16="http://schemas.microsoft.com/office/drawing/2014/chart" uri="{C3380CC4-5D6E-409C-BE32-E72D297353CC}">
              <c16:uniqueId val="{00000000-1261-453E-8624-26265D117DC7}"/>
            </c:ext>
          </c:extLst>
        </c:ser>
        <c:ser>
          <c:idx val="2"/>
          <c:order val="2"/>
          <c:tx>
            <c:strRef>
              <c:f>'Peak Forecast Comp.'!$K$3</c:f>
              <c:strCache>
                <c:ptCount val="1"/>
                <c:pt idx="0">
                  <c:v>B2025 Forecast</c:v>
                </c:pt>
              </c:strCache>
            </c:strRef>
          </c:tx>
          <c:spPr>
            <a:ln w="28575" cap="rnd">
              <a:solidFill>
                <a:schemeClr val="accent3"/>
              </a:solidFill>
              <a:round/>
            </a:ln>
            <a:effectLst/>
          </c:spPr>
          <c:marker>
            <c:symbol val="none"/>
          </c:marker>
          <c:cat>
            <c:numRef>
              <c:f>'Peak Forecast Comp.'!$I$4:$I$9</c:f>
              <c:numCache>
                <c:formatCode>General</c:formatCode>
                <c:ptCount val="6"/>
                <c:pt idx="0">
                  <c:v>2024</c:v>
                </c:pt>
                <c:pt idx="1">
                  <c:v>2025</c:v>
                </c:pt>
                <c:pt idx="2">
                  <c:v>2026</c:v>
                </c:pt>
                <c:pt idx="3">
                  <c:v>2027</c:v>
                </c:pt>
                <c:pt idx="4">
                  <c:v>2028</c:v>
                </c:pt>
                <c:pt idx="5">
                  <c:v>2029</c:v>
                </c:pt>
              </c:numCache>
              <c:extLst/>
            </c:numRef>
          </c:cat>
          <c:val>
            <c:numRef>
              <c:f>'Peak Forecast Comp.'!$K$4:$K$9</c:f>
              <c:numCache>
                <c:formatCode>_(* #,##0_);_(* \(#,##0\);_(* "-"??_);_(@_)</c:formatCode>
                <c:ptCount val="6"/>
                <c:pt idx="0">
                  <c:v>15991.67</c:v>
                </c:pt>
                <c:pt idx="1">
                  <c:v>16264.185602202324</c:v>
                </c:pt>
                <c:pt idx="2">
                  <c:v>16891.555142308804</c:v>
                </c:pt>
                <c:pt idx="3">
                  <c:v>18333.662163683457</c:v>
                </c:pt>
                <c:pt idx="4">
                  <c:v>20319.597384505079</c:v>
                </c:pt>
                <c:pt idx="5">
                  <c:v>22167.912077126657</c:v>
                </c:pt>
              </c:numCache>
              <c:extLst/>
            </c:numRef>
          </c:val>
          <c:smooth val="0"/>
          <c:extLst>
            <c:ext xmlns:c16="http://schemas.microsoft.com/office/drawing/2014/chart" uri="{C3380CC4-5D6E-409C-BE32-E72D297353CC}">
              <c16:uniqueId val="{00000001-1261-453E-8624-26265D117DC7}"/>
            </c:ext>
          </c:extLst>
        </c:ser>
        <c:ser>
          <c:idx val="3"/>
          <c:order val="3"/>
          <c:tx>
            <c:strRef>
              <c:f>'Peak Forecast Comp.'!$L$3</c:f>
              <c:strCache>
                <c:ptCount val="1"/>
                <c:pt idx="0">
                  <c:v>February 2025 Forecast</c:v>
                </c:pt>
              </c:strCache>
            </c:strRef>
          </c:tx>
          <c:spPr>
            <a:ln w="28575" cap="rnd">
              <a:solidFill>
                <a:schemeClr val="accent4"/>
              </a:solidFill>
              <a:round/>
            </a:ln>
            <a:effectLst/>
          </c:spPr>
          <c:marker>
            <c:symbol val="none"/>
          </c:marker>
          <c:cat>
            <c:numRef>
              <c:f>'Peak Forecast Comp.'!$I$4:$I$9</c:f>
              <c:numCache>
                <c:formatCode>General</c:formatCode>
                <c:ptCount val="6"/>
                <c:pt idx="0">
                  <c:v>2024</c:v>
                </c:pt>
                <c:pt idx="1">
                  <c:v>2025</c:v>
                </c:pt>
                <c:pt idx="2">
                  <c:v>2026</c:v>
                </c:pt>
                <c:pt idx="3">
                  <c:v>2027</c:v>
                </c:pt>
                <c:pt idx="4">
                  <c:v>2028</c:v>
                </c:pt>
                <c:pt idx="5">
                  <c:v>2029</c:v>
                </c:pt>
              </c:numCache>
              <c:extLst/>
            </c:numRef>
          </c:cat>
          <c:val>
            <c:numRef>
              <c:f>'Peak Forecast Comp.'!$L$4:$L$9</c:f>
              <c:numCache>
                <c:formatCode>_(* #,##0_);_(* \(#,##0\);_(* "-"??_);_(@_)</c:formatCode>
                <c:ptCount val="6"/>
                <c:pt idx="1">
                  <c:v>16199.263442825903</c:v>
                </c:pt>
                <c:pt idx="2">
                  <c:v>16580.311501960437</c:v>
                </c:pt>
                <c:pt idx="3">
                  <c:v>17781.50928777055</c:v>
                </c:pt>
                <c:pt idx="4">
                  <c:v>19796.040511281513</c:v>
                </c:pt>
                <c:pt idx="5">
                  <c:v>22000.605106669595</c:v>
                </c:pt>
              </c:numCache>
              <c:extLst/>
            </c:numRef>
          </c:val>
          <c:smooth val="0"/>
          <c:extLst>
            <c:ext xmlns:c16="http://schemas.microsoft.com/office/drawing/2014/chart" uri="{C3380CC4-5D6E-409C-BE32-E72D297353CC}">
              <c16:uniqueId val="{00000002-1261-453E-8624-26265D117DC7}"/>
            </c:ext>
          </c:extLst>
        </c:ser>
        <c:ser>
          <c:idx val="4"/>
          <c:order val="4"/>
          <c:tx>
            <c:strRef>
              <c:f>'Peak Forecast Comp.'!$M$3</c:f>
              <c:strCache>
                <c:ptCount val="1"/>
                <c:pt idx="0">
                  <c:v>B2026 Forecast</c:v>
                </c:pt>
              </c:strCache>
            </c:strRef>
          </c:tx>
          <c:spPr>
            <a:ln w="28575" cap="rnd">
              <a:solidFill>
                <a:schemeClr val="accent5"/>
              </a:solidFill>
              <a:round/>
            </a:ln>
            <a:effectLst/>
          </c:spPr>
          <c:marker>
            <c:symbol val="none"/>
          </c:marker>
          <c:cat>
            <c:numRef>
              <c:f>'Peak Forecast Comp.'!$I$4:$I$9</c:f>
              <c:numCache>
                <c:formatCode>General</c:formatCode>
                <c:ptCount val="6"/>
                <c:pt idx="0">
                  <c:v>2024</c:v>
                </c:pt>
                <c:pt idx="1">
                  <c:v>2025</c:v>
                </c:pt>
                <c:pt idx="2">
                  <c:v>2026</c:v>
                </c:pt>
                <c:pt idx="3">
                  <c:v>2027</c:v>
                </c:pt>
                <c:pt idx="4">
                  <c:v>2028</c:v>
                </c:pt>
                <c:pt idx="5">
                  <c:v>2029</c:v>
                </c:pt>
              </c:numCache>
              <c:extLst/>
            </c:numRef>
          </c:cat>
          <c:val>
            <c:numRef>
              <c:f>'Peak Forecast Comp.'!$M$4:$M$9</c:f>
              <c:numCache>
                <c:formatCode>_(* #,##0_);_(* \(#,##0\);_(* "-"??_);_(@_)</c:formatCode>
                <c:ptCount val="6"/>
                <c:pt idx="1">
                  <c:v>16063.23</c:v>
                </c:pt>
                <c:pt idx="2">
                  <c:v>16616.970346419883</c:v>
                </c:pt>
                <c:pt idx="3">
                  <c:v>17506.905253301207</c:v>
                </c:pt>
                <c:pt idx="4">
                  <c:v>19716.710862224507</c:v>
                </c:pt>
                <c:pt idx="5">
                  <c:v>21974.890462587242</c:v>
                </c:pt>
              </c:numCache>
              <c:extLst/>
            </c:numRef>
          </c:val>
          <c:smooth val="0"/>
          <c:extLst>
            <c:ext xmlns:c16="http://schemas.microsoft.com/office/drawing/2014/chart" uri="{C3380CC4-5D6E-409C-BE32-E72D297353CC}">
              <c16:uniqueId val="{00000003-1261-453E-8624-26265D117DC7}"/>
            </c:ext>
          </c:extLst>
        </c:ser>
        <c:dLbls>
          <c:showLegendKey val="0"/>
          <c:showVal val="0"/>
          <c:showCatName val="0"/>
          <c:showSerName val="0"/>
          <c:showPercent val="0"/>
          <c:showBubbleSize val="0"/>
        </c:dLbls>
        <c:smooth val="0"/>
        <c:axId val="1407463280"/>
        <c:axId val="1407463760"/>
        <c:extLst>
          <c:ext xmlns:c15="http://schemas.microsoft.com/office/drawing/2012/chart" uri="{02D57815-91ED-43cb-92C2-25804820EDAC}">
            <c15:filteredLineSeries>
              <c15:ser>
                <c:idx val="0"/>
                <c:order val="0"/>
                <c:tx>
                  <c:strRef>
                    <c:extLst>
                      <c:ext uri="{02D57815-91ED-43cb-92C2-25804820EDAC}">
                        <c15:formulaRef>
                          <c15:sqref>'Peak Forecast Comp.'!$I$3</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'Peak Forecast Comp.'!$I$4:$I$9</c15:sqref>
                        </c15:formulaRef>
                      </c:ext>
                    </c:extLst>
                    <c:numCache>
                      <c:formatCode>General</c:formatCode>
                      <c:ptCount val="6"/>
                      <c:pt idx="0">
                        <c:v>2024</c:v>
                      </c:pt>
                      <c:pt idx="1">
                        <c:v>2025</c:v>
                      </c:pt>
                      <c:pt idx="2">
                        <c:v>2026</c:v>
                      </c:pt>
                      <c:pt idx="3">
                        <c:v>2027</c:v>
                      </c:pt>
                      <c:pt idx="4">
                        <c:v>2028</c:v>
                      </c:pt>
                      <c:pt idx="5">
                        <c:v>2029</c:v>
                      </c:pt>
                    </c:numCache>
                  </c:numRef>
                </c:cat>
                <c:val>
                  <c:numRef>
                    <c:extLst>
                      <c:ext uri="{02D57815-91ED-43cb-92C2-25804820EDAC}">
                        <c15:formulaRef>
                          <c15:sqref>'Peak Forecast Comp.'!$I$4:$I$9</c15:sqref>
                        </c15:formulaRef>
                      </c:ext>
                    </c:extLst>
                    <c:numCache>
                      <c:formatCode>General</c:formatCode>
                      <c:ptCount val="6"/>
                      <c:pt idx="0">
                        <c:v>2024</c:v>
                      </c:pt>
                      <c:pt idx="1">
                        <c:v>2025</c:v>
                      </c:pt>
                      <c:pt idx="2">
                        <c:v>2026</c:v>
                      </c:pt>
                      <c:pt idx="3">
                        <c:v>2027</c:v>
                      </c:pt>
                      <c:pt idx="4">
                        <c:v>2028</c:v>
                      </c:pt>
                      <c:pt idx="5">
                        <c:v>2029</c:v>
                      </c:pt>
                    </c:numCache>
                  </c:numRef>
                </c:val>
                <c:smooth val="0"/>
                <c:extLst>
                  <c:ext xmlns:c16="http://schemas.microsoft.com/office/drawing/2014/chart" uri="{C3380CC4-5D6E-409C-BE32-E72D297353CC}">
                    <c16:uniqueId val="{00000004-1261-453E-8624-26265D117DC7}"/>
                  </c:ext>
                </c:extLst>
              </c15:ser>
            </c15:filteredLineSeries>
          </c:ext>
        </c:extLst>
      </c:lineChart>
      <c:catAx>
        <c:axId val="140746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463760"/>
        <c:crosses val="autoZero"/>
        <c:auto val="1"/>
        <c:lblAlgn val="ctr"/>
        <c:lblOffset val="100"/>
        <c:noMultiLvlLbl val="0"/>
      </c:catAx>
      <c:valAx>
        <c:axId val="140746376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Winter</a:t>
                </a:r>
                <a:r>
                  <a:rPr lang="en-US" baseline="0"/>
                  <a:t> Peak (MW)</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46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Analysis!$B$5</c:f>
              <c:strCache>
                <c:ptCount val="1"/>
                <c:pt idx="0">
                  <c:v>Oct. 2023 IRP Update</c:v>
                </c:pt>
              </c:strCache>
            </c:strRef>
          </c:tx>
          <c:spPr>
            <a:ln w="28575" cap="rnd">
              <a:solidFill>
                <a:schemeClr val="accent1"/>
              </a:solidFill>
              <a:round/>
            </a:ln>
            <a:effectLst/>
          </c:spPr>
          <c:marker>
            <c:symbol val="none"/>
          </c:marker>
          <c:cat>
            <c:strRef>
              <c:f>Analysis!$C$4:$Q$4</c:f>
              <c:strCache>
                <c:ptCount val="15"/>
                <c:pt idx="0">
                  <c:v>2023/24</c:v>
                </c:pt>
                <c:pt idx="1">
                  <c:v>2024/25</c:v>
                </c:pt>
                <c:pt idx="2">
                  <c:v>2025/26</c:v>
                </c:pt>
                <c:pt idx="3">
                  <c:v>2026/27</c:v>
                </c:pt>
                <c:pt idx="4">
                  <c:v>2027/28</c:v>
                </c:pt>
                <c:pt idx="5">
                  <c:v>2028/29</c:v>
                </c:pt>
                <c:pt idx="6">
                  <c:v>2029/30</c:v>
                </c:pt>
                <c:pt idx="7">
                  <c:v>2030/31</c:v>
                </c:pt>
                <c:pt idx="8">
                  <c:v>2031/32</c:v>
                </c:pt>
                <c:pt idx="9">
                  <c:v>2032/33</c:v>
                </c:pt>
                <c:pt idx="10">
                  <c:v>2033/34</c:v>
                </c:pt>
                <c:pt idx="11">
                  <c:v>2034/35</c:v>
                </c:pt>
                <c:pt idx="12">
                  <c:v>2035/36</c:v>
                </c:pt>
                <c:pt idx="13">
                  <c:v>2036/37</c:v>
                </c:pt>
                <c:pt idx="14">
                  <c:v>2037/38</c:v>
                </c:pt>
              </c:strCache>
            </c:strRef>
          </c:cat>
          <c:val>
            <c:numRef>
              <c:f>Analysis!$C$5:$Q$5</c:f>
              <c:numCache>
                <c:formatCode>_(* #,##0_);_(* \(#,##0\);_(* "-"??_);_(@_)</c:formatCode>
                <c:ptCount val="15"/>
                <c:pt idx="0">
                  <c:v>0</c:v>
                </c:pt>
                <c:pt idx="1">
                  <c:v>108.75</c:v>
                </c:pt>
                <c:pt idx="2">
                  <c:v>924</c:v>
                </c:pt>
                <c:pt idx="3">
                  <c:v>3871.6750000000002</c:v>
                </c:pt>
                <c:pt idx="4">
                  <c:v>8116.3249999999998</c:v>
                </c:pt>
                <c:pt idx="5">
                  <c:v>10020.775</c:v>
                </c:pt>
                <c:pt idx="6">
                  <c:v>11651.375</c:v>
                </c:pt>
                <c:pt idx="7">
                  <c:v>13301.24725</c:v>
                </c:pt>
                <c:pt idx="8">
                  <c:v>14955.3755</c:v>
                </c:pt>
                <c:pt idx="9">
                  <c:v>15557.575499999999</c:v>
                </c:pt>
                <c:pt idx="10">
                  <c:v>15699.688</c:v>
                </c:pt>
                <c:pt idx="11">
                  <c:v>15799.188</c:v>
                </c:pt>
                <c:pt idx="12">
                  <c:v>15875.438</c:v>
                </c:pt>
                <c:pt idx="13">
                  <c:v>15933.688</c:v>
                </c:pt>
                <c:pt idx="14">
                  <c:v>15957.688</c:v>
                </c:pt>
              </c:numCache>
            </c:numRef>
          </c:val>
          <c:smooth val="0"/>
          <c:extLst>
            <c:ext xmlns:c16="http://schemas.microsoft.com/office/drawing/2014/chart" uri="{C3380CC4-5D6E-409C-BE32-E72D297353CC}">
              <c16:uniqueId val="{00000000-FDAD-4745-866B-00077B1A0DAA}"/>
            </c:ext>
          </c:extLst>
        </c:ser>
        <c:ser>
          <c:idx val="1"/>
          <c:order val="1"/>
          <c:tx>
            <c:strRef>
              <c:f>Analysis!$B$6</c:f>
              <c:strCache>
                <c:ptCount val="1"/>
                <c:pt idx="0">
                  <c:v>Q1 24 Report</c:v>
                </c:pt>
              </c:strCache>
            </c:strRef>
          </c:tx>
          <c:spPr>
            <a:ln w="28575" cap="rnd">
              <a:solidFill>
                <a:schemeClr val="accent2"/>
              </a:solidFill>
              <a:round/>
            </a:ln>
            <a:effectLst/>
          </c:spPr>
          <c:marker>
            <c:symbol val="none"/>
          </c:marker>
          <c:cat>
            <c:strRef>
              <c:f>Analysis!$C$4:$Q$4</c:f>
              <c:strCache>
                <c:ptCount val="15"/>
                <c:pt idx="0">
                  <c:v>2023/24</c:v>
                </c:pt>
                <c:pt idx="1">
                  <c:v>2024/25</c:v>
                </c:pt>
                <c:pt idx="2">
                  <c:v>2025/26</c:v>
                </c:pt>
                <c:pt idx="3">
                  <c:v>2026/27</c:v>
                </c:pt>
                <c:pt idx="4">
                  <c:v>2027/28</c:v>
                </c:pt>
                <c:pt idx="5">
                  <c:v>2028/29</c:v>
                </c:pt>
                <c:pt idx="6">
                  <c:v>2029/30</c:v>
                </c:pt>
                <c:pt idx="7">
                  <c:v>2030/31</c:v>
                </c:pt>
                <c:pt idx="8">
                  <c:v>2031/32</c:v>
                </c:pt>
                <c:pt idx="9">
                  <c:v>2032/33</c:v>
                </c:pt>
                <c:pt idx="10">
                  <c:v>2033/34</c:v>
                </c:pt>
                <c:pt idx="11">
                  <c:v>2034/35</c:v>
                </c:pt>
                <c:pt idx="12">
                  <c:v>2035/36</c:v>
                </c:pt>
                <c:pt idx="13">
                  <c:v>2036/37</c:v>
                </c:pt>
                <c:pt idx="14">
                  <c:v>2037/38</c:v>
                </c:pt>
              </c:strCache>
            </c:strRef>
          </c:cat>
          <c:val>
            <c:numRef>
              <c:f>Analysis!$C$6:$Q$6</c:f>
              <c:numCache>
                <c:formatCode>_(* #,##0_);_(* \(#,##0\);_(* "-"??_);_(@_)</c:formatCode>
                <c:ptCount val="15"/>
                <c:pt idx="0">
                  <c:v>10</c:v>
                </c:pt>
                <c:pt idx="1">
                  <c:v>443</c:v>
                </c:pt>
                <c:pt idx="2">
                  <c:v>2314</c:v>
                </c:pt>
                <c:pt idx="3">
                  <c:v>6087</c:v>
                </c:pt>
                <c:pt idx="4">
                  <c:v>8952</c:v>
                </c:pt>
                <c:pt idx="5">
                  <c:v>12486</c:v>
                </c:pt>
                <c:pt idx="6">
                  <c:v>14736</c:v>
                </c:pt>
                <c:pt idx="7">
                  <c:v>16519</c:v>
                </c:pt>
                <c:pt idx="8">
                  <c:v>18395</c:v>
                </c:pt>
                <c:pt idx="9">
                  <c:v>18697</c:v>
                </c:pt>
                <c:pt idx="10">
                  <c:v>18953</c:v>
                </c:pt>
                <c:pt idx="11">
                  <c:v>19160</c:v>
                </c:pt>
                <c:pt idx="12">
                  <c:v>19327</c:v>
                </c:pt>
                <c:pt idx="13">
                  <c:v>19359</c:v>
                </c:pt>
                <c:pt idx="14">
                  <c:v>19580</c:v>
                </c:pt>
              </c:numCache>
            </c:numRef>
          </c:val>
          <c:smooth val="0"/>
          <c:extLst>
            <c:ext xmlns:c16="http://schemas.microsoft.com/office/drawing/2014/chart" uri="{C3380CC4-5D6E-409C-BE32-E72D297353CC}">
              <c16:uniqueId val="{00000001-FDAD-4745-866B-00077B1A0DAA}"/>
            </c:ext>
          </c:extLst>
        </c:ser>
        <c:ser>
          <c:idx val="2"/>
          <c:order val="2"/>
          <c:tx>
            <c:strRef>
              <c:f>Analysis!$B$7</c:f>
              <c:strCache>
                <c:ptCount val="1"/>
                <c:pt idx="0">
                  <c:v>Q2 24 Report</c:v>
                </c:pt>
              </c:strCache>
            </c:strRef>
          </c:tx>
          <c:spPr>
            <a:ln w="28575" cap="rnd">
              <a:solidFill>
                <a:schemeClr val="accent3"/>
              </a:solidFill>
              <a:round/>
            </a:ln>
            <a:effectLst/>
          </c:spPr>
          <c:marker>
            <c:symbol val="none"/>
          </c:marker>
          <c:cat>
            <c:strRef>
              <c:f>Analysis!$C$4:$Q$4</c:f>
              <c:strCache>
                <c:ptCount val="15"/>
                <c:pt idx="0">
                  <c:v>2023/24</c:v>
                </c:pt>
                <c:pt idx="1">
                  <c:v>2024/25</c:v>
                </c:pt>
                <c:pt idx="2">
                  <c:v>2025/26</c:v>
                </c:pt>
                <c:pt idx="3">
                  <c:v>2026/27</c:v>
                </c:pt>
                <c:pt idx="4">
                  <c:v>2027/28</c:v>
                </c:pt>
                <c:pt idx="5">
                  <c:v>2028/29</c:v>
                </c:pt>
                <c:pt idx="6">
                  <c:v>2029/30</c:v>
                </c:pt>
                <c:pt idx="7">
                  <c:v>2030/31</c:v>
                </c:pt>
                <c:pt idx="8">
                  <c:v>2031/32</c:v>
                </c:pt>
                <c:pt idx="9">
                  <c:v>2032/33</c:v>
                </c:pt>
                <c:pt idx="10">
                  <c:v>2033/34</c:v>
                </c:pt>
                <c:pt idx="11">
                  <c:v>2034/35</c:v>
                </c:pt>
                <c:pt idx="12">
                  <c:v>2035/36</c:v>
                </c:pt>
                <c:pt idx="13">
                  <c:v>2036/37</c:v>
                </c:pt>
                <c:pt idx="14">
                  <c:v>2037/38</c:v>
                </c:pt>
              </c:strCache>
            </c:strRef>
          </c:cat>
          <c:val>
            <c:numRef>
              <c:f>Analysis!$C$7:$Q$7</c:f>
              <c:numCache>
                <c:formatCode>_(* #,##0_);_(* \(#,##0\);_(* "-"??_);_(@_)</c:formatCode>
                <c:ptCount val="15"/>
                <c:pt idx="0">
                  <c:v>10</c:v>
                </c:pt>
                <c:pt idx="1">
                  <c:v>328</c:v>
                </c:pt>
                <c:pt idx="2">
                  <c:v>1288</c:v>
                </c:pt>
                <c:pt idx="3">
                  <c:v>4723</c:v>
                </c:pt>
                <c:pt idx="4">
                  <c:v>9340</c:v>
                </c:pt>
                <c:pt idx="5">
                  <c:v>13851</c:v>
                </c:pt>
                <c:pt idx="6">
                  <c:v>17165</c:v>
                </c:pt>
                <c:pt idx="7">
                  <c:v>19261</c:v>
                </c:pt>
                <c:pt idx="8">
                  <c:v>21384</c:v>
                </c:pt>
                <c:pt idx="9">
                  <c:v>21855</c:v>
                </c:pt>
                <c:pt idx="10">
                  <c:v>22279</c:v>
                </c:pt>
                <c:pt idx="11">
                  <c:v>22543</c:v>
                </c:pt>
                <c:pt idx="12">
                  <c:v>22688</c:v>
                </c:pt>
                <c:pt idx="13">
                  <c:v>22730</c:v>
                </c:pt>
                <c:pt idx="14">
                  <c:v>22763</c:v>
                </c:pt>
              </c:numCache>
            </c:numRef>
          </c:val>
          <c:smooth val="0"/>
          <c:extLst>
            <c:ext xmlns:c16="http://schemas.microsoft.com/office/drawing/2014/chart" uri="{C3380CC4-5D6E-409C-BE32-E72D297353CC}">
              <c16:uniqueId val="{00000002-FDAD-4745-866B-00077B1A0DAA}"/>
            </c:ext>
          </c:extLst>
        </c:ser>
        <c:ser>
          <c:idx val="3"/>
          <c:order val="3"/>
          <c:tx>
            <c:strRef>
              <c:f>Analysis!$B$8</c:f>
              <c:strCache>
                <c:ptCount val="1"/>
                <c:pt idx="0">
                  <c:v>Q3 24 Report</c:v>
                </c:pt>
              </c:strCache>
            </c:strRef>
          </c:tx>
          <c:spPr>
            <a:ln w="28575" cap="rnd">
              <a:solidFill>
                <a:schemeClr val="accent4"/>
              </a:solidFill>
              <a:round/>
            </a:ln>
            <a:effectLst/>
          </c:spPr>
          <c:marker>
            <c:symbol val="none"/>
          </c:marker>
          <c:cat>
            <c:strRef>
              <c:f>Analysis!$C$4:$Q$4</c:f>
              <c:strCache>
                <c:ptCount val="15"/>
                <c:pt idx="0">
                  <c:v>2023/24</c:v>
                </c:pt>
                <c:pt idx="1">
                  <c:v>2024/25</c:v>
                </c:pt>
                <c:pt idx="2">
                  <c:v>2025/26</c:v>
                </c:pt>
                <c:pt idx="3">
                  <c:v>2026/27</c:v>
                </c:pt>
                <c:pt idx="4">
                  <c:v>2027/28</c:v>
                </c:pt>
                <c:pt idx="5">
                  <c:v>2028/29</c:v>
                </c:pt>
                <c:pt idx="6">
                  <c:v>2029/30</c:v>
                </c:pt>
                <c:pt idx="7">
                  <c:v>2030/31</c:v>
                </c:pt>
                <c:pt idx="8">
                  <c:v>2031/32</c:v>
                </c:pt>
                <c:pt idx="9">
                  <c:v>2032/33</c:v>
                </c:pt>
                <c:pt idx="10">
                  <c:v>2033/34</c:v>
                </c:pt>
                <c:pt idx="11">
                  <c:v>2034/35</c:v>
                </c:pt>
                <c:pt idx="12">
                  <c:v>2035/36</c:v>
                </c:pt>
                <c:pt idx="13">
                  <c:v>2036/37</c:v>
                </c:pt>
                <c:pt idx="14">
                  <c:v>2037/38</c:v>
                </c:pt>
              </c:strCache>
            </c:strRef>
          </c:cat>
          <c:val>
            <c:numRef>
              <c:f>Analysis!$C$8:$Q$8</c:f>
              <c:numCache>
                <c:formatCode>_(* #,##0_);_(* \(#,##0\);_(* "-"??_);_(@_)</c:formatCode>
                <c:ptCount val="15"/>
                <c:pt idx="0">
                  <c:v>11</c:v>
                </c:pt>
                <c:pt idx="1">
                  <c:v>294</c:v>
                </c:pt>
                <c:pt idx="2">
                  <c:v>1050</c:v>
                </c:pt>
                <c:pt idx="3">
                  <c:v>5316</c:v>
                </c:pt>
                <c:pt idx="4">
                  <c:v>12454</c:v>
                </c:pt>
                <c:pt idx="5">
                  <c:v>19875</c:v>
                </c:pt>
                <c:pt idx="6">
                  <c:v>25806</c:v>
                </c:pt>
                <c:pt idx="7">
                  <c:v>30220</c:v>
                </c:pt>
                <c:pt idx="8">
                  <c:v>32252</c:v>
                </c:pt>
                <c:pt idx="9">
                  <c:v>33367</c:v>
                </c:pt>
                <c:pt idx="10">
                  <c:v>34128</c:v>
                </c:pt>
                <c:pt idx="11">
                  <c:v>34429</c:v>
                </c:pt>
                <c:pt idx="12">
                  <c:v>34557</c:v>
                </c:pt>
                <c:pt idx="13">
                  <c:v>34599</c:v>
                </c:pt>
                <c:pt idx="14">
                  <c:v>34632</c:v>
                </c:pt>
              </c:numCache>
            </c:numRef>
          </c:val>
          <c:smooth val="0"/>
          <c:extLst>
            <c:ext xmlns:c16="http://schemas.microsoft.com/office/drawing/2014/chart" uri="{C3380CC4-5D6E-409C-BE32-E72D297353CC}">
              <c16:uniqueId val="{00000003-FDAD-4745-866B-00077B1A0DAA}"/>
            </c:ext>
          </c:extLst>
        </c:ser>
        <c:ser>
          <c:idx val="4"/>
          <c:order val="4"/>
          <c:tx>
            <c:strRef>
              <c:f>Analysis!$B$9</c:f>
              <c:strCache>
                <c:ptCount val="1"/>
                <c:pt idx="0">
                  <c:v>Q4 24 Report</c:v>
                </c:pt>
              </c:strCache>
            </c:strRef>
          </c:tx>
          <c:spPr>
            <a:ln w="28575" cap="rnd">
              <a:solidFill>
                <a:schemeClr val="accent5"/>
              </a:solidFill>
              <a:round/>
            </a:ln>
            <a:effectLst/>
          </c:spPr>
          <c:marker>
            <c:symbol val="none"/>
          </c:marker>
          <c:cat>
            <c:strRef>
              <c:f>Analysis!$C$4:$Q$4</c:f>
              <c:strCache>
                <c:ptCount val="15"/>
                <c:pt idx="0">
                  <c:v>2023/24</c:v>
                </c:pt>
                <c:pt idx="1">
                  <c:v>2024/25</c:v>
                </c:pt>
                <c:pt idx="2">
                  <c:v>2025/26</c:v>
                </c:pt>
                <c:pt idx="3">
                  <c:v>2026/27</c:v>
                </c:pt>
                <c:pt idx="4">
                  <c:v>2027/28</c:v>
                </c:pt>
                <c:pt idx="5">
                  <c:v>2028/29</c:v>
                </c:pt>
                <c:pt idx="6">
                  <c:v>2029/30</c:v>
                </c:pt>
                <c:pt idx="7">
                  <c:v>2030/31</c:v>
                </c:pt>
                <c:pt idx="8">
                  <c:v>2031/32</c:v>
                </c:pt>
                <c:pt idx="9">
                  <c:v>2032/33</c:v>
                </c:pt>
                <c:pt idx="10">
                  <c:v>2033/34</c:v>
                </c:pt>
                <c:pt idx="11">
                  <c:v>2034/35</c:v>
                </c:pt>
                <c:pt idx="12">
                  <c:v>2035/36</c:v>
                </c:pt>
                <c:pt idx="13">
                  <c:v>2036/37</c:v>
                </c:pt>
                <c:pt idx="14">
                  <c:v>2037/38</c:v>
                </c:pt>
              </c:strCache>
            </c:strRef>
          </c:cat>
          <c:val>
            <c:numRef>
              <c:f>Analysis!$C$9:$Q$9</c:f>
              <c:numCache>
                <c:formatCode>_(* #,##0_);_(* \(#,##0\);_(* "-"??_);_(@_)</c:formatCode>
                <c:ptCount val="15"/>
                <c:pt idx="0">
                  <c:v>10</c:v>
                </c:pt>
                <c:pt idx="1">
                  <c:v>257</c:v>
                </c:pt>
                <c:pt idx="2">
                  <c:v>955</c:v>
                </c:pt>
                <c:pt idx="3">
                  <c:v>5040</c:v>
                </c:pt>
                <c:pt idx="4">
                  <c:v>12388</c:v>
                </c:pt>
                <c:pt idx="5">
                  <c:v>21292</c:v>
                </c:pt>
                <c:pt idx="6">
                  <c:v>29471</c:v>
                </c:pt>
                <c:pt idx="7">
                  <c:v>35662</c:v>
                </c:pt>
                <c:pt idx="8">
                  <c:v>40043</c:v>
                </c:pt>
                <c:pt idx="9">
                  <c:v>42148</c:v>
                </c:pt>
                <c:pt idx="10">
                  <c:v>42918</c:v>
                </c:pt>
                <c:pt idx="11">
                  <c:v>43497</c:v>
                </c:pt>
                <c:pt idx="12">
                  <c:v>43793</c:v>
                </c:pt>
                <c:pt idx="13">
                  <c:v>43943</c:v>
                </c:pt>
                <c:pt idx="14">
                  <c:v>44180</c:v>
                </c:pt>
              </c:numCache>
            </c:numRef>
          </c:val>
          <c:smooth val="0"/>
          <c:extLst>
            <c:ext xmlns:c16="http://schemas.microsoft.com/office/drawing/2014/chart" uri="{C3380CC4-5D6E-409C-BE32-E72D297353CC}">
              <c16:uniqueId val="{00000004-FDAD-4745-866B-00077B1A0DAA}"/>
            </c:ext>
          </c:extLst>
        </c:ser>
        <c:ser>
          <c:idx val="5"/>
          <c:order val="5"/>
          <c:tx>
            <c:strRef>
              <c:f>Analysis!$B$10</c:f>
              <c:strCache>
                <c:ptCount val="1"/>
                <c:pt idx="0">
                  <c:v>Q1 25 Report</c:v>
                </c:pt>
              </c:strCache>
            </c:strRef>
          </c:tx>
          <c:spPr>
            <a:ln w="28575" cap="rnd">
              <a:solidFill>
                <a:schemeClr val="accent6"/>
              </a:solidFill>
              <a:round/>
            </a:ln>
            <a:effectLst/>
          </c:spPr>
          <c:marker>
            <c:symbol val="none"/>
          </c:marker>
          <c:cat>
            <c:strRef>
              <c:f>Analysis!$C$4:$Q$4</c:f>
              <c:strCache>
                <c:ptCount val="15"/>
                <c:pt idx="0">
                  <c:v>2023/24</c:v>
                </c:pt>
                <c:pt idx="1">
                  <c:v>2024/25</c:v>
                </c:pt>
                <c:pt idx="2">
                  <c:v>2025/26</c:v>
                </c:pt>
                <c:pt idx="3">
                  <c:v>2026/27</c:v>
                </c:pt>
                <c:pt idx="4">
                  <c:v>2027/28</c:v>
                </c:pt>
                <c:pt idx="5">
                  <c:v>2028/29</c:v>
                </c:pt>
                <c:pt idx="6">
                  <c:v>2029/30</c:v>
                </c:pt>
                <c:pt idx="7">
                  <c:v>2030/31</c:v>
                </c:pt>
                <c:pt idx="8">
                  <c:v>2031/32</c:v>
                </c:pt>
                <c:pt idx="9">
                  <c:v>2032/33</c:v>
                </c:pt>
                <c:pt idx="10">
                  <c:v>2033/34</c:v>
                </c:pt>
                <c:pt idx="11">
                  <c:v>2034/35</c:v>
                </c:pt>
                <c:pt idx="12">
                  <c:v>2035/36</c:v>
                </c:pt>
                <c:pt idx="13">
                  <c:v>2036/37</c:v>
                </c:pt>
                <c:pt idx="14">
                  <c:v>2037/38</c:v>
                </c:pt>
              </c:strCache>
            </c:strRef>
          </c:cat>
          <c:val>
            <c:numRef>
              <c:f>Analysis!$C$10:$Q$10</c:f>
              <c:numCache>
                <c:formatCode>_(* #,##0_);_(* \(#,##0\);_(* "-"??_);_(@_)</c:formatCode>
                <c:ptCount val="15"/>
                <c:pt idx="0">
                  <c:v>10</c:v>
                </c:pt>
                <c:pt idx="1">
                  <c:v>257</c:v>
                </c:pt>
                <c:pt idx="2">
                  <c:v>1008</c:v>
                </c:pt>
                <c:pt idx="3">
                  <c:v>5679</c:v>
                </c:pt>
                <c:pt idx="4">
                  <c:v>14484</c:v>
                </c:pt>
                <c:pt idx="5">
                  <c:v>25226</c:v>
                </c:pt>
                <c:pt idx="6">
                  <c:v>34799</c:v>
                </c:pt>
                <c:pt idx="7">
                  <c:v>42312</c:v>
                </c:pt>
                <c:pt idx="8">
                  <c:v>47593</c:v>
                </c:pt>
                <c:pt idx="9">
                  <c:v>50348</c:v>
                </c:pt>
                <c:pt idx="10">
                  <c:v>50861</c:v>
                </c:pt>
                <c:pt idx="11">
                  <c:v>51406</c:v>
                </c:pt>
                <c:pt idx="12">
                  <c:v>51706</c:v>
                </c:pt>
                <c:pt idx="13">
                  <c:v>51856</c:v>
                </c:pt>
                <c:pt idx="14">
                  <c:v>52093</c:v>
                </c:pt>
              </c:numCache>
            </c:numRef>
          </c:val>
          <c:smooth val="0"/>
          <c:extLst>
            <c:ext xmlns:c16="http://schemas.microsoft.com/office/drawing/2014/chart" uri="{C3380CC4-5D6E-409C-BE32-E72D297353CC}">
              <c16:uniqueId val="{00000005-FDAD-4745-866B-00077B1A0DAA}"/>
            </c:ext>
          </c:extLst>
        </c:ser>
        <c:ser>
          <c:idx val="6"/>
          <c:order val="6"/>
          <c:tx>
            <c:strRef>
              <c:f>Analysis!$B$11</c:f>
              <c:strCache>
                <c:ptCount val="1"/>
                <c:pt idx="0">
                  <c:v>Q2 2025 Report</c:v>
                </c:pt>
              </c:strCache>
            </c:strRef>
          </c:tx>
          <c:spPr>
            <a:ln w="28575" cap="rnd">
              <a:solidFill>
                <a:schemeClr val="accent1">
                  <a:lumMod val="60000"/>
                </a:schemeClr>
              </a:solidFill>
              <a:round/>
            </a:ln>
            <a:effectLst/>
          </c:spPr>
          <c:marker>
            <c:symbol val="none"/>
          </c:marker>
          <c:cat>
            <c:strRef>
              <c:f>Analysis!$C$4:$Q$4</c:f>
              <c:strCache>
                <c:ptCount val="15"/>
                <c:pt idx="0">
                  <c:v>2023/24</c:v>
                </c:pt>
                <c:pt idx="1">
                  <c:v>2024/25</c:v>
                </c:pt>
                <c:pt idx="2">
                  <c:v>2025/26</c:v>
                </c:pt>
                <c:pt idx="3">
                  <c:v>2026/27</c:v>
                </c:pt>
                <c:pt idx="4">
                  <c:v>2027/28</c:v>
                </c:pt>
                <c:pt idx="5">
                  <c:v>2028/29</c:v>
                </c:pt>
                <c:pt idx="6">
                  <c:v>2029/30</c:v>
                </c:pt>
                <c:pt idx="7">
                  <c:v>2030/31</c:v>
                </c:pt>
                <c:pt idx="8">
                  <c:v>2031/32</c:v>
                </c:pt>
                <c:pt idx="9">
                  <c:v>2032/33</c:v>
                </c:pt>
                <c:pt idx="10">
                  <c:v>2033/34</c:v>
                </c:pt>
                <c:pt idx="11">
                  <c:v>2034/35</c:v>
                </c:pt>
                <c:pt idx="12">
                  <c:v>2035/36</c:v>
                </c:pt>
                <c:pt idx="13">
                  <c:v>2036/37</c:v>
                </c:pt>
                <c:pt idx="14">
                  <c:v>2037/38</c:v>
                </c:pt>
              </c:strCache>
            </c:strRef>
          </c:cat>
          <c:val>
            <c:numRef>
              <c:f>Analysis!$C$11:$Q$11</c:f>
              <c:numCache>
                <c:formatCode>_(* #,##0_);_(* \(#,##0\);_(* "-"??_);_(@_)</c:formatCode>
                <c:ptCount val="15"/>
                <c:pt idx="0">
                  <c:v>10</c:v>
                </c:pt>
                <c:pt idx="1">
                  <c:v>257</c:v>
                </c:pt>
                <c:pt idx="2">
                  <c:v>923</c:v>
                </c:pt>
                <c:pt idx="3">
                  <c:v>5098</c:v>
                </c:pt>
                <c:pt idx="4">
                  <c:v>14270</c:v>
                </c:pt>
                <c:pt idx="5">
                  <c:v>25835</c:v>
                </c:pt>
                <c:pt idx="6">
                  <c:v>36754</c:v>
                </c:pt>
                <c:pt idx="7">
                  <c:v>45638</c:v>
                </c:pt>
                <c:pt idx="8">
                  <c:v>51535</c:v>
                </c:pt>
                <c:pt idx="9">
                  <c:v>54562</c:v>
                </c:pt>
                <c:pt idx="10">
                  <c:v>55399</c:v>
                </c:pt>
                <c:pt idx="11">
                  <c:v>56025</c:v>
                </c:pt>
                <c:pt idx="12">
                  <c:v>56325</c:v>
                </c:pt>
                <c:pt idx="13">
                  <c:v>56495</c:v>
                </c:pt>
                <c:pt idx="14">
                  <c:v>56822</c:v>
                </c:pt>
              </c:numCache>
            </c:numRef>
          </c:val>
          <c:smooth val="0"/>
          <c:extLst>
            <c:ext xmlns:c16="http://schemas.microsoft.com/office/drawing/2014/chart" uri="{C3380CC4-5D6E-409C-BE32-E72D297353CC}">
              <c16:uniqueId val="{00000006-FDAD-4745-866B-00077B1A0DAA}"/>
            </c:ext>
          </c:extLst>
        </c:ser>
        <c:dLbls>
          <c:showLegendKey val="0"/>
          <c:showVal val="0"/>
          <c:showCatName val="0"/>
          <c:showSerName val="0"/>
          <c:showPercent val="0"/>
          <c:showBubbleSize val="0"/>
        </c:dLbls>
        <c:smooth val="0"/>
        <c:axId val="101957727"/>
        <c:axId val="101960607"/>
      </c:lineChart>
      <c:catAx>
        <c:axId val="10195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60607"/>
        <c:crosses val="autoZero"/>
        <c:auto val="1"/>
        <c:lblAlgn val="ctr"/>
        <c:lblOffset val="100"/>
        <c:noMultiLvlLbl val="0"/>
      </c:catAx>
      <c:valAx>
        <c:axId val="1019606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Pipeline Load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5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'LRM Adj'!$D$21</c:f>
              <c:strCache>
                <c:ptCount val="1"/>
                <c:pt idx="0">
                  <c:v>B2026</c:v>
                </c:pt>
              </c:strCache>
            </c:strRef>
          </c:tx>
          <c:spPr>
            <a:ln w="28575" cap="rnd">
              <a:solidFill>
                <a:schemeClr val="accent2"/>
              </a:solidFill>
              <a:round/>
            </a:ln>
            <a:effectLst/>
          </c:spPr>
          <c:marker>
            <c:symbol val="none"/>
          </c:marker>
          <c:cat>
            <c:numRef>
              <c:f>'LRM Adj'!$E$20:$Z$20</c:f>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f>'LRM Adj'!$E$21:$Z$21</c:f>
              <c:numCache>
                <c:formatCode>General</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numCache>
            </c:numRef>
          </c:val>
          <c:smooth val="0"/>
          <c:extLst>
            <c:ext xmlns:c16="http://schemas.microsoft.com/office/drawing/2014/chart" uri="{C3380CC4-5D6E-409C-BE32-E72D297353CC}">
              <c16:uniqueId val="{00000000-17FF-4211-AEF9-5EB9D7200364}"/>
            </c:ext>
          </c:extLst>
        </c:ser>
        <c:ser>
          <c:idx val="3"/>
          <c:order val="3"/>
          <c:tx>
            <c:strRef>
              <c:f>'LRM Adj'!$D$23</c:f>
              <c:strCache>
                <c:ptCount val="1"/>
                <c:pt idx="0">
                  <c:v>Scenario 1</c:v>
                </c:pt>
              </c:strCache>
            </c:strRef>
          </c:tx>
          <c:spPr>
            <a:ln w="28575" cap="rnd">
              <a:solidFill>
                <a:schemeClr val="accent4"/>
              </a:solidFill>
              <a:round/>
            </a:ln>
            <a:effectLst/>
          </c:spPr>
          <c:marker>
            <c:symbol val="none"/>
          </c:marker>
          <c:cat>
            <c:numRef>
              <c:f>'LRM Adj'!$E$20:$Z$20</c:f>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f>'LRM Adj'!$E$23:$Z$23</c:f>
              <c:numCache>
                <c:formatCode>_(* #,##0.0_);_(* \(#,##0.0\);_(* "-"??_);_(@_)</c:formatCode>
                <c:ptCount val="22"/>
                <c:pt idx="0">
                  <c:v>-0.58274090535851997</c:v>
                </c:pt>
                <c:pt idx="1">
                  <c:v>-4.7017252755198342</c:v>
                </c:pt>
                <c:pt idx="2">
                  <c:v>-487.34051304537957</c:v>
                </c:pt>
                <c:pt idx="3">
                  <c:v>-1672.9509162373806</c:v>
                </c:pt>
                <c:pt idx="4">
                  <c:v>-2808.6143722711477</c:v>
                </c:pt>
                <c:pt idx="5">
                  <c:v>-3780.6354436138881</c:v>
                </c:pt>
                <c:pt idx="6">
                  <c:v>-4505.8216483255846</c:v>
                </c:pt>
                <c:pt idx="7">
                  <c:v>-4882.7000854162688</c:v>
                </c:pt>
                <c:pt idx="8">
                  <c:v>-5076.7294602474776</c:v>
                </c:pt>
                <c:pt idx="9">
                  <c:v>-5211.7947064165674</c:v>
                </c:pt>
                <c:pt idx="10">
                  <c:v>-5282.0679345076514</c:v>
                </c:pt>
                <c:pt idx="11">
                  <c:v>-5318.5647491327854</c:v>
                </c:pt>
                <c:pt idx="12">
                  <c:v>-5379.4654507220621</c:v>
                </c:pt>
                <c:pt idx="13">
                  <c:v>-5394.7903278690028</c:v>
                </c:pt>
                <c:pt idx="14">
                  <c:v>-5402.418514754685</c:v>
                </c:pt>
                <c:pt idx="15">
                  <c:v>-5402.7518897845348</c:v>
                </c:pt>
                <c:pt idx="16">
                  <c:v>-5402.6717601625642</c:v>
                </c:pt>
                <c:pt idx="17">
                  <c:v>-5408.5763972443292</c:v>
                </c:pt>
                <c:pt idx="18">
                  <c:v>-5320.0354832465673</c:v>
                </c:pt>
                <c:pt idx="19">
                  <c:v>-5327.3914395730189</c:v>
                </c:pt>
                <c:pt idx="20">
                  <c:v>-5327.3914395730189</c:v>
                </c:pt>
                <c:pt idx="21">
                  <c:v>-5327.3914395730189</c:v>
                </c:pt>
              </c:numCache>
            </c:numRef>
          </c:val>
          <c:smooth val="0"/>
          <c:extLst>
            <c:ext xmlns:c16="http://schemas.microsoft.com/office/drawing/2014/chart" uri="{C3380CC4-5D6E-409C-BE32-E72D297353CC}">
              <c16:uniqueId val="{00000001-17FF-4211-AEF9-5EB9D7200364}"/>
            </c:ext>
          </c:extLst>
        </c:ser>
        <c:ser>
          <c:idx val="8"/>
          <c:order val="8"/>
          <c:tx>
            <c:strRef>
              <c:f>'LRM Adj'!$D$28</c:f>
              <c:strCache>
                <c:ptCount val="1"/>
                <c:pt idx="0">
                  <c:v>Scenario 2</c:v>
                </c:pt>
              </c:strCache>
            </c:strRef>
          </c:tx>
          <c:spPr>
            <a:ln w="28575" cap="rnd">
              <a:solidFill>
                <a:schemeClr val="accent3">
                  <a:lumMod val="60000"/>
                </a:schemeClr>
              </a:solidFill>
              <a:round/>
            </a:ln>
            <a:effectLst/>
          </c:spPr>
          <c:marker>
            <c:symbol val="none"/>
          </c:marker>
          <c:cat>
            <c:numRef>
              <c:f>'LRM Adj'!$E$20:$Z$20</c:f>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f>'LRM Adj'!$E$28:$Z$28</c:f>
              <c:numCache>
                <c:formatCode>_(* #,##0.0_);_(* \(#,##0.0\);_(* "-"??_);_(@_)</c:formatCode>
                <c:ptCount val="22"/>
                <c:pt idx="0">
                  <c:v>-80.156151631587989</c:v>
                </c:pt>
                <c:pt idx="1">
                  <c:v>-255.87732945491041</c:v>
                </c:pt>
                <c:pt idx="2">
                  <c:v>-824.28473878152727</c:v>
                </c:pt>
                <c:pt idx="3">
                  <c:v>-1543.8613413823969</c:v>
                </c:pt>
                <c:pt idx="4">
                  <c:v>-2074.2204353892694</c:v>
                </c:pt>
                <c:pt idx="5">
                  <c:v>-2453.2700003477476</c:v>
                </c:pt>
                <c:pt idx="6">
                  <c:v>-2742.1622107619723</c:v>
                </c:pt>
                <c:pt idx="7">
                  <c:v>-2864.9857111458305</c:v>
                </c:pt>
                <c:pt idx="8">
                  <c:v>-2933.6271559645947</c:v>
                </c:pt>
                <c:pt idx="9">
                  <c:v>-2975.7110156390481</c:v>
                </c:pt>
                <c:pt idx="10">
                  <c:v>-2993.5440047130096</c:v>
                </c:pt>
                <c:pt idx="11">
                  <c:v>-3003.8877804341373</c:v>
                </c:pt>
                <c:pt idx="12">
                  <c:v>-3023.6592368941983</c:v>
                </c:pt>
                <c:pt idx="13">
                  <c:v>-3029.3151079628869</c:v>
                </c:pt>
                <c:pt idx="14">
                  <c:v>-3033.704176547456</c:v>
                </c:pt>
                <c:pt idx="15">
                  <c:v>-3033.6764947920783</c:v>
                </c:pt>
                <c:pt idx="16">
                  <c:v>-3032.8692255848782</c:v>
                </c:pt>
                <c:pt idx="17">
                  <c:v>-3036.5482705280438</c:v>
                </c:pt>
                <c:pt idx="18">
                  <c:v>-2986.1315296151961</c:v>
                </c:pt>
                <c:pt idx="19">
                  <c:v>-2989.9452501269861</c:v>
                </c:pt>
                <c:pt idx="20">
                  <c:v>-2988.0598540033316</c:v>
                </c:pt>
                <c:pt idx="21">
                  <c:v>-2987.0730276529339</c:v>
                </c:pt>
              </c:numCache>
            </c:numRef>
          </c:val>
          <c:smooth val="0"/>
          <c:extLst>
            <c:ext xmlns:c16="http://schemas.microsoft.com/office/drawing/2014/chart" uri="{C3380CC4-5D6E-409C-BE32-E72D297353CC}">
              <c16:uniqueId val="{00000002-17FF-4211-AEF9-5EB9D7200364}"/>
            </c:ext>
          </c:extLst>
        </c:ser>
        <c:dLbls>
          <c:showLegendKey val="0"/>
          <c:showVal val="0"/>
          <c:showCatName val="0"/>
          <c:showSerName val="0"/>
          <c:showPercent val="0"/>
          <c:showBubbleSize val="0"/>
        </c:dLbls>
        <c:smooth val="0"/>
        <c:axId val="1014148863"/>
        <c:axId val="1014148383"/>
        <c:extLst>
          <c:ext xmlns:c15="http://schemas.microsoft.com/office/drawing/2012/chart" uri="{02D57815-91ED-43cb-92C2-25804820EDAC}">
            <c15:filteredLineSeries>
              <c15:ser>
                <c:idx val="0"/>
                <c:order val="0"/>
                <c:tx>
                  <c:strRef>
                    <c:extLst>
                      <c:ext uri="{02D57815-91ED-43cb-92C2-25804820EDAC}">
                        <c15:formulaRef>
                          <c15:sqref>'LRM Adj'!$D$20</c15:sqref>
                        </c15:formulaRef>
                      </c:ext>
                    </c:extLst>
                    <c:strCache>
                      <c:ptCount val="1"/>
                      <c:pt idx="0">
                        <c:v>2024</c:v>
                      </c:pt>
                    </c:strCache>
                  </c:strRef>
                </c:tx>
                <c:spPr>
                  <a:ln w="28575" cap="rnd">
                    <a:solidFill>
                      <a:schemeClr val="accent1"/>
                    </a:solidFill>
                    <a:round/>
                  </a:ln>
                  <a:effectLst/>
                </c:spPr>
                <c:marker>
                  <c:symbol val="none"/>
                </c:marker>
                <c:cat>
                  <c:numRef>
                    <c:extLst>
                      <c:ext uri="{02D57815-91ED-43cb-92C2-25804820EDAC}">
                        <c15:formulaRef>
                          <c15:sqref>'LRM Adj'!$E$20:$Z$20</c15:sqref>
                        </c15:formulaRef>
                      </c:ext>
                    </c:extLst>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extLst>
                      <c:ext uri="{02D57815-91ED-43cb-92C2-25804820EDAC}">
                        <c15:formulaRef>
                          <c15:sqref>'LRM Adj'!$E$20:$Z$20</c15:sqref>
                        </c15:formulaRef>
                      </c:ext>
                    </c:extLst>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val>
                <c:smooth val="0"/>
                <c:extLst>
                  <c:ext xmlns:c16="http://schemas.microsoft.com/office/drawing/2014/chart" uri="{C3380CC4-5D6E-409C-BE32-E72D297353CC}">
                    <c16:uniqueId val="{00000003-17FF-4211-AEF9-5EB9D7200364}"/>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'LRM Adj'!$D$22</c15:sqref>
                        </c15:formulaRef>
                      </c:ext>
                    </c:extLst>
                    <c:strCache>
                      <c:ptCount val="1"/>
                      <c:pt idx="0">
                        <c:v>0</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'LRM Adj'!$E$20:$Z$20</c15:sqref>
                        </c15:formulaRef>
                      </c:ext>
                    </c:extLst>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extLst xmlns:c15="http://schemas.microsoft.com/office/drawing/2012/chart">
                      <c:ext xmlns:c15="http://schemas.microsoft.com/office/drawing/2012/chart" uri="{02D57815-91ED-43cb-92C2-25804820EDAC}">
                        <c15:formulaRef>
                          <c15:sqref>'LRM Adj'!$E$22:$Z$22</c15:sqref>
                        </c15:formulaRef>
                      </c:ext>
                    </c:extLst>
                    <c:numCache>
                      <c:formatCode>_(* #,##0.0_);_(* \(#,##0.0\);_(* "-"??_);_(@_)</c:formatCode>
                      <c:ptCount val="22"/>
                      <c:pt idx="0">
                        <c:v>0</c:v>
                      </c:pt>
                      <c:pt idx="1">
                        <c:v>-7.7791469346361737</c:v>
                      </c:pt>
                      <c:pt idx="2">
                        <c:v>-863.6954820500473</c:v>
                      </c:pt>
                      <c:pt idx="3">
                        <c:v>-2377.0581005174645</c:v>
                      </c:pt>
                      <c:pt idx="4">
                        <c:v>-3788.2401205129909</c:v>
                      </c:pt>
                      <c:pt idx="5">
                        <c:v>-4931.4618496363055</c:v>
                      </c:pt>
                      <c:pt idx="6">
                        <c:v>-5745.3160574036665</c:v>
                      </c:pt>
                      <c:pt idx="7">
                        <c:v>-6137.8996467024353</c:v>
                      </c:pt>
                      <c:pt idx="8">
                        <c:v>-6336.6453136167947</c:v>
                      </c:pt>
                      <c:pt idx="9">
                        <c:v>-6473.2651869415713</c:v>
                      </c:pt>
                      <c:pt idx="10">
                        <c:v>-6544.71248389428</c:v>
                      </c:pt>
                      <c:pt idx="11">
                        <c:v>-6580.7377474060249</c:v>
                      </c:pt>
                      <c:pt idx="12">
                        <c:v>-6642.6148408555619</c:v>
                      </c:pt>
                      <c:pt idx="13">
                        <c:v>-6659.727588360689</c:v>
                      </c:pt>
                      <c:pt idx="14">
                        <c:v>-6667.7879463319241</c:v>
                      </c:pt>
                      <c:pt idx="15">
                        <c:v>-6667.0711868425942</c:v>
                      </c:pt>
                      <c:pt idx="16">
                        <c:v>-6666.0711917245308</c:v>
                      </c:pt>
                      <c:pt idx="17">
                        <c:v>-6672.0058715981777</c:v>
                      </c:pt>
                      <c:pt idx="18">
                        <c:v>-6561.8978525736256</c:v>
                      </c:pt>
                      <c:pt idx="19">
                        <c:v>-6570.0867789400363</c:v>
                      </c:pt>
                      <c:pt idx="20">
                        <c:v>-6570.0867789400363</c:v>
                      </c:pt>
                      <c:pt idx="21">
                        <c:v>-6570.0867789400363</c:v>
                      </c:pt>
                    </c:numCache>
                  </c:numRef>
                </c:val>
                <c:smooth val="0"/>
                <c:extLst xmlns:c15="http://schemas.microsoft.com/office/drawing/2012/chart">
                  <c:ext xmlns:c16="http://schemas.microsoft.com/office/drawing/2014/chart" uri="{C3380CC4-5D6E-409C-BE32-E72D297353CC}">
                    <c16:uniqueId val="{00000004-17FF-4211-AEF9-5EB9D7200364}"/>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'LRM Adj'!$D$24</c15:sqref>
                        </c15:formulaRef>
                      </c:ext>
                    </c:extLst>
                    <c:strCache>
                      <c:ptCount val="1"/>
                      <c:pt idx="0">
                        <c:v>0</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'LRM Adj'!$E$20:$Z$20</c15:sqref>
                        </c15:formulaRef>
                      </c:ext>
                    </c:extLst>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extLst xmlns:c15="http://schemas.microsoft.com/office/drawing/2012/chart">
                      <c:ext xmlns:c15="http://schemas.microsoft.com/office/drawing/2012/chart" uri="{02D57815-91ED-43cb-92C2-25804820EDAC}">
                        <c15:formulaRef>
                          <c15:sqref>'LRM Adj'!$E$24:$Z$24</c15:sqref>
                        </c15:formulaRef>
                      </c:ext>
                    </c:extLst>
                    <c:numCache>
                      <c:formatCode>_(* #,##0.0_);_(* \(#,##0.0\);_(* "-"??_);_(@_)</c:formatCode>
                      <c:ptCount val="22"/>
                      <c:pt idx="0">
                        <c:v>-0.80464245655204536</c:v>
                      </c:pt>
                      <c:pt idx="1">
                        <c:v>-49.82850845949406</c:v>
                      </c:pt>
                      <c:pt idx="2">
                        <c:v>-215.66168988366394</c:v>
                      </c:pt>
                      <c:pt idx="3">
                        <c:v>-257.33204581206655</c:v>
                      </c:pt>
                      <c:pt idx="4">
                        <c:v>-183.56712027077538</c:v>
                      </c:pt>
                      <c:pt idx="5">
                        <c:v>-167.3263226388799</c:v>
                      </c:pt>
                      <c:pt idx="6">
                        <c:v>-210.26734657542329</c:v>
                      </c:pt>
                      <c:pt idx="7">
                        <c:v>-215.43070819839522</c:v>
                      </c:pt>
                      <c:pt idx="8">
                        <c:v>-218.58543757124608</c:v>
                      </c:pt>
                      <c:pt idx="9">
                        <c:v>-223.35921819866053</c:v>
                      </c:pt>
                      <c:pt idx="10">
                        <c:v>-222.26555024285153</c:v>
                      </c:pt>
                      <c:pt idx="11">
                        <c:v>-224.63748598999337</c:v>
                      </c:pt>
                      <c:pt idx="12">
                        <c:v>-223.20561002504837</c:v>
                      </c:pt>
                      <c:pt idx="13">
                        <c:v>-222.04040204937519</c:v>
                      </c:pt>
                      <c:pt idx="14">
                        <c:v>-223.23936882120142</c:v>
                      </c:pt>
                      <c:pt idx="15">
                        <c:v>-222.80176288036637</c:v>
                      </c:pt>
                      <c:pt idx="16">
                        <c:v>-222.23384766403433</c:v>
                      </c:pt>
                      <c:pt idx="17">
                        <c:v>-223.15603480002028</c:v>
                      </c:pt>
                      <c:pt idx="18">
                        <c:v>-219.52944786735497</c:v>
                      </c:pt>
                      <c:pt idx="19">
                        <c:v>-218.99494095138652</c:v>
                      </c:pt>
                      <c:pt idx="20">
                        <c:v>-215.42952169533419</c:v>
                      </c:pt>
                      <c:pt idx="21">
                        <c:v>-212.94632537540383</c:v>
                      </c:pt>
                    </c:numCache>
                  </c:numRef>
                </c:val>
                <c:smooth val="0"/>
                <c:extLst xmlns:c15="http://schemas.microsoft.com/office/drawing/2012/chart">
                  <c:ext xmlns:c16="http://schemas.microsoft.com/office/drawing/2014/chart" uri="{C3380CC4-5D6E-409C-BE32-E72D297353CC}">
                    <c16:uniqueId val="{00000005-17FF-4211-AEF9-5EB9D7200364}"/>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'LRM Adj'!$D$25</c15:sqref>
                        </c15:formulaRef>
                      </c:ext>
                    </c:extLst>
                    <c:strCache>
                      <c:ptCount val="1"/>
                      <c:pt idx="0">
                        <c:v>0</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'LRM Adj'!$E$20:$Z$20</c15:sqref>
                        </c15:formulaRef>
                      </c:ext>
                    </c:extLst>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extLst xmlns:c15="http://schemas.microsoft.com/office/drawing/2012/chart">
                      <c:ext xmlns:c15="http://schemas.microsoft.com/office/drawing/2012/chart" uri="{02D57815-91ED-43cb-92C2-25804820EDAC}">
                        <c15:formulaRef>
                          <c15:sqref>'LRM Adj'!$E$25:$Z$25</c15:sqref>
                        </c15:formulaRef>
                      </c:ext>
                    </c:extLst>
                    <c:numCache>
                      <c:formatCode>_(* #,##0.0_);_(* \(#,##0.0\);_(* "-"??_);_(@_)</c:formatCode>
                      <c:ptCount val="22"/>
                      <c:pt idx="0">
                        <c:v>-66.732886090912928</c:v>
                      </c:pt>
                      <c:pt idx="1">
                        <c:v>-49.65589921385947</c:v>
                      </c:pt>
                      <c:pt idx="2">
                        <c:v>-630.1032775066667</c:v>
                      </c:pt>
                      <c:pt idx="3">
                        <c:v>-1222.935718165219</c:v>
                      </c:pt>
                      <c:pt idx="4">
                        <c:v>-1376.8894622284042</c:v>
                      </c:pt>
                      <c:pt idx="5">
                        <c:v>-1255.2810532287858</c:v>
                      </c:pt>
                      <c:pt idx="6">
                        <c:v>-963.95164805137119</c:v>
                      </c:pt>
                      <c:pt idx="7">
                        <c:v>-640.39689577932768</c:v>
                      </c:pt>
                      <c:pt idx="8">
                        <c:v>-432.57384496262421</c:v>
                      </c:pt>
                      <c:pt idx="9">
                        <c:v>-348.95292722787053</c:v>
                      </c:pt>
                      <c:pt idx="10">
                        <c:v>-297.63523729063672</c:v>
                      </c:pt>
                      <c:pt idx="11">
                        <c:v>-259.40606930843387</c:v>
                      </c:pt>
                      <c:pt idx="12">
                        <c:v>-266.9192172249459</c:v>
                      </c:pt>
                      <c:pt idx="13">
                        <c:v>-245.88963944762327</c:v>
                      </c:pt>
                      <c:pt idx="14">
                        <c:v>-232.88941155543216</c:v>
                      </c:pt>
                      <c:pt idx="15">
                        <c:v>-227.98686717586861</c:v>
                      </c:pt>
                      <c:pt idx="16">
                        <c:v>-226.16615147520679</c:v>
                      </c:pt>
                      <c:pt idx="17">
                        <c:v>-227.29194284203732</c:v>
                      </c:pt>
                      <c:pt idx="18">
                        <c:v>-223.9567200072961</c:v>
                      </c:pt>
                      <c:pt idx="19">
                        <c:v>-223.36570693541216</c:v>
                      </c:pt>
                      <c:pt idx="20">
                        <c:v>-219.66210994927133</c:v>
                      </c:pt>
                      <c:pt idx="21">
                        <c:v>-1168.6711458317886</c:v>
                      </c:pt>
                    </c:numCache>
                  </c:numRef>
                </c:val>
                <c:smooth val="0"/>
                <c:extLst xmlns:c15="http://schemas.microsoft.com/office/drawing/2012/chart">
                  <c:ext xmlns:c16="http://schemas.microsoft.com/office/drawing/2014/chart" uri="{C3380CC4-5D6E-409C-BE32-E72D297353CC}">
                    <c16:uniqueId val="{00000006-17FF-4211-AEF9-5EB9D7200364}"/>
                  </c:ext>
                </c:extLst>
              </c15:ser>
            </c15:filteredLineSeries>
            <c15:filteredLineSeries>
              <c15:ser>
                <c:idx val="7"/>
                <c:order val="6"/>
                <c:tx>
                  <c:strRef>
                    <c:extLst xmlns:c15="http://schemas.microsoft.com/office/drawing/2012/chart">
                      <c:ext xmlns:c15="http://schemas.microsoft.com/office/drawing/2012/chart" uri="{02D57815-91ED-43cb-92C2-25804820EDAC}">
                        <c15:formulaRef>
                          <c15:sqref>'LRM Adj'!$D$27</c15:sqref>
                        </c15:formulaRef>
                      </c:ext>
                    </c:extLst>
                    <c:strCache>
                      <c:ptCount val="1"/>
                      <c:pt idx="0">
                        <c:v>0</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'LRM Adj'!$E$20:$Z$20</c15:sqref>
                        </c15:formulaRef>
                      </c:ext>
                    </c:extLst>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extLst xmlns:c15="http://schemas.microsoft.com/office/drawing/2012/chart">
                      <c:ext xmlns:c15="http://schemas.microsoft.com/office/drawing/2012/chart" uri="{02D57815-91ED-43cb-92C2-25804820EDAC}">
                        <c15:formulaRef>
                          <c15:sqref>'LRM Adj'!$E$27:$Z$27</c15:sqref>
                        </c15:formulaRef>
                      </c:ext>
                    </c:extLst>
                    <c:numCache>
                      <c:formatCode>_(* #,##0.0_);_(* \(#,##0.0\);_(* "-"??_);_(@_)</c:formatCode>
                      <c:ptCount val="22"/>
                      <c:pt idx="0">
                        <c:v>-45.161813511520677</c:v>
                      </c:pt>
                      <c:pt idx="1">
                        <c:v>-191.16939644146964</c:v>
                      </c:pt>
                      <c:pt idx="2">
                        <c:v>-498.37665820218399</c:v>
                      </c:pt>
                      <c:pt idx="3">
                        <c:v>-687.92924282337708</c:v>
                      </c:pt>
                      <c:pt idx="4">
                        <c:v>-763.31379241105151</c:v>
                      </c:pt>
                      <c:pt idx="5">
                        <c:v>-842.54325755575974</c:v>
                      </c:pt>
                      <c:pt idx="6">
                        <c:v>-931.80218886253442</c:v>
                      </c:pt>
                      <c:pt idx="7">
                        <c:v>-964.77918010581107</c:v>
                      </c:pt>
                      <c:pt idx="8">
                        <c:v>-983.29596130338086</c:v>
                      </c:pt>
                      <c:pt idx="9">
                        <c:v>-1000.692504713008</c:v>
                      </c:pt>
                      <c:pt idx="10">
                        <c:v>-1011.3276897798642</c:v>
                      </c:pt>
                      <c:pt idx="11">
                        <c:v>-1017.77580347609</c:v>
                      </c:pt>
                      <c:pt idx="12">
                        <c:v>-1028.8292780100674</c:v>
                      </c:pt>
                      <c:pt idx="13">
                        <c:v>-1029.4285180433435</c:v>
                      </c:pt>
                      <c:pt idx="14">
                        <c:v>-1030.2017170859726</c:v>
                      </c:pt>
                      <c:pt idx="15">
                        <c:v>-1029.142669994575</c:v>
                      </c:pt>
                      <c:pt idx="16">
                        <c:v>-1026.9581387761009</c:v>
                      </c:pt>
                      <c:pt idx="17">
                        <c:v>-1028.4429359844253</c:v>
                      </c:pt>
                      <c:pt idx="18">
                        <c:v>-1010.0147974563533</c:v>
                      </c:pt>
                      <c:pt idx="19">
                        <c:v>-1009.8853731243344</c:v>
                      </c:pt>
                      <c:pt idx="20">
                        <c:v>-1005.3444647153883</c:v>
                      </c:pt>
                      <c:pt idx="21">
                        <c:v>-1003.2877171771779</c:v>
                      </c:pt>
                    </c:numCache>
                  </c:numRef>
                </c:val>
                <c:smooth val="0"/>
                <c:extLst xmlns:c15="http://schemas.microsoft.com/office/drawing/2012/chart">
                  <c:ext xmlns:c16="http://schemas.microsoft.com/office/drawing/2014/chart" uri="{C3380CC4-5D6E-409C-BE32-E72D297353CC}">
                    <c16:uniqueId val="{00000007-17FF-4211-AEF9-5EB9D7200364}"/>
                  </c:ext>
                </c:extLst>
              </c15:ser>
            </c15:filteredLineSeries>
            <c15:filteredLineSeries>
              <c15:ser>
                <c:idx val="9"/>
                <c:order val="7"/>
                <c:tx>
                  <c:strRef>
                    <c:extLst xmlns:c15="http://schemas.microsoft.com/office/drawing/2012/chart">
                      <c:ext xmlns:c15="http://schemas.microsoft.com/office/drawing/2012/chart" uri="{02D57815-91ED-43cb-92C2-25804820EDAC}">
                        <c15:formulaRef>
                          <c15:sqref>'LRM Adj'!$D$29</c15:sqref>
                        </c15:formulaRef>
                      </c:ext>
                    </c:extLst>
                    <c:strCache>
                      <c:ptCount val="1"/>
                      <c:pt idx="0">
                        <c:v>0</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'LRM Adj'!$E$20:$Z$20</c15:sqref>
                        </c15:formulaRef>
                      </c:ext>
                    </c:extLst>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extLst xmlns:c15="http://schemas.microsoft.com/office/drawing/2012/chart">
                      <c:ext xmlns:c15="http://schemas.microsoft.com/office/drawing/2012/chart" uri="{02D57815-91ED-43cb-92C2-25804820EDAC}">
                        <c15:formulaRef>
                          <c15:sqref>'LRM Adj'!$E$29:$Z$29</c15:sqref>
                        </c15:formulaRef>
                      </c:ext>
                    </c:extLst>
                    <c:numCache>
                      <c:formatCode>_(* #,##0.0_);_(* \(#,##0.0\);_(* "-"??_);_(@_)</c:formatCode>
                      <c:ptCount val="22"/>
                      <c:pt idx="0">
                        <c:v>-0.36435003491197904</c:v>
                      </c:pt>
                      <c:pt idx="1">
                        <c:v>-6.8140525289708194</c:v>
                      </c:pt>
                      <c:pt idx="2">
                        <c:v>-699.50624739057912</c:v>
                      </c:pt>
                      <c:pt idx="3">
                        <c:v>-1680.8271118214261</c:v>
                      </c:pt>
                      <c:pt idx="4">
                        <c:v>-2633.2511808695053</c:v>
                      </c:pt>
                      <c:pt idx="5">
                        <c:v>-3446.6915129271338</c:v>
                      </c:pt>
                      <c:pt idx="6">
                        <c:v>-4060.9090539752842</c:v>
                      </c:pt>
                      <c:pt idx="7">
                        <c:v>-4366.6013620467575</c:v>
                      </c:pt>
                      <c:pt idx="8">
                        <c:v>-4500.6977991784761</c:v>
                      </c:pt>
                      <c:pt idx="9">
                        <c:v>-4588.625018967442</c:v>
                      </c:pt>
                      <c:pt idx="10">
                        <c:v>-4654.7310845969114</c:v>
                      </c:pt>
                      <c:pt idx="11">
                        <c:v>-4690.5647878026739</c:v>
                      </c:pt>
                      <c:pt idx="12">
                        <c:v>-4742.232726985937</c:v>
                      </c:pt>
                      <c:pt idx="13">
                        <c:v>-4755.8773345858999</c:v>
                      </c:pt>
                      <c:pt idx="14">
                        <c:v>-4763.2872341853208</c:v>
                      </c:pt>
                      <c:pt idx="15">
                        <c:v>-4764.1510265014304</c:v>
                      </c:pt>
                      <c:pt idx="16">
                        <c:v>-4764.5355159842056</c:v>
                      </c:pt>
                      <c:pt idx="17">
                        <c:v>-4770.4249786136961</c:v>
                      </c:pt>
                      <c:pt idx="18">
                        <c:v>-4692.7774931356716</c:v>
                      </c:pt>
                      <c:pt idx="19">
                        <c:v>-4699.7127207839767</c:v>
                      </c:pt>
                      <c:pt idx="20">
                        <c:v>-4699.7127207839767</c:v>
                      </c:pt>
                      <c:pt idx="21">
                        <c:v>-4699.7127207839767</c:v>
                      </c:pt>
                    </c:numCache>
                  </c:numRef>
                </c:val>
                <c:smooth val="0"/>
                <c:extLst xmlns:c15="http://schemas.microsoft.com/office/drawing/2012/chart">
                  <c:ext xmlns:c16="http://schemas.microsoft.com/office/drawing/2014/chart" uri="{C3380CC4-5D6E-409C-BE32-E72D297353CC}">
                    <c16:uniqueId val="{00000008-17FF-4211-AEF9-5EB9D7200364}"/>
                  </c:ext>
                </c:extLst>
              </c15:ser>
            </c15:filteredLineSeries>
            <c15:filteredLineSeries>
              <c15:ser>
                <c:idx val="6"/>
                <c:order val="9"/>
                <c:tx>
                  <c:strRef>
                    <c:extLst xmlns:c15="http://schemas.microsoft.com/office/drawing/2012/chart">
                      <c:ext xmlns:c15="http://schemas.microsoft.com/office/drawing/2012/chart" uri="{02D57815-91ED-43cb-92C2-25804820EDAC}">
                        <c15:formulaRef>
                          <c15:sqref>'LRM Adj'!$D$26</c15:sqref>
                        </c15:formulaRef>
                      </c:ext>
                    </c:extLst>
                    <c:strCache>
                      <c:ptCount val="1"/>
                      <c:pt idx="0">
                        <c:v>0</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'LRM Adj'!$E$20:$Z$20</c15:sqref>
                        </c15:formulaRef>
                      </c:ext>
                    </c:extLst>
                    <c:numCache>
                      <c:formatCode>General</c:formatCode>
                      <c:ptCount val="22"/>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numCache>
                  </c:numRef>
                </c:cat>
                <c:val>
                  <c:numRef>
                    <c:extLst xmlns:c15="http://schemas.microsoft.com/office/drawing/2012/chart">
                      <c:ext xmlns:c15="http://schemas.microsoft.com/office/drawing/2012/chart" uri="{02D57815-91ED-43cb-92C2-25804820EDAC}">
                        <c15:formulaRef>
                          <c15:sqref>'LRM Adj'!$E$26:$Z$26</c15:sqref>
                        </c15:formulaRef>
                      </c:ext>
                    </c:extLst>
                    <c:numCache>
                      <c:formatCode>_(* #,##0.0_);_(* \(#,##0.0\);_(* "-"??_);_(@_)</c:formatCode>
                      <c:ptCount val="22"/>
                      <c:pt idx="0">
                        <c:v>-36.17059822073719</c:v>
                      </c:pt>
                      <c:pt idx="1">
                        <c:v>-116.40022462935144</c:v>
                      </c:pt>
                      <c:pt idx="2">
                        <c:v>-546.15950181592643</c:v>
                      </c:pt>
                      <c:pt idx="3">
                        <c:v>-1114.1805313831183</c:v>
                      </c:pt>
                      <c:pt idx="4">
                        <c:v>-1501.8718584589078</c:v>
                      </c:pt>
                      <c:pt idx="5">
                        <c:v>-1786.0411956210783</c:v>
                      </c:pt>
                      <c:pt idx="6">
                        <c:v>-2031.5474270759778</c:v>
                      </c:pt>
                      <c:pt idx="7">
                        <c:v>-2129.6814388274333</c:v>
                      </c:pt>
                      <c:pt idx="8">
                        <c:v>-2187.9383968595112</c:v>
                      </c:pt>
                      <c:pt idx="9">
                        <c:v>-2215.8091331958403</c:v>
                      </c:pt>
                      <c:pt idx="10">
                        <c:v>-2221.6509452853888</c:v>
                      </c:pt>
                      <c:pt idx="11">
                        <c:v>-2225.1774359951642</c:v>
                      </c:pt>
                      <c:pt idx="12">
                        <c:v>-2233.2214402234449</c:v>
                      </c:pt>
                      <c:pt idx="13">
                        <c:v>-2238.205999793945</c:v>
                      </c:pt>
                      <c:pt idx="14">
                        <c:v>-2242.4868816300341</c:v>
                      </c:pt>
                      <c:pt idx="15">
                        <c:v>-2243.6156969095819</c:v>
                      </c:pt>
                      <c:pt idx="16">
                        <c:v>-2243.3437179900175</c:v>
                      </c:pt>
                      <c:pt idx="17">
                        <c:v>-2247.1657661670915</c:v>
                      </c:pt>
                      <c:pt idx="18">
                        <c:v>-2210.3819541524408</c:v>
                      </c:pt>
                      <c:pt idx="19">
                        <c:v>-2213.7967685350977</c:v>
                      </c:pt>
                      <c:pt idx="20">
                        <c:v>-2211.6889308493701</c:v>
                      </c:pt>
                      <c:pt idx="21">
                        <c:v>-2210.214550782418</c:v>
                      </c:pt>
                    </c:numCache>
                  </c:numRef>
                </c:val>
                <c:smooth val="0"/>
                <c:extLst xmlns:c15="http://schemas.microsoft.com/office/drawing/2012/chart">
                  <c:ext xmlns:c16="http://schemas.microsoft.com/office/drawing/2014/chart" uri="{C3380CC4-5D6E-409C-BE32-E72D297353CC}">
                    <c16:uniqueId val="{00000009-17FF-4211-AEF9-5EB9D7200364}"/>
                  </c:ext>
                </c:extLst>
              </c15:ser>
            </c15:filteredLineSeries>
          </c:ext>
        </c:extLst>
      </c:lineChart>
      <c:dateAx>
        <c:axId val="101414886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148383"/>
        <c:crosses val="autoZero"/>
        <c:auto val="0"/>
        <c:lblOffset val="100"/>
        <c:baseTimeUnit val="days"/>
      </c:dateAx>
      <c:valAx>
        <c:axId val="1014148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Difference from B2026 Forecast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14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5"/>
          <c:order val="0"/>
          <c:tx>
            <c:strRef>
              <c:f>Summary!$C$3</c:f>
              <c:strCache>
                <c:ptCount val="1"/>
                <c:pt idx="0">
                  <c:v>B2026</c:v>
                </c:pt>
              </c:strCache>
            </c:strRef>
          </c:tx>
          <c:spPr>
            <a:ln w="28575" cap="rnd">
              <a:solidFill>
                <a:schemeClr val="accent6"/>
              </a:solidFill>
              <a:round/>
            </a:ln>
            <a:effectLst/>
          </c:spPr>
          <c:marker>
            <c:symbol val="none"/>
          </c:marker>
          <c:cat>
            <c:numRef>
              <c:f>Summary!$D$2:$W$2</c:f>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f>Summary!$D$3:$W$3</c:f>
              <c:numCache>
                <c:formatCode>#,##0</c:formatCode>
                <c:ptCount val="20"/>
                <c:pt idx="0">
                  <c:v>17288</c:v>
                </c:pt>
                <c:pt idx="1">
                  <c:v>18151.333889217694</c:v>
                </c:pt>
                <c:pt idx="2">
                  <c:v>19796.24631176476</c:v>
                </c:pt>
                <c:pt idx="3">
                  <c:v>22100.787950090933</c:v>
                </c:pt>
                <c:pt idx="4">
                  <c:v>24229.433779892963</c:v>
                </c:pt>
                <c:pt idx="5">
                  <c:v>25844.558668898484</c:v>
                </c:pt>
                <c:pt idx="6">
                  <c:v>26979.33601927611</c:v>
                </c:pt>
                <c:pt idx="7">
                  <c:v>27554.473273222487</c:v>
                </c:pt>
                <c:pt idx="8">
                  <c:v>28006.863342621604</c:v>
                </c:pt>
                <c:pt idx="9">
                  <c:v>28312.008781627777</c:v>
                </c:pt>
                <c:pt idx="10">
                  <c:v>28498.798644347313</c:v>
                </c:pt>
                <c:pt idx="11">
                  <c:v>28587.953465878025</c:v>
                </c:pt>
                <c:pt idx="12">
                  <c:v>28819.655895288506</c:v>
                </c:pt>
                <c:pt idx="13">
                  <c:v>29043.218883654761</c:v>
                </c:pt>
                <c:pt idx="14">
                  <c:v>29273.135179881439</c:v>
                </c:pt>
                <c:pt idx="15">
                  <c:v>29413.65050699819</c:v>
                </c:pt>
                <c:pt idx="16">
                  <c:v>29670.524393602827</c:v>
                </c:pt>
                <c:pt idx="17">
                  <c:v>29900.149759903587</c:v>
                </c:pt>
                <c:pt idx="18">
                  <c:v>30261.421556362933</c:v>
                </c:pt>
                <c:pt idx="19">
                  <c:v>30731.51042252134</c:v>
                </c:pt>
              </c:numCache>
            </c:numRef>
          </c:val>
          <c:smooth val="0"/>
          <c:extLst>
            <c:ext xmlns:c16="http://schemas.microsoft.com/office/drawing/2014/chart" uri="{C3380CC4-5D6E-409C-BE32-E72D297353CC}">
              <c16:uniqueId val="{00000000-8A40-4710-AB22-AFC1A1E3770E}"/>
            </c:ext>
          </c:extLst>
        </c:ser>
        <c:ser>
          <c:idx val="1"/>
          <c:order val="2"/>
          <c:tx>
            <c:strRef>
              <c:f>Summary!$C$4</c:f>
              <c:strCache>
                <c:ptCount val="1"/>
                <c:pt idx="0">
                  <c:v>Scenario 1</c:v>
                </c:pt>
              </c:strCache>
            </c:strRef>
          </c:tx>
          <c:spPr>
            <a:ln w="28575" cap="rnd">
              <a:solidFill>
                <a:schemeClr val="accent2"/>
              </a:solidFill>
              <a:round/>
            </a:ln>
            <a:effectLst/>
          </c:spPr>
          <c:marker>
            <c:symbol val="none"/>
          </c:marker>
          <c:cat>
            <c:numRef>
              <c:f>Summary!$D$2:$W$2</c:f>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f>Summary!$D$4:$W$4</c:f>
              <c:numCache>
                <c:formatCode>#,##0</c:formatCode>
                <c:ptCount val="20"/>
                <c:pt idx="0">
                  <c:v>17287.41725909464</c:v>
                </c:pt>
                <c:pt idx="1">
                  <c:v>18146.632163942173</c:v>
                </c:pt>
                <c:pt idx="2">
                  <c:v>19308.905798719381</c:v>
                </c:pt>
                <c:pt idx="3">
                  <c:v>20427.837033853553</c:v>
                </c:pt>
                <c:pt idx="4">
                  <c:v>21420.819407621813</c:v>
                </c:pt>
                <c:pt idx="5">
                  <c:v>22063.923225284598</c:v>
                </c:pt>
                <c:pt idx="6">
                  <c:v>22473.514370950525</c:v>
                </c:pt>
                <c:pt idx="7">
                  <c:v>22671.773187806219</c:v>
                </c:pt>
                <c:pt idx="8">
                  <c:v>22930.133882374124</c:v>
                </c:pt>
                <c:pt idx="9">
                  <c:v>23100.21407521121</c:v>
                </c:pt>
                <c:pt idx="10">
                  <c:v>23216.730709839663</c:v>
                </c:pt>
                <c:pt idx="11">
                  <c:v>23269.388716745241</c:v>
                </c:pt>
                <c:pt idx="12">
                  <c:v>23440.190444566444</c:v>
                </c:pt>
                <c:pt idx="13">
                  <c:v>23648.428555785758</c:v>
                </c:pt>
                <c:pt idx="14">
                  <c:v>23870.716665126754</c:v>
                </c:pt>
                <c:pt idx="15">
                  <c:v>24010.898617213657</c:v>
                </c:pt>
                <c:pt idx="16">
                  <c:v>24267.852633440263</c:v>
                </c:pt>
                <c:pt idx="17">
                  <c:v>24491.573362659256</c:v>
                </c:pt>
                <c:pt idx="18">
                  <c:v>24941.386073116366</c:v>
                </c:pt>
                <c:pt idx="19">
                  <c:v>25404.118982948319</c:v>
                </c:pt>
              </c:numCache>
            </c:numRef>
          </c:val>
          <c:smooth val="0"/>
          <c:extLst>
            <c:ext xmlns:c16="http://schemas.microsoft.com/office/drawing/2014/chart" uri="{C3380CC4-5D6E-409C-BE32-E72D297353CC}">
              <c16:uniqueId val="{00000001-8A40-4710-AB22-AFC1A1E3770E}"/>
            </c:ext>
          </c:extLst>
        </c:ser>
        <c:ser>
          <c:idx val="3"/>
          <c:order val="4"/>
          <c:tx>
            <c:strRef>
              <c:f>Summary!$C$6</c:f>
              <c:strCache>
                <c:ptCount val="1"/>
                <c:pt idx="0">
                  <c:v>Scenario 2</c:v>
                </c:pt>
              </c:strCache>
            </c:strRef>
          </c:tx>
          <c:spPr>
            <a:ln w="28575" cap="rnd">
              <a:solidFill>
                <a:schemeClr val="accent4"/>
              </a:solidFill>
              <a:round/>
            </a:ln>
            <a:effectLst/>
          </c:spPr>
          <c:marker>
            <c:symbol val="none"/>
          </c:marker>
          <c:cat>
            <c:numRef>
              <c:f>Summary!$D$2:$W$2</c:f>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f>Summary!$D$6:$W$6</c:f>
              <c:numCache>
                <c:formatCode>#,##0</c:formatCode>
                <c:ptCount val="20"/>
                <c:pt idx="0">
                  <c:v>17207.843848368411</c:v>
                </c:pt>
                <c:pt idx="1">
                  <c:v>17895.456559762784</c:v>
                </c:pt>
                <c:pt idx="2">
                  <c:v>18971.961572983233</c:v>
                </c:pt>
                <c:pt idx="3">
                  <c:v>20556.926608708534</c:v>
                </c:pt>
                <c:pt idx="4">
                  <c:v>22155.213344503692</c:v>
                </c:pt>
                <c:pt idx="5">
                  <c:v>23391.288668550736</c:v>
                </c:pt>
                <c:pt idx="6">
                  <c:v>24237.173808514137</c:v>
                </c:pt>
                <c:pt idx="7">
                  <c:v>24689.487562076658</c:v>
                </c:pt>
                <c:pt idx="8">
                  <c:v>25073.23618665701</c:v>
                </c:pt>
                <c:pt idx="9">
                  <c:v>25336.297765988729</c:v>
                </c:pt>
                <c:pt idx="10">
                  <c:v>25505.254639634302</c:v>
                </c:pt>
                <c:pt idx="11">
                  <c:v>25584.065685443886</c:v>
                </c:pt>
                <c:pt idx="12">
                  <c:v>25795.99665839431</c:v>
                </c:pt>
                <c:pt idx="13">
                  <c:v>26013.903775691873</c:v>
                </c:pt>
                <c:pt idx="14">
                  <c:v>26239.431003333983</c:v>
                </c:pt>
                <c:pt idx="15">
                  <c:v>26379.974012206112</c:v>
                </c:pt>
                <c:pt idx="16">
                  <c:v>26637.655168017947</c:v>
                </c:pt>
                <c:pt idx="17">
                  <c:v>26863.601489375542</c:v>
                </c:pt>
                <c:pt idx="18">
                  <c:v>27275.290026747738</c:v>
                </c:pt>
                <c:pt idx="19">
                  <c:v>27741.565172394352</c:v>
                </c:pt>
              </c:numCache>
            </c:numRef>
          </c:val>
          <c:smooth val="0"/>
          <c:extLst>
            <c:ext xmlns:c16="http://schemas.microsoft.com/office/drawing/2014/chart" uri="{C3380CC4-5D6E-409C-BE32-E72D297353CC}">
              <c16:uniqueId val="{00000002-8A40-4710-AB22-AFC1A1E3770E}"/>
            </c:ext>
          </c:extLst>
        </c:ser>
        <c:dLbls>
          <c:showLegendKey val="0"/>
          <c:showVal val="0"/>
          <c:showCatName val="0"/>
          <c:showSerName val="0"/>
          <c:showPercent val="0"/>
          <c:showBubbleSize val="0"/>
        </c:dLbls>
        <c:smooth val="0"/>
        <c:axId val="316028128"/>
        <c:axId val="316041088"/>
        <c:extLst>
          <c:ext xmlns:c15="http://schemas.microsoft.com/office/drawing/2012/chart" uri="{02D57815-91ED-43cb-92C2-25804820EDAC}">
            <c15:filteredLineSeries>
              <c15:ser>
                <c:idx val="0"/>
                <c:order val="1"/>
                <c:tx>
                  <c:strRef>
                    <c:extLst>
                      <c:ext uri="{02D57815-91ED-43cb-92C2-25804820EDAC}">
                        <c15:formulaRef>
                          <c15:sqref>Summary!$C$2</c15:sqref>
                        </c15:formulaRef>
                      </c:ext>
                    </c:extLst>
                    <c:strCache>
                      <c:ptCount val="1"/>
                      <c:pt idx="0">
                        <c:v>Scenario</c:v>
                      </c:pt>
                    </c:strCache>
                  </c:strRef>
                </c:tx>
                <c:spPr>
                  <a:ln w="28575" cap="rnd">
                    <a:solidFill>
                      <a:schemeClr val="accent1"/>
                    </a:solidFill>
                    <a:round/>
                  </a:ln>
                  <a:effectLst/>
                </c:spPr>
                <c:marker>
                  <c:symbol val="none"/>
                </c:marker>
                <c:cat>
                  <c:numRef>
                    <c:extLst>
                      <c:ext uri="{02D57815-91ED-43cb-92C2-25804820EDAC}">
                        <c15:formulaRef>
                          <c15:sqref>Summary!$D$2:$W$2</c15:sqref>
                        </c15:formulaRef>
                      </c:ext>
                    </c:extLst>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extLst>
                      <c:ext uri="{02D57815-91ED-43cb-92C2-25804820EDAC}">
                        <c15:formulaRef>
                          <c15:sqref>Summary!$D$2:$W$2</c15:sqref>
                        </c15:formulaRef>
                      </c:ext>
                    </c:extLst>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val>
                <c:smooth val="0"/>
                <c:extLst>
                  <c:ext xmlns:c16="http://schemas.microsoft.com/office/drawing/2014/chart" uri="{C3380CC4-5D6E-409C-BE32-E72D297353CC}">
                    <c16:uniqueId val="{00000003-8A40-4710-AB22-AFC1A1E3770E}"/>
                  </c:ext>
                </c:extLst>
              </c15:ser>
            </c15:filteredLineSeries>
            <c15:filteredLineSeries>
              <c15:ser>
                <c:idx val="2"/>
                <c:order val="3"/>
                <c:tx>
                  <c:strRef>
                    <c:extLst xmlns:c15="http://schemas.microsoft.com/office/drawing/2012/chart">
                      <c:ext xmlns:c15="http://schemas.microsoft.com/office/drawing/2012/chart" uri="{02D57815-91ED-43cb-92C2-25804820EDAC}">
                        <c15:formulaRef>
                          <c15:sqref>Summary!$C$5</c15:sqref>
                        </c15:formulaRef>
                      </c:ext>
                    </c:extLst>
                    <c:strCache>
                      <c:ptCount val="1"/>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Summary!$D$2:$W$2</c15:sqref>
                        </c15:formulaRef>
                      </c:ext>
                    </c:extLst>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extLst xmlns:c15="http://schemas.microsoft.com/office/drawing/2012/chart">
                      <c:ext xmlns:c15="http://schemas.microsoft.com/office/drawing/2012/chart" uri="{02D57815-91ED-43cb-92C2-25804820EDAC}">
                        <c15:formulaRef>
                          <c15:sqref>Summary!$D$5:$W$5</c15:sqref>
                        </c15:formulaRef>
                      </c:ext>
                    </c:extLst>
                    <c:numCache>
                      <c:formatCode>#,##0</c:formatCode>
                      <c:ptCount val="20"/>
                      <c:pt idx="0">
                        <c:v>17287.635649965086</c:v>
                      </c:pt>
                      <c:pt idx="1">
                        <c:v>18144.519836688723</c:v>
                      </c:pt>
                      <c:pt idx="2">
                        <c:v>19096.740064374182</c:v>
                      </c:pt>
                      <c:pt idx="3">
                        <c:v>20419.960838269508</c:v>
                      </c:pt>
                      <c:pt idx="4">
                        <c:v>21596.182599023457</c:v>
                      </c:pt>
                      <c:pt idx="5">
                        <c:v>22397.867155971351</c:v>
                      </c:pt>
                      <c:pt idx="6">
                        <c:v>22918.426965300827</c:v>
                      </c:pt>
                      <c:pt idx="7">
                        <c:v>23187.871911175731</c:v>
                      </c:pt>
                      <c:pt idx="8">
                        <c:v>23506.165543443127</c:v>
                      </c:pt>
                      <c:pt idx="9">
                        <c:v>23723.383762660334</c:v>
                      </c:pt>
                      <c:pt idx="10">
                        <c:v>23844.067559750401</c:v>
                      </c:pt>
                      <c:pt idx="11">
                        <c:v>23897.388678075353</c:v>
                      </c:pt>
                      <c:pt idx="12">
                        <c:v>24077.423168302568</c:v>
                      </c:pt>
                      <c:pt idx="13">
                        <c:v>24287.34154906886</c:v>
                      </c:pt>
                      <c:pt idx="14">
                        <c:v>24509.847945696118</c:v>
                      </c:pt>
                      <c:pt idx="15">
                        <c:v>24649.499480496761</c:v>
                      </c:pt>
                      <c:pt idx="16">
                        <c:v>24905.98887761862</c:v>
                      </c:pt>
                      <c:pt idx="17">
                        <c:v>25129.72478128989</c:v>
                      </c:pt>
                      <c:pt idx="18">
                        <c:v>25568.644063227261</c:v>
                      </c:pt>
                      <c:pt idx="19">
                        <c:v>26031.797701737363</c:v>
                      </c:pt>
                    </c:numCache>
                  </c:numRef>
                </c:val>
                <c:smooth val="0"/>
                <c:extLst xmlns:c15="http://schemas.microsoft.com/office/drawing/2012/chart">
                  <c:ext xmlns:c16="http://schemas.microsoft.com/office/drawing/2014/chart" uri="{C3380CC4-5D6E-409C-BE32-E72D297353CC}">
                    <c16:uniqueId val="{00000004-8A40-4710-AB22-AFC1A1E3770E}"/>
                  </c:ext>
                </c:extLst>
              </c15:ser>
            </c15:filteredLineSeries>
            <c15:filteredLineSeries>
              <c15:ser>
                <c:idx val="4"/>
                <c:order val="5"/>
                <c:tx>
                  <c:strRef>
                    <c:extLst xmlns:c15="http://schemas.microsoft.com/office/drawing/2012/chart">
                      <c:ext xmlns:c15="http://schemas.microsoft.com/office/drawing/2012/chart" uri="{02D57815-91ED-43cb-92C2-25804820EDAC}">
                        <c15:formulaRef>
                          <c15:sqref>Summary!$C$7</c15:sqref>
                        </c15:formulaRef>
                      </c:ext>
                    </c:extLst>
                    <c:strCache>
                      <c:ptCount val="1"/>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Summary!$D$2:$W$2</c15:sqref>
                        </c15:formulaRef>
                      </c:ext>
                    </c:extLst>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extLst xmlns:c15="http://schemas.microsoft.com/office/drawing/2012/chart">
                      <c:ext xmlns:c15="http://schemas.microsoft.com/office/drawing/2012/chart" uri="{02D57815-91ED-43cb-92C2-25804820EDAC}">
                        <c15:formulaRef>
                          <c15:sqref>Summary!$D$7:$W$7</c15:sqref>
                        </c15:formulaRef>
                      </c:ext>
                    </c:extLst>
                    <c:numCache>
                      <c:formatCode>#,##0</c:formatCode>
                      <c:ptCount val="20"/>
                      <c:pt idx="0">
                        <c:v>17251.829401779261</c:v>
                      </c:pt>
                      <c:pt idx="1">
                        <c:v>18034.933664588341</c:v>
                      </c:pt>
                      <c:pt idx="2">
                        <c:v>19250.086809948833</c:v>
                      </c:pt>
                      <c:pt idx="3">
                        <c:v>20986.607418707816</c:v>
                      </c:pt>
                      <c:pt idx="4">
                        <c:v>22727.561921434055</c:v>
                      </c:pt>
                      <c:pt idx="5">
                        <c:v>24058.517473277407</c:v>
                      </c:pt>
                      <c:pt idx="6">
                        <c:v>24947.788592200133</c:v>
                      </c:pt>
                      <c:pt idx="7">
                        <c:v>25424.791834395055</c:v>
                      </c:pt>
                      <c:pt idx="8">
                        <c:v>25818.924945762094</c:v>
                      </c:pt>
                      <c:pt idx="9">
                        <c:v>26096.199648431939</c:v>
                      </c:pt>
                      <c:pt idx="10">
                        <c:v>26277.147699061923</c:v>
                      </c:pt>
                      <c:pt idx="11">
                        <c:v>26362.776029882862</c:v>
                      </c:pt>
                      <c:pt idx="12">
                        <c:v>26586.43445506506</c:v>
                      </c:pt>
                      <c:pt idx="13">
                        <c:v>26805.012883860814</c:v>
                      </c:pt>
                      <c:pt idx="14">
                        <c:v>27030.648298251406</c:v>
                      </c:pt>
                      <c:pt idx="15">
                        <c:v>27170.034810088608</c:v>
                      </c:pt>
                      <c:pt idx="16">
                        <c:v>27427.18067561281</c:v>
                      </c:pt>
                      <c:pt idx="17">
                        <c:v>27652.983993736496</c:v>
                      </c:pt>
                      <c:pt idx="18">
                        <c:v>28051.039602210491</c:v>
                      </c:pt>
                      <c:pt idx="19">
                        <c:v>28517.71365398624</c:v>
                      </c:pt>
                    </c:numCache>
                  </c:numRef>
                </c:val>
                <c:smooth val="0"/>
                <c:extLst xmlns:c15="http://schemas.microsoft.com/office/drawing/2012/chart">
                  <c:ext xmlns:c16="http://schemas.microsoft.com/office/drawing/2014/chart" uri="{C3380CC4-5D6E-409C-BE32-E72D297353CC}">
                    <c16:uniqueId val="{00000005-8A40-4710-AB22-AFC1A1E3770E}"/>
                  </c:ext>
                </c:extLst>
              </c15:ser>
            </c15:filteredLineSeries>
          </c:ext>
        </c:extLst>
      </c:lineChart>
      <c:catAx>
        <c:axId val="31602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41088"/>
        <c:crosses val="autoZero"/>
        <c:auto val="1"/>
        <c:lblAlgn val="ctr"/>
        <c:lblOffset val="100"/>
        <c:noMultiLvlLbl val="0"/>
      </c:catAx>
      <c:valAx>
        <c:axId val="316041088"/>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Summer Peak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2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5"/>
          <c:order val="0"/>
          <c:tx>
            <c:strRef>
              <c:f>Summary!$C$10</c:f>
              <c:strCache>
                <c:ptCount val="1"/>
                <c:pt idx="0">
                  <c:v>B2026</c:v>
                </c:pt>
              </c:strCache>
            </c:strRef>
          </c:tx>
          <c:spPr>
            <a:ln w="28575" cap="rnd">
              <a:solidFill>
                <a:schemeClr val="accent6"/>
              </a:solidFill>
              <a:round/>
            </a:ln>
            <a:effectLst/>
          </c:spPr>
          <c:marker>
            <c:symbol val="none"/>
          </c:marker>
          <c:cat>
            <c:numRef>
              <c:f>Summary!$D$9:$W$9</c:f>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f>Summary!$D$10:$W$10</c:f>
              <c:numCache>
                <c:formatCode>#,##0</c:formatCode>
                <c:ptCount val="20"/>
                <c:pt idx="0">
                  <c:v>16063</c:v>
                </c:pt>
                <c:pt idx="1">
                  <c:v>16616.972843894669</c:v>
                </c:pt>
                <c:pt idx="2">
                  <c:v>17506.906168461315</c:v>
                </c:pt>
                <c:pt idx="3">
                  <c:v>19716.700437318439</c:v>
                </c:pt>
                <c:pt idx="4">
                  <c:v>21974.898042177992</c:v>
                </c:pt>
                <c:pt idx="5">
                  <c:v>23700.718751758835</c:v>
                </c:pt>
                <c:pt idx="6">
                  <c:v>25064.886935139417</c:v>
                </c:pt>
                <c:pt idx="7">
                  <c:v>25783.226203934195</c:v>
                </c:pt>
                <c:pt idx="8">
                  <c:v>26273.157752475534</c:v>
                </c:pt>
                <c:pt idx="9">
                  <c:v>26569.537729945612</c:v>
                </c:pt>
                <c:pt idx="10">
                  <c:v>26774.924329744539</c:v>
                </c:pt>
                <c:pt idx="11">
                  <c:v>26863.112736159786</c:v>
                </c:pt>
                <c:pt idx="12">
                  <c:v>27075.40031556306</c:v>
                </c:pt>
                <c:pt idx="13">
                  <c:v>27273.359662448915</c:v>
                </c:pt>
                <c:pt idx="14">
                  <c:v>27431.012385804795</c:v>
                </c:pt>
                <c:pt idx="15">
                  <c:v>27543.613896151553</c:v>
                </c:pt>
                <c:pt idx="16">
                  <c:v>27925.08905488563</c:v>
                </c:pt>
                <c:pt idx="17">
                  <c:v>28327.398642525288</c:v>
                </c:pt>
                <c:pt idx="18">
                  <c:v>28768.940903861265</c:v>
                </c:pt>
                <c:pt idx="19">
                  <c:v>29189.296187296371</c:v>
                </c:pt>
              </c:numCache>
            </c:numRef>
          </c:val>
          <c:smooth val="0"/>
          <c:extLst>
            <c:ext xmlns:c16="http://schemas.microsoft.com/office/drawing/2014/chart" uri="{C3380CC4-5D6E-409C-BE32-E72D297353CC}">
              <c16:uniqueId val="{00000000-C6EC-4B29-A4C9-C20321A783CB}"/>
            </c:ext>
          </c:extLst>
        </c:ser>
        <c:ser>
          <c:idx val="1"/>
          <c:order val="2"/>
          <c:tx>
            <c:strRef>
              <c:f>Summary!$C$11</c:f>
              <c:strCache>
                <c:ptCount val="1"/>
                <c:pt idx="0">
                  <c:v>Scenario 1</c:v>
                </c:pt>
              </c:strCache>
            </c:strRef>
          </c:tx>
          <c:spPr>
            <a:ln w="28575" cap="rnd">
              <a:solidFill>
                <a:schemeClr val="accent2"/>
              </a:solidFill>
              <a:round/>
            </a:ln>
            <a:effectLst/>
          </c:spPr>
          <c:marker>
            <c:symbol val="none"/>
          </c:marker>
          <c:cat>
            <c:numRef>
              <c:f>Summary!$D$9:$W$9</c:f>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f>Summary!$D$11:$W$11</c:f>
              <c:numCache>
                <c:formatCode>#,##0</c:formatCode>
                <c:ptCount val="20"/>
                <c:pt idx="0">
                  <c:v>16062.417259094642</c:v>
                </c:pt>
                <c:pt idx="1">
                  <c:v>16612.271118619148</c:v>
                </c:pt>
                <c:pt idx="2">
                  <c:v>17019.565655415936</c:v>
                </c:pt>
                <c:pt idx="3">
                  <c:v>18043.749521081059</c:v>
                </c:pt>
                <c:pt idx="4">
                  <c:v>19166.283669906843</c:v>
                </c:pt>
                <c:pt idx="5">
                  <c:v>19920.083308144945</c:v>
                </c:pt>
                <c:pt idx="6">
                  <c:v>20559.065286813831</c:v>
                </c:pt>
                <c:pt idx="7">
                  <c:v>20900.526118517926</c:v>
                </c:pt>
                <c:pt idx="8">
                  <c:v>21196.428292228054</c:v>
                </c:pt>
                <c:pt idx="9">
                  <c:v>21357.743023529045</c:v>
                </c:pt>
                <c:pt idx="10">
                  <c:v>21492.856395236886</c:v>
                </c:pt>
                <c:pt idx="11">
                  <c:v>21544.547987026999</c:v>
                </c:pt>
                <c:pt idx="12">
                  <c:v>21695.934864840998</c:v>
                </c:pt>
                <c:pt idx="13">
                  <c:v>21878.569334579912</c:v>
                </c:pt>
                <c:pt idx="14">
                  <c:v>22028.59387105011</c:v>
                </c:pt>
                <c:pt idx="15">
                  <c:v>22140.862006367017</c:v>
                </c:pt>
                <c:pt idx="16">
                  <c:v>22522.417294723065</c:v>
                </c:pt>
                <c:pt idx="17">
                  <c:v>22918.822245280957</c:v>
                </c:pt>
                <c:pt idx="18">
                  <c:v>23448.905420614698</c:v>
                </c:pt>
                <c:pt idx="19">
                  <c:v>23861.904747723354</c:v>
                </c:pt>
              </c:numCache>
            </c:numRef>
          </c:val>
          <c:smooth val="0"/>
          <c:extLst>
            <c:ext xmlns:c16="http://schemas.microsoft.com/office/drawing/2014/chart" uri="{C3380CC4-5D6E-409C-BE32-E72D297353CC}">
              <c16:uniqueId val="{00000001-C6EC-4B29-A4C9-C20321A783CB}"/>
            </c:ext>
          </c:extLst>
        </c:ser>
        <c:ser>
          <c:idx val="3"/>
          <c:order val="4"/>
          <c:tx>
            <c:strRef>
              <c:f>Summary!$C$13</c:f>
              <c:strCache>
                <c:ptCount val="1"/>
                <c:pt idx="0">
                  <c:v>Scenario 2</c:v>
                </c:pt>
              </c:strCache>
            </c:strRef>
          </c:tx>
          <c:spPr>
            <a:ln w="28575" cap="rnd">
              <a:solidFill>
                <a:schemeClr val="accent4"/>
              </a:solidFill>
              <a:round/>
            </a:ln>
            <a:effectLst/>
          </c:spPr>
          <c:marker>
            <c:symbol val="none"/>
          </c:marker>
          <c:cat>
            <c:numRef>
              <c:f>Summary!$D$9:$W$9</c:f>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f>Summary!$D$13:$W$13</c:f>
              <c:numCache>
                <c:formatCode>#,##0</c:formatCode>
                <c:ptCount val="20"/>
                <c:pt idx="0">
                  <c:v>15982.843848368411</c:v>
                </c:pt>
                <c:pt idx="1">
                  <c:v>16361.095514439759</c:v>
                </c:pt>
                <c:pt idx="2">
                  <c:v>16682.621429679788</c:v>
                </c:pt>
                <c:pt idx="3">
                  <c:v>18172.83909593604</c:v>
                </c:pt>
                <c:pt idx="4">
                  <c:v>19900.677606788722</c:v>
                </c:pt>
                <c:pt idx="5">
                  <c:v>21247.448751411088</c:v>
                </c:pt>
                <c:pt idx="6">
                  <c:v>22322.724724377444</c:v>
                </c:pt>
                <c:pt idx="7">
                  <c:v>22918.240492788365</c:v>
                </c:pt>
                <c:pt idx="8">
                  <c:v>23339.53059651094</c:v>
                </c:pt>
                <c:pt idx="9">
                  <c:v>23593.826714306564</c:v>
                </c:pt>
                <c:pt idx="10">
                  <c:v>23781.380325031529</c:v>
                </c:pt>
                <c:pt idx="11">
                  <c:v>23859.224955725651</c:v>
                </c:pt>
                <c:pt idx="12">
                  <c:v>24051.741078668863</c:v>
                </c:pt>
                <c:pt idx="13">
                  <c:v>24244.044554486027</c:v>
                </c:pt>
                <c:pt idx="14">
                  <c:v>24397.308209257339</c:v>
                </c:pt>
                <c:pt idx="15">
                  <c:v>24509.937401359475</c:v>
                </c:pt>
                <c:pt idx="16">
                  <c:v>24892.219829300753</c:v>
                </c:pt>
                <c:pt idx="17">
                  <c:v>25290.850371997243</c:v>
                </c:pt>
                <c:pt idx="18">
                  <c:v>25782.80937424607</c:v>
                </c:pt>
                <c:pt idx="19">
                  <c:v>26199.350937169387</c:v>
                </c:pt>
              </c:numCache>
            </c:numRef>
          </c:val>
          <c:smooth val="0"/>
          <c:extLst>
            <c:ext xmlns:c16="http://schemas.microsoft.com/office/drawing/2014/chart" uri="{C3380CC4-5D6E-409C-BE32-E72D297353CC}">
              <c16:uniqueId val="{00000002-C6EC-4B29-A4C9-C20321A783CB}"/>
            </c:ext>
          </c:extLst>
        </c:ser>
        <c:dLbls>
          <c:showLegendKey val="0"/>
          <c:showVal val="0"/>
          <c:showCatName val="0"/>
          <c:showSerName val="0"/>
          <c:showPercent val="0"/>
          <c:showBubbleSize val="0"/>
        </c:dLbls>
        <c:smooth val="0"/>
        <c:axId val="765627919"/>
        <c:axId val="1534491888"/>
        <c:extLst>
          <c:ext xmlns:c15="http://schemas.microsoft.com/office/drawing/2012/chart" uri="{02D57815-91ED-43cb-92C2-25804820EDAC}">
            <c15:filteredLineSeries>
              <c15:ser>
                <c:idx val="0"/>
                <c:order val="1"/>
                <c:tx>
                  <c:strRef>
                    <c:extLst>
                      <c:ext uri="{02D57815-91ED-43cb-92C2-25804820EDAC}">
                        <c15:formulaRef>
                          <c15:sqref>Summary!$C$9</c15:sqref>
                        </c15:formulaRef>
                      </c:ext>
                    </c:extLst>
                    <c:strCache>
                      <c:ptCount val="1"/>
                      <c:pt idx="0">
                        <c:v>Scenario</c:v>
                      </c:pt>
                    </c:strCache>
                  </c:strRef>
                </c:tx>
                <c:spPr>
                  <a:ln w="28575" cap="rnd">
                    <a:solidFill>
                      <a:schemeClr val="accent1"/>
                    </a:solidFill>
                    <a:round/>
                  </a:ln>
                  <a:effectLst/>
                </c:spPr>
                <c:marker>
                  <c:symbol val="none"/>
                </c:marker>
                <c:cat>
                  <c:numRef>
                    <c:extLst>
                      <c:ext uri="{02D57815-91ED-43cb-92C2-25804820EDAC}">
                        <c15:formulaRef>
                          <c15:sqref>Summary!$D$9:$W$9</c15:sqref>
                        </c15:formulaRef>
                      </c:ext>
                    </c:extLst>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extLst>
                      <c:ext uri="{02D57815-91ED-43cb-92C2-25804820EDAC}">
                        <c15:formulaRef>
                          <c15:sqref>Summary!$D$9:$W$9</c15:sqref>
                        </c15:formulaRef>
                      </c:ext>
                    </c:extLst>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val>
                <c:smooth val="0"/>
                <c:extLst>
                  <c:ext xmlns:c16="http://schemas.microsoft.com/office/drawing/2014/chart" uri="{C3380CC4-5D6E-409C-BE32-E72D297353CC}">
                    <c16:uniqueId val="{00000003-C6EC-4B29-A4C9-C20321A783CB}"/>
                  </c:ext>
                </c:extLst>
              </c15:ser>
            </c15:filteredLineSeries>
            <c15:filteredLineSeries>
              <c15:ser>
                <c:idx val="2"/>
                <c:order val="3"/>
                <c:tx>
                  <c:strRef>
                    <c:extLst xmlns:c15="http://schemas.microsoft.com/office/drawing/2012/chart">
                      <c:ext xmlns:c15="http://schemas.microsoft.com/office/drawing/2012/chart" uri="{02D57815-91ED-43cb-92C2-25804820EDAC}">
                        <c15:formulaRef>
                          <c15:sqref>Summary!$C$12</c15:sqref>
                        </c15:formulaRef>
                      </c:ext>
                    </c:extLst>
                    <c:strCache>
                      <c:ptCount val="1"/>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Summary!$D$9:$W$9</c15:sqref>
                        </c15:formulaRef>
                      </c:ext>
                    </c:extLst>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extLst xmlns:c15="http://schemas.microsoft.com/office/drawing/2012/chart">
                      <c:ext xmlns:c15="http://schemas.microsoft.com/office/drawing/2012/chart" uri="{02D57815-91ED-43cb-92C2-25804820EDAC}">
                        <c15:formulaRef>
                          <c15:sqref>Summary!$D$12:$W$12</c15:sqref>
                        </c15:formulaRef>
                      </c:ext>
                    </c:extLst>
                    <c:numCache>
                      <c:formatCode>#,##0</c:formatCode>
                      <c:ptCount val="20"/>
                      <c:pt idx="0">
                        <c:v>16062.635649965088</c:v>
                      </c:pt>
                      <c:pt idx="1">
                        <c:v>16610.158791365699</c:v>
                      </c:pt>
                      <c:pt idx="2">
                        <c:v>16807.399921070737</c:v>
                      </c:pt>
                      <c:pt idx="3">
                        <c:v>18035.873325497014</c:v>
                      </c:pt>
                      <c:pt idx="4">
                        <c:v>19341.646861308487</c:v>
                      </c:pt>
                      <c:pt idx="5">
                        <c:v>20254.027238831703</c:v>
                      </c:pt>
                      <c:pt idx="6">
                        <c:v>21003.977881164134</c:v>
                      </c:pt>
                      <c:pt idx="7">
                        <c:v>21416.624841887438</c:v>
                      </c:pt>
                      <c:pt idx="8">
                        <c:v>21772.459953297057</c:v>
                      </c:pt>
                      <c:pt idx="9">
                        <c:v>21980.912710978169</c:v>
                      </c:pt>
                      <c:pt idx="10">
                        <c:v>22120.193245147628</c:v>
                      </c:pt>
                      <c:pt idx="11">
                        <c:v>22172.547948357111</c:v>
                      </c:pt>
                      <c:pt idx="12">
                        <c:v>22333.167588577122</c:v>
                      </c:pt>
                      <c:pt idx="13">
                        <c:v>22517.482327863014</c:v>
                      </c:pt>
                      <c:pt idx="14">
                        <c:v>22667.725151619474</c:v>
                      </c:pt>
                      <c:pt idx="15">
                        <c:v>22779.462869650124</c:v>
                      </c:pt>
                      <c:pt idx="16">
                        <c:v>23160.553538901426</c:v>
                      </c:pt>
                      <c:pt idx="17">
                        <c:v>23556.973663911591</c:v>
                      </c:pt>
                      <c:pt idx="18">
                        <c:v>24076.163410725592</c:v>
                      </c:pt>
                      <c:pt idx="19">
                        <c:v>24489.583466512395</c:v>
                      </c:pt>
                    </c:numCache>
                  </c:numRef>
                </c:val>
                <c:smooth val="0"/>
                <c:extLst xmlns:c15="http://schemas.microsoft.com/office/drawing/2012/chart">
                  <c:ext xmlns:c16="http://schemas.microsoft.com/office/drawing/2014/chart" uri="{C3380CC4-5D6E-409C-BE32-E72D297353CC}">
                    <c16:uniqueId val="{00000004-C6EC-4B29-A4C9-C20321A783CB}"/>
                  </c:ext>
                </c:extLst>
              </c15:ser>
            </c15:filteredLineSeries>
            <c15:filteredLineSeries>
              <c15:ser>
                <c:idx val="4"/>
                <c:order val="5"/>
                <c:tx>
                  <c:strRef>
                    <c:extLst xmlns:c15="http://schemas.microsoft.com/office/drawing/2012/chart">
                      <c:ext xmlns:c15="http://schemas.microsoft.com/office/drawing/2012/chart" uri="{02D57815-91ED-43cb-92C2-25804820EDAC}">
                        <c15:formulaRef>
                          <c15:sqref>Summary!$C$14</c15:sqref>
                        </c15:formulaRef>
                      </c:ext>
                    </c:extLst>
                    <c:strCache>
                      <c:ptCount val="1"/>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Summary!$D$9:$W$9</c15:sqref>
                        </c15:formulaRef>
                      </c:ext>
                    </c:extLst>
                    <c:numCache>
                      <c:formatCode>General</c:formatCode>
                      <c:ptCount val="20"/>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numCache>
                  </c:numRef>
                </c:cat>
                <c:val>
                  <c:numRef>
                    <c:extLst xmlns:c15="http://schemas.microsoft.com/office/drawing/2012/chart">
                      <c:ext xmlns:c15="http://schemas.microsoft.com/office/drawing/2012/chart" uri="{02D57815-91ED-43cb-92C2-25804820EDAC}">
                        <c15:formulaRef>
                          <c15:sqref>Summary!$D$14:$W$14</c15:sqref>
                        </c15:formulaRef>
                      </c:ext>
                    </c:extLst>
                    <c:numCache>
                      <c:formatCode>#,##0</c:formatCode>
                      <c:ptCount val="20"/>
                      <c:pt idx="0">
                        <c:v>16026.829401779263</c:v>
                      </c:pt>
                      <c:pt idx="1">
                        <c:v>16500.572619265316</c:v>
                      </c:pt>
                      <c:pt idx="2">
                        <c:v>16960.746666645387</c:v>
                      </c:pt>
                      <c:pt idx="3">
                        <c:v>18602.519905935322</c:v>
                      </c:pt>
                      <c:pt idx="4">
                        <c:v>20473.026183719085</c:v>
                      </c:pt>
                      <c:pt idx="5">
                        <c:v>21914.677556137758</c:v>
                      </c:pt>
                      <c:pt idx="6">
                        <c:v>23033.33950806344</c:v>
                      </c:pt>
                      <c:pt idx="7">
                        <c:v>23653.544765106762</c:v>
                      </c:pt>
                      <c:pt idx="8">
                        <c:v>24085.219355616024</c:v>
                      </c:pt>
                      <c:pt idx="9">
                        <c:v>24353.728596749774</c:v>
                      </c:pt>
                      <c:pt idx="10">
                        <c:v>24553.273384459149</c:v>
                      </c:pt>
                      <c:pt idx="11">
                        <c:v>24637.935300164623</c:v>
                      </c:pt>
                      <c:pt idx="12">
                        <c:v>24842.178875339614</c:v>
                      </c:pt>
                      <c:pt idx="13">
                        <c:v>25035.153662654971</c:v>
                      </c:pt>
                      <c:pt idx="14">
                        <c:v>25188.525504174762</c:v>
                      </c:pt>
                      <c:pt idx="15">
                        <c:v>25299.998199241971</c:v>
                      </c:pt>
                      <c:pt idx="16">
                        <c:v>25681.745336895612</c:v>
                      </c:pt>
                      <c:pt idx="17">
                        <c:v>26080.232876358197</c:v>
                      </c:pt>
                      <c:pt idx="18">
                        <c:v>26558.558949708822</c:v>
                      </c:pt>
                      <c:pt idx="19">
                        <c:v>26975.499418761276</c:v>
                      </c:pt>
                    </c:numCache>
                  </c:numRef>
                </c:val>
                <c:smooth val="0"/>
                <c:extLst xmlns:c15="http://schemas.microsoft.com/office/drawing/2012/chart">
                  <c:ext xmlns:c16="http://schemas.microsoft.com/office/drawing/2014/chart" uri="{C3380CC4-5D6E-409C-BE32-E72D297353CC}">
                    <c16:uniqueId val="{00000005-C6EC-4B29-A4C9-C20321A783CB}"/>
                  </c:ext>
                </c:extLst>
              </c15:ser>
            </c15:filteredLineSeries>
          </c:ext>
        </c:extLst>
      </c:lineChart>
      <c:catAx>
        <c:axId val="765627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491888"/>
        <c:crosses val="autoZero"/>
        <c:auto val="1"/>
        <c:lblAlgn val="ctr"/>
        <c:lblOffset val="100"/>
        <c:noMultiLvlLbl val="0"/>
      </c:catAx>
      <c:valAx>
        <c:axId val="1534491888"/>
        <c:scaling>
          <c:orientation val="minMax"/>
          <c:max val="31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Winter Peak (MW)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627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6e46ab0064fb12a6f28cec8a07d3e97b">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edf1c9bc2cd68b24a48180794ec5890c"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fe06535-efc6-4487-9d5e-01610a6d7e4b">
      <UserInfo>
        <DisplayName>Tom Newsome</DisplayName>
        <AccountId>36</AccountId>
        <AccountType/>
      </UserInfo>
      <UserInfo>
        <DisplayName>Tom Bond</DisplayName>
        <AccountId>37</AccountId>
        <AccountType/>
      </UserInfo>
      <UserInfo>
        <DisplayName>Preston Thomas</DisplayName>
        <AccountId>38</AccountId>
        <AccountType/>
      </UserInfo>
      <UserInfo>
        <DisplayName>Ginny Davis</DisplayName>
        <AccountId>39</AccountId>
        <AccountType/>
      </UserInfo>
      <UserInfo>
        <DisplayName>Jamie Barber</DisplayName>
        <AccountId>41</AccountId>
        <AccountType/>
      </UserInfo>
      <UserInfo>
        <DisplayName>Bobby Iseley</DisplayName>
        <AccountId>34</AccountId>
        <AccountType/>
      </UserInfo>
      <UserInfo>
        <DisplayName>John Kaduk</DisplayName>
        <AccountId>35</AccountId>
        <AccountType/>
      </UserInfo>
      <UserInfo>
        <DisplayName>Jason Forsythe</DisplayName>
        <AccountId>25</AccountId>
        <AccountType/>
      </UserInfo>
      <UserInfo>
        <DisplayName>Benjamin Deitchman</DisplayName>
        <AccountId>26</AccountId>
        <AccountType/>
      </UserInfo>
      <UserInfo>
        <DisplayName>Joseph Schneider</DisplayName>
        <AccountId>18</AccountId>
        <AccountType/>
      </UserInfo>
      <UserInfo>
        <DisplayName>William Threatt</DisplayName>
        <AccountId>28</AccountId>
        <AccountType/>
      </UserInfo>
      <UserInfo>
        <DisplayName>Steve Roetger</DisplayName>
        <AccountId>20</AccountId>
        <AccountType/>
      </UserInfo>
      <UserInfo>
        <DisplayName>Shemetha Jones</DisplayName>
        <AccountId>19</AccountId>
        <AccountType/>
      </UserInfo>
    </SharedWithUsers>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A07E5-DBDB-4215-88DE-A7B45992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97CFB-CB11-4405-8590-72F092263541}">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customXml/itemProps3.xml><?xml version="1.0" encoding="utf-8"?>
<ds:datastoreItem xmlns:ds="http://schemas.openxmlformats.org/officeDocument/2006/customXml" ds:itemID="{0990D171-C529-41E6-B9F0-E4A7DDDDD9F6}">
  <ds:schemaRefs>
    <ds:schemaRef ds:uri="http://schemas.openxmlformats.org/officeDocument/2006/bibliography"/>
  </ds:schemaRefs>
</ds:datastoreItem>
</file>

<file path=customXml/itemProps4.xml><?xml version="1.0" encoding="utf-8"?>
<ds:datastoreItem xmlns:ds="http://schemas.openxmlformats.org/officeDocument/2006/customXml" ds:itemID="{5B539E78-DFA5-4342-85A9-E08D439F4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9828</Words>
  <Characters>56024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Bower</dc:creator>
  <cp:keywords/>
  <dc:description/>
  <cp:lastModifiedBy>Karan Pol</cp:lastModifiedBy>
  <cp:revision>4</cp:revision>
  <cp:lastPrinted>2024-02-16T09:50:00Z</cp:lastPrinted>
  <dcterms:created xsi:type="dcterms:W3CDTF">2025-11-12T20:51:00Z</dcterms:created>
  <dcterms:modified xsi:type="dcterms:W3CDTF">2025-11-12T20:56:00Z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ies>
</file>