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5" w:type="dxa"/>
        <w:jc w:val="center"/>
        <w:tblLayout w:type="fixed"/>
        <w:tblCellMar>
          <w:left w:w="84" w:type="dxa"/>
          <w:right w:w="84" w:type="dxa"/>
        </w:tblCellMar>
        <w:tblLook w:val="04A0" w:firstRow="1" w:lastRow="0" w:firstColumn="1" w:lastColumn="0" w:noHBand="0" w:noVBand="1"/>
      </w:tblPr>
      <w:tblGrid>
        <w:gridCol w:w="4357"/>
        <w:gridCol w:w="3293"/>
        <w:gridCol w:w="3405"/>
      </w:tblGrid>
      <w:tr w:rsidR="00E233A4" w:rsidRPr="00E233A4" w14:paraId="31131A2F" w14:textId="77777777">
        <w:trPr>
          <w:trHeight w:val="1681"/>
          <w:jc w:val="center"/>
        </w:trPr>
        <w:tc>
          <w:tcPr>
            <w:tcW w:w="4357" w:type="dxa"/>
            <w:hideMark/>
          </w:tcPr>
          <w:p w14:paraId="29E36E0D" w14:textId="77777777" w:rsidR="00E233A4" w:rsidRPr="00E233A4" w:rsidRDefault="00E233A4" w:rsidP="00E233A4">
            <w:pPr>
              <w:spacing w:line="276" w:lineRule="auto"/>
              <w:ind w:left="720" w:hanging="360"/>
              <w:rPr>
                <w:b/>
                <w:bCs/>
                <w:sz w:val="20"/>
                <w:szCs w:val="20"/>
              </w:rPr>
            </w:pPr>
            <w:r w:rsidRPr="00E233A4">
              <w:rPr>
                <w:b/>
                <w:sz w:val="20"/>
                <w:szCs w:val="20"/>
              </w:rPr>
              <w:fldChar w:fldCharType="begin"/>
            </w:r>
            <w:r w:rsidRPr="00E233A4">
              <w:rPr>
                <w:b/>
                <w:sz w:val="20"/>
                <w:szCs w:val="20"/>
              </w:rPr>
              <w:instrText>PRIVATE</w:instrText>
            </w:r>
            <w:r w:rsidRPr="00E233A4">
              <w:rPr>
                <w:b/>
                <w:sz w:val="20"/>
                <w:szCs w:val="20"/>
              </w:rPr>
              <w:fldChar w:fldCharType="end"/>
            </w:r>
            <w:r w:rsidRPr="00E233A4">
              <w:rPr>
                <w:b/>
                <w:bCs/>
                <w:sz w:val="20"/>
                <w:szCs w:val="20"/>
              </w:rPr>
              <w:t>COMMISSIONERS:</w:t>
            </w:r>
          </w:p>
          <w:p w14:paraId="1501B9CC" w14:textId="77777777" w:rsidR="00E233A4" w:rsidRPr="00E233A4" w:rsidRDefault="00E233A4" w:rsidP="00E233A4">
            <w:pPr>
              <w:spacing w:line="276" w:lineRule="auto"/>
              <w:ind w:left="720" w:hanging="360"/>
              <w:rPr>
                <w:b/>
                <w:bCs/>
                <w:sz w:val="20"/>
                <w:szCs w:val="20"/>
              </w:rPr>
            </w:pPr>
          </w:p>
          <w:p w14:paraId="7E418F1D" w14:textId="77777777" w:rsidR="00E233A4" w:rsidRPr="00E233A4" w:rsidRDefault="00E233A4" w:rsidP="00E233A4">
            <w:pPr>
              <w:spacing w:line="276" w:lineRule="auto"/>
              <w:ind w:left="720" w:hanging="360"/>
              <w:rPr>
                <w:b/>
                <w:bCs/>
                <w:sz w:val="20"/>
                <w:szCs w:val="20"/>
              </w:rPr>
            </w:pPr>
            <w:r w:rsidRPr="00E233A4">
              <w:rPr>
                <w:b/>
                <w:bCs/>
                <w:sz w:val="20"/>
                <w:szCs w:val="20"/>
              </w:rPr>
              <w:t xml:space="preserve">JASON SHAW, Chairman </w:t>
            </w:r>
          </w:p>
          <w:p w14:paraId="341C3ABB" w14:textId="77777777" w:rsidR="00E233A4" w:rsidRPr="00E233A4" w:rsidRDefault="00E233A4" w:rsidP="00E233A4">
            <w:pPr>
              <w:tabs>
                <w:tab w:val="right" w:pos="4189"/>
              </w:tabs>
              <w:spacing w:line="276" w:lineRule="auto"/>
              <w:ind w:left="720" w:hanging="360"/>
              <w:rPr>
                <w:b/>
                <w:bCs/>
                <w:sz w:val="20"/>
                <w:szCs w:val="20"/>
              </w:rPr>
            </w:pPr>
            <w:r w:rsidRPr="00E233A4">
              <w:rPr>
                <w:b/>
                <w:bCs/>
                <w:sz w:val="20"/>
                <w:szCs w:val="20"/>
              </w:rPr>
              <w:t>FITZ JOHNSON, Vice-Chairman</w:t>
            </w:r>
            <w:r w:rsidRPr="00E233A4">
              <w:rPr>
                <w:b/>
                <w:bCs/>
                <w:sz w:val="20"/>
                <w:szCs w:val="20"/>
              </w:rPr>
              <w:tab/>
              <w:t xml:space="preserve">   </w:t>
            </w:r>
          </w:p>
          <w:p w14:paraId="3A05E0B1" w14:textId="77777777" w:rsidR="00E233A4" w:rsidRPr="00E233A4" w:rsidRDefault="00E233A4" w:rsidP="00E233A4">
            <w:pPr>
              <w:spacing w:line="276" w:lineRule="auto"/>
              <w:ind w:left="720" w:hanging="360"/>
              <w:rPr>
                <w:b/>
                <w:bCs/>
                <w:sz w:val="20"/>
                <w:szCs w:val="20"/>
              </w:rPr>
            </w:pPr>
            <w:r w:rsidRPr="00E233A4">
              <w:rPr>
                <w:b/>
                <w:bCs/>
                <w:sz w:val="20"/>
                <w:szCs w:val="20"/>
              </w:rPr>
              <w:t xml:space="preserve">TIM G. ECHOLS </w:t>
            </w:r>
          </w:p>
          <w:p w14:paraId="0E89A817" w14:textId="77777777" w:rsidR="00E233A4" w:rsidRPr="00E233A4" w:rsidRDefault="00E233A4" w:rsidP="00E233A4">
            <w:pPr>
              <w:spacing w:line="276" w:lineRule="auto"/>
              <w:ind w:left="360"/>
            </w:pPr>
            <w:r w:rsidRPr="00E233A4">
              <w:rPr>
                <w:b/>
                <w:bCs/>
                <w:sz w:val="20"/>
                <w:szCs w:val="20"/>
              </w:rPr>
              <w:t xml:space="preserve">LAUREN “BUBBA” McDONALD                                  </w:t>
            </w:r>
            <w:r w:rsidRPr="00E233A4">
              <w:rPr>
                <w:b/>
                <w:sz w:val="20"/>
                <w:szCs w:val="20"/>
              </w:rPr>
              <w:br/>
            </w:r>
            <w:r w:rsidRPr="00E233A4">
              <w:rPr>
                <w:b/>
                <w:bCs/>
                <w:sz w:val="20"/>
                <w:szCs w:val="20"/>
              </w:rPr>
              <w:t>TRICIA PRIDEMORE</w:t>
            </w:r>
            <w:r w:rsidRPr="00E233A4">
              <w:rPr>
                <w:rFonts w:ascii="Arial Black" w:hAnsi="Arial Black"/>
                <w:b/>
                <w:bCs/>
                <w:sz w:val="16"/>
                <w:szCs w:val="16"/>
              </w:rPr>
              <w:t xml:space="preserve">                          </w:t>
            </w:r>
            <w:r w:rsidRPr="00E233A4">
              <w:rPr>
                <w:rFonts w:ascii="Arial Black" w:hAnsi="Arial Black"/>
                <w:b/>
                <w:sz w:val="16"/>
                <w:szCs w:val="16"/>
              </w:rPr>
              <w:br/>
            </w:r>
          </w:p>
        </w:tc>
        <w:tc>
          <w:tcPr>
            <w:tcW w:w="3293" w:type="dxa"/>
            <w:hideMark/>
          </w:tcPr>
          <w:p w14:paraId="52024043" w14:textId="77777777" w:rsidR="00E233A4" w:rsidRPr="00E233A4" w:rsidRDefault="00E233A4" w:rsidP="00E233A4">
            <w:pPr>
              <w:tabs>
                <w:tab w:val="left" w:pos="1410"/>
              </w:tabs>
              <w:spacing w:line="276" w:lineRule="auto"/>
              <w:ind w:left="720" w:hanging="360"/>
            </w:pPr>
            <w:r w:rsidRPr="00E233A4">
              <w:t xml:space="preserve">    </w:t>
            </w:r>
            <w:r w:rsidRPr="00E233A4">
              <w:rPr>
                <w:noProof/>
              </w:rPr>
              <w:drawing>
                <wp:inline distT="0" distB="0" distL="0" distR="0" wp14:anchorId="604F08E2" wp14:editId="5314A110">
                  <wp:extent cx="1226190" cy="1179830"/>
                  <wp:effectExtent l="0" t="0" r="0" b="127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7" cstate="print">
                            <a:biLevel thresh="75000"/>
                            <a:extLst>
                              <a:ext uri="{BEBA8EAE-BF5A-486C-A8C5-ECC9F3942E4B}">
                                <a14:imgProps xmlns:a14="http://schemas.microsoft.com/office/drawing/2010/main">
                                  <a14:imgLayer r:embed="rId8">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405" w:type="dxa"/>
            <w:hideMark/>
          </w:tcPr>
          <w:p w14:paraId="3B68363D" w14:textId="77777777" w:rsidR="00E233A4" w:rsidRPr="00E233A4" w:rsidRDefault="00E233A4" w:rsidP="00E233A4">
            <w:pPr>
              <w:spacing w:line="276" w:lineRule="auto"/>
              <w:ind w:left="720" w:hanging="360"/>
              <w:rPr>
                <w:b/>
                <w:sz w:val="20"/>
                <w:szCs w:val="20"/>
              </w:rPr>
            </w:pPr>
          </w:p>
          <w:p w14:paraId="27F58B38" w14:textId="77777777" w:rsidR="00E233A4" w:rsidRPr="00E233A4" w:rsidRDefault="00E233A4" w:rsidP="00E233A4">
            <w:pPr>
              <w:spacing w:line="276" w:lineRule="auto"/>
              <w:ind w:left="720" w:hanging="360"/>
              <w:jc w:val="right"/>
              <w:rPr>
                <w:b/>
                <w:sz w:val="20"/>
                <w:szCs w:val="20"/>
              </w:rPr>
            </w:pPr>
            <w:r w:rsidRPr="00E233A4">
              <w:rPr>
                <w:b/>
                <w:sz w:val="20"/>
                <w:szCs w:val="20"/>
              </w:rPr>
              <w:t>REECE McALISTER </w:t>
            </w:r>
          </w:p>
          <w:p w14:paraId="11EA9AA5" w14:textId="77777777" w:rsidR="00E233A4" w:rsidRPr="00E233A4" w:rsidRDefault="00E233A4" w:rsidP="00E233A4">
            <w:pPr>
              <w:spacing w:line="276" w:lineRule="auto"/>
              <w:ind w:left="720" w:hanging="360"/>
              <w:jc w:val="right"/>
              <w:rPr>
                <w:b/>
                <w:sz w:val="20"/>
                <w:szCs w:val="20"/>
              </w:rPr>
            </w:pPr>
            <w:r w:rsidRPr="00E233A4">
              <w:rPr>
                <w:b/>
                <w:sz w:val="20"/>
                <w:szCs w:val="20"/>
              </w:rPr>
              <w:t>EXECUTIVE DIRECTOR</w:t>
            </w:r>
          </w:p>
          <w:p w14:paraId="703B615D" w14:textId="77777777" w:rsidR="00E233A4" w:rsidRPr="00E233A4" w:rsidRDefault="00E233A4" w:rsidP="00E233A4">
            <w:pPr>
              <w:spacing w:line="276" w:lineRule="auto"/>
              <w:ind w:left="720" w:hanging="360"/>
              <w:jc w:val="right"/>
              <w:rPr>
                <w:sz w:val="20"/>
                <w:szCs w:val="20"/>
              </w:rPr>
            </w:pPr>
            <w:r w:rsidRPr="00E233A4">
              <w:rPr>
                <w:b/>
                <w:sz w:val="20"/>
                <w:szCs w:val="20"/>
              </w:rPr>
              <w:t xml:space="preserve"> </w:t>
            </w:r>
            <w:r w:rsidRPr="00E233A4">
              <w:rPr>
                <w:b/>
                <w:sz w:val="20"/>
                <w:szCs w:val="20"/>
              </w:rPr>
              <w:br/>
              <w:t>SALLIE TANNER</w:t>
            </w:r>
            <w:r w:rsidRPr="00E233A4">
              <w:rPr>
                <w:b/>
                <w:sz w:val="20"/>
                <w:szCs w:val="20"/>
              </w:rPr>
              <w:br/>
              <w:t>EXECUTIVE SECRETARY</w:t>
            </w:r>
          </w:p>
        </w:tc>
      </w:tr>
      <w:tr w:rsidR="00E233A4" w:rsidRPr="00E233A4" w14:paraId="68D2D5F6" w14:textId="77777777">
        <w:trPr>
          <w:trHeight w:val="772"/>
          <w:jc w:val="center"/>
        </w:trPr>
        <w:tc>
          <w:tcPr>
            <w:tcW w:w="11055" w:type="dxa"/>
            <w:gridSpan w:val="3"/>
            <w:hideMark/>
          </w:tcPr>
          <w:p w14:paraId="44E0380B" w14:textId="77777777" w:rsidR="00E233A4" w:rsidRPr="00E233A4" w:rsidRDefault="00E233A4" w:rsidP="00E233A4">
            <w:pPr>
              <w:keepNext/>
              <w:tabs>
                <w:tab w:val="left" w:pos="1410"/>
                <w:tab w:val="left" w:pos="5772"/>
              </w:tabs>
              <w:spacing w:line="276" w:lineRule="auto"/>
              <w:jc w:val="center"/>
              <w:outlineLvl w:val="0"/>
              <w:rPr>
                <w:rFonts w:ascii="Old English Text MT" w:hAnsi="Old English Text MT"/>
                <w:b/>
                <w:bCs/>
                <w:sz w:val="42"/>
              </w:rPr>
            </w:pPr>
            <w:r w:rsidRPr="00E233A4">
              <w:rPr>
                <w:rFonts w:ascii="Old English Text MT" w:hAnsi="Old English Text MT"/>
                <w:b/>
                <w:bCs/>
                <w:sz w:val="42"/>
              </w:rPr>
              <w:t>Georgia Public Service Commission</w:t>
            </w:r>
          </w:p>
        </w:tc>
      </w:tr>
      <w:tr w:rsidR="00E233A4" w:rsidRPr="00E233A4" w14:paraId="5CEF3848" w14:textId="77777777">
        <w:trPr>
          <w:jc w:val="center"/>
        </w:trPr>
        <w:tc>
          <w:tcPr>
            <w:tcW w:w="4357" w:type="dxa"/>
            <w:hideMark/>
          </w:tcPr>
          <w:p w14:paraId="7B6721A5" w14:textId="77777777" w:rsidR="00E233A4" w:rsidRPr="00E233A4" w:rsidRDefault="00E233A4" w:rsidP="00E233A4">
            <w:pPr>
              <w:spacing w:line="276" w:lineRule="auto"/>
              <w:ind w:left="720" w:hanging="360"/>
              <w:rPr>
                <w:rFonts w:cs="Arial"/>
                <w:b/>
                <w:bCs/>
                <w:sz w:val="17"/>
                <w:szCs w:val="17"/>
              </w:rPr>
            </w:pPr>
            <w:r w:rsidRPr="00E233A4">
              <w:rPr>
                <w:rFonts w:cs="Arial"/>
                <w:b/>
                <w:bCs/>
                <w:sz w:val="17"/>
                <w:szCs w:val="17"/>
              </w:rPr>
              <w:t>(404) 656-4501</w:t>
            </w:r>
          </w:p>
          <w:p w14:paraId="3E82AAA2" w14:textId="77777777" w:rsidR="00E233A4" w:rsidRPr="00E233A4" w:rsidRDefault="00E233A4" w:rsidP="00E233A4">
            <w:pPr>
              <w:spacing w:line="276" w:lineRule="auto"/>
              <w:ind w:left="720" w:hanging="360"/>
              <w:rPr>
                <w:rFonts w:cs="Arial"/>
                <w:b/>
                <w:bCs/>
              </w:rPr>
            </w:pPr>
            <w:r w:rsidRPr="00E233A4">
              <w:rPr>
                <w:rFonts w:cs="Arial"/>
                <w:b/>
                <w:bCs/>
                <w:sz w:val="17"/>
                <w:szCs w:val="17"/>
              </w:rPr>
              <w:t>(800) 282-5813</w:t>
            </w:r>
          </w:p>
        </w:tc>
        <w:tc>
          <w:tcPr>
            <w:tcW w:w="3293" w:type="dxa"/>
            <w:hideMark/>
          </w:tcPr>
          <w:p w14:paraId="35D8CDB6" w14:textId="77777777" w:rsidR="00E233A4" w:rsidRPr="00E233A4" w:rsidRDefault="00E233A4" w:rsidP="00E233A4">
            <w:pPr>
              <w:tabs>
                <w:tab w:val="left" w:pos="1410"/>
              </w:tabs>
              <w:spacing w:line="276" w:lineRule="auto"/>
              <w:ind w:left="420" w:hanging="60"/>
              <w:rPr>
                <w:rFonts w:cs="Arial"/>
                <w:b/>
                <w:sz w:val="17"/>
                <w:szCs w:val="17"/>
              </w:rPr>
            </w:pPr>
            <w:r w:rsidRPr="00E233A4">
              <w:rPr>
                <w:rFonts w:cs="Arial"/>
                <w:b/>
                <w:sz w:val="17"/>
                <w:szCs w:val="17"/>
              </w:rPr>
              <w:t>244 WASHINGTON STREET, SW</w:t>
            </w:r>
            <w:r w:rsidRPr="00E233A4">
              <w:rPr>
                <w:rFonts w:cs="Arial"/>
                <w:b/>
                <w:sz w:val="17"/>
                <w:szCs w:val="17"/>
              </w:rPr>
              <w:br/>
            </w:r>
            <w:smartTag w:uri="urn:schemas-microsoft-com:office:smarttags" w:element="City">
              <w:r w:rsidRPr="00E233A4">
                <w:rPr>
                  <w:rFonts w:cs="Arial"/>
                  <w:b/>
                  <w:sz w:val="17"/>
                  <w:szCs w:val="17"/>
                </w:rPr>
                <w:t>ATLANTA</w:t>
              </w:r>
            </w:smartTag>
            <w:r w:rsidRPr="00E233A4">
              <w:rPr>
                <w:rFonts w:cs="Arial"/>
                <w:b/>
                <w:sz w:val="17"/>
                <w:szCs w:val="17"/>
              </w:rPr>
              <w:t xml:space="preserve">, </w:t>
            </w:r>
            <w:smartTag w:uri="urn:schemas-microsoft-com:office:smarttags" w:element="country-region">
              <w:r w:rsidRPr="00E233A4">
                <w:rPr>
                  <w:rFonts w:cs="Arial"/>
                  <w:b/>
                  <w:sz w:val="17"/>
                  <w:szCs w:val="17"/>
                </w:rPr>
                <w:t>GEORGIA</w:t>
              </w:r>
            </w:smartTag>
            <w:r w:rsidRPr="00E233A4">
              <w:rPr>
                <w:rFonts w:cs="Arial"/>
                <w:b/>
                <w:sz w:val="17"/>
                <w:szCs w:val="17"/>
              </w:rPr>
              <w:t xml:space="preserve"> 30334-5701</w:t>
            </w:r>
          </w:p>
        </w:tc>
        <w:tc>
          <w:tcPr>
            <w:tcW w:w="3405" w:type="dxa"/>
            <w:hideMark/>
          </w:tcPr>
          <w:p w14:paraId="5958962F" w14:textId="77777777" w:rsidR="00E233A4" w:rsidRPr="00E233A4" w:rsidRDefault="00E233A4" w:rsidP="00E233A4">
            <w:pPr>
              <w:spacing w:line="276" w:lineRule="auto"/>
              <w:ind w:left="720" w:hanging="360"/>
              <w:jc w:val="right"/>
              <w:rPr>
                <w:rFonts w:cs="Arial"/>
                <w:b/>
                <w:bCs/>
                <w:sz w:val="17"/>
                <w:szCs w:val="17"/>
              </w:rPr>
            </w:pPr>
            <w:r w:rsidRPr="00E233A4">
              <w:rPr>
                <w:rFonts w:cs="Arial"/>
                <w:b/>
                <w:bCs/>
                <w:sz w:val="17"/>
                <w:szCs w:val="17"/>
              </w:rPr>
              <w:t xml:space="preserve">FAX: (404) 656-2341                   </w:t>
            </w:r>
          </w:p>
          <w:p w14:paraId="36866576" w14:textId="77777777" w:rsidR="00E233A4" w:rsidRPr="00E233A4" w:rsidRDefault="00E233A4" w:rsidP="00E233A4">
            <w:pPr>
              <w:spacing w:line="276" w:lineRule="auto"/>
              <w:ind w:left="720" w:hanging="360"/>
              <w:jc w:val="right"/>
              <w:rPr>
                <w:rFonts w:cs="Arial"/>
                <w:b/>
                <w:bCs/>
              </w:rPr>
            </w:pPr>
            <w:r w:rsidRPr="00E233A4">
              <w:rPr>
                <w:rFonts w:cs="Arial"/>
                <w:b/>
                <w:bCs/>
                <w:sz w:val="17"/>
                <w:szCs w:val="17"/>
              </w:rPr>
              <w:t>psc.ga.gov</w:t>
            </w:r>
          </w:p>
        </w:tc>
      </w:tr>
    </w:tbl>
    <w:p w14:paraId="791F6427" w14:textId="77777777" w:rsidR="00E233A4" w:rsidRDefault="00E233A4" w:rsidP="00E233A4">
      <w:pPr>
        <w:rPr>
          <w:color w:val="FF0000"/>
        </w:rPr>
        <w:sectPr w:rsidR="00E233A4" w:rsidSect="00E233A4">
          <w:headerReference w:type="default" r:id="rId9"/>
          <w:footerReference w:type="default" r:id="rId10"/>
          <w:pgSz w:w="12240" w:h="15840"/>
          <w:pgMar w:top="1440" w:right="1440" w:bottom="1440" w:left="1440" w:header="720" w:footer="720" w:gutter="0"/>
          <w:cols w:space="720"/>
          <w:docGrid w:linePitch="360"/>
        </w:sectPr>
      </w:pPr>
    </w:p>
    <w:p w14:paraId="0D758D1C" w14:textId="77777777" w:rsidR="00E233A4" w:rsidRDefault="00E233A4" w:rsidP="00E233A4">
      <w:pPr>
        <w:rPr>
          <w:color w:val="FF0000"/>
        </w:rPr>
      </w:pPr>
    </w:p>
    <w:p w14:paraId="71B32264" w14:textId="77777777" w:rsidR="00E233A4" w:rsidRDefault="00E233A4" w:rsidP="00E233A4">
      <w:pPr>
        <w:jc w:val="center"/>
        <w:rPr>
          <w:b/>
          <w:bCs/>
        </w:rPr>
      </w:pPr>
      <w:bookmarkStart w:id="0" w:name="_Hlk210292417"/>
      <w:r>
        <w:rPr>
          <w:b/>
          <w:bCs/>
        </w:rPr>
        <w:t>DOCKET NO. 44280</w:t>
      </w:r>
    </w:p>
    <w:p w14:paraId="003B5184" w14:textId="77777777" w:rsidR="00E233A4" w:rsidRDefault="00E233A4" w:rsidP="00E233A4">
      <w:pPr>
        <w:rPr>
          <w:b/>
          <w:bCs/>
        </w:rPr>
      </w:pPr>
    </w:p>
    <w:p w14:paraId="7EB2D9BD" w14:textId="77777777" w:rsidR="00E233A4" w:rsidRDefault="00E233A4" w:rsidP="00E233A4">
      <w:pPr>
        <w:ind w:left="1440" w:hanging="1440"/>
        <w:rPr>
          <w:b/>
          <w:bCs/>
        </w:rPr>
      </w:pPr>
      <w:r>
        <w:rPr>
          <w:b/>
          <w:bCs/>
        </w:rPr>
        <w:t xml:space="preserve">IN RE: </w:t>
      </w:r>
      <w:r>
        <w:rPr>
          <w:b/>
          <w:bCs/>
        </w:rPr>
        <w:tab/>
        <w:t xml:space="preserve">GEORGIA POWER COMPANY’S 2022 RATE CASE.  </w:t>
      </w:r>
    </w:p>
    <w:p w14:paraId="2E582EFC" w14:textId="77777777" w:rsidR="00E233A4" w:rsidRDefault="00E233A4" w:rsidP="00E233A4">
      <w:pPr>
        <w:rPr>
          <w:b/>
          <w:bCs/>
        </w:rPr>
      </w:pPr>
    </w:p>
    <w:p w14:paraId="080F3D10" w14:textId="2C261854" w:rsidR="00E233A4" w:rsidRDefault="00E233A4" w:rsidP="00E233A4">
      <w:pPr>
        <w:jc w:val="center"/>
        <w:rPr>
          <w:b/>
          <w:bCs/>
          <w:u w:val="single"/>
        </w:rPr>
      </w:pPr>
      <w:r>
        <w:rPr>
          <w:b/>
          <w:bCs/>
          <w:u w:val="single"/>
        </w:rPr>
        <w:t>ORDER APPROVING STAFF’S RECOMMENDATION FOR 2025 ALTERNATIVE COMMUNITY CHARGER LOCATIONS</w:t>
      </w:r>
    </w:p>
    <w:bookmarkEnd w:id="0"/>
    <w:p w14:paraId="4BA6352D" w14:textId="77777777" w:rsidR="00E233A4" w:rsidRDefault="00E233A4" w:rsidP="00E233A4">
      <w:pPr>
        <w:jc w:val="center"/>
        <w:rPr>
          <w:b/>
          <w:bCs/>
          <w:u w:val="single"/>
        </w:rPr>
      </w:pPr>
    </w:p>
    <w:p w14:paraId="4252D930" w14:textId="178CB226" w:rsidR="00E233A4" w:rsidRDefault="00E233A4" w:rsidP="00E233A4">
      <w:pPr>
        <w:spacing w:line="360" w:lineRule="auto"/>
        <w:ind w:firstLine="360"/>
      </w:pPr>
      <w:r>
        <w:t>On March 7, 2025, Georgia Power Company (“GPC” or “Company”) filed its 2025 Community Charging Plan, identifying eleven (11) locations for the placement of electric vehicle (“EV”) charging stations</w:t>
      </w:r>
      <w:r w:rsidR="0030601E">
        <w:t xml:space="preserve"> listed below in Figure 1,</w:t>
      </w:r>
      <w:r>
        <w:t xml:space="preserve"> </w:t>
      </w:r>
      <w:r w:rsidR="00D11CE3">
        <w:t xml:space="preserve">pursuant to </w:t>
      </w:r>
      <w:r>
        <w:t>the Georgia Public Service Commission’s order dated December 30, 2022 in Docket 44280</w:t>
      </w:r>
      <w:r w:rsidR="00C83161">
        <w:t>, Georgia Power’s 2022 Rate Case</w:t>
      </w:r>
      <w:r>
        <w:t xml:space="preserve">.  The Electric Transportation Term Sheet (“Term Sheet”) attached to the Stipulation in Georgia Power’s 2022 Rate Case and approved by the Commission on December 30, 2022, allowed interested parties to comment on the Plan within thirty (30) days of filing. </w:t>
      </w:r>
    </w:p>
    <w:p w14:paraId="7F62D81B" w14:textId="77777777" w:rsidR="00E233A4" w:rsidRDefault="00E233A4" w:rsidP="00E233A4">
      <w:pPr>
        <w:jc w:val="center"/>
      </w:pPr>
      <w:r>
        <w:t>Figure 1. Eleven (11) Proposed EV Charging Stations</w:t>
      </w:r>
    </w:p>
    <w:p w14:paraId="0E098391" w14:textId="77777777" w:rsidR="00E233A4" w:rsidRDefault="00E233A4" w:rsidP="00E233A4">
      <w:pPr>
        <w:jc w:val="center"/>
      </w:pPr>
    </w:p>
    <w:tbl>
      <w:tblPr>
        <w:tblStyle w:val="TableGrid"/>
        <w:tblW w:w="9985" w:type="dxa"/>
        <w:jc w:val="center"/>
        <w:tblLook w:val="04A0" w:firstRow="1" w:lastRow="0" w:firstColumn="1" w:lastColumn="0" w:noHBand="0" w:noVBand="1"/>
      </w:tblPr>
      <w:tblGrid>
        <w:gridCol w:w="1158"/>
        <w:gridCol w:w="3351"/>
        <w:gridCol w:w="1433"/>
        <w:gridCol w:w="1439"/>
        <w:gridCol w:w="1226"/>
        <w:gridCol w:w="1378"/>
      </w:tblGrid>
      <w:tr w:rsidR="00E233A4" w:rsidRPr="00A20D79" w14:paraId="25ABA145" w14:textId="77777777">
        <w:trPr>
          <w:trHeight w:val="305"/>
          <w:jc w:val="center"/>
        </w:trPr>
        <w:tc>
          <w:tcPr>
            <w:tcW w:w="1158" w:type="dxa"/>
            <w:hideMark/>
          </w:tcPr>
          <w:p w14:paraId="1E08F99D" w14:textId="77777777" w:rsidR="00E233A4" w:rsidRPr="00BD676E" w:rsidRDefault="00E233A4">
            <w:pPr>
              <w:jc w:val="center"/>
              <w:rPr>
                <w:color w:val="000000"/>
              </w:rPr>
            </w:pPr>
            <w:r w:rsidRPr="00BD676E">
              <w:rPr>
                <w:color w:val="000000"/>
              </w:rPr>
              <w:t>Proposal</w:t>
            </w:r>
          </w:p>
        </w:tc>
        <w:tc>
          <w:tcPr>
            <w:tcW w:w="3351" w:type="dxa"/>
            <w:hideMark/>
          </w:tcPr>
          <w:p w14:paraId="595CCEC1" w14:textId="77777777" w:rsidR="00E233A4" w:rsidRPr="00BD676E" w:rsidRDefault="00E233A4">
            <w:pPr>
              <w:jc w:val="center"/>
              <w:rPr>
                <w:color w:val="000000"/>
              </w:rPr>
            </w:pPr>
            <w:r w:rsidRPr="00BD676E">
              <w:rPr>
                <w:color w:val="000000"/>
              </w:rPr>
              <w:t>Intersections/Addresses</w:t>
            </w:r>
          </w:p>
        </w:tc>
        <w:tc>
          <w:tcPr>
            <w:tcW w:w="1433" w:type="dxa"/>
            <w:hideMark/>
          </w:tcPr>
          <w:p w14:paraId="5874B055" w14:textId="77777777" w:rsidR="00E233A4" w:rsidRPr="00BD676E" w:rsidRDefault="00E233A4">
            <w:pPr>
              <w:jc w:val="center"/>
              <w:rPr>
                <w:color w:val="000000"/>
              </w:rPr>
            </w:pPr>
            <w:r w:rsidRPr="00BD676E">
              <w:rPr>
                <w:color w:val="000000"/>
              </w:rPr>
              <w:t>City</w:t>
            </w:r>
          </w:p>
        </w:tc>
        <w:tc>
          <w:tcPr>
            <w:tcW w:w="1439" w:type="dxa"/>
            <w:hideMark/>
          </w:tcPr>
          <w:p w14:paraId="0F9D8E24" w14:textId="77777777" w:rsidR="00E233A4" w:rsidRPr="00BD676E" w:rsidRDefault="00E233A4">
            <w:pPr>
              <w:jc w:val="center"/>
              <w:rPr>
                <w:color w:val="000000"/>
              </w:rPr>
            </w:pPr>
            <w:r w:rsidRPr="00BD676E">
              <w:rPr>
                <w:color w:val="000000"/>
              </w:rPr>
              <w:t>County</w:t>
            </w:r>
          </w:p>
        </w:tc>
        <w:tc>
          <w:tcPr>
            <w:tcW w:w="1226" w:type="dxa"/>
            <w:hideMark/>
          </w:tcPr>
          <w:p w14:paraId="2A62A5B7" w14:textId="77777777" w:rsidR="00E233A4" w:rsidRPr="00BD676E" w:rsidRDefault="00E233A4">
            <w:pPr>
              <w:jc w:val="center"/>
              <w:rPr>
                <w:color w:val="000000"/>
              </w:rPr>
            </w:pPr>
            <w:r w:rsidRPr="00BD676E">
              <w:rPr>
                <w:color w:val="000000"/>
              </w:rPr>
              <w:t>Zip Code</w:t>
            </w:r>
          </w:p>
        </w:tc>
        <w:tc>
          <w:tcPr>
            <w:tcW w:w="1378" w:type="dxa"/>
          </w:tcPr>
          <w:p w14:paraId="257C1E85" w14:textId="77777777" w:rsidR="00E233A4" w:rsidRPr="00BD676E" w:rsidRDefault="00E233A4">
            <w:pPr>
              <w:jc w:val="center"/>
              <w:rPr>
                <w:color w:val="000000"/>
              </w:rPr>
            </w:pPr>
            <w:r w:rsidRPr="00BD676E">
              <w:rPr>
                <w:color w:val="000000"/>
              </w:rPr>
              <w:t>Job Tax Credit Tier</w:t>
            </w:r>
          </w:p>
        </w:tc>
      </w:tr>
      <w:tr w:rsidR="00E233A4" w:rsidRPr="00A20D79" w14:paraId="793B9FE9" w14:textId="77777777">
        <w:trPr>
          <w:trHeight w:val="300"/>
          <w:jc w:val="center"/>
        </w:trPr>
        <w:tc>
          <w:tcPr>
            <w:tcW w:w="1158" w:type="dxa"/>
            <w:noWrap/>
            <w:hideMark/>
          </w:tcPr>
          <w:p w14:paraId="44569C72" w14:textId="77777777" w:rsidR="00E233A4" w:rsidRPr="00BD676E" w:rsidRDefault="00E233A4">
            <w:pPr>
              <w:jc w:val="center"/>
              <w:rPr>
                <w:color w:val="000000"/>
              </w:rPr>
            </w:pPr>
            <w:r w:rsidRPr="00BD676E">
              <w:rPr>
                <w:color w:val="000000"/>
              </w:rPr>
              <w:t>1</w:t>
            </w:r>
          </w:p>
        </w:tc>
        <w:tc>
          <w:tcPr>
            <w:tcW w:w="3351" w:type="dxa"/>
            <w:hideMark/>
          </w:tcPr>
          <w:p w14:paraId="49BCAD16" w14:textId="77777777" w:rsidR="00E233A4" w:rsidRPr="00BD676E" w:rsidRDefault="00E233A4">
            <w:pPr>
              <w:jc w:val="center"/>
              <w:rPr>
                <w:color w:val="000000"/>
              </w:rPr>
            </w:pPr>
            <w:r w:rsidRPr="00BD676E">
              <w:rPr>
                <w:color w:val="000000"/>
              </w:rPr>
              <w:t>Willie Bailey St &amp; N Jefferson Ave</w:t>
            </w:r>
          </w:p>
        </w:tc>
        <w:tc>
          <w:tcPr>
            <w:tcW w:w="1433" w:type="dxa"/>
            <w:hideMark/>
          </w:tcPr>
          <w:p w14:paraId="6648FF81" w14:textId="77777777" w:rsidR="00E233A4" w:rsidRPr="00BD676E" w:rsidRDefault="00E233A4">
            <w:pPr>
              <w:jc w:val="center"/>
            </w:pPr>
            <w:r w:rsidRPr="00BD676E">
              <w:t>Eatonton</w:t>
            </w:r>
          </w:p>
        </w:tc>
        <w:tc>
          <w:tcPr>
            <w:tcW w:w="1439" w:type="dxa"/>
            <w:hideMark/>
          </w:tcPr>
          <w:p w14:paraId="197EE1E4" w14:textId="77777777" w:rsidR="00E233A4" w:rsidRPr="00BD676E" w:rsidRDefault="00E233A4">
            <w:pPr>
              <w:jc w:val="center"/>
            </w:pPr>
            <w:r w:rsidRPr="00BD676E">
              <w:t>Putnam</w:t>
            </w:r>
          </w:p>
        </w:tc>
        <w:tc>
          <w:tcPr>
            <w:tcW w:w="1226" w:type="dxa"/>
            <w:hideMark/>
          </w:tcPr>
          <w:p w14:paraId="33AC9C21" w14:textId="77777777" w:rsidR="00E233A4" w:rsidRPr="00BD676E" w:rsidRDefault="00E233A4">
            <w:pPr>
              <w:jc w:val="center"/>
            </w:pPr>
            <w:r w:rsidRPr="00BD676E">
              <w:t>31024</w:t>
            </w:r>
          </w:p>
        </w:tc>
        <w:tc>
          <w:tcPr>
            <w:tcW w:w="1378" w:type="dxa"/>
          </w:tcPr>
          <w:p w14:paraId="7FEE6F95" w14:textId="77777777" w:rsidR="00E233A4" w:rsidRPr="00BD676E" w:rsidRDefault="00E233A4">
            <w:pPr>
              <w:jc w:val="center"/>
            </w:pPr>
            <w:r w:rsidRPr="00BD676E">
              <w:t>2</w:t>
            </w:r>
          </w:p>
        </w:tc>
      </w:tr>
      <w:tr w:rsidR="00E233A4" w:rsidRPr="00A20D79" w14:paraId="3582175C" w14:textId="77777777">
        <w:trPr>
          <w:trHeight w:val="300"/>
          <w:jc w:val="center"/>
        </w:trPr>
        <w:tc>
          <w:tcPr>
            <w:tcW w:w="1158" w:type="dxa"/>
            <w:noWrap/>
            <w:hideMark/>
          </w:tcPr>
          <w:p w14:paraId="7F72A65A" w14:textId="77777777" w:rsidR="00E233A4" w:rsidRPr="00BD676E" w:rsidRDefault="00E233A4">
            <w:pPr>
              <w:jc w:val="center"/>
              <w:rPr>
                <w:color w:val="000000"/>
              </w:rPr>
            </w:pPr>
            <w:r w:rsidRPr="00BD676E">
              <w:rPr>
                <w:color w:val="000000"/>
              </w:rPr>
              <w:t>2</w:t>
            </w:r>
          </w:p>
        </w:tc>
        <w:tc>
          <w:tcPr>
            <w:tcW w:w="3351" w:type="dxa"/>
            <w:hideMark/>
          </w:tcPr>
          <w:p w14:paraId="6C64BC82" w14:textId="77777777" w:rsidR="00E233A4" w:rsidRPr="00BD676E" w:rsidRDefault="00E233A4">
            <w:pPr>
              <w:jc w:val="center"/>
              <w:rPr>
                <w:color w:val="000000"/>
              </w:rPr>
            </w:pPr>
            <w:r w:rsidRPr="00BD676E">
              <w:rPr>
                <w:color w:val="000000"/>
              </w:rPr>
              <w:t>Main St &amp; U.S Hwy 280</w:t>
            </w:r>
          </w:p>
        </w:tc>
        <w:tc>
          <w:tcPr>
            <w:tcW w:w="1433" w:type="dxa"/>
            <w:hideMark/>
          </w:tcPr>
          <w:p w14:paraId="6FA0C421" w14:textId="77777777" w:rsidR="00E233A4" w:rsidRPr="00BD676E" w:rsidRDefault="00E233A4">
            <w:pPr>
              <w:jc w:val="center"/>
            </w:pPr>
            <w:r w:rsidRPr="00BD676E">
              <w:t>Reidsville</w:t>
            </w:r>
          </w:p>
        </w:tc>
        <w:tc>
          <w:tcPr>
            <w:tcW w:w="1439" w:type="dxa"/>
            <w:hideMark/>
          </w:tcPr>
          <w:p w14:paraId="05911E67" w14:textId="77777777" w:rsidR="00E233A4" w:rsidRPr="00BD676E" w:rsidRDefault="00E233A4">
            <w:pPr>
              <w:jc w:val="center"/>
            </w:pPr>
            <w:r w:rsidRPr="00BD676E">
              <w:t>Tattnall</w:t>
            </w:r>
          </w:p>
        </w:tc>
        <w:tc>
          <w:tcPr>
            <w:tcW w:w="1226" w:type="dxa"/>
            <w:hideMark/>
          </w:tcPr>
          <w:p w14:paraId="2B480500" w14:textId="77777777" w:rsidR="00E233A4" w:rsidRPr="00BD676E" w:rsidRDefault="00E233A4">
            <w:pPr>
              <w:jc w:val="center"/>
            </w:pPr>
            <w:r w:rsidRPr="00BD676E">
              <w:t>30453</w:t>
            </w:r>
          </w:p>
        </w:tc>
        <w:tc>
          <w:tcPr>
            <w:tcW w:w="1378" w:type="dxa"/>
          </w:tcPr>
          <w:p w14:paraId="04F49198" w14:textId="77777777" w:rsidR="00E233A4" w:rsidRPr="00BD676E" w:rsidRDefault="00E233A4">
            <w:pPr>
              <w:jc w:val="center"/>
            </w:pPr>
            <w:r w:rsidRPr="00BD676E">
              <w:t>1</w:t>
            </w:r>
          </w:p>
        </w:tc>
      </w:tr>
      <w:tr w:rsidR="00E233A4" w:rsidRPr="00A20D79" w14:paraId="57841BC6" w14:textId="77777777">
        <w:trPr>
          <w:trHeight w:val="300"/>
          <w:jc w:val="center"/>
        </w:trPr>
        <w:tc>
          <w:tcPr>
            <w:tcW w:w="1158" w:type="dxa"/>
            <w:noWrap/>
            <w:hideMark/>
          </w:tcPr>
          <w:p w14:paraId="5AC70587" w14:textId="77777777" w:rsidR="00E233A4" w:rsidRPr="00BD676E" w:rsidRDefault="00E233A4">
            <w:pPr>
              <w:jc w:val="center"/>
              <w:rPr>
                <w:color w:val="000000"/>
              </w:rPr>
            </w:pPr>
            <w:r w:rsidRPr="00BD676E">
              <w:rPr>
                <w:color w:val="000000"/>
              </w:rPr>
              <w:t>3</w:t>
            </w:r>
          </w:p>
        </w:tc>
        <w:tc>
          <w:tcPr>
            <w:tcW w:w="3351" w:type="dxa"/>
            <w:hideMark/>
          </w:tcPr>
          <w:p w14:paraId="202BF578" w14:textId="77777777" w:rsidR="00E233A4" w:rsidRPr="00BD676E" w:rsidRDefault="00E233A4">
            <w:pPr>
              <w:jc w:val="center"/>
              <w:rPr>
                <w:color w:val="000000"/>
              </w:rPr>
            </w:pPr>
            <w:r w:rsidRPr="00BD676E">
              <w:rPr>
                <w:color w:val="000000"/>
              </w:rPr>
              <w:t>Hemlock St &amp; Main St</w:t>
            </w:r>
          </w:p>
        </w:tc>
        <w:tc>
          <w:tcPr>
            <w:tcW w:w="1433" w:type="dxa"/>
            <w:hideMark/>
          </w:tcPr>
          <w:p w14:paraId="5174C5DF" w14:textId="77777777" w:rsidR="00E233A4" w:rsidRPr="00BD676E" w:rsidRDefault="00E233A4">
            <w:pPr>
              <w:jc w:val="center"/>
            </w:pPr>
            <w:proofErr w:type="spellStart"/>
            <w:r w:rsidRPr="00BD676E">
              <w:t>Porterdale</w:t>
            </w:r>
            <w:proofErr w:type="spellEnd"/>
          </w:p>
        </w:tc>
        <w:tc>
          <w:tcPr>
            <w:tcW w:w="1439" w:type="dxa"/>
            <w:hideMark/>
          </w:tcPr>
          <w:p w14:paraId="07D7EE95" w14:textId="77777777" w:rsidR="00E233A4" w:rsidRPr="00BD676E" w:rsidRDefault="00E233A4">
            <w:pPr>
              <w:jc w:val="center"/>
            </w:pPr>
            <w:r w:rsidRPr="00BD676E">
              <w:t>Newton</w:t>
            </w:r>
          </w:p>
        </w:tc>
        <w:tc>
          <w:tcPr>
            <w:tcW w:w="1226" w:type="dxa"/>
            <w:hideMark/>
          </w:tcPr>
          <w:p w14:paraId="01E87332" w14:textId="77777777" w:rsidR="00E233A4" w:rsidRPr="00BD676E" w:rsidRDefault="00E233A4">
            <w:pPr>
              <w:jc w:val="center"/>
            </w:pPr>
            <w:r w:rsidRPr="00BD676E">
              <w:t>30014</w:t>
            </w:r>
          </w:p>
        </w:tc>
        <w:tc>
          <w:tcPr>
            <w:tcW w:w="1378" w:type="dxa"/>
          </w:tcPr>
          <w:p w14:paraId="4D97E6F5" w14:textId="77777777" w:rsidR="00E233A4" w:rsidRPr="00BD676E" w:rsidRDefault="00E233A4">
            <w:pPr>
              <w:jc w:val="center"/>
            </w:pPr>
            <w:r w:rsidRPr="00BD676E">
              <w:t>2</w:t>
            </w:r>
          </w:p>
        </w:tc>
      </w:tr>
      <w:tr w:rsidR="00E233A4" w:rsidRPr="00A20D79" w14:paraId="5A2F48F2" w14:textId="77777777">
        <w:trPr>
          <w:trHeight w:val="300"/>
          <w:jc w:val="center"/>
        </w:trPr>
        <w:tc>
          <w:tcPr>
            <w:tcW w:w="1158" w:type="dxa"/>
            <w:noWrap/>
            <w:hideMark/>
          </w:tcPr>
          <w:p w14:paraId="022A5273" w14:textId="77777777" w:rsidR="00E233A4" w:rsidRPr="00BD676E" w:rsidRDefault="00E233A4">
            <w:pPr>
              <w:jc w:val="center"/>
              <w:rPr>
                <w:color w:val="000000"/>
              </w:rPr>
            </w:pPr>
            <w:r w:rsidRPr="00BD676E">
              <w:rPr>
                <w:color w:val="000000"/>
              </w:rPr>
              <w:t>4</w:t>
            </w:r>
          </w:p>
        </w:tc>
        <w:tc>
          <w:tcPr>
            <w:tcW w:w="3351" w:type="dxa"/>
            <w:noWrap/>
            <w:hideMark/>
          </w:tcPr>
          <w:p w14:paraId="2CA9BF40" w14:textId="77777777" w:rsidR="00E233A4" w:rsidRPr="00BD676E" w:rsidRDefault="00E233A4">
            <w:pPr>
              <w:jc w:val="center"/>
              <w:rPr>
                <w:color w:val="000000"/>
              </w:rPr>
            </w:pPr>
            <w:r w:rsidRPr="00BD676E">
              <w:rPr>
                <w:color w:val="000000"/>
              </w:rPr>
              <w:t>Water St</w:t>
            </w:r>
          </w:p>
        </w:tc>
        <w:tc>
          <w:tcPr>
            <w:tcW w:w="1433" w:type="dxa"/>
            <w:hideMark/>
          </w:tcPr>
          <w:p w14:paraId="071AB9F2" w14:textId="77777777" w:rsidR="00E233A4" w:rsidRPr="00BD676E" w:rsidRDefault="00E233A4">
            <w:pPr>
              <w:jc w:val="center"/>
            </w:pPr>
            <w:r w:rsidRPr="00BD676E">
              <w:t>Rockmart</w:t>
            </w:r>
          </w:p>
        </w:tc>
        <w:tc>
          <w:tcPr>
            <w:tcW w:w="1439" w:type="dxa"/>
            <w:hideMark/>
          </w:tcPr>
          <w:p w14:paraId="275C2C2B" w14:textId="77777777" w:rsidR="00E233A4" w:rsidRPr="00BD676E" w:rsidRDefault="00E233A4">
            <w:pPr>
              <w:jc w:val="center"/>
            </w:pPr>
            <w:r w:rsidRPr="00BD676E">
              <w:t>Polk</w:t>
            </w:r>
          </w:p>
        </w:tc>
        <w:tc>
          <w:tcPr>
            <w:tcW w:w="1226" w:type="dxa"/>
            <w:hideMark/>
          </w:tcPr>
          <w:p w14:paraId="16172A64" w14:textId="77777777" w:rsidR="00E233A4" w:rsidRPr="00BD676E" w:rsidRDefault="00E233A4">
            <w:pPr>
              <w:jc w:val="center"/>
            </w:pPr>
            <w:r w:rsidRPr="00BD676E">
              <w:t>30153</w:t>
            </w:r>
          </w:p>
        </w:tc>
        <w:tc>
          <w:tcPr>
            <w:tcW w:w="1378" w:type="dxa"/>
          </w:tcPr>
          <w:p w14:paraId="11C1FDB8" w14:textId="77777777" w:rsidR="00E233A4" w:rsidRPr="00BD676E" w:rsidRDefault="00E233A4">
            <w:pPr>
              <w:jc w:val="center"/>
            </w:pPr>
            <w:r w:rsidRPr="00BD676E">
              <w:t>1</w:t>
            </w:r>
          </w:p>
        </w:tc>
      </w:tr>
      <w:tr w:rsidR="00E233A4" w:rsidRPr="00A20D79" w14:paraId="615A60D5" w14:textId="77777777">
        <w:trPr>
          <w:trHeight w:val="300"/>
          <w:jc w:val="center"/>
        </w:trPr>
        <w:tc>
          <w:tcPr>
            <w:tcW w:w="1158" w:type="dxa"/>
            <w:noWrap/>
            <w:hideMark/>
          </w:tcPr>
          <w:p w14:paraId="630E423B" w14:textId="77777777" w:rsidR="00E233A4" w:rsidRPr="00BD676E" w:rsidRDefault="00E233A4">
            <w:pPr>
              <w:jc w:val="center"/>
              <w:rPr>
                <w:color w:val="000000"/>
              </w:rPr>
            </w:pPr>
            <w:r w:rsidRPr="00BD676E">
              <w:rPr>
                <w:color w:val="000000"/>
              </w:rPr>
              <w:t>5</w:t>
            </w:r>
          </w:p>
        </w:tc>
        <w:tc>
          <w:tcPr>
            <w:tcW w:w="3351" w:type="dxa"/>
            <w:noWrap/>
            <w:hideMark/>
          </w:tcPr>
          <w:p w14:paraId="350FB4DD" w14:textId="77777777" w:rsidR="00E233A4" w:rsidRPr="00BD676E" w:rsidRDefault="00E233A4">
            <w:pPr>
              <w:jc w:val="center"/>
              <w:rPr>
                <w:color w:val="000000"/>
              </w:rPr>
            </w:pPr>
            <w:r w:rsidRPr="00BD676E">
              <w:rPr>
                <w:color w:val="000000"/>
              </w:rPr>
              <w:t>102 N Jefferson St</w:t>
            </w:r>
          </w:p>
        </w:tc>
        <w:tc>
          <w:tcPr>
            <w:tcW w:w="1433" w:type="dxa"/>
            <w:hideMark/>
          </w:tcPr>
          <w:p w14:paraId="369A5D8C" w14:textId="77777777" w:rsidR="00E233A4" w:rsidRPr="00BD676E" w:rsidRDefault="00E233A4">
            <w:pPr>
              <w:jc w:val="center"/>
            </w:pPr>
            <w:r w:rsidRPr="00BD676E">
              <w:t>Nashville</w:t>
            </w:r>
          </w:p>
        </w:tc>
        <w:tc>
          <w:tcPr>
            <w:tcW w:w="1439" w:type="dxa"/>
            <w:hideMark/>
          </w:tcPr>
          <w:p w14:paraId="5B03A6D7" w14:textId="77777777" w:rsidR="00E233A4" w:rsidRPr="00BD676E" w:rsidRDefault="00E233A4">
            <w:pPr>
              <w:jc w:val="center"/>
            </w:pPr>
            <w:r w:rsidRPr="00BD676E">
              <w:t>Berrien</w:t>
            </w:r>
          </w:p>
        </w:tc>
        <w:tc>
          <w:tcPr>
            <w:tcW w:w="1226" w:type="dxa"/>
            <w:hideMark/>
          </w:tcPr>
          <w:p w14:paraId="36245DEC" w14:textId="77777777" w:rsidR="00E233A4" w:rsidRPr="00BD676E" w:rsidRDefault="00E233A4">
            <w:pPr>
              <w:jc w:val="center"/>
            </w:pPr>
            <w:r w:rsidRPr="00BD676E">
              <w:t>31639</w:t>
            </w:r>
          </w:p>
        </w:tc>
        <w:tc>
          <w:tcPr>
            <w:tcW w:w="1378" w:type="dxa"/>
          </w:tcPr>
          <w:p w14:paraId="2C33FC14" w14:textId="77777777" w:rsidR="00E233A4" w:rsidRPr="00BD676E" w:rsidRDefault="00E233A4">
            <w:pPr>
              <w:jc w:val="center"/>
            </w:pPr>
            <w:r w:rsidRPr="00BD676E">
              <w:t>1</w:t>
            </w:r>
          </w:p>
        </w:tc>
      </w:tr>
      <w:tr w:rsidR="00E233A4" w:rsidRPr="00A20D79" w14:paraId="68DC9D34" w14:textId="77777777">
        <w:trPr>
          <w:trHeight w:val="300"/>
          <w:jc w:val="center"/>
        </w:trPr>
        <w:tc>
          <w:tcPr>
            <w:tcW w:w="1158" w:type="dxa"/>
            <w:noWrap/>
            <w:hideMark/>
          </w:tcPr>
          <w:p w14:paraId="6341B5DA" w14:textId="77777777" w:rsidR="00E233A4" w:rsidRPr="00BD676E" w:rsidRDefault="00E233A4">
            <w:pPr>
              <w:jc w:val="center"/>
              <w:rPr>
                <w:color w:val="000000"/>
              </w:rPr>
            </w:pPr>
            <w:r w:rsidRPr="00BD676E">
              <w:rPr>
                <w:color w:val="000000"/>
              </w:rPr>
              <w:t>6</w:t>
            </w:r>
          </w:p>
        </w:tc>
        <w:tc>
          <w:tcPr>
            <w:tcW w:w="3351" w:type="dxa"/>
            <w:noWrap/>
            <w:hideMark/>
          </w:tcPr>
          <w:p w14:paraId="6AEA4A4E" w14:textId="77777777" w:rsidR="00E233A4" w:rsidRPr="00BD676E" w:rsidRDefault="00E233A4">
            <w:pPr>
              <w:jc w:val="center"/>
              <w:rPr>
                <w:color w:val="000000"/>
              </w:rPr>
            </w:pPr>
            <w:r w:rsidRPr="00BD676E">
              <w:rPr>
                <w:color w:val="000000"/>
              </w:rPr>
              <w:t>202 S Irwin Ave</w:t>
            </w:r>
          </w:p>
        </w:tc>
        <w:tc>
          <w:tcPr>
            <w:tcW w:w="1433" w:type="dxa"/>
            <w:noWrap/>
            <w:hideMark/>
          </w:tcPr>
          <w:p w14:paraId="39317192" w14:textId="77777777" w:rsidR="00E233A4" w:rsidRPr="00BD676E" w:rsidRDefault="00E233A4">
            <w:pPr>
              <w:jc w:val="center"/>
              <w:rPr>
                <w:color w:val="000000"/>
              </w:rPr>
            </w:pPr>
            <w:r w:rsidRPr="00BD676E">
              <w:rPr>
                <w:color w:val="000000"/>
              </w:rPr>
              <w:t>Ocilla</w:t>
            </w:r>
          </w:p>
        </w:tc>
        <w:tc>
          <w:tcPr>
            <w:tcW w:w="1439" w:type="dxa"/>
            <w:noWrap/>
            <w:hideMark/>
          </w:tcPr>
          <w:p w14:paraId="38DEC2C9" w14:textId="77777777" w:rsidR="00E233A4" w:rsidRPr="00BD676E" w:rsidRDefault="00E233A4">
            <w:pPr>
              <w:jc w:val="center"/>
              <w:rPr>
                <w:color w:val="000000"/>
              </w:rPr>
            </w:pPr>
            <w:r w:rsidRPr="00BD676E">
              <w:rPr>
                <w:color w:val="000000"/>
              </w:rPr>
              <w:t>Irwin</w:t>
            </w:r>
          </w:p>
        </w:tc>
        <w:tc>
          <w:tcPr>
            <w:tcW w:w="1226" w:type="dxa"/>
            <w:hideMark/>
          </w:tcPr>
          <w:p w14:paraId="54E35D34" w14:textId="77777777" w:rsidR="00E233A4" w:rsidRPr="00BD676E" w:rsidRDefault="00E233A4">
            <w:pPr>
              <w:jc w:val="center"/>
            </w:pPr>
            <w:r w:rsidRPr="00BD676E">
              <w:t>31774</w:t>
            </w:r>
          </w:p>
        </w:tc>
        <w:tc>
          <w:tcPr>
            <w:tcW w:w="1378" w:type="dxa"/>
          </w:tcPr>
          <w:p w14:paraId="317B78F8" w14:textId="77777777" w:rsidR="00E233A4" w:rsidRPr="00BD676E" w:rsidRDefault="00E233A4">
            <w:pPr>
              <w:jc w:val="center"/>
            </w:pPr>
            <w:r w:rsidRPr="00BD676E">
              <w:t>1</w:t>
            </w:r>
          </w:p>
        </w:tc>
      </w:tr>
      <w:tr w:rsidR="00E233A4" w:rsidRPr="00A20D79" w14:paraId="4FF3E371" w14:textId="77777777">
        <w:trPr>
          <w:trHeight w:val="300"/>
          <w:jc w:val="center"/>
        </w:trPr>
        <w:tc>
          <w:tcPr>
            <w:tcW w:w="1158" w:type="dxa"/>
            <w:noWrap/>
            <w:hideMark/>
          </w:tcPr>
          <w:p w14:paraId="7287CF4B" w14:textId="77777777" w:rsidR="00E233A4" w:rsidRPr="00BD676E" w:rsidRDefault="00E233A4">
            <w:pPr>
              <w:jc w:val="center"/>
              <w:rPr>
                <w:color w:val="000000"/>
              </w:rPr>
            </w:pPr>
            <w:r w:rsidRPr="00BD676E">
              <w:rPr>
                <w:color w:val="000000"/>
              </w:rPr>
              <w:t>7</w:t>
            </w:r>
          </w:p>
        </w:tc>
        <w:tc>
          <w:tcPr>
            <w:tcW w:w="3351" w:type="dxa"/>
            <w:hideMark/>
          </w:tcPr>
          <w:p w14:paraId="5F2876AA" w14:textId="77777777" w:rsidR="00E233A4" w:rsidRPr="00BD676E" w:rsidRDefault="00E233A4">
            <w:pPr>
              <w:jc w:val="center"/>
            </w:pPr>
            <w:r w:rsidRPr="00BD676E">
              <w:t>Broad St &amp; S Railroad Ave</w:t>
            </w:r>
          </w:p>
        </w:tc>
        <w:tc>
          <w:tcPr>
            <w:tcW w:w="1433" w:type="dxa"/>
            <w:noWrap/>
            <w:hideMark/>
          </w:tcPr>
          <w:p w14:paraId="2E5D52DE" w14:textId="77777777" w:rsidR="00E233A4" w:rsidRPr="00BD676E" w:rsidRDefault="00E233A4">
            <w:pPr>
              <w:jc w:val="center"/>
              <w:rPr>
                <w:color w:val="000000"/>
              </w:rPr>
            </w:pPr>
            <w:r w:rsidRPr="00BD676E">
              <w:rPr>
                <w:color w:val="000000"/>
              </w:rPr>
              <w:t>Mount Vernon</w:t>
            </w:r>
          </w:p>
        </w:tc>
        <w:tc>
          <w:tcPr>
            <w:tcW w:w="1439" w:type="dxa"/>
            <w:noWrap/>
            <w:hideMark/>
          </w:tcPr>
          <w:p w14:paraId="4D40D2D5" w14:textId="77777777" w:rsidR="00E233A4" w:rsidRPr="00BD676E" w:rsidRDefault="00E233A4">
            <w:pPr>
              <w:jc w:val="center"/>
              <w:rPr>
                <w:color w:val="000000"/>
              </w:rPr>
            </w:pPr>
            <w:r w:rsidRPr="00BD676E">
              <w:rPr>
                <w:color w:val="000000"/>
              </w:rPr>
              <w:t>Montgomery</w:t>
            </w:r>
          </w:p>
        </w:tc>
        <w:tc>
          <w:tcPr>
            <w:tcW w:w="1226" w:type="dxa"/>
            <w:noWrap/>
            <w:hideMark/>
          </w:tcPr>
          <w:p w14:paraId="4AE51A75" w14:textId="77777777" w:rsidR="00E233A4" w:rsidRPr="00BD676E" w:rsidRDefault="00E233A4">
            <w:pPr>
              <w:jc w:val="center"/>
              <w:rPr>
                <w:color w:val="000000"/>
              </w:rPr>
            </w:pPr>
            <w:r w:rsidRPr="00BD676E">
              <w:rPr>
                <w:color w:val="000000"/>
              </w:rPr>
              <w:t>30445</w:t>
            </w:r>
          </w:p>
        </w:tc>
        <w:tc>
          <w:tcPr>
            <w:tcW w:w="1378" w:type="dxa"/>
          </w:tcPr>
          <w:p w14:paraId="5234D59E" w14:textId="77777777" w:rsidR="00E233A4" w:rsidRPr="00BD676E" w:rsidRDefault="00E233A4">
            <w:pPr>
              <w:jc w:val="center"/>
              <w:rPr>
                <w:color w:val="000000"/>
              </w:rPr>
            </w:pPr>
            <w:r w:rsidRPr="00BD676E">
              <w:rPr>
                <w:color w:val="000000"/>
              </w:rPr>
              <w:t>1</w:t>
            </w:r>
          </w:p>
        </w:tc>
      </w:tr>
      <w:tr w:rsidR="00E233A4" w:rsidRPr="00A20D79" w14:paraId="4D31D255" w14:textId="77777777">
        <w:trPr>
          <w:trHeight w:val="300"/>
          <w:jc w:val="center"/>
        </w:trPr>
        <w:tc>
          <w:tcPr>
            <w:tcW w:w="1158" w:type="dxa"/>
            <w:noWrap/>
            <w:hideMark/>
          </w:tcPr>
          <w:p w14:paraId="5A69461C" w14:textId="77777777" w:rsidR="00E233A4" w:rsidRPr="00BD676E" w:rsidRDefault="00E233A4">
            <w:pPr>
              <w:jc w:val="center"/>
              <w:rPr>
                <w:color w:val="000000"/>
              </w:rPr>
            </w:pPr>
            <w:r w:rsidRPr="00BD676E">
              <w:rPr>
                <w:color w:val="000000"/>
              </w:rPr>
              <w:lastRenderedPageBreak/>
              <w:t>8</w:t>
            </w:r>
          </w:p>
        </w:tc>
        <w:tc>
          <w:tcPr>
            <w:tcW w:w="3351" w:type="dxa"/>
            <w:hideMark/>
          </w:tcPr>
          <w:p w14:paraId="13B374C5" w14:textId="77777777" w:rsidR="00E233A4" w:rsidRPr="00BD676E" w:rsidRDefault="00E233A4">
            <w:pPr>
              <w:jc w:val="center"/>
              <w:rPr>
                <w:color w:val="000000"/>
              </w:rPr>
            </w:pPr>
            <w:r w:rsidRPr="00BD676E">
              <w:rPr>
                <w:color w:val="000000"/>
              </w:rPr>
              <w:t>Washington Ave &amp; Monroe St</w:t>
            </w:r>
          </w:p>
        </w:tc>
        <w:tc>
          <w:tcPr>
            <w:tcW w:w="1433" w:type="dxa"/>
            <w:noWrap/>
            <w:hideMark/>
          </w:tcPr>
          <w:p w14:paraId="66935FD0" w14:textId="77777777" w:rsidR="00E233A4" w:rsidRPr="00BD676E" w:rsidRDefault="00E233A4">
            <w:pPr>
              <w:jc w:val="center"/>
              <w:rPr>
                <w:color w:val="000000"/>
              </w:rPr>
            </w:pPr>
            <w:r w:rsidRPr="00BD676E">
              <w:rPr>
                <w:color w:val="000000"/>
              </w:rPr>
              <w:t>Talbotton</w:t>
            </w:r>
          </w:p>
        </w:tc>
        <w:tc>
          <w:tcPr>
            <w:tcW w:w="1439" w:type="dxa"/>
            <w:noWrap/>
            <w:hideMark/>
          </w:tcPr>
          <w:p w14:paraId="3ECF9BE2" w14:textId="77777777" w:rsidR="00E233A4" w:rsidRPr="00BD676E" w:rsidRDefault="00E233A4">
            <w:pPr>
              <w:jc w:val="center"/>
              <w:rPr>
                <w:color w:val="000000"/>
              </w:rPr>
            </w:pPr>
            <w:r w:rsidRPr="00BD676E">
              <w:rPr>
                <w:color w:val="000000"/>
              </w:rPr>
              <w:t>Talbot</w:t>
            </w:r>
          </w:p>
        </w:tc>
        <w:tc>
          <w:tcPr>
            <w:tcW w:w="1226" w:type="dxa"/>
            <w:noWrap/>
            <w:hideMark/>
          </w:tcPr>
          <w:p w14:paraId="3D9C0777" w14:textId="77777777" w:rsidR="00E233A4" w:rsidRPr="00BD676E" w:rsidRDefault="00E233A4">
            <w:pPr>
              <w:jc w:val="center"/>
              <w:rPr>
                <w:color w:val="000000"/>
              </w:rPr>
            </w:pPr>
            <w:r w:rsidRPr="00BD676E">
              <w:rPr>
                <w:color w:val="000000"/>
              </w:rPr>
              <w:t>31827</w:t>
            </w:r>
          </w:p>
        </w:tc>
        <w:tc>
          <w:tcPr>
            <w:tcW w:w="1378" w:type="dxa"/>
          </w:tcPr>
          <w:p w14:paraId="25D73C52" w14:textId="77777777" w:rsidR="00E233A4" w:rsidRPr="00BD676E" w:rsidRDefault="00E233A4">
            <w:pPr>
              <w:jc w:val="center"/>
              <w:rPr>
                <w:color w:val="000000"/>
              </w:rPr>
            </w:pPr>
            <w:r w:rsidRPr="00BD676E">
              <w:rPr>
                <w:color w:val="000000"/>
              </w:rPr>
              <w:t>2</w:t>
            </w:r>
          </w:p>
        </w:tc>
      </w:tr>
      <w:tr w:rsidR="00E233A4" w:rsidRPr="00A20D79" w14:paraId="0C8D478E" w14:textId="77777777">
        <w:trPr>
          <w:trHeight w:val="300"/>
          <w:jc w:val="center"/>
        </w:trPr>
        <w:tc>
          <w:tcPr>
            <w:tcW w:w="1158" w:type="dxa"/>
            <w:noWrap/>
            <w:hideMark/>
          </w:tcPr>
          <w:p w14:paraId="0B5ED7BB" w14:textId="77777777" w:rsidR="00E233A4" w:rsidRPr="00BD676E" w:rsidRDefault="00E233A4">
            <w:pPr>
              <w:jc w:val="center"/>
              <w:rPr>
                <w:color w:val="000000"/>
              </w:rPr>
            </w:pPr>
            <w:r w:rsidRPr="00BD676E">
              <w:rPr>
                <w:color w:val="000000"/>
              </w:rPr>
              <w:t>9</w:t>
            </w:r>
          </w:p>
        </w:tc>
        <w:tc>
          <w:tcPr>
            <w:tcW w:w="3351" w:type="dxa"/>
            <w:noWrap/>
            <w:hideMark/>
          </w:tcPr>
          <w:p w14:paraId="5086D409" w14:textId="77777777" w:rsidR="00E233A4" w:rsidRPr="00BD676E" w:rsidRDefault="00E233A4">
            <w:pPr>
              <w:jc w:val="center"/>
              <w:rPr>
                <w:color w:val="000000"/>
              </w:rPr>
            </w:pPr>
            <w:r w:rsidRPr="00BD676E">
              <w:rPr>
                <w:color w:val="000000"/>
              </w:rPr>
              <w:t>46 Norwood St</w:t>
            </w:r>
          </w:p>
        </w:tc>
        <w:tc>
          <w:tcPr>
            <w:tcW w:w="1433" w:type="dxa"/>
            <w:noWrap/>
            <w:hideMark/>
          </w:tcPr>
          <w:p w14:paraId="5F813276" w14:textId="77777777" w:rsidR="00E233A4" w:rsidRPr="00BD676E" w:rsidRDefault="00E233A4">
            <w:pPr>
              <w:jc w:val="center"/>
              <w:rPr>
                <w:color w:val="000000"/>
              </w:rPr>
            </w:pPr>
            <w:r w:rsidRPr="00BD676E">
              <w:rPr>
                <w:color w:val="000000"/>
              </w:rPr>
              <w:t>Warrenton</w:t>
            </w:r>
          </w:p>
        </w:tc>
        <w:tc>
          <w:tcPr>
            <w:tcW w:w="1439" w:type="dxa"/>
            <w:noWrap/>
            <w:hideMark/>
          </w:tcPr>
          <w:p w14:paraId="7A79C6DC" w14:textId="77777777" w:rsidR="00E233A4" w:rsidRPr="00BD676E" w:rsidRDefault="00E233A4">
            <w:pPr>
              <w:jc w:val="center"/>
              <w:rPr>
                <w:color w:val="000000"/>
              </w:rPr>
            </w:pPr>
            <w:r w:rsidRPr="00BD676E">
              <w:rPr>
                <w:color w:val="000000"/>
              </w:rPr>
              <w:t>Warren</w:t>
            </w:r>
          </w:p>
        </w:tc>
        <w:tc>
          <w:tcPr>
            <w:tcW w:w="1226" w:type="dxa"/>
            <w:hideMark/>
          </w:tcPr>
          <w:p w14:paraId="2CCED8A3" w14:textId="77777777" w:rsidR="00E233A4" w:rsidRPr="00BD676E" w:rsidRDefault="00E233A4">
            <w:pPr>
              <w:jc w:val="center"/>
            </w:pPr>
            <w:r w:rsidRPr="00BD676E">
              <w:t>30828</w:t>
            </w:r>
          </w:p>
        </w:tc>
        <w:tc>
          <w:tcPr>
            <w:tcW w:w="1378" w:type="dxa"/>
          </w:tcPr>
          <w:p w14:paraId="1659C2A7" w14:textId="77777777" w:rsidR="00E233A4" w:rsidRPr="00BD676E" w:rsidRDefault="00E233A4">
            <w:pPr>
              <w:jc w:val="center"/>
            </w:pPr>
            <w:r w:rsidRPr="00BD676E">
              <w:t>1</w:t>
            </w:r>
          </w:p>
        </w:tc>
      </w:tr>
      <w:tr w:rsidR="00E233A4" w:rsidRPr="00A20D79" w14:paraId="4188862D" w14:textId="77777777">
        <w:trPr>
          <w:trHeight w:val="300"/>
          <w:jc w:val="center"/>
        </w:trPr>
        <w:tc>
          <w:tcPr>
            <w:tcW w:w="1158" w:type="dxa"/>
            <w:noWrap/>
            <w:hideMark/>
          </w:tcPr>
          <w:p w14:paraId="22FEBF9F" w14:textId="77777777" w:rsidR="00E233A4" w:rsidRPr="00BD676E" w:rsidRDefault="00E233A4">
            <w:pPr>
              <w:jc w:val="center"/>
              <w:rPr>
                <w:color w:val="000000"/>
              </w:rPr>
            </w:pPr>
            <w:r w:rsidRPr="00BD676E">
              <w:rPr>
                <w:color w:val="000000"/>
              </w:rPr>
              <w:t>10</w:t>
            </w:r>
          </w:p>
        </w:tc>
        <w:tc>
          <w:tcPr>
            <w:tcW w:w="3351" w:type="dxa"/>
            <w:noWrap/>
            <w:hideMark/>
          </w:tcPr>
          <w:p w14:paraId="2209F09C" w14:textId="77777777" w:rsidR="00E233A4" w:rsidRPr="00BD676E" w:rsidRDefault="00E233A4">
            <w:pPr>
              <w:jc w:val="center"/>
              <w:rPr>
                <w:color w:val="000000"/>
              </w:rPr>
            </w:pPr>
            <w:r w:rsidRPr="00BD676E">
              <w:rPr>
                <w:color w:val="000000"/>
              </w:rPr>
              <w:t>102 Plyler St</w:t>
            </w:r>
          </w:p>
        </w:tc>
        <w:tc>
          <w:tcPr>
            <w:tcW w:w="1433" w:type="dxa"/>
            <w:noWrap/>
            <w:hideMark/>
          </w:tcPr>
          <w:p w14:paraId="72604CD6" w14:textId="77777777" w:rsidR="00E233A4" w:rsidRPr="00BD676E" w:rsidRDefault="00E233A4">
            <w:pPr>
              <w:jc w:val="center"/>
              <w:rPr>
                <w:color w:val="000000"/>
              </w:rPr>
            </w:pPr>
            <w:r w:rsidRPr="00BD676E">
              <w:rPr>
                <w:color w:val="000000"/>
              </w:rPr>
              <w:t xml:space="preserve">Claxton </w:t>
            </w:r>
          </w:p>
        </w:tc>
        <w:tc>
          <w:tcPr>
            <w:tcW w:w="1439" w:type="dxa"/>
            <w:noWrap/>
            <w:hideMark/>
          </w:tcPr>
          <w:p w14:paraId="7370A879" w14:textId="77777777" w:rsidR="00E233A4" w:rsidRPr="00BD676E" w:rsidRDefault="00E233A4">
            <w:pPr>
              <w:jc w:val="center"/>
              <w:rPr>
                <w:color w:val="000000"/>
              </w:rPr>
            </w:pPr>
            <w:r w:rsidRPr="00BD676E">
              <w:rPr>
                <w:color w:val="000000"/>
              </w:rPr>
              <w:t>Evans</w:t>
            </w:r>
          </w:p>
        </w:tc>
        <w:tc>
          <w:tcPr>
            <w:tcW w:w="1226" w:type="dxa"/>
            <w:hideMark/>
          </w:tcPr>
          <w:p w14:paraId="43FC182D" w14:textId="77777777" w:rsidR="00E233A4" w:rsidRPr="00BD676E" w:rsidRDefault="00E233A4">
            <w:pPr>
              <w:jc w:val="center"/>
            </w:pPr>
            <w:r w:rsidRPr="00BD676E">
              <w:t>30417</w:t>
            </w:r>
          </w:p>
        </w:tc>
        <w:tc>
          <w:tcPr>
            <w:tcW w:w="1378" w:type="dxa"/>
          </w:tcPr>
          <w:p w14:paraId="393857AE" w14:textId="77777777" w:rsidR="00E233A4" w:rsidRPr="00BD676E" w:rsidRDefault="00E233A4">
            <w:pPr>
              <w:jc w:val="center"/>
            </w:pPr>
            <w:r w:rsidRPr="00BD676E">
              <w:t>2</w:t>
            </w:r>
          </w:p>
        </w:tc>
      </w:tr>
      <w:tr w:rsidR="00E233A4" w:rsidRPr="00A20D79" w14:paraId="23177666" w14:textId="77777777">
        <w:trPr>
          <w:trHeight w:val="300"/>
          <w:jc w:val="center"/>
        </w:trPr>
        <w:tc>
          <w:tcPr>
            <w:tcW w:w="1158" w:type="dxa"/>
            <w:noWrap/>
            <w:hideMark/>
          </w:tcPr>
          <w:p w14:paraId="2D904FA1" w14:textId="77777777" w:rsidR="00E233A4" w:rsidRPr="00BD676E" w:rsidRDefault="00E233A4">
            <w:pPr>
              <w:jc w:val="center"/>
              <w:rPr>
                <w:color w:val="000000"/>
              </w:rPr>
            </w:pPr>
            <w:r w:rsidRPr="00BD676E">
              <w:rPr>
                <w:color w:val="000000"/>
              </w:rPr>
              <w:t>11</w:t>
            </w:r>
          </w:p>
        </w:tc>
        <w:tc>
          <w:tcPr>
            <w:tcW w:w="3351" w:type="dxa"/>
            <w:noWrap/>
            <w:hideMark/>
          </w:tcPr>
          <w:p w14:paraId="144BA0D1" w14:textId="77777777" w:rsidR="00E233A4" w:rsidRPr="00BD676E" w:rsidRDefault="00E233A4">
            <w:pPr>
              <w:jc w:val="center"/>
              <w:rPr>
                <w:color w:val="000000"/>
              </w:rPr>
            </w:pPr>
            <w:r w:rsidRPr="00BD676E">
              <w:rPr>
                <w:color w:val="000000"/>
              </w:rPr>
              <w:t>154 E Tallahassee St</w:t>
            </w:r>
          </w:p>
        </w:tc>
        <w:tc>
          <w:tcPr>
            <w:tcW w:w="1433" w:type="dxa"/>
            <w:noWrap/>
            <w:hideMark/>
          </w:tcPr>
          <w:p w14:paraId="346536C9" w14:textId="77777777" w:rsidR="00E233A4" w:rsidRPr="00BD676E" w:rsidRDefault="00E233A4">
            <w:pPr>
              <w:jc w:val="center"/>
              <w:rPr>
                <w:color w:val="000000"/>
              </w:rPr>
            </w:pPr>
            <w:r w:rsidRPr="00BD676E">
              <w:rPr>
                <w:color w:val="000000"/>
              </w:rPr>
              <w:t>Hazlehurst</w:t>
            </w:r>
          </w:p>
        </w:tc>
        <w:tc>
          <w:tcPr>
            <w:tcW w:w="1439" w:type="dxa"/>
            <w:noWrap/>
            <w:hideMark/>
          </w:tcPr>
          <w:p w14:paraId="29F39416" w14:textId="77777777" w:rsidR="00E233A4" w:rsidRPr="00BD676E" w:rsidRDefault="00E233A4">
            <w:pPr>
              <w:jc w:val="center"/>
              <w:rPr>
                <w:color w:val="000000"/>
              </w:rPr>
            </w:pPr>
            <w:r w:rsidRPr="00BD676E">
              <w:rPr>
                <w:color w:val="000000"/>
              </w:rPr>
              <w:t>Jeff Davis</w:t>
            </w:r>
          </w:p>
        </w:tc>
        <w:tc>
          <w:tcPr>
            <w:tcW w:w="1226" w:type="dxa"/>
            <w:hideMark/>
          </w:tcPr>
          <w:p w14:paraId="0084EC62" w14:textId="77777777" w:rsidR="00E233A4" w:rsidRPr="00BD676E" w:rsidRDefault="00E233A4">
            <w:pPr>
              <w:jc w:val="center"/>
            </w:pPr>
            <w:r w:rsidRPr="00BD676E">
              <w:t>31539</w:t>
            </w:r>
          </w:p>
        </w:tc>
        <w:tc>
          <w:tcPr>
            <w:tcW w:w="1378" w:type="dxa"/>
          </w:tcPr>
          <w:p w14:paraId="066D1DA8" w14:textId="77777777" w:rsidR="00E233A4" w:rsidRPr="00BD676E" w:rsidRDefault="00E233A4">
            <w:pPr>
              <w:jc w:val="center"/>
            </w:pPr>
            <w:r w:rsidRPr="00BD676E">
              <w:t>1</w:t>
            </w:r>
          </w:p>
        </w:tc>
      </w:tr>
    </w:tbl>
    <w:p w14:paraId="5625E726" w14:textId="77777777" w:rsidR="00E233A4" w:rsidRDefault="00E233A4" w:rsidP="00E233A4">
      <w:pPr>
        <w:jc w:val="center"/>
      </w:pPr>
    </w:p>
    <w:p w14:paraId="21120AF5" w14:textId="77777777" w:rsidR="00E233A4" w:rsidRDefault="00E233A4" w:rsidP="00E233A4">
      <w:pPr>
        <w:sectPr w:rsidR="00E233A4" w:rsidSect="00E233A4">
          <w:footerReference w:type="default" r:id="rId11"/>
          <w:type w:val="continuous"/>
          <w:pgSz w:w="12240" w:h="15840"/>
          <w:pgMar w:top="1440" w:right="1440" w:bottom="1440" w:left="1440" w:header="720" w:footer="720" w:gutter="0"/>
          <w:cols w:space="720"/>
          <w:docGrid w:linePitch="360"/>
        </w:sectPr>
      </w:pPr>
    </w:p>
    <w:p w14:paraId="07219149" w14:textId="0B9B1940" w:rsidR="00E233A4" w:rsidRDefault="009D714C" w:rsidP="00E233A4">
      <w:r>
        <w:t>Locations for charging stations are subject to the following</w:t>
      </w:r>
      <w:r w:rsidR="00E233A4">
        <w:t xml:space="preserve"> conditions: </w:t>
      </w:r>
    </w:p>
    <w:p w14:paraId="2DCF4BAD" w14:textId="77777777" w:rsidR="00E233A4" w:rsidRDefault="00E233A4" w:rsidP="00E233A4"/>
    <w:p w14:paraId="0497017F" w14:textId="77777777" w:rsidR="00E233A4" w:rsidRPr="009E1013" w:rsidRDefault="00E233A4" w:rsidP="00E233A4">
      <w:pPr>
        <w:pStyle w:val="ListParagraph"/>
        <w:numPr>
          <w:ilvl w:val="0"/>
          <w:numId w:val="1"/>
        </w:numPr>
        <w:spacing w:line="360" w:lineRule="auto"/>
        <w:contextualSpacing w:val="0"/>
      </w:pPr>
      <w:r w:rsidRPr="009E1013">
        <w:rPr>
          <w:b/>
          <w:bCs/>
        </w:rPr>
        <w:t>Locations</w:t>
      </w:r>
      <w:r w:rsidRPr="009E1013">
        <w:t xml:space="preserve"> – The Term Sheet provides an annual budget of $3 million for the program, and a stipulation that any proposed location is subject to a 60-day Right of First Refusal (“ROFR”) process. </w:t>
      </w:r>
    </w:p>
    <w:p w14:paraId="302109DA" w14:textId="77777777" w:rsidR="00E233A4" w:rsidRPr="009E1013" w:rsidRDefault="00E233A4" w:rsidP="00E233A4">
      <w:pPr>
        <w:pStyle w:val="ListParagraph"/>
        <w:spacing w:line="360" w:lineRule="auto"/>
      </w:pPr>
    </w:p>
    <w:p w14:paraId="7E83CA2E" w14:textId="77777777" w:rsidR="00E233A4" w:rsidRPr="009E1013" w:rsidRDefault="00E233A4" w:rsidP="00E233A4">
      <w:pPr>
        <w:pStyle w:val="ListParagraph"/>
        <w:numPr>
          <w:ilvl w:val="0"/>
          <w:numId w:val="1"/>
        </w:numPr>
        <w:spacing w:line="360" w:lineRule="auto"/>
        <w:contextualSpacing w:val="0"/>
      </w:pPr>
      <w:r w:rsidRPr="009E1013">
        <w:rPr>
          <w:b/>
          <w:bCs/>
        </w:rPr>
        <w:t>Eligibility</w:t>
      </w:r>
      <w:r w:rsidRPr="009E1013">
        <w:t xml:space="preserve"> – The location falls within a Tier 1 or Tier 2 county under the most current Job Tax Credit Rankings. The most recent Memorandum pertaining to Job Tax Credit Rankings for 2025 was presented to Governor Brian Kemp on December 30, 2024. </w:t>
      </w:r>
    </w:p>
    <w:p w14:paraId="20F04CAF" w14:textId="77777777" w:rsidR="00E233A4" w:rsidRPr="009E1013" w:rsidRDefault="00E233A4" w:rsidP="00E233A4">
      <w:pPr>
        <w:pStyle w:val="ListParagraph"/>
        <w:spacing w:line="360" w:lineRule="auto"/>
      </w:pPr>
    </w:p>
    <w:p w14:paraId="3DBAA6B9" w14:textId="77777777" w:rsidR="00E233A4" w:rsidRPr="009E1013" w:rsidRDefault="00E233A4" w:rsidP="00E233A4">
      <w:pPr>
        <w:pStyle w:val="ListParagraph"/>
        <w:numPr>
          <w:ilvl w:val="0"/>
          <w:numId w:val="1"/>
        </w:numPr>
        <w:spacing w:line="360" w:lineRule="auto"/>
        <w:contextualSpacing w:val="0"/>
      </w:pPr>
      <w:r w:rsidRPr="009E1013">
        <w:rPr>
          <w:b/>
          <w:bCs/>
        </w:rPr>
        <w:t>15-mile restriction</w:t>
      </w:r>
      <w:r w:rsidRPr="009E1013">
        <w:t xml:space="preserve"> – ROFR locations must be within a 15-mile radius from the Crossroads presented in the Company’s filing. </w:t>
      </w:r>
    </w:p>
    <w:p w14:paraId="3C9AD62F" w14:textId="77777777" w:rsidR="00E233A4" w:rsidRDefault="00E233A4" w:rsidP="00E233A4">
      <w:pPr>
        <w:ind w:firstLine="360"/>
      </w:pPr>
    </w:p>
    <w:p w14:paraId="71A72126" w14:textId="58245DA0" w:rsidR="00E233A4" w:rsidRDefault="00E233A4" w:rsidP="00E233A4">
      <w:pPr>
        <w:spacing w:line="360" w:lineRule="auto"/>
        <w:ind w:firstLine="360"/>
      </w:pPr>
      <w:r>
        <w:t>On April 4, 2025, Americans for Affordable Clean Energy (“AACE”) filed comments on the Company’s Plan. AACE, noted that</w:t>
      </w:r>
      <w:r w:rsidR="00511D16">
        <w:t xml:space="preserve"> not</w:t>
      </w:r>
      <w:r>
        <w:t xml:space="preserve"> all </w:t>
      </w:r>
      <w:r w:rsidR="007B2D26">
        <w:t>proposed charger</w:t>
      </w:r>
      <w:r w:rsidR="00511D16">
        <w:t>s</w:t>
      </w:r>
      <w:r w:rsidR="007B2D26">
        <w:t xml:space="preserve"> were </w:t>
      </w:r>
      <w:r>
        <w:t xml:space="preserve">within the </w:t>
      </w:r>
      <w:r w:rsidR="007B2D26">
        <w:t xml:space="preserve">program </w:t>
      </w:r>
      <w:r>
        <w:t xml:space="preserve">guidelines. </w:t>
      </w:r>
    </w:p>
    <w:p w14:paraId="2AB8FF2A" w14:textId="77777777" w:rsidR="00E233A4" w:rsidRDefault="00E233A4" w:rsidP="00E233A4">
      <w:pPr>
        <w:spacing w:line="360" w:lineRule="auto"/>
        <w:ind w:firstLine="360"/>
      </w:pPr>
    </w:p>
    <w:p w14:paraId="71B7E110" w14:textId="0628B7DE" w:rsidR="00E233A4" w:rsidRDefault="00E233A4" w:rsidP="00E233A4">
      <w:pPr>
        <w:spacing w:line="360" w:lineRule="auto"/>
        <w:ind w:firstLine="360"/>
      </w:pPr>
      <w:r>
        <w:t>AACE note</w:t>
      </w:r>
      <w:r w:rsidR="001E7E21">
        <w:t>d</w:t>
      </w:r>
      <w:r>
        <w:t xml:space="preserve"> that “</w:t>
      </w:r>
      <w:r w:rsidR="00992EBD">
        <w:t>[F]</w:t>
      </w:r>
      <w:r>
        <w:t>our (4) of the Company’s Community Chargers present an interesting issue because they are located within fifteen (15) miles of an existing fast charger.” A</w:t>
      </w:r>
      <w:r w:rsidR="002570BE">
        <w:t>ACE asked further</w:t>
      </w:r>
      <w:r>
        <w:t xml:space="preserve"> “…whether placement of a Community Charger within fifteen (15) miles of an already existing Company or privately-owned charger at ratepayer expense advanced the goal of providing EV Chargers in truly unserved areas?” </w:t>
      </w:r>
    </w:p>
    <w:p w14:paraId="278DA9B3" w14:textId="77777777" w:rsidR="00E233A4" w:rsidRDefault="00E233A4" w:rsidP="00E233A4">
      <w:pPr>
        <w:spacing w:line="360" w:lineRule="auto"/>
        <w:ind w:firstLine="360"/>
      </w:pPr>
    </w:p>
    <w:p w14:paraId="3642178D" w14:textId="0C91DAD3" w:rsidR="00E233A4" w:rsidRDefault="0058472B" w:rsidP="00E233A4">
      <w:pPr>
        <w:spacing w:line="360" w:lineRule="auto"/>
        <w:ind w:firstLine="360"/>
      </w:pPr>
      <w:r>
        <w:t xml:space="preserve">After Staff review, the </w:t>
      </w:r>
      <w:r w:rsidR="00E233A4">
        <w:t xml:space="preserve">Company </w:t>
      </w:r>
      <w:r>
        <w:t>acknowledged</w:t>
      </w:r>
      <w:r w:rsidR="00E233A4">
        <w:t xml:space="preserve">, three (3) of the (4) locations are within a fifteen (15) mile radius of an existing charging station. The fourth location, Proposal 11, </w:t>
      </w:r>
      <w:r w:rsidR="00A45210">
        <w:t>was</w:t>
      </w:r>
      <w:r w:rsidR="00E233A4">
        <w:t xml:space="preserve"> “... located just over fifteen miles from Hazlehurst by road, but within fifteen (15) miles as the crow flies.” A further point of contention by both Staff and AACE </w:t>
      </w:r>
      <w:r w:rsidR="0068358C">
        <w:t>was</w:t>
      </w:r>
      <w:r w:rsidR="00E233A4">
        <w:t xml:space="preserve"> that one of the proposed </w:t>
      </w:r>
      <w:r w:rsidR="00E233A4">
        <w:lastRenderedPageBreak/>
        <w:t>locations, Proposal 4 - 2025, f</w:t>
      </w:r>
      <w:r w:rsidR="00CF67F0">
        <w:t>e</w:t>
      </w:r>
      <w:r w:rsidR="00E233A4">
        <w:t xml:space="preserve">ll within a fifteen (15) mile radius of Proposal 4 – 2024 for Cedartown. </w:t>
      </w:r>
    </w:p>
    <w:p w14:paraId="208E5610" w14:textId="77777777" w:rsidR="00E233A4" w:rsidRDefault="00E233A4" w:rsidP="00E233A4">
      <w:pPr>
        <w:spacing w:line="360" w:lineRule="auto"/>
      </w:pPr>
    </w:p>
    <w:p w14:paraId="0F88757D" w14:textId="77777777" w:rsidR="00E233A4" w:rsidRDefault="00E233A4" w:rsidP="00E233A4">
      <w:pPr>
        <w:spacing w:line="360" w:lineRule="auto"/>
        <w:ind w:firstLine="360"/>
        <w:sectPr w:rsidR="00E233A4" w:rsidSect="00E233A4">
          <w:footerReference w:type="default" r:id="rId12"/>
          <w:type w:val="continuous"/>
          <w:pgSz w:w="12240" w:h="15840"/>
          <w:pgMar w:top="1440" w:right="1440" w:bottom="1440" w:left="1440" w:header="720" w:footer="720" w:gutter="0"/>
          <w:cols w:space="720"/>
          <w:docGrid w:linePitch="360"/>
        </w:sectPr>
      </w:pPr>
    </w:p>
    <w:p w14:paraId="010FEF71" w14:textId="4DC092C5" w:rsidR="00E233A4" w:rsidRDefault="00E233A4" w:rsidP="00E233A4">
      <w:pPr>
        <w:spacing w:line="360" w:lineRule="auto"/>
        <w:ind w:firstLine="360"/>
      </w:pPr>
      <w:r>
        <w:t xml:space="preserve">With input from Commission Staff, AACE, and the Company on June </w:t>
      </w:r>
      <w:r w:rsidR="00BF37D9">
        <w:t>1</w:t>
      </w:r>
      <w:r>
        <w:t xml:space="preserve">3, 2025, the Commission ordered: “… that Georgia Power Company’s eight remaining Community Charging locations for the year 2025 are hereby approved, and proposals No. 3, 4 and 9 are not approved,” presented </w:t>
      </w:r>
      <w:r w:rsidR="00935167">
        <w:t xml:space="preserve">below </w:t>
      </w:r>
      <w:r>
        <w:t xml:space="preserve">in Figure 2. </w:t>
      </w:r>
    </w:p>
    <w:p w14:paraId="5B6169E9" w14:textId="77777777" w:rsidR="00E233A4" w:rsidRDefault="00E233A4" w:rsidP="00E233A4">
      <w:pPr>
        <w:spacing w:line="360" w:lineRule="auto"/>
      </w:pPr>
    </w:p>
    <w:p w14:paraId="432901C3" w14:textId="4F1F9759" w:rsidR="00E233A4" w:rsidRDefault="00E233A4" w:rsidP="00E233A4">
      <w:pPr>
        <w:jc w:val="center"/>
      </w:pPr>
      <w:r>
        <w:t xml:space="preserve">Figure 2. </w:t>
      </w:r>
      <w:r w:rsidR="72DD046B">
        <w:t xml:space="preserve">Unapproved </w:t>
      </w:r>
      <w:r>
        <w:t xml:space="preserve">Original Proposals </w:t>
      </w:r>
    </w:p>
    <w:p w14:paraId="17356D49" w14:textId="77777777" w:rsidR="00E233A4" w:rsidRDefault="00E233A4" w:rsidP="00E233A4">
      <w:pPr>
        <w:jc w:val="center"/>
      </w:pPr>
    </w:p>
    <w:tbl>
      <w:tblPr>
        <w:tblStyle w:val="TableGrid"/>
        <w:tblW w:w="10440" w:type="dxa"/>
        <w:jc w:val="center"/>
        <w:tblLook w:val="04A0" w:firstRow="1" w:lastRow="0" w:firstColumn="1" w:lastColumn="0" w:noHBand="0" w:noVBand="1"/>
      </w:tblPr>
      <w:tblGrid>
        <w:gridCol w:w="1200"/>
        <w:gridCol w:w="2297"/>
        <w:gridCol w:w="1420"/>
        <w:gridCol w:w="2730"/>
        <w:gridCol w:w="1275"/>
        <w:gridCol w:w="1518"/>
      </w:tblGrid>
      <w:tr w:rsidR="00E233A4" w:rsidRPr="00820A22" w14:paraId="45C93199" w14:textId="77777777" w:rsidTr="00737B2F">
        <w:trPr>
          <w:trHeight w:val="315"/>
          <w:jc w:val="center"/>
        </w:trPr>
        <w:tc>
          <w:tcPr>
            <w:tcW w:w="1200" w:type="dxa"/>
            <w:noWrap/>
            <w:hideMark/>
          </w:tcPr>
          <w:p w14:paraId="77AE3C05" w14:textId="77777777" w:rsidR="00E233A4" w:rsidRPr="00820A22" w:rsidRDefault="00E233A4">
            <w:pPr>
              <w:jc w:val="center"/>
              <w:rPr>
                <w:color w:val="000000"/>
              </w:rPr>
            </w:pPr>
            <w:r w:rsidRPr="00820A22">
              <w:rPr>
                <w:color w:val="000000"/>
              </w:rPr>
              <w:t>Proposal</w:t>
            </w:r>
          </w:p>
        </w:tc>
        <w:tc>
          <w:tcPr>
            <w:tcW w:w="2297" w:type="dxa"/>
            <w:noWrap/>
            <w:hideMark/>
          </w:tcPr>
          <w:p w14:paraId="724175FD" w14:textId="77777777" w:rsidR="00E233A4" w:rsidRPr="00820A22" w:rsidRDefault="00E233A4">
            <w:pPr>
              <w:jc w:val="center"/>
              <w:rPr>
                <w:color w:val="000000"/>
              </w:rPr>
            </w:pPr>
            <w:r w:rsidRPr="00820A22">
              <w:rPr>
                <w:color w:val="000000"/>
              </w:rPr>
              <w:t>Intersection</w:t>
            </w:r>
          </w:p>
        </w:tc>
        <w:tc>
          <w:tcPr>
            <w:tcW w:w="1420" w:type="dxa"/>
            <w:noWrap/>
            <w:hideMark/>
          </w:tcPr>
          <w:p w14:paraId="54585396" w14:textId="77777777" w:rsidR="00E233A4" w:rsidRPr="00820A22" w:rsidRDefault="00E233A4">
            <w:pPr>
              <w:jc w:val="center"/>
              <w:rPr>
                <w:color w:val="000000"/>
              </w:rPr>
            </w:pPr>
            <w:r w:rsidRPr="00820A22">
              <w:rPr>
                <w:color w:val="000000"/>
              </w:rPr>
              <w:t>C</w:t>
            </w:r>
            <w:r>
              <w:rPr>
                <w:color w:val="000000"/>
              </w:rPr>
              <w:t>ity</w:t>
            </w:r>
          </w:p>
        </w:tc>
        <w:tc>
          <w:tcPr>
            <w:tcW w:w="2730" w:type="dxa"/>
            <w:noWrap/>
            <w:hideMark/>
          </w:tcPr>
          <w:p w14:paraId="5B8B71E4" w14:textId="77777777" w:rsidR="00E233A4" w:rsidRPr="00820A22" w:rsidRDefault="00E233A4">
            <w:pPr>
              <w:jc w:val="center"/>
              <w:rPr>
                <w:color w:val="000000" w:themeColor="text1"/>
              </w:rPr>
            </w:pPr>
            <w:r w:rsidRPr="4AB7856C">
              <w:rPr>
                <w:color w:val="000000" w:themeColor="text1"/>
              </w:rPr>
              <w:t>Existing Charger(</w:t>
            </w:r>
            <w:r w:rsidRPr="1A93AFF1">
              <w:rPr>
                <w:color w:val="000000" w:themeColor="text1"/>
              </w:rPr>
              <w:t xml:space="preserve">s) </w:t>
            </w:r>
          </w:p>
          <w:p w14:paraId="0F9D0DD9" w14:textId="77777777" w:rsidR="00E233A4" w:rsidRPr="00820A22" w:rsidRDefault="00E233A4">
            <w:pPr>
              <w:jc w:val="center"/>
              <w:rPr>
                <w:color w:val="000000"/>
              </w:rPr>
            </w:pPr>
            <w:r w:rsidRPr="713B12CB">
              <w:rPr>
                <w:color w:val="000000" w:themeColor="text1"/>
              </w:rPr>
              <w:t>Nearby</w:t>
            </w:r>
          </w:p>
        </w:tc>
        <w:tc>
          <w:tcPr>
            <w:tcW w:w="1275" w:type="dxa"/>
            <w:noWrap/>
            <w:hideMark/>
          </w:tcPr>
          <w:p w14:paraId="17290564" w14:textId="77777777" w:rsidR="00E233A4" w:rsidRPr="00820A22" w:rsidRDefault="00E233A4">
            <w:pPr>
              <w:jc w:val="center"/>
              <w:rPr>
                <w:color w:val="000000"/>
              </w:rPr>
            </w:pPr>
            <w:r w:rsidRPr="00820A22">
              <w:rPr>
                <w:color w:val="000000"/>
              </w:rPr>
              <w:t>City</w:t>
            </w:r>
          </w:p>
        </w:tc>
        <w:tc>
          <w:tcPr>
            <w:tcW w:w="1518" w:type="dxa"/>
            <w:noWrap/>
            <w:hideMark/>
          </w:tcPr>
          <w:p w14:paraId="1BC092B7" w14:textId="77777777" w:rsidR="00E233A4" w:rsidRPr="00820A22" w:rsidRDefault="00E233A4">
            <w:pPr>
              <w:jc w:val="center"/>
              <w:rPr>
                <w:color w:val="000000"/>
              </w:rPr>
            </w:pPr>
            <w:r w:rsidRPr="00820A22">
              <w:rPr>
                <w:color w:val="000000"/>
              </w:rPr>
              <w:t>Distance</w:t>
            </w:r>
          </w:p>
        </w:tc>
      </w:tr>
      <w:tr w:rsidR="00E233A4" w:rsidRPr="00820A22" w14:paraId="03256EE4" w14:textId="77777777" w:rsidTr="00737B2F">
        <w:trPr>
          <w:trHeight w:val="1200"/>
          <w:jc w:val="center"/>
        </w:trPr>
        <w:tc>
          <w:tcPr>
            <w:tcW w:w="1200" w:type="dxa"/>
            <w:noWrap/>
            <w:hideMark/>
          </w:tcPr>
          <w:p w14:paraId="5280A07C" w14:textId="77777777" w:rsidR="00E233A4" w:rsidRPr="00820A22" w:rsidRDefault="00E233A4">
            <w:pPr>
              <w:jc w:val="center"/>
              <w:rPr>
                <w:color w:val="000000"/>
              </w:rPr>
            </w:pPr>
            <w:r w:rsidRPr="00820A22">
              <w:rPr>
                <w:color w:val="000000"/>
              </w:rPr>
              <w:t>3</w:t>
            </w:r>
          </w:p>
        </w:tc>
        <w:tc>
          <w:tcPr>
            <w:tcW w:w="2297" w:type="dxa"/>
            <w:noWrap/>
            <w:hideMark/>
          </w:tcPr>
          <w:p w14:paraId="2B999016" w14:textId="77777777" w:rsidR="00E233A4" w:rsidRPr="00820A22" w:rsidRDefault="00E233A4">
            <w:pPr>
              <w:jc w:val="center"/>
              <w:rPr>
                <w:color w:val="000000"/>
              </w:rPr>
            </w:pPr>
            <w:r w:rsidRPr="00820A22">
              <w:rPr>
                <w:color w:val="000000"/>
              </w:rPr>
              <w:t>Hemlock St &amp; Main St</w:t>
            </w:r>
          </w:p>
        </w:tc>
        <w:tc>
          <w:tcPr>
            <w:tcW w:w="1420" w:type="dxa"/>
            <w:noWrap/>
            <w:hideMark/>
          </w:tcPr>
          <w:p w14:paraId="3D396A11" w14:textId="77777777" w:rsidR="00E233A4" w:rsidRPr="00820A22" w:rsidRDefault="00E233A4">
            <w:pPr>
              <w:jc w:val="center"/>
              <w:rPr>
                <w:color w:val="000000"/>
              </w:rPr>
            </w:pPr>
            <w:proofErr w:type="spellStart"/>
            <w:r w:rsidRPr="00820A22">
              <w:rPr>
                <w:color w:val="000000"/>
              </w:rPr>
              <w:t>Porterdale</w:t>
            </w:r>
            <w:proofErr w:type="spellEnd"/>
          </w:p>
        </w:tc>
        <w:tc>
          <w:tcPr>
            <w:tcW w:w="2730" w:type="dxa"/>
            <w:hideMark/>
          </w:tcPr>
          <w:p w14:paraId="5EA6F25A" w14:textId="77777777" w:rsidR="00E233A4" w:rsidRPr="00820A22" w:rsidRDefault="00E233A4">
            <w:pPr>
              <w:jc w:val="center"/>
              <w:rPr>
                <w:color w:val="000000"/>
              </w:rPr>
            </w:pPr>
            <w:r w:rsidRPr="00820A22">
              <w:rPr>
                <w:color w:val="000000"/>
              </w:rPr>
              <w:t>Tesla Superchargers Covington</w:t>
            </w:r>
            <w:r w:rsidRPr="00820A22">
              <w:rPr>
                <w:color w:val="000000"/>
              </w:rPr>
              <w:br/>
            </w:r>
            <w:r w:rsidRPr="00820A22">
              <w:rPr>
                <w:color w:val="000000"/>
              </w:rPr>
              <w:br/>
              <w:t>Target T-2174</w:t>
            </w:r>
          </w:p>
        </w:tc>
        <w:tc>
          <w:tcPr>
            <w:tcW w:w="1275" w:type="dxa"/>
            <w:hideMark/>
          </w:tcPr>
          <w:p w14:paraId="45AC6147" w14:textId="77777777" w:rsidR="00E233A4" w:rsidRPr="00820A22" w:rsidRDefault="00E233A4">
            <w:pPr>
              <w:jc w:val="center"/>
              <w:rPr>
                <w:color w:val="000000" w:themeColor="text1"/>
              </w:rPr>
            </w:pPr>
            <w:r w:rsidRPr="2E3F55CF">
              <w:rPr>
                <w:color w:val="000000" w:themeColor="text1"/>
              </w:rPr>
              <w:t>Covington</w:t>
            </w:r>
            <w:r>
              <w:br/>
            </w:r>
            <w:r>
              <w:br/>
            </w:r>
          </w:p>
          <w:p w14:paraId="011CC0EE" w14:textId="77777777" w:rsidR="00E233A4" w:rsidRPr="00820A22" w:rsidRDefault="00E233A4">
            <w:pPr>
              <w:jc w:val="center"/>
              <w:rPr>
                <w:color w:val="000000"/>
              </w:rPr>
            </w:pPr>
            <w:r w:rsidRPr="2E3F55CF">
              <w:rPr>
                <w:color w:val="000000" w:themeColor="text1"/>
              </w:rPr>
              <w:t>Conyers</w:t>
            </w:r>
          </w:p>
        </w:tc>
        <w:tc>
          <w:tcPr>
            <w:tcW w:w="1518" w:type="dxa"/>
            <w:hideMark/>
          </w:tcPr>
          <w:p w14:paraId="47221FA9" w14:textId="77777777" w:rsidR="00E233A4" w:rsidRPr="00820A22" w:rsidRDefault="00E233A4">
            <w:pPr>
              <w:jc w:val="center"/>
              <w:rPr>
                <w:color w:val="000000"/>
              </w:rPr>
            </w:pPr>
            <w:r w:rsidRPr="00820A22">
              <w:rPr>
                <w:color w:val="000000"/>
              </w:rPr>
              <w:t>4.8 miles</w:t>
            </w:r>
            <w:r w:rsidRPr="00820A22">
              <w:rPr>
                <w:color w:val="000000"/>
              </w:rPr>
              <w:br/>
            </w:r>
            <w:r w:rsidRPr="00820A22">
              <w:rPr>
                <w:color w:val="000000"/>
              </w:rPr>
              <w:br/>
              <w:t>8.0 miles</w:t>
            </w:r>
          </w:p>
        </w:tc>
      </w:tr>
      <w:tr w:rsidR="00E233A4" w:rsidRPr="00820A22" w14:paraId="1ED3DBA1" w14:textId="77777777" w:rsidTr="00737B2F">
        <w:trPr>
          <w:trHeight w:val="780"/>
          <w:jc w:val="center"/>
        </w:trPr>
        <w:tc>
          <w:tcPr>
            <w:tcW w:w="1200" w:type="dxa"/>
            <w:noWrap/>
            <w:hideMark/>
          </w:tcPr>
          <w:p w14:paraId="4E1BCD43" w14:textId="77777777" w:rsidR="00E233A4" w:rsidRPr="00820A22" w:rsidRDefault="00E233A4">
            <w:pPr>
              <w:jc w:val="center"/>
              <w:rPr>
                <w:color w:val="000000"/>
              </w:rPr>
            </w:pPr>
            <w:r w:rsidRPr="00820A22">
              <w:rPr>
                <w:color w:val="000000"/>
              </w:rPr>
              <w:t>4</w:t>
            </w:r>
          </w:p>
        </w:tc>
        <w:tc>
          <w:tcPr>
            <w:tcW w:w="2297" w:type="dxa"/>
            <w:noWrap/>
            <w:hideMark/>
          </w:tcPr>
          <w:p w14:paraId="1B9E522B" w14:textId="77777777" w:rsidR="00E233A4" w:rsidRPr="00820A22" w:rsidRDefault="00E233A4">
            <w:pPr>
              <w:jc w:val="center"/>
              <w:rPr>
                <w:color w:val="000000"/>
              </w:rPr>
            </w:pPr>
            <w:r w:rsidRPr="00820A22">
              <w:rPr>
                <w:color w:val="000000"/>
              </w:rPr>
              <w:t>Water St</w:t>
            </w:r>
          </w:p>
        </w:tc>
        <w:tc>
          <w:tcPr>
            <w:tcW w:w="1420" w:type="dxa"/>
            <w:noWrap/>
            <w:hideMark/>
          </w:tcPr>
          <w:p w14:paraId="23C30966" w14:textId="77777777" w:rsidR="00E233A4" w:rsidRPr="00820A22" w:rsidRDefault="00E233A4">
            <w:pPr>
              <w:jc w:val="center"/>
              <w:rPr>
                <w:color w:val="000000"/>
              </w:rPr>
            </w:pPr>
            <w:r w:rsidRPr="00820A22">
              <w:rPr>
                <w:color w:val="000000"/>
              </w:rPr>
              <w:t>Rockmart</w:t>
            </w:r>
          </w:p>
        </w:tc>
        <w:tc>
          <w:tcPr>
            <w:tcW w:w="2730" w:type="dxa"/>
            <w:hideMark/>
          </w:tcPr>
          <w:p w14:paraId="0C4C565D" w14:textId="77777777" w:rsidR="00E233A4" w:rsidRPr="00820A22" w:rsidRDefault="00E233A4">
            <w:pPr>
              <w:jc w:val="center"/>
              <w:rPr>
                <w:color w:val="000000"/>
              </w:rPr>
            </w:pPr>
            <w:r w:rsidRPr="2E3F55CF">
              <w:rPr>
                <w:color w:val="000000" w:themeColor="text1"/>
              </w:rPr>
              <w:t>Proposal 4 - 2024 Downtown Cedartown DC 1 &amp; 2</w:t>
            </w:r>
          </w:p>
        </w:tc>
        <w:tc>
          <w:tcPr>
            <w:tcW w:w="1275" w:type="dxa"/>
            <w:noWrap/>
            <w:hideMark/>
          </w:tcPr>
          <w:p w14:paraId="6799EC20" w14:textId="77777777" w:rsidR="00E233A4" w:rsidRPr="00820A22" w:rsidRDefault="00E233A4">
            <w:pPr>
              <w:jc w:val="center"/>
              <w:rPr>
                <w:color w:val="000000"/>
              </w:rPr>
            </w:pPr>
            <w:r w:rsidRPr="00820A22">
              <w:rPr>
                <w:color w:val="000000"/>
              </w:rPr>
              <w:t>Cedartown</w:t>
            </w:r>
          </w:p>
        </w:tc>
        <w:tc>
          <w:tcPr>
            <w:tcW w:w="1518" w:type="dxa"/>
            <w:noWrap/>
            <w:hideMark/>
          </w:tcPr>
          <w:p w14:paraId="17046643" w14:textId="77777777" w:rsidR="00E233A4" w:rsidRPr="00820A22" w:rsidRDefault="00E233A4">
            <w:pPr>
              <w:jc w:val="center"/>
              <w:rPr>
                <w:color w:val="000000"/>
              </w:rPr>
            </w:pPr>
            <w:r w:rsidRPr="00820A22">
              <w:rPr>
                <w:color w:val="000000"/>
              </w:rPr>
              <w:t>11.54 - 11.56 miles</w:t>
            </w:r>
          </w:p>
        </w:tc>
      </w:tr>
      <w:tr w:rsidR="00E233A4" w:rsidRPr="00820A22" w14:paraId="7FF2FB44" w14:textId="77777777" w:rsidTr="00737B2F">
        <w:trPr>
          <w:trHeight w:val="840"/>
          <w:jc w:val="center"/>
        </w:trPr>
        <w:tc>
          <w:tcPr>
            <w:tcW w:w="1200" w:type="dxa"/>
            <w:noWrap/>
            <w:hideMark/>
          </w:tcPr>
          <w:p w14:paraId="409D674F" w14:textId="77777777" w:rsidR="00E233A4" w:rsidRPr="00820A22" w:rsidRDefault="00E233A4">
            <w:pPr>
              <w:jc w:val="center"/>
              <w:rPr>
                <w:color w:val="000000"/>
              </w:rPr>
            </w:pPr>
            <w:r w:rsidRPr="00820A22">
              <w:rPr>
                <w:color w:val="000000"/>
              </w:rPr>
              <w:t>9</w:t>
            </w:r>
          </w:p>
        </w:tc>
        <w:tc>
          <w:tcPr>
            <w:tcW w:w="2297" w:type="dxa"/>
            <w:noWrap/>
            <w:hideMark/>
          </w:tcPr>
          <w:p w14:paraId="719127E6" w14:textId="77777777" w:rsidR="00E233A4" w:rsidRPr="00820A22" w:rsidRDefault="00E233A4">
            <w:pPr>
              <w:jc w:val="center"/>
              <w:rPr>
                <w:color w:val="000000"/>
              </w:rPr>
            </w:pPr>
            <w:r w:rsidRPr="00820A22">
              <w:rPr>
                <w:color w:val="000000"/>
              </w:rPr>
              <w:t>46 Norwood St</w:t>
            </w:r>
          </w:p>
        </w:tc>
        <w:tc>
          <w:tcPr>
            <w:tcW w:w="1420" w:type="dxa"/>
            <w:noWrap/>
            <w:hideMark/>
          </w:tcPr>
          <w:p w14:paraId="68B49977" w14:textId="77777777" w:rsidR="00E233A4" w:rsidRPr="00820A22" w:rsidRDefault="00E233A4">
            <w:pPr>
              <w:jc w:val="center"/>
              <w:rPr>
                <w:color w:val="000000"/>
              </w:rPr>
            </w:pPr>
            <w:r w:rsidRPr="00820A22">
              <w:rPr>
                <w:color w:val="000000"/>
              </w:rPr>
              <w:t>Warrenton</w:t>
            </w:r>
          </w:p>
        </w:tc>
        <w:tc>
          <w:tcPr>
            <w:tcW w:w="2730" w:type="dxa"/>
            <w:hideMark/>
          </w:tcPr>
          <w:p w14:paraId="73704E42" w14:textId="77777777" w:rsidR="00E233A4" w:rsidRPr="00820A22" w:rsidRDefault="00E233A4">
            <w:pPr>
              <w:jc w:val="center"/>
              <w:rPr>
                <w:color w:val="000000"/>
              </w:rPr>
            </w:pPr>
            <w:proofErr w:type="spellStart"/>
            <w:r w:rsidRPr="00820A22">
              <w:rPr>
                <w:color w:val="000000"/>
              </w:rPr>
              <w:t>Chargepoint</w:t>
            </w:r>
            <w:proofErr w:type="spellEnd"/>
            <w:r w:rsidRPr="00820A22">
              <w:rPr>
                <w:color w:val="000000"/>
              </w:rPr>
              <w:t xml:space="preserve"> @ </w:t>
            </w:r>
            <w:proofErr w:type="spellStart"/>
            <w:r w:rsidRPr="00820A22">
              <w:rPr>
                <w:color w:val="000000"/>
              </w:rPr>
              <w:t>Wafflehouse</w:t>
            </w:r>
            <w:proofErr w:type="spellEnd"/>
            <w:r w:rsidRPr="00820A22">
              <w:rPr>
                <w:color w:val="000000"/>
              </w:rPr>
              <w:t xml:space="preserve"> Thomson</w:t>
            </w:r>
          </w:p>
        </w:tc>
        <w:tc>
          <w:tcPr>
            <w:tcW w:w="1275" w:type="dxa"/>
            <w:noWrap/>
            <w:hideMark/>
          </w:tcPr>
          <w:p w14:paraId="367726A0" w14:textId="77777777" w:rsidR="00E233A4" w:rsidRPr="00820A22" w:rsidRDefault="00E233A4">
            <w:pPr>
              <w:jc w:val="center"/>
              <w:rPr>
                <w:color w:val="000000"/>
              </w:rPr>
            </w:pPr>
            <w:r w:rsidRPr="00820A22">
              <w:rPr>
                <w:color w:val="000000"/>
              </w:rPr>
              <w:t>Thomson</w:t>
            </w:r>
          </w:p>
        </w:tc>
        <w:tc>
          <w:tcPr>
            <w:tcW w:w="1518" w:type="dxa"/>
            <w:noWrap/>
            <w:hideMark/>
          </w:tcPr>
          <w:p w14:paraId="14118A4A" w14:textId="77777777" w:rsidR="00E233A4" w:rsidRPr="00820A22" w:rsidRDefault="00E233A4">
            <w:pPr>
              <w:jc w:val="center"/>
              <w:rPr>
                <w:color w:val="000000"/>
              </w:rPr>
            </w:pPr>
            <w:r w:rsidRPr="00820A22">
              <w:rPr>
                <w:color w:val="000000"/>
              </w:rPr>
              <w:t>11.87 miles</w:t>
            </w:r>
          </w:p>
        </w:tc>
      </w:tr>
    </w:tbl>
    <w:p w14:paraId="279E5D5C" w14:textId="77777777" w:rsidR="00E233A4" w:rsidRDefault="00E233A4" w:rsidP="00E233A4"/>
    <w:p w14:paraId="01705D6E" w14:textId="4706CF52" w:rsidR="00E233A4" w:rsidRDefault="00E233A4" w:rsidP="00E233A4">
      <w:pPr>
        <w:spacing w:line="360" w:lineRule="auto"/>
        <w:ind w:firstLine="360"/>
      </w:pPr>
      <w:r>
        <w:t>After Commission approval of the eight (8) remaining Community Charging locations on June 13, 2025, the Company filed 3 alternative Community Charging locations. These locations replace</w:t>
      </w:r>
      <w:r w:rsidR="009F5089">
        <w:t>d</w:t>
      </w:r>
      <w:r>
        <w:t xml:space="preserve"> Proposal 3,</w:t>
      </w:r>
      <w:r w:rsidR="00F50C2E">
        <w:t xml:space="preserve"> </w:t>
      </w:r>
      <w:r>
        <w:t xml:space="preserve">4 and 9, </w:t>
      </w:r>
      <w:r w:rsidR="00004429">
        <w:t xml:space="preserve">which were </w:t>
      </w:r>
      <w:r>
        <w:t xml:space="preserve">not approved </w:t>
      </w:r>
      <w:r w:rsidR="00824BBC">
        <w:t xml:space="preserve">by the Commission Order dated </w:t>
      </w:r>
      <w:r w:rsidR="00317D86">
        <w:t xml:space="preserve">June </w:t>
      </w:r>
      <w:r w:rsidR="00064371">
        <w:t xml:space="preserve">13, </w:t>
      </w:r>
      <w:proofErr w:type="gramStart"/>
      <w:r w:rsidR="00064371">
        <w:t>2025</w:t>
      </w:r>
      <w:proofErr w:type="gramEnd"/>
      <w:r>
        <w:t xml:space="preserve"> and are presented in Figure 3 below. </w:t>
      </w:r>
    </w:p>
    <w:p w14:paraId="7F74B1E2" w14:textId="77777777" w:rsidR="00BF37D9" w:rsidRDefault="00BF37D9" w:rsidP="00E233A4">
      <w:pPr>
        <w:spacing w:line="360" w:lineRule="auto"/>
        <w:ind w:firstLine="360"/>
      </w:pPr>
    </w:p>
    <w:p w14:paraId="4EBCF19E" w14:textId="77777777" w:rsidR="00E233A4" w:rsidRDefault="00E233A4" w:rsidP="00E233A4">
      <w:pPr>
        <w:jc w:val="center"/>
      </w:pPr>
      <w:r>
        <w:t xml:space="preserve">Figure 2. Three (3) alternative locations filed for 2025 Community Charging Plan </w:t>
      </w:r>
    </w:p>
    <w:p w14:paraId="418E1E21" w14:textId="77777777" w:rsidR="00E233A4" w:rsidRDefault="00E233A4" w:rsidP="00E233A4"/>
    <w:tbl>
      <w:tblPr>
        <w:tblStyle w:val="TableGrid"/>
        <w:tblW w:w="10075" w:type="dxa"/>
        <w:jc w:val="center"/>
        <w:tblLook w:val="04A0" w:firstRow="1" w:lastRow="0" w:firstColumn="1" w:lastColumn="0" w:noHBand="0" w:noVBand="1"/>
      </w:tblPr>
      <w:tblGrid>
        <w:gridCol w:w="1200"/>
        <w:gridCol w:w="2305"/>
        <w:gridCol w:w="1623"/>
        <w:gridCol w:w="1977"/>
        <w:gridCol w:w="1350"/>
        <w:gridCol w:w="1620"/>
      </w:tblGrid>
      <w:tr w:rsidR="00E233A4" w:rsidRPr="00820A22" w14:paraId="17490811" w14:textId="77777777" w:rsidTr="00737B2F">
        <w:trPr>
          <w:trHeight w:val="315"/>
          <w:jc w:val="center"/>
        </w:trPr>
        <w:tc>
          <w:tcPr>
            <w:tcW w:w="1200" w:type="dxa"/>
            <w:noWrap/>
            <w:hideMark/>
          </w:tcPr>
          <w:p w14:paraId="0426B43B" w14:textId="77777777" w:rsidR="00E233A4" w:rsidRPr="00820A22" w:rsidRDefault="00E233A4">
            <w:pPr>
              <w:jc w:val="center"/>
              <w:rPr>
                <w:color w:val="000000"/>
              </w:rPr>
            </w:pPr>
            <w:r w:rsidRPr="00820A22">
              <w:rPr>
                <w:color w:val="000000"/>
              </w:rPr>
              <w:t>Proposal</w:t>
            </w:r>
          </w:p>
        </w:tc>
        <w:tc>
          <w:tcPr>
            <w:tcW w:w="2305" w:type="dxa"/>
            <w:noWrap/>
            <w:hideMark/>
          </w:tcPr>
          <w:p w14:paraId="5BDCDF8C" w14:textId="77777777" w:rsidR="00E233A4" w:rsidRPr="00820A22" w:rsidRDefault="00E233A4">
            <w:pPr>
              <w:jc w:val="center"/>
              <w:rPr>
                <w:color w:val="000000"/>
              </w:rPr>
            </w:pPr>
            <w:r w:rsidRPr="00820A22">
              <w:rPr>
                <w:color w:val="000000"/>
              </w:rPr>
              <w:t>Intersection</w:t>
            </w:r>
          </w:p>
        </w:tc>
        <w:tc>
          <w:tcPr>
            <w:tcW w:w="1623" w:type="dxa"/>
            <w:noWrap/>
            <w:hideMark/>
          </w:tcPr>
          <w:p w14:paraId="4378ECD4" w14:textId="77777777" w:rsidR="00E233A4" w:rsidRPr="00820A22" w:rsidRDefault="00E233A4">
            <w:pPr>
              <w:jc w:val="center"/>
              <w:rPr>
                <w:color w:val="000000"/>
              </w:rPr>
            </w:pPr>
            <w:r w:rsidRPr="00820A22">
              <w:rPr>
                <w:color w:val="000000"/>
              </w:rPr>
              <w:t>City</w:t>
            </w:r>
          </w:p>
        </w:tc>
        <w:tc>
          <w:tcPr>
            <w:tcW w:w="1977" w:type="dxa"/>
            <w:noWrap/>
            <w:hideMark/>
          </w:tcPr>
          <w:p w14:paraId="11225B3C" w14:textId="77777777" w:rsidR="00E233A4" w:rsidRDefault="00E233A4">
            <w:pPr>
              <w:pStyle w:val="paragraph"/>
              <w:spacing w:before="0" w:beforeAutospacing="0" w:after="0" w:afterAutospacing="0"/>
              <w:jc w:val="center"/>
              <w:textAlignment w:val="baseline"/>
              <w:rPr>
                <w:rFonts w:ascii="Segoe UI" w:hAnsi="Segoe UI" w:cs="Segoe UI"/>
                <w:color w:val="FFFFFF"/>
                <w:sz w:val="18"/>
                <w:szCs w:val="18"/>
              </w:rPr>
            </w:pPr>
            <w:r>
              <w:rPr>
                <w:rStyle w:val="normaltextrun"/>
                <w:rFonts w:eastAsia="Arial"/>
                <w:color w:val="000000"/>
              </w:rPr>
              <w:t xml:space="preserve">Existing Charger(s) </w:t>
            </w:r>
            <w:r>
              <w:rPr>
                <w:rStyle w:val="eop"/>
                <w:rFonts w:ascii="Calibri" w:eastAsia="Arial" w:hAnsi="Calibri" w:cs="Calibri"/>
                <w:color w:val="000000"/>
              </w:rPr>
              <w:t> </w:t>
            </w:r>
          </w:p>
          <w:p w14:paraId="6E12B495" w14:textId="77777777" w:rsidR="00E233A4" w:rsidRDefault="00E233A4">
            <w:pPr>
              <w:pStyle w:val="paragraph"/>
              <w:spacing w:before="0" w:beforeAutospacing="0" w:after="0" w:afterAutospacing="0"/>
              <w:jc w:val="center"/>
              <w:textAlignment w:val="baseline"/>
              <w:rPr>
                <w:rFonts w:ascii="Segoe UI" w:hAnsi="Segoe UI" w:cs="Segoe UI"/>
                <w:b/>
                <w:bCs/>
                <w:color w:val="FFFFFF"/>
                <w:sz w:val="18"/>
                <w:szCs w:val="18"/>
              </w:rPr>
            </w:pPr>
            <w:r>
              <w:rPr>
                <w:rStyle w:val="normaltextrun"/>
                <w:rFonts w:eastAsia="Arial"/>
                <w:color w:val="000000"/>
              </w:rPr>
              <w:t>Nearby</w:t>
            </w:r>
            <w:r>
              <w:rPr>
                <w:rStyle w:val="eop"/>
                <w:rFonts w:ascii="Calibri" w:eastAsia="Arial" w:hAnsi="Calibri" w:cs="Calibri"/>
                <w:color w:val="000000"/>
              </w:rPr>
              <w:t> </w:t>
            </w:r>
          </w:p>
          <w:p w14:paraId="5EA6A346" w14:textId="77777777" w:rsidR="00E233A4" w:rsidRPr="00820A22" w:rsidRDefault="00E233A4">
            <w:pPr>
              <w:jc w:val="center"/>
              <w:rPr>
                <w:color w:val="000000"/>
              </w:rPr>
            </w:pPr>
          </w:p>
        </w:tc>
        <w:tc>
          <w:tcPr>
            <w:tcW w:w="1350" w:type="dxa"/>
            <w:noWrap/>
            <w:hideMark/>
          </w:tcPr>
          <w:p w14:paraId="39D2AB0B" w14:textId="77777777" w:rsidR="00E233A4" w:rsidRPr="00820A22" w:rsidRDefault="00E233A4">
            <w:pPr>
              <w:jc w:val="center"/>
              <w:rPr>
                <w:color w:val="000000"/>
              </w:rPr>
            </w:pPr>
            <w:r w:rsidRPr="00820A22">
              <w:rPr>
                <w:color w:val="000000"/>
              </w:rPr>
              <w:t>City</w:t>
            </w:r>
          </w:p>
        </w:tc>
        <w:tc>
          <w:tcPr>
            <w:tcW w:w="1620" w:type="dxa"/>
            <w:noWrap/>
            <w:hideMark/>
          </w:tcPr>
          <w:p w14:paraId="61F88D13" w14:textId="77777777" w:rsidR="00E233A4" w:rsidRPr="00820A22" w:rsidRDefault="00E233A4">
            <w:pPr>
              <w:jc w:val="center"/>
              <w:rPr>
                <w:color w:val="000000"/>
              </w:rPr>
            </w:pPr>
            <w:r w:rsidRPr="00820A22">
              <w:rPr>
                <w:color w:val="000000"/>
              </w:rPr>
              <w:t>Distance</w:t>
            </w:r>
          </w:p>
        </w:tc>
      </w:tr>
      <w:tr w:rsidR="00E233A4" w:rsidRPr="00820A22" w14:paraId="65D07AEC" w14:textId="77777777" w:rsidTr="00737B2F">
        <w:trPr>
          <w:trHeight w:val="575"/>
          <w:jc w:val="center"/>
        </w:trPr>
        <w:tc>
          <w:tcPr>
            <w:tcW w:w="1200" w:type="dxa"/>
            <w:noWrap/>
            <w:hideMark/>
          </w:tcPr>
          <w:p w14:paraId="67C738CF" w14:textId="77777777" w:rsidR="00E233A4" w:rsidRPr="00820A22" w:rsidRDefault="00E233A4">
            <w:pPr>
              <w:jc w:val="center"/>
              <w:rPr>
                <w:color w:val="000000"/>
              </w:rPr>
            </w:pPr>
            <w:r>
              <w:rPr>
                <w:color w:val="000000"/>
              </w:rPr>
              <w:t>12</w:t>
            </w:r>
          </w:p>
        </w:tc>
        <w:tc>
          <w:tcPr>
            <w:tcW w:w="2305" w:type="dxa"/>
            <w:noWrap/>
            <w:hideMark/>
          </w:tcPr>
          <w:p w14:paraId="60DB45B9" w14:textId="77777777" w:rsidR="00E233A4" w:rsidRPr="00820A22" w:rsidRDefault="00E233A4">
            <w:pPr>
              <w:jc w:val="center"/>
              <w:rPr>
                <w:color w:val="000000"/>
              </w:rPr>
            </w:pPr>
            <w:r>
              <w:rPr>
                <w:color w:val="000000"/>
              </w:rPr>
              <w:t>Myrick Street &amp; 6th Street</w:t>
            </w:r>
          </w:p>
        </w:tc>
        <w:tc>
          <w:tcPr>
            <w:tcW w:w="1623" w:type="dxa"/>
            <w:noWrap/>
            <w:hideMark/>
          </w:tcPr>
          <w:p w14:paraId="570EB2F5" w14:textId="77777777" w:rsidR="00E233A4" w:rsidRPr="00820A22" w:rsidRDefault="00E233A4">
            <w:pPr>
              <w:jc w:val="center"/>
              <w:rPr>
                <w:color w:val="000000"/>
              </w:rPr>
            </w:pPr>
            <w:r>
              <w:rPr>
                <w:color w:val="000000"/>
              </w:rPr>
              <w:t>Waynesboro</w:t>
            </w:r>
          </w:p>
        </w:tc>
        <w:tc>
          <w:tcPr>
            <w:tcW w:w="1977" w:type="dxa"/>
            <w:hideMark/>
          </w:tcPr>
          <w:p w14:paraId="69F4384B" w14:textId="77777777" w:rsidR="00E233A4" w:rsidRPr="00820A22" w:rsidRDefault="00E233A4">
            <w:pPr>
              <w:jc w:val="center"/>
              <w:rPr>
                <w:color w:val="000000"/>
              </w:rPr>
            </w:pPr>
            <w:r>
              <w:rPr>
                <w:color w:val="000000"/>
              </w:rPr>
              <w:t>Paul Thigpen Ford of Waynesboro</w:t>
            </w:r>
          </w:p>
        </w:tc>
        <w:tc>
          <w:tcPr>
            <w:tcW w:w="1350" w:type="dxa"/>
          </w:tcPr>
          <w:p w14:paraId="59208689" w14:textId="77777777" w:rsidR="00E233A4" w:rsidRPr="00820A22" w:rsidRDefault="00E233A4">
            <w:pPr>
              <w:jc w:val="center"/>
              <w:rPr>
                <w:color w:val="000000"/>
              </w:rPr>
            </w:pPr>
            <w:r>
              <w:rPr>
                <w:color w:val="000000"/>
              </w:rPr>
              <w:t>Waynesboro</w:t>
            </w:r>
          </w:p>
        </w:tc>
        <w:tc>
          <w:tcPr>
            <w:tcW w:w="1620" w:type="dxa"/>
          </w:tcPr>
          <w:p w14:paraId="4FD6282F" w14:textId="77777777" w:rsidR="00E233A4" w:rsidRPr="00820A22" w:rsidRDefault="00E233A4">
            <w:pPr>
              <w:jc w:val="center"/>
              <w:rPr>
                <w:color w:val="000000"/>
              </w:rPr>
            </w:pPr>
            <w:r>
              <w:rPr>
                <w:color w:val="000000"/>
              </w:rPr>
              <w:t>1.57</w:t>
            </w:r>
          </w:p>
        </w:tc>
      </w:tr>
      <w:tr w:rsidR="00E233A4" w:rsidRPr="00820A22" w14:paraId="491B8318" w14:textId="77777777" w:rsidTr="00737B2F">
        <w:trPr>
          <w:trHeight w:val="780"/>
          <w:jc w:val="center"/>
        </w:trPr>
        <w:tc>
          <w:tcPr>
            <w:tcW w:w="1200" w:type="dxa"/>
            <w:noWrap/>
            <w:hideMark/>
          </w:tcPr>
          <w:p w14:paraId="0A08A680" w14:textId="77777777" w:rsidR="00E233A4" w:rsidRPr="00820A22" w:rsidRDefault="00E233A4">
            <w:pPr>
              <w:jc w:val="center"/>
              <w:rPr>
                <w:color w:val="000000"/>
              </w:rPr>
            </w:pPr>
            <w:r>
              <w:rPr>
                <w:color w:val="000000"/>
              </w:rPr>
              <w:t>13</w:t>
            </w:r>
          </w:p>
        </w:tc>
        <w:tc>
          <w:tcPr>
            <w:tcW w:w="2305" w:type="dxa"/>
            <w:noWrap/>
            <w:hideMark/>
          </w:tcPr>
          <w:p w14:paraId="08E82C28" w14:textId="77777777" w:rsidR="00E233A4" w:rsidRPr="00820A22" w:rsidRDefault="00E233A4">
            <w:pPr>
              <w:jc w:val="center"/>
              <w:rPr>
                <w:color w:val="000000"/>
              </w:rPr>
            </w:pPr>
            <w:r w:rsidRPr="00E25EFF">
              <w:rPr>
                <w:color w:val="000000"/>
              </w:rPr>
              <w:t>384 West Trilby Street</w:t>
            </w:r>
          </w:p>
        </w:tc>
        <w:tc>
          <w:tcPr>
            <w:tcW w:w="1623" w:type="dxa"/>
            <w:noWrap/>
            <w:hideMark/>
          </w:tcPr>
          <w:p w14:paraId="4DF2C216" w14:textId="77777777" w:rsidR="00E233A4" w:rsidRPr="00820A22" w:rsidRDefault="00E233A4">
            <w:pPr>
              <w:jc w:val="center"/>
              <w:rPr>
                <w:color w:val="000000"/>
              </w:rPr>
            </w:pPr>
            <w:r>
              <w:rPr>
                <w:color w:val="000000"/>
              </w:rPr>
              <w:t>Wrightsville</w:t>
            </w:r>
          </w:p>
        </w:tc>
        <w:tc>
          <w:tcPr>
            <w:tcW w:w="1977" w:type="dxa"/>
            <w:hideMark/>
          </w:tcPr>
          <w:p w14:paraId="750CB1BC" w14:textId="77777777" w:rsidR="00E233A4" w:rsidRPr="00820A22" w:rsidRDefault="00E233A4">
            <w:pPr>
              <w:jc w:val="center"/>
              <w:rPr>
                <w:color w:val="000000"/>
              </w:rPr>
            </w:pPr>
            <w:r>
              <w:rPr>
                <w:color w:val="000000"/>
              </w:rPr>
              <w:t>N/A</w:t>
            </w:r>
          </w:p>
        </w:tc>
        <w:tc>
          <w:tcPr>
            <w:tcW w:w="1350" w:type="dxa"/>
            <w:noWrap/>
          </w:tcPr>
          <w:p w14:paraId="030B8125" w14:textId="77777777" w:rsidR="00E233A4" w:rsidRPr="00820A22" w:rsidRDefault="00E233A4">
            <w:pPr>
              <w:jc w:val="center"/>
              <w:rPr>
                <w:color w:val="000000"/>
              </w:rPr>
            </w:pPr>
            <w:r>
              <w:rPr>
                <w:color w:val="000000"/>
              </w:rPr>
              <w:t>N/A</w:t>
            </w:r>
          </w:p>
        </w:tc>
        <w:tc>
          <w:tcPr>
            <w:tcW w:w="1620" w:type="dxa"/>
            <w:noWrap/>
          </w:tcPr>
          <w:p w14:paraId="6B66280E" w14:textId="77777777" w:rsidR="00E233A4" w:rsidRPr="00820A22" w:rsidRDefault="00E233A4">
            <w:pPr>
              <w:jc w:val="center"/>
              <w:rPr>
                <w:color w:val="000000"/>
              </w:rPr>
            </w:pPr>
            <w:r>
              <w:rPr>
                <w:color w:val="000000"/>
              </w:rPr>
              <w:t>N/A</w:t>
            </w:r>
          </w:p>
        </w:tc>
      </w:tr>
      <w:tr w:rsidR="00E233A4" w:rsidRPr="00820A22" w14:paraId="4A44360A" w14:textId="77777777" w:rsidTr="00737B2F">
        <w:trPr>
          <w:trHeight w:val="840"/>
          <w:jc w:val="center"/>
        </w:trPr>
        <w:tc>
          <w:tcPr>
            <w:tcW w:w="1200" w:type="dxa"/>
            <w:noWrap/>
            <w:hideMark/>
          </w:tcPr>
          <w:p w14:paraId="3F8110C0" w14:textId="77777777" w:rsidR="00E233A4" w:rsidRPr="00820A22" w:rsidRDefault="00E233A4">
            <w:pPr>
              <w:jc w:val="center"/>
              <w:rPr>
                <w:color w:val="000000"/>
              </w:rPr>
            </w:pPr>
            <w:r>
              <w:rPr>
                <w:color w:val="000000"/>
              </w:rPr>
              <w:lastRenderedPageBreak/>
              <w:t>14</w:t>
            </w:r>
          </w:p>
        </w:tc>
        <w:tc>
          <w:tcPr>
            <w:tcW w:w="2305" w:type="dxa"/>
            <w:noWrap/>
            <w:hideMark/>
          </w:tcPr>
          <w:p w14:paraId="556C7834" w14:textId="77777777" w:rsidR="00E233A4" w:rsidRPr="00820A22" w:rsidRDefault="00E233A4">
            <w:pPr>
              <w:jc w:val="center"/>
              <w:rPr>
                <w:color w:val="000000"/>
              </w:rPr>
            </w:pPr>
            <w:r w:rsidRPr="00E25EFF">
              <w:rPr>
                <w:color w:val="000000"/>
              </w:rPr>
              <w:t>977 Congo Lane</w:t>
            </w:r>
          </w:p>
        </w:tc>
        <w:tc>
          <w:tcPr>
            <w:tcW w:w="1623" w:type="dxa"/>
            <w:noWrap/>
            <w:hideMark/>
          </w:tcPr>
          <w:p w14:paraId="3D4C56A8" w14:textId="77777777" w:rsidR="00E233A4" w:rsidRPr="00820A22" w:rsidRDefault="00E233A4">
            <w:pPr>
              <w:jc w:val="center"/>
              <w:rPr>
                <w:color w:val="000000"/>
              </w:rPr>
            </w:pPr>
            <w:r>
              <w:rPr>
                <w:color w:val="000000"/>
              </w:rPr>
              <w:t>Eastman</w:t>
            </w:r>
          </w:p>
        </w:tc>
        <w:tc>
          <w:tcPr>
            <w:tcW w:w="1977" w:type="dxa"/>
            <w:hideMark/>
          </w:tcPr>
          <w:p w14:paraId="34A536DC" w14:textId="77777777" w:rsidR="00E233A4" w:rsidRPr="00820A22" w:rsidRDefault="00E233A4">
            <w:pPr>
              <w:jc w:val="center"/>
              <w:rPr>
                <w:color w:val="000000"/>
              </w:rPr>
            </w:pPr>
            <w:r>
              <w:rPr>
                <w:color w:val="000000"/>
              </w:rPr>
              <w:t>GPC McRae DC – Huddle House</w:t>
            </w:r>
          </w:p>
        </w:tc>
        <w:tc>
          <w:tcPr>
            <w:tcW w:w="1350" w:type="dxa"/>
            <w:noWrap/>
          </w:tcPr>
          <w:p w14:paraId="413668DE" w14:textId="77777777" w:rsidR="00E233A4" w:rsidRPr="00820A22" w:rsidRDefault="00E233A4">
            <w:pPr>
              <w:jc w:val="center"/>
              <w:rPr>
                <w:color w:val="000000"/>
              </w:rPr>
            </w:pPr>
            <w:r>
              <w:rPr>
                <w:color w:val="000000"/>
              </w:rPr>
              <w:t>McRae-Helena</w:t>
            </w:r>
          </w:p>
        </w:tc>
        <w:tc>
          <w:tcPr>
            <w:tcW w:w="1620" w:type="dxa"/>
            <w:noWrap/>
          </w:tcPr>
          <w:p w14:paraId="5F61E968" w14:textId="77777777" w:rsidR="00E233A4" w:rsidRPr="00820A22" w:rsidRDefault="00E233A4">
            <w:pPr>
              <w:jc w:val="center"/>
              <w:rPr>
                <w:color w:val="000000"/>
              </w:rPr>
            </w:pPr>
            <w:r>
              <w:rPr>
                <w:color w:val="000000"/>
              </w:rPr>
              <w:t>17.92</w:t>
            </w:r>
          </w:p>
        </w:tc>
      </w:tr>
    </w:tbl>
    <w:p w14:paraId="1C1CF888" w14:textId="77777777" w:rsidR="00BF37D9" w:rsidRDefault="00BF37D9" w:rsidP="00E233A4">
      <w:pPr>
        <w:spacing w:line="360" w:lineRule="auto"/>
        <w:ind w:firstLine="360"/>
      </w:pPr>
    </w:p>
    <w:p w14:paraId="2B9E9524" w14:textId="718BD2A5" w:rsidR="00E233A4" w:rsidRDefault="00E233A4" w:rsidP="00E233A4">
      <w:pPr>
        <w:spacing w:line="360" w:lineRule="auto"/>
        <w:ind w:firstLine="360"/>
      </w:pPr>
      <w:r>
        <w:t>As presented above two (2) of the three (3) alternative locations meet the conditions agreed upon by the Commission, outlined as Proposal 13 and 14. The alternative locations were subjected to a thirty (30) day comment period and a sixty (60) day ROFR period, ending on August 13, 2025. No comments or ROFR’s were filed. After communication with Staff Georgia Power intends to fill an alternate location for Proposal 12</w:t>
      </w:r>
      <w:r w:rsidR="006478C3">
        <w:t xml:space="preserve"> due to it being within 15 miles of an existing </w:t>
      </w:r>
      <w:r w:rsidR="008033AE">
        <w:t>EV fast charger in the community</w:t>
      </w:r>
      <w:r>
        <w:t xml:space="preserve">. </w:t>
      </w:r>
    </w:p>
    <w:p w14:paraId="09D8CBB1" w14:textId="77777777" w:rsidR="00E233A4" w:rsidRDefault="00E233A4" w:rsidP="00E233A4">
      <w:pPr>
        <w:spacing w:line="360" w:lineRule="auto"/>
      </w:pPr>
    </w:p>
    <w:p w14:paraId="72613E40" w14:textId="23C78033" w:rsidR="00E233A4" w:rsidRDefault="00E233A4" w:rsidP="00E233A4">
      <w:pPr>
        <w:spacing w:line="360" w:lineRule="auto"/>
        <w:ind w:firstLine="360"/>
      </w:pPr>
      <w:r>
        <w:t>The Commission approved Staff’s recommendation</w:t>
      </w:r>
      <w:r w:rsidR="6546849F">
        <w:t xml:space="preserve"> to approve the (2) two chargers</w:t>
      </w:r>
      <w:r>
        <w:t xml:space="preserve"> at its September 17, 2025, Administrative Session with a unanimous vote. </w:t>
      </w:r>
    </w:p>
    <w:p w14:paraId="179E0A6C" w14:textId="77777777" w:rsidR="00E233A4" w:rsidRDefault="00E233A4" w:rsidP="00E233A4">
      <w:pPr>
        <w:spacing w:line="360" w:lineRule="auto"/>
        <w:ind w:right="720"/>
        <w:jc w:val="center"/>
      </w:pPr>
    </w:p>
    <w:p w14:paraId="25029DBD" w14:textId="77777777" w:rsidR="00E233A4" w:rsidRDefault="00E233A4" w:rsidP="00E233A4">
      <w:pPr>
        <w:spacing w:line="360" w:lineRule="auto"/>
        <w:ind w:right="720"/>
        <w:jc w:val="center"/>
      </w:pPr>
    </w:p>
    <w:p w14:paraId="706A2097" w14:textId="77777777" w:rsidR="00E233A4" w:rsidRDefault="00E233A4" w:rsidP="00E233A4">
      <w:pPr>
        <w:spacing w:line="360" w:lineRule="auto"/>
        <w:ind w:right="720"/>
        <w:jc w:val="center"/>
      </w:pPr>
    </w:p>
    <w:p w14:paraId="32714541" w14:textId="77777777" w:rsidR="00E233A4" w:rsidRDefault="00E233A4" w:rsidP="00E233A4">
      <w:pPr>
        <w:spacing w:line="360" w:lineRule="auto"/>
        <w:ind w:right="720"/>
        <w:jc w:val="center"/>
      </w:pPr>
    </w:p>
    <w:p w14:paraId="3E7AA6F4" w14:textId="77777777" w:rsidR="00E233A4" w:rsidRDefault="00E233A4" w:rsidP="00E233A4">
      <w:pPr>
        <w:spacing w:line="360" w:lineRule="auto"/>
        <w:ind w:right="720"/>
        <w:jc w:val="center"/>
      </w:pPr>
    </w:p>
    <w:p w14:paraId="0263BE67" w14:textId="77777777" w:rsidR="00E233A4" w:rsidRDefault="00E233A4" w:rsidP="00E233A4">
      <w:pPr>
        <w:spacing w:line="360" w:lineRule="auto"/>
        <w:ind w:right="720"/>
        <w:jc w:val="center"/>
      </w:pPr>
    </w:p>
    <w:p w14:paraId="478C2E23" w14:textId="77777777" w:rsidR="00E233A4" w:rsidRDefault="00E233A4" w:rsidP="00E233A4">
      <w:pPr>
        <w:spacing w:line="360" w:lineRule="auto"/>
        <w:ind w:right="720"/>
        <w:jc w:val="center"/>
      </w:pPr>
    </w:p>
    <w:p w14:paraId="67D2E1D0" w14:textId="77777777" w:rsidR="00E233A4" w:rsidRDefault="00E233A4" w:rsidP="00E233A4">
      <w:pPr>
        <w:spacing w:line="360" w:lineRule="auto"/>
        <w:ind w:right="720"/>
        <w:jc w:val="center"/>
      </w:pPr>
    </w:p>
    <w:p w14:paraId="202DC507" w14:textId="77777777" w:rsidR="00E233A4" w:rsidRDefault="00E233A4" w:rsidP="00E233A4">
      <w:pPr>
        <w:spacing w:line="360" w:lineRule="auto"/>
        <w:ind w:right="720"/>
        <w:jc w:val="center"/>
      </w:pPr>
    </w:p>
    <w:p w14:paraId="16EC5691" w14:textId="77777777" w:rsidR="00E233A4" w:rsidRDefault="00E233A4" w:rsidP="00E233A4">
      <w:pPr>
        <w:spacing w:line="360" w:lineRule="auto"/>
        <w:ind w:right="720"/>
        <w:jc w:val="center"/>
      </w:pPr>
    </w:p>
    <w:p w14:paraId="03C1B4EC" w14:textId="77777777" w:rsidR="00E233A4" w:rsidRDefault="00E233A4" w:rsidP="00E233A4">
      <w:pPr>
        <w:spacing w:line="360" w:lineRule="auto"/>
        <w:ind w:right="720"/>
        <w:jc w:val="center"/>
      </w:pPr>
    </w:p>
    <w:p w14:paraId="394676B6" w14:textId="77777777" w:rsidR="00E233A4" w:rsidRDefault="00E233A4" w:rsidP="00E233A4">
      <w:pPr>
        <w:spacing w:line="360" w:lineRule="auto"/>
        <w:ind w:right="720"/>
        <w:jc w:val="center"/>
      </w:pPr>
    </w:p>
    <w:p w14:paraId="5F44E7B3" w14:textId="77777777" w:rsidR="00E233A4" w:rsidRDefault="00E233A4" w:rsidP="00E233A4">
      <w:pPr>
        <w:spacing w:line="360" w:lineRule="auto"/>
        <w:ind w:right="720"/>
        <w:jc w:val="center"/>
      </w:pPr>
    </w:p>
    <w:p w14:paraId="7179B815" w14:textId="77777777" w:rsidR="00E233A4" w:rsidRDefault="00E233A4" w:rsidP="00E233A4">
      <w:pPr>
        <w:spacing w:line="360" w:lineRule="auto"/>
        <w:ind w:right="720"/>
        <w:jc w:val="center"/>
      </w:pPr>
    </w:p>
    <w:p w14:paraId="6597F9B5" w14:textId="77777777" w:rsidR="00E233A4" w:rsidRDefault="00E233A4" w:rsidP="00E233A4">
      <w:pPr>
        <w:spacing w:line="360" w:lineRule="auto"/>
        <w:ind w:right="720"/>
        <w:jc w:val="center"/>
      </w:pPr>
    </w:p>
    <w:p w14:paraId="12538D2B" w14:textId="77777777" w:rsidR="00E233A4" w:rsidRDefault="00E233A4" w:rsidP="00E233A4">
      <w:pPr>
        <w:spacing w:line="360" w:lineRule="auto"/>
        <w:ind w:right="720"/>
        <w:jc w:val="center"/>
      </w:pPr>
    </w:p>
    <w:p w14:paraId="2A5B5A21" w14:textId="77777777" w:rsidR="00E233A4" w:rsidRDefault="00E233A4" w:rsidP="00E233A4">
      <w:pPr>
        <w:spacing w:line="360" w:lineRule="auto"/>
        <w:ind w:right="720"/>
        <w:jc w:val="center"/>
      </w:pPr>
    </w:p>
    <w:p w14:paraId="0D9D5D9D" w14:textId="77777777" w:rsidR="00E233A4" w:rsidRDefault="00E233A4" w:rsidP="00E233A4">
      <w:pPr>
        <w:spacing w:line="360" w:lineRule="auto"/>
        <w:ind w:right="720"/>
        <w:jc w:val="center"/>
      </w:pPr>
    </w:p>
    <w:p w14:paraId="60A501DF" w14:textId="77777777" w:rsidR="00BF37D9" w:rsidRDefault="00BF37D9" w:rsidP="00E233A4">
      <w:pPr>
        <w:spacing w:line="360" w:lineRule="auto"/>
        <w:ind w:right="720"/>
        <w:jc w:val="center"/>
      </w:pPr>
    </w:p>
    <w:p w14:paraId="5B5B76DC" w14:textId="1E774529" w:rsidR="00E233A4" w:rsidRDefault="00E233A4" w:rsidP="00E233A4">
      <w:pPr>
        <w:spacing w:line="360" w:lineRule="auto"/>
        <w:ind w:right="720"/>
        <w:jc w:val="center"/>
      </w:pPr>
      <w:r>
        <w:lastRenderedPageBreak/>
        <w:t>* * * * * * * * * * * * *</w:t>
      </w:r>
    </w:p>
    <w:p w14:paraId="5EEBC9AF" w14:textId="77777777" w:rsidR="00E233A4" w:rsidRDefault="00E233A4" w:rsidP="00E233A4">
      <w:pPr>
        <w:spacing w:line="360" w:lineRule="auto"/>
        <w:ind w:right="720"/>
        <w:jc w:val="center"/>
      </w:pPr>
    </w:p>
    <w:p w14:paraId="16A530C5" w14:textId="3FBF83D1" w:rsidR="00E233A4" w:rsidRDefault="00E233A4" w:rsidP="00E233A4">
      <w:pPr>
        <w:pStyle w:val="BodyText"/>
        <w:spacing w:after="360" w:line="360" w:lineRule="auto"/>
        <w:ind w:firstLine="720"/>
        <w:jc w:val="both"/>
        <w:rPr>
          <w:szCs w:val="24"/>
        </w:rPr>
      </w:pPr>
      <w:r>
        <w:rPr>
          <w:rFonts w:cs="Arial"/>
          <w:b/>
          <w:szCs w:val="24"/>
        </w:rPr>
        <w:t>WHEREFORE IT IS ORDERED</w:t>
      </w:r>
      <w:r>
        <w:rPr>
          <w:rFonts w:cs="Arial"/>
          <w:szCs w:val="24"/>
        </w:rPr>
        <w:t xml:space="preserve"> that two of the three Georgia Power Company’s Community Charging alternative locations for the year 2025, are hereby approved, </w:t>
      </w:r>
      <w:r w:rsidR="00F903B2">
        <w:rPr>
          <w:rFonts w:cs="Arial"/>
          <w:szCs w:val="24"/>
        </w:rPr>
        <w:t xml:space="preserve">identified </w:t>
      </w:r>
      <w:r>
        <w:rPr>
          <w:rFonts w:cs="Arial"/>
          <w:szCs w:val="24"/>
        </w:rPr>
        <w:t>as Proposal No</w:t>
      </w:r>
      <w:r w:rsidR="00CC4895">
        <w:rPr>
          <w:rFonts w:cs="Arial"/>
          <w:szCs w:val="24"/>
        </w:rPr>
        <w:t>s</w:t>
      </w:r>
      <w:r>
        <w:rPr>
          <w:rFonts w:cs="Arial"/>
          <w:szCs w:val="24"/>
        </w:rPr>
        <w:t>. 13 and 14</w:t>
      </w:r>
      <w:r w:rsidR="000B1AC0">
        <w:rPr>
          <w:rFonts w:cs="Arial"/>
          <w:szCs w:val="24"/>
        </w:rPr>
        <w:t xml:space="preserve">. </w:t>
      </w:r>
      <w:r>
        <w:rPr>
          <w:rFonts w:cs="Arial"/>
          <w:szCs w:val="24"/>
        </w:rPr>
        <w:t xml:space="preserve">Proposal No. 12 is not approved.  </w:t>
      </w:r>
    </w:p>
    <w:p w14:paraId="5A4CA226" w14:textId="77777777" w:rsidR="00E233A4" w:rsidRDefault="00E233A4" w:rsidP="00E233A4">
      <w:pPr>
        <w:spacing w:after="360" w:line="360" w:lineRule="auto"/>
        <w:ind w:firstLine="720"/>
        <w:jc w:val="both"/>
        <w:rPr>
          <w:rFonts w:cs="Arial"/>
        </w:rPr>
      </w:pPr>
      <w:r>
        <w:rPr>
          <w:rFonts w:cs="Arial"/>
          <w:b/>
        </w:rPr>
        <w:t>ORDERED FURTHER</w:t>
      </w:r>
      <w:r>
        <w:rPr>
          <w:rFonts w:cs="Arial"/>
        </w:rPr>
        <w:t>, that the most current Georgia Department of Community Affairs Job Tax Credit Tier maps for eligibility consideration in the Community Charging program are hereby adopted.</w:t>
      </w:r>
    </w:p>
    <w:p w14:paraId="48F56891" w14:textId="77777777" w:rsidR="00E233A4" w:rsidRDefault="00E233A4" w:rsidP="00E233A4">
      <w:pPr>
        <w:spacing w:after="360" w:line="360" w:lineRule="auto"/>
        <w:ind w:firstLine="720"/>
        <w:jc w:val="both"/>
        <w:rPr>
          <w:rFonts w:cs="Arial"/>
          <w:szCs w:val="22"/>
        </w:rPr>
      </w:pPr>
      <w:r>
        <w:rPr>
          <w:rFonts w:cs="Arial"/>
          <w:b/>
          <w:szCs w:val="22"/>
        </w:rPr>
        <w:t>ORDERED FURTHER</w:t>
      </w:r>
      <w:r>
        <w:rPr>
          <w:rFonts w:cs="Arial"/>
          <w:szCs w:val="22"/>
        </w:rPr>
        <w:t xml:space="preserve">, that a 15-mile radius restriction as measured around Georgia Power Company’s proposed locations for </w:t>
      </w:r>
      <w:r>
        <w:rPr>
          <w:rFonts w:cs="Arial"/>
        </w:rPr>
        <w:t>eligibility consideration in the Community Charging program</w:t>
      </w:r>
      <w:r>
        <w:rPr>
          <w:rFonts w:cs="Arial"/>
          <w:szCs w:val="22"/>
        </w:rPr>
        <w:t xml:space="preserve"> is hereby adopted.</w:t>
      </w:r>
    </w:p>
    <w:p w14:paraId="09B95793" w14:textId="77777777" w:rsidR="00E233A4" w:rsidRPr="0011160F" w:rsidRDefault="00E233A4" w:rsidP="00E233A4">
      <w:pPr>
        <w:spacing w:after="360" w:line="360" w:lineRule="auto"/>
        <w:ind w:firstLine="720"/>
        <w:jc w:val="both"/>
        <w:rPr>
          <w:rFonts w:cs="Arial"/>
          <w:b/>
          <w:szCs w:val="22"/>
        </w:rPr>
      </w:pPr>
      <w:r w:rsidRPr="0011160F">
        <w:rPr>
          <w:rFonts w:cs="Arial"/>
          <w:b/>
          <w:szCs w:val="22"/>
        </w:rPr>
        <w:t xml:space="preserve">ORDERED FURTHER, </w:t>
      </w:r>
      <w:r w:rsidRPr="00084829">
        <w:rPr>
          <w:rFonts w:cs="Arial"/>
          <w:szCs w:val="22"/>
        </w:rPr>
        <w:t>that a motion for reconsideration, rehearing, or oral argument or any other motion shall not stay the effective date of this Order, unless otherwise ordered by the Commission.</w:t>
      </w:r>
      <w:r>
        <w:rPr>
          <w:rFonts w:cs="Arial"/>
          <w:b/>
          <w:szCs w:val="22"/>
        </w:rPr>
        <w:t xml:space="preserve">  </w:t>
      </w:r>
    </w:p>
    <w:p w14:paraId="26614E2A" w14:textId="77777777" w:rsidR="00E233A4" w:rsidRDefault="00E233A4" w:rsidP="00E233A4">
      <w:pPr>
        <w:spacing w:after="360" w:line="360" w:lineRule="auto"/>
        <w:ind w:firstLine="720"/>
        <w:jc w:val="both"/>
        <w:rPr>
          <w:rFonts w:cs="Arial"/>
          <w:b/>
          <w:szCs w:val="22"/>
        </w:rPr>
      </w:pPr>
      <w:r w:rsidRPr="0011160F">
        <w:rPr>
          <w:rFonts w:cs="Arial"/>
          <w:b/>
          <w:szCs w:val="22"/>
        </w:rPr>
        <w:t xml:space="preserve">ORDERED FURTHER, </w:t>
      </w:r>
      <w:r w:rsidRPr="00084829">
        <w:rPr>
          <w:rFonts w:cs="Arial"/>
          <w:szCs w:val="22"/>
        </w:rPr>
        <w:t>that jurisdiction over this matter is expressly retained for the purpose of entering such further Order or Orders as this Commission may deem just and proper.</w:t>
      </w:r>
    </w:p>
    <w:p w14:paraId="7E0057BA" w14:textId="35C27FE4" w:rsidR="00E233A4" w:rsidRDefault="00E233A4" w:rsidP="00E233A4">
      <w:pPr>
        <w:spacing w:after="360" w:line="360" w:lineRule="auto"/>
        <w:ind w:firstLine="720"/>
        <w:jc w:val="both"/>
        <w:rPr>
          <w:rFonts w:cs="Arial"/>
          <w:szCs w:val="22"/>
        </w:rPr>
      </w:pPr>
      <w:r>
        <w:rPr>
          <w:rFonts w:cs="Arial"/>
          <w:szCs w:val="22"/>
        </w:rPr>
        <w:t xml:space="preserve">The above by action of the Commission in Administrative Session on the </w:t>
      </w:r>
      <w:r w:rsidR="00BF37D9">
        <w:rPr>
          <w:rFonts w:cs="Arial"/>
          <w:szCs w:val="22"/>
        </w:rPr>
        <w:t>17</w:t>
      </w:r>
      <w:r w:rsidR="00BF37D9" w:rsidRPr="00BF37D9">
        <w:rPr>
          <w:rFonts w:cs="Arial"/>
          <w:szCs w:val="22"/>
          <w:vertAlign w:val="superscript"/>
        </w:rPr>
        <w:t>th</w:t>
      </w:r>
      <w:r w:rsidR="00BF37D9">
        <w:rPr>
          <w:rFonts w:cs="Arial"/>
          <w:szCs w:val="22"/>
        </w:rPr>
        <w:t xml:space="preserve"> </w:t>
      </w:r>
      <w:r>
        <w:rPr>
          <w:rFonts w:cs="Arial"/>
          <w:szCs w:val="22"/>
        </w:rPr>
        <w:t xml:space="preserve">day of </w:t>
      </w:r>
      <w:r w:rsidR="00BF37D9">
        <w:rPr>
          <w:rFonts w:cs="Arial"/>
          <w:szCs w:val="22"/>
        </w:rPr>
        <w:t>September</w:t>
      </w:r>
      <w:r>
        <w:rPr>
          <w:rFonts w:cs="Arial"/>
          <w:szCs w:val="22"/>
        </w:rPr>
        <w:t>, 2025.</w:t>
      </w:r>
    </w:p>
    <w:p w14:paraId="6E327CCB" w14:textId="77777777" w:rsidR="00E233A4" w:rsidRDefault="00E233A4" w:rsidP="00E233A4">
      <w:pPr>
        <w:jc w:val="both"/>
        <w:rPr>
          <w:rFonts w:cs="Arial"/>
          <w:szCs w:val="22"/>
        </w:rPr>
      </w:pPr>
    </w:p>
    <w:p w14:paraId="21EA6C43" w14:textId="77777777" w:rsidR="00E233A4" w:rsidRDefault="00E233A4" w:rsidP="00E233A4">
      <w:pPr>
        <w:jc w:val="both"/>
        <w:rPr>
          <w:rFonts w:cs="Arial"/>
          <w:szCs w:val="22"/>
        </w:rPr>
      </w:pPr>
    </w:p>
    <w:p w14:paraId="39480B33" w14:textId="77777777" w:rsidR="00E233A4" w:rsidRDefault="00E233A4" w:rsidP="00E233A4">
      <w:pPr>
        <w:jc w:val="both"/>
        <w:rPr>
          <w:rFonts w:cs="Arial"/>
          <w:szCs w:val="22"/>
        </w:rPr>
      </w:pPr>
      <w:r>
        <w:rPr>
          <w:rFonts w:cs="Arial"/>
          <w:szCs w:val="22"/>
        </w:rPr>
        <w:t>_________________________</w:t>
      </w:r>
      <w:r>
        <w:rPr>
          <w:rFonts w:cs="Arial"/>
          <w:szCs w:val="22"/>
        </w:rPr>
        <w:tab/>
      </w:r>
      <w:r>
        <w:rPr>
          <w:rFonts w:cs="Arial"/>
          <w:szCs w:val="22"/>
        </w:rPr>
        <w:tab/>
      </w:r>
      <w:r>
        <w:rPr>
          <w:rFonts w:cs="Arial"/>
          <w:szCs w:val="22"/>
        </w:rPr>
        <w:tab/>
        <w:t>_________________________</w:t>
      </w:r>
    </w:p>
    <w:p w14:paraId="1BE27A99" w14:textId="77777777" w:rsidR="00E233A4" w:rsidRDefault="00E233A4" w:rsidP="00E233A4">
      <w:pPr>
        <w:jc w:val="both"/>
        <w:rPr>
          <w:rFonts w:cs="Arial"/>
          <w:szCs w:val="22"/>
        </w:rPr>
      </w:pPr>
      <w:r>
        <w:rPr>
          <w:rFonts w:cs="Arial"/>
          <w:szCs w:val="22"/>
        </w:rPr>
        <w:t>Sallie Tanner</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Jason Shaw</w:t>
      </w:r>
    </w:p>
    <w:p w14:paraId="5A85F59B" w14:textId="77777777" w:rsidR="00E233A4" w:rsidRDefault="00E233A4" w:rsidP="00E233A4">
      <w:pPr>
        <w:jc w:val="both"/>
        <w:rPr>
          <w:rFonts w:cs="Arial"/>
          <w:szCs w:val="22"/>
        </w:rPr>
      </w:pPr>
      <w:r>
        <w:rPr>
          <w:rFonts w:cs="Arial"/>
          <w:szCs w:val="22"/>
        </w:rPr>
        <w:t>Executive Secretary</w:t>
      </w:r>
      <w:r>
        <w:rPr>
          <w:rFonts w:cs="Arial"/>
          <w:szCs w:val="22"/>
        </w:rPr>
        <w:tab/>
      </w:r>
      <w:r>
        <w:rPr>
          <w:rFonts w:cs="Arial"/>
          <w:szCs w:val="22"/>
        </w:rPr>
        <w:tab/>
      </w:r>
      <w:r>
        <w:rPr>
          <w:rFonts w:cs="Arial"/>
          <w:szCs w:val="22"/>
        </w:rPr>
        <w:tab/>
      </w:r>
      <w:r>
        <w:rPr>
          <w:rFonts w:cs="Arial"/>
          <w:szCs w:val="22"/>
        </w:rPr>
        <w:tab/>
      </w:r>
      <w:r>
        <w:rPr>
          <w:rFonts w:cs="Arial"/>
          <w:szCs w:val="22"/>
        </w:rPr>
        <w:tab/>
        <w:t>Chairman</w:t>
      </w:r>
    </w:p>
    <w:p w14:paraId="602C13B9" w14:textId="77777777" w:rsidR="00E233A4" w:rsidRDefault="00E233A4" w:rsidP="00E233A4">
      <w:pPr>
        <w:jc w:val="both"/>
        <w:rPr>
          <w:rFonts w:cs="Arial"/>
          <w:szCs w:val="22"/>
        </w:rPr>
      </w:pPr>
    </w:p>
    <w:p w14:paraId="15FD86F0" w14:textId="77777777" w:rsidR="00E233A4" w:rsidRDefault="00E233A4" w:rsidP="00E233A4">
      <w:pPr>
        <w:jc w:val="both"/>
        <w:rPr>
          <w:rFonts w:cs="Arial"/>
          <w:szCs w:val="22"/>
        </w:rPr>
      </w:pPr>
    </w:p>
    <w:p w14:paraId="3A2E59CA" w14:textId="77777777" w:rsidR="00E233A4" w:rsidRDefault="00E233A4" w:rsidP="00E233A4">
      <w:pPr>
        <w:jc w:val="both"/>
        <w:rPr>
          <w:rFonts w:cs="Arial"/>
          <w:szCs w:val="22"/>
        </w:rPr>
      </w:pPr>
    </w:p>
    <w:p w14:paraId="1F37617E" w14:textId="77777777" w:rsidR="00E233A4" w:rsidRDefault="00E233A4" w:rsidP="00E233A4">
      <w:pPr>
        <w:jc w:val="both"/>
        <w:rPr>
          <w:rFonts w:cs="Arial"/>
          <w:szCs w:val="22"/>
        </w:rPr>
      </w:pPr>
      <w:r>
        <w:rPr>
          <w:rFonts w:cs="Arial"/>
          <w:szCs w:val="22"/>
        </w:rPr>
        <w:t>_________________________</w:t>
      </w:r>
      <w:r>
        <w:rPr>
          <w:rFonts w:cs="Arial"/>
          <w:szCs w:val="22"/>
        </w:rPr>
        <w:tab/>
      </w:r>
      <w:r>
        <w:rPr>
          <w:rFonts w:cs="Arial"/>
          <w:szCs w:val="22"/>
        </w:rPr>
        <w:tab/>
      </w:r>
      <w:r>
        <w:rPr>
          <w:rFonts w:cs="Arial"/>
          <w:szCs w:val="22"/>
        </w:rPr>
        <w:tab/>
        <w:t>__________________________</w:t>
      </w:r>
    </w:p>
    <w:p w14:paraId="2AA3E0B6" w14:textId="77777777" w:rsidR="00E233A4" w:rsidRDefault="00E233A4" w:rsidP="00E233A4">
      <w:pPr>
        <w:jc w:val="both"/>
      </w:pPr>
      <w:r>
        <w:rPr>
          <w:rFonts w:cs="Arial"/>
          <w:szCs w:val="22"/>
        </w:rPr>
        <w:t>Date</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roofErr w:type="spellStart"/>
      <w:r>
        <w:rPr>
          <w:rFonts w:cs="Arial"/>
          <w:szCs w:val="22"/>
        </w:rPr>
        <w:t>Date</w:t>
      </w:r>
      <w:proofErr w:type="spellEnd"/>
    </w:p>
    <w:p w14:paraId="23EADFEE" w14:textId="77777777" w:rsidR="00EB79D2" w:rsidRDefault="00EB79D2"/>
    <w:sectPr w:rsidR="00EB79D2" w:rsidSect="00E233A4">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468CE" w14:textId="77777777" w:rsidR="003E28F5" w:rsidRDefault="003E28F5" w:rsidP="00E233A4">
      <w:r>
        <w:separator/>
      </w:r>
    </w:p>
  </w:endnote>
  <w:endnote w:type="continuationSeparator" w:id="0">
    <w:p w14:paraId="719BDD27" w14:textId="77777777" w:rsidR="003E28F5" w:rsidRDefault="003E28F5" w:rsidP="00E2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21A0" w14:textId="77777777" w:rsidR="00E233A4" w:rsidRDefault="00E233A4" w:rsidP="00E233A4">
    <w:pPr>
      <w:pStyle w:val="Footer"/>
      <w:rPr>
        <w:sz w:val="18"/>
        <w:szCs w:val="18"/>
      </w:rPr>
    </w:pPr>
    <w:r w:rsidRPr="00646A2F">
      <w:rPr>
        <w:sz w:val="18"/>
        <w:szCs w:val="18"/>
      </w:rPr>
      <w:t>*Georgia's Job Tax Credit program incentivizes job creation by offering tax credits to qualifying businesses. The program ranks counties into four tiers based on economic conditions such as unemployment rate, per capita income, and poverty rate, with Tier 1 representing the least developed and Tier 4 the most developed counties. The tier level determines the amount of the tax credit per job and the minimum number of jobs required to qualify. </w:t>
    </w:r>
  </w:p>
  <w:p w14:paraId="1C6EFE4C" w14:textId="77777777" w:rsidR="00E233A4" w:rsidRPr="00646A2F" w:rsidRDefault="00E233A4" w:rsidP="00E233A4">
    <w:pPr>
      <w:pStyle w:val="Footer"/>
      <w:rPr>
        <w:sz w:val="18"/>
        <w:szCs w:val="18"/>
      </w:rPr>
    </w:pPr>
    <w:r>
      <w:rPr>
        <w:sz w:val="18"/>
        <w:szCs w:val="18"/>
      </w:rPr>
      <w:t xml:space="preserve">Additional information can be found at: </w:t>
    </w:r>
    <w:r w:rsidRPr="00646A2F">
      <w:rPr>
        <w:sz w:val="18"/>
        <w:szCs w:val="18"/>
      </w:rPr>
      <w:t>https://dca.georgia.gov/financing-tools/incentives/job-tax-credits</w:t>
    </w:r>
  </w:p>
  <w:p w14:paraId="10AE0867" w14:textId="77777777" w:rsidR="00E233A4" w:rsidRDefault="00E23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07738" w14:textId="77777777" w:rsidR="00E233A4" w:rsidRDefault="00E233A4" w:rsidP="00E233A4">
    <w:pPr>
      <w:pStyle w:val="Footer"/>
      <w:rPr>
        <w:sz w:val="18"/>
        <w:szCs w:val="18"/>
      </w:rPr>
    </w:pPr>
    <w:r w:rsidRPr="00646A2F">
      <w:rPr>
        <w:sz w:val="18"/>
        <w:szCs w:val="18"/>
      </w:rPr>
      <w:t>*Georgia's Job Tax Credit program incentivizes job creation by offering tax credits to qualifying businesses. The program ranks counties into four tiers based on economic conditions such as unemployment rate, per capita income, and poverty rate, with Tier 1 representing the least developed and Tier 4 the most developed counties. The tier level determines the amount of the tax credit per job and the minimum number of jobs required to qualify. </w:t>
    </w:r>
  </w:p>
  <w:p w14:paraId="047A5AC4" w14:textId="77777777" w:rsidR="00E233A4" w:rsidRPr="00646A2F" w:rsidRDefault="00E233A4" w:rsidP="00E233A4">
    <w:pPr>
      <w:pStyle w:val="Footer"/>
      <w:rPr>
        <w:sz w:val="18"/>
        <w:szCs w:val="18"/>
      </w:rPr>
    </w:pPr>
    <w:r>
      <w:rPr>
        <w:sz w:val="18"/>
        <w:szCs w:val="18"/>
      </w:rPr>
      <w:t xml:space="preserve">Additional information can be found at: </w:t>
    </w:r>
    <w:r w:rsidRPr="00646A2F">
      <w:rPr>
        <w:sz w:val="18"/>
        <w:szCs w:val="18"/>
      </w:rPr>
      <w:t>https://dca.georgia.gov/financing-tools/incentives/job-tax-credits</w:t>
    </w:r>
  </w:p>
  <w:p w14:paraId="500610FD" w14:textId="77777777" w:rsidR="00E233A4" w:rsidRDefault="00E233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BCA60" w14:textId="77777777" w:rsidR="00E233A4" w:rsidRDefault="00E233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CB98" w14:textId="77777777" w:rsidR="00E233A4" w:rsidRDefault="00E23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55B74" w14:textId="77777777" w:rsidR="003E28F5" w:rsidRDefault="003E28F5" w:rsidP="00E233A4">
      <w:r>
        <w:separator/>
      </w:r>
    </w:p>
  </w:footnote>
  <w:footnote w:type="continuationSeparator" w:id="0">
    <w:p w14:paraId="1145933E" w14:textId="77777777" w:rsidR="003E28F5" w:rsidRDefault="003E28F5" w:rsidP="00E23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E233A4" w14:paraId="7D29CE73" w14:textId="77777777">
      <w:trPr>
        <w:trHeight w:val="300"/>
      </w:trPr>
      <w:tc>
        <w:tcPr>
          <w:tcW w:w="3120" w:type="dxa"/>
        </w:tcPr>
        <w:p w14:paraId="6EEACE22" w14:textId="77777777" w:rsidR="00E233A4" w:rsidRDefault="00E233A4">
          <w:pPr>
            <w:pStyle w:val="Header"/>
            <w:ind w:left="-115"/>
          </w:pPr>
        </w:p>
      </w:tc>
      <w:tc>
        <w:tcPr>
          <w:tcW w:w="3120" w:type="dxa"/>
        </w:tcPr>
        <w:p w14:paraId="40F2D2E8" w14:textId="77777777" w:rsidR="00E233A4" w:rsidRDefault="00E233A4">
          <w:pPr>
            <w:pStyle w:val="Header"/>
            <w:jc w:val="center"/>
          </w:pPr>
        </w:p>
      </w:tc>
      <w:tc>
        <w:tcPr>
          <w:tcW w:w="3120" w:type="dxa"/>
        </w:tcPr>
        <w:p w14:paraId="3E91DF21" w14:textId="77777777" w:rsidR="00E233A4" w:rsidRDefault="00E233A4">
          <w:pPr>
            <w:pStyle w:val="Header"/>
            <w:ind w:right="-115"/>
            <w:jc w:val="right"/>
          </w:pPr>
        </w:p>
      </w:tc>
    </w:tr>
  </w:tbl>
  <w:p w14:paraId="47E20D55" w14:textId="77777777" w:rsidR="00E233A4" w:rsidRDefault="00E23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53D39"/>
    <w:multiLevelType w:val="hybridMultilevel"/>
    <w:tmpl w:val="C9B832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5279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3A4"/>
    <w:rsid w:val="00004429"/>
    <w:rsid w:val="0002675D"/>
    <w:rsid w:val="00027091"/>
    <w:rsid w:val="00046432"/>
    <w:rsid w:val="00064371"/>
    <w:rsid w:val="00066549"/>
    <w:rsid w:val="00075BC4"/>
    <w:rsid w:val="0008375D"/>
    <w:rsid w:val="000B1AC0"/>
    <w:rsid w:val="00114EBF"/>
    <w:rsid w:val="00147641"/>
    <w:rsid w:val="001710F6"/>
    <w:rsid w:val="001A0FD3"/>
    <w:rsid w:val="001C5577"/>
    <w:rsid w:val="001E7E21"/>
    <w:rsid w:val="0020598D"/>
    <w:rsid w:val="00234CE6"/>
    <w:rsid w:val="002570BE"/>
    <w:rsid w:val="002B3004"/>
    <w:rsid w:val="002F207B"/>
    <w:rsid w:val="0030601E"/>
    <w:rsid w:val="00317D86"/>
    <w:rsid w:val="003E28F5"/>
    <w:rsid w:val="00416502"/>
    <w:rsid w:val="004544F3"/>
    <w:rsid w:val="004603FA"/>
    <w:rsid w:val="00495C0A"/>
    <w:rsid w:val="00511D16"/>
    <w:rsid w:val="005240B8"/>
    <w:rsid w:val="0054495F"/>
    <w:rsid w:val="00574C56"/>
    <w:rsid w:val="0058472B"/>
    <w:rsid w:val="005A226D"/>
    <w:rsid w:val="006478C3"/>
    <w:rsid w:val="00661AC2"/>
    <w:rsid w:val="0068358C"/>
    <w:rsid w:val="006900F9"/>
    <w:rsid w:val="00696CC9"/>
    <w:rsid w:val="006F3434"/>
    <w:rsid w:val="00737B2F"/>
    <w:rsid w:val="007A53D1"/>
    <w:rsid w:val="007B2D26"/>
    <w:rsid w:val="008033AE"/>
    <w:rsid w:val="00824BBC"/>
    <w:rsid w:val="00854EEA"/>
    <w:rsid w:val="00885C2A"/>
    <w:rsid w:val="008B1691"/>
    <w:rsid w:val="008B38D7"/>
    <w:rsid w:val="00904A2C"/>
    <w:rsid w:val="00916928"/>
    <w:rsid w:val="0092603F"/>
    <w:rsid w:val="00932953"/>
    <w:rsid w:val="00935167"/>
    <w:rsid w:val="00961011"/>
    <w:rsid w:val="0097136A"/>
    <w:rsid w:val="0098272A"/>
    <w:rsid w:val="00992EBD"/>
    <w:rsid w:val="009C3B82"/>
    <w:rsid w:val="009C4C48"/>
    <w:rsid w:val="009D714C"/>
    <w:rsid w:val="009E6F0A"/>
    <w:rsid w:val="009F5089"/>
    <w:rsid w:val="00A4484A"/>
    <w:rsid w:val="00A45210"/>
    <w:rsid w:val="00B40DC1"/>
    <w:rsid w:val="00B41A2C"/>
    <w:rsid w:val="00B75B81"/>
    <w:rsid w:val="00B90AFC"/>
    <w:rsid w:val="00BB1656"/>
    <w:rsid w:val="00BF37D9"/>
    <w:rsid w:val="00C07435"/>
    <w:rsid w:val="00C24285"/>
    <w:rsid w:val="00C71520"/>
    <w:rsid w:val="00C83161"/>
    <w:rsid w:val="00CC4895"/>
    <w:rsid w:val="00CF0B1B"/>
    <w:rsid w:val="00CF67F0"/>
    <w:rsid w:val="00D11CE3"/>
    <w:rsid w:val="00D51D8A"/>
    <w:rsid w:val="00D766DA"/>
    <w:rsid w:val="00E233A4"/>
    <w:rsid w:val="00EB79D2"/>
    <w:rsid w:val="00F50C2E"/>
    <w:rsid w:val="00F903B2"/>
    <w:rsid w:val="00FA236C"/>
    <w:rsid w:val="0B08FE42"/>
    <w:rsid w:val="19DEC3BD"/>
    <w:rsid w:val="1B2AA0A2"/>
    <w:rsid w:val="2C8B81B0"/>
    <w:rsid w:val="365AF196"/>
    <w:rsid w:val="6546849F"/>
    <w:rsid w:val="67E9C847"/>
    <w:rsid w:val="72DD04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297C3161"/>
  <w15:chartTrackingRefBased/>
  <w15:docId w15:val="{1278C961-D790-4F6A-996F-1D2D6C39C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3A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E23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3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3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3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3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3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3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3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33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3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3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3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3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3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3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3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3A4"/>
    <w:rPr>
      <w:rFonts w:eastAsiaTheme="majorEastAsia" w:cstheme="majorBidi"/>
      <w:color w:val="272727" w:themeColor="text1" w:themeTint="D8"/>
    </w:rPr>
  </w:style>
  <w:style w:type="paragraph" w:styleId="Title">
    <w:name w:val="Title"/>
    <w:basedOn w:val="Normal"/>
    <w:next w:val="Normal"/>
    <w:link w:val="TitleChar"/>
    <w:uiPriority w:val="10"/>
    <w:qFormat/>
    <w:rsid w:val="00E233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3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3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3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3A4"/>
    <w:pPr>
      <w:spacing w:before="160"/>
      <w:jc w:val="center"/>
    </w:pPr>
    <w:rPr>
      <w:i/>
      <w:iCs/>
      <w:color w:val="404040" w:themeColor="text1" w:themeTint="BF"/>
    </w:rPr>
  </w:style>
  <w:style w:type="character" w:customStyle="1" w:styleId="QuoteChar">
    <w:name w:val="Quote Char"/>
    <w:basedOn w:val="DefaultParagraphFont"/>
    <w:link w:val="Quote"/>
    <w:uiPriority w:val="29"/>
    <w:rsid w:val="00E233A4"/>
    <w:rPr>
      <w:i/>
      <w:iCs/>
      <w:color w:val="404040" w:themeColor="text1" w:themeTint="BF"/>
    </w:rPr>
  </w:style>
  <w:style w:type="paragraph" w:styleId="ListParagraph">
    <w:name w:val="List Paragraph"/>
    <w:basedOn w:val="Normal"/>
    <w:uiPriority w:val="34"/>
    <w:qFormat/>
    <w:rsid w:val="00E233A4"/>
    <w:pPr>
      <w:ind w:left="720"/>
      <w:contextualSpacing/>
    </w:pPr>
  </w:style>
  <w:style w:type="character" w:styleId="IntenseEmphasis">
    <w:name w:val="Intense Emphasis"/>
    <w:basedOn w:val="DefaultParagraphFont"/>
    <w:uiPriority w:val="21"/>
    <w:qFormat/>
    <w:rsid w:val="00E233A4"/>
    <w:rPr>
      <w:i/>
      <w:iCs/>
      <w:color w:val="0F4761" w:themeColor="accent1" w:themeShade="BF"/>
    </w:rPr>
  </w:style>
  <w:style w:type="paragraph" w:styleId="IntenseQuote">
    <w:name w:val="Intense Quote"/>
    <w:basedOn w:val="Normal"/>
    <w:next w:val="Normal"/>
    <w:link w:val="IntenseQuoteChar"/>
    <w:uiPriority w:val="30"/>
    <w:qFormat/>
    <w:rsid w:val="00E23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3A4"/>
    <w:rPr>
      <w:i/>
      <w:iCs/>
      <w:color w:val="0F4761" w:themeColor="accent1" w:themeShade="BF"/>
    </w:rPr>
  </w:style>
  <w:style w:type="character" w:styleId="IntenseReference">
    <w:name w:val="Intense Reference"/>
    <w:basedOn w:val="DefaultParagraphFont"/>
    <w:uiPriority w:val="32"/>
    <w:qFormat/>
    <w:rsid w:val="00E233A4"/>
    <w:rPr>
      <w:b/>
      <w:bCs/>
      <w:smallCaps/>
      <w:color w:val="0F4761" w:themeColor="accent1" w:themeShade="BF"/>
      <w:spacing w:val="5"/>
    </w:rPr>
  </w:style>
  <w:style w:type="character" w:styleId="Strong">
    <w:name w:val="Strong"/>
    <w:qFormat/>
    <w:rsid w:val="00E233A4"/>
    <w:rPr>
      <w:b/>
      <w:bCs w:val="0"/>
    </w:rPr>
  </w:style>
  <w:style w:type="table" w:styleId="TableGrid">
    <w:name w:val="Table Grid"/>
    <w:basedOn w:val="TableNormal"/>
    <w:uiPriority w:val="39"/>
    <w:rsid w:val="00E233A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rsid w:val="00E233A4"/>
    <w:pPr>
      <w:spacing w:after="120"/>
    </w:pPr>
    <w:rPr>
      <w:szCs w:val="20"/>
    </w:rPr>
  </w:style>
  <w:style w:type="character" w:customStyle="1" w:styleId="BodyTextChar">
    <w:name w:val="Body Text Char"/>
    <w:basedOn w:val="DefaultParagraphFont"/>
    <w:link w:val="BodyText"/>
    <w:uiPriority w:val="99"/>
    <w:semiHidden/>
    <w:rsid w:val="00E233A4"/>
    <w:rPr>
      <w:rFonts w:ascii="Times New Roman" w:eastAsia="Times New Roman" w:hAnsi="Times New Roman" w:cs="Times New Roman"/>
      <w:kern w:val="0"/>
      <w:szCs w:val="20"/>
      <w14:ligatures w14:val="none"/>
    </w:rPr>
  </w:style>
  <w:style w:type="table" w:styleId="GridTable5Dark-Accent5">
    <w:name w:val="Grid Table 5 Dark Accent 5"/>
    <w:basedOn w:val="TableNormal"/>
    <w:uiPriority w:val="50"/>
    <w:rsid w:val="00E233A4"/>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paragraph" w:styleId="Header">
    <w:name w:val="header"/>
    <w:basedOn w:val="Normal"/>
    <w:link w:val="HeaderChar"/>
    <w:uiPriority w:val="99"/>
    <w:unhideWhenUsed/>
    <w:rsid w:val="00E233A4"/>
    <w:pPr>
      <w:tabs>
        <w:tab w:val="center" w:pos="4680"/>
        <w:tab w:val="right" w:pos="9360"/>
      </w:tabs>
    </w:pPr>
    <w:rPr>
      <w:rFonts w:ascii="Calibri" w:eastAsiaTheme="minorHAnsi" w:hAnsi="Calibri" w:cs="Calibri"/>
      <w:sz w:val="22"/>
      <w:szCs w:val="22"/>
    </w:rPr>
  </w:style>
  <w:style w:type="character" w:customStyle="1" w:styleId="HeaderChar">
    <w:name w:val="Header Char"/>
    <w:basedOn w:val="DefaultParagraphFont"/>
    <w:link w:val="Header"/>
    <w:uiPriority w:val="99"/>
    <w:rsid w:val="00E233A4"/>
    <w:rPr>
      <w:rFonts w:ascii="Calibri" w:hAnsi="Calibri" w:cs="Calibri"/>
      <w:kern w:val="0"/>
      <w:sz w:val="22"/>
      <w:szCs w:val="22"/>
      <w14:ligatures w14:val="none"/>
    </w:rPr>
  </w:style>
  <w:style w:type="paragraph" w:customStyle="1" w:styleId="paragraph">
    <w:name w:val="paragraph"/>
    <w:basedOn w:val="Normal"/>
    <w:rsid w:val="00E233A4"/>
    <w:pPr>
      <w:spacing w:before="100" w:beforeAutospacing="1" w:after="100" w:afterAutospacing="1"/>
    </w:pPr>
  </w:style>
  <w:style w:type="character" w:customStyle="1" w:styleId="normaltextrun">
    <w:name w:val="normaltextrun"/>
    <w:basedOn w:val="DefaultParagraphFont"/>
    <w:rsid w:val="00E233A4"/>
  </w:style>
  <w:style w:type="character" w:customStyle="1" w:styleId="eop">
    <w:name w:val="eop"/>
    <w:basedOn w:val="DefaultParagraphFont"/>
    <w:rsid w:val="00E233A4"/>
  </w:style>
  <w:style w:type="paragraph" w:styleId="Footer">
    <w:name w:val="footer"/>
    <w:basedOn w:val="Normal"/>
    <w:link w:val="FooterChar"/>
    <w:uiPriority w:val="99"/>
    <w:unhideWhenUsed/>
    <w:rsid w:val="00E233A4"/>
    <w:pPr>
      <w:tabs>
        <w:tab w:val="center" w:pos="4680"/>
        <w:tab w:val="right" w:pos="9360"/>
      </w:tabs>
    </w:pPr>
  </w:style>
  <w:style w:type="character" w:customStyle="1" w:styleId="FooterChar">
    <w:name w:val="Footer Char"/>
    <w:basedOn w:val="DefaultParagraphFont"/>
    <w:link w:val="Footer"/>
    <w:uiPriority w:val="99"/>
    <w:rsid w:val="00E233A4"/>
    <w:rPr>
      <w:rFonts w:ascii="Times New Roman" w:eastAsia="Times New Roman" w:hAnsi="Times New Roman" w:cs="Times New Roman"/>
      <w:kern w:val="0"/>
      <w14:ligatures w14:val="none"/>
    </w:rPr>
  </w:style>
  <w:style w:type="paragraph" w:styleId="Revision">
    <w:name w:val="Revision"/>
    <w:hidden/>
    <w:uiPriority w:val="99"/>
    <w:semiHidden/>
    <w:rsid w:val="00046432"/>
    <w:pPr>
      <w:spacing w:after="0"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511D16"/>
    <w:rPr>
      <w:sz w:val="16"/>
      <w:szCs w:val="16"/>
    </w:rPr>
  </w:style>
  <w:style w:type="paragraph" w:styleId="CommentText">
    <w:name w:val="annotation text"/>
    <w:basedOn w:val="Normal"/>
    <w:link w:val="CommentTextChar"/>
    <w:uiPriority w:val="99"/>
    <w:unhideWhenUsed/>
    <w:rsid w:val="00511D16"/>
    <w:rPr>
      <w:sz w:val="20"/>
      <w:szCs w:val="20"/>
    </w:rPr>
  </w:style>
  <w:style w:type="character" w:customStyle="1" w:styleId="CommentTextChar">
    <w:name w:val="Comment Text Char"/>
    <w:basedOn w:val="DefaultParagraphFont"/>
    <w:link w:val="CommentText"/>
    <w:uiPriority w:val="99"/>
    <w:rsid w:val="00511D1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11D16"/>
    <w:rPr>
      <w:b/>
      <w:bCs/>
    </w:rPr>
  </w:style>
  <w:style w:type="character" w:customStyle="1" w:styleId="CommentSubjectChar">
    <w:name w:val="Comment Subject Char"/>
    <w:basedOn w:val="CommentTextChar"/>
    <w:link w:val="CommentSubject"/>
    <w:uiPriority w:val="99"/>
    <w:semiHidden/>
    <w:rsid w:val="00511D1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1042</Words>
  <Characters>5944</Characters>
  <Application>Microsoft Office Word</Application>
  <DocSecurity>0</DocSecurity>
  <Lines>49</Lines>
  <Paragraphs>13</Paragraphs>
  <ScaleCrop>false</ScaleCrop>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Threatt</dc:creator>
  <cp:keywords/>
  <dc:description/>
  <cp:lastModifiedBy>William Threatt</cp:lastModifiedBy>
  <cp:revision>2</cp:revision>
  <dcterms:created xsi:type="dcterms:W3CDTF">2025-10-02T19:16:00Z</dcterms:created>
  <dcterms:modified xsi:type="dcterms:W3CDTF">2025-10-02T19:16:00Z</dcterms:modified>
</cp:coreProperties>
</file>