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5642" w14:textId="284735AC" w:rsidR="00B346A6" w:rsidRDefault="00B346A6" w:rsidP="40F46D5C">
      <w:pPr>
        <w:jc w:val="both"/>
        <w:rPr>
          <w:rFonts w:ascii="Times New Roman" w:eastAsia="Times New Roman" w:hAnsi="Times New Roman" w:cs="Times New Roman"/>
          <w:sz w:val="24"/>
          <w:szCs w:val="24"/>
        </w:rPr>
      </w:pPr>
    </w:p>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43552B" w:rsidRPr="001120CC" w14:paraId="35CEFC69" w14:textId="77777777" w:rsidTr="0043552B">
        <w:trPr>
          <w:trHeight w:val="1681"/>
          <w:jc w:val="center"/>
        </w:trPr>
        <w:tc>
          <w:tcPr>
            <w:tcW w:w="4357" w:type="dxa"/>
            <w:hideMark/>
          </w:tcPr>
          <w:p w14:paraId="51F278A3" w14:textId="29F268B5" w:rsidR="0043552B" w:rsidRPr="001120CC" w:rsidRDefault="0043552B" w:rsidP="001120CC">
            <w:pPr>
              <w:spacing w:after="0" w:line="276" w:lineRule="auto"/>
              <w:rPr>
                <w:rStyle w:val="Strong"/>
                <w:rFonts w:ascii="Times New Roman" w:hAnsi="Times New Roman" w:cs="Times New Roman"/>
                <w:sz w:val="20"/>
                <w:szCs w:val="20"/>
              </w:rPr>
            </w:pPr>
            <w:r w:rsidRPr="001120CC">
              <w:rPr>
                <w:rStyle w:val="Strong"/>
                <w:rFonts w:ascii="Times New Roman" w:hAnsi="Times New Roman" w:cs="Times New Roman"/>
                <w:sz w:val="20"/>
                <w:szCs w:val="20"/>
              </w:rPr>
              <w:t>COMMISSIONERS:</w:t>
            </w:r>
          </w:p>
          <w:p w14:paraId="5E0AE4AC" w14:textId="77777777" w:rsidR="0043552B" w:rsidRPr="001120CC" w:rsidRDefault="0043552B" w:rsidP="001120CC">
            <w:pPr>
              <w:spacing w:after="0" w:line="276" w:lineRule="auto"/>
              <w:rPr>
                <w:rStyle w:val="Strong"/>
                <w:rFonts w:ascii="Times New Roman" w:hAnsi="Times New Roman" w:cs="Times New Roman"/>
                <w:sz w:val="20"/>
                <w:szCs w:val="20"/>
              </w:rPr>
            </w:pPr>
          </w:p>
          <w:p w14:paraId="62F3840E" w14:textId="77777777" w:rsidR="0043552B" w:rsidRPr="001120CC" w:rsidRDefault="0043552B" w:rsidP="001120CC">
            <w:pPr>
              <w:spacing w:after="0" w:line="276" w:lineRule="auto"/>
              <w:rPr>
                <w:rStyle w:val="Strong"/>
                <w:rFonts w:ascii="Times New Roman" w:hAnsi="Times New Roman" w:cs="Times New Roman"/>
                <w:sz w:val="20"/>
                <w:szCs w:val="20"/>
              </w:rPr>
            </w:pPr>
            <w:r w:rsidRPr="001120CC">
              <w:rPr>
                <w:rStyle w:val="Strong"/>
                <w:rFonts w:ascii="Times New Roman" w:hAnsi="Times New Roman" w:cs="Times New Roman"/>
                <w:sz w:val="20"/>
                <w:szCs w:val="20"/>
              </w:rPr>
              <w:t xml:space="preserve">JASON SHAW, Chairman </w:t>
            </w:r>
          </w:p>
          <w:p w14:paraId="331E0AAB" w14:textId="77777777" w:rsidR="0043552B" w:rsidRPr="001120CC" w:rsidRDefault="0043552B" w:rsidP="001120CC">
            <w:pPr>
              <w:tabs>
                <w:tab w:val="right" w:pos="4189"/>
              </w:tabs>
              <w:spacing w:after="0" w:line="276" w:lineRule="auto"/>
              <w:rPr>
                <w:rStyle w:val="Strong"/>
                <w:rFonts w:ascii="Times New Roman" w:hAnsi="Times New Roman" w:cs="Times New Roman"/>
                <w:sz w:val="20"/>
                <w:szCs w:val="20"/>
              </w:rPr>
            </w:pPr>
            <w:r w:rsidRPr="001120CC">
              <w:rPr>
                <w:rStyle w:val="Strong"/>
                <w:rFonts w:ascii="Times New Roman" w:hAnsi="Times New Roman" w:cs="Times New Roman"/>
                <w:sz w:val="20"/>
                <w:szCs w:val="20"/>
              </w:rPr>
              <w:t>FITZ JOHNSON, Vice-Chairman</w:t>
            </w:r>
            <w:r w:rsidRPr="001120CC">
              <w:rPr>
                <w:rStyle w:val="Strong"/>
                <w:rFonts w:ascii="Times New Roman" w:hAnsi="Times New Roman" w:cs="Times New Roman"/>
                <w:sz w:val="20"/>
                <w:szCs w:val="20"/>
              </w:rPr>
              <w:tab/>
              <w:t xml:space="preserve">   </w:t>
            </w:r>
          </w:p>
          <w:p w14:paraId="228C0615" w14:textId="77777777" w:rsidR="0043552B" w:rsidRPr="001120CC" w:rsidRDefault="0043552B" w:rsidP="001120CC">
            <w:pPr>
              <w:spacing w:after="0" w:line="276" w:lineRule="auto"/>
              <w:rPr>
                <w:rStyle w:val="Strong"/>
                <w:rFonts w:ascii="Times New Roman" w:hAnsi="Times New Roman" w:cs="Times New Roman"/>
                <w:sz w:val="20"/>
                <w:szCs w:val="20"/>
              </w:rPr>
            </w:pPr>
            <w:r w:rsidRPr="001120CC">
              <w:rPr>
                <w:rStyle w:val="Strong"/>
                <w:rFonts w:ascii="Times New Roman" w:hAnsi="Times New Roman" w:cs="Times New Roman"/>
                <w:sz w:val="20"/>
                <w:szCs w:val="20"/>
              </w:rPr>
              <w:t xml:space="preserve">TIM G. ECHOLS </w:t>
            </w:r>
          </w:p>
          <w:p w14:paraId="70D223CD" w14:textId="77777777" w:rsidR="0043552B" w:rsidRDefault="0043552B" w:rsidP="001120CC">
            <w:pPr>
              <w:spacing w:after="0" w:line="276" w:lineRule="auto"/>
            </w:pPr>
            <w:r w:rsidRPr="001120CC">
              <w:rPr>
                <w:rStyle w:val="Strong"/>
                <w:rFonts w:ascii="Times New Roman" w:hAnsi="Times New Roman" w:cs="Times New Roman"/>
                <w:sz w:val="20"/>
                <w:szCs w:val="20"/>
              </w:rPr>
              <w:t xml:space="preserve">LAUREN “BUBBA” </w:t>
            </w:r>
            <w:proofErr w:type="spellStart"/>
            <w:r w:rsidRPr="001120CC">
              <w:rPr>
                <w:rStyle w:val="Strong"/>
                <w:rFonts w:ascii="Times New Roman" w:hAnsi="Times New Roman" w:cs="Times New Roman"/>
                <w:sz w:val="20"/>
                <w:szCs w:val="20"/>
              </w:rPr>
              <w:t>McDONALD</w:t>
            </w:r>
            <w:proofErr w:type="spellEnd"/>
            <w:r w:rsidRPr="001120CC">
              <w:rPr>
                <w:rStyle w:val="Strong"/>
                <w:rFonts w:ascii="Times New Roman" w:hAnsi="Times New Roman" w:cs="Times New Roman"/>
                <w:sz w:val="20"/>
                <w:szCs w:val="20"/>
              </w:rPr>
              <w:t xml:space="preserve">                                  </w:t>
            </w:r>
            <w:r w:rsidRPr="001120CC">
              <w:rPr>
                <w:rFonts w:ascii="Times New Roman" w:hAnsi="Times New Roman" w:cs="Times New Roman"/>
                <w:b/>
                <w:sz w:val="20"/>
                <w:szCs w:val="20"/>
              </w:rPr>
              <w:br/>
            </w:r>
            <w:r w:rsidRPr="001120CC">
              <w:rPr>
                <w:rStyle w:val="Strong"/>
                <w:rFonts w:ascii="Times New Roman" w:hAnsi="Times New Roman" w:cs="Times New Roman"/>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48B456F3" w14:textId="77777777" w:rsidR="0043552B" w:rsidRDefault="0043552B" w:rsidP="000324EA">
            <w:pPr>
              <w:tabs>
                <w:tab w:val="left" w:pos="1410"/>
              </w:tabs>
              <w:spacing w:line="276" w:lineRule="auto"/>
            </w:pPr>
            <w:r>
              <w:t xml:space="preserve">    </w:t>
            </w:r>
            <w:r w:rsidRPr="00A958CB">
              <w:rPr>
                <w:noProof/>
              </w:rPr>
              <w:drawing>
                <wp:inline distT="0" distB="0" distL="0" distR="0" wp14:anchorId="44106806" wp14:editId="414D6A7D">
                  <wp:extent cx="1226190" cy="1179830"/>
                  <wp:effectExtent l="0" t="0" r="0" b="1270"/>
                  <wp:docPr id="270779145" name="Picture 270779145"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79145" name="Picture 270779145" descr="Logo&#10;&#10;AI-generated content may be incorrect."/>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49787C46" w14:textId="77777777" w:rsidR="0043552B" w:rsidRPr="001120CC" w:rsidRDefault="0043552B" w:rsidP="00D1448B">
            <w:pPr>
              <w:spacing w:after="0" w:line="276" w:lineRule="auto"/>
              <w:rPr>
                <w:rFonts w:ascii="Times New Roman" w:hAnsi="Times New Roman" w:cs="Times New Roman"/>
                <w:b/>
                <w:sz w:val="20"/>
                <w:szCs w:val="20"/>
              </w:rPr>
            </w:pPr>
          </w:p>
          <w:p w14:paraId="2E4454A9" w14:textId="77777777" w:rsidR="0043552B" w:rsidRPr="001120CC" w:rsidRDefault="0043552B" w:rsidP="00D1448B">
            <w:pPr>
              <w:spacing w:after="0" w:line="276" w:lineRule="auto"/>
              <w:jc w:val="right"/>
              <w:rPr>
                <w:rFonts w:ascii="Times New Roman" w:hAnsi="Times New Roman" w:cs="Times New Roman"/>
                <w:b/>
                <w:sz w:val="20"/>
                <w:szCs w:val="20"/>
              </w:rPr>
            </w:pPr>
            <w:r w:rsidRPr="001120CC">
              <w:rPr>
                <w:rFonts w:ascii="Times New Roman" w:hAnsi="Times New Roman" w:cs="Times New Roman"/>
                <w:b/>
                <w:sz w:val="20"/>
                <w:szCs w:val="20"/>
              </w:rPr>
              <w:t xml:space="preserve">REECE </w:t>
            </w:r>
            <w:proofErr w:type="spellStart"/>
            <w:r w:rsidRPr="001120CC">
              <w:rPr>
                <w:rFonts w:ascii="Times New Roman" w:hAnsi="Times New Roman" w:cs="Times New Roman"/>
                <w:b/>
                <w:sz w:val="20"/>
                <w:szCs w:val="20"/>
              </w:rPr>
              <w:t>McALISTER</w:t>
            </w:r>
            <w:proofErr w:type="spellEnd"/>
            <w:r w:rsidRPr="001120CC">
              <w:rPr>
                <w:rFonts w:ascii="Times New Roman" w:hAnsi="Times New Roman" w:cs="Times New Roman"/>
                <w:b/>
                <w:sz w:val="20"/>
                <w:szCs w:val="20"/>
              </w:rPr>
              <w:t> </w:t>
            </w:r>
          </w:p>
          <w:p w14:paraId="0E7098F6" w14:textId="77777777" w:rsidR="0043552B" w:rsidRPr="001120CC" w:rsidRDefault="0043552B" w:rsidP="00D1448B">
            <w:pPr>
              <w:spacing w:after="0" w:line="276" w:lineRule="auto"/>
              <w:jc w:val="right"/>
              <w:rPr>
                <w:rFonts w:ascii="Times New Roman" w:hAnsi="Times New Roman" w:cs="Times New Roman"/>
                <w:b/>
                <w:sz w:val="20"/>
                <w:szCs w:val="20"/>
              </w:rPr>
            </w:pPr>
            <w:r w:rsidRPr="001120CC">
              <w:rPr>
                <w:rFonts w:ascii="Times New Roman" w:hAnsi="Times New Roman" w:cs="Times New Roman"/>
                <w:b/>
                <w:sz w:val="20"/>
                <w:szCs w:val="20"/>
              </w:rPr>
              <w:t>EXECUTIVE DIRECTOR</w:t>
            </w:r>
          </w:p>
          <w:p w14:paraId="10A8C660" w14:textId="77777777" w:rsidR="0043552B" w:rsidRPr="001120CC" w:rsidRDefault="0043552B" w:rsidP="00D1448B">
            <w:pPr>
              <w:spacing w:after="0" w:line="276" w:lineRule="auto"/>
              <w:jc w:val="right"/>
              <w:rPr>
                <w:rFonts w:ascii="Times New Roman" w:hAnsi="Times New Roman" w:cs="Times New Roman"/>
                <w:sz w:val="20"/>
                <w:szCs w:val="20"/>
              </w:rPr>
            </w:pPr>
            <w:r w:rsidRPr="001120CC">
              <w:rPr>
                <w:rFonts w:ascii="Times New Roman" w:hAnsi="Times New Roman" w:cs="Times New Roman"/>
                <w:b/>
                <w:sz w:val="20"/>
                <w:szCs w:val="20"/>
              </w:rPr>
              <w:t xml:space="preserve"> </w:t>
            </w:r>
            <w:r w:rsidRPr="001120CC">
              <w:rPr>
                <w:rFonts w:ascii="Times New Roman" w:hAnsi="Times New Roman" w:cs="Times New Roman"/>
                <w:b/>
                <w:sz w:val="20"/>
                <w:szCs w:val="20"/>
              </w:rPr>
              <w:br/>
              <w:t>SALLIE TANNER</w:t>
            </w:r>
            <w:r w:rsidRPr="001120CC">
              <w:rPr>
                <w:rFonts w:ascii="Times New Roman" w:hAnsi="Times New Roman" w:cs="Times New Roman"/>
                <w:b/>
                <w:sz w:val="20"/>
                <w:szCs w:val="20"/>
              </w:rPr>
              <w:br/>
              <w:t>EXECUTIVE SECRETARY</w:t>
            </w:r>
          </w:p>
        </w:tc>
      </w:tr>
      <w:tr w:rsidR="0043552B" w14:paraId="43939121" w14:textId="77777777" w:rsidTr="0043552B">
        <w:trPr>
          <w:trHeight w:val="772"/>
          <w:jc w:val="center"/>
        </w:trPr>
        <w:tc>
          <w:tcPr>
            <w:tcW w:w="11055" w:type="dxa"/>
            <w:gridSpan w:val="3"/>
            <w:hideMark/>
          </w:tcPr>
          <w:p w14:paraId="60B61013" w14:textId="51FB05F1" w:rsidR="0043552B" w:rsidRPr="0043552B" w:rsidRDefault="0043552B" w:rsidP="00F24B84">
            <w:pPr>
              <w:pStyle w:val="Heading1"/>
              <w:tabs>
                <w:tab w:val="left" w:pos="1410"/>
                <w:tab w:val="left" w:pos="5772"/>
              </w:tabs>
              <w:spacing w:before="0" w:line="276" w:lineRule="auto"/>
              <w:jc w:val="center"/>
              <w:rPr>
                <w:rFonts w:ascii="Old English Text MT" w:hAnsi="Old English Text MT"/>
                <w:color w:val="auto"/>
                <w:sz w:val="42"/>
              </w:rPr>
            </w:pPr>
            <w:r w:rsidRPr="0043552B">
              <w:rPr>
                <w:rFonts w:ascii="Old English Text MT" w:hAnsi="Old English Text MT"/>
                <w:color w:val="auto"/>
                <w:sz w:val="42"/>
              </w:rPr>
              <w:t>Georgia Public Service Commission</w:t>
            </w:r>
          </w:p>
        </w:tc>
      </w:tr>
      <w:tr w:rsidR="0043552B" w:rsidRPr="007326E8" w14:paraId="43BB4A75" w14:textId="77777777" w:rsidTr="0043552B">
        <w:trPr>
          <w:jc w:val="center"/>
        </w:trPr>
        <w:tc>
          <w:tcPr>
            <w:tcW w:w="4357" w:type="dxa"/>
            <w:hideMark/>
          </w:tcPr>
          <w:p w14:paraId="0F336BDE" w14:textId="77777777" w:rsidR="0043552B" w:rsidRPr="007326E8" w:rsidRDefault="0043552B" w:rsidP="00D34960">
            <w:pPr>
              <w:spacing w:after="0" w:line="276" w:lineRule="auto"/>
              <w:rPr>
                <w:rFonts w:ascii="Times New Roman" w:hAnsi="Times New Roman" w:cs="Times New Roman"/>
                <w:b/>
                <w:bCs/>
                <w:sz w:val="17"/>
                <w:szCs w:val="17"/>
              </w:rPr>
            </w:pPr>
            <w:r w:rsidRPr="007326E8">
              <w:rPr>
                <w:rFonts w:ascii="Times New Roman" w:hAnsi="Times New Roman" w:cs="Times New Roman"/>
                <w:b/>
                <w:bCs/>
                <w:sz w:val="17"/>
                <w:szCs w:val="17"/>
              </w:rPr>
              <w:t>(404) 656-4501</w:t>
            </w:r>
          </w:p>
          <w:p w14:paraId="42BDE510" w14:textId="77777777" w:rsidR="0043552B" w:rsidRPr="007326E8" w:rsidRDefault="0043552B" w:rsidP="00D34960">
            <w:pPr>
              <w:spacing w:after="0" w:line="276" w:lineRule="auto"/>
              <w:rPr>
                <w:rFonts w:ascii="Times New Roman" w:hAnsi="Times New Roman" w:cs="Times New Roman"/>
                <w:b/>
                <w:bCs/>
              </w:rPr>
            </w:pPr>
            <w:r w:rsidRPr="007326E8">
              <w:rPr>
                <w:rFonts w:ascii="Times New Roman" w:hAnsi="Times New Roman" w:cs="Times New Roman"/>
                <w:b/>
                <w:bCs/>
                <w:sz w:val="17"/>
                <w:szCs w:val="17"/>
              </w:rPr>
              <w:t>(800) 282-5813</w:t>
            </w:r>
          </w:p>
        </w:tc>
        <w:tc>
          <w:tcPr>
            <w:tcW w:w="2970" w:type="dxa"/>
            <w:hideMark/>
          </w:tcPr>
          <w:p w14:paraId="0A09603F" w14:textId="77777777" w:rsidR="0043552B" w:rsidRPr="007326E8" w:rsidRDefault="0043552B" w:rsidP="00D34960">
            <w:pPr>
              <w:tabs>
                <w:tab w:val="left" w:pos="1410"/>
              </w:tabs>
              <w:spacing w:after="0" w:line="276" w:lineRule="auto"/>
              <w:rPr>
                <w:rFonts w:ascii="Times New Roman" w:hAnsi="Times New Roman" w:cs="Times New Roman"/>
                <w:b/>
                <w:sz w:val="17"/>
                <w:szCs w:val="17"/>
              </w:rPr>
            </w:pPr>
            <w:r w:rsidRPr="007326E8">
              <w:rPr>
                <w:rFonts w:ascii="Times New Roman" w:hAnsi="Times New Roman" w:cs="Times New Roman"/>
                <w:b/>
                <w:sz w:val="17"/>
                <w:szCs w:val="17"/>
              </w:rPr>
              <w:t>244 WASHINGTON STREET, SW</w:t>
            </w:r>
            <w:r w:rsidRPr="007326E8">
              <w:rPr>
                <w:rFonts w:ascii="Times New Roman" w:hAnsi="Times New Roman" w:cs="Times New Roman"/>
                <w:b/>
                <w:sz w:val="17"/>
                <w:szCs w:val="17"/>
              </w:rPr>
              <w:br/>
            </w:r>
            <w:smartTag w:uri="urn:schemas-microsoft-com:office:smarttags" w:element="City">
              <w:r w:rsidRPr="007326E8">
                <w:rPr>
                  <w:rFonts w:ascii="Times New Roman" w:hAnsi="Times New Roman" w:cs="Times New Roman"/>
                  <w:b/>
                  <w:sz w:val="17"/>
                  <w:szCs w:val="17"/>
                </w:rPr>
                <w:t>ATLANTA</w:t>
              </w:r>
            </w:smartTag>
            <w:r w:rsidRPr="007326E8">
              <w:rPr>
                <w:rFonts w:ascii="Times New Roman" w:hAnsi="Times New Roman" w:cs="Times New Roman"/>
                <w:b/>
                <w:sz w:val="17"/>
                <w:szCs w:val="17"/>
              </w:rPr>
              <w:t xml:space="preserve">, </w:t>
            </w:r>
            <w:smartTag w:uri="urn:schemas-microsoft-com:office:smarttags" w:element="country-region">
              <w:r w:rsidRPr="007326E8">
                <w:rPr>
                  <w:rFonts w:ascii="Times New Roman" w:hAnsi="Times New Roman" w:cs="Times New Roman"/>
                  <w:b/>
                  <w:sz w:val="17"/>
                  <w:szCs w:val="17"/>
                </w:rPr>
                <w:t>GEORGIA</w:t>
              </w:r>
            </w:smartTag>
            <w:r w:rsidRPr="007326E8">
              <w:rPr>
                <w:rFonts w:ascii="Times New Roman" w:hAnsi="Times New Roman" w:cs="Times New Roman"/>
                <w:b/>
                <w:sz w:val="17"/>
                <w:szCs w:val="17"/>
              </w:rPr>
              <w:t xml:space="preserve"> 30334-5701</w:t>
            </w:r>
          </w:p>
        </w:tc>
        <w:tc>
          <w:tcPr>
            <w:tcW w:w="3728" w:type="dxa"/>
            <w:hideMark/>
          </w:tcPr>
          <w:p w14:paraId="24BE04AA" w14:textId="77777777" w:rsidR="0043552B" w:rsidRPr="007326E8" w:rsidRDefault="0043552B" w:rsidP="00D34960">
            <w:pPr>
              <w:spacing w:after="0" w:line="276" w:lineRule="auto"/>
              <w:jc w:val="right"/>
              <w:rPr>
                <w:rFonts w:ascii="Times New Roman" w:hAnsi="Times New Roman" w:cs="Times New Roman"/>
                <w:b/>
                <w:bCs/>
                <w:sz w:val="17"/>
                <w:szCs w:val="17"/>
              </w:rPr>
            </w:pPr>
            <w:r w:rsidRPr="007326E8">
              <w:rPr>
                <w:rFonts w:ascii="Times New Roman" w:hAnsi="Times New Roman" w:cs="Times New Roman"/>
                <w:b/>
                <w:bCs/>
                <w:sz w:val="17"/>
                <w:szCs w:val="17"/>
              </w:rPr>
              <w:t xml:space="preserve">FAX: (404) 656-2341                   </w:t>
            </w:r>
          </w:p>
          <w:p w14:paraId="28C5B4F1" w14:textId="77777777" w:rsidR="0043552B" w:rsidRPr="007326E8" w:rsidRDefault="0043552B" w:rsidP="00D34960">
            <w:pPr>
              <w:spacing w:after="0" w:line="276" w:lineRule="auto"/>
              <w:jc w:val="right"/>
              <w:rPr>
                <w:rFonts w:ascii="Times New Roman" w:hAnsi="Times New Roman" w:cs="Times New Roman"/>
                <w:b/>
                <w:bCs/>
              </w:rPr>
            </w:pPr>
            <w:r w:rsidRPr="007326E8">
              <w:rPr>
                <w:rFonts w:ascii="Times New Roman" w:hAnsi="Times New Roman" w:cs="Times New Roman"/>
                <w:b/>
                <w:bCs/>
                <w:sz w:val="17"/>
                <w:szCs w:val="17"/>
              </w:rPr>
              <w:t>psc.ga.gov</w:t>
            </w:r>
          </w:p>
        </w:tc>
      </w:tr>
      <w:tr w:rsidR="0043552B" w14:paraId="72911CF2" w14:textId="77777777" w:rsidTr="0043552B">
        <w:trPr>
          <w:jc w:val="center"/>
        </w:trPr>
        <w:tc>
          <w:tcPr>
            <w:tcW w:w="4357" w:type="dxa"/>
          </w:tcPr>
          <w:p w14:paraId="03243A3B" w14:textId="77777777" w:rsidR="0043552B" w:rsidRDefault="0043552B" w:rsidP="000324EA">
            <w:pPr>
              <w:spacing w:line="276" w:lineRule="auto"/>
              <w:rPr>
                <w:rFonts w:cs="Arial"/>
                <w:b/>
                <w:bCs/>
                <w:sz w:val="17"/>
                <w:szCs w:val="17"/>
              </w:rPr>
            </w:pPr>
          </w:p>
        </w:tc>
        <w:tc>
          <w:tcPr>
            <w:tcW w:w="2970" w:type="dxa"/>
          </w:tcPr>
          <w:p w14:paraId="1FDAA71A" w14:textId="77777777" w:rsidR="0043552B" w:rsidRDefault="0043552B" w:rsidP="000324EA">
            <w:pPr>
              <w:tabs>
                <w:tab w:val="left" w:pos="1410"/>
              </w:tabs>
              <w:spacing w:line="276" w:lineRule="auto"/>
              <w:jc w:val="center"/>
              <w:rPr>
                <w:rFonts w:cs="Arial"/>
                <w:b/>
                <w:sz w:val="17"/>
                <w:szCs w:val="17"/>
              </w:rPr>
            </w:pPr>
          </w:p>
        </w:tc>
        <w:tc>
          <w:tcPr>
            <w:tcW w:w="3728" w:type="dxa"/>
          </w:tcPr>
          <w:p w14:paraId="224956BC" w14:textId="77777777" w:rsidR="0043552B" w:rsidRDefault="0043552B" w:rsidP="000324EA">
            <w:pPr>
              <w:spacing w:line="276" w:lineRule="auto"/>
              <w:jc w:val="right"/>
              <w:rPr>
                <w:rFonts w:cs="Arial"/>
                <w:b/>
                <w:bCs/>
                <w:sz w:val="17"/>
                <w:szCs w:val="17"/>
              </w:rPr>
            </w:pPr>
          </w:p>
        </w:tc>
      </w:tr>
    </w:tbl>
    <w:p w14:paraId="3A998CCC" w14:textId="77777777" w:rsidR="0043552B" w:rsidRDefault="0043552B" w:rsidP="40F46D5C">
      <w:pPr>
        <w:jc w:val="both"/>
        <w:rPr>
          <w:rFonts w:ascii="Times New Roman" w:eastAsia="Times New Roman" w:hAnsi="Times New Roman" w:cs="Times New Roman"/>
          <w:sz w:val="24"/>
          <w:szCs w:val="24"/>
        </w:rPr>
      </w:pPr>
    </w:p>
    <w:p w14:paraId="2D46F382" w14:textId="19DB88A0" w:rsidR="00B346A6" w:rsidRPr="002C6F16" w:rsidRDefault="0B16BD44" w:rsidP="40F46D5C">
      <w:pPr>
        <w:tabs>
          <w:tab w:val="left" w:pos="0"/>
        </w:tabs>
        <w:spacing w:line="480" w:lineRule="auto"/>
        <w:jc w:val="center"/>
        <w:rPr>
          <w:rFonts w:ascii="Times New Roman" w:eastAsia="Times New Roman" w:hAnsi="Times New Roman" w:cs="Times New Roman"/>
          <w:b/>
          <w:bCs/>
          <w:sz w:val="24"/>
          <w:szCs w:val="24"/>
        </w:rPr>
      </w:pPr>
      <w:r w:rsidRPr="002C6F16">
        <w:rPr>
          <w:rFonts w:ascii="Times New Roman" w:eastAsia="Times New Roman" w:hAnsi="Times New Roman" w:cs="Times New Roman"/>
          <w:b/>
          <w:bCs/>
          <w:sz w:val="24"/>
          <w:szCs w:val="24"/>
        </w:rPr>
        <w:t>Docket No. 4</w:t>
      </w:r>
      <w:r w:rsidR="6CD29E40" w:rsidRPr="002C6F16">
        <w:rPr>
          <w:rFonts w:ascii="Times New Roman" w:eastAsia="Times New Roman" w:hAnsi="Times New Roman" w:cs="Times New Roman"/>
          <w:b/>
          <w:bCs/>
          <w:sz w:val="24"/>
          <w:szCs w:val="24"/>
        </w:rPr>
        <w:t>4280</w:t>
      </w:r>
    </w:p>
    <w:p w14:paraId="6E0E8FA7" w14:textId="70B46E0E" w:rsidR="00B346A6" w:rsidRPr="002C6F16" w:rsidRDefault="00ED7ED0" w:rsidP="40F46D5C">
      <w:pPr>
        <w:tabs>
          <w:tab w:val="left" w:pos="0"/>
        </w:tabs>
        <w:jc w:val="both"/>
        <w:rPr>
          <w:rFonts w:ascii="Times New Roman" w:hAnsi="Times New Roman" w:cs="Times New Roman"/>
          <w:sz w:val="24"/>
          <w:szCs w:val="24"/>
        </w:rPr>
      </w:pPr>
      <w:r w:rsidRPr="002C6F16">
        <w:rPr>
          <w:rFonts w:ascii="Times New Roman" w:eastAsia="Times New Roman" w:hAnsi="Times New Roman" w:cs="Times New Roman"/>
          <w:b/>
          <w:bCs/>
          <w:sz w:val="24"/>
          <w:szCs w:val="24"/>
        </w:rPr>
        <w:t>I</w:t>
      </w:r>
      <w:r w:rsidR="0B16BD44" w:rsidRPr="002C6F16">
        <w:rPr>
          <w:rFonts w:ascii="Times New Roman" w:eastAsia="Times New Roman" w:hAnsi="Times New Roman" w:cs="Times New Roman"/>
          <w:b/>
          <w:bCs/>
          <w:sz w:val="24"/>
          <w:szCs w:val="24"/>
        </w:rPr>
        <w:t>n Re:</w:t>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B16BD44" w:rsidRPr="002C6F16">
        <w:rPr>
          <w:rFonts w:ascii="Times New Roman" w:eastAsia="Times New Roman" w:hAnsi="Times New Roman" w:cs="Times New Roman"/>
          <w:b/>
          <w:bCs/>
          <w:sz w:val="24"/>
          <w:szCs w:val="24"/>
        </w:rPr>
        <w:t>Georgia Power Company’s 20</w:t>
      </w:r>
      <w:r w:rsidR="6E887684" w:rsidRPr="002C6F16">
        <w:rPr>
          <w:rFonts w:ascii="Times New Roman" w:eastAsia="Times New Roman" w:hAnsi="Times New Roman" w:cs="Times New Roman"/>
          <w:b/>
          <w:bCs/>
          <w:sz w:val="24"/>
          <w:szCs w:val="24"/>
        </w:rPr>
        <w:t>22</w:t>
      </w:r>
      <w:r w:rsidR="0B16BD44" w:rsidRPr="002C6F16">
        <w:rPr>
          <w:rFonts w:ascii="Times New Roman" w:eastAsia="Times New Roman" w:hAnsi="Times New Roman" w:cs="Times New Roman"/>
          <w:b/>
          <w:bCs/>
          <w:sz w:val="24"/>
          <w:szCs w:val="24"/>
        </w:rPr>
        <w:t xml:space="preserve"> Rate Case</w:t>
      </w:r>
    </w:p>
    <w:p w14:paraId="32C4F2A7" w14:textId="164B1D84" w:rsidR="00B346A6" w:rsidRPr="002C6F16" w:rsidRDefault="0B16BD44" w:rsidP="40F46D5C">
      <w:pPr>
        <w:jc w:val="both"/>
        <w:rPr>
          <w:rFonts w:ascii="Times New Roman" w:hAnsi="Times New Roman" w:cs="Times New Roman"/>
          <w:sz w:val="24"/>
          <w:szCs w:val="24"/>
        </w:rPr>
      </w:pPr>
      <w:r w:rsidRPr="002C6F16">
        <w:rPr>
          <w:rFonts w:ascii="Times New Roman" w:eastAsia="Times New Roman" w:hAnsi="Times New Roman" w:cs="Times New Roman"/>
          <w:sz w:val="24"/>
          <w:szCs w:val="24"/>
        </w:rPr>
        <w:t xml:space="preserve"> </w:t>
      </w:r>
    </w:p>
    <w:p w14:paraId="3B3AF089" w14:textId="294EDE8B" w:rsidR="00B346A6" w:rsidRPr="002C6F16" w:rsidRDefault="005F1F60" w:rsidP="40F46D5C">
      <w:pPr>
        <w:jc w:val="center"/>
        <w:rPr>
          <w:rFonts w:ascii="Times New Roman" w:eastAsia="Times New Roman" w:hAnsi="Times New Roman" w:cs="Times New Roman"/>
          <w:b/>
          <w:bCs/>
          <w:sz w:val="24"/>
          <w:szCs w:val="24"/>
          <w:u w:val="single"/>
        </w:rPr>
      </w:pPr>
      <w:r w:rsidRPr="002C6F16">
        <w:rPr>
          <w:rFonts w:ascii="Times New Roman" w:eastAsia="Times New Roman" w:hAnsi="Times New Roman" w:cs="Times New Roman"/>
          <w:b/>
          <w:bCs/>
          <w:sz w:val="24"/>
          <w:szCs w:val="24"/>
          <w:u w:val="single"/>
        </w:rPr>
        <w:t>ORDER</w:t>
      </w:r>
      <w:r w:rsidR="00D31F05" w:rsidRPr="002C6F16">
        <w:rPr>
          <w:rFonts w:ascii="Times New Roman" w:eastAsia="Times New Roman" w:hAnsi="Times New Roman" w:cs="Times New Roman"/>
          <w:b/>
          <w:bCs/>
          <w:sz w:val="24"/>
          <w:szCs w:val="24"/>
          <w:u w:val="single"/>
        </w:rPr>
        <w:t xml:space="preserve"> </w:t>
      </w:r>
      <w:r w:rsidR="004D1CD6" w:rsidRPr="002C6F16">
        <w:rPr>
          <w:rFonts w:ascii="Times New Roman" w:eastAsia="Times New Roman" w:hAnsi="Times New Roman" w:cs="Times New Roman"/>
          <w:b/>
          <w:bCs/>
          <w:sz w:val="24"/>
          <w:szCs w:val="24"/>
          <w:u w:val="single"/>
        </w:rPr>
        <w:t xml:space="preserve">GRANTING JOINT </w:t>
      </w:r>
      <w:r w:rsidR="00FA4B0D" w:rsidRPr="002C6F16">
        <w:rPr>
          <w:rFonts w:ascii="Times New Roman" w:eastAsia="Times New Roman" w:hAnsi="Times New Roman" w:cs="Times New Roman"/>
          <w:b/>
          <w:bCs/>
          <w:sz w:val="24"/>
          <w:szCs w:val="24"/>
          <w:u w:val="single"/>
        </w:rPr>
        <w:t>PETITION OF GEO</w:t>
      </w:r>
      <w:r w:rsidRPr="002C6F16">
        <w:rPr>
          <w:rFonts w:ascii="Times New Roman" w:eastAsia="Times New Roman" w:hAnsi="Times New Roman" w:cs="Times New Roman"/>
          <w:b/>
          <w:bCs/>
          <w:sz w:val="24"/>
          <w:szCs w:val="24"/>
          <w:u w:val="single"/>
        </w:rPr>
        <w:t>RGIA POWER</w:t>
      </w:r>
      <w:r w:rsidR="000069D4" w:rsidRPr="002C6F16">
        <w:rPr>
          <w:rFonts w:ascii="Times New Roman" w:eastAsia="Times New Roman" w:hAnsi="Times New Roman" w:cs="Times New Roman"/>
          <w:b/>
          <w:bCs/>
          <w:sz w:val="24"/>
          <w:szCs w:val="24"/>
          <w:u w:val="single"/>
        </w:rPr>
        <w:t xml:space="preserve"> COMPANY</w:t>
      </w:r>
      <w:r w:rsidR="00DD3D0D" w:rsidRPr="002C6F16">
        <w:rPr>
          <w:rFonts w:ascii="Times New Roman" w:eastAsia="Times New Roman" w:hAnsi="Times New Roman" w:cs="Times New Roman"/>
          <w:b/>
          <w:bCs/>
          <w:sz w:val="24"/>
          <w:szCs w:val="24"/>
          <w:u w:val="single"/>
        </w:rPr>
        <w:t xml:space="preserve"> AND THE PUBLIC INTEREST ADVOCACY STAFF</w:t>
      </w:r>
      <w:r w:rsidR="00E02141" w:rsidRPr="002C6F16">
        <w:rPr>
          <w:rFonts w:ascii="Times New Roman" w:eastAsia="Times New Roman" w:hAnsi="Times New Roman" w:cs="Times New Roman"/>
          <w:b/>
          <w:bCs/>
          <w:sz w:val="24"/>
          <w:szCs w:val="24"/>
          <w:u w:val="single"/>
        </w:rPr>
        <w:t xml:space="preserve"> AND </w:t>
      </w:r>
      <w:r w:rsidR="002A40B3" w:rsidRPr="002C6F16">
        <w:rPr>
          <w:rFonts w:ascii="Times New Roman" w:eastAsia="Times New Roman" w:hAnsi="Times New Roman" w:cs="Times New Roman"/>
          <w:b/>
          <w:bCs/>
          <w:sz w:val="24"/>
          <w:szCs w:val="24"/>
          <w:u w:val="single"/>
        </w:rPr>
        <w:t xml:space="preserve">APPROVAL OF THE </w:t>
      </w:r>
      <w:r w:rsidR="00E96F11" w:rsidRPr="002C6F16">
        <w:rPr>
          <w:rFonts w:ascii="Times New Roman" w:eastAsia="Times New Roman" w:hAnsi="Times New Roman" w:cs="Times New Roman"/>
          <w:b/>
          <w:bCs/>
          <w:sz w:val="24"/>
          <w:szCs w:val="24"/>
          <w:u w:val="single"/>
        </w:rPr>
        <w:t>STIPULATION TO EXTEND</w:t>
      </w:r>
      <w:r w:rsidR="00B95571" w:rsidRPr="002C6F16">
        <w:rPr>
          <w:rFonts w:ascii="Times New Roman" w:eastAsia="Times New Roman" w:hAnsi="Times New Roman" w:cs="Times New Roman"/>
          <w:b/>
          <w:bCs/>
          <w:sz w:val="24"/>
          <w:szCs w:val="24"/>
          <w:u w:val="single"/>
        </w:rPr>
        <w:t xml:space="preserve"> THE ALTERN</w:t>
      </w:r>
      <w:r w:rsidR="00CA4AC3" w:rsidRPr="002C6F16">
        <w:rPr>
          <w:rFonts w:ascii="Times New Roman" w:eastAsia="Times New Roman" w:hAnsi="Times New Roman" w:cs="Times New Roman"/>
          <w:b/>
          <w:bCs/>
          <w:sz w:val="24"/>
          <w:szCs w:val="24"/>
          <w:u w:val="single"/>
        </w:rPr>
        <w:t>ATIVE RATE PLAN</w:t>
      </w:r>
      <w:r w:rsidRPr="002C6F16">
        <w:rPr>
          <w:rFonts w:ascii="Times New Roman" w:eastAsia="Times New Roman" w:hAnsi="Times New Roman" w:cs="Times New Roman"/>
          <w:b/>
          <w:bCs/>
          <w:sz w:val="24"/>
          <w:szCs w:val="24"/>
          <w:u w:val="single"/>
        </w:rPr>
        <w:br/>
      </w:r>
    </w:p>
    <w:p w14:paraId="7E4DDCDF" w14:textId="77777777" w:rsidR="007C0AD7" w:rsidRPr="002C6F16" w:rsidRDefault="007C0AD7" w:rsidP="40F46D5C">
      <w:pPr>
        <w:jc w:val="center"/>
        <w:rPr>
          <w:rFonts w:ascii="Times New Roman" w:hAnsi="Times New Roman" w:cs="Times New Roman"/>
          <w:sz w:val="24"/>
          <w:szCs w:val="24"/>
        </w:rPr>
      </w:pPr>
    </w:p>
    <w:p w14:paraId="0E1FFA0B" w14:textId="1D4CBDEA" w:rsidR="00B346A6" w:rsidRPr="002C6F16" w:rsidRDefault="0B16BD44" w:rsidP="40F46D5C">
      <w:pPr>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Record Submitted:</w:t>
      </w:r>
      <w:r w:rsidR="00AF1C73" w:rsidRPr="002C6F16">
        <w:rPr>
          <w:rFonts w:ascii="Times New Roman" w:hAnsi="Times New Roman" w:cs="Times New Roman"/>
          <w:sz w:val="24"/>
          <w:szCs w:val="24"/>
        </w:rPr>
        <w:tab/>
      </w:r>
      <w:r w:rsidR="00625E8E" w:rsidRPr="002C6F16">
        <w:rPr>
          <w:rFonts w:ascii="Times New Roman" w:eastAsia="Times New Roman" w:hAnsi="Times New Roman" w:cs="Times New Roman"/>
          <w:sz w:val="24"/>
          <w:szCs w:val="24"/>
        </w:rPr>
        <w:t>May 19</w:t>
      </w:r>
      <w:r w:rsidRPr="002C6F16">
        <w:rPr>
          <w:rFonts w:ascii="Times New Roman" w:eastAsia="Times New Roman" w:hAnsi="Times New Roman" w:cs="Times New Roman"/>
          <w:sz w:val="24"/>
          <w:szCs w:val="24"/>
        </w:rPr>
        <w:t xml:space="preserve">, </w:t>
      </w:r>
      <w:proofErr w:type="gramStart"/>
      <w:r w:rsidR="00625E8E" w:rsidRPr="002C6F16">
        <w:rPr>
          <w:rFonts w:ascii="Times New Roman" w:eastAsia="Times New Roman" w:hAnsi="Times New Roman" w:cs="Times New Roman"/>
          <w:sz w:val="24"/>
          <w:szCs w:val="24"/>
        </w:rPr>
        <w:t>2025</w:t>
      </w:r>
      <w:proofErr w:type="gramEnd"/>
      <w:r w:rsidR="00814175" w:rsidRPr="002C6F16">
        <w:rPr>
          <w:rFonts w:ascii="Times New Roman" w:eastAsia="Times New Roman" w:hAnsi="Times New Roman" w:cs="Times New Roman"/>
          <w:sz w:val="24"/>
          <w:szCs w:val="24"/>
        </w:rPr>
        <w:tab/>
      </w:r>
      <w:r w:rsidR="00814175" w:rsidRPr="002C6F16">
        <w:rPr>
          <w:rFonts w:ascii="Times New Roman" w:eastAsia="Times New Roman" w:hAnsi="Times New Roman" w:cs="Times New Roman"/>
          <w:sz w:val="24"/>
          <w:szCs w:val="24"/>
        </w:rPr>
        <w:tab/>
      </w:r>
      <w:r w:rsidR="00814175" w:rsidRPr="002C6F16">
        <w:rPr>
          <w:rFonts w:ascii="Times New Roman" w:eastAsia="Times New Roman" w:hAnsi="Times New Roman" w:cs="Times New Roman"/>
          <w:sz w:val="24"/>
          <w:szCs w:val="24"/>
        </w:rPr>
        <w:tab/>
      </w:r>
      <w:r w:rsidR="00814175" w:rsidRPr="002C6F16">
        <w:rPr>
          <w:rFonts w:ascii="Times New Roman" w:eastAsia="Times New Roman" w:hAnsi="Times New Roman" w:cs="Times New Roman"/>
          <w:sz w:val="24"/>
          <w:szCs w:val="24"/>
        </w:rPr>
        <w:tab/>
      </w:r>
      <w:r w:rsidR="00814175" w:rsidRPr="002C6F16">
        <w:rPr>
          <w:rFonts w:ascii="Times New Roman" w:eastAsia="Times New Roman" w:hAnsi="Times New Roman" w:cs="Times New Roman"/>
          <w:sz w:val="24"/>
          <w:szCs w:val="24"/>
        </w:rPr>
        <w:tab/>
      </w:r>
      <w:r w:rsidRPr="002C6F16">
        <w:rPr>
          <w:rFonts w:ascii="Times New Roman" w:eastAsia="Times New Roman" w:hAnsi="Times New Roman" w:cs="Times New Roman"/>
          <w:sz w:val="24"/>
          <w:szCs w:val="24"/>
        </w:rPr>
        <w:t>Decided</w:t>
      </w:r>
      <w:proofErr w:type="gramStart"/>
      <w:r w:rsidRPr="002C6F16">
        <w:rPr>
          <w:rFonts w:ascii="Times New Roman" w:eastAsia="Times New Roman" w:hAnsi="Times New Roman" w:cs="Times New Roman"/>
          <w:sz w:val="24"/>
          <w:szCs w:val="24"/>
        </w:rPr>
        <w:t>:</w:t>
      </w:r>
      <w:r w:rsidR="00AF1C73" w:rsidRPr="002C6F16">
        <w:rPr>
          <w:rFonts w:ascii="Times New Roman" w:hAnsi="Times New Roman" w:cs="Times New Roman"/>
          <w:sz w:val="24"/>
          <w:szCs w:val="24"/>
        </w:rPr>
        <w:tab/>
      </w:r>
      <w:r w:rsidRPr="002C6F16">
        <w:rPr>
          <w:rFonts w:ascii="Times New Roman" w:eastAsia="Times New Roman" w:hAnsi="Times New Roman" w:cs="Times New Roman"/>
          <w:sz w:val="24"/>
          <w:szCs w:val="24"/>
        </w:rPr>
        <w:t xml:space="preserve"> </w:t>
      </w:r>
      <w:r w:rsidR="000E6439" w:rsidRPr="002C6F16">
        <w:rPr>
          <w:rFonts w:ascii="Times New Roman" w:eastAsia="Times New Roman" w:hAnsi="Times New Roman" w:cs="Times New Roman"/>
          <w:sz w:val="24"/>
          <w:szCs w:val="24"/>
        </w:rPr>
        <w:t>July</w:t>
      </w:r>
      <w:proofErr w:type="gramEnd"/>
      <w:r w:rsidR="000E6439" w:rsidRPr="002C6F16">
        <w:rPr>
          <w:rFonts w:ascii="Times New Roman" w:eastAsia="Times New Roman" w:hAnsi="Times New Roman" w:cs="Times New Roman"/>
          <w:sz w:val="24"/>
          <w:szCs w:val="24"/>
        </w:rPr>
        <w:t xml:space="preserve"> 1</w:t>
      </w:r>
      <w:r w:rsidRPr="002C6F16">
        <w:rPr>
          <w:rFonts w:ascii="Times New Roman" w:eastAsia="Times New Roman" w:hAnsi="Times New Roman" w:cs="Times New Roman"/>
          <w:sz w:val="24"/>
          <w:szCs w:val="24"/>
        </w:rPr>
        <w:t>, 20</w:t>
      </w:r>
      <w:r w:rsidR="2BF87C60" w:rsidRPr="002C6F16">
        <w:rPr>
          <w:rFonts w:ascii="Times New Roman" w:eastAsia="Times New Roman" w:hAnsi="Times New Roman" w:cs="Times New Roman"/>
          <w:sz w:val="24"/>
          <w:szCs w:val="24"/>
        </w:rPr>
        <w:t>2</w:t>
      </w:r>
      <w:r w:rsidR="000E6439" w:rsidRPr="002C6F16">
        <w:rPr>
          <w:rFonts w:ascii="Times New Roman" w:eastAsia="Times New Roman" w:hAnsi="Times New Roman" w:cs="Times New Roman"/>
          <w:sz w:val="24"/>
          <w:szCs w:val="24"/>
        </w:rPr>
        <w:t>5</w:t>
      </w:r>
    </w:p>
    <w:p w14:paraId="44D090F2" w14:textId="77777777" w:rsidR="007C0AD7" w:rsidRPr="002C6F16" w:rsidRDefault="007C0AD7" w:rsidP="40F46D5C">
      <w:pPr>
        <w:jc w:val="both"/>
        <w:rPr>
          <w:rFonts w:ascii="Times New Roman" w:hAnsi="Times New Roman" w:cs="Times New Roman"/>
          <w:sz w:val="24"/>
          <w:szCs w:val="24"/>
        </w:rPr>
      </w:pPr>
    </w:p>
    <w:p w14:paraId="4909F523" w14:textId="08F07E79" w:rsidR="00B346A6" w:rsidRPr="002C6F16" w:rsidRDefault="0B16BD44" w:rsidP="00AA30D8">
      <w:pPr>
        <w:spacing w:after="240" w:line="240" w:lineRule="auto"/>
        <w:rPr>
          <w:rFonts w:ascii="Times New Roman" w:eastAsia="Times New Roman" w:hAnsi="Times New Roman" w:cs="Times New Roman"/>
          <w:b/>
          <w:bCs/>
          <w:sz w:val="24"/>
          <w:szCs w:val="24"/>
          <w:u w:val="single"/>
        </w:rPr>
      </w:pPr>
      <w:r w:rsidRPr="002C6F16">
        <w:rPr>
          <w:rFonts w:ascii="Times New Roman" w:eastAsia="Times New Roman" w:hAnsi="Times New Roman" w:cs="Times New Roman"/>
          <w:b/>
          <w:bCs/>
          <w:sz w:val="24"/>
          <w:szCs w:val="24"/>
          <w:u w:val="single"/>
        </w:rPr>
        <w:t>APPEARANCES</w:t>
      </w:r>
    </w:p>
    <w:p w14:paraId="2B2EEF40" w14:textId="248BD776" w:rsidR="00B346A6" w:rsidRPr="002C6F16" w:rsidRDefault="6B39569F" w:rsidP="00AA30D8">
      <w:pPr>
        <w:spacing w:after="120" w:line="240" w:lineRule="auto"/>
        <w:jc w:val="both"/>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u w:val="single"/>
        </w:rPr>
        <w:t>On behalf of Georgia Public Service Commission Public Interest Advocacy Staff:</w:t>
      </w:r>
    </w:p>
    <w:p w14:paraId="4714CE30" w14:textId="1931A776" w:rsidR="001725D9" w:rsidRPr="002C6F16" w:rsidRDefault="001725D9" w:rsidP="00AA30D8">
      <w:pPr>
        <w:spacing w:after="120" w:line="240" w:lineRule="auto"/>
        <w:ind w:firstLine="720"/>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 xml:space="preserve">JUSTIN PAWLUK, Esq. </w:t>
      </w:r>
    </w:p>
    <w:p w14:paraId="6432430E" w14:textId="433E8567" w:rsidR="001725D9" w:rsidRPr="002C6F16" w:rsidRDefault="001725D9" w:rsidP="00AA30D8">
      <w:pPr>
        <w:spacing w:after="120" w:line="240" w:lineRule="auto"/>
        <w:ind w:firstLine="720"/>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CHRIS COLLADO, Esq.</w:t>
      </w:r>
    </w:p>
    <w:p w14:paraId="1B7B8FB3" w14:textId="75D80D81" w:rsidR="00B346A6" w:rsidRPr="002C6F16" w:rsidRDefault="6B39569F" w:rsidP="00AA30D8">
      <w:pPr>
        <w:spacing w:before="240" w:after="120" w:line="240" w:lineRule="auto"/>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u w:val="single"/>
        </w:rPr>
        <w:t>On behalf of Georgia Power Company:</w:t>
      </w:r>
      <w:r w:rsidR="59A67B8A" w:rsidRPr="002C6F16">
        <w:rPr>
          <w:rFonts w:ascii="Times New Roman" w:eastAsia="Times New Roman" w:hAnsi="Times New Roman" w:cs="Times New Roman"/>
          <w:color w:val="000000" w:themeColor="text1"/>
          <w:sz w:val="24"/>
          <w:szCs w:val="24"/>
        </w:rPr>
        <w:t xml:space="preserve"> </w:t>
      </w:r>
    </w:p>
    <w:p w14:paraId="44795D38" w14:textId="269C04C2" w:rsidR="00B346A6" w:rsidRPr="002C6F16" w:rsidRDefault="59A67B8A" w:rsidP="00AA30D8">
      <w:pPr>
        <w:spacing w:after="120" w:line="240" w:lineRule="auto"/>
        <w:ind w:firstLine="720"/>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BRANDON MARZO, Esq.</w:t>
      </w:r>
    </w:p>
    <w:p w14:paraId="299DD169" w14:textId="77777777" w:rsidR="00003BEA" w:rsidRPr="002C6F16" w:rsidRDefault="00003BEA" w:rsidP="00AA30D8">
      <w:pPr>
        <w:spacing w:after="120" w:line="240" w:lineRule="auto"/>
        <w:ind w:firstLine="720"/>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lastRenderedPageBreak/>
        <w:t>STEVEN HEWITSON, Esq.</w:t>
      </w:r>
    </w:p>
    <w:p w14:paraId="22FF139E" w14:textId="4E4FEC06" w:rsidR="005D5546" w:rsidRPr="002C6F16" w:rsidRDefault="00055F4A" w:rsidP="002C6F16">
      <w:pPr>
        <w:ind w:firstLine="720"/>
        <w:rPr>
          <w:rFonts w:ascii="Times New Roman" w:hAnsi="Times New Roman" w:cs="Times New Roman"/>
          <w:sz w:val="24"/>
          <w:szCs w:val="24"/>
        </w:rPr>
      </w:pPr>
      <w:r w:rsidRPr="002C6F16">
        <w:rPr>
          <w:rFonts w:ascii="Times New Roman" w:hAnsi="Times New Roman" w:cs="Times New Roman"/>
          <w:sz w:val="24"/>
          <w:szCs w:val="24"/>
        </w:rPr>
        <w:t>ALLISON PRYOR</w:t>
      </w:r>
      <w:r w:rsidR="005D5546" w:rsidRPr="002C6F16">
        <w:rPr>
          <w:rFonts w:ascii="Times New Roman" w:hAnsi="Times New Roman" w:cs="Times New Roman"/>
          <w:sz w:val="24"/>
          <w:szCs w:val="24"/>
        </w:rPr>
        <w:t>, Esq.</w:t>
      </w:r>
    </w:p>
    <w:p w14:paraId="26A7A8BA" w14:textId="33D510CE" w:rsidR="00B346A6" w:rsidRPr="002C6F16" w:rsidRDefault="6B39569F" w:rsidP="00AA30D8">
      <w:pPr>
        <w:spacing w:before="240" w:after="120" w:line="240" w:lineRule="auto"/>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u w:val="single"/>
        </w:rPr>
        <w:t>On behalf of Americans for Affordable Clean Energy:</w:t>
      </w:r>
    </w:p>
    <w:p w14:paraId="21870F81" w14:textId="48E13FF6" w:rsidR="00B346A6" w:rsidRPr="002C6F16" w:rsidRDefault="6B39569F" w:rsidP="00AA30D8">
      <w:pPr>
        <w:spacing w:after="120" w:line="240" w:lineRule="auto"/>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b/>
          <w:bCs/>
          <w:color w:val="000000" w:themeColor="text1"/>
          <w:sz w:val="24"/>
          <w:szCs w:val="24"/>
        </w:rPr>
        <w:t xml:space="preserve"> </w:t>
      </w:r>
      <w:r w:rsidR="00DF2643" w:rsidRPr="002C6F16">
        <w:rPr>
          <w:rFonts w:ascii="Times New Roman" w:eastAsia="Times New Roman" w:hAnsi="Times New Roman" w:cs="Times New Roman"/>
          <w:b/>
          <w:bCs/>
          <w:color w:val="000000" w:themeColor="text1"/>
          <w:sz w:val="24"/>
          <w:szCs w:val="24"/>
        </w:rPr>
        <w:tab/>
      </w:r>
      <w:r w:rsidR="59A67B8A" w:rsidRPr="002C6F16">
        <w:rPr>
          <w:rFonts w:ascii="Times New Roman" w:eastAsia="Times New Roman" w:hAnsi="Times New Roman" w:cs="Times New Roman"/>
          <w:color w:val="000000" w:themeColor="text1"/>
          <w:sz w:val="24"/>
          <w:szCs w:val="24"/>
        </w:rPr>
        <w:t>NEWTON M. GALLOWAY, Esq.</w:t>
      </w:r>
    </w:p>
    <w:p w14:paraId="02942541" w14:textId="29189F86" w:rsidR="00B346A6" w:rsidRPr="002C6F16" w:rsidRDefault="59A67B8A" w:rsidP="00AA30D8">
      <w:pPr>
        <w:spacing w:after="120" w:line="240" w:lineRule="auto"/>
        <w:ind w:firstLine="720"/>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TERRI M. LYNDALL, Esq.</w:t>
      </w:r>
    </w:p>
    <w:p w14:paraId="5EDD6737" w14:textId="6E885242" w:rsidR="00B346A6" w:rsidRPr="002C6F16" w:rsidRDefault="6B39569F" w:rsidP="00AA30D8">
      <w:pPr>
        <w:spacing w:before="240" w:after="120" w:line="240" w:lineRule="auto"/>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u w:val="single"/>
        </w:rPr>
        <w:t>On behalf of Georgia Association of Manufacturers:</w:t>
      </w:r>
    </w:p>
    <w:p w14:paraId="13063B8B" w14:textId="6FAE4276" w:rsidR="0036077F" w:rsidRPr="002C6F16" w:rsidRDefault="6B39569F" w:rsidP="005D5546">
      <w:pPr>
        <w:spacing w:after="120" w:line="240" w:lineRule="auto"/>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 xml:space="preserve"> </w:t>
      </w:r>
      <w:r w:rsidR="00292326" w:rsidRPr="002C6F16">
        <w:rPr>
          <w:rFonts w:ascii="Times New Roman" w:eastAsia="Times New Roman" w:hAnsi="Times New Roman" w:cs="Times New Roman"/>
          <w:color w:val="000000" w:themeColor="text1"/>
          <w:sz w:val="24"/>
          <w:szCs w:val="24"/>
        </w:rPr>
        <w:tab/>
      </w:r>
      <w:r w:rsidRPr="002C6F16">
        <w:rPr>
          <w:rFonts w:ascii="Times New Roman" w:eastAsia="Times New Roman" w:hAnsi="Times New Roman" w:cs="Times New Roman"/>
          <w:color w:val="000000" w:themeColor="text1"/>
          <w:sz w:val="24"/>
          <w:szCs w:val="24"/>
        </w:rPr>
        <w:t>CHARLES B. JONES, III, Esq.</w:t>
      </w:r>
    </w:p>
    <w:p w14:paraId="2673DF89" w14:textId="752D97AF" w:rsidR="006B5631" w:rsidRPr="002C6F16" w:rsidRDefault="00D22354" w:rsidP="00AA30D8">
      <w:pPr>
        <w:spacing w:before="240" w:after="120" w:line="240" w:lineRule="auto"/>
        <w:rPr>
          <w:rFonts w:ascii="Times New Roman" w:eastAsia="Times New Roman" w:hAnsi="Times New Roman" w:cs="Times New Roman"/>
          <w:color w:val="000000" w:themeColor="text1"/>
          <w:sz w:val="24"/>
          <w:szCs w:val="24"/>
          <w:u w:val="single"/>
        </w:rPr>
      </w:pPr>
      <w:r w:rsidRPr="002C6F16">
        <w:rPr>
          <w:rFonts w:ascii="Times New Roman" w:eastAsia="Times New Roman" w:hAnsi="Times New Roman" w:cs="Times New Roman"/>
          <w:color w:val="000000" w:themeColor="text1"/>
          <w:sz w:val="24"/>
          <w:szCs w:val="24"/>
          <w:u w:val="single"/>
        </w:rPr>
        <w:t xml:space="preserve">On behalf of </w:t>
      </w:r>
      <w:r w:rsidR="006B5631" w:rsidRPr="002C6F16">
        <w:rPr>
          <w:rFonts w:ascii="Times New Roman" w:eastAsia="Times New Roman" w:hAnsi="Times New Roman" w:cs="Times New Roman"/>
          <w:color w:val="000000" w:themeColor="text1"/>
          <w:sz w:val="24"/>
          <w:szCs w:val="24"/>
          <w:u w:val="single"/>
        </w:rPr>
        <w:t>Georgia Coalition of Local Governments</w:t>
      </w:r>
      <w:r w:rsidR="008E65DE" w:rsidRPr="002C6F16">
        <w:rPr>
          <w:rFonts w:ascii="Times New Roman" w:eastAsia="Times New Roman" w:hAnsi="Times New Roman" w:cs="Times New Roman"/>
          <w:color w:val="000000" w:themeColor="text1"/>
          <w:sz w:val="24"/>
          <w:szCs w:val="24"/>
          <w:u w:val="single"/>
        </w:rPr>
        <w:t>:</w:t>
      </w:r>
    </w:p>
    <w:p w14:paraId="64992A8C" w14:textId="66C4A060" w:rsidR="008E65DE" w:rsidRPr="002C6F16" w:rsidRDefault="006B5631" w:rsidP="008E65DE">
      <w:pPr>
        <w:autoSpaceDE w:val="0"/>
        <w:autoSpaceDN w:val="0"/>
        <w:adjustRightInd w:val="0"/>
        <w:spacing w:after="0" w:line="240" w:lineRule="auto"/>
        <w:rPr>
          <w:rFonts w:ascii="Times New Roman" w:hAnsi="Times New Roman" w:cs="Times New Roman"/>
          <w:sz w:val="24"/>
          <w:szCs w:val="24"/>
        </w:rPr>
      </w:pPr>
      <w:r w:rsidRPr="002C6F16">
        <w:rPr>
          <w:rFonts w:ascii="Times New Roman" w:eastAsia="Times New Roman" w:hAnsi="Times New Roman" w:cs="Times New Roman"/>
          <w:color w:val="000000" w:themeColor="text1"/>
          <w:sz w:val="24"/>
          <w:szCs w:val="24"/>
        </w:rPr>
        <w:tab/>
      </w:r>
      <w:r w:rsidR="008E65DE" w:rsidRPr="002C6F16">
        <w:rPr>
          <w:rFonts w:ascii="Times New Roman" w:hAnsi="Times New Roman" w:cs="Times New Roman"/>
          <w:sz w:val="24"/>
          <w:szCs w:val="24"/>
        </w:rPr>
        <w:t>BENJAMIN L. SNOWDEN, E</w:t>
      </w:r>
      <w:r w:rsidR="002C68B1" w:rsidRPr="002C6F16">
        <w:rPr>
          <w:rFonts w:ascii="Times New Roman" w:hAnsi="Times New Roman" w:cs="Times New Roman"/>
          <w:sz w:val="24"/>
          <w:szCs w:val="24"/>
        </w:rPr>
        <w:t>sq</w:t>
      </w:r>
      <w:r w:rsidR="008E65DE" w:rsidRPr="002C6F16">
        <w:rPr>
          <w:rFonts w:ascii="Times New Roman" w:hAnsi="Times New Roman" w:cs="Times New Roman"/>
          <w:sz w:val="24"/>
          <w:szCs w:val="24"/>
        </w:rPr>
        <w:t>.</w:t>
      </w:r>
    </w:p>
    <w:p w14:paraId="63022FF3" w14:textId="77777777" w:rsidR="008E65DE" w:rsidRPr="002C6F16" w:rsidRDefault="008E65DE" w:rsidP="005F5252">
      <w:pPr>
        <w:autoSpaceDE w:val="0"/>
        <w:autoSpaceDN w:val="0"/>
        <w:adjustRightInd w:val="0"/>
        <w:spacing w:after="0" w:line="240" w:lineRule="auto"/>
        <w:ind w:firstLine="720"/>
        <w:rPr>
          <w:rFonts w:ascii="Times New Roman" w:hAnsi="Times New Roman" w:cs="Times New Roman"/>
          <w:sz w:val="24"/>
          <w:szCs w:val="24"/>
        </w:rPr>
      </w:pPr>
      <w:r w:rsidRPr="002C6F16">
        <w:rPr>
          <w:rFonts w:ascii="Times New Roman" w:hAnsi="Times New Roman" w:cs="Times New Roman"/>
          <w:sz w:val="24"/>
          <w:szCs w:val="24"/>
        </w:rPr>
        <w:t>CORDON M. SMART, ESQ.</w:t>
      </w:r>
    </w:p>
    <w:p w14:paraId="4BE77EA2" w14:textId="0350EA0B" w:rsidR="008E65DE" w:rsidRPr="002C6F16" w:rsidRDefault="008E65DE" w:rsidP="008E65DE">
      <w:pPr>
        <w:spacing w:after="120" w:line="240" w:lineRule="auto"/>
        <w:ind w:firstLine="720"/>
        <w:rPr>
          <w:rFonts w:ascii="Times New Roman" w:eastAsia="Times New Roman" w:hAnsi="Times New Roman" w:cs="Times New Roman"/>
          <w:color w:val="000000" w:themeColor="text1"/>
          <w:sz w:val="24"/>
          <w:szCs w:val="24"/>
        </w:rPr>
      </w:pPr>
      <w:r w:rsidRPr="002C6F16">
        <w:rPr>
          <w:rFonts w:ascii="Times New Roman" w:hAnsi="Times New Roman" w:cs="Times New Roman"/>
          <w:sz w:val="24"/>
          <w:szCs w:val="24"/>
        </w:rPr>
        <w:t>GERALD T. CHICHESTER, ESQ.</w:t>
      </w:r>
    </w:p>
    <w:p w14:paraId="03C6DEC7" w14:textId="67C63667" w:rsidR="008E65DE" w:rsidRPr="002C6F16" w:rsidRDefault="008E65DE" w:rsidP="008E65DE">
      <w:pPr>
        <w:autoSpaceDE w:val="0"/>
        <w:autoSpaceDN w:val="0"/>
        <w:adjustRightInd w:val="0"/>
        <w:spacing w:after="0" w:line="240" w:lineRule="auto"/>
        <w:rPr>
          <w:rFonts w:ascii="Times New Roman" w:hAnsi="Times New Roman" w:cs="Times New Roman"/>
          <w:sz w:val="24"/>
          <w:szCs w:val="24"/>
          <w:u w:val="single"/>
        </w:rPr>
      </w:pPr>
      <w:r w:rsidRPr="002C6F16">
        <w:rPr>
          <w:rFonts w:ascii="Times New Roman" w:hAnsi="Times New Roman" w:cs="Times New Roman"/>
          <w:sz w:val="24"/>
          <w:szCs w:val="24"/>
          <w:u w:val="single"/>
        </w:rPr>
        <w:t>On behalf of Georgia Conservation Voters:</w:t>
      </w:r>
    </w:p>
    <w:p w14:paraId="7F5D1A9B" w14:textId="4909956C" w:rsidR="008E65DE" w:rsidRPr="002C6F16" w:rsidRDefault="008E65DE" w:rsidP="008E65DE">
      <w:pPr>
        <w:autoSpaceDE w:val="0"/>
        <w:autoSpaceDN w:val="0"/>
        <w:adjustRightInd w:val="0"/>
        <w:spacing w:after="0" w:line="240" w:lineRule="auto"/>
        <w:rPr>
          <w:rFonts w:ascii="Times New Roman" w:hAnsi="Times New Roman" w:cs="Times New Roman"/>
          <w:sz w:val="24"/>
          <w:szCs w:val="24"/>
          <w:u w:val="single"/>
        </w:rPr>
      </w:pPr>
      <w:r w:rsidRPr="002C6F16">
        <w:rPr>
          <w:rFonts w:ascii="Times New Roman" w:hAnsi="Times New Roman" w:cs="Times New Roman"/>
          <w:sz w:val="24"/>
          <w:szCs w:val="24"/>
          <w:u w:val="single"/>
        </w:rPr>
        <w:t>Education Fund</w:t>
      </w:r>
      <w:r w:rsidR="002C68B1" w:rsidRPr="002C6F16">
        <w:rPr>
          <w:rFonts w:ascii="Times New Roman" w:hAnsi="Times New Roman" w:cs="Times New Roman"/>
          <w:sz w:val="24"/>
          <w:szCs w:val="24"/>
          <w:u w:val="single"/>
        </w:rPr>
        <w:t>:</w:t>
      </w:r>
    </w:p>
    <w:p w14:paraId="61FB9489" w14:textId="77777777" w:rsidR="002C68B1" w:rsidRPr="00D0673B" w:rsidRDefault="002C68B1" w:rsidP="008E65DE">
      <w:pPr>
        <w:autoSpaceDE w:val="0"/>
        <w:autoSpaceDN w:val="0"/>
        <w:adjustRightInd w:val="0"/>
        <w:spacing w:after="0" w:line="240" w:lineRule="auto"/>
        <w:rPr>
          <w:rFonts w:ascii="Times New Roman" w:hAnsi="Times New Roman" w:cs="Times New Roman"/>
          <w:sz w:val="12"/>
          <w:szCs w:val="12"/>
          <w:u w:val="single"/>
        </w:rPr>
      </w:pPr>
    </w:p>
    <w:p w14:paraId="71826565" w14:textId="2D304D43" w:rsidR="00B346A6" w:rsidRPr="002C6F16" w:rsidRDefault="008E65DE" w:rsidP="008E65DE">
      <w:pPr>
        <w:spacing w:after="120" w:line="240" w:lineRule="auto"/>
        <w:ind w:firstLine="720"/>
        <w:rPr>
          <w:rFonts w:ascii="Times New Roman" w:eastAsia="Times New Roman" w:hAnsi="Times New Roman" w:cs="Times New Roman"/>
          <w:color w:val="000000" w:themeColor="text1"/>
          <w:sz w:val="24"/>
          <w:szCs w:val="24"/>
        </w:rPr>
      </w:pPr>
      <w:r w:rsidRPr="002C6F16">
        <w:rPr>
          <w:rFonts w:ascii="Times New Roman" w:hAnsi="Times New Roman" w:cs="Times New Roman"/>
          <w:sz w:val="24"/>
          <w:szCs w:val="24"/>
        </w:rPr>
        <w:t>JUAN ESTRADA, JR., E</w:t>
      </w:r>
      <w:r w:rsidR="002C68B1" w:rsidRPr="002C6F16">
        <w:rPr>
          <w:rFonts w:ascii="Times New Roman" w:hAnsi="Times New Roman" w:cs="Times New Roman"/>
          <w:sz w:val="24"/>
          <w:szCs w:val="24"/>
        </w:rPr>
        <w:t>sq</w:t>
      </w:r>
      <w:r w:rsidRPr="002C6F16">
        <w:rPr>
          <w:rFonts w:ascii="Times New Roman" w:hAnsi="Times New Roman" w:cs="Times New Roman"/>
          <w:sz w:val="24"/>
          <w:szCs w:val="24"/>
        </w:rPr>
        <w:t>.</w:t>
      </w:r>
    </w:p>
    <w:p w14:paraId="0A124E81" w14:textId="1657F700" w:rsidR="00B346A6" w:rsidRPr="002C6F16" w:rsidRDefault="6B39569F" w:rsidP="00AA30D8">
      <w:pPr>
        <w:spacing w:before="240" w:after="120" w:line="240" w:lineRule="auto"/>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u w:val="single"/>
        </w:rPr>
        <w:t xml:space="preserve">On behalf of Georgia </w:t>
      </w:r>
      <w:r w:rsidR="008E65DE" w:rsidRPr="002C6F16">
        <w:rPr>
          <w:rFonts w:ascii="Times New Roman" w:eastAsia="Times New Roman" w:hAnsi="Times New Roman" w:cs="Times New Roman"/>
          <w:color w:val="000000" w:themeColor="text1"/>
          <w:sz w:val="24"/>
          <w:szCs w:val="24"/>
          <w:u w:val="single"/>
        </w:rPr>
        <w:t>Interfaith Power and Light:</w:t>
      </w:r>
    </w:p>
    <w:p w14:paraId="0C0FCC52" w14:textId="6BF15991" w:rsidR="002C68B1" w:rsidRPr="002C6F16" w:rsidRDefault="6B39569F" w:rsidP="002C68B1">
      <w:pPr>
        <w:spacing w:after="120" w:line="240" w:lineRule="auto"/>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 xml:space="preserve"> </w:t>
      </w:r>
      <w:r w:rsidR="003E5905" w:rsidRPr="002C6F16">
        <w:rPr>
          <w:rFonts w:ascii="Times New Roman" w:eastAsia="Times New Roman" w:hAnsi="Times New Roman" w:cs="Times New Roman"/>
          <w:color w:val="000000" w:themeColor="text1"/>
          <w:sz w:val="24"/>
          <w:szCs w:val="24"/>
        </w:rPr>
        <w:tab/>
      </w:r>
      <w:r w:rsidR="002C68B1" w:rsidRPr="002C6F16">
        <w:rPr>
          <w:rFonts w:ascii="Times New Roman" w:eastAsia="Times New Roman" w:hAnsi="Times New Roman" w:cs="Times New Roman"/>
          <w:color w:val="000000" w:themeColor="text1"/>
          <w:sz w:val="24"/>
          <w:szCs w:val="24"/>
        </w:rPr>
        <w:t>JENNIFER WHITFIELD, Esq.</w:t>
      </w:r>
    </w:p>
    <w:p w14:paraId="551E2E8B" w14:textId="56AA7DBF" w:rsidR="002C68B1" w:rsidRPr="002C6F16" w:rsidRDefault="002C68B1" w:rsidP="005F5252">
      <w:pPr>
        <w:spacing w:after="120" w:line="240" w:lineRule="auto"/>
        <w:ind w:firstLine="720"/>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BOB SHERRIER, Esq.</w:t>
      </w:r>
    </w:p>
    <w:p w14:paraId="1AB9DD18" w14:textId="15839DF6" w:rsidR="00B346A6" w:rsidRPr="002C6F16" w:rsidRDefault="002C68B1" w:rsidP="005F5252">
      <w:pPr>
        <w:spacing w:after="120" w:line="240" w:lineRule="auto"/>
        <w:ind w:firstLine="720"/>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AMITAV KAMANI, Esq.</w:t>
      </w:r>
    </w:p>
    <w:p w14:paraId="02B74CAA" w14:textId="1F3FC2B9" w:rsidR="002C68B1" w:rsidRPr="002C6F16" w:rsidRDefault="002C68B1" w:rsidP="002C68B1">
      <w:pPr>
        <w:spacing w:after="120" w:line="240" w:lineRule="auto"/>
        <w:rPr>
          <w:rFonts w:ascii="Times New Roman" w:eastAsia="Times New Roman" w:hAnsi="Times New Roman" w:cs="Times New Roman"/>
          <w:color w:val="000000" w:themeColor="text1"/>
          <w:sz w:val="24"/>
          <w:szCs w:val="24"/>
          <w:u w:val="single"/>
        </w:rPr>
      </w:pPr>
      <w:r w:rsidRPr="002C6F16">
        <w:rPr>
          <w:rFonts w:ascii="Times New Roman" w:eastAsia="Times New Roman" w:hAnsi="Times New Roman" w:cs="Times New Roman"/>
          <w:color w:val="000000" w:themeColor="text1"/>
          <w:sz w:val="24"/>
          <w:szCs w:val="24"/>
          <w:u w:val="single"/>
        </w:rPr>
        <w:t>On behalf of Georgia Solar Energy Association "GA SOLAR":</w:t>
      </w:r>
    </w:p>
    <w:p w14:paraId="0DE386F5" w14:textId="4D04D239" w:rsidR="002C68B1" w:rsidRPr="002C6F16" w:rsidRDefault="002C68B1" w:rsidP="002C68B1">
      <w:pPr>
        <w:spacing w:after="120" w:line="240" w:lineRule="auto"/>
        <w:ind w:firstLine="720"/>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DONALD MORELAND</w:t>
      </w:r>
    </w:p>
    <w:p w14:paraId="0A7F5508" w14:textId="10D7129A" w:rsidR="002C68B1" w:rsidRPr="002C6F16" w:rsidRDefault="002C68B1" w:rsidP="002C68B1">
      <w:pPr>
        <w:spacing w:after="120" w:line="240" w:lineRule="auto"/>
        <w:rPr>
          <w:rFonts w:ascii="Times New Roman" w:eastAsia="Times New Roman" w:hAnsi="Times New Roman" w:cs="Times New Roman"/>
          <w:color w:val="000000" w:themeColor="text1"/>
          <w:sz w:val="24"/>
          <w:szCs w:val="24"/>
          <w:u w:val="single"/>
        </w:rPr>
      </w:pPr>
      <w:r w:rsidRPr="002C6F16">
        <w:rPr>
          <w:rFonts w:ascii="Times New Roman" w:eastAsia="Times New Roman" w:hAnsi="Times New Roman" w:cs="Times New Roman"/>
          <w:color w:val="000000" w:themeColor="text1"/>
          <w:sz w:val="24"/>
          <w:szCs w:val="24"/>
          <w:u w:val="single"/>
        </w:rPr>
        <w:t>On behalf of Georgia WAND Education Fund:</w:t>
      </w:r>
    </w:p>
    <w:p w14:paraId="2B66FFA6" w14:textId="51EDC6C8" w:rsidR="002C68B1" w:rsidRPr="002C6F16" w:rsidRDefault="002C68B1" w:rsidP="002C68B1">
      <w:pPr>
        <w:spacing w:after="120" w:line="240" w:lineRule="auto"/>
        <w:ind w:firstLine="720"/>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JUAN ESTRADA, JR., ESQ.</w:t>
      </w:r>
    </w:p>
    <w:p w14:paraId="509ED109" w14:textId="33C1DA9B" w:rsidR="002C68B1" w:rsidRPr="002C6F16" w:rsidRDefault="002C68B1" w:rsidP="002C68B1">
      <w:pPr>
        <w:spacing w:after="120" w:line="240" w:lineRule="auto"/>
        <w:rPr>
          <w:rFonts w:ascii="Times New Roman" w:eastAsia="Times New Roman" w:hAnsi="Times New Roman" w:cs="Times New Roman"/>
          <w:color w:val="000000" w:themeColor="text1"/>
          <w:sz w:val="24"/>
          <w:szCs w:val="24"/>
          <w:u w:val="single"/>
        </w:rPr>
      </w:pPr>
      <w:r w:rsidRPr="002C6F16">
        <w:rPr>
          <w:rFonts w:ascii="Times New Roman" w:eastAsia="Times New Roman" w:hAnsi="Times New Roman" w:cs="Times New Roman"/>
          <w:color w:val="000000" w:themeColor="text1"/>
          <w:sz w:val="24"/>
          <w:szCs w:val="24"/>
          <w:u w:val="single"/>
        </w:rPr>
        <w:t>On behalf of Metropolitan Atlanta Rapid Transit Authority (MARTA):</w:t>
      </w:r>
    </w:p>
    <w:p w14:paraId="263A3ED1" w14:textId="77C61AEF" w:rsidR="002C68B1" w:rsidRPr="002C6F16" w:rsidRDefault="002C68B1" w:rsidP="005F5252">
      <w:pPr>
        <w:spacing w:after="120" w:line="240" w:lineRule="auto"/>
        <w:ind w:firstLine="720"/>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KIMBERLY (KASEY) A. STURM, ESQ.</w:t>
      </w:r>
    </w:p>
    <w:p w14:paraId="00AAB890" w14:textId="53B4E12F" w:rsidR="00B346A6" w:rsidRPr="002C6F16" w:rsidRDefault="6B39569F" w:rsidP="00AA30D8">
      <w:pPr>
        <w:spacing w:before="240" w:after="120" w:line="240" w:lineRule="auto"/>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u w:val="single"/>
        </w:rPr>
        <w:t xml:space="preserve">On behalf of </w:t>
      </w:r>
      <w:r w:rsidR="00AD2725" w:rsidRPr="002C6F16">
        <w:rPr>
          <w:rFonts w:ascii="Times New Roman" w:eastAsia="Times New Roman" w:hAnsi="Times New Roman" w:cs="Times New Roman"/>
          <w:color w:val="000000" w:themeColor="text1"/>
          <w:sz w:val="24"/>
          <w:szCs w:val="24"/>
          <w:u w:val="single"/>
        </w:rPr>
        <w:t xml:space="preserve">jointly intervened </w:t>
      </w:r>
      <w:r w:rsidRPr="002C6F16">
        <w:rPr>
          <w:rFonts w:ascii="Times New Roman" w:eastAsia="Times New Roman" w:hAnsi="Times New Roman" w:cs="Times New Roman"/>
          <w:color w:val="000000" w:themeColor="text1"/>
          <w:sz w:val="24"/>
          <w:szCs w:val="24"/>
          <w:u w:val="single"/>
        </w:rPr>
        <w:t>Sierra Club</w:t>
      </w:r>
      <w:r w:rsidR="00AD2725" w:rsidRPr="002C6F16">
        <w:rPr>
          <w:rFonts w:ascii="Times New Roman" w:eastAsia="Times New Roman" w:hAnsi="Times New Roman" w:cs="Times New Roman"/>
          <w:color w:val="000000" w:themeColor="text1"/>
          <w:sz w:val="24"/>
          <w:szCs w:val="24"/>
          <w:u w:val="single"/>
        </w:rPr>
        <w:t>, NRDC, and SACE</w:t>
      </w:r>
      <w:r w:rsidRPr="002C6F16">
        <w:rPr>
          <w:rFonts w:ascii="Times New Roman" w:eastAsia="Times New Roman" w:hAnsi="Times New Roman" w:cs="Times New Roman"/>
          <w:color w:val="000000" w:themeColor="text1"/>
          <w:sz w:val="24"/>
          <w:szCs w:val="24"/>
          <w:u w:val="single"/>
        </w:rPr>
        <w:t>:</w:t>
      </w:r>
    </w:p>
    <w:p w14:paraId="6A1894F9" w14:textId="511CB0B4" w:rsidR="00B346A6" w:rsidRPr="002C6F16" w:rsidRDefault="6B39569F" w:rsidP="00AA30D8">
      <w:pPr>
        <w:spacing w:after="120" w:line="240" w:lineRule="auto"/>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 xml:space="preserve"> </w:t>
      </w:r>
      <w:r w:rsidR="00FD07D3" w:rsidRPr="002C6F16">
        <w:rPr>
          <w:rFonts w:ascii="Times New Roman" w:eastAsia="Times New Roman" w:hAnsi="Times New Roman" w:cs="Times New Roman"/>
          <w:color w:val="000000" w:themeColor="text1"/>
          <w:sz w:val="24"/>
          <w:szCs w:val="24"/>
        </w:rPr>
        <w:tab/>
      </w:r>
      <w:r w:rsidRPr="002C6F16">
        <w:rPr>
          <w:rFonts w:ascii="Times New Roman" w:eastAsia="Times New Roman" w:hAnsi="Times New Roman" w:cs="Times New Roman"/>
          <w:color w:val="000000" w:themeColor="text1"/>
          <w:sz w:val="24"/>
          <w:szCs w:val="24"/>
        </w:rPr>
        <w:t>ISABELLA ARIZA, Esq.</w:t>
      </w:r>
    </w:p>
    <w:p w14:paraId="377FCFDF" w14:textId="44023ECE" w:rsidR="00AD2725" w:rsidRPr="002C6F16" w:rsidRDefault="00AD2725" w:rsidP="00AA30D8">
      <w:pPr>
        <w:spacing w:after="120" w:line="240" w:lineRule="auto"/>
        <w:ind w:firstLine="720"/>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CURT THOMPSON, Esq.</w:t>
      </w:r>
    </w:p>
    <w:p w14:paraId="183F4745" w14:textId="285D29EF" w:rsidR="00F7155A" w:rsidRPr="002C6F16" w:rsidRDefault="6B39569F" w:rsidP="00AA30D8">
      <w:pPr>
        <w:spacing w:before="240" w:after="120" w:line="240" w:lineRule="auto"/>
        <w:rPr>
          <w:rFonts w:ascii="Times New Roman" w:eastAsia="Times New Roman" w:hAnsi="Times New Roman" w:cs="Times New Roman"/>
          <w:color w:val="000000" w:themeColor="text1"/>
          <w:sz w:val="24"/>
          <w:szCs w:val="24"/>
          <w:u w:val="single"/>
        </w:rPr>
      </w:pPr>
      <w:r w:rsidRPr="002C6F16">
        <w:rPr>
          <w:rFonts w:ascii="Times New Roman" w:eastAsia="Times New Roman" w:hAnsi="Times New Roman" w:cs="Times New Roman"/>
          <w:color w:val="000000" w:themeColor="text1"/>
          <w:sz w:val="24"/>
          <w:szCs w:val="24"/>
          <w:u w:val="single"/>
        </w:rPr>
        <w:t xml:space="preserve">On behalf of </w:t>
      </w:r>
      <w:r w:rsidR="00F7155A" w:rsidRPr="002C6F16">
        <w:rPr>
          <w:rFonts w:ascii="Times New Roman" w:eastAsia="Times New Roman" w:hAnsi="Times New Roman" w:cs="Times New Roman"/>
          <w:color w:val="000000" w:themeColor="text1"/>
          <w:sz w:val="24"/>
          <w:szCs w:val="24"/>
          <w:u w:val="single"/>
        </w:rPr>
        <w:t>Walmart:</w:t>
      </w:r>
    </w:p>
    <w:p w14:paraId="08E50740" w14:textId="38EE5469" w:rsidR="00F7155A" w:rsidRPr="002C6F16" w:rsidRDefault="00F7155A" w:rsidP="00880B9B">
      <w:pPr>
        <w:spacing w:before="240" w:after="120" w:line="240" w:lineRule="auto"/>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ab/>
        <w:t>STEPHANIE EATON, Esq.</w:t>
      </w:r>
    </w:p>
    <w:p w14:paraId="46F59D15" w14:textId="3525BBE6" w:rsidR="005D5546" w:rsidRPr="002C6F16" w:rsidRDefault="002C6F16" w:rsidP="002C6F16">
      <w:pPr>
        <w:spacing w:after="120" w:line="240" w:lineRule="auto"/>
        <w:ind w:firstLine="720"/>
        <w:rPr>
          <w:rFonts w:ascii="Times New Roman" w:hAnsi="Times New Roman" w:cs="Times New Roman"/>
          <w:sz w:val="24"/>
          <w:szCs w:val="24"/>
        </w:rPr>
      </w:pPr>
      <w:r w:rsidRPr="002C6F16">
        <w:rPr>
          <w:rFonts w:ascii="Times New Roman" w:eastAsia="Times New Roman" w:hAnsi="Times New Roman" w:cs="Times New Roman"/>
          <w:color w:val="000000" w:themeColor="text1"/>
          <w:sz w:val="24"/>
          <w:szCs w:val="24"/>
        </w:rPr>
        <w:lastRenderedPageBreak/>
        <w:t>CARRIE</w:t>
      </w:r>
      <w:r w:rsidRPr="002C6F16">
        <w:rPr>
          <w:rFonts w:ascii="Times New Roman" w:hAnsi="Times New Roman" w:cs="Times New Roman"/>
          <w:sz w:val="24"/>
          <w:szCs w:val="24"/>
        </w:rPr>
        <w:t xml:space="preserve"> H. </w:t>
      </w:r>
      <w:proofErr w:type="spellStart"/>
      <w:proofErr w:type="gramStart"/>
      <w:r w:rsidRPr="002C6F16">
        <w:rPr>
          <w:rFonts w:ascii="Times New Roman" w:eastAsia="Times New Roman" w:hAnsi="Times New Roman" w:cs="Times New Roman"/>
          <w:color w:val="000000" w:themeColor="text1"/>
          <w:sz w:val="24"/>
          <w:szCs w:val="24"/>
        </w:rPr>
        <w:t>GRUNDMANN</w:t>
      </w:r>
      <w:r w:rsidR="005D5546" w:rsidRPr="002C6F16">
        <w:rPr>
          <w:rFonts w:ascii="Times New Roman" w:hAnsi="Times New Roman" w:cs="Times New Roman"/>
          <w:sz w:val="24"/>
          <w:szCs w:val="24"/>
        </w:rPr>
        <w:t>,Esq</w:t>
      </w:r>
      <w:proofErr w:type="spellEnd"/>
      <w:r w:rsidR="005D5546" w:rsidRPr="002C6F16">
        <w:rPr>
          <w:rFonts w:ascii="Times New Roman" w:hAnsi="Times New Roman" w:cs="Times New Roman"/>
          <w:sz w:val="24"/>
          <w:szCs w:val="24"/>
        </w:rPr>
        <w:t>.</w:t>
      </w:r>
      <w:proofErr w:type="gramEnd"/>
    </w:p>
    <w:p w14:paraId="0764C4AE" w14:textId="59055CDE" w:rsidR="00F7155A" w:rsidRPr="002C6F16" w:rsidRDefault="00F7155A" w:rsidP="002C6F16">
      <w:pPr>
        <w:spacing w:after="120" w:line="240" w:lineRule="auto"/>
        <w:ind w:firstLine="720"/>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STEVEN W. LEE, Esq.</w:t>
      </w:r>
    </w:p>
    <w:p w14:paraId="5C4C6A49" w14:textId="77777777" w:rsidR="00880B9B" w:rsidRPr="002C6F16" w:rsidRDefault="00880B9B" w:rsidP="00AA30D8">
      <w:pPr>
        <w:tabs>
          <w:tab w:val="left" w:pos="720"/>
        </w:tabs>
        <w:spacing w:after="240" w:line="240" w:lineRule="auto"/>
        <w:jc w:val="both"/>
        <w:rPr>
          <w:rFonts w:ascii="Times New Roman" w:eastAsia="Times New Roman" w:hAnsi="Times New Roman" w:cs="Times New Roman"/>
          <w:b/>
          <w:bCs/>
          <w:sz w:val="24"/>
          <w:szCs w:val="24"/>
        </w:rPr>
      </w:pPr>
    </w:p>
    <w:p w14:paraId="75C9AD1D" w14:textId="0FE19637" w:rsidR="00B346A6" w:rsidRPr="002C6F16" w:rsidRDefault="0B16BD44" w:rsidP="00AA30D8">
      <w:pPr>
        <w:tabs>
          <w:tab w:val="left" w:pos="720"/>
        </w:tabs>
        <w:spacing w:after="240" w:line="240" w:lineRule="auto"/>
        <w:jc w:val="both"/>
        <w:rPr>
          <w:rFonts w:ascii="Times New Roman" w:eastAsia="Times New Roman" w:hAnsi="Times New Roman" w:cs="Times New Roman"/>
          <w:b/>
          <w:bCs/>
          <w:sz w:val="24"/>
          <w:szCs w:val="24"/>
        </w:rPr>
      </w:pPr>
      <w:r w:rsidRPr="002C6F16">
        <w:rPr>
          <w:rFonts w:ascii="Times New Roman" w:eastAsia="Times New Roman" w:hAnsi="Times New Roman" w:cs="Times New Roman"/>
          <w:b/>
          <w:bCs/>
          <w:sz w:val="24"/>
          <w:szCs w:val="24"/>
        </w:rPr>
        <w:t>BY THE COMMISSION:</w:t>
      </w:r>
    </w:p>
    <w:p w14:paraId="37789378" w14:textId="54EF46E5" w:rsidR="00B346A6" w:rsidRPr="002C6F16" w:rsidRDefault="0B16BD44" w:rsidP="00AA30D8">
      <w:pPr>
        <w:spacing w:after="240" w:line="240" w:lineRule="auto"/>
        <w:ind w:left="720" w:hanging="720"/>
        <w:rPr>
          <w:rFonts w:ascii="Times New Roman" w:eastAsia="Times New Roman" w:hAnsi="Times New Roman" w:cs="Times New Roman"/>
          <w:b/>
          <w:bCs/>
          <w:sz w:val="24"/>
          <w:szCs w:val="24"/>
          <w:u w:val="single"/>
        </w:rPr>
      </w:pPr>
      <w:r w:rsidRPr="002C6F16">
        <w:rPr>
          <w:rFonts w:ascii="Times New Roman" w:eastAsia="Times New Roman" w:hAnsi="Times New Roman" w:cs="Times New Roman"/>
          <w:b/>
          <w:bCs/>
          <w:sz w:val="24"/>
          <w:szCs w:val="24"/>
          <w:u w:val="single"/>
        </w:rPr>
        <w:t>I.</w:t>
      </w:r>
      <w:r w:rsidR="00AF1C73" w:rsidRPr="002C6F16">
        <w:rPr>
          <w:rFonts w:ascii="Times New Roman" w:hAnsi="Times New Roman" w:cs="Times New Roman"/>
          <w:sz w:val="24"/>
          <w:szCs w:val="24"/>
        </w:rPr>
        <w:tab/>
      </w:r>
      <w:r w:rsidRPr="002C6F16">
        <w:rPr>
          <w:rFonts w:ascii="Times New Roman" w:eastAsia="Times New Roman" w:hAnsi="Times New Roman" w:cs="Times New Roman"/>
          <w:b/>
          <w:bCs/>
          <w:sz w:val="24"/>
          <w:szCs w:val="24"/>
          <w:u w:val="single"/>
        </w:rPr>
        <w:t>STATEMENT OF PROCEEDINGS</w:t>
      </w:r>
    </w:p>
    <w:p w14:paraId="260C69F9" w14:textId="03149733" w:rsidR="00257FA3" w:rsidRPr="002C6F16" w:rsidRDefault="00257FA3" w:rsidP="005F5252">
      <w:pPr>
        <w:spacing w:after="120" w:line="240" w:lineRule="auto"/>
        <w:ind w:firstLine="720"/>
        <w:jc w:val="both"/>
        <w:rPr>
          <w:rFonts w:ascii="Times New Roman" w:hAnsi="Times New Roman" w:cs="Times New Roman"/>
          <w:sz w:val="24"/>
          <w:szCs w:val="24"/>
        </w:rPr>
      </w:pPr>
      <w:r w:rsidRPr="002C6F16">
        <w:rPr>
          <w:rFonts w:ascii="Times New Roman" w:eastAsia="Times New Roman" w:hAnsi="Times New Roman" w:cs="Times New Roman"/>
          <w:sz w:val="24"/>
          <w:szCs w:val="24"/>
        </w:rPr>
        <w:t xml:space="preserve">On December 30, 2022, the Georgia Public Service Commission ("Commission") issued its Order Adopting </w:t>
      </w:r>
      <w:r w:rsidRPr="002C6F16">
        <w:rPr>
          <w:rFonts w:ascii="Times New Roman" w:hAnsi="Times New Roman" w:cs="Times New Roman"/>
          <w:sz w:val="24"/>
          <w:szCs w:val="24"/>
        </w:rPr>
        <w:t>Settlement</w:t>
      </w:r>
      <w:r w:rsidRPr="002C6F16">
        <w:rPr>
          <w:rFonts w:ascii="Times New Roman" w:eastAsia="Times New Roman" w:hAnsi="Times New Roman" w:cs="Times New Roman"/>
          <w:sz w:val="24"/>
          <w:szCs w:val="24"/>
        </w:rPr>
        <w:t xml:space="preserve"> Agreement as Modified in Docket No. 44280, Georgia Power Company's 2022 Rate Case.</w:t>
      </w:r>
      <w:r w:rsidR="005A196B"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 In that Order, the Commission established a three-year Alternate Rate Plan</w:t>
      </w:r>
      <w:r w:rsidR="00F678D9" w:rsidRPr="002C6F16">
        <w:rPr>
          <w:rFonts w:ascii="Times New Roman" w:eastAsia="Times New Roman" w:hAnsi="Times New Roman" w:cs="Times New Roman"/>
          <w:sz w:val="24"/>
          <w:szCs w:val="24"/>
        </w:rPr>
        <w:t xml:space="preserve"> (“ARP”)</w:t>
      </w:r>
      <w:r w:rsidRPr="002C6F16">
        <w:rPr>
          <w:rFonts w:ascii="Times New Roman" w:eastAsia="Times New Roman" w:hAnsi="Times New Roman" w:cs="Times New Roman"/>
          <w:sz w:val="24"/>
          <w:szCs w:val="24"/>
        </w:rPr>
        <w:t xml:space="preserve">, ending December 31, </w:t>
      </w:r>
      <w:r w:rsidR="00B63DAB" w:rsidRPr="002C6F16">
        <w:rPr>
          <w:rFonts w:ascii="Times New Roman" w:eastAsia="Times New Roman" w:hAnsi="Times New Roman" w:cs="Times New Roman"/>
          <w:sz w:val="24"/>
          <w:szCs w:val="24"/>
        </w:rPr>
        <w:t>2025</w:t>
      </w:r>
      <w:r w:rsidRPr="002C6F16">
        <w:rPr>
          <w:rFonts w:ascii="Times New Roman" w:eastAsia="Times New Roman" w:hAnsi="Times New Roman" w:cs="Times New Roman"/>
          <w:sz w:val="24"/>
          <w:szCs w:val="24"/>
        </w:rPr>
        <w:t xml:space="preserve">. </w:t>
      </w:r>
      <w:r w:rsidR="005A196B"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The Commission further ordered Georgia Power Company ("Georgia Power" or the "Company") to file a general rate case as follows:</w:t>
      </w:r>
    </w:p>
    <w:p w14:paraId="454A4628" w14:textId="47F931F4" w:rsidR="00257FA3" w:rsidRPr="002C6F16" w:rsidRDefault="00257FA3" w:rsidP="005F5252">
      <w:pPr>
        <w:spacing w:after="120" w:line="240" w:lineRule="auto"/>
        <w:ind w:left="1440" w:right="1441"/>
        <w:jc w:val="both"/>
        <w:rPr>
          <w:rFonts w:ascii="Times New Roman" w:hAnsi="Times New Roman" w:cs="Times New Roman"/>
          <w:i/>
          <w:iCs/>
          <w:sz w:val="24"/>
          <w:szCs w:val="24"/>
        </w:rPr>
      </w:pPr>
      <w:r w:rsidRPr="002C6F16">
        <w:rPr>
          <w:rFonts w:ascii="Times New Roman" w:eastAsia="Times New Roman" w:hAnsi="Times New Roman" w:cs="Times New Roman"/>
          <w:i/>
          <w:iCs/>
          <w:sz w:val="24"/>
          <w:szCs w:val="24"/>
        </w:rPr>
        <w:t>By July 1</w:t>
      </w:r>
      <w:r w:rsidR="00FE16CC" w:rsidRPr="002C6F16">
        <w:rPr>
          <w:rFonts w:ascii="Times New Roman" w:eastAsia="Times New Roman" w:hAnsi="Times New Roman" w:cs="Times New Roman"/>
          <w:i/>
          <w:iCs/>
          <w:sz w:val="24"/>
          <w:szCs w:val="24"/>
        </w:rPr>
        <w:t>,</w:t>
      </w:r>
      <w:r w:rsidRPr="002C6F16">
        <w:rPr>
          <w:rFonts w:ascii="Times New Roman" w:eastAsia="Times New Roman" w:hAnsi="Times New Roman" w:cs="Times New Roman"/>
          <w:i/>
          <w:iCs/>
          <w:sz w:val="24"/>
          <w:szCs w:val="24"/>
        </w:rPr>
        <w:t xml:space="preserve"> 2025, the Company shall</w:t>
      </w:r>
      <w:r w:rsidRPr="002C6F16">
        <w:rPr>
          <w:rFonts w:ascii="Times New Roman" w:hAnsi="Times New Roman" w:cs="Times New Roman"/>
          <w:i/>
          <w:iCs/>
          <w:sz w:val="24"/>
          <w:szCs w:val="24"/>
        </w:rPr>
        <w:t xml:space="preserve"> </w:t>
      </w:r>
      <w:r w:rsidRPr="002C6F16">
        <w:rPr>
          <w:rFonts w:ascii="Times New Roman" w:eastAsia="Times New Roman" w:hAnsi="Times New Roman" w:cs="Times New Roman"/>
          <w:i/>
          <w:iCs/>
          <w:sz w:val="24"/>
          <w:szCs w:val="24"/>
        </w:rPr>
        <w:t>file testimony and exhibits required in a general rate case along with supporting schedules required by the Commission to support a "traditional" rate case. The test period utilized by the Company in its rate case filing shall be from August 1, 2025, to July 31, 2026. The Company may propose to continue, modify or discontinue this Alternate Rate Plan [CARP ")]. The Company shall also file projected revenue requirements for calendar years 2026, 2027, and 2028.</w:t>
      </w:r>
    </w:p>
    <w:p w14:paraId="4D72380F" w14:textId="7A7FA8C3" w:rsidR="00257FA3" w:rsidRPr="002C6F16" w:rsidRDefault="007A02D6" w:rsidP="007A02D6">
      <w:pPr>
        <w:spacing w:after="120" w:line="240" w:lineRule="auto"/>
        <w:ind w:firstLine="720"/>
        <w:jc w:val="both"/>
        <w:rPr>
          <w:rFonts w:ascii="Times New Roman" w:hAnsi="Times New Roman" w:cs="Times New Roman"/>
          <w:sz w:val="24"/>
          <w:szCs w:val="24"/>
        </w:rPr>
      </w:pPr>
      <w:proofErr w:type="gramStart"/>
      <w:r w:rsidRPr="002C6F16">
        <w:rPr>
          <w:rFonts w:ascii="Times New Roman" w:hAnsi="Times New Roman" w:cs="Times New Roman"/>
          <w:sz w:val="24"/>
          <w:szCs w:val="24"/>
        </w:rPr>
        <w:t>In</w:t>
      </w:r>
      <w:r w:rsidR="00257FA3" w:rsidRPr="002C6F16">
        <w:rPr>
          <w:rFonts w:ascii="Times New Roman" w:hAnsi="Times New Roman" w:cs="Times New Roman"/>
          <w:sz w:val="24"/>
          <w:szCs w:val="24"/>
        </w:rPr>
        <w:t xml:space="preserve"> light of</w:t>
      </w:r>
      <w:proofErr w:type="gramEnd"/>
      <w:r w:rsidR="00257FA3" w:rsidRPr="002C6F16">
        <w:rPr>
          <w:rFonts w:ascii="Times New Roman" w:hAnsi="Times New Roman" w:cs="Times New Roman"/>
          <w:sz w:val="24"/>
          <w:szCs w:val="24"/>
        </w:rPr>
        <w:t xml:space="preserve"> growing economic and regulatory uncertainty, Georgia Power proposed to forgo its July 1, 2025, rate case filing. Georgia Power’s decision resulted in the Company </w:t>
      </w:r>
      <w:proofErr w:type="gramStart"/>
      <w:r w:rsidR="00257FA3" w:rsidRPr="002C6F16">
        <w:rPr>
          <w:rFonts w:ascii="Times New Roman" w:hAnsi="Times New Roman" w:cs="Times New Roman"/>
          <w:sz w:val="24"/>
          <w:szCs w:val="24"/>
        </w:rPr>
        <w:t>entering into</w:t>
      </w:r>
      <w:proofErr w:type="gramEnd"/>
      <w:r w:rsidR="00257FA3" w:rsidRPr="002C6F16">
        <w:rPr>
          <w:rFonts w:ascii="Times New Roman" w:hAnsi="Times New Roman" w:cs="Times New Roman"/>
          <w:sz w:val="24"/>
          <w:szCs w:val="24"/>
        </w:rPr>
        <w:t xml:space="preserve"> a Stipulation</w:t>
      </w:r>
      <w:r w:rsidR="00814175" w:rsidRPr="002C6F16">
        <w:rPr>
          <w:rFonts w:ascii="Times New Roman" w:hAnsi="Times New Roman" w:cs="Times New Roman"/>
          <w:sz w:val="24"/>
          <w:szCs w:val="24"/>
        </w:rPr>
        <w:t xml:space="preserve"> (“Settlement Agreement”)</w:t>
      </w:r>
      <w:r w:rsidR="00257FA3" w:rsidRPr="002C6F16">
        <w:rPr>
          <w:rFonts w:ascii="Times New Roman" w:hAnsi="Times New Roman" w:cs="Times New Roman"/>
          <w:sz w:val="24"/>
          <w:szCs w:val="24"/>
        </w:rPr>
        <w:t xml:space="preserve"> with the Public Interest </w:t>
      </w:r>
      <w:r w:rsidR="00257FA3" w:rsidRPr="002C6F16">
        <w:rPr>
          <w:rFonts w:ascii="Times New Roman" w:eastAsia="Times New Roman" w:hAnsi="Times New Roman" w:cs="Times New Roman"/>
          <w:color w:val="000000" w:themeColor="text1"/>
          <w:sz w:val="24"/>
          <w:szCs w:val="24"/>
        </w:rPr>
        <w:t>Advocacy</w:t>
      </w:r>
      <w:r w:rsidR="00257FA3" w:rsidRPr="002C6F16">
        <w:rPr>
          <w:rFonts w:ascii="Times New Roman" w:hAnsi="Times New Roman" w:cs="Times New Roman"/>
          <w:sz w:val="24"/>
          <w:szCs w:val="24"/>
        </w:rPr>
        <w:t xml:space="preserve"> Staff (“PIA Staff”)</w:t>
      </w:r>
      <w:r w:rsidR="00F678D9" w:rsidRPr="002C6F16">
        <w:rPr>
          <w:rFonts w:ascii="Times New Roman" w:hAnsi="Times New Roman" w:cs="Times New Roman"/>
          <w:sz w:val="24"/>
          <w:szCs w:val="24"/>
        </w:rPr>
        <w:t>, collectively (“Joint Petitioners”),</w:t>
      </w:r>
      <w:r w:rsidR="00257FA3" w:rsidRPr="002C6F16">
        <w:rPr>
          <w:rFonts w:ascii="Times New Roman" w:hAnsi="Times New Roman" w:cs="Times New Roman"/>
          <w:sz w:val="24"/>
          <w:szCs w:val="24"/>
        </w:rPr>
        <w:t xml:space="preserve"> on May 19, 2025</w:t>
      </w:r>
      <w:proofErr w:type="gramStart"/>
      <w:r w:rsidR="00257FA3" w:rsidRPr="002C6F16">
        <w:rPr>
          <w:rFonts w:ascii="Times New Roman" w:hAnsi="Times New Roman" w:cs="Times New Roman"/>
          <w:sz w:val="24"/>
          <w:szCs w:val="24"/>
        </w:rPr>
        <w:t xml:space="preserve">. </w:t>
      </w:r>
      <w:r w:rsidR="005A196B" w:rsidRPr="002C6F16">
        <w:rPr>
          <w:rFonts w:ascii="Times New Roman" w:hAnsi="Times New Roman" w:cs="Times New Roman"/>
          <w:sz w:val="24"/>
          <w:szCs w:val="24"/>
        </w:rPr>
        <w:t xml:space="preserve"> </w:t>
      </w:r>
      <w:proofErr w:type="gramEnd"/>
      <w:r w:rsidR="00257FA3" w:rsidRPr="002C6F16">
        <w:rPr>
          <w:rFonts w:ascii="Times New Roman" w:hAnsi="Times New Roman" w:cs="Times New Roman"/>
          <w:sz w:val="24"/>
          <w:szCs w:val="24"/>
        </w:rPr>
        <w:t xml:space="preserve">The </w:t>
      </w:r>
      <w:r w:rsidR="00814175" w:rsidRPr="002C6F16">
        <w:rPr>
          <w:rFonts w:ascii="Times New Roman" w:hAnsi="Times New Roman" w:cs="Times New Roman"/>
          <w:sz w:val="24"/>
          <w:szCs w:val="24"/>
        </w:rPr>
        <w:t xml:space="preserve">Settlement Agreement </w:t>
      </w:r>
      <w:r w:rsidR="00257FA3" w:rsidRPr="002C6F16">
        <w:rPr>
          <w:rFonts w:ascii="Times New Roman" w:hAnsi="Times New Roman" w:cs="Times New Roman"/>
          <w:sz w:val="24"/>
          <w:szCs w:val="24"/>
        </w:rPr>
        <w:t xml:space="preserve">extends the current ARP </w:t>
      </w:r>
      <w:r w:rsidR="00814175" w:rsidRPr="002C6F16">
        <w:rPr>
          <w:rFonts w:ascii="Times New Roman" w:hAnsi="Times New Roman" w:cs="Times New Roman"/>
          <w:sz w:val="24"/>
          <w:szCs w:val="24"/>
        </w:rPr>
        <w:t xml:space="preserve">for </w:t>
      </w:r>
      <w:r w:rsidR="00257FA3" w:rsidRPr="002C6F16">
        <w:rPr>
          <w:rFonts w:ascii="Times New Roman" w:hAnsi="Times New Roman" w:cs="Times New Roman"/>
          <w:sz w:val="24"/>
          <w:szCs w:val="24"/>
        </w:rPr>
        <w:t>an additional three-year term</w:t>
      </w:r>
      <w:r w:rsidR="00814175" w:rsidRPr="002C6F16">
        <w:rPr>
          <w:rFonts w:ascii="Times New Roman" w:hAnsi="Times New Roman" w:cs="Times New Roman"/>
          <w:sz w:val="24"/>
          <w:szCs w:val="24"/>
        </w:rPr>
        <w:t xml:space="preserve"> through 2026, 2027, and 2028.  </w:t>
      </w:r>
      <w:r w:rsidR="00257FA3" w:rsidRPr="002C6F16">
        <w:rPr>
          <w:rFonts w:ascii="Times New Roman" w:hAnsi="Times New Roman" w:cs="Times New Roman"/>
          <w:sz w:val="24"/>
          <w:szCs w:val="24"/>
        </w:rPr>
        <w:t xml:space="preserve">Customer rates </w:t>
      </w:r>
      <w:r w:rsidR="00F678D9" w:rsidRPr="002C6F16">
        <w:rPr>
          <w:rFonts w:ascii="Times New Roman" w:hAnsi="Times New Roman" w:cs="Times New Roman"/>
          <w:sz w:val="24"/>
          <w:szCs w:val="24"/>
        </w:rPr>
        <w:t>would</w:t>
      </w:r>
      <w:r w:rsidR="00257FA3" w:rsidRPr="002C6F16">
        <w:rPr>
          <w:rFonts w:ascii="Times New Roman" w:hAnsi="Times New Roman" w:cs="Times New Roman"/>
          <w:sz w:val="24"/>
          <w:szCs w:val="24"/>
        </w:rPr>
        <w:t xml:space="preserve"> remain consistent and predictable as base rates remain unchanged. </w:t>
      </w:r>
      <w:r w:rsidR="005A196B" w:rsidRPr="002C6F16">
        <w:rPr>
          <w:rFonts w:ascii="Times New Roman" w:hAnsi="Times New Roman" w:cs="Times New Roman"/>
          <w:sz w:val="24"/>
          <w:szCs w:val="24"/>
        </w:rPr>
        <w:t xml:space="preserve"> </w:t>
      </w:r>
      <w:r w:rsidR="00257FA3" w:rsidRPr="002C6F16">
        <w:rPr>
          <w:rFonts w:ascii="Times New Roman" w:eastAsia="Times New Roman" w:hAnsi="Times New Roman" w:cs="Times New Roman"/>
          <w:sz w:val="24"/>
          <w:szCs w:val="24"/>
        </w:rPr>
        <w:t xml:space="preserve">The Joint Petitioners also filed a Petition to Extend the ARP on May 19, 2025, outlining the terms of the </w:t>
      </w:r>
      <w:r w:rsidR="00814175" w:rsidRPr="002C6F16">
        <w:rPr>
          <w:rFonts w:ascii="Times New Roman" w:hAnsi="Times New Roman" w:cs="Times New Roman"/>
          <w:sz w:val="24"/>
          <w:szCs w:val="24"/>
        </w:rPr>
        <w:t xml:space="preserve">Settlement Agreement </w:t>
      </w:r>
      <w:r w:rsidR="00F678D9" w:rsidRPr="002C6F16">
        <w:rPr>
          <w:rFonts w:ascii="Times New Roman" w:eastAsia="Times New Roman" w:hAnsi="Times New Roman" w:cs="Times New Roman"/>
          <w:sz w:val="24"/>
          <w:szCs w:val="24"/>
        </w:rPr>
        <w:t xml:space="preserve">and </w:t>
      </w:r>
      <w:r w:rsidR="00257FA3" w:rsidRPr="002C6F16">
        <w:rPr>
          <w:rFonts w:ascii="Times New Roman" w:eastAsia="Times New Roman" w:hAnsi="Times New Roman" w:cs="Times New Roman"/>
          <w:sz w:val="24"/>
          <w:szCs w:val="24"/>
        </w:rPr>
        <w:t>explaining how forgoing the 2025 rate case filing and extending the ARP is in the best interest of Georgia Power's customers.</w:t>
      </w:r>
    </w:p>
    <w:p w14:paraId="31DD74E3" w14:textId="0E7A3E6C" w:rsidR="00257FA3" w:rsidRPr="002C6F16" w:rsidRDefault="00257FA3" w:rsidP="00AA30D8">
      <w:pPr>
        <w:spacing w:after="120" w:line="240" w:lineRule="auto"/>
        <w:ind w:firstLine="720"/>
        <w:jc w:val="both"/>
        <w:rPr>
          <w:rFonts w:ascii="Times New Roman" w:hAnsi="Times New Roman" w:cs="Times New Roman"/>
          <w:sz w:val="24"/>
          <w:szCs w:val="24"/>
        </w:rPr>
      </w:pPr>
      <w:r w:rsidRPr="002C6F16">
        <w:rPr>
          <w:rFonts w:ascii="Times New Roman" w:eastAsia="Times New Roman" w:hAnsi="Times New Roman" w:cs="Times New Roman"/>
          <w:color w:val="000000" w:themeColor="text1"/>
          <w:sz w:val="24"/>
          <w:szCs w:val="24"/>
        </w:rPr>
        <w:t>The</w:t>
      </w:r>
      <w:r w:rsidRPr="002C6F16">
        <w:rPr>
          <w:rFonts w:ascii="Times New Roman" w:eastAsia="Times New Roman" w:hAnsi="Times New Roman" w:cs="Times New Roman"/>
          <w:sz w:val="24"/>
          <w:szCs w:val="24"/>
        </w:rPr>
        <w:t xml:space="preserve"> Commission has approved ARPs or the extension of them since 1995, finding them to be fair, just and reasonable.</w:t>
      </w:r>
      <w:r w:rsidR="005A196B"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 In the 2022 rate case, the Commission made similar findings in approving the current ARP upon which the Joint Petitioners now seek an extension. </w:t>
      </w:r>
      <w:r w:rsidR="005A196B" w:rsidRPr="002C6F16">
        <w:rPr>
          <w:rFonts w:ascii="Times New Roman" w:eastAsia="Times New Roman" w:hAnsi="Times New Roman" w:cs="Times New Roman"/>
          <w:sz w:val="24"/>
          <w:szCs w:val="24"/>
        </w:rPr>
        <w:t xml:space="preserve"> Thus</w:t>
      </w:r>
      <w:r w:rsidRPr="002C6F16">
        <w:rPr>
          <w:rFonts w:ascii="Times New Roman" w:eastAsia="Times New Roman" w:hAnsi="Times New Roman" w:cs="Times New Roman"/>
          <w:sz w:val="24"/>
          <w:szCs w:val="24"/>
        </w:rPr>
        <w:t xml:space="preserve">, the Commission </w:t>
      </w:r>
      <w:r w:rsidR="005A196B" w:rsidRPr="002C6F16">
        <w:rPr>
          <w:rFonts w:ascii="Times New Roman" w:eastAsia="Times New Roman" w:hAnsi="Times New Roman" w:cs="Times New Roman"/>
          <w:sz w:val="24"/>
          <w:szCs w:val="24"/>
        </w:rPr>
        <w:t>held</w:t>
      </w:r>
      <w:r w:rsidRPr="002C6F16">
        <w:rPr>
          <w:rFonts w:ascii="Times New Roman" w:eastAsia="Times New Roman" w:hAnsi="Times New Roman" w:cs="Times New Roman"/>
          <w:sz w:val="24"/>
          <w:szCs w:val="24"/>
        </w:rPr>
        <w:t xml:space="preserve"> the Company's requirement to file a base rate case on or before July 1, 2025, in abeyance </w:t>
      </w:r>
      <w:r w:rsidRPr="002C6F16">
        <w:rPr>
          <w:rFonts w:ascii="Times New Roman" w:hAnsi="Times New Roman" w:cs="Times New Roman"/>
          <w:sz w:val="24"/>
          <w:szCs w:val="24"/>
        </w:rPr>
        <w:t xml:space="preserve">for 60 days to allow the Commission to consider the </w:t>
      </w:r>
      <w:r w:rsidR="00814175" w:rsidRPr="002C6F16">
        <w:rPr>
          <w:rFonts w:ascii="Times New Roman" w:hAnsi="Times New Roman" w:cs="Times New Roman"/>
          <w:sz w:val="24"/>
          <w:szCs w:val="24"/>
        </w:rPr>
        <w:t>Settlement Agreement</w:t>
      </w:r>
      <w:r w:rsidRPr="002C6F16">
        <w:rPr>
          <w:rFonts w:ascii="Times New Roman" w:hAnsi="Times New Roman" w:cs="Times New Roman"/>
          <w:sz w:val="24"/>
          <w:szCs w:val="24"/>
        </w:rPr>
        <w:t>.</w:t>
      </w:r>
      <w:r w:rsidR="005A196B" w:rsidRPr="002C6F16">
        <w:rPr>
          <w:rFonts w:ascii="Times New Roman" w:hAnsi="Times New Roman" w:cs="Times New Roman"/>
          <w:sz w:val="24"/>
          <w:szCs w:val="24"/>
        </w:rPr>
        <w:t xml:space="preserve">  A hearing on the matter </w:t>
      </w:r>
      <w:r w:rsidR="005A196B" w:rsidRPr="002C6F16">
        <w:rPr>
          <w:rFonts w:ascii="Times New Roman" w:eastAsia="Times New Roman" w:hAnsi="Times New Roman" w:cs="Times New Roman"/>
          <w:color w:val="000000" w:themeColor="text1"/>
          <w:sz w:val="24"/>
          <w:szCs w:val="24"/>
        </w:rPr>
        <w:t>was held on Ju</w:t>
      </w:r>
      <w:r w:rsidR="007A02D6" w:rsidRPr="002C6F16">
        <w:rPr>
          <w:rFonts w:ascii="Times New Roman" w:eastAsia="Times New Roman" w:hAnsi="Times New Roman" w:cs="Times New Roman"/>
          <w:color w:val="000000" w:themeColor="text1"/>
          <w:sz w:val="24"/>
          <w:szCs w:val="24"/>
        </w:rPr>
        <w:t>ne</w:t>
      </w:r>
      <w:r w:rsidR="005A196B" w:rsidRPr="002C6F16">
        <w:rPr>
          <w:rFonts w:ascii="Times New Roman" w:eastAsia="Times New Roman" w:hAnsi="Times New Roman" w:cs="Times New Roman"/>
          <w:color w:val="000000" w:themeColor="text1"/>
          <w:sz w:val="24"/>
          <w:szCs w:val="24"/>
        </w:rPr>
        <w:t xml:space="preserve"> 26, 2025 (“Hearing”) and</w:t>
      </w:r>
      <w:r w:rsidR="00F75840" w:rsidRPr="002C6F16">
        <w:rPr>
          <w:rFonts w:ascii="Times New Roman" w:eastAsia="Times New Roman" w:hAnsi="Times New Roman" w:cs="Times New Roman"/>
          <w:color w:val="000000" w:themeColor="text1"/>
          <w:sz w:val="24"/>
          <w:szCs w:val="24"/>
        </w:rPr>
        <w:t xml:space="preserve"> was</w:t>
      </w:r>
      <w:r w:rsidR="005A196B" w:rsidRPr="002C6F16">
        <w:rPr>
          <w:rFonts w:ascii="Times New Roman" w:eastAsia="Times New Roman" w:hAnsi="Times New Roman" w:cs="Times New Roman"/>
          <w:color w:val="000000" w:themeColor="text1"/>
          <w:sz w:val="24"/>
          <w:szCs w:val="24"/>
        </w:rPr>
        <w:t xml:space="preserve"> </w:t>
      </w:r>
      <w:r w:rsidR="005A196B" w:rsidRPr="002C6F16">
        <w:rPr>
          <w:rFonts w:ascii="Times New Roman" w:hAnsi="Times New Roman" w:cs="Times New Roman"/>
          <w:sz w:val="24"/>
          <w:szCs w:val="24"/>
        </w:rPr>
        <w:t>considered a contested case</w:t>
      </w:r>
      <w:r w:rsidR="005A196B" w:rsidRPr="002C6F16">
        <w:rPr>
          <w:rFonts w:ascii="Times New Roman" w:eastAsia="Times New Roman" w:hAnsi="Times New Roman" w:cs="Times New Roman"/>
          <w:color w:val="000000" w:themeColor="text1"/>
          <w:sz w:val="24"/>
          <w:szCs w:val="24"/>
        </w:rPr>
        <w:t xml:space="preserve"> p</w:t>
      </w:r>
      <w:r w:rsidR="005A196B" w:rsidRPr="002C6F16">
        <w:rPr>
          <w:rFonts w:ascii="Times New Roman" w:hAnsi="Times New Roman" w:cs="Times New Roman"/>
          <w:sz w:val="24"/>
          <w:szCs w:val="24"/>
        </w:rPr>
        <w:t>ursuant to O.C.G.A. 50-13-13.</w:t>
      </w:r>
    </w:p>
    <w:p w14:paraId="7BDD9971" w14:textId="51D0CE0D" w:rsidR="008D5B96" w:rsidRPr="002C6F16" w:rsidRDefault="001C3B78" w:rsidP="00AA30D8">
      <w:pPr>
        <w:spacing w:after="120" w:line="240" w:lineRule="auto"/>
        <w:ind w:firstLine="720"/>
        <w:jc w:val="both"/>
        <w:rPr>
          <w:rFonts w:ascii="Times New Roman" w:hAnsi="Times New Roman" w:cs="Times New Roman"/>
          <w:sz w:val="24"/>
          <w:szCs w:val="24"/>
        </w:rPr>
      </w:pPr>
      <w:bookmarkStart w:id="0" w:name="_Hlk203667993"/>
      <w:r w:rsidRPr="002C6F16">
        <w:rPr>
          <w:rFonts w:ascii="Times New Roman" w:hAnsi="Times New Roman" w:cs="Times New Roman"/>
          <w:sz w:val="24"/>
          <w:szCs w:val="24"/>
        </w:rPr>
        <w:t>On May 20, 2025, the Commission issued a Procedural and Scheduling Order setting the procedure, testimony filing dates, and hearing date for this matter.</w:t>
      </w:r>
      <w:bookmarkEnd w:id="0"/>
      <w:r w:rsidRPr="002C6F16">
        <w:rPr>
          <w:rFonts w:ascii="Times New Roman" w:hAnsi="Times New Roman" w:cs="Times New Roman"/>
          <w:sz w:val="24"/>
          <w:szCs w:val="24"/>
        </w:rPr>
        <w:t xml:space="preserve">  In this proceeding, </w:t>
      </w:r>
      <w:r w:rsidR="004F51EB" w:rsidRPr="002C6F16">
        <w:rPr>
          <w:rFonts w:ascii="Times New Roman" w:hAnsi="Times New Roman" w:cs="Times New Roman"/>
          <w:sz w:val="24"/>
          <w:szCs w:val="24"/>
        </w:rPr>
        <w:t xml:space="preserve">PIA Staff was responsible for performing an independent evaluation of the filed case, advocating from the </w:t>
      </w:r>
      <w:r w:rsidR="004F51EB" w:rsidRPr="002C6F16">
        <w:rPr>
          <w:rFonts w:ascii="Times New Roman" w:hAnsi="Times New Roman" w:cs="Times New Roman"/>
          <w:noProof/>
          <w:sz w:val="24"/>
          <w:szCs w:val="24"/>
        </w:rPr>
        <w:drawing>
          <wp:inline distT="0" distB="0" distL="0" distR="0" wp14:anchorId="2CB186D5" wp14:editId="318E7504">
            <wp:extent cx="4574" cy="27432"/>
            <wp:effectExtent l="0" t="0" r="0" b="0"/>
            <wp:docPr id="64201" name="Picture 64201"/>
            <wp:cNvGraphicFramePr/>
            <a:graphic xmlns:a="http://schemas.openxmlformats.org/drawingml/2006/main">
              <a:graphicData uri="http://schemas.openxmlformats.org/drawingml/2006/picture">
                <pic:pic xmlns:pic="http://schemas.openxmlformats.org/drawingml/2006/picture">
                  <pic:nvPicPr>
                    <pic:cNvPr id="64201" name="Picture 64201"/>
                    <pic:cNvPicPr/>
                  </pic:nvPicPr>
                  <pic:blipFill>
                    <a:blip r:embed="rId10"/>
                    <a:stretch>
                      <a:fillRect/>
                    </a:stretch>
                  </pic:blipFill>
                  <pic:spPr>
                    <a:xfrm>
                      <a:off x="0" y="0"/>
                      <a:ext cx="4574" cy="27432"/>
                    </a:xfrm>
                    <a:prstGeom prst="rect">
                      <a:avLst/>
                    </a:prstGeom>
                  </pic:spPr>
                </pic:pic>
              </a:graphicData>
            </a:graphic>
          </wp:inline>
        </w:drawing>
      </w:r>
      <w:r w:rsidR="004F51EB" w:rsidRPr="002C6F16">
        <w:rPr>
          <w:rFonts w:ascii="Times New Roman" w:hAnsi="Times New Roman" w:cs="Times New Roman"/>
          <w:sz w:val="24"/>
          <w:szCs w:val="24"/>
        </w:rPr>
        <w:lastRenderedPageBreak/>
        <w:t xml:space="preserve">standpoint of promoting public interest and </w:t>
      </w:r>
      <w:proofErr w:type="gramStart"/>
      <w:r w:rsidR="004F51EB" w:rsidRPr="002C6F16">
        <w:rPr>
          <w:rFonts w:ascii="Times New Roman" w:hAnsi="Times New Roman" w:cs="Times New Roman"/>
          <w:sz w:val="24"/>
          <w:szCs w:val="24"/>
        </w:rPr>
        <w:t>just and</w:t>
      </w:r>
      <w:proofErr w:type="gramEnd"/>
      <w:r w:rsidR="004F51EB" w:rsidRPr="002C6F16">
        <w:rPr>
          <w:rFonts w:ascii="Times New Roman" w:hAnsi="Times New Roman" w:cs="Times New Roman"/>
          <w:sz w:val="24"/>
          <w:szCs w:val="24"/>
        </w:rPr>
        <w:t xml:space="preserve"> reasonable rates</w:t>
      </w:r>
      <w:proofErr w:type="gramStart"/>
      <w:r w:rsidR="004F51EB" w:rsidRPr="002C6F16">
        <w:rPr>
          <w:rFonts w:ascii="Times New Roman" w:hAnsi="Times New Roman" w:cs="Times New Roman"/>
          <w:sz w:val="24"/>
          <w:szCs w:val="24"/>
        </w:rPr>
        <w:t xml:space="preserve">. </w:t>
      </w:r>
      <w:r w:rsidR="005A196B" w:rsidRPr="002C6F16">
        <w:rPr>
          <w:rFonts w:ascii="Times New Roman" w:hAnsi="Times New Roman" w:cs="Times New Roman"/>
          <w:sz w:val="24"/>
          <w:szCs w:val="24"/>
        </w:rPr>
        <w:t xml:space="preserve"> </w:t>
      </w:r>
      <w:proofErr w:type="gramEnd"/>
      <w:r w:rsidR="004F51EB" w:rsidRPr="002C6F16">
        <w:rPr>
          <w:rFonts w:ascii="Times New Roman" w:hAnsi="Times New Roman" w:cs="Times New Roman"/>
          <w:sz w:val="24"/>
          <w:szCs w:val="24"/>
        </w:rPr>
        <w:t xml:space="preserve">PIA Staff </w:t>
      </w:r>
      <w:r w:rsidR="00055F4A" w:rsidRPr="002C6F16">
        <w:rPr>
          <w:rFonts w:ascii="Times New Roman" w:hAnsi="Times New Roman" w:cs="Times New Roman"/>
          <w:sz w:val="24"/>
          <w:szCs w:val="24"/>
        </w:rPr>
        <w:t>were</w:t>
      </w:r>
      <w:r w:rsidR="004F51EB" w:rsidRPr="002C6F16">
        <w:rPr>
          <w:rFonts w:ascii="Times New Roman" w:hAnsi="Times New Roman" w:cs="Times New Roman"/>
          <w:sz w:val="24"/>
          <w:szCs w:val="24"/>
        </w:rPr>
        <w:t xml:space="preserve"> </w:t>
      </w:r>
      <w:r w:rsidR="004F51EB" w:rsidRPr="002C6F16">
        <w:rPr>
          <w:rFonts w:ascii="Times New Roman" w:eastAsia="Times New Roman" w:hAnsi="Times New Roman" w:cs="Times New Roman"/>
          <w:sz w:val="24"/>
          <w:szCs w:val="24"/>
        </w:rPr>
        <w:t>considered</w:t>
      </w:r>
      <w:r w:rsidR="004F51EB" w:rsidRPr="002C6F16">
        <w:rPr>
          <w:rFonts w:ascii="Times New Roman" w:hAnsi="Times New Roman" w:cs="Times New Roman"/>
          <w:sz w:val="24"/>
          <w:szCs w:val="24"/>
        </w:rPr>
        <w:t xml:space="preserve"> a </w:t>
      </w:r>
      <w:r w:rsidR="004F51EB" w:rsidRPr="002C6F16">
        <w:rPr>
          <w:rFonts w:ascii="Times New Roman" w:eastAsia="Times New Roman" w:hAnsi="Times New Roman" w:cs="Times New Roman"/>
          <w:sz w:val="24"/>
          <w:szCs w:val="24"/>
        </w:rPr>
        <w:t>party</w:t>
      </w:r>
      <w:r w:rsidR="004F51EB" w:rsidRPr="002C6F16">
        <w:rPr>
          <w:rFonts w:ascii="Times New Roman" w:hAnsi="Times New Roman" w:cs="Times New Roman"/>
          <w:sz w:val="24"/>
          <w:szCs w:val="24"/>
        </w:rPr>
        <w:t xml:space="preserve"> to the case and could negotiate settlements with other parties, in the public interest. </w:t>
      </w:r>
      <w:r w:rsidR="005A196B" w:rsidRPr="002C6F16">
        <w:rPr>
          <w:rFonts w:ascii="Times New Roman" w:hAnsi="Times New Roman" w:cs="Times New Roman"/>
          <w:sz w:val="24"/>
          <w:szCs w:val="24"/>
        </w:rPr>
        <w:t xml:space="preserve"> </w:t>
      </w:r>
      <w:r w:rsidR="004F51EB" w:rsidRPr="002C6F16">
        <w:rPr>
          <w:rFonts w:ascii="Times New Roman" w:hAnsi="Times New Roman" w:cs="Times New Roman"/>
          <w:sz w:val="24"/>
          <w:szCs w:val="24"/>
        </w:rPr>
        <w:t xml:space="preserve">The Commission’s Advisory Staff served as a technical advisor to the Commissioners, providing on-request advice based exclusively on </w:t>
      </w:r>
      <w:r w:rsidR="005A196B" w:rsidRPr="002C6F16">
        <w:rPr>
          <w:rFonts w:ascii="Times New Roman" w:hAnsi="Times New Roman" w:cs="Times New Roman"/>
          <w:sz w:val="24"/>
          <w:szCs w:val="24"/>
        </w:rPr>
        <w:t>their</w:t>
      </w:r>
      <w:r w:rsidR="004F51EB" w:rsidRPr="002C6F16">
        <w:rPr>
          <w:rFonts w:ascii="Times New Roman" w:hAnsi="Times New Roman" w:cs="Times New Roman"/>
          <w:sz w:val="24"/>
          <w:szCs w:val="24"/>
        </w:rPr>
        <w:t xml:space="preserve"> own independent evaluation. </w:t>
      </w:r>
    </w:p>
    <w:p w14:paraId="6C7E13C6" w14:textId="5802B810" w:rsidR="006E3493" w:rsidRPr="002C6F16" w:rsidRDefault="005A196B" w:rsidP="00AA30D8">
      <w:pPr>
        <w:spacing w:after="120" w:line="240" w:lineRule="auto"/>
        <w:ind w:firstLine="720"/>
        <w:jc w:val="both"/>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 xml:space="preserve">Further, </w:t>
      </w:r>
      <w:r w:rsidR="004F51EB" w:rsidRPr="002C6F16">
        <w:rPr>
          <w:rFonts w:ascii="Times New Roman" w:eastAsia="Times New Roman" w:hAnsi="Times New Roman" w:cs="Times New Roman"/>
          <w:color w:val="000000" w:themeColor="text1"/>
          <w:sz w:val="24"/>
          <w:szCs w:val="24"/>
        </w:rPr>
        <w:t>PIA Staff</w:t>
      </w:r>
      <w:r w:rsidRPr="002C6F16">
        <w:rPr>
          <w:rFonts w:ascii="Times New Roman" w:eastAsia="Times New Roman" w:hAnsi="Times New Roman" w:cs="Times New Roman"/>
          <w:color w:val="000000" w:themeColor="text1"/>
          <w:sz w:val="24"/>
          <w:szCs w:val="24"/>
        </w:rPr>
        <w:t xml:space="preserve"> </w:t>
      </w:r>
      <w:r w:rsidR="004F51EB" w:rsidRPr="002C6F16">
        <w:rPr>
          <w:rFonts w:ascii="Times New Roman" w:eastAsia="Times New Roman" w:hAnsi="Times New Roman" w:cs="Times New Roman"/>
          <w:color w:val="000000" w:themeColor="text1"/>
          <w:sz w:val="24"/>
          <w:szCs w:val="24"/>
        </w:rPr>
        <w:t xml:space="preserve">filed </w:t>
      </w:r>
      <w:r w:rsidRPr="002C6F16">
        <w:rPr>
          <w:rFonts w:ascii="Times New Roman" w:eastAsia="Times New Roman" w:hAnsi="Times New Roman" w:cs="Times New Roman"/>
          <w:color w:val="000000" w:themeColor="text1"/>
          <w:sz w:val="24"/>
          <w:szCs w:val="24"/>
        </w:rPr>
        <w:t>its</w:t>
      </w:r>
      <w:r w:rsidR="004F51EB" w:rsidRPr="002C6F16">
        <w:rPr>
          <w:rFonts w:ascii="Times New Roman" w:eastAsia="Times New Roman" w:hAnsi="Times New Roman" w:cs="Times New Roman"/>
          <w:color w:val="000000" w:themeColor="text1"/>
          <w:sz w:val="24"/>
          <w:szCs w:val="24"/>
        </w:rPr>
        <w:t xml:space="preserve"> Direct Testimony</w:t>
      </w:r>
      <w:r w:rsidRPr="002C6F16">
        <w:rPr>
          <w:rFonts w:ascii="Times New Roman" w:eastAsia="Times New Roman" w:hAnsi="Times New Roman" w:cs="Times New Roman"/>
          <w:color w:val="000000" w:themeColor="text1"/>
          <w:sz w:val="24"/>
          <w:szCs w:val="24"/>
        </w:rPr>
        <w:t xml:space="preserve"> of Tom Bond and Steven Roetger </w:t>
      </w:r>
      <w:r w:rsidR="004F51EB" w:rsidRPr="002C6F16">
        <w:rPr>
          <w:rFonts w:ascii="Times New Roman" w:eastAsia="Times New Roman" w:hAnsi="Times New Roman" w:cs="Times New Roman"/>
          <w:color w:val="000000" w:themeColor="text1"/>
          <w:sz w:val="24"/>
          <w:szCs w:val="24"/>
        </w:rPr>
        <w:t xml:space="preserve">on May 30, 2025. </w:t>
      </w:r>
      <w:r w:rsidRPr="002C6F16">
        <w:rPr>
          <w:rFonts w:ascii="Times New Roman" w:eastAsia="Times New Roman" w:hAnsi="Times New Roman" w:cs="Times New Roman"/>
          <w:color w:val="000000" w:themeColor="text1"/>
          <w:sz w:val="24"/>
          <w:szCs w:val="24"/>
        </w:rPr>
        <w:t xml:space="preserve"> </w:t>
      </w:r>
      <w:r w:rsidR="004F51EB" w:rsidRPr="002C6F16">
        <w:rPr>
          <w:rFonts w:ascii="Times New Roman" w:eastAsia="Times New Roman" w:hAnsi="Times New Roman" w:cs="Times New Roman"/>
          <w:color w:val="000000" w:themeColor="text1"/>
          <w:sz w:val="24"/>
          <w:szCs w:val="24"/>
        </w:rPr>
        <w:t xml:space="preserve">Georgia Power also filed its Direct Testimony of Aaron Abramovitz and Matthew Berrigan in </w:t>
      </w:r>
      <w:r w:rsidRPr="002C6F16">
        <w:rPr>
          <w:rFonts w:ascii="Times New Roman" w:eastAsia="Times New Roman" w:hAnsi="Times New Roman" w:cs="Times New Roman"/>
          <w:color w:val="000000" w:themeColor="text1"/>
          <w:sz w:val="24"/>
          <w:szCs w:val="24"/>
        </w:rPr>
        <w:t>S</w:t>
      </w:r>
      <w:r w:rsidR="004F51EB" w:rsidRPr="002C6F16">
        <w:rPr>
          <w:rFonts w:ascii="Times New Roman" w:eastAsia="Times New Roman" w:hAnsi="Times New Roman" w:cs="Times New Roman"/>
          <w:color w:val="000000" w:themeColor="text1"/>
          <w:sz w:val="24"/>
          <w:szCs w:val="24"/>
        </w:rPr>
        <w:t xml:space="preserve">upport of the Stipulation to Extend the Alternate Rate Plan. </w:t>
      </w:r>
      <w:r w:rsidRPr="002C6F16">
        <w:rPr>
          <w:rFonts w:ascii="Times New Roman" w:eastAsia="Times New Roman" w:hAnsi="Times New Roman" w:cs="Times New Roman"/>
          <w:color w:val="000000" w:themeColor="text1"/>
          <w:sz w:val="24"/>
          <w:szCs w:val="24"/>
        </w:rPr>
        <w:t xml:space="preserve"> </w:t>
      </w:r>
      <w:r w:rsidR="004F51EB" w:rsidRPr="002C6F16">
        <w:rPr>
          <w:rFonts w:ascii="Times New Roman" w:eastAsia="Times New Roman" w:hAnsi="Times New Roman" w:cs="Times New Roman"/>
          <w:color w:val="000000" w:themeColor="text1"/>
          <w:sz w:val="24"/>
          <w:szCs w:val="24"/>
        </w:rPr>
        <w:t>Georgia</w:t>
      </w:r>
      <w:r w:rsidR="004B3E24" w:rsidRPr="002C6F16">
        <w:rPr>
          <w:rFonts w:ascii="Times New Roman" w:eastAsia="Times New Roman" w:hAnsi="Times New Roman" w:cs="Times New Roman"/>
          <w:color w:val="000000" w:themeColor="text1"/>
          <w:sz w:val="24"/>
          <w:szCs w:val="24"/>
        </w:rPr>
        <w:t xml:space="preserve"> Wand </w:t>
      </w:r>
      <w:r w:rsidR="008A399A" w:rsidRPr="002C6F16">
        <w:rPr>
          <w:rFonts w:ascii="Times New Roman" w:eastAsia="Times New Roman" w:hAnsi="Times New Roman" w:cs="Times New Roman"/>
          <w:color w:val="000000" w:themeColor="text1"/>
          <w:sz w:val="24"/>
          <w:szCs w:val="24"/>
        </w:rPr>
        <w:t xml:space="preserve">Education Fund </w:t>
      </w:r>
      <w:r w:rsidR="004B3E24" w:rsidRPr="002C6F16">
        <w:rPr>
          <w:rFonts w:ascii="Times New Roman" w:eastAsia="Times New Roman" w:hAnsi="Times New Roman" w:cs="Times New Roman"/>
          <w:color w:val="000000" w:themeColor="text1"/>
          <w:sz w:val="24"/>
          <w:szCs w:val="24"/>
        </w:rPr>
        <w:t>and Georgia Conservation Education Fund</w:t>
      </w:r>
      <w:r w:rsidR="004F51EB" w:rsidRPr="002C6F16">
        <w:rPr>
          <w:rFonts w:ascii="Times New Roman" w:eastAsia="Times New Roman" w:hAnsi="Times New Roman" w:cs="Times New Roman"/>
          <w:color w:val="000000" w:themeColor="text1"/>
          <w:sz w:val="24"/>
          <w:szCs w:val="24"/>
        </w:rPr>
        <w:t xml:space="preserve"> filed a Formal Complaint and Demand of Recusal (“Demand”) </w:t>
      </w:r>
      <w:r w:rsidRPr="002C6F16">
        <w:rPr>
          <w:rFonts w:ascii="Times New Roman" w:eastAsia="Times New Roman" w:hAnsi="Times New Roman" w:cs="Times New Roman"/>
          <w:color w:val="000000" w:themeColor="text1"/>
          <w:sz w:val="24"/>
          <w:szCs w:val="24"/>
        </w:rPr>
        <w:t>against</w:t>
      </w:r>
      <w:r w:rsidR="004F51EB" w:rsidRPr="002C6F16">
        <w:rPr>
          <w:rFonts w:ascii="Times New Roman" w:eastAsia="Times New Roman" w:hAnsi="Times New Roman" w:cs="Times New Roman"/>
          <w:color w:val="000000" w:themeColor="text1"/>
          <w:sz w:val="24"/>
          <w:szCs w:val="24"/>
        </w:rPr>
        <w:t xml:space="preserve"> Commissioners McDonal</w:t>
      </w:r>
      <w:r w:rsidRPr="002C6F16">
        <w:rPr>
          <w:rFonts w:ascii="Times New Roman" w:eastAsia="Times New Roman" w:hAnsi="Times New Roman" w:cs="Times New Roman"/>
          <w:color w:val="000000" w:themeColor="text1"/>
          <w:sz w:val="24"/>
          <w:szCs w:val="24"/>
        </w:rPr>
        <w:t>d</w:t>
      </w:r>
      <w:r w:rsidR="004F51EB" w:rsidRPr="002C6F16">
        <w:rPr>
          <w:rFonts w:ascii="Times New Roman" w:eastAsia="Times New Roman" w:hAnsi="Times New Roman" w:cs="Times New Roman"/>
          <w:color w:val="000000" w:themeColor="text1"/>
          <w:sz w:val="24"/>
          <w:szCs w:val="24"/>
        </w:rPr>
        <w:t>, Echols, and Shaw</w:t>
      </w:r>
      <w:r w:rsidR="007A02D6" w:rsidRPr="002C6F16">
        <w:rPr>
          <w:rFonts w:ascii="Times New Roman" w:eastAsia="Times New Roman" w:hAnsi="Times New Roman" w:cs="Times New Roman"/>
          <w:color w:val="000000" w:themeColor="text1"/>
          <w:sz w:val="24"/>
          <w:szCs w:val="24"/>
        </w:rPr>
        <w:t xml:space="preserve"> (“named Commissioners”)</w:t>
      </w:r>
      <w:r w:rsidR="004F51EB" w:rsidRPr="002C6F16">
        <w:rPr>
          <w:rFonts w:ascii="Times New Roman" w:eastAsia="Times New Roman" w:hAnsi="Times New Roman" w:cs="Times New Roman"/>
          <w:color w:val="000000" w:themeColor="text1"/>
          <w:sz w:val="24"/>
          <w:szCs w:val="24"/>
        </w:rPr>
        <w:t xml:space="preserve"> on June 6, 2025.</w:t>
      </w:r>
      <w:r w:rsidR="00666F0D" w:rsidRPr="002C6F16">
        <w:rPr>
          <w:rStyle w:val="FootnoteReference"/>
          <w:rFonts w:ascii="Times New Roman" w:eastAsia="Times New Roman" w:hAnsi="Times New Roman" w:cs="Times New Roman"/>
          <w:color w:val="000000" w:themeColor="text1"/>
          <w:sz w:val="24"/>
          <w:szCs w:val="24"/>
        </w:rPr>
        <w:footnoteReference w:id="1"/>
      </w:r>
      <w:r w:rsidRPr="002C6F16">
        <w:rPr>
          <w:rFonts w:ascii="Times New Roman" w:eastAsia="Times New Roman" w:hAnsi="Times New Roman" w:cs="Times New Roman"/>
          <w:color w:val="000000" w:themeColor="text1"/>
          <w:sz w:val="24"/>
          <w:szCs w:val="24"/>
        </w:rPr>
        <w:t xml:space="preserve"> </w:t>
      </w:r>
      <w:r w:rsidR="004F51EB" w:rsidRPr="002C6F16">
        <w:rPr>
          <w:rFonts w:ascii="Times New Roman" w:eastAsia="Times New Roman" w:hAnsi="Times New Roman" w:cs="Times New Roman"/>
          <w:color w:val="000000" w:themeColor="text1"/>
          <w:sz w:val="24"/>
          <w:szCs w:val="24"/>
        </w:rPr>
        <w:t xml:space="preserve"> </w:t>
      </w:r>
      <w:r w:rsidR="008A399A" w:rsidRPr="002C6F16">
        <w:rPr>
          <w:rFonts w:ascii="Times New Roman" w:eastAsia="Times New Roman" w:hAnsi="Times New Roman" w:cs="Times New Roman"/>
          <w:color w:val="000000" w:themeColor="text1"/>
          <w:sz w:val="24"/>
          <w:szCs w:val="24"/>
        </w:rPr>
        <w:t xml:space="preserve">On June 12, 2025, </w:t>
      </w:r>
      <w:r w:rsidR="008A399A" w:rsidRPr="002C6F16">
        <w:rPr>
          <w:rFonts w:ascii="Times New Roman" w:eastAsia="Calibri" w:hAnsi="Times New Roman" w:cs="Times New Roman"/>
          <w:bCs/>
          <w:sz w:val="24"/>
          <w:szCs w:val="24"/>
        </w:rPr>
        <w:t xml:space="preserve">Georgia Interfaith Power &amp; Light filed the Direct Testimony of Justin Barnes, </w:t>
      </w:r>
      <w:r w:rsidR="007F535A" w:rsidRPr="002C6F16">
        <w:rPr>
          <w:rFonts w:ascii="Times New Roman" w:eastAsia="Calibri" w:hAnsi="Times New Roman" w:cs="Times New Roman"/>
          <w:bCs/>
          <w:sz w:val="24"/>
          <w:szCs w:val="24"/>
        </w:rPr>
        <w:t>Sierra Club, SACE, and NRDC file the Direct Testimony of John D. Wilson, and Walmart filed the Direct Testimony of Steven W. Chriss.</w:t>
      </w:r>
      <w:r w:rsidR="008A399A" w:rsidRPr="002C6F16">
        <w:rPr>
          <w:rFonts w:ascii="Times New Roman" w:eastAsia="Times New Roman" w:hAnsi="Times New Roman" w:cs="Times New Roman"/>
          <w:color w:val="000000" w:themeColor="text1"/>
          <w:sz w:val="24"/>
          <w:szCs w:val="24"/>
        </w:rPr>
        <w:t xml:space="preserve"> </w:t>
      </w:r>
      <w:r w:rsidR="004F51EB" w:rsidRPr="002C6F16">
        <w:rPr>
          <w:rFonts w:ascii="Times New Roman" w:eastAsia="Times New Roman" w:hAnsi="Times New Roman" w:cs="Times New Roman"/>
          <w:color w:val="000000" w:themeColor="text1"/>
          <w:sz w:val="24"/>
          <w:szCs w:val="24"/>
        </w:rPr>
        <w:t xml:space="preserve">The Rebuttal Testimony of Abramovitz and Berrigan in Support of the Stipulation to Extend the ARP was filed on </w:t>
      </w:r>
      <w:r w:rsidR="00B63DAB" w:rsidRPr="002C6F16">
        <w:rPr>
          <w:rFonts w:ascii="Times New Roman" w:eastAsia="Times New Roman" w:hAnsi="Times New Roman" w:cs="Times New Roman"/>
          <w:color w:val="000000" w:themeColor="text1"/>
          <w:sz w:val="24"/>
          <w:szCs w:val="24"/>
        </w:rPr>
        <w:t>June</w:t>
      </w:r>
      <w:r w:rsidR="004F51EB" w:rsidRPr="002C6F16">
        <w:rPr>
          <w:rFonts w:ascii="Times New Roman" w:eastAsia="Times New Roman" w:hAnsi="Times New Roman" w:cs="Times New Roman"/>
          <w:color w:val="000000" w:themeColor="text1"/>
          <w:sz w:val="24"/>
          <w:szCs w:val="24"/>
        </w:rPr>
        <w:t xml:space="preserve"> 20, 2025.</w:t>
      </w:r>
      <w:r w:rsidR="006E3493" w:rsidRPr="002C6F16">
        <w:rPr>
          <w:rFonts w:ascii="Times New Roman" w:eastAsia="Times New Roman" w:hAnsi="Times New Roman" w:cs="Times New Roman"/>
          <w:color w:val="000000" w:themeColor="text1"/>
          <w:sz w:val="24"/>
          <w:szCs w:val="24"/>
        </w:rPr>
        <w:t xml:space="preserve"> </w:t>
      </w:r>
    </w:p>
    <w:p w14:paraId="60FD81D3" w14:textId="7B5C1E51" w:rsidR="00A83043" w:rsidRPr="002C6F16" w:rsidRDefault="007F535A" w:rsidP="00D0673B">
      <w:pPr>
        <w:spacing w:after="240" w:line="240" w:lineRule="auto"/>
        <w:ind w:firstLine="720"/>
        <w:jc w:val="both"/>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 xml:space="preserve">The hearing was held on June 26, 2025.  On </w:t>
      </w:r>
      <w:r w:rsidR="00A83043" w:rsidRPr="002C6F16">
        <w:rPr>
          <w:rFonts w:ascii="Times New Roman" w:eastAsia="Times New Roman" w:hAnsi="Times New Roman" w:cs="Times New Roman"/>
          <w:color w:val="000000" w:themeColor="text1"/>
          <w:sz w:val="24"/>
          <w:szCs w:val="24"/>
        </w:rPr>
        <w:t xml:space="preserve">June 30, 2025, </w:t>
      </w:r>
      <w:r w:rsidR="00A83043" w:rsidRPr="002C6F16">
        <w:rPr>
          <w:rFonts w:ascii="Times New Roman" w:eastAsia="Calibri" w:hAnsi="Times New Roman" w:cs="Times New Roman"/>
          <w:sz w:val="24"/>
          <w:szCs w:val="24"/>
        </w:rPr>
        <w:t>Georgia Wand Education Fund filed a Motion to Extend the Commission’s Procedural Schedule.</w:t>
      </w:r>
    </w:p>
    <w:p w14:paraId="170B2668" w14:textId="2E502828" w:rsidR="00B346A6" w:rsidRPr="002C6F16" w:rsidRDefault="00D0673B" w:rsidP="00D0673B">
      <w:pPr>
        <w:spacing w:after="120" w:line="240" w:lineRule="auto"/>
        <w:jc w:val="both"/>
        <w:rPr>
          <w:rFonts w:ascii="Times New Roman" w:eastAsia="Times New Roman" w:hAnsi="Times New Roman" w:cs="Times New Roman"/>
          <w:b/>
          <w:bCs/>
          <w:color w:val="000000" w:themeColor="text1"/>
          <w:sz w:val="24"/>
          <w:szCs w:val="24"/>
          <w:u w:val="single"/>
        </w:rPr>
      </w:pPr>
      <w:r>
        <w:rPr>
          <w:rFonts w:ascii="Times New Roman" w:eastAsia="Times New Roman" w:hAnsi="Times New Roman" w:cs="Times New Roman"/>
          <w:b/>
          <w:bCs/>
          <w:sz w:val="24"/>
          <w:szCs w:val="24"/>
          <w:u w:val="single"/>
        </w:rPr>
        <w:t>I</w:t>
      </w:r>
      <w:r w:rsidR="60DA2696" w:rsidRPr="002C6F16">
        <w:rPr>
          <w:rFonts w:ascii="Times New Roman" w:eastAsia="Times New Roman" w:hAnsi="Times New Roman" w:cs="Times New Roman"/>
          <w:b/>
          <w:bCs/>
          <w:sz w:val="24"/>
          <w:szCs w:val="24"/>
          <w:u w:val="single"/>
        </w:rPr>
        <w:t>I.</w:t>
      </w:r>
      <w:r w:rsidR="00AF1C73" w:rsidRPr="002C6F16">
        <w:rPr>
          <w:rFonts w:ascii="Times New Roman" w:hAnsi="Times New Roman" w:cs="Times New Roman"/>
          <w:sz w:val="24"/>
          <w:szCs w:val="24"/>
        </w:rPr>
        <w:tab/>
      </w:r>
      <w:r w:rsidR="60DA2696" w:rsidRPr="002C6F16">
        <w:rPr>
          <w:rFonts w:ascii="Times New Roman" w:eastAsia="Times New Roman" w:hAnsi="Times New Roman" w:cs="Times New Roman"/>
          <w:b/>
          <w:bCs/>
          <w:color w:val="000000" w:themeColor="text1"/>
          <w:sz w:val="24"/>
          <w:szCs w:val="24"/>
          <w:u w:val="single"/>
        </w:rPr>
        <w:t>L</w:t>
      </w:r>
      <w:r w:rsidR="10AC5A4D" w:rsidRPr="002C6F16">
        <w:rPr>
          <w:rFonts w:ascii="Times New Roman" w:eastAsia="Times New Roman" w:hAnsi="Times New Roman" w:cs="Times New Roman"/>
          <w:b/>
          <w:bCs/>
          <w:color w:val="000000" w:themeColor="text1"/>
          <w:sz w:val="24"/>
          <w:szCs w:val="24"/>
          <w:u w:val="single"/>
        </w:rPr>
        <w:t>EGAL AUTHORITY AND JURISDICTION</w:t>
      </w:r>
    </w:p>
    <w:p w14:paraId="55F0779F" w14:textId="5AF217F0" w:rsidR="004E38F0" w:rsidRPr="002C6F16" w:rsidRDefault="00D0673B" w:rsidP="00055F4A">
      <w:pPr>
        <w:pStyle w:val="BodyText"/>
        <w:tabs>
          <w:tab w:val="left" w:pos="-2070"/>
          <w:tab w:val="left" w:pos="-1800"/>
        </w:tabs>
        <w:spacing w:after="240"/>
        <w:jc w:val="both"/>
        <w:rPr>
          <w:strike/>
          <w:szCs w:val="24"/>
        </w:rPr>
      </w:pPr>
      <w:r>
        <w:rPr>
          <w:color w:val="000000" w:themeColor="text1"/>
          <w:szCs w:val="24"/>
        </w:rPr>
        <w:tab/>
      </w:r>
      <w:r w:rsidR="145B1E7E" w:rsidRPr="002C6F16">
        <w:rPr>
          <w:color w:val="000000" w:themeColor="text1"/>
          <w:szCs w:val="24"/>
        </w:rPr>
        <w:t xml:space="preserve">The Commission has general supervisory authority over electric utilities.  O.C.G.A. § 46-2-20 and 21.  The Commission has the exclusive power to determine </w:t>
      </w:r>
      <w:proofErr w:type="gramStart"/>
      <w:r w:rsidR="38086495" w:rsidRPr="002C6F16">
        <w:rPr>
          <w:color w:val="000000" w:themeColor="text1"/>
          <w:szCs w:val="24"/>
        </w:rPr>
        <w:t>just</w:t>
      </w:r>
      <w:proofErr w:type="gramEnd"/>
      <w:r w:rsidR="145B1E7E" w:rsidRPr="002C6F16">
        <w:rPr>
          <w:color w:val="000000" w:themeColor="text1"/>
          <w:szCs w:val="24"/>
        </w:rPr>
        <w:t xml:space="preserve"> and reasonable rates and charges made by Georgia Power Company</w:t>
      </w:r>
      <w:proofErr w:type="gramStart"/>
      <w:r w:rsidR="145B1E7E" w:rsidRPr="002C6F16">
        <w:rPr>
          <w:color w:val="000000" w:themeColor="text1"/>
          <w:szCs w:val="24"/>
        </w:rPr>
        <w:t xml:space="preserve">.  </w:t>
      </w:r>
      <w:proofErr w:type="gramEnd"/>
      <w:r w:rsidR="145B1E7E" w:rsidRPr="002C6F16">
        <w:rPr>
          <w:color w:val="000000" w:themeColor="text1"/>
          <w:szCs w:val="24"/>
        </w:rPr>
        <w:t>O.C.G.A. § 46-2-23(a).  Unless the Commission has otherwise authorized the change, Georgia Power Company must provide thirty (30) days</w:t>
      </w:r>
      <w:r w:rsidR="00CD47E1" w:rsidRPr="002C6F16">
        <w:rPr>
          <w:color w:val="000000" w:themeColor="text1"/>
          <w:szCs w:val="24"/>
        </w:rPr>
        <w:t>’</w:t>
      </w:r>
      <w:r w:rsidR="145B1E7E" w:rsidRPr="002C6F16">
        <w:rPr>
          <w:color w:val="000000" w:themeColor="text1"/>
          <w:szCs w:val="24"/>
        </w:rPr>
        <w:t xml:space="preserve"> notice to the Commission and to the public of any proposed change to any rate, charge, classification, or service subject to the jurisdiction of the Commission.  O.C.G.A. § 46-2-25(a).  The Commission is authorized to suspend the operation of any new schedule and defer the use of such rate, charge, classification, or service for a period not to exceed five months.  </w:t>
      </w:r>
      <w:r w:rsidR="004E38F0" w:rsidRPr="002C6F16">
        <w:rPr>
          <w:szCs w:val="24"/>
        </w:rPr>
        <w:t>The Commission is authorized to resolve matters by stipulation pursuant to O.C.G.A. § 50-13-13(a)(4).</w:t>
      </w:r>
    </w:p>
    <w:p w14:paraId="47D14B29" w14:textId="3C5DB609" w:rsidR="00DD1CE0" w:rsidRPr="002C6F16" w:rsidRDefault="0B16BD44" w:rsidP="00D15746">
      <w:pPr>
        <w:tabs>
          <w:tab w:val="left" w:pos="0"/>
        </w:tabs>
        <w:spacing w:before="240" w:after="240" w:line="240" w:lineRule="auto"/>
        <w:jc w:val="both"/>
        <w:rPr>
          <w:rFonts w:ascii="Times New Roman" w:eastAsia="Times New Roman" w:hAnsi="Times New Roman" w:cs="Times New Roman"/>
          <w:b/>
          <w:bCs/>
          <w:sz w:val="24"/>
          <w:szCs w:val="24"/>
          <w:u w:val="single"/>
        </w:rPr>
      </w:pPr>
      <w:r w:rsidRPr="002C6F16">
        <w:rPr>
          <w:rFonts w:ascii="Times New Roman" w:eastAsia="Times New Roman" w:hAnsi="Times New Roman" w:cs="Times New Roman"/>
          <w:b/>
          <w:bCs/>
          <w:sz w:val="24"/>
          <w:szCs w:val="24"/>
          <w:u w:val="single"/>
        </w:rPr>
        <w:t>II</w:t>
      </w:r>
      <w:r w:rsidR="60AAD425" w:rsidRPr="002C6F16">
        <w:rPr>
          <w:rFonts w:ascii="Times New Roman" w:eastAsia="Times New Roman" w:hAnsi="Times New Roman" w:cs="Times New Roman"/>
          <w:b/>
          <w:bCs/>
          <w:sz w:val="24"/>
          <w:szCs w:val="24"/>
          <w:u w:val="single"/>
        </w:rPr>
        <w:t>I</w:t>
      </w:r>
      <w:r w:rsidRPr="002C6F16">
        <w:rPr>
          <w:rFonts w:ascii="Times New Roman" w:eastAsia="Times New Roman" w:hAnsi="Times New Roman" w:cs="Times New Roman"/>
          <w:b/>
          <w:bCs/>
          <w:sz w:val="24"/>
          <w:szCs w:val="24"/>
          <w:u w:val="single"/>
        </w:rPr>
        <w:t>.</w:t>
      </w:r>
      <w:r w:rsidR="00AF1C73" w:rsidRPr="002C6F16">
        <w:rPr>
          <w:rFonts w:ascii="Times New Roman" w:hAnsi="Times New Roman" w:cs="Times New Roman"/>
          <w:sz w:val="24"/>
          <w:szCs w:val="24"/>
        </w:rPr>
        <w:tab/>
      </w:r>
      <w:r w:rsidRPr="002C6F16">
        <w:rPr>
          <w:rFonts w:ascii="Times New Roman" w:eastAsia="Times New Roman" w:hAnsi="Times New Roman" w:cs="Times New Roman"/>
          <w:b/>
          <w:bCs/>
          <w:sz w:val="24"/>
          <w:szCs w:val="24"/>
          <w:u w:val="single"/>
        </w:rPr>
        <w:t>COMMISSION ACTION</w:t>
      </w:r>
    </w:p>
    <w:p w14:paraId="5A8C9E86" w14:textId="00F3EBBB" w:rsidR="00225E65" w:rsidRPr="002C6F16" w:rsidRDefault="007F535A" w:rsidP="002C6F16">
      <w:pPr>
        <w:pStyle w:val="ListParagraph"/>
        <w:numPr>
          <w:ilvl w:val="0"/>
          <w:numId w:val="19"/>
        </w:numPr>
        <w:spacing w:after="120"/>
        <w:jc w:val="both"/>
        <w:rPr>
          <w:rFonts w:ascii="Times New Roman" w:eastAsia="Times New Roman" w:hAnsi="Times New Roman" w:cs="Times New Roman"/>
          <w:b/>
          <w:bCs/>
          <w:i/>
          <w:iCs/>
          <w:color w:val="000000" w:themeColor="text1"/>
          <w:sz w:val="24"/>
          <w:szCs w:val="24"/>
        </w:rPr>
      </w:pPr>
      <w:r w:rsidRPr="002C6F16">
        <w:rPr>
          <w:rFonts w:ascii="Times New Roman" w:eastAsia="Times New Roman" w:hAnsi="Times New Roman" w:cs="Times New Roman"/>
          <w:b/>
          <w:bCs/>
          <w:i/>
          <w:iCs/>
          <w:color w:val="000000" w:themeColor="text1"/>
          <w:sz w:val="24"/>
          <w:szCs w:val="24"/>
        </w:rPr>
        <w:t>Demand for Recusal.</w:t>
      </w:r>
    </w:p>
    <w:p w14:paraId="1A6847E3" w14:textId="29A3EBC8" w:rsidR="006E3448" w:rsidRPr="002C6F16" w:rsidRDefault="00225E65" w:rsidP="006E3448">
      <w:pPr>
        <w:spacing w:after="120" w:line="240" w:lineRule="auto"/>
        <w:ind w:firstLine="720"/>
        <w:jc w:val="both"/>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 xml:space="preserve">On June 6, 2025, Georgian </w:t>
      </w:r>
      <w:r w:rsidR="008A399A" w:rsidRPr="002C6F16">
        <w:rPr>
          <w:rFonts w:ascii="Times New Roman" w:eastAsia="Times New Roman" w:hAnsi="Times New Roman" w:cs="Times New Roman"/>
          <w:color w:val="000000" w:themeColor="text1"/>
          <w:sz w:val="24"/>
          <w:szCs w:val="24"/>
        </w:rPr>
        <w:t>Wand Education Fund and Georgia Conservation Education Fund</w:t>
      </w:r>
      <w:r w:rsidRPr="002C6F16">
        <w:rPr>
          <w:rFonts w:ascii="Times New Roman" w:eastAsia="Times New Roman" w:hAnsi="Times New Roman" w:cs="Times New Roman"/>
          <w:color w:val="000000" w:themeColor="text1"/>
          <w:sz w:val="24"/>
          <w:szCs w:val="24"/>
        </w:rPr>
        <w:t xml:space="preserve"> filed a Formal Complaint and Demand for Recusal of Commissioners Speaking Publicly in Support of Georgia Power's 3-Year Rate Freeze (“Demand”). </w:t>
      </w:r>
      <w:r w:rsidR="007A02D6" w:rsidRPr="002C6F16">
        <w:rPr>
          <w:rFonts w:ascii="Times New Roman" w:eastAsia="Times New Roman" w:hAnsi="Times New Roman" w:cs="Times New Roman"/>
          <w:color w:val="000000" w:themeColor="text1"/>
          <w:sz w:val="24"/>
          <w:szCs w:val="24"/>
        </w:rPr>
        <w:t xml:space="preserve"> </w:t>
      </w:r>
    </w:p>
    <w:p w14:paraId="5F53E6C0" w14:textId="6731DF0B" w:rsidR="004E38F0" w:rsidRPr="002C6F16" w:rsidRDefault="00225E65" w:rsidP="00225E65">
      <w:pPr>
        <w:spacing w:after="120" w:line="240" w:lineRule="auto"/>
        <w:ind w:firstLine="720"/>
        <w:jc w:val="both"/>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 xml:space="preserve">The Demand alleged that the named Commissioners violated </w:t>
      </w:r>
      <w:bookmarkStart w:id="1" w:name="_Hlk203656300"/>
      <w:r w:rsidRPr="002C6F16">
        <w:rPr>
          <w:rFonts w:ascii="Times New Roman" w:eastAsia="Times New Roman" w:hAnsi="Times New Roman" w:cs="Times New Roman"/>
          <w:color w:val="000000" w:themeColor="text1"/>
          <w:sz w:val="24"/>
          <w:szCs w:val="24"/>
        </w:rPr>
        <w:t>Rule 515-2-1-.01</w:t>
      </w:r>
      <w:bookmarkEnd w:id="1"/>
      <w:r w:rsidRPr="002C6F16">
        <w:rPr>
          <w:rFonts w:ascii="Times New Roman" w:eastAsia="Times New Roman" w:hAnsi="Times New Roman" w:cs="Times New Roman"/>
          <w:color w:val="000000" w:themeColor="text1"/>
          <w:sz w:val="24"/>
          <w:szCs w:val="24"/>
        </w:rPr>
        <w:t>, which</w:t>
      </w:r>
      <w:r w:rsidR="00A83043" w:rsidRPr="002C6F16">
        <w:rPr>
          <w:rFonts w:ascii="Times New Roman" w:eastAsia="Times New Roman" w:hAnsi="Times New Roman" w:cs="Times New Roman"/>
          <w:color w:val="000000" w:themeColor="text1"/>
          <w:sz w:val="24"/>
          <w:szCs w:val="24"/>
        </w:rPr>
        <w:t xml:space="preserve"> provides that a Commissioner shall “reserve his opinion and in no way commit himself in advance touching the merits of any matter or question to be passed upon by the Commission or that should be dealt with by it, until the facts and evidence are all submitted and the Commission considers the same in administrative session.”</w:t>
      </w:r>
      <w:r w:rsidR="00F46B9C" w:rsidRPr="002C6F16">
        <w:rPr>
          <w:rFonts w:ascii="Times New Roman" w:eastAsia="Times New Roman" w:hAnsi="Times New Roman" w:cs="Times New Roman"/>
          <w:color w:val="000000" w:themeColor="text1"/>
          <w:sz w:val="24"/>
          <w:szCs w:val="24"/>
        </w:rPr>
        <w:t xml:space="preserve"> </w:t>
      </w:r>
      <w:r w:rsidR="007A02D6" w:rsidRPr="002C6F16">
        <w:rPr>
          <w:rFonts w:ascii="Times New Roman" w:eastAsia="Times New Roman" w:hAnsi="Times New Roman" w:cs="Times New Roman"/>
          <w:color w:val="000000" w:themeColor="text1"/>
          <w:sz w:val="24"/>
          <w:szCs w:val="24"/>
        </w:rPr>
        <w:t xml:space="preserve"> </w:t>
      </w:r>
      <w:r w:rsidR="00991280" w:rsidRPr="002C6F16">
        <w:rPr>
          <w:rFonts w:ascii="Times New Roman" w:eastAsia="Times New Roman" w:hAnsi="Times New Roman" w:cs="Times New Roman"/>
          <w:color w:val="000000" w:themeColor="text1"/>
          <w:sz w:val="24"/>
          <w:szCs w:val="24"/>
        </w:rPr>
        <w:t xml:space="preserve">The </w:t>
      </w:r>
      <w:r w:rsidR="00F46B9C" w:rsidRPr="002C6F16">
        <w:rPr>
          <w:rFonts w:ascii="Times New Roman" w:eastAsia="Times New Roman" w:hAnsi="Times New Roman" w:cs="Times New Roman"/>
          <w:color w:val="000000" w:themeColor="text1"/>
          <w:sz w:val="24"/>
          <w:szCs w:val="24"/>
        </w:rPr>
        <w:t xml:space="preserve">Commission will, according to the Rule, hold </w:t>
      </w:r>
      <w:r w:rsidR="00991280" w:rsidRPr="002C6F16">
        <w:rPr>
          <w:rFonts w:ascii="Times New Roman" w:eastAsia="Times New Roman" w:hAnsi="Times New Roman" w:cs="Times New Roman"/>
          <w:color w:val="000000" w:themeColor="text1"/>
          <w:sz w:val="24"/>
          <w:szCs w:val="24"/>
        </w:rPr>
        <w:t>no</w:t>
      </w:r>
      <w:r w:rsidR="00F46B9C" w:rsidRPr="002C6F16">
        <w:rPr>
          <w:rFonts w:ascii="Times New Roman" w:eastAsia="Times New Roman" w:hAnsi="Times New Roman" w:cs="Times New Roman"/>
          <w:color w:val="000000" w:themeColor="text1"/>
          <w:sz w:val="24"/>
          <w:szCs w:val="24"/>
        </w:rPr>
        <w:t xml:space="preserve"> “presumption in favor of the position of any party</w:t>
      </w:r>
      <w:r w:rsidR="00991280" w:rsidRPr="002C6F16">
        <w:rPr>
          <w:rFonts w:ascii="Times New Roman" w:eastAsia="Times New Roman" w:hAnsi="Times New Roman" w:cs="Times New Roman"/>
          <w:color w:val="000000" w:themeColor="text1"/>
          <w:sz w:val="24"/>
          <w:szCs w:val="24"/>
        </w:rPr>
        <w:t>.</w:t>
      </w:r>
      <w:r w:rsidR="00F46B9C" w:rsidRPr="002C6F16">
        <w:rPr>
          <w:rFonts w:ascii="Times New Roman" w:eastAsia="Times New Roman" w:hAnsi="Times New Roman" w:cs="Times New Roman"/>
          <w:color w:val="000000" w:themeColor="text1"/>
          <w:sz w:val="24"/>
          <w:szCs w:val="24"/>
        </w:rPr>
        <w:t>”</w:t>
      </w:r>
      <w:r w:rsidR="004E38F0" w:rsidRPr="002C6F16">
        <w:rPr>
          <w:rFonts w:ascii="Times New Roman" w:eastAsia="Times New Roman" w:hAnsi="Times New Roman" w:cs="Times New Roman"/>
          <w:color w:val="000000" w:themeColor="text1"/>
          <w:sz w:val="24"/>
          <w:szCs w:val="24"/>
        </w:rPr>
        <w:t xml:space="preserve"> </w:t>
      </w:r>
    </w:p>
    <w:p w14:paraId="238949D9" w14:textId="148D4069" w:rsidR="00721967" w:rsidRPr="002C6F16" w:rsidRDefault="004E38F0" w:rsidP="00225E65">
      <w:pPr>
        <w:spacing w:after="120" w:line="240" w:lineRule="auto"/>
        <w:ind w:firstLine="720"/>
        <w:jc w:val="both"/>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lastRenderedPageBreak/>
        <w:t>The Demand asserted</w:t>
      </w:r>
      <w:r w:rsidR="007A02D6" w:rsidRPr="002C6F16">
        <w:rPr>
          <w:rFonts w:ascii="Times New Roman" w:eastAsia="Times New Roman" w:hAnsi="Times New Roman" w:cs="Times New Roman"/>
          <w:color w:val="000000" w:themeColor="text1"/>
          <w:sz w:val="24"/>
          <w:szCs w:val="24"/>
        </w:rPr>
        <w:t xml:space="preserve"> </w:t>
      </w:r>
      <w:r w:rsidRPr="002C6F16">
        <w:rPr>
          <w:rFonts w:ascii="Times New Roman" w:eastAsia="Times New Roman" w:hAnsi="Times New Roman" w:cs="Times New Roman"/>
          <w:color w:val="000000" w:themeColor="text1"/>
          <w:sz w:val="24"/>
          <w:szCs w:val="24"/>
        </w:rPr>
        <w:t>that o</w:t>
      </w:r>
      <w:r w:rsidR="00F46B9C" w:rsidRPr="002C6F16">
        <w:rPr>
          <w:rFonts w:ascii="Times New Roman" w:eastAsia="Times New Roman" w:hAnsi="Times New Roman" w:cs="Times New Roman"/>
          <w:color w:val="000000" w:themeColor="text1"/>
          <w:sz w:val="24"/>
          <w:szCs w:val="24"/>
        </w:rPr>
        <w:t>n May 21, 2025, Commissioners McDonald and Shaw attended</w:t>
      </w:r>
      <w:r w:rsidR="003225F2" w:rsidRPr="002C6F16">
        <w:rPr>
          <w:rFonts w:ascii="Times New Roman" w:eastAsia="Times New Roman" w:hAnsi="Times New Roman" w:cs="Times New Roman"/>
          <w:color w:val="000000" w:themeColor="text1"/>
          <w:sz w:val="24"/>
          <w:szCs w:val="24"/>
        </w:rPr>
        <w:t xml:space="preserve"> a press conference by</w:t>
      </w:r>
      <w:r w:rsidR="00F46B9C" w:rsidRPr="002C6F16">
        <w:rPr>
          <w:rFonts w:ascii="Times New Roman" w:eastAsia="Times New Roman" w:hAnsi="Times New Roman" w:cs="Times New Roman"/>
          <w:color w:val="000000" w:themeColor="text1"/>
          <w:sz w:val="24"/>
          <w:szCs w:val="24"/>
        </w:rPr>
        <w:t xml:space="preserve"> Governor Brian Kemp, which was held in support of Georgia Power's </w:t>
      </w:r>
      <w:r w:rsidR="00283541" w:rsidRPr="002C6F16">
        <w:rPr>
          <w:rFonts w:ascii="Times New Roman" w:eastAsia="Times New Roman" w:hAnsi="Times New Roman" w:cs="Times New Roman"/>
          <w:color w:val="000000" w:themeColor="text1"/>
          <w:sz w:val="24"/>
          <w:szCs w:val="24"/>
        </w:rPr>
        <w:t xml:space="preserve">and PIA </w:t>
      </w:r>
      <w:proofErr w:type="gramStart"/>
      <w:r w:rsidR="00283541" w:rsidRPr="002C6F16">
        <w:rPr>
          <w:rFonts w:ascii="Times New Roman" w:eastAsia="Times New Roman" w:hAnsi="Times New Roman" w:cs="Times New Roman"/>
          <w:color w:val="000000" w:themeColor="text1"/>
          <w:sz w:val="24"/>
          <w:szCs w:val="24"/>
        </w:rPr>
        <w:t>Staff’s</w:t>
      </w:r>
      <w:proofErr w:type="gramEnd"/>
      <w:r w:rsidR="00283541" w:rsidRPr="002C6F16">
        <w:rPr>
          <w:rFonts w:ascii="Times New Roman" w:eastAsia="Times New Roman" w:hAnsi="Times New Roman" w:cs="Times New Roman"/>
          <w:color w:val="000000" w:themeColor="text1"/>
          <w:sz w:val="24"/>
          <w:szCs w:val="24"/>
        </w:rPr>
        <w:t xml:space="preserve"> </w:t>
      </w:r>
      <w:r w:rsidR="00F46B9C" w:rsidRPr="002C6F16">
        <w:rPr>
          <w:rFonts w:ascii="Times New Roman" w:eastAsia="Times New Roman" w:hAnsi="Times New Roman" w:cs="Times New Roman"/>
          <w:color w:val="000000" w:themeColor="text1"/>
          <w:sz w:val="24"/>
          <w:szCs w:val="24"/>
        </w:rPr>
        <w:t>proposed three-year base rate freeze</w:t>
      </w:r>
      <w:proofErr w:type="gramStart"/>
      <w:r w:rsidR="00F46B9C" w:rsidRPr="002C6F16">
        <w:rPr>
          <w:rFonts w:ascii="Times New Roman" w:eastAsia="Times New Roman" w:hAnsi="Times New Roman" w:cs="Times New Roman"/>
          <w:color w:val="000000" w:themeColor="text1"/>
          <w:sz w:val="24"/>
          <w:szCs w:val="24"/>
        </w:rPr>
        <w:t>.</w:t>
      </w:r>
      <w:r w:rsidR="007A02D6" w:rsidRPr="002C6F16">
        <w:rPr>
          <w:rFonts w:ascii="Times New Roman" w:eastAsia="Times New Roman" w:hAnsi="Times New Roman" w:cs="Times New Roman"/>
          <w:color w:val="000000" w:themeColor="text1"/>
          <w:sz w:val="24"/>
          <w:szCs w:val="24"/>
        </w:rPr>
        <w:t xml:space="preserve"> </w:t>
      </w:r>
      <w:r w:rsidR="00F46B9C" w:rsidRPr="002C6F16">
        <w:rPr>
          <w:rFonts w:ascii="Times New Roman" w:eastAsia="Times New Roman" w:hAnsi="Times New Roman" w:cs="Times New Roman"/>
          <w:color w:val="000000" w:themeColor="text1"/>
          <w:sz w:val="24"/>
          <w:szCs w:val="24"/>
        </w:rPr>
        <w:t xml:space="preserve"> </w:t>
      </w:r>
      <w:proofErr w:type="gramEnd"/>
      <w:r w:rsidR="00F46B9C" w:rsidRPr="002C6F16">
        <w:rPr>
          <w:rFonts w:ascii="Times New Roman" w:eastAsia="Times New Roman" w:hAnsi="Times New Roman" w:cs="Times New Roman"/>
          <w:color w:val="000000" w:themeColor="text1"/>
          <w:sz w:val="24"/>
          <w:szCs w:val="24"/>
        </w:rPr>
        <w:t xml:space="preserve">There, Chairman Shaw stated that </w:t>
      </w:r>
      <w:r w:rsidR="00437D57">
        <w:rPr>
          <w:rFonts w:ascii="Times New Roman" w:eastAsia="Times New Roman" w:hAnsi="Times New Roman" w:cs="Times New Roman"/>
          <w:color w:val="000000" w:themeColor="text1"/>
          <w:sz w:val="24"/>
          <w:szCs w:val="24"/>
        </w:rPr>
        <w:t>“</w:t>
      </w:r>
      <w:r w:rsidR="00EF5682" w:rsidRPr="002C6F16">
        <w:rPr>
          <w:rFonts w:ascii="Times New Roman" w:eastAsia="Times New Roman" w:hAnsi="Times New Roman" w:cs="Times New Roman"/>
          <w:color w:val="000000" w:themeColor="text1"/>
          <w:sz w:val="24"/>
          <w:szCs w:val="24"/>
        </w:rPr>
        <w:t xml:space="preserve">to freeze rates for three years is a very big deal for our state, and </w:t>
      </w:r>
      <w:r w:rsidR="00F46B9C" w:rsidRPr="002C6F16">
        <w:rPr>
          <w:rFonts w:ascii="Times New Roman" w:eastAsia="Times New Roman" w:hAnsi="Times New Roman" w:cs="Times New Roman"/>
          <w:color w:val="000000" w:themeColor="text1"/>
          <w:sz w:val="24"/>
          <w:szCs w:val="24"/>
        </w:rPr>
        <w:t>good for Georgians</w:t>
      </w:r>
      <w:r w:rsidR="00437D57">
        <w:rPr>
          <w:rFonts w:ascii="Times New Roman" w:eastAsia="Times New Roman" w:hAnsi="Times New Roman" w:cs="Times New Roman"/>
          <w:color w:val="000000" w:themeColor="text1"/>
          <w:sz w:val="24"/>
          <w:szCs w:val="24"/>
        </w:rPr>
        <w:t>.</w:t>
      </w:r>
      <w:r w:rsidR="00F46B9C" w:rsidRPr="002C6F16">
        <w:rPr>
          <w:rFonts w:ascii="Times New Roman" w:eastAsia="Times New Roman" w:hAnsi="Times New Roman" w:cs="Times New Roman"/>
          <w:color w:val="000000" w:themeColor="text1"/>
          <w:sz w:val="24"/>
          <w:szCs w:val="24"/>
        </w:rPr>
        <w:t>”</w:t>
      </w:r>
      <w:r w:rsidR="00674F1F" w:rsidRPr="002C6F16">
        <w:rPr>
          <w:rFonts w:ascii="Times New Roman" w:eastAsia="Times New Roman" w:hAnsi="Times New Roman" w:cs="Times New Roman"/>
          <w:color w:val="000000" w:themeColor="text1"/>
          <w:sz w:val="24"/>
          <w:szCs w:val="24"/>
        </w:rPr>
        <w:t xml:space="preserve"> There is no allegation, however, that Chairman Shaw stated that he would vote to adopt the proposed Stipulation.</w:t>
      </w:r>
      <w:r w:rsidR="00F46B9C" w:rsidRPr="002C6F16">
        <w:rPr>
          <w:rFonts w:ascii="Times New Roman" w:eastAsia="Times New Roman" w:hAnsi="Times New Roman" w:cs="Times New Roman"/>
          <w:color w:val="000000" w:themeColor="text1"/>
          <w:sz w:val="24"/>
          <w:szCs w:val="24"/>
        </w:rPr>
        <w:t xml:space="preserve"> </w:t>
      </w:r>
      <w:r w:rsidR="00721967" w:rsidRPr="002C6F16">
        <w:rPr>
          <w:rFonts w:ascii="Times New Roman" w:eastAsia="Times New Roman" w:hAnsi="Times New Roman" w:cs="Times New Roman"/>
          <w:color w:val="000000" w:themeColor="text1"/>
          <w:sz w:val="24"/>
          <w:szCs w:val="24"/>
        </w:rPr>
        <w:t xml:space="preserve">The Demand does not assert that </w:t>
      </w:r>
      <w:r w:rsidR="00C30160" w:rsidRPr="002C6F16">
        <w:rPr>
          <w:rFonts w:ascii="Times New Roman" w:eastAsia="Times New Roman" w:hAnsi="Times New Roman" w:cs="Times New Roman"/>
          <w:color w:val="000000" w:themeColor="text1"/>
          <w:sz w:val="24"/>
          <w:szCs w:val="24"/>
        </w:rPr>
        <w:t xml:space="preserve">Commissioner McDonald made </w:t>
      </w:r>
      <w:r w:rsidR="00721967" w:rsidRPr="002C6F16">
        <w:rPr>
          <w:rFonts w:ascii="Times New Roman" w:eastAsia="Times New Roman" w:hAnsi="Times New Roman" w:cs="Times New Roman"/>
          <w:color w:val="000000" w:themeColor="text1"/>
          <w:sz w:val="24"/>
          <w:szCs w:val="24"/>
        </w:rPr>
        <w:t>any</w:t>
      </w:r>
      <w:r w:rsidR="00C30160" w:rsidRPr="002C6F16">
        <w:rPr>
          <w:rFonts w:ascii="Times New Roman" w:eastAsia="Times New Roman" w:hAnsi="Times New Roman" w:cs="Times New Roman"/>
          <w:color w:val="000000" w:themeColor="text1"/>
          <w:sz w:val="24"/>
          <w:szCs w:val="24"/>
        </w:rPr>
        <w:t xml:space="preserve"> comment</w:t>
      </w:r>
      <w:r w:rsidR="00721967" w:rsidRPr="002C6F16">
        <w:rPr>
          <w:rFonts w:ascii="Times New Roman" w:eastAsia="Times New Roman" w:hAnsi="Times New Roman" w:cs="Times New Roman"/>
          <w:color w:val="000000" w:themeColor="text1"/>
          <w:sz w:val="24"/>
          <w:szCs w:val="24"/>
        </w:rPr>
        <w:t>s</w:t>
      </w:r>
      <w:r w:rsidR="00C30160" w:rsidRPr="002C6F16">
        <w:rPr>
          <w:rFonts w:ascii="Times New Roman" w:eastAsia="Times New Roman" w:hAnsi="Times New Roman" w:cs="Times New Roman"/>
          <w:color w:val="000000" w:themeColor="text1"/>
          <w:sz w:val="24"/>
          <w:szCs w:val="24"/>
        </w:rPr>
        <w:t xml:space="preserve"> </w:t>
      </w:r>
      <w:r w:rsidR="00674F1F" w:rsidRPr="002C6F16">
        <w:rPr>
          <w:rFonts w:ascii="Times New Roman" w:eastAsia="Times New Roman" w:hAnsi="Times New Roman" w:cs="Times New Roman"/>
          <w:color w:val="000000" w:themeColor="text1"/>
          <w:sz w:val="24"/>
          <w:szCs w:val="24"/>
        </w:rPr>
        <w:t xml:space="preserve">at all </w:t>
      </w:r>
      <w:r w:rsidR="00C30160" w:rsidRPr="002C6F16">
        <w:rPr>
          <w:rFonts w:ascii="Times New Roman" w:eastAsia="Times New Roman" w:hAnsi="Times New Roman" w:cs="Times New Roman"/>
          <w:color w:val="000000" w:themeColor="text1"/>
          <w:sz w:val="24"/>
          <w:szCs w:val="24"/>
        </w:rPr>
        <w:t xml:space="preserve">related </w:t>
      </w:r>
      <w:r w:rsidR="00055F4A" w:rsidRPr="002C6F16">
        <w:rPr>
          <w:rFonts w:ascii="Times New Roman" w:eastAsia="Times New Roman" w:hAnsi="Times New Roman" w:cs="Times New Roman"/>
          <w:color w:val="000000" w:themeColor="text1"/>
          <w:sz w:val="24"/>
          <w:szCs w:val="24"/>
        </w:rPr>
        <w:t>to freezing</w:t>
      </w:r>
      <w:r w:rsidR="00674F1F" w:rsidRPr="002C6F16">
        <w:rPr>
          <w:rFonts w:ascii="Times New Roman" w:eastAsia="Times New Roman" w:hAnsi="Times New Roman" w:cs="Times New Roman"/>
          <w:color w:val="000000" w:themeColor="text1"/>
          <w:sz w:val="24"/>
          <w:szCs w:val="24"/>
        </w:rPr>
        <w:t xml:space="preserve"> rates or to adopting the Stipulation</w:t>
      </w:r>
      <w:r w:rsidR="00C30160" w:rsidRPr="002C6F16">
        <w:rPr>
          <w:rFonts w:ascii="Times New Roman" w:eastAsia="Times New Roman" w:hAnsi="Times New Roman" w:cs="Times New Roman"/>
          <w:color w:val="000000" w:themeColor="text1"/>
          <w:sz w:val="24"/>
          <w:szCs w:val="24"/>
        </w:rPr>
        <w:t xml:space="preserve">. </w:t>
      </w:r>
      <w:r w:rsidR="007A02D6" w:rsidRPr="002C6F16">
        <w:rPr>
          <w:rFonts w:ascii="Times New Roman" w:eastAsia="Times New Roman" w:hAnsi="Times New Roman" w:cs="Times New Roman"/>
          <w:color w:val="000000" w:themeColor="text1"/>
          <w:sz w:val="24"/>
          <w:szCs w:val="24"/>
        </w:rPr>
        <w:t xml:space="preserve"> </w:t>
      </w:r>
      <w:r w:rsidR="00721967" w:rsidRPr="002C6F16">
        <w:rPr>
          <w:rFonts w:ascii="Times New Roman" w:eastAsia="Times New Roman" w:hAnsi="Times New Roman" w:cs="Times New Roman"/>
          <w:color w:val="000000" w:themeColor="text1"/>
          <w:sz w:val="24"/>
          <w:szCs w:val="24"/>
        </w:rPr>
        <w:t>Finally, t</w:t>
      </w:r>
      <w:r w:rsidRPr="002C6F16">
        <w:rPr>
          <w:rFonts w:ascii="Times New Roman" w:eastAsia="Times New Roman" w:hAnsi="Times New Roman" w:cs="Times New Roman"/>
          <w:color w:val="000000" w:themeColor="text1"/>
          <w:sz w:val="24"/>
          <w:szCs w:val="24"/>
        </w:rPr>
        <w:t xml:space="preserve">he Demand asserted </w:t>
      </w:r>
      <w:r w:rsidR="00055F4A" w:rsidRPr="002C6F16">
        <w:rPr>
          <w:rFonts w:ascii="Times New Roman" w:eastAsia="Times New Roman" w:hAnsi="Times New Roman" w:cs="Times New Roman"/>
          <w:color w:val="000000" w:themeColor="text1"/>
          <w:sz w:val="24"/>
          <w:szCs w:val="24"/>
        </w:rPr>
        <w:t>that Commissioner</w:t>
      </w:r>
      <w:r w:rsidR="00C30160" w:rsidRPr="002C6F16">
        <w:rPr>
          <w:rFonts w:ascii="Times New Roman" w:eastAsia="Times New Roman" w:hAnsi="Times New Roman" w:cs="Times New Roman"/>
          <w:color w:val="000000" w:themeColor="text1"/>
          <w:sz w:val="24"/>
          <w:szCs w:val="24"/>
        </w:rPr>
        <w:t xml:space="preserve"> Echols, last named in the Demand, made public comments at a separate event.</w:t>
      </w:r>
      <w:r w:rsidR="007A02D6" w:rsidRPr="002C6F16">
        <w:rPr>
          <w:rFonts w:ascii="Times New Roman" w:eastAsia="Times New Roman" w:hAnsi="Times New Roman" w:cs="Times New Roman"/>
          <w:color w:val="000000" w:themeColor="text1"/>
          <w:sz w:val="24"/>
          <w:szCs w:val="24"/>
        </w:rPr>
        <w:t xml:space="preserve"> </w:t>
      </w:r>
      <w:r w:rsidR="00C30160" w:rsidRPr="002C6F16">
        <w:rPr>
          <w:rFonts w:ascii="Times New Roman" w:eastAsia="Times New Roman" w:hAnsi="Times New Roman" w:cs="Times New Roman"/>
          <w:color w:val="000000" w:themeColor="text1"/>
          <w:sz w:val="24"/>
          <w:szCs w:val="24"/>
        </w:rPr>
        <w:t xml:space="preserve"> </w:t>
      </w:r>
      <w:r w:rsidR="00674F1F" w:rsidRPr="002C6F16">
        <w:rPr>
          <w:rFonts w:ascii="Times New Roman" w:eastAsia="Times New Roman" w:hAnsi="Times New Roman" w:cs="Times New Roman"/>
          <w:color w:val="000000" w:themeColor="text1"/>
          <w:sz w:val="24"/>
          <w:szCs w:val="24"/>
        </w:rPr>
        <w:t>Like Chairman Shaw,</w:t>
      </w:r>
      <w:r w:rsidR="00283541" w:rsidRPr="002C6F16">
        <w:rPr>
          <w:rFonts w:ascii="Times New Roman" w:eastAsia="Times New Roman" w:hAnsi="Times New Roman" w:cs="Times New Roman"/>
          <w:color w:val="000000" w:themeColor="text1"/>
          <w:sz w:val="24"/>
          <w:szCs w:val="24"/>
        </w:rPr>
        <w:t xml:space="preserve"> however,</w:t>
      </w:r>
      <w:r w:rsidR="00674F1F" w:rsidRPr="002C6F16">
        <w:rPr>
          <w:rFonts w:ascii="Times New Roman" w:eastAsia="Times New Roman" w:hAnsi="Times New Roman" w:cs="Times New Roman"/>
          <w:color w:val="000000" w:themeColor="text1"/>
          <w:sz w:val="24"/>
          <w:szCs w:val="24"/>
        </w:rPr>
        <w:t xml:space="preserve"> there is no allegation that Commissioner Echols stated that he would vote to adopt the proposed Stipulation.  </w:t>
      </w:r>
    </w:p>
    <w:p w14:paraId="5F6BBDBF" w14:textId="79F6E69B" w:rsidR="00225E65" w:rsidRPr="002C6F16" w:rsidRDefault="00C30160" w:rsidP="00225E65">
      <w:pPr>
        <w:spacing w:after="120" w:line="240" w:lineRule="auto"/>
        <w:ind w:firstLine="720"/>
        <w:jc w:val="both"/>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color w:val="000000" w:themeColor="text1"/>
          <w:sz w:val="24"/>
          <w:szCs w:val="24"/>
        </w:rPr>
        <w:t xml:space="preserve">The Demand </w:t>
      </w:r>
      <w:r w:rsidR="003225F2" w:rsidRPr="002C6F16">
        <w:rPr>
          <w:rFonts w:ascii="Times New Roman" w:eastAsia="Times New Roman" w:hAnsi="Times New Roman" w:cs="Times New Roman"/>
          <w:color w:val="000000" w:themeColor="text1"/>
          <w:sz w:val="24"/>
          <w:szCs w:val="24"/>
        </w:rPr>
        <w:t xml:space="preserve">also </w:t>
      </w:r>
      <w:r w:rsidR="00721967" w:rsidRPr="002C6F16">
        <w:rPr>
          <w:rFonts w:ascii="Times New Roman" w:eastAsia="Times New Roman" w:hAnsi="Times New Roman" w:cs="Times New Roman"/>
          <w:color w:val="000000" w:themeColor="text1"/>
          <w:sz w:val="24"/>
          <w:szCs w:val="24"/>
        </w:rPr>
        <w:t xml:space="preserve">asserted that the proposed rate freeze was not good for Georgians </w:t>
      </w:r>
      <w:r w:rsidR="00055F4A" w:rsidRPr="002C6F16">
        <w:rPr>
          <w:rFonts w:ascii="Times New Roman" w:eastAsia="Times New Roman" w:hAnsi="Times New Roman" w:cs="Times New Roman"/>
          <w:color w:val="000000" w:themeColor="text1"/>
          <w:sz w:val="24"/>
          <w:szCs w:val="24"/>
        </w:rPr>
        <w:t>and discussed</w:t>
      </w:r>
      <w:r w:rsidRPr="002C6F16">
        <w:rPr>
          <w:rFonts w:ascii="Times New Roman" w:eastAsia="Times New Roman" w:hAnsi="Times New Roman" w:cs="Times New Roman"/>
          <w:color w:val="000000" w:themeColor="text1"/>
          <w:sz w:val="24"/>
          <w:szCs w:val="24"/>
        </w:rPr>
        <w:t xml:space="preserve"> Georgia Power’s customer shut-off rate, Return-on-Equity profits, and proposed cost transparency related to fossil fuel expansion.</w:t>
      </w:r>
      <w:r w:rsidR="007A02D6" w:rsidRPr="002C6F16">
        <w:rPr>
          <w:rFonts w:ascii="Times New Roman" w:eastAsia="Times New Roman" w:hAnsi="Times New Roman" w:cs="Times New Roman"/>
          <w:color w:val="000000" w:themeColor="text1"/>
          <w:sz w:val="24"/>
          <w:szCs w:val="24"/>
        </w:rPr>
        <w:t xml:space="preserve">  </w:t>
      </w:r>
      <w:r w:rsidR="00914B5C" w:rsidRPr="002C6F16">
        <w:rPr>
          <w:rFonts w:ascii="Times New Roman" w:eastAsia="Times New Roman" w:hAnsi="Times New Roman" w:cs="Times New Roman"/>
          <w:color w:val="000000" w:themeColor="text1"/>
          <w:sz w:val="24"/>
          <w:szCs w:val="24"/>
        </w:rPr>
        <w:t>In addition to requesting recusal, the Demand requested that the Commission either</w:t>
      </w:r>
      <w:r w:rsidR="007A02D6" w:rsidRPr="002C6F16">
        <w:rPr>
          <w:rFonts w:ascii="Times New Roman" w:eastAsia="Times New Roman" w:hAnsi="Times New Roman" w:cs="Times New Roman"/>
          <w:color w:val="000000" w:themeColor="text1"/>
          <w:sz w:val="24"/>
          <w:szCs w:val="24"/>
        </w:rPr>
        <w:t xml:space="preserve">: (1) deny the rate-freeze proposal, </w:t>
      </w:r>
      <w:r w:rsidR="00914B5C" w:rsidRPr="002C6F16">
        <w:rPr>
          <w:rFonts w:ascii="Times New Roman" w:eastAsia="Times New Roman" w:hAnsi="Times New Roman" w:cs="Times New Roman"/>
          <w:color w:val="000000" w:themeColor="text1"/>
          <w:sz w:val="24"/>
          <w:szCs w:val="24"/>
        </w:rPr>
        <w:t>or</w:t>
      </w:r>
      <w:r w:rsidR="007A02D6" w:rsidRPr="002C6F16">
        <w:rPr>
          <w:rFonts w:ascii="Times New Roman" w:eastAsia="Times New Roman" w:hAnsi="Times New Roman" w:cs="Times New Roman"/>
          <w:color w:val="000000" w:themeColor="text1"/>
          <w:sz w:val="24"/>
          <w:szCs w:val="24"/>
        </w:rPr>
        <w:t xml:space="preserve"> (2) </w:t>
      </w:r>
      <w:r w:rsidR="009C1957" w:rsidRPr="002C6F16">
        <w:rPr>
          <w:rFonts w:ascii="Times New Roman" w:eastAsia="Times New Roman" w:hAnsi="Times New Roman" w:cs="Times New Roman"/>
          <w:color w:val="000000" w:themeColor="text1"/>
          <w:sz w:val="24"/>
          <w:szCs w:val="24"/>
        </w:rPr>
        <w:t>appoint</w:t>
      </w:r>
      <w:r w:rsidR="007A02D6" w:rsidRPr="002C6F16">
        <w:rPr>
          <w:rFonts w:ascii="Times New Roman" w:eastAsia="Times New Roman" w:hAnsi="Times New Roman" w:cs="Times New Roman"/>
          <w:color w:val="000000" w:themeColor="text1"/>
          <w:sz w:val="24"/>
          <w:szCs w:val="24"/>
        </w:rPr>
        <w:t xml:space="preserve"> an impartial hearing officer not affiliated to the GPSC for </w:t>
      </w:r>
      <w:r w:rsidR="00914B5C" w:rsidRPr="002C6F16">
        <w:rPr>
          <w:rFonts w:ascii="Times New Roman" w:eastAsia="Times New Roman" w:hAnsi="Times New Roman" w:cs="Times New Roman"/>
          <w:color w:val="000000" w:themeColor="text1"/>
          <w:sz w:val="24"/>
          <w:szCs w:val="24"/>
        </w:rPr>
        <w:t>this case</w:t>
      </w:r>
      <w:r w:rsidR="007A02D6" w:rsidRPr="002C6F16">
        <w:rPr>
          <w:rFonts w:ascii="Times New Roman" w:eastAsia="Times New Roman" w:hAnsi="Times New Roman" w:cs="Times New Roman"/>
          <w:color w:val="000000" w:themeColor="text1"/>
          <w:sz w:val="24"/>
          <w:szCs w:val="24"/>
        </w:rPr>
        <w:t>.</w:t>
      </w:r>
      <w:r w:rsidRPr="002C6F16">
        <w:rPr>
          <w:rFonts w:ascii="Times New Roman" w:eastAsia="Times New Roman" w:hAnsi="Times New Roman" w:cs="Times New Roman"/>
          <w:color w:val="000000" w:themeColor="text1"/>
          <w:sz w:val="24"/>
          <w:szCs w:val="24"/>
        </w:rPr>
        <w:t xml:space="preserve"> </w:t>
      </w:r>
    </w:p>
    <w:p w14:paraId="503F20AD" w14:textId="6F8586F2" w:rsidR="00BA09AB" w:rsidRPr="002C6F16" w:rsidRDefault="00BA09AB" w:rsidP="008A5B6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color w:val="000000" w:themeColor="text1"/>
          <w:sz w:val="24"/>
          <w:szCs w:val="24"/>
        </w:rPr>
        <w:t>As a preliminary matter, it should be noted that the assertions in the Demand are not verified or supported by affidavit and the Demand did not include any transcripts of the events.</w:t>
      </w:r>
      <w:r w:rsidR="00E96D3C" w:rsidRPr="002C6F16">
        <w:rPr>
          <w:rStyle w:val="FootnoteReference"/>
          <w:rFonts w:ascii="Times New Roman" w:eastAsia="Times New Roman" w:hAnsi="Times New Roman" w:cs="Times New Roman"/>
          <w:color w:val="000000" w:themeColor="text1"/>
          <w:sz w:val="24"/>
          <w:szCs w:val="24"/>
        </w:rPr>
        <w:footnoteReference w:id="2"/>
      </w:r>
      <w:r w:rsidRPr="002C6F16">
        <w:rPr>
          <w:rFonts w:ascii="Times New Roman" w:eastAsia="Times New Roman" w:hAnsi="Times New Roman" w:cs="Times New Roman"/>
          <w:color w:val="000000" w:themeColor="text1"/>
          <w:sz w:val="24"/>
          <w:szCs w:val="24"/>
        </w:rPr>
        <w:t xml:space="preserve"> In Georgia courts, this alone would be grounds to deny a recusal request. See e.g. </w:t>
      </w:r>
      <w:r w:rsidRPr="002C6F16">
        <w:rPr>
          <w:rFonts w:ascii="Times New Roman" w:eastAsia="Aptos" w:hAnsi="Times New Roman" w:cs="Times New Roman"/>
          <w:sz w:val="24"/>
          <w:szCs w:val="24"/>
        </w:rPr>
        <w:t>USCR Rule 25</w:t>
      </w:r>
      <w:r w:rsidRPr="002C6F16">
        <w:rPr>
          <w:rFonts w:ascii="Times New Roman" w:hAnsi="Times New Roman" w:cs="Times New Roman"/>
          <w:sz w:val="24"/>
          <w:szCs w:val="24"/>
        </w:rPr>
        <w:t xml:space="preserve"> and </w:t>
      </w:r>
      <w:r w:rsidRPr="002C6F16">
        <w:rPr>
          <w:rFonts w:ascii="Times New Roman" w:eastAsia="Aptos" w:hAnsi="Times New Roman" w:cs="Times New Roman"/>
          <w:sz w:val="24"/>
          <w:szCs w:val="24"/>
        </w:rPr>
        <w:t>Supreme Ct Rule 26(2).</w:t>
      </w:r>
      <w:r w:rsidR="000B70AF" w:rsidRPr="002C6F16">
        <w:rPr>
          <w:rFonts w:ascii="Times New Roman" w:eastAsia="Aptos" w:hAnsi="Times New Roman" w:cs="Times New Roman"/>
          <w:sz w:val="24"/>
          <w:szCs w:val="24"/>
        </w:rPr>
        <w:t xml:space="preserve">  If the Commission</w:t>
      </w:r>
      <w:r w:rsidR="00951C68" w:rsidRPr="002C6F16">
        <w:rPr>
          <w:rFonts w:ascii="Times New Roman" w:eastAsia="Aptos" w:hAnsi="Times New Roman" w:cs="Times New Roman"/>
          <w:sz w:val="24"/>
          <w:szCs w:val="24"/>
        </w:rPr>
        <w:t xml:space="preserve"> or its Chairman</w:t>
      </w:r>
      <w:r w:rsidR="000B70AF" w:rsidRPr="002C6F16">
        <w:rPr>
          <w:rFonts w:ascii="Times New Roman" w:eastAsia="Aptos" w:hAnsi="Times New Roman" w:cs="Times New Roman"/>
          <w:sz w:val="24"/>
          <w:szCs w:val="24"/>
        </w:rPr>
        <w:t xml:space="preserve"> possessed the authority to order the recusal of its members, the Demand would not pass such a threshold review.</w:t>
      </w:r>
    </w:p>
    <w:p w14:paraId="29D2D7A7" w14:textId="2A632670" w:rsidR="007A02D6" w:rsidRPr="002C6F16" w:rsidRDefault="00BA09AB" w:rsidP="008A5B68">
      <w:pPr>
        <w:spacing w:after="120" w:line="240" w:lineRule="auto"/>
        <w:ind w:firstLine="720"/>
        <w:jc w:val="both"/>
        <w:rPr>
          <w:rFonts w:ascii="Times New Roman" w:eastAsia="Times New Roman" w:hAnsi="Times New Roman" w:cs="Times New Roman"/>
          <w:color w:val="000000" w:themeColor="text1"/>
          <w:sz w:val="24"/>
          <w:szCs w:val="24"/>
        </w:rPr>
      </w:pPr>
      <w:r w:rsidRPr="002C6F16">
        <w:rPr>
          <w:rFonts w:ascii="Times New Roman" w:eastAsia="Times New Roman" w:hAnsi="Times New Roman" w:cs="Times New Roman"/>
          <w:sz w:val="24"/>
          <w:szCs w:val="24"/>
        </w:rPr>
        <w:t>The Demand</w:t>
      </w:r>
      <w:r w:rsidR="000B70AF" w:rsidRPr="002C6F16">
        <w:rPr>
          <w:rFonts w:ascii="Times New Roman" w:eastAsia="Times New Roman" w:hAnsi="Times New Roman" w:cs="Times New Roman"/>
          <w:sz w:val="24"/>
          <w:szCs w:val="24"/>
        </w:rPr>
        <w:t>, however,</w:t>
      </w:r>
      <w:r w:rsidRPr="002C6F16">
        <w:rPr>
          <w:rFonts w:ascii="Times New Roman" w:eastAsia="Times New Roman" w:hAnsi="Times New Roman" w:cs="Times New Roman"/>
          <w:sz w:val="24"/>
          <w:szCs w:val="24"/>
        </w:rPr>
        <w:t xml:space="preserve"> has not pointed to any law authorizing the Commission or its Chairman to order the recusal of a </w:t>
      </w:r>
      <w:proofErr w:type="gramStart"/>
      <w:r w:rsidRPr="002C6F16">
        <w:rPr>
          <w:rFonts w:ascii="Times New Roman" w:eastAsia="Times New Roman" w:hAnsi="Times New Roman" w:cs="Times New Roman"/>
          <w:sz w:val="24"/>
          <w:szCs w:val="24"/>
        </w:rPr>
        <w:t xml:space="preserve">Commissioner.  </w:t>
      </w:r>
      <w:proofErr w:type="gramEnd"/>
      <w:r w:rsidR="00914B5C" w:rsidRPr="002C6F16">
        <w:rPr>
          <w:rFonts w:ascii="Times New Roman" w:eastAsia="Times New Roman" w:hAnsi="Times New Roman" w:cs="Times New Roman"/>
          <w:sz w:val="24"/>
          <w:szCs w:val="24"/>
        </w:rPr>
        <w:t>The Commission only has such powers as are</w:t>
      </w:r>
      <w:r w:rsidR="008A5B68" w:rsidRPr="002C6F16">
        <w:rPr>
          <w:rFonts w:ascii="Times New Roman" w:eastAsia="Times New Roman" w:hAnsi="Times New Roman" w:cs="Times New Roman"/>
          <w:sz w:val="24"/>
          <w:szCs w:val="24"/>
        </w:rPr>
        <w:t xml:space="preserve"> </w:t>
      </w:r>
      <w:r w:rsidR="00914B5C" w:rsidRPr="002C6F16">
        <w:rPr>
          <w:rFonts w:ascii="Times New Roman" w:eastAsia="Times New Roman" w:hAnsi="Times New Roman" w:cs="Times New Roman"/>
          <w:sz w:val="24"/>
          <w:szCs w:val="24"/>
        </w:rPr>
        <w:t>expressly or by necessary implication conferred upon it.</w:t>
      </w:r>
      <w:r w:rsidR="008A5B68"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N</w:t>
      </w:r>
      <w:r w:rsidR="008A5B68" w:rsidRPr="002C6F16">
        <w:rPr>
          <w:rFonts w:ascii="Times New Roman" w:eastAsia="Times New Roman" w:hAnsi="Times New Roman" w:cs="Times New Roman"/>
          <w:sz w:val="24"/>
          <w:szCs w:val="24"/>
        </w:rPr>
        <w:t>either the Commission’s own law nor the Administrative Procedures Act</w:t>
      </w:r>
      <w:r w:rsidR="000B70AF" w:rsidRPr="002C6F16">
        <w:rPr>
          <w:rFonts w:ascii="Times New Roman" w:eastAsia="Times New Roman" w:hAnsi="Times New Roman" w:cs="Times New Roman"/>
          <w:sz w:val="24"/>
          <w:szCs w:val="24"/>
        </w:rPr>
        <w:t xml:space="preserve"> </w:t>
      </w:r>
      <w:r w:rsidR="00055F4A" w:rsidRPr="002C6F16">
        <w:rPr>
          <w:rFonts w:ascii="Times New Roman" w:eastAsia="Times New Roman" w:hAnsi="Times New Roman" w:cs="Times New Roman"/>
          <w:sz w:val="24"/>
          <w:szCs w:val="24"/>
        </w:rPr>
        <w:t>authorizes</w:t>
      </w:r>
      <w:r w:rsidR="000B70AF" w:rsidRPr="002C6F16">
        <w:rPr>
          <w:rFonts w:ascii="Times New Roman" w:eastAsia="Times New Roman" w:hAnsi="Times New Roman" w:cs="Times New Roman"/>
          <w:sz w:val="24"/>
          <w:szCs w:val="24"/>
        </w:rPr>
        <w:t xml:space="preserve"> such power.</w:t>
      </w:r>
      <w:r w:rsidR="008A5B68" w:rsidRPr="002C6F16">
        <w:rPr>
          <w:rFonts w:ascii="Times New Roman" w:eastAsia="Times New Roman" w:hAnsi="Times New Roman" w:cs="Times New Roman"/>
          <w:sz w:val="24"/>
          <w:szCs w:val="24"/>
        </w:rPr>
        <w:t xml:space="preserve"> </w:t>
      </w:r>
      <w:r w:rsidR="00951C68" w:rsidRPr="002C6F16">
        <w:rPr>
          <w:rFonts w:ascii="Times New Roman" w:eastAsia="Times New Roman" w:hAnsi="Times New Roman" w:cs="Times New Roman"/>
          <w:sz w:val="24"/>
          <w:szCs w:val="24"/>
        </w:rPr>
        <w:t>I</w:t>
      </w:r>
      <w:r w:rsidR="008A5B68" w:rsidRPr="002C6F16">
        <w:rPr>
          <w:rFonts w:ascii="Times New Roman" w:eastAsia="Times New Roman" w:hAnsi="Times New Roman" w:cs="Times New Roman"/>
          <w:sz w:val="24"/>
          <w:szCs w:val="24"/>
        </w:rPr>
        <w:t>ndividual Commissioners</w:t>
      </w:r>
      <w:r w:rsidR="00951C68" w:rsidRPr="002C6F16">
        <w:rPr>
          <w:rFonts w:ascii="Times New Roman" w:eastAsia="Times New Roman" w:hAnsi="Times New Roman" w:cs="Times New Roman"/>
          <w:sz w:val="24"/>
          <w:szCs w:val="24"/>
        </w:rPr>
        <w:t xml:space="preserve"> may</w:t>
      </w:r>
      <w:r w:rsidR="008A5B68" w:rsidRPr="002C6F16">
        <w:rPr>
          <w:rFonts w:ascii="Times New Roman" w:eastAsia="Times New Roman" w:hAnsi="Times New Roman" w:cs="Times New Roman"/>
          <w:sz w:val="24"/>
          <w:szCs w:val="24"/>
        </w:rPr>
        <w:t xml:space="preserve"> determine whether to voluntarily recuse themselves</w:t>
      </w:r>
      <w:r w:rsidR="00914B5C" w:rsidRPr="002C6F16">
        <w:rPr>
          <w:rFonts w:ascii="Times New Roman" w:eastAsia="Times New Roman" w:hAnsi="Times New Roman" w:cs="Times New Roman"/>
          <w:sz w:val="24"/>
          <w:szCs w:val="24"/>
        </w:rPr>
        <w:t>.</w:t>
      </w:r>
      <w:r w:rsidR="008A5B68" w:rsidRPr="002C6F16">
        <w:rPr>
          <w:rFonts w:ascii="Times New Roman" w:eastAsia="Times New Roman" w:hAnsi="Times New Roman" w:cs="Times New Roman"/>
          <w:sz w:val="24"/>
          <w:szCs w:val="24"/>
        </w:rPr>
        <w:t xml:space="preserve"> See</w:t>
      </w:r>
      <w:r w:rsidR="00914B5C" w:rsidRPr="002C6F16">
        <w:rPr>
          <w:rFonts w:ascii="Times New Roman" w:eastAsia="Times New Roman" w:hAnsi="Times New Roman" w:cs="Times New Roman"/>
          <w:sz w:val="24"/>
          <w:szCs w:val="24"/>
        </w:rPr>
        <w:t xml:space="preserve"> </w:t>
      </w:r>
      <w:r w:rsidR="00914B5C" w:rsidRPr="002C6F16">
        <w:rPr>
          <w:rFonts w:ascii="Times New Roman" w:hAnsi="Times New Roman" w:cs="Times New Roman"/>
          <w:sz w:val="24"/>
          <w:szCs w:val="24"/>
        </w:rPr>
        <w:t xml:space="preserve">1989 Ga. Op. </w:t>
      </w:r>
      <w:proofErr w:type="spellStart"/>
      <w:r w:rsidR="00914B5C" w:rsidRPr="002C6F16">
        <w:rPr>
          <w:rFonts w:ascii="Times New Roman" w:hAnsi="Times New Roman" w:cs="Times New Roman"/>
          <w:sz w:val="24"/>
          <w:szCs w:val="24"/>
        </w:rPr>
        <w:t>Att'y</w:t>
      </w:r>
      <w:proofErr w:type="spellEnd"/>
      <w:r w:rsidR="00914B5C" w:rsidRPr="002C6F16">
        <w:rPr>
          <w:rFonts w:ascii="Times New Roman" w:hAnsi="Times New Roman" w:cs="Times New Roman"/>
          <w:sz w:val="24"/>
          <w:szCs w:val="24"/>
        </w:rPr>
        <w:t xml:space="preserve"> Gen. 22.</w:t>
      </w:r>
      <w:r w:rsidR="00914B5C" w:rsidRPr="002C6F16">
        <w:rPr>
          <w:rFonts w:ascii="Times New Roman" w:eastAsia="Times New Roman" w:hAnsi="Times New Roman" w:cs="Times New Roman"/>
          <w:sz w:val="24"/>
          <w:szCs w:val="24"/>
        </w:rPr>
        <w:t xml:space="preserve"> </w:t>
      </w:r>
      <w:r w:rsidR="005C0F74" w:rsidRPr="002C6F16">
        <w:rPr>
          <w:rFonts w:ascii="Times New Roman" w:eastAsia="Times New Roman" w:hAnsi="Times New Roman" w:cs="Times New Roman"/>
          <w:sz w:val="24"/>
          <w:szCs w:val="24"/>
        </w:rPr>
        <w:t>At</w:t>
      </w:r>
      <w:r w:rsidR="007A02D6" w:rsidRPr="002C6F16">
        <w:rPr>
          <w:rFonts w:ascii="Times New Roman" w:eastAsia="Times New Roman" w:hAnsi="Times New Roman" w:cs="Times New Roman"/>
          <w:sz w:val="24"/>
          <w:szCs w:val="24"/>
        </w:rPr>
        <w:t xml:space="preserve"> the Hearing on </w:t>
      </w:r>
      <w:r w:rsidR="007A02D6" w:rsidRPr="002C6F16">
        <w:rPr>
          <w:rFonts w:ascii="Times New Roman" w:eastAsia="Times New Roman" w:hAnsi="Times New Roman" w:cs="Times New Roman"/>
          <w:color w:val="000000" w:themeColor="text1"/>
          <w:sz w:val="24"/>
          <w:szCs w:val="24"/>
        </w:rPr>
        <w:t>June 26, 2025</w:t>
      </w:r>
      <w:r w:rsidR="007A02D6" w:rsidRPr="002C6F16">
        <w:rPr>
          <w:rFonts w:ascii="Times New Roman" w:eastAsia="Times New Roman" w:hAnsi="Times New Roman" w:cs="Times New Roman"/>
          <w:sz w:val="24"/>
          <w:szCs w:val="24"/>
        </w:rPr>
        <w:t xml:space="preserve">, </w:t>
      </w:r>
      <w:r w:rsidR="005C0F74" w:rsidRPr="002C6F16">
        <w:rPr>
          <w:rFonts w:ascii="Times New Roman" w:eastAsia="Times New Roman" w:hAnsi="Times New Roman" w:cs="Times New Roman"/>
          <w:color w:val="000000" w:themeColor="text1"/>
          <w:sz w:val="24"/>
          <w:szCs w:val="24"/>
        </w:rPr>
        <w:t xml:space="preserve">each of </w:t>
      </w:r>
      <w:r w:rsidR="007A02D6" w:rsidRPr="002C6F16">
        <w:rPr>
          <w:rFonts w:ascii="Times New Roman" w:eastAsia="Times New Roman" w:hAnsi="Times New Roman" w:cs="Times New Roman"/>
          <w:color w:val="000000" w:themeColor="text1"/>
          <w:sz w:val="24"/>
          <w:szCs w:val="24"/>
        </w:rPr>
        <w:t xml:space="preserve">the named Commissioners </w:t>
      </w:r>
      <w:r w:rsidR="005C0F74" w:rsidRPr="002C6F16">
        <w:rPr>
          <w:rFonts w:ascii="Times New Roman" w:eastAsia="Times New Roman" w:hAnsi="Times New Roman" w:cs="Times New Roman"/>
          <w:color w:val="000000" w:themeColor="text1"/>
          <w:sz w:val="24"/>
          <w:szCs w:val="24"/>
        </w:rPr>
        <w:t>declined to</w:t>
      </w:r>
      <w:r w:rsidR="007A02D6" w:rsidRPr="002C6F16">
        <w:rPr>
          <w:rFonts w:ascii="Times New Roman" w:eastAsia="Times New Roman" w:hAnsi="Times New Roman" w:cs="Times New Roman"/>
          <w:color w:val="000000" w:themeColor="text1"/>
          <w:sz w:val="24"/>
          <w:szCs w:val="24"/>
        </w:rPr>
        <w:t xml:space="preserve"> recuse themselves.  </w:t>
      </w:r>
    </w:p>
    <w:p w14:paraId="620C96AF" w14:textId="72E8B6DB" w:rsidR="007F535A" w:rsidRPr="002C6F16" w:rsidRDefault="007F535A" w:rsidP="007F535A">
      <w:pPr>
        <w:pStyle w:val="ListParagraph"/>
        <w:numPr>
          <w:ilvl w:val="0"/>
          <w:numId w:val="19"/>
        </w:numPr>
        <w:spacing w:after="120"/>
        <w:jc w:val="both"/>
        <w:rPr>
          <w:rFonts w:ascii="Times New Roman" w:eastAsia="Times New Roman" w:hAnsi="Times New Roman" w:cs="Times New Roman"/>
          <w:b/>
          <w:bCs/>
          <w:i/>
          <w:iCs/>
          <w:color w:val="000000" w:themeColor="text1"/>
          <w:sz w:val="24"/>
          <w:szCs w:val="24"/>
        </w:rPr>
      </w:pPr>
      <w:r w:rsidRPr="002C6F16">
        <w:rPr>
          <w:rFonts w:ascii="Times New Roman" w:eastAsia="Times New Roman" w:hAnsi="Times New Roman" w:cs="Times New Roman"/>
          <w:b/>
          <w:bCs/>
          <w:i/>
          <w:iCs/>
          <w:color w:val="000000" w:themeColor="text1"/>
          <w:sz w:val="24"/>
          <w:szCs w:val="24"/>
        </w:rPr>
        <w:t>The Stipulation.</w:t>
      </w:r>
    </w:p>
    <w:p w14:paraId="5AAD12AB" w14:textId="76777CA0" w:rsidR="00E96D3C" w:rsidRPr="002C6F16" w:rsidRDefault="006E3493"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During the</w:t>
      </w:r>
      <w:r w:rsidR="004C7A7C" w:rsidRPr="002C6F16">
        <w:rPr>
          <w:rFonts w:ascii="Times New Roman" w:eastAsia="Times New Roman" w:hAnsi="Times New Roman" w:cs="Times New Roman"/>
          <w:sz w:val="24"/>
          <w:szCs w:val="24"/>
        </w:rPr>
        <w:t xml:space="preserve"> direct testimony phase of the</w:t>
      </w:r>
      <w:r w:rsidRPr="002C6F16">
        <w:rPr>
          <w:rFonts w:ascii="Times New Roman" w:eastAsia="Times New Roman" w:hAnsi="Times New Roman" w:cs="Times New Roman"/>
          <w:sz w:val="24"/>
          <w:szCs w:val="24"/>
        </w:rPr>
        <w:t xml:space="preserve"> Hearing, the Bon</w:t>
      </w:r>
      <w:r w:rsidR="00F75840" w:rsidRPr="002C6F16">
        <w:rPr>
          <w:rFonts w:ascii="Times New Roman" w:eastAsia="Times New Roman" w:hAnsi="Times New Roman" w:cs="Times New Roman"/>
          <w:sz w:val="24"/>
          <w:szCs w:val="24"/>
        </w:rPr>
        <w:t xml:space="preserve">d </w:t>
      </w:r>
      <w:r w:rsidRPr="002C6F16">
        <w:rPr>
          <w:rFonts w:ascii="Times New Roman" w:eastAsia="Times New Roman" w:hAnsi="Times New Roman" w:cs="Times New Roman"/>
          <w:sz w:val="24"/>
          <w:szCs w:val="24"/>
        </w:rPr>
        <w:t xml:space="preserve">Roetger </w:t>
      </w:r>
      <w:r w:rsidR="00F75840" w:rsidRPr="002C6F16">
        <w:rPr>
          <w:rFonts w:ascii="Times New Roman" w:eastAsia="Times New Roman" w:hAnsi="Times New Roman" w:cs="Times New Roman"/>
          <w:sz w:val="24"/>
          <w:szCs w:val="24"/>
        </w:rPr>
        <w:t>P</w:t>
      </w:r>
      <w:r w:rsidRPr="002C6F16">
        <w:rPr>
          <w:rFonts w:ascii="Times New Roman" w:eastAsia="Times New Roman" w:hAnsi="Times New Roman" w:cs="Times New Roman"/>
          <w:sz w:val="24"/>
          <w:szCs w:val="24"/>
        </w:rPr>
        <w:t xml:space="preserve">anel </w:t>
      </w:r>
      <w:r w:rsidR="00417DE3" w:rsidRPr="002C6F16">
        <w:rPr>
          <w:rFonts w:ascii="Times New Roman" w:eastAsia="Times New Roman" w:hAnsi="Times New Roman" w:cs="Times New Roman"/>
          <w:sz w:val="24"/>
          <w:szCs w:val="24"/>
        </w:rPr>
        <w:t xml:space="preserve">and the Abramovitz Berrigan Panel </w:t>
      </w:r>
      <w:r w:rsidRPr="002C6F16">
        <w:rPr>
          <w:rFonts w:ascii="Times New Roman" w:eastAsia="Times New Roman" w:hAnsi="Times New Roman" w:cs="Times New Roman"/>
          <w:sz w:val="24"/>
          <w:szCs w:val="24"/>
        </w:rPr>
        <w:t xml:space="preserve">testified </w:t>
      </w:r>
      <w:r w:rsidR="00417DE3" w:rsidRPr="002C6F16">
        <w:rPr>
          <w:rFonts w:ascii="Times New Roman" w:eastAsia="Times New Roman" w:hAnsi="Times New Roman" w:cs="Times New Roman"/>
          <w:sz w:val="24"/>
          <w:szCs w:val="24"/>
        </w:rPr>
        <w:t>jointly</w:t>
      </w:r>
      <w:r w:rsidR="004C7A7C"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in support of the proposed </w:t>
      </w:r>
      <w:r w:rsidR="00814175" w:rsidRPr="002C6F16">
        <w:rPr>
          <w:rFonts w:ascii="Times New Roman" w:hAnsi="Times New Roman" w:cs="Times New Roman"/>
          <w:sz w:val="24"/>
          <w:szCs w:val="24"/>
        </w:rPr>
        <w:t>Settlement Agreement</w:t>
      </w:r>
      <w:r w:rsidRPr="002C6F16">
        <w:rPr>
          <w:rFonts w:ascii="Times New Roman" w:eastAsia="Times New Roman" w:hAnsi="Times New Roman" w:cs="Times New Roman"/>
          <w:sz w:val="24"/>
          <w:szCs w:val="24"/>
        </w:rPr>
        <w:t>.</w:t>
      </w:r>
      <w:r w:rsidR="00F7584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 The </w:t>
      </w:r>
      <w:r w:rsidR="00417DE3" w:rsidRPr="002C6F16">
        <w:rPr>
          <w:rFonts w:ascii="Times New Roman" w:eastAsia="Times New Roman" w:hAnsi="Times New Roman" w:cs="Times New Roman"/>
          <w:sz w:val="24"/>
          <w:szCs w:val="24"/>
        </w:rPr>
        <w:t>Bond Roetger Panel</w:t>
      </w:r>
      <w:r w:rsidRPr="002C6F16">
        <w:rPr>
          <w:rFonts w:ascii="Times New Roman" w:eastAsia="Times New Roman" w:hAnsi="Times New Roman" w:cs="Times New Roman"/>
          <w:sz w:val="24"/>
          <w:szCs w:val="24"/>
        </w:rPr>
        <w:t xml:space="preserve"> </w:t>
      </w:r>
      <w:r w:rsidR="00F75840" w:rsidRPr="002C6F16">
        <w:rPr>
          <w:rFonts w:ascii="Times New Roman" w:eastAsia="Times New Roman" w:hAnsi="Times New Roman" w:cs="Times New Roman"/>
          <w:sz w:val="24"/>
          <w:szCs w:val="24"/>
        </w:rPr>
        <w:t>stated</w:t>
      </w:r>
      <w:r w:rsidRPr="002C6F16">
        <w:rPr>
          <w:rFonts w:ascii="Times New Roman" w:eastAsia="Times New Roman" w:hAnsi="Times New Roman" w:cs="Times New Roman"/>
          <w:sz w:val="24"/>
          <w:szCs w:val="24"/>
        </w:rPr>
        <w:t xml:space="preserve"> that Staff ha</w:t>
      </w:r>
      <w:r w:rsidR="00951C68" w:rsidRPr="002C6F16">
        <w:rPr>
          <w:rFonts w:ascii="Times New Roman" w:eastAsia="Times New Roman" w:hAnsi="Times New Roman" w:cs="Times New Roman"/>
          <w:sz w:val="24"/>
          <w:szCs w:val="24"/>
        </w:rPr>
        <w:t>s</w:t>
      </w:r>
      <w:r w:rsidRPr="002C6F16">
        <w:rPr>
          <w:rFonts w:ascii="Times New Roman" w:eastAsia="Times New Roman" w:hAnsi="Times New Roman" w:cs="Times New Roman"/>
          <w:sz w:val="24"/>
          <w:szCs w:val="24"/>
        </w:rPr>
        <w:t xml:space="preserve"> been concerned that</w:t>
      </w:r>
      <w:r w:rsidR="00437D57">
        <w:rPr>
          <w:rFonts w:ascii="Times New Roman" w:eastAsia="Times New Roman" w:hAnsi="Times New Roman" w:cs="Times New Roman"/>
          <w:sz w:val="24"/>
          <w:szCs w:val="24"/>
        </w:rPr>
        <w:t xml:space="preserve"> if a</w:t>
      </w:r>
      <w:r w:rsidRPr="002C6F16">
        <w:rPr>
          <w:rFonts w:ascii="Times New Roman" w:eastAsia="Times New Roman" w:hAnsi="Times New Roman" w:cs="Times New Roman"/>
          <w:sz w:val="24"/>
          <w:szCs w:val="24"/>
        </w:rPr>
        <w:t xml:space="preserve"> </w:t>
      </w:r>
      <w:proofErr w:type="spellStart"/>
      <w:r w:rsidRPr="002C6F16">
        <w:rPr>
          <w:rFonts w:ascii="Times New Roman" w:eastAsia="Times New Roman" w:hAnsi="Times New Roman" w:cs="Times New Roman"/>
          <w:sz w:val="24"/>
          <w:szCs w:val="24"/>
        </w:rPr>
        <w:t>a</w:t>
      </w:r>
      <w:proofErr w:type="spellEnd"/>
      <w:r w:rsidRPr="002C6F16">
        <w:rPr>
          <w:rFonts w:ascii="Times New Roman" w:eastAsia="Times New Roman" w:hAnsi="Times New Roman" w:cs="Times New Roman"/>
          <w:sz w:val="24"/>
          <w:szCs w:val="24"/>
        </w:rPr>
        <w:t xml:space="preserve"> fully contested rate case hearing</w:t>
      </w:r>
      <w:r w:rsidR="00437D57">
        <w:rPr>
          <w:rFonts w:ascii="Times New Roman" w:eastAsia="Times New Roman" w:hAnsi="Times New Roman" w:cs="Times New Roman"/>
          <w:sz w:val="24"/>
          <w:szCs w:val="24"/>
        </w:rPr>
        <w:t xml:space="preserve"> were held</w:t>
      </w:r>
      <w:r w:rsidRPr="002C6F16">
        <w:rPr>
          <w:rFonts w:ascii="Times New Roman" w:eastAsia="Times New Roman" w:hAnsi="Times New Roman" w:cs="Times New Roman"/>
          <w:sz w:val="24"/>
          <w:szCs w:val="24"/>
        </w:rPr>
        <w:t xml:space="preserve">, rates would increase for all ratepayers, </w:t>
      </w:r>
      <w:r w:rsidR="00951C68" w:rsidRPr="002C6F16">
        <w:rPr>
          <w:rFonts w:ascii="Times New Roman" w:eastAsia="Times New Roman" w:hAnsi="Times New Roman" w:cs="Times New Roman"/>
          <w:sz w:val="24"/>
          <w:szCs w:val="24"/>
        </w:rPr>
        <w:t>including</w:t>
      </w:r>
      <w:r w:rsidRPr="002C6F16">
        <w:rPr>
          <w:rFonts w:ascii="Times New Roman" w:eastAsia="Times New Roman" w:hAnsi="Times New Roman" w:cs="Times New Roman"/>
          <w:sz w:val="24"/>
          <w:szCs w:val="24"/>
        </w:rPr>
        <w:t xml:space="preserve"> small business and residential customers</w:t>
      </w:r>
      <w:proofErr w:type="gramStart"/>
      <w:r w:rsidRPr="002C6F16">
        <w:rPr>
          <w:rFonts w:ascii="Times New Roman" w:eastAsia="Times New Roman" w:hAnsi="Times New Roman" w:cs="Times New Roman"/>
          <w:sz w:val="24"/>
          <w:szCs w:val="24"/>
        </w:rPr>
        <w:t xml:space="preserve">. </w:t>
      </w:r>
      <w:r w:rsidR="00F75840" w:rsidRPr="002C6F16">
        <w:rPr>
          <w:rFonts w:ascii="Times New Roman" w:eastAsia="Times New Roman" w:hAnsi="Times New Roman" w:cs="Times New Roman"/>
          <w:sz w:val="24"/>
          <w:szCs w:val="24"/>
        </w:rPr>
        <w:t xml:space="preserve"> </w:t>
      </w:r>
      <w:proofErr w:type="gramEnd"/>
      <w:r w:rsidRPr="002C6F16">
        <w:rPr>
          <w:rFonts w:ascii="Times New Roman" w:eastAsia="Times New Roman" w:hAnsi="Times New Roman" w:cs="Times New Roman"/>
          <w:sz w:val="24"/>
          <w:szCs w:val="24"/>
        </w:rPr>
        <w:t>(Bond Roetger Direct, p. 5, ln. 2-17).</w:t>
      </w:r>
      <w:r w:rsidR="00F7584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 The Smith</w:t>
      </w:r>
      <w:r w:rsidR="00F7584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Forsythe Panel</w:t>
      </w:r>
      <w:r w:rsidR="0051144B" w:rsidRPr="002C6F16">
        <w:rPr>
          <w:rFonts w:ascii="Times New Roman" w:eastAsia="Times New Roman" w:hAnsi="Times New Roman" w:cs="Times New Roman"/>
          <w:sz w:val="24"/>
          <w:szCs w:val="24"/>
        </w:rPr>
        <w:t>, which recently testified in Dockets 56002 and 56003,</w:t>
      </w:r>
      <w:r w:rsidRPr="002C6F16">
        <w:rPr>
          <w:rFonts w:ascii="Times New Roman" w:eastAsia="Times New Roman" w:hAnsi="Times New Roman" w:cs="Times New Roman"/>
          <w:sz w:val="24"/>
          <w:szCs w:val="24"/>
        </w:rPr>
        <w:t xml:space="preserve"> was cited </w:t>
      </w:r>
      <w:r w:rsidR="00417DE3" w:rsidRPr="002C6F16">
        <w:rPr>
          <w:rFonts w:ascii="Times New Roman" w:eastAsia="Times New Roman" w:hAnsi="Times New Roman" w:cs="Times New Roman"/>
          <w:sz w:val="24"/>
          <w:szCs w:val="24"/>
        </w:rPr>
        <w:t xml:space="preserve">by the Bond Roetger Panel </w:t>
      </w:r>
      <w:r w:rsidRPr="002C6F16">
        <w:rPr>
          <w:rFonts w:ascii="Times New Roman" w:eastAsia="Times New Roman" w:hAnsi="Times New Roman" w:cs="Times New Roman"/>
          <w:sz w:val="24"/>
          <w:szCs w:val="24"/>
        </w:rPr>
        <w:t>as evidence of the concern, “[W]</w:t>
      </w:r>
      <w:proofErr w:type="spellStart"/>
      <w:r w:rsidRPr="002C6F16">
        <w:rPr>
          <w:rFonts w:ascii="Times New Roman" w:eastAsia="Times New Roman" w:hAnsi="Times New Roman" w:cs="Times New Roman"/>
          <w:sz w:val="24"/>
          <w:szCs w:val="24"/>
        </w:rPr>
        <w:t>hile</w:t>
      </w:r>
      <w:proofErr w:type="spellEnd"/>
      <w:r w:rsidRPr="002C6F16">
        <w:rPr>
          <w:rFonts w:ascii="Times New Roman" w:eastAsia="Times New Roman" w:hAnsi="Times New Roman" w:cs="Times New Roman"/>
          <w:sz w:val="24"/>
          <w:szCs w:val="24"/>
        </w:rPr>
        <w:t xml:space="preserve"> not a complete revenue requirement, the </w:t>
      </w:r>
      <w:r w:rsidR="0051144B" w:rsidRPr="002C6F16">
        <w:rPr>
          <w:rFonts w:ascii="Times New Roman" w:eastAsia="Times New Roman" w:hAnsi="Times New Roman" w:cs="Times New Roman"/>
          <w:sz w:val="24"/>
          <w:szCs w:val="24"/>
        </w:rPr>
        <w:t>‘</w:t>
      </w:r>
      <w:r w:rsidRPr="002C6F16">
        <w:rPr>
          <w:rFonts w:ascii="Times New Roman" w:eastAsia="Times New Roman" w:hAnsi="Times New Roman" w:cs="Times New Roman"/>
          <w:sz w:val="24"/>
          <w:szCs w:val="24"/>
        </w:rPr>
        <w:t>2025 IRP Financial Summary</w:t>
      </w:r>
      <w:r w:rsidR="0051144B" w:rsidRPr="002C6F16">
        <w:rPr>
          <w:rFonts w:ascii="Times New Roman" w:eastAsia="Times New Roman" w:hAnsi="Times New Roman" w:cs="Times New Roman"/>
          <w:sz w:val="24"/>
          <w:szCs w:val="24"/>
        </w:rPr>
        <w:t>’</w:t>
      </w:r>
      <w:r w:rsidRPr="002C6F16">
        <w:rPr>
          <w:rFonts w:ascii="Times New Roman" w:eastAsia="Times New Roman" w:hAnsi="Times New Roman" w:cs="Times New Roman"/>
          <w:sz w:val="24"/>
          <w:szCs w:val="24"/>
        </w:rPr>
        <w:t xml:space="preserve"> appears to show varying levels of upward pressure on the Company’s base rates under each scenario.” </w:t>
      </w:r>
      <w:r w:rsidR="00F7584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(Bond Roetger Direct, p. 5, ln. 11-14). </w:t>
      </w:r>
      <w:r w:rsidR="00F7584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The </w:t>
      </w:r>
      <w:r w:rsidR="00417DE3" w:rsidRPr="002C6F16">
        <w:rPr>
          <w:rFonts w:ascii="Times New Roman" w:eastAsia="Times New Roman" w:hAnsi="Times New Roman" w:cs="Times New Roman"/>
          <w:sz w:val="24"/>
          <w:szCs w:val="24"/>
        </w:rPr>
        <w:t>Bond Roetger Panel</w:t>
      </w:r>
      <w:r w:rsidRPr="002C6F16">
        <w:rPr>
          <w:rFonts w:ascii="Times New Roman" w:eastAsia="Times New Roman" w:hAnsi="Times New Roman" w:cs="Times New Roman"/>
          <w:sz w:val="24"/>
          <w:szCs w:val="24"/>
        </w:rPr>
        <w:t xml:space="preserve">, further, cited two reasons related to growing economic uncertainty as basis for Staff’s support of the </w:t>
      </w:r>
      <w:r w:rsidR="00814175" w:rsidRPr="002C6F16">
        <w:rPr>
          <w:rFonts w:ascii="Times New Roman" w:hAnsi="Times New Roman" w:cs="Times New Roman"/>
          <w:sz w:val="24"/>
          <w:szCs w:val="24"/>
        </w:rPr>
        <w:t>Settlement Agreement</w:t>
      </w:r>
      <w:r w:rsidRPr="002C6F16">
        <w:rPr>
          <w:rFonts w:ascii="Times New Roman" w:eastAsia="Times New Roman" w:hAnsi="Times New Roman" w:cs="Times New Roman"/>
          <w:sz w:val="24"/>
          <w:szCs w:val="24"/>
        </w:rPr>
        <w:t>.</w:t>
      </w:r>
      <w:r w:rsidR="00F7584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 First, Georgia Power customers would be secure in their electric service</w:t>
      </w:r>
      <w:r w:rsidR="00F75840" w:rsidRPr="002C6F16">
        <w:rPr>
          <w:rFonts w:ascii="Times New Roman" w:eastAsia="Times New Roman" w:hAnsi="Times New Roman" w:cs="Times New Roman"/>
          <w:sz w:val="24"/>
          <w:szCs w:val="24"/>
        </w:rPr>
        <w:t>s as</w:t>
      </w:r>
      <w:r w:rsidRPr="002C6F16">
        <w:rPr>
          <w:rFonts w:ascii="Times New Roman" w:eastAsia="Times New Roman" w:hAnsi="Times New Roman" w:cs="Times New Roman"/>
          <w:sz w:val="24"/>
          <w:szCs w:val="24"/>
        </w:rPr>
        <w:t xml:space="preserve"> costs would remain </w:t>
      </w:r>
      <w:r w:rsidRPr="002C6F16">
        <w:rPr>
          <w:rFonts w:ascii="Times New Roman" w:eastAsia="Times New Roman" w:hAnsi="Times New Roman" w:cs="Times New Roman"/>
          <w:sz w:val="24"/>
          <w:szCs w:val="24"/>
        </w:rPr>
        <w:lastRenderedPageBreak/>
        <w:t>unchanged absent an increase in usage</w:t>
      </w:r>
      <w:r w:rsidR="00F7584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(Bond Roetger Direct, p. 6, ln. 19-21). </w:t>
      </w:r>
      <w:r w:rsidR="00F7584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Second, the Stipulation provides for the July 2028 Rate Case to be significantly more grounded in substantive data as opposed to forecasts</w:t>
      </w:r>
      <w:r w:rsidR="0051144B" w:rsidRPr="002C6F16">
        <w:rPr>
          <w:rFonts w:ascii="Times New Roman" w:eastAsia="Times New Roman" w:hAnsi="Times New Roman" w:cs="Times New Roman"/>
          <w:sz w:val="24"/>
          <w:szCs w:val="24"/>
        </w:rPr>
        <w:t>, particularly as it concerns prospective new large load customers</w:t>
      </w:r>
      <w:r w:rsidRPr="002C6F16">
        <w:rPr>
          <w:rFonts w:ascii="Times New Roman" w:eastAsia="Times New Roman" w:hAnsi="Times New Roman" w:cs="Times New Roman"/>
          <w:sz w:val="24"/>
          <w:szCs w:val="24"/>
        </w:rPr>
        <w:t>.</w:t>
      </w:r>
      <w:r w:rsidR="00F7584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 (Bond Roetger Direct, p. 7, ln. 2-3).</w:t>
      </w:r>
      <w:r w:rsidR="0051144B" w:rsidRPr="002C6F16">
        <w:rPr>
          <w:rFonts w:ascii="Times New Roman" w:eastAsia="Times New Roman" w:hAnsi="Times New Roman" w:cs="Times New Roman"/>
          <w:sz w:val="24"/>
          <w:szCs w:val="24"/>
        </w:rPr>
        <w:t xml:space="preserve"> </w:t>
      </w:r>
    </w:p>
    <w:p w14:paraId="1C57D378" w14:textId="77C4358E" w:rsidR="006E3493" w:rsidRPr="002C6F16" w:rsidRDefault="00E96D3C" w:rsidP="00AA30D8">
      <w:pPr>
        <w:spacing w:after="120" w:line="240" w:lineRule="auto"/>
        <w:ind w:firstLine="720"/>
        <w:jc w:val="both"/>
        <w:rPr>
          <w:rFonts w:ascii="Times New Roman" w:hAnsi="Times New Roman" w:cs="Times New Roman"/>
          <w:sz w:val="24"/>
          <w:szCs w:val="24"/>
        </w:rPr>
      </w:pPr>
      <w:r w:rsidRPr="002C6F16">
        <w:rPr>
          <w:rFonts w:ascii="Times New Roman" w:eastAsia="Times New Roman" w:hAnsi="Times New Roman" w:cs="Times New Roman"/>
          <w:sz w:val="24"/>
          <w:szCs w:val="24"/>
        </w:rPr>
        <w:t>The Bond Roetger Panel testified that the Company’s</w:t>
      </w:r>
      <w:r w:rsidR="0051144B" w:rsidRPr="002C6F16">
        <w:rPr>
          <w:rFonts w:ascii="Times New Roman" w:eastAsia="Times New Roman" w:hAnsi="Times New Roman" w:cs="Times New Roman"/>
          <w:sz w:val="24"/>
          <w:szCs w:val="24"/>
        </w:rPr>
        <w:t xml:space="preserve"> pro forma retail revenue deficiency model showed an aggregate deficiency amount of $2.588 billion over the 3-year extension period. </w:t>
      </w:r>
      <w:r w:rsidRPr="002C6F16">
        <w:rPr>
          <w:rFonts w:ascii="Times New Roman" w:eastAsia="Times New Roman" w:hAnsi="Times New Roman" w:cs="Times New Roman"/>
          <w:sz w:val="24"/>
          <w:szCs w:val="24"/>
        </w:rPr>
        <w:t>(Bond Roetger Direct, p. 10, ln. 3-5)</w:t>
      </w:r>
      <w:r w:rsidR="0051144B" w:rsidRPr="002C6F16">
        <w:rPr>
          <w:rFonts w:ascii="Times New Roman" w:eastAsia="Times New Roman" w:hAnsi="Times New Roman" w:cs="Times New Roman"/>
          <w:sz w:val="24"/>
          <w:szCs w:val="24"/>
        </w:rPr>
        <w:t>.</w:t>
      </w:r>
      <w:r w:rsidR="006E3493" w:rsidRPr="002C6F16">
        <w:rPr>
          <w:rFonts w:ascii="Times New Roman" w:eastAsia="Times New Roman" w:hAnsi="Times New Roman" w:cs="Times New Roman"/>
          <w:sz w:val="24"/>
          <w:szCs w:val="24"/>
        </w:rPr>
        <w:t xml:space="preserve"> </w:t>
      </w:r>
      <w:r w:rsidR="0050315E" w:rsidRPr="002C6F16">
        <w:rPr>
          <w:rFonts w:ascii="Times New Roman" w:eastAsia="Times New Roman" w:hAnsi="Times New Roman" w:cs="Times New Roman"/>
          <w:sz w:val="24"/>
          <w:szCs w:val="24"/>
        </w:rPr>
        <w:t xml:space="preserve">If the Company’s litigation position in the planned rate case was consistent with that amount, the Company could recommend that ratepayers pay the additional $2.588 billion over the 3-year period. The Panel stated that “[t]here is a very real risk that such a case could result in higher rates for customers.” (Bond Roetger Direct, p. 15, ln. 19-20).  </w:t>
      </w:r>
      <w:r w:rsidR="00832ACE" w:rsidRPr="002C6F16">
        <w:rPr>
          <w:rFonts w:ascii="Times New Roman" w:eastAsia="Times New Roman" w:hAnsi="Times New Roman" w:cs="Times New Roman"/>
          <w:sz w:val="24"/>
          <w:szCs w:val="24"/>
        </w:rPr>
        <w:t>The Panel further testified that t</w:t>
      </w:r>
      <w:r w:rsidR="0051144B" w:rsidRPr="002C6F16">
        <w:rPr>
          <w:rFonts w:ascii="Times New Roman" w:hAnsi="Times New Roman" w:cs="Times New Roman"/>
          <w:sz w:val="24"/>
          <w:szCs w:val="24"/>
        </w:rPr>
        <w:t xml:space="preserve">he accounting and expense adjustments </w:t>
      </w:r>
      <w:r w:rsidR="00832ACE" w:rsidRPr="002C6F16">
        <w:rPr>
          <w:rFonts w:ascii="Times New Roman" w:hAnsi="Times New Roman" w:cs="Times New Roman"/>
          <w:sz w:val="24"/>
          <w:szCs w:val="24"/>
        </w:rPr>
        <w:t>in the Settlement Agreement “</w:t>
      </w:r>
      <w:r w:rsidR="0051144B" w:rsidRPr="002C6F16">
        <w:rPr>
          <w:rFonts w:ascii="Times New Roman" w:hAnsi="Times New Roman" w:cs="Times New Roman"/>
          <w:sz w:val="24"/>
          <w:szCs w:val="24"/>
        </w:rPr>
        <w:t xml:space="preserve">offset only a portion of the Company’s forecasted revenue deficiency. Not including the potential deferrals under Paragraph 7 of the Stipulation, which can only be used to the extent the earned ROE is below the set point ROE, the adjustments offset only $853M of the $2.589B, leaving a much larger forecasted aggregate revenue deficiency of $1.736B over the 3-year period.” </w:t>
      </w:r>
      <w:r w:rsidR="00836F7A" w:rsidRPr="002C6F16">
        <w:rPr>
          <w:rFonts w:ascii="Times New Roman" w:eastAsia="Times New Roman" w:hAnsi="Times New Roman" w:cs="Times New Roman"/>
          <w:sz w:val="24"/>
          <w:szCs w:val="24"/>
        </w:rPr>
        <w:t xml:space="preserve">(Bond Roetger Direct, p. 10, ln. 7-9). </w:t>
      </w:r>
    </w:p>
    <w:p w14:paraId="3D11BB8D" w14:textId="262AF53C" w:rsidR="004C7A7C" w:rsidRPr="002C6F16" w:rsidRDefault="004C7A7C"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hAnsi="Times New Roman" w:cs="Times New Roman"/>
          <w:sz w:val="24"/>
          <w:szCs w:val="24"/>
        </w:rPr>
        <w:t xml:space="preserve">The Bond Roetger Panel further testified that the Settlement Agreement will continue to protect existing customers from the risk of bearing any of the costs of adding new large load customers. First, </w:t>
      </w:r>
      <w:r w:rsidR="00836F7A" w:rsidRPr="002C6F16">
        <w:rPr>
          <w:rFonts w:ascii="Times New Roman" w:hAnsi="Times New Roman" w:cs="Times New Roman"/>
          <w:sz w:val="24"/>
          <w:szCs w:val="24"/>
        </w:rPr>
        <w:t>it</w:t>
      </w:r>
      <w:r w:rsidRPr="002C6F16">
        <w:rPr>
          <w:rFonts w:ascii="Times New Roman" w:hAnsi="Times New Roman" w:cs="Times New Roman"/>
          <w:sz w:val="24"/>
          <w:szCs w:val="24"/>
        </w:rPr>
        <w:t xml:space="preserve"> </w:t>
      </w:r>
      <w:r w:rsidR="00055F4A" w:rsidRPr="002C6F16">
        <w:rPr>
          <w:rFonts w:ascii="Times New Roman" w:hAnsi="Times New Roman" w:cs="Times New Roman"/>
          <w:sz w:val="24"/>
          <w:szCs w:val="24"/>
        </w:rPr>
        <w:t>provides</w:t>
      </w:r>
      <w:r w:rsidRPr="002C6F16">
        <w:rPr>
          <w:rFonts w:ascii="Times New Roman" w:hAnsi="Times New Roman" w:cs="Times New Roman"/>
          <w:sz w:val="24"/>
          <w:szCs w:val="24"/>
        </w:rPr>
        <w:t xml:space="preserve"> rate stability for the next three years. Second,</w:t>
      </w:r>
      <w:r w:rsidR="00836F7A" w:rsidRPr="002C6F16">
        <w:rPr>
          <w:rFonts w:ascii="Times New Roman" w:hAnsi="Times New Roman" w:cs="Times New Roman"/>
          <w:sz w:val="24"/>
          <w:szCs w:val="24"/>
        </w:rPr>
        <w:t xml:space="preserve"> it ensures that in the 2028 rate case the Commission will have detailed cost of service data relating to the new capacity for the large load customers at issue in the 2023 Amended Integrated Resource Planning (“IRP”) case and the 2025 IRP case.</w:t>
      </w:r>
      <w:r w:rsidR="00836F7A" w:rsidRPr="002C6F16">
        <w:rPr>
          <w:rFonts w:ascii="Times New Roman" w:eastAsia="Times New Roman" w:hAnsi="Times New Roman" w:cs="Times New Roman"/>
          <w:sz w:val="24"/>
          <w:szCs w:val="24"/>
        </w:rPr>
        <w:t xml:space="preserve"> (Bond Roetger Direct, p. 14, ln. 15 </w:t>
      </w:r>
      <w:proofErr w:type="spellStart"/>
      <w:r w:rsidR="00836F7A" w:rsidRPr="002C6F16">
        <w:rPr>
          <w:rFonts w:ascii="Times New Roman" w:eastAsia="Times New Roman" w:hAnsi="Times New Roman" w:cs="Times New Roman"/>
          <w:sz w:val="24"/>
          <w:szCs w:val="24"/>
        </w:rPr>
        <w:t>to p</w:t>
      </w:r>
      <w:proofErr w:type="spellEnd"/>
      <w:r w:rsidR="00836F7A" w:rsidRPr="002C6F16">
        <w:rPr>
          <w:rFonts w:ascii="Times New Roman" w:eastAsia="Times New Roman" w:hAnsi="Times New Roman" w:cs="Times New Roman"/>
          <w:sz w:val="24"/>
          <w:szCs w:val="24"/>
        </w:rPr>
        <w:t xml:space="preserve">. 15, ln. 9).  </w:t>
      </w:r>
    </w:p>
    <w:p w14:paraId="209D6206" w14:textId="60F4F804" w:rsidR="006E3493" w:rsidRPr="002C6F16" w:rsidRDefault="006E3493"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 xml:space="preserve">The Abramovitz Berrigan Panel </w:t>
      </w:r>
      <w:r w:rsidR="0040652D" w:rsidRPr="002C6F16">
        <w:rPr>
          <w:rFonts w:ascii="Times New Roman" w:eastAsia="Times New Roman" w:hAnsi="Times New Roman" w:cs="Times New Roman"/>
          <w:sz w:val="24"/>
          <w:szCs w:val="24"/>
        </w:rPr>
        <w:t>also</w:t>
      </w:r>
      <w:r w:rsidRPr="002C6F16">
        <w:rPr>
          <w:rFonts w:ascii="Times New Roman" w:eastAsia="Times New Roman" w:hAnsi="Times New Roman" w:cs="Times New Roman"/>
          <w:sz w:val="24"/>
          <w:szCs w:val="24"/>
        </w:rPr>
        <w:t xml:space="preserve"> advocated for </w:t>
      </w:r>
      <w:r w:rsidR="00F75840" w:rsidRPr="002C6F16">
        <w:rPr>
          <w:rFonts w:ascii="Times New Roman" w:eastAsia="Times New Roman" w:hAnsi="Times New Roman" w:cs="Times New Roman"/>
          <w:sz w:val="24"/>
          <w:szCs w:val="24"/>
        </w:rPr>
        <w:t xml:space="preserve">approval of </w:t>
      </w:r>
      <w:r w:rsidRPr="002C6F16">
        <w:rPr>
          <w:rFonts w:ascii="Times New Roman" w:eastAsia="Times New Roman" w:hAnsi="Times New Roman" w:cs="Times New Roman"/>
          <w:sz w:val="24"/>
          <w:szCs w:val="24"/>
        </w:rPr>
        <w:t xml:space="preserve">the </w:t>
      </w:r>
      <w:r w:rsidR="00814175" w:rsidRPr="002C6F16">
        <w:rPr>
          <w:rFonts w:ascii="Times New Roman" w:hAnsi="Times New Roman" w:cs="Times New Roman"/>
          <w:sz w:val="24"/>
          <w:szCs w:val="24"/>
        </w:rPr>
        <w:t>Settlement Agreement</w:t>
      </w:r>
      <w:r w:rsidRPr="002C6F16">
        <w:rPr>
          <w:rFonts w:ascii="Times New Roman" w:eastAsia="Times New Roman" w:hAnsi="Times New Roman" w:cs="Times New Roman"/>
          <w:sz w:val="24"/>
          <w:szCs w:val="24"/>
        </w:rPr>
        <w:t xml:space="preserve">, testifying that the </w:t>
      </w:r>
      <w:r w:rsidR="00814175" w:rsidRPr="002C6F16">
        <w:rPr>
          <w:rFonts w:ascii="Times New Roman" w:hAnsi="Times New Roman" w:cs="Times New Roman"/>
          <w:sz w:val="24"/>
          <w:szCs w:val="24"/>
        </w:rPr>
        <w:t>Settlement Agreement</w:t>
      </w:r>
      <w:r w:rsidRPr="002C6F16">
        <w:rPr>
          <w:rFonts w:ascii="Times New Roman" w:eastAsia="Times New Roman" w:hAnsi="Times New Roman" w:cs="Times New Roman"/>
          <w:sz w:val="24"/>
          <w:szCs w:val="24"/>
        </w:rPr>
        <w:t xml:space="preserve">’s terms are </w:t>
      </w:r>
      <w:proofErr w:type="gramStart"/>
      <w:r w:rsidRPr="002C6F16">
        <w:rPr>
          <w:rFonts w:ascii="Times New Roman" w:eastAsia="Times New Roman" w:hAnsi="Times New Roman" w:cs="Times New Roman"/>
          <w:sz w:val="24"/>
          <w:szCs w:val="24"/>
        </w:rPr>
        <w:t>just,</w:t>
      </w:r>
      <w:proofErr w:type="gramEnd"/>
      <w:r w:rsidRPr="002C6F16">
        <w:rPr>
          <w:rFonts w:ascii="Times New Roman" w:eastAsia="Times New Roman" w:hAnsi="Times New Roman" w:cs="Times New Roman"/>
          <w:sz w:val="24"/>
          <w:szCs w:val="24"/>
        </w:rPr>
        <w:t xml:space="preserve"> reasonable, and in the best interests of customers</w:t>
      </w:r>
      <w:proofErr w:type="gramStart"/>
      <w:r w:rsidRPr="002C6F16">
        <w:rPr>
          <w:rFonts w:ascii="Times New Roman" w:eastAsia="Times New Roman" w:hAnsi="Times New Roman" w:cs="Times New Roman"/>
          <w:sz w:val="24"/>
          <w:szCs w:val="24"/>
        </w:rPr>
        <w:t xml:space="preserve">. </w:t>
      </w:r>
      <w:r w:rsidR="00F75840" w:rsidRPr="002C6F16">
        <w:rPr>
          <w:rFonts w:ascii="Times New Roman" w:eastAsia="Times New Roman" w:hAnsi="Times New Roman" w:cs="Times New Roman"/>
          <w:sz w:val="24"/>
          <w:szCs w:val="24"/>
        </w:rPr>
        <w:t xml:space="preserve"> </w:t>
      </w:r>
      <w:proofErr w:type="gramEnd"/>
      <w:r w:rsidRPr="002C6F16">
        <w:rPr>
          <w:rFonts w:ascii="Times New Roman" w:eastAsia="Times New Roman" w:hAnsi="Times New Roman" w:cs="Times New Roman"/>
          <w:sz w:val="24"/>
          <w:szCs w:val="24"/>
        </w:rPr>
        <w:t>(</w:t>
      </w:r>
      <w:r w:rsidR="00F75840" w:rsidRPr="002C6F16">
        <w:rPr>
          <w:rFonts w:ascii="Times New Roman" w:eastAsia="Times New Roman" w:hAnsi="Times New Roman" w:cs="Times New Roman"/>
          <w:sz w:val="24"/>
          <w:szCs w:val="24"/>
        </w:rPr>
        <w:t xml:space="preserve">Abramovitz Berrigan </w:t>
      </w:r>
      <w:r w:rsidRPr="002C6F16">
        <w:rPr>
          <w:rFonts w:ascii="Times New Roman" w:eastAsia="Times New Roman" w:hAnsi="Times New Roman" w:cs="Times New Roman"/>
          <w:sz w:val="24"/>
          <w:szCs w:val="24"/>
        </w:rPr>
        <w:t xml:space="preserve">Panel, p. 3, ln. 20-24). </w:t>
      </w:r>
      <w:r w:rsidR="00F7584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The </w:t>
      </w:r>
      <w:r w:rsidR="00F75840" w:rsidRPr="002C6F16">
        <w:rPr>
          <w:rFonts w:ascii="Times New Roman" w:eastAsia="Times New Roman" w:hAnsi="Times New Roman" w:cs="Times New Roman"/>
          <w:sz w:val="24"/>
          <w:szCs w:val="24"/>
        </w:rPr>
        <w:t>p</w:t>
      </w:r>
      <w:r w:rsidRPr="002C6F16">
        <w:rPr>
          <w:rFonts w:ascii="Times New Roman" w:eastAsia="Times New Roman" w:hAnsi="Times New Roman" w:cs="Times New Roman"/>
          <w:sz w:val="24"/>
          <w:szCs w:val="24"/>
        </w:rPr>
        <w:t>anel further testified that the Company is dutifully committed to providing its customers with safe, reliable, clean, and affordable energy.</w:t>
      </w:r>
      <w:r w:rsidR="00F7584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 (</w:t>
      </w:r>
      <w:r w:rsidR="00F75840" w:rsidRPr="002C6F16">
        <w:rPr>
          <w:rFonts w:ascii="Times New Roman" w:eastAsia="Times New Roman" w:hAnsi="Times New Roman" w:cs="Times New Roman"/>
          <w:sz w:val="24"/>
          <w:szCs w:val="24"/>
        </w:rPr>
        <w:t xml:space="preserve">Abramovitz Berrigan </w:t>
      </w:r>
      <w:r w:rsidRPr="002C6F16">
        <w:rPr>
          <w:rFonts w:ascii="Times New Roman" w:eastAsia="Times New Roman" w:hAnsi="Times New Roman" w:cs="Times New Roman"/>
          <w:sz w:val="24"/>
          <w:szCs w:val="24"/>
        </w:rPr>
        <w:t xml:space="preserve">Panel, p. 5, ln. 10-11). </w:t>
      </w:r>
      <w:r w:rsidR="00F7584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When asked how would the </w:t>
      </w:r>
      <w:r w:rsidR="00814175" w:rsidRPr="002C6F16">
        <w:rPr>
          <w:rFonts w:ascii="Times New Roman" w:hAnsi="Times New Roman" w:cs="Times New Roman"/>
          <w:sz w:val="24"/>
          <w:szCs w:val="24"/>
        </w:rPr>
        <w:t xml:space="preserve">Settlement Agreement </w:t>
      </w:r>
      <w:r w:rsidRPr="002C6F16">
        <w:rPr>
          <w:rFonts w:ascii="Times New Roman" w:eastAsia="Times New Roman" w:hAnsi="Times New Roman" w:cs="Times New Roman"/>
          <w:sz w:val="24"/>
          <w:szCs w:val="24"/>
        </w:rPr>
        <w:t>would affect the terms of the 2022 ARP, the panel explained that the company would continue (1) operating within the earnings band of 9.5 % - 11.9% that was approved in the 2022 Rate Case Order, (2) annual surveillance reporting under the ARP, (3) share 80% of any earnings above the  band</w:t>
      </w:r>
      <w:r w:rsidR="004C7A7C" w:rsidRPr="002C6F16">
        <w:rPr>
          <w:rFonts w:ascii="Times New Roman" w:eastAsia="Times New Roman" w:hAnsi="Times New Roman" w:cs="Times New Roman"/>
          <w:sz w:val="24"/>
          <w:szCs w:val="24"/>
        </w:rPr>
        <w:t xml:space="preserve"> with customers</w:t>
      </w:r>
      <w:r w:rsidRPr="002C6F16">
        <w:rPr>
          <w:rFonts w:ascii="Times New Roman" w:eastAsia="Times New Roman" w:hAnsi="Times New Roman" w:cs="Times New Roman"/>
          <w:sz w:val="24"/>
          <w:szCs w:val="24"/>
        </w:rPr>
        <w:t>, all per the 2022 ARP, and (3) agree to not file a base rate case or implement the interim cost recovery mechanism, unless projected earnings drop below the bottom of the earnings band.</w:t>
      </w:r>
      <w:r w:rsidR="00F7584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 (</w:t>
      </w:r>
      <w:r w:rsidR="00F75840" w:rsidRPr="002C6F16">
        <w:rPr>
          <w:rFonts w:ascii="Times New Roman" w:eastAsia="Times New Roman" w:hAnsi="Times New Roman" w:cs="Times New Roman"/>
          <w:sz w:val="24"/>
          <w:szCs w:val="24"/>
        </w:rPr>
        <w:t xml:space="preserve">Abramovitz Berrigan </w:t>
      </w:r>
      <w:r w:rsidRPr="002C6F16">
        <w:rPr>
          <w:rFonts w:ascii="Times New Roman" w:eastAsia="Times New Roman" w:hAnsi="Times New Roman" w:cs="Times New Roman"/>
          <w:sz w:val="24"/>
          <w:szCs w:val="24"/>
        </w:rPr>
        <w:t xml:space="preserve">Panel, p. 6, ln. 8-14). The Hearing concluded immediately after the </w:t>
      </w:r>
      <w:r w:rsidR="00373BFE" w:rsidRPr="002C6F16">
        <w:rPr>
          <w:rFonts w:ascii="Times New Roman" w:eastAsia="Times New Roman" w:hAnsi="Times New Roman" w:cs="Times New Roman"/>
          <w:sz w:val="24"/>
          <w:szCs w:val="24"/>
        </w:rPr>
        <w:t>Abramovitz Berrigan</w:t>
      </w:r>
      <w:r w:rsidRPr="002C6F16">
        <w:rPr>
          <w:rFonts w:ascii="Times New Roman" w:eastAsia="Times New Roman" w:hAnsi="Times New Roman" w:cs="Times New Roman"/>
          <w:sz w:val="24"/>
          <w:szCs w:val="24"/>
        </w:rPr>
        <w:t xml:space="preserve"> Panel ended</w:t>
      </w:r>
      <w:proofErr w:type="gramStart"/>
      <w:r w:rsidRPr="002C6F16">
        <w:rPr>
          <w:rFonts w:ascii="Times New Roman" w:eastAsia="Times New Roman" w:hAnsi="Times New Roman" w:cs="Times New Roman"/>
          <w:sz w:val="24"/>
          <w:szCs w:val="24"/>
        </w:rPr>
        <w:t xml:space="preserve">. </w:t>
      </w:r>
      <w:r w:rsidR="00F75840" w:rsidRPr="002C6F16">
        <w:rPr>
          <w:rFonts w:ascii="Times New Roman" w:eastAsia="Times New Roman" w:hAnsi="Times New Roman" w:cs="Times New Roman"/>
          <w:sz w:val="24"/>
          <w:szCs w:val="24"/>
        </w:rPr>
        <w:t xml:space="preserve"> </w:t>
      </w:r>
      <w:proofErr w:type="gramEnd"/>
      <w:r w:rsidR="00F75840" w:rsidRPr="002C6F16">
        <w:rPr>
          <w:rFonts w:ascii="Times New Roman" w:eastAsia="Times New Roman" w:hAnsi="Times New Roman" w:cs="Times New Roman"/>
          <w:sz w:val="24"/>
          <w:szCs w:val="24"/>
        </w:rPr>
        <w:t xml:space="preserve"> </w:t>
      </w:r>
    </w:p>
    <w:p w14:paraId="453D9045" w14:textId="260F1DCC" w:rsidR="006E3493" w:rsidRPr="002C6F16" w:rsidRDefault="006E3493"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 xml:space="preserve">On June 30, 2025, Georgia Interfaith Power &amp; Light (“GIPL”) submitted its Post-Hearing Brief and Proposed Motion (“GILP </w:t>
      </w:r>
      <w:r w:rsidR="00373BFE">
        <w:rPr>
          <w:rFonts w:ascii="Times New Roman" w:eastAsia="Times New Roman" w:hAnsi="Times New Roman" w:cs="Times New Roman"/>
          <w:sz w:val="24"/>
          <w:szCs w:val="24"/>
        </w:rPr>
        <w:t xml:space="preserve">Proposed </w:t>
      </w:r>
      <w:r w:rsidRPr="002C6F16">
        <w:rPr>
          <w:rFonts w:ascii="Times New Roman" w:eastAsia="Times New Roman" w:hAnsi="Times New Roman" w:cs="Times New Roman"/>
          <w:sz w:val="24"/>
          <w:szCs w:val="24"/>
        </w:rPr>
        <w:t xml:space="preserve">Motion”). </w:t>
      </w:r>
      <w:r w:rsidR="00F7584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The GIPL </w:t>
      </w:r>
      <w:r w:rsidR="00373BFE">
        <w:rPr>
          <w:rFonts w:ascii="Times New Roman" w:eastAsia="Times New Roman" w:hAnsi="Times New Roman" w:cs="Times New Roman"/>
          <w:sz w:val="24"/>
          <w:szCs w:val="24"/>
        </w:rPr>
        <w:t xml:space="preserve">Proposed </w:t>
      </w:r>
      <w:r w:rsidRPr="002C6F16">
        <w:rPr>
          <w:rFonts w:ascii="Times New Roman" w:eastAsia="Times New Roman" w:hAnsi="Times New Roman" w:cs="Times New Roman"/>
          <w:sz w:val="24"/>
          <w:szCs w:val="24"/>
        </w:rPr>
        <w:t xml:space="preserve">Motion urged the Commission to ensure that loopholes in </w:t>
      </w:r>
      <w:r w:rsidR="00F75840" w:rsidRPr="002C6F16">
        <w:rPr>
          <w:rFonts w:ascii="Times New Roman" w:eastAsia="Times New Roman" w:hAnsi="Times New Roman" w:cs="Times New Roman"/>
          <w:sz w:val="24"/>
          <w:szCs w:val="24"/>
        </w:rPr>
        <w:t xml:space="preserve">the </w:t>
      </w:r>
      <w:r w:rsidRPr="002C6F16">
        <w:rPr>
          <w:rFonts w:ascii="Times New Roman" w:eastAsia="Times New Roman" w:hAnsi="Times New Roman" w:cs="Times New Roman"/>
          <w:sz w:val="24"/>
          <w:szCs w:val="24"/>
        </w:rPr>
        <w:t xml:space="preserve">large load rules are closed, verify that </w:t>
      </w:r>
      <w:r w:rsidR="00F75840" w:rsidRPr="002C6F16">
        <w:rPr>
          <w:rFonts w:ascii="Times New Roman" w:eastAsia="Times New Roman" w:hAnsi="Times New Roman" w:cs="Times New Roman"/>
          <w:sz w:val="24"/>
          <w:szCs w:val="24"/>
        </w:rPr>
        <w:t xml:space="preserve">Georgia Power </w:t>
      </w:r>
      <w:r w:rsidRPr="002C6F16">
        <w:rPr>
          <w:rFonts w:ascii="Times New Roman" w:eastAsia="Times New Roman" w:hAnsi="Times New Roman" w:cs="Times New Roman"/>
          <w:sz w:val="24"/>
          <w:szCs w:val="24"/>
        </w:rPr>
        <w:t xml:space="preserve">customers do not bear the cost of the Company’s preliminary revenue deficiency, </w:t>
      </w:r>
      <w:r w:rsidR="00F75840" w:rsidRPr="002C6F16">
        <w:rPr>
          <w:rFonts w:ascii="Times New Roman" w:eastAsia="Times New Roman" w:hAnsi="Times New Roman" w:cs="Times New Roman"/>
          <w:sz w:val="24"/>
          <w:szCs w:val="24"/>
        </w:rPr>
        <w:t xml:space="preserve">and </w:t>
      </w:r>
      <w:r w:rsidRPr="002C6F16">
        <w:rPr>
          <w:rFonts w:ascii="Times New Roman" w:eastAsia="Times New Roman" w:hAnsi="Times New Roman" w:cs="Times New Roman"/>
          <w:sz w:val="24"/>
          <w:szCs w:val="24"/>
        </w:rPr>
        <w:t>order the Company to provide load, generation, and real-time energy pricing data ahead of the 2028 rate case. (</w:t>
      </w:r>
      <w:r w:rsidR="00F75840" w:rsidRPr="002C6F16">
        <w:rPr>
          <w:rFonts w:ascii="Times New Roman" w:eastAsia="Times New Roman" w:hAnsi="Times New Roman" w:cs="Times New Roman"/>
          <w:sz w:val="24"/>
          <w:szCs w:val="24"/>
        </w:rPr>
        <w:t xml:space="preserve">GIPL Motion, </w:t>
      </w:r>
      <w:r w:rsidRPr="002C6F16">
        <w:rPr>
          <w:rFonts w:ascii="Times New Roman" w:eastAsia="Times New Roman" w:hAnsi="Times New Roman" w:cs="Times New Roman"/>
          <w:sz w:val="24"/>
          <w:szCs w:val="24"/>
        </w:rPr>
        <w:t>p. 5).</w:t>
      </w:r>
      <w:r w:rsidR="00F7584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 The Commission </w:t>
      </w:r>
      <w:r w:rsidR="00C118DB" w:rsidRPr="002C6F16">
        <w:rPr>
          <w:rFonts w:ascii="Times New Roman" w:eastAsia="Times New Roman" w:hAnsi="Times New Roman" w:cs="Times New Roman"/>
          <w:sz w:val="24"/>
          <w:szCs w:val="24"/>
        </w:rPr>
        <w:t>did not</w:t>
      </w:r>
      <w:r w:rsidRPr="002C6F16">
        <w:rPr>
          <w:rFonts w:ascii="Times New Roman" w:eastAsia="Times New Roman" w:hAnsi="Times New Roman" w:cs="Times New Roman"/>
          <w:sz w:val="24"/>
          <w:szCs w:val="24"/>
        </w:rPr>
        <w:t xml:space="preserve"> rule</w:t>
      </w:r>
      <w:r w:rsidR="00C118DB" w:rsidRPr="002C6F16">
        <w:rPr>
          <w:rFonts w:ascii="Times New Roman" w:eastAsia="Times New Roman" w:hAnsi="Times New Roman" w:cs="Times New Roman"/>
          <w:sz w:val="24"/>
          <w:szCs w:val="24"/>
        </w:rPr>
        <w:t xml:space="preserve"> to accept</w:t>
      </w:r>
      <w:r w:rsidRPr="002C6F16">
        <w:rPr>
          <w:rFonts w:ascii="Times New Roman" w:eastAsia="Times New Roman" w:hAnsi="Times New Roman" w:cs="Times New Roman"/>
          <w:sz w:val="24"/>
          <w:szCs w:val="24"/>
        </w:rPr>
        <w:t xml:space="preserve"> the GIPL </w:t>
      </w:r>
      <w:r w:rsidR="00373BFE">
        <w:rPr>
          <w:rFonts w:ascii="Times New Roman" w:eastAsia="Times New Roman" w:hAnsi="Times New Roman" w:cs="Times New Roman"/>
          <w:sz w:val="24"/>
          <w:szCs w:val="24"/>
        </w:rPr>
        <w:t xml:space="preserve">Proposed </w:t>
      </w:r>
      <w:r w:rsidRPr="002C6F16">
        <w:rPr>
          <w:rFonts w:ascii="Times New Roman" w:eastAsia="Times New Roman" w:hAnsi="Times New Roman" w:cs="Times New Roman"/>
          <w:sz w:val="24"/>
          <w:szCs w:val="24"/>
        </w:rPr>
        <w:t xml:space="preserve">Motion. </w:t>
      </w:r>
    </w:p>
    <w:p w14:paraId="2F0DCA80" w14:textId="57E8FB52" w:rsidR="006E3493" w:rsidRPr="002C6F16" w:rsidRDefault="006E3493"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lastRenderedPageBreak/>
        <w:t xml:space="preserve">During its July 1, 2025, regular Administrative Session, the Commission voted to approve the </w:t>
      </w:r>
      <w:r w:rsidR="00814175" w:rsidRPr="002C6F16">
        <w:rPr>
          <w:rFonts w:ascii="Times New Roman" w:hAnsi="Times New Roman" w:cs="Times New Roman"/>
          <w:sz w:val="24"/>
          <w:szCs w:val="24"/>
        </w:rPr>
        <w:t>Settlement Agreement</w:t>
      </w:r>
      <w:r w:rsidRPr="002C6F16">
        <w:rPr>
          <w:rFonts w:ascii="Times New Roman" w:eastAsia="Times New Roman" w:hAnsi="Times New Roman" w:cs="Times New Roman"/>
          <w:sz w:val="24"/>
          <w:szCs w:val="24"/>
        </w:rPr>
        <w:t>.</w:t>
      </w:r>
    </w:p>
    <w:p w14:paraId="0DE239B0" w14:textId="5F4D7BE1" w:rsidR="007F535A" w:rsidRPr="002C6F16" w:rsidRDefault="001C3B78" w:rsidP="007F535A">
      <w:pPr>
        <w:pStyle w:val="ListParagraph"/>
        <w:numPr>
          <w:ilvl w:val="0"/>
          <w:numId w:val="19"/>
        </w:numPr>
        <w:spacing w:after="120"/>
        <w:jc w:val="both"/>
        <w:rPr>
          <w:rFonts w:ascii="Times New Roman" w:eastAsia="Times New Roman" w:hAnsi="Times New Roman" w:cs="Times New Roman"/>
          <w:b/>
          <w:bCs/>
          <w:i/>
          <w:iCs/>
          <w:color w:val="000000" w:themeColor="text1"/>
          <w:sz w:val="24"/>
          <w:szCs w:val="24"/>
        </w:rPr>
      </w:pPr>
      <w:r w:rsidRPr="002C6F16">
        <w:rPr>
          <w:rFonts w:ascii="Times New Roman" w:eastAsia="Times New Roman" w:hAnsi="Times New Roman" w:cs="Times New Roman"/>
          <w:b/>
          <w:bCs/>
          <w:i/>
          <w:iCs/>
          <w:color w:val="000000" w:themeColor="text1"/>
          <w:sz w:val="24"/>
          <w:szCs w:val="24"/>
        </w:rPr>
        <w:t>Motion to Extend Procedural Schedule</w:t>
      </w:r>
      <w:r w:rsidR="007F535A" w:rsidRPr="002C6F16">
        <w:rPr>
          <w:rFonts w:ascii="Times New Roman" w:eastAsia="Times New Roman" w:hAnsi="Times New Roman" w:cs="Times New Roman"/>
          <w:b/>
          <w:bCs/>
          <w:i/>
          <w:iCs/>
          <w:color w:val="000000" w:themeColor="text1"/>
          <w:sz w:val="24"/>
          <w:szCs w:val="24"/>
        </w:rPr>
        <w:t>.</w:t>
      </w:r>
    </w:p>
    <w:p w14:paraId="77AD37C8" w14:textId="77777777" w:rsidR="0040652D" w:rsidRPr="002C6F16" w:rsidRDefault="00184616" w:rsidP="00CE53FF">
      <w:pPr>
        <w:spacing w:after="120" w:line="240" w:lineRule="auto"/>
        <w:ind w:firstLine="720"/>
        <w:jc w:val="both"/>
        <w:rPr>
          <w:rFonts w:ascii="Times New Roman" w:hAnsi="Times New Roman" w:cs="Times New Roman"/>
          <w:sz w:val="24"/>
          <w:szCs w:val="24"/>
        </w:rPr>
      </w:pPr>
      <w:r w:rsidRPr="002C6F16">
        <w:rPr>
          <w:rFonts w:ascii="Times New Roman" w:eastAsia="Times New Roman" w:hAnsi="Times New Roman" w:cs="Times New Roman"/>
          <w:color w:val="000000" w:themeColor="text1"/>
          <w:sz w:val="24"/>
          <w:szCs w:val="24"/>
        </w:rPr>
        <w:t>On June 30, 2025,</w:t>
      </w:r>
      <w:r w:rsidR="0040652D" w:rsidRPr="002C6F16">
        <w:rPr>
          <w:rFonts w:ascii="Times New Roman" w:eastAsia="Times New Roman" w:hAnsi="Times New Roman" w:cs="Times New Roman"/>
          <w:color w:val="000000" w:themeColor="text1"/>
          <w:sz w:val="24"/>
          <w:szCs w:val="24"/>
        </w:rPr>
        <w:t xml:space="preserve"> four days after the hearing concluded,</w:t>
      </w:r>
      <w:r w:rsidRPr="002C6F16">
        <w:rPr>
          <w:rFonts w:ascii="Times New Roman" w:eastAsia="Times New Roman" w:hAnsi="Times New Roman" w:cs="Times New Roman"/>
          <w:color w:val="000000" w:themeColor="text1"/>
          <w:sz w:val="24"/>
          <w:szCs w:val="24"/>
        </w:rPr>
        <w:t xml:space="preserve"> </w:t>
      </w:r>
      <w:r w:rsidRPr="002C6F16">
        <w:rPr>
          <w:rFonts w:ascii="Times New Roman" w:eastAsia="Calibri" w:hAnsi="Times New Roman" w:cs="Times New Roman"/>
          <w:sz w:val="24"/>
          <w:szCs w:val="24"/>
        </w:rPr>
        <w:t>Georgia Wand Education Fund filed a Motion to Extend the Commission’s Procedural Schedule</w:t>
      </w:r>
      <w:r w:rsidR="0040652D" w:rsidRPr="002C6F16">
        <w:rPr>
          <w:rFonts w:ascii="Times New Roman" w:eastAsia="Calibri" w:hAnsi="Times New Roman" w:cs="Times New Roman"/>
          <w:sz w:val="24"/>
          <w:szCs w:val="24"/>
        </w:rPr>
        <w:t xml:space="preserve"> by setting a new deadline for pre-filed testimony</w:t>
      </w:r>
      <w:r w:rsidR="001C3B78" w:rsidRPr="002C6F16">
        <w:rPr>
          <w:rFonts w:ascii="Times New Roman" w:eastAsia="Calibri" w:hAnsi="Times New Roman" w:cs="Times New Roman"/>
          <w:sz w:val="24"/>
          <w:szCs w:val="24"/>
        </w:rPr>
        <w:t xml:space="preserve">.  </w:t>
      </w:r>
      <w:r w:rsidR="00CE53FF" w:rsidRPr="002C6F16">
        <w:rPr>
          <w:rFonts w:ascii="Times New Roman" w:hAnsi="Times New Roman" w:cs="Times New Roman"/>
          <w:sz w:val="24"/>
          <w:szCs w:val="24"/>
        </w:rPr>
        <w:t xml:space="preserve">The </w:t>
      </w:r>
      <w:r w:rsidR="001C3B78" w:rsidRPr="002C6F16">
        <w:rPr>
          <w:rFonts w:ascii="Times New Roman" w:hAnsi="Times New Roman" w:cs="Times New Roman"/>
          <w:sz w:val="24"/>
          <w:szCs w:val="24"/>
        </w:rPr>
        <w:t xml:space="preserve">Procedural and Scheduling Order </w:t>
      </w:r>
      <w:r w:rsidR="00CE53FF" w:rsidRPr="002C6F16">
        <w:rPr>
          <w:rFonts w:ascii="Times New Roman" w:hAnsi="Times New Roman" w:cs="Times New Roman"/>
          <w:sz w:val="24"/>
          <w:szCs w:val="24"/>
        </w:rPr>
        <w:t xml:space="preserve">in this case was issued May 20, 2025.  It </w:t>
      </w:r>
      <w:r w:rsidR="001C3B78" w:rsidRPr="002C6F16">
        <w:rPr>
          <w:rFonts w:ascii="Times New Roman" w:hAnsi="Times New Roman" w:cs="Times New Roman"/>
          <w:sz w:val="24"/>
          <w:szCs w:val="24"/>
        </w:rPr>
        <w:t xml:space="preserve">set the procedure, </w:t>
      </w:r>
      <w:r w:rsidR="00CE53FF" w:rsidRPr="002C6F16">
        <w:rPr>
          <w:rFonts w:ascii="Times New Roman" w:hAnsi="Times New Roman" w:cs="Times New Roman"/>
          <w:sz w:val="24"/>
          <w:szCs w:val="24"/>
        </w:rPr>
        <w:t xml:space="preserve">the </w:t>
      </w:r>
      <w:r w:rsidR="001C3B78" w:rsidRPr="002C6F16">
        <w:rPr>
          <w:rFonts w:ascii="Times New Roman" w:hAnsi="Times New Roman" w:cs="Times New Roman"/>
          <w:sz w:val="24"/>
          <w:szCs w:val="24"/>
        </w:rPr>
        <w:t xml:space="preserve">testimony filing dates, and </w:t>
      </w:r>
      <w:r w:rsidR="00CE53FF" w:rsidRPr="002C6F16">
        <w:rPr>
          <w:rFonts w:ascii="Times New Roman" w:hAnsi="Times New Roman" w:cs="Times New Roman"/>
          <w:sz w:val="24"/>
          <w:szCs w:val="24"/>
        </w:rPr>
        <w:t xml:space="preserve">the </w:t>
      </w:r>
      <w:r w:rsidR="001C3B78" w:rsidRPr="002C6F16">
        <w:rPr>
          <w:rFonts w:ascii="Times New Roman" w:hAnsi="Times New Roman" w:cs="Times New Roman"/>
          <w:sz w:val="24"/>
          <w:szCs w:val="24"/>
        </w:rPr>
        <w:t>hearing date for this matter.</w:t>
      </w:r>
      <w:r w:rsidR="00CE53FF" w:rsidRPr="002C6F16">
        <w:rPr>
          <w:rFonts w:ascii="Times New Roman" w:hAnsi="Times New Roman" w:cs="Times New Roman"/>
          <w:sz w:val="24"/>
          <w:szCs w:val="24"/>
          <w14:ligatures w14:val="standardContextual"/>
        </w:rPr>
        <w:t xml:space="preserve"> </w:t>
      </w:r>
      <w:r w:rsidR="00CE53FF" w:rsidRPr="002C6F16">
        <w:rPr>
          <w:rFonts w:ascii="Times New Roman" w:hAnsi="Times New Roman" w:cs="Times New Roman"/>
          <w:sz w:val="24"/>
          <w:szCs w:val="24"/>
        </w:rPr>
        <w:t>Pursuant to Commission Rule 515-2-1.08, a motion for reconsideration for a Commission order must be filed within ten days from the effective date of the order.</w:t>
      </w:r>
      <w:r w:rsidR="0040652D" w:rsidRPr="002C6F16">
        <w:rPr>
          <w:rFonts w:ascii="Times New Roman" w:hAnsi="Times New Roman" w:cs="Times New Roman"/>
          <w:sz w:val="24"/>
          <w:szCs w:val="24"/>
        </w:rPr>
        <w:t xml:space="preserve"> Georgia Wand’s motion is well beyond the 10-day reconsideration period.</w:t>
      </w:r>
      <w:r w:rsidR="00CE53FF" w:rsidRPr="002C6F16">
        <w:rPr>
          <w:rFonts w:ascii="Times New Roman" w:hAnsi="Times New Roman" w:cs="Times New Roman"/>
          <w:sz w:val="24"/>
          <w:szCs w:val="24"/>
        </w:rPr>
        <w:t xml:space="preserve"> Of note, O.C.G.A. 46-2-59(j) states: “Nothing in this Code section shall be construed to prohibit the Commission from taking any action prior to the expiration of the 30-day period during which persons are permitted to file applications for leave to intervene.” </w:t>
      </w:r>
    </w:p>
    <w:p w14:paraId="23B95069" w14:textId="0F7956B1" w:rsidR="00CE53FF" w:rsidRPr="002C6F16" w:rsidRDefault="00CE53FF" w:rsidP="00055F4A">
      <w:pPr>
        <w:spacing w:after="240" w:line="240" w:lineRule="auto"/>
        <w:ind w:firstLine="720"/>
        <w:jc w:val="both"/>
        <w:rPr>
          <w:rFonts w:ascii="Times New Roman" w:hAnsi="Times New Roman" w:cs="Times New Roman"/>
          <w:sz w:val="24"/>
          <w:szCs w:val="24"/>
        </w:rPr>
      </w:pPr>
      <w:r w:rsidRPr="002C6F16">
        <w:rPr>
          <w:rFonts w:ascii="Times New Roman" w:hAnsi="Times New Roman" w:cs="Times New Roman"/>
          <w:sz w:val="24"/>
          <w:szCs w:val="24"/>
        </w:rPr>
        <w:t xml:space="preserve">Furthermore, </w:t>
      </w:r>
      <w:r w:rsidR="001621C4" w:rsidRPr="002C6F16">
        <w:rPr>
          <w:rFonts w:ascii="Times New Roman" w:hAnsi="Times New Roman" w:cs="Times New Roman"/>
          <w:sz w:val="24"/>
          <w:szCs w:val="24"/>
        </w:rPr>
        <w:t xml:space="preserve">Georgia Wand was present for the June 26, 2025, hearing.  This hearing was held after the intervention period had ended.  At the hearing, Georgia Wand made no request </w:t>
      </w:r>
      <w:r w:rsidR="001671ED" w:rsidRPr="002C6F16">
        <w:rPr>
          <w:rFonts w:ascii="Times New Roman" w:hAnsi="Times New Roman" w:cs="Times New Roman"/>
          <w:sz w:val="24"/>
          <w:szCs w:val="24"/>
        </w:rPr>
        <w:t xml:space="preserve">to file late </w:t>
      </w:r>
      <w:r w:rsidR="00055F4A" w:rsidRPr="002C6F16">
        <w:rPr>
          <w:rFonts w:ascii="Times New Roman" w:hAnsi="Times New Roman" w:cs="Times New Roman"/>
          <w:sz w:val="24"/>
          <w:szCs w:val="24"/>
        </w:rPr>
        <w:t>testimony,</w:t>
      </w:r>
      <w:r w:rsidR="001671ED" w:rsidRPr="002C6F16">
        <w:rPr>
          <w:rFonts w:ascii="Times New Roman" w:hAnsi="Times New Roman" w:cs="Times New Roman"/>
          <w:sz w:val="24"/>
          <w:szCs w:val="24"/>
        </w:rPr>
        <w:t xml:space="preserve"> and it made no request to extend the schedule.</w:t>
      </w:r>
      <w:r w:rsidR="001621C4" w:rsidRPr="002C6F16">
        <w:rPr>
          <w:rFonts w:ascii="Times New Roman" w:hAnsi="Times New Roman" w:cs="Times New Roman"/>
          <w:sz w:val="24"/>
          <w:szCs w:val="24"/>
        </w:rPr>
        <w:t xml:space="preserve">  Georgia Wand waited until after </w:t>
      </w:r>
      <w:r w:rsidRPr="002C6F16">
        <w:rPr>
          <w:rFonts w:ascii="Times New Roman" w:hAnsi="Times New Roman" w:cs="Times New Roman"/>
          <w:sz w:val="24"/>
          <w:szCs w:val="24"/>
        </w:rPr>
        <w:t xml:space="preserve">the </w:t>
      </w:r>
      <w:r w:rsidR="001621C4" w:rsidRPr="002C6F16">
        <w:rPr>
          <w:rFonts w:ascii="Times New Roman" w:hAnsi="Times New Roman" w:cs="Times New Roman"/>
          <w:sz w:val="24"/>
          <w:szCs w:val="24"/>
        </w:rPr>
        <w:t xml:space="preserve">hearing concluded and the </w:t>
      </w:r>
      <w:r w:rsidRPr="002C6F16">
        <w:rPr>
          <w:rFonts w:ascii="Times New Roman" w:hAnsi="Times New Roman" w:cs="Times New Roman"/>
          <w:sz w:val="24"/>
          <w:szCs w:val="24"/>
        </w:rPr>
        <w:t xml:space="preserve">record was closed </w:t>
      </w:r>
      <w:r w:rsidR="001621C4" w:rsidRPr="002C6F16">
        <w:rPr>
          <w:rFonts w:ascii="Times New Roman" w:hAnsi="Times New Roman" w:cs="Times New Roman"/>
          <w:sz w:val="24"/>
          <w:szCs w:val="24"/>
        </w:rPr>
        <w:t>to file</w:t>
      </w:r>
      <w:r w:rsidRPr="002C6F16">
        <w:rPr>
          <w:rFonts w:ascii="Times New Roman" w:hAnsi="Times New Roman" w:cs="Times New Roman"/>
          <w:sz w:val="24"/>
          <w:szCs w:val="24"/>
        </w:rPr>
        <w:t xml:space="preserve"> its motion. Therefore, Georgia WAND's motion was untimely. </w:t>
      </w:r>
    </w:p>
    <w:p w14:paraId="1A38C186" w14:textId="4438FC6E" w:rsidR="00B346A6" w:rsidRPr="002C6F16" w:rsidRDefault="6B026164" w:rsidP="00D15746">
      <w:pPr>
        <w:spacing w:before="240" w:after="240" w:line="240" w:lineRule="auto"/>
        <w:rPr>
          <w:rFonts w:ascii="Times New Roman" w:eastAsia="Times New Roman" w:hAnsi="Times New Roman" w:cs="Times New Roman"/>
          <w:sz w:val="24"/>
          <w:szCs w:val="24"/>
          <w:u w:val="single"/>
        </w:rPr>
      </w:pPr>
      <w:r w:rsidRPr="002C6F16">
        <w:rPr>
          <w:rFonts w:ascii="Times New Roman" w:eastAsia="Times New Roman" w:hAnsi="Times New Roman" w:cs="Times New Roman"/>
          <w:b/>
          <w:bCs/>
          <w:iCs/>
          <w:sz w:val="24"/>
          <w:szCs w:val="24"/>
          <w:u w:val="single"/>
        </w:rPr>
        <w:t>IV.</w:t>
      </w:r>
      <w:r w:rsidR="00AF1C73" w:rsidRPr="002C6F16">
        <w:rPr>
          <w:rFonts w:ascii="Times New Roman" w:hAnsi="Times New Roman" w:cs="Times New Roman"/>
          <w:sz w:val="24"/>
          <w:szCs w:val="24"/>
        </w:rPr>
        <w:tab/>
      </w:r>
      <w:r w:rsidR="0B16BD44" w:rsidRPr="002C6F16">
        <w:rPr>
          <w:rFonts w:ascii="Times New Roman" w:eastAsia="Times New Roman" w:hAnsi="Times New Roman" w:cs="Times New Roman"/>
          <w:b/>
          <w:bCs/>
          <w:iCs/>
          <w:sz w:val="24"/>
          <w:szCs w:val="24"/>
          <w:u w:val="single"/>
        </w:rPr>
        <w:t>FINDINGS OF FACT</w:t>
      </w:r>
      <w:r w:rsidR="6A4B225E" w:rsidRPr="002C6F16">
        <w:rPr>
          <w:rFonts w:ascii="Times New Roman" w:eastAsia="Times New Roman" w:hAnsi="Times New Roman" w:cs="Times New Roman"/>
          <w:sz w:val="24"/>
          <w:szCs w:val="24"/>
          <w:u w:val="single"/>
        </w:rPr>
        <w:t xml:space="preserve">            </w:t>
      </w:r>
    </w:p>
    <w:p w14:paraId="0A9825E3" w14:textId="4962D4D2" w:rsidR="00F543F4" w:rsidRPr="002C6F16" w:rsidRDefault="00DD1CE0" w:rsidP="00AA30D8">
      <w:pPr>
        <w:spacing w:after="120" w:line="240" w:lineRule="auto"/>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ab/>
      </w:r>
      <w:r w:rsidR="00644676" w:rsidRPr="002C6F16">
        <w:rPr>
          <w:rFonts w:ascii="Times New Roman" w:eastAsia="Times New Roman" w:hAnsi="Times New Roman" w:cs="Times New Roman"/>
          <w:sz w:val="24"/>
          <w:szCs w:val="24"/>
        </w:rPr>
        <w:tab/>
      </w:r>
      <w:r w:rsidR="00644676" w:rsidRPr="002C6F16">
        <w:rPr>
          <w:rFonts w:ascii="Times New Roman" w:eastAsia="Times New Roman" w:hAnsi="Times New Roman" w:cs="Times New Roman"/>
          <w:sz w:val="24"/>
          <w:szCs w:val="24"/>
        </w:rPr>
        <w:tab/>
      </w:r>
      <w:r w:rsidR="00644676" w:rsidRPr="002C6F16">
        <w:rPr>
          <w:rFonts w:ascii="Times New Roman" w:eastAsia="Times New Roman" w:hAnsi="Times New Roman" w:cs="Times New Roman"/>
          <w:sz w:val="24"/>
          <w:szCs w:val="24"/>
        </w:rPr>
        <w:tab/>
      </w:r>
      <w:r w:rsidRPr="002C6F16">
        <w:rPr>
          <w:rFonts w:ascii="Times New Roman" w:eastAsia="Times New Roman" w:hAnsi="Times New Roman" w:cs="Times New Roman"/>
          <w:sz w:val="24"/>
          <w:szCs w:val="24"/>
        </w:rPr>
        <w:tab/>
      </w:r>
      <w:r w:rsidRPr="002C6F16">
        <w:rPr>
          <w:rFonts w:ascii="Times New Roman" w:eastAsia="Times New Roman" w:hAnsi="Times New Roman" w:cs="Times New Roman"/>
          <w:sz w:val="24"/>
          <w:szCs w:val="24"/>
        </w:rPr>
        <w:tab/>
      </w:r>
      <w:r w:rsidR="00662ECF" w:rsidRPr="002C6F16">
        <w:rPr>
          <w:rFonts w:ascii="Times New Roman" w:eastAsia="Times New Roman" w:hAnsi="Times New Roman" w:cs="Times New Roman"/>
          <w:sz w:val="24"/>
          <w:szCs w:val="24"/>
        </w:rPr>
        <w:t xml:space="preserve">   </w:t>
      </w:r>
      <w:r w:rsidR="00F543F4" w:rsidRPr="002C6F16">
        <w:rPr>
          <w:rFonts w:ascii="Times New Roman" w:eastAsia="Times New Roman" w:hAnsi="Times New Roman" w:cs="Times New Roman"/>
          <w:sz w:val="24"/>
          <w:szCs w:val="24"/>
        </w:rPr>
        <w:t>1.</w:t>
      </w:r>
    </w:p>
    <w:p w14:paraId="1AB53EAB" w14:textId="78F5F238" w:rsidR="00F543F4" w:rsidRPr="002C6F16" w:rsidRDefault="00F543F4"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PIA Staff and Georgia Power agree to certain modification</w:t>
      </w:r>
      <w:r w:rsidR="001671ED" w:rsidRPr="002C6F16">
        <w:rPr>
          <w:rFonts w:ascii="Times New Roman" w:eastAsia="Times New Roman" w:hAnsi="Times New Roman" w:cs="Times New Roman"/>
          <w:sz w:val="24"/>
          <w:szCs w:val="24"/>
        </w:rPr>
        <w:t>s</w:t>
      </w:r>
      <w:r w:rsidRPr="002C6F16">
        <w:rPr>
          <w:rFonts w:ascii="Times New Roman" w:eastAsia="Times New Roman" w:hAnsi="Times New Roman" w:cs="Times New Roman"/>
          <w:sz w:val="24"/>
          <w:szCs w:val="24"/>
        </w:rPr>
        <w:t xml:space="preserve"> to the 2022 Rate Case order, which are as follows:</w:t>
      </w:r>
    </w:p>
    <w:p w14:paraId="4E41B478" w14:textId="2E580293" w:rsidR="00F543F4" w:rsidRPr="002C6F16" w:rsidRDefault="00F543F4" w:rsidP="00AA30D8">
      <w:pPr>
        <w:spacing w:after="120" w:line="240" w:lineRule="auto"/>
        <w:jc w:val="center"/>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2.</w:t>
      </w:r>
    </w:p>
    <w:p w14:paraId="26584D29" w14:textId="5A116CED" w:rsidR="00F543F4" w:rsidRPr="002C6F16" w:rsidRDefault="00F543F4"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The Company agrees to no adjustment to base rates, with any under-recovered storm costs considered in a separate proceeding to be filed in 2026.</w:t>
      </w:r>
    </w:p>
    <w:p w14:paraId="1EC1AC1A" w14:textId="30DB8EE4" w:rsidR="009C0B3B" w:rsidRPr="002C6F16" w:rsidRDefault="009C0B3B"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 xml:space="preserve">The </w:t>
      </w:r>
      <w:r w:rsidR="00814175" w:rsidRPr="002C6F16">
        <w:rPr>
          <w:rFonts w:ascii="Times New Roman" w:hAnsi="Times New Roman" w:cs="Times New Roman"/>
          <w:sz w:val="24"/>
          <w:szCs w:val="24"/>
        </w:rPr>
        <w:t xml:space="preserve">Settlement Agreement </w:t>
      </w:r>
      <w:r w:rsidRPr="002C6F16">
        <w:rPr>
          <w:rFonts w:ascii="Times New Roman" w:eastAsia="Times New Roman" w:hAnsi="Times New Roman" w:cs="Times New Roman"/>
          <w:sz w:val="24"/>
          <w:szCs w:val="24"/>
        </w:rPr>
        <w:t xml:space="preserve">states that base rates will not be adjusted in 2026, 2027, and </w:t>
      </w:r>
      <w:r w:rsidR="00B63DAB" w:rsidRPr="002C6F16">
        <w:rPr>
          <w:rFonts w:ascii="Times New Roman" w:eastAsia="Times New Roman" w:hAnsi="Times New Roman" w:cs="Times New Roman"/>
          <w:sz w:val="24"/>
          <w:szCs w:val="24"/>
        </w:rPr>
        <w:t>2028.</w:t>
      </w:r>
      <w:r w:rsidRPr="002C6F16">
        <w:rPr>
          <w:rFonts w:ascii="Times New Roman" w:eastAsia="Times New Roman" w:hAnsi="Times New Roman" w:cs="Times New Roman"/>
          <w:sz w:val="24"/>
          <w:szCs w:val="24"/>
        </w:rPr>
        <w:t xml:space="preserve"> The rate freeze ensures that customer rates are predictable and stable. </w:t>
      </w:r>
      <w:r w:rsidR="00667C5C"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The Company agrees to continue the amortization of liabilities and regulatory assets approved by the Commission in its 2022 Rate Case Settlement Agreement. </w:t>
      </w:r>
      <w:r w:rsidR="00667C5C" w:rsidRPr="002C6F16">
        <w:rPr>
          <w:rFonts w:ascii="Times New Roman" w:eastAsia="Times New Roman" w:hAnsi="Times New Roman" w:cs="Times New Roman"/>
          <w:sz w:val="24"/>
          <w:szCs w:val="24"/>
        </w:rPr>
        <w:t xml:space="preserve"> Joint Petitioners</w:t>
      </w:r>
      <w:r w:rsidRPr="002C6F16">
        <w:rPr>
          <w:rFonts w:ascii="Times New Roman" w:eastAsia="Times New Roman" w:hAnsi="Times New Roman" w:cs="Times New Roman"/>
          <w:sz w:val="24"/>
          <w:szCs w:val="24"/>
        </w:rPr>
        <w:t xml:space="preserve"> agree </w:t>
      </w:r>
      <w:r w:rsidR="00667C5C" w:rsidRPr="002C6F16">
        <w:rPr>
          <w:rFonts w:ascii="Times New Roman" w:eastAsia="Times New Roman" w:hAnsi="Times New Roman" w:cs="Times New Roman"/>
          <w:sz w:val="24"/>
          <w:szCs w:val="24"/>
        </w:rPr>
        <w:t xml:space="preserve">to allow </w:t>
      </w:r>
      <w:r w:rsidRPr="002C6F16">
        <w:rPr>
          <w:rFonts w:ascii="Times New Roman" w:eastAsia="Times New Roman" w:hAnsi="Times New Roman" w:cs="Times New Roman"/>
          <w:sz w:val="24"/>
          <w:szCs w:val="24"/>
        </w:rPr>
        <w:t xml:space="preserve">the Company to recover its reasonable and prudent under-recovered storm damage costs that result from major storms, such as </w:t>
      </w:r>
      <w:r w:rsidR="00667C5C" w:rsidRPr="002C6F16">
        <w:rPr>
          <w:rFonts w:ascii="Times New Roman" w:eastAsia="Times New Roman" w:hAnsi="Times New Roman" w:cs="Times New Roman"/>
          <w:sz w:val="24"/>
          <w:szCs w:val="24"/>
        </w:rPr>
        <w:t xml:space="preserve">from </w:t>
      </w:r>
      <w:r w:rsidRPr="002C6F16">
        <w:rPr>
          <w:rFonts w:ascii="Times New Roman" w:eastAsia="Times New Roman" w:hAnsi="Times New Roman" w:cs="Times New Roman"/>
          <w:sz w:val="24"/>
          <w:szCs w:val="24"/>
        </w:rPr>
        <w:t>Hurricane Helen.</w:t>
      </w:r>
      <w:r w:rsidR="00667C5C"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 The </w:t>
      </w:r>
      <w:r w:rsidR="00814175" w:rsidRPr="002C6F16">
        <w:rPr>
          <w:rFonts w:ascii="Times New Roman" w:hAnsi="Times New Roman" w:cs="Times New Roman"/>
          <w:sz w:val="24"/>
          <w:szCs w:val="24"/>
        </w:rPr>
        <w:t xml:space="preserve">Settlement Agreement </w:t>
      </w:r>
      <w:r w:rsidRPr="002C6F16">
        <w:rPr>
          <w:rFonts w:ascii="Times New Roman" w:eastAsia="Times New Roman" w:hAnsi="Times New Roman" w:cs="Times New Roman"/>
          <w:sz w:val="24"/>
          <w:szCs w:val="24"/>
        </w:rPr>
        <w:t xml:space="preserve">allows for consideration of </w:t>
      </w:r>
      <w:r w:rsidR="00DC2ACB" w:rsidRPr="002C6F16">
        <w:rPr>
          <w:rFonts w:ascii="Times New Roman" w:eastAsia="Times New Roman" w:hAnsi="Times New Roman" w:cs="Times New Roman"/>
          <w:sz w:val="24"/>
          <w:szCs w:val="24"/>
        </w:rPr>
        <w:t xml:space="preserve">the recovery to be considered through fully litigated and narrow proceedings, which </w:t>
      </w:r>
      <w:r w:rsidR="00373BFE">
        <w:rPr>
          <w:rFonts w:ascii="Times New Roman" w:eastAsia="Times New Roman" w:hAnsi="Times New Roman" w:cs="Times New Roman"/>
          <w:sz w:val="24"/>
          <w:szCs w:val="24"/>
        </w:rPr>
        <w:t>are</w:t>
      </w:r>
      <w:r w:rsidR="00DC2ACB" w:rsidRPr="002C6F16">
        <w:rPr>
          <w:rFonts w:ascii="Times New Roman" w:eastAsia="Times New Roman" w:hAnsi="Times New Roman" w:cs="Times New Roman"/>
          <w:sz w:val="24"/>
          <w:szCs w:val="24"/>
        </w:rPr>
        <w:t xml:space="preserve"> to take place in 2026.</w:t>
      </w:r>
      <w:r w:rsidR="00667C5C" w:rsidRPr="002C6F16">
        <w:rPr>
          <w:rFonts w:ascii="Times New Roman" w:eastAsia="Times New Roman" w:hAnsi="Times New Roman" w:cs="Times New Roman"/>
          <w:sz w:val="24"/>
          <w:szCs w:val="24"/>
        </w:rPr>
        <w:t xml:space="preserve"> </w:t>
      </w:r>
    </w:p>
    <w:p w14:paraId="3519B1D3" w14:textId="3FF6C458" w:rsidR="009C0B3B" w:rsidRPr="002C6F16" w:rsidRDefault="00F543F4" w:rsidP="00AA30D8">
      <w:pPr>
        <w:spacing w:after="120" w:line="240" w:lineRule="auto"/>
        <w:jc w:val="center"/>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3.</w:t>
      </w:r>
    </w:p>
    <w:p w14:paraId="0A571D2D" w14:textId="60082FAC" w:rsidR="00F543F4" w:rsidRPr="002C6F16" w:rsidRDefault="009C0B3B"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The Company agrees to the use and normalization of various tax credits for the benefit of customers, both now and in the future.</w:t>
      </w:r>
    </w:p>
    <w:p w14:paraId="3B967981" w14:textId="01D27B3E" w:rsidR="009C0B3B" w:rsidRPr="002C6F16" w:rsidRDefault="00B00AA5"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 xml:space="preserve">Investment Tax Credits (“ITCs”) and Production Tax Credits (“PTCs”) are named in the </w:t>
      </w:r>
      <w:r w:rsidR="00814175" w:rsidRPr="002C6F16">
        <w:rPr>
          <w:rFonts w:ascii="Times New Roman" w:hAnsi="Times New Roman" w:cs="Times New Roman"/>
          <w:sz w:val="24"/>
          <w:szCs w:val="24"/>
        </w:rPr>
        <w:t xml:space="preserve">Settlement Agreement </w:t>
      </w:r>
      <w:r w:rsidR="000A3545" w:rsidRPr="002C6F16">
        <w:rPr>
          <w:rFonts w:ascii="Times New Roman" w:eastAsia="Times New Roman" w:hAnsi="Times New Roman" w:cs="Times New Roman"/>
          <w:sz w:val="24"/>
          <w:szCs w:val="24"/>
        </w:rPr>
        <w:t>to</w:t>
      </w:r>
      <w:r w:rsidRPr="002C6F16">
        <w:rPr>
          <w:rFonts w:ascii="Times New Roman" w:eastAsia="Times New Roman" w:hAnsi="Times New Roman" w:cs="Times New Roman"/>
          <w:sz w:val="24"/>
          <w:szCs w:val="24"/>
        </w:rPr>
        <w:t xml:space="preserve"> maintain stable base rates over the next three years. </w:t>
      </w:r>
      <w:r w:rsidR="00667C5C" w:rsidRPr="002C6F16">
        <w:rPr>
          <w:rFonts w:ascii="Times New Roman" w:eastAsia="Times New Roman" w:hAnsi="Times New Roman" w:cs="Times New Roman"/>
          <w:sz w:val="24"/>
          <w:szCs w:val="24"/>
        </w:rPr>
        <w:t xml:space="preserve"> </w:t>
      </w:r>
      <w:r w:rsidR="003A232E" w:rsidRPr="002C6F16">
        <w:rPr>
          <w:rFonts w:ascii="Times New Roman" w:eastAsia="Times New Roman" w:hAnsi="Times New Roman" w:cs="Times New Roman"/>
          <w:sz w:val="24"/>
          <w:szCs w:val="24"/>
        </w:rPr>
        <w:t>The</w:t>
      </w:r>
      <w:r w:rsidR="00667C5C" w:rsidRPr="002C6F16">
        <w:rPr>
          <w:rFonts w:ascii="Times New Roman" w:eastAsia="Times New Roman" w:hAnsi="Times New Roman" w:cs="Times New Roman"/>
          <w:sz w:val="24"/>
          <w:szCs w:val="24"/>
        </w:rPr>
        <w:t xml:space="preserve"> Company</w:t>
      </w:r>
      <w:r w:rsidR="003A232E" w:rsidRPr="002C6F16">
        <w:rPr>
          <w:rFonts w:ascii="Times New Roman" w:eastAsia="Times New Roman" w:hAnsi="Times New Roman" w:cs="Times New Roman"/>
          <w:sz w:val="24"/>
          <w:szCs w:val="24"/>
        </w:rPr>
        <w:t xml:space="preserve"> will also amortiz</w:t>
      </w:r>
      <w:r w:rsidR="00667C5C" w:rsidRPr="002C6F16">
        <w:rPr>
          <w:rFonts w:ascii="Times New Roman" w:eastAsia="Times New Roman" w:hAnsi="Times New Roman" w:cs="Times New Roman"/>
          <w:sz w:val="24"/>
          <w:szCs w:val="24"/>
        </w:rPr>
        <w:t>e</w:t>
      </w:r>
      <w:r w:rsidR="003A232E" w:rsidRPr="002C6F16">
        <w:rPr>
          <w:rFonts w:ascii="Times New Roman" w:eastAsia="Times New Roman" w:hAnsi="Times New Roman" w:cs="Times New Roman"/>
          <w:sz w:val="24"/>
          <w:szCs w:val="24"/>
        </w:rPr>
        <w:t xml:space="preserve"> the </w:t>
      </w:r>
      <w:r w:rsidR="001671ED" w:rsidRPr="002C6F16">
        <w:rPr>
          <w:rFonts w:ascii="Times New Roman" w:eastAsia="Times New Roman" w:hAnsi="Times New Roman" w:cs="Times New Roman"/>
          <w:sz w:val="24"/>
          <w:szCs w:val="24"/>
        </w:rPr>
        <w:t xml:space="preserve">ITC </w:t>
      </w:r>
      <w:r w:rsidR="003A232E" w:rsidRPr="002C6F16">
        <w:rPr>
          <w:rFonts w:ascii="Times New Roman" w:eastAsia="Times New Roman" w:hAnsi="Times New Roman" w:cs="Times New Roman"/>
          <w:sz w:val="24"/>
          <w:szCs w:val="24"/>
        </w:rPr>
        <w:t xml:space="preserve">tax benefits generated during </w:t>
      </w:r>
      <w:r w:rsidR="00AA30D8" w:rsidRPr="002C6F16">
        <w:rPr>
          <w:rFonts w:ascii="Times New Roman" w:eastAsia="Times New Roman" w:hAnsi="Times New Roman" w:cs="Times New Roman"/>
          <w:sz w:val="24"/>
          <w:szCs w:val="24"/>
        </w:rPr>
        <w:t>the duration</w:t>
      </w:r>
      <w:r w:rsidR="00667C5C" w:rsidRPr="002C6F16">
        <w:rPr>
          <w:rFonts w:ascii="Times New Roman" w:eastAsia="Times New Roman" w:hAnsi="Times New Roman" w:cs="Times New Roman"/>
          <w:sz w:val="24"/>
          <w:szCs w:val="24"/>
        </w:rPr>
        <w:t xml:space="preserve"> of </w:t>
      </w:r>
      <w:r w:rsidR="003A232E" w:rsidRPr="002C6F16">
        <w:rPr>
          <w:rFonts w:ascii="Times New Roman" w:eastAsia="Times New Roman" w:hAnsi="Times New Roman" w:cs="Times New Roman"/>
          <w:sz w:val="24"/>
          <w:szCs w:val="24"/>
        </w:rPr>
        <w:t xml:space="preserve">the </w:t>
      </w:r>
      <w:r w:rsidR="00814175" w:rsidRPr="002C6F16">
        <w:rPr>
          <w:rFonts w:ascii="Times New Roman" w:hAnsi="Times New Roman" w:cs="Times New Roman"/>
          <w:sz w:val="24"/>
          <w:szCs w:val="24"/>
        </w:rPr>
        <w:t xml:space="preserve">Settlement Agreement </w:t>
      </w:r>
      <w:r w:rsidR="003A232E" w:rsidRPr="002C6F16">
        <w:rPr>
          <w:rFonts w:ascii="Times New Roman" w:eastAsia="Times New Roman" w:hAnsi="Times New Roman" w:cs="Times New Roman"/>
          <w:sz w:val="24"/>
          <w:szCs w:val="24"/>
        </w:rPr>
        <w:t xml:space="preserve">over </w:t>
      </w:r>
      <w:r w:rsidR="003A232E" w:rsidRPr="002C6F16">
        <w:rPr>
          <w:rFonts w:ascii="Times New Roman" w:eastAsia="Times New Roman" w:hAnsi="Times New Roman" w:cs="Times New Roman"/>
          <w:sz w:val="24"/>
          <w:szCs w:val="24"/>
        </w:rPr>
        <w:lastRenderedPageBreak/>
        <w:t xml:space="preserve">a five-year period. </w:t>
      </w:r>
      <w:r w:rsidR="00667C5C" w:rsidRPr="002C6F16">
        <w:rPr>
          <w:rFonts w:ascii="Times New Roman" w:eastAsia="Times New Roman" w:hAnsi="Times New Roman" w:cs="Times New Roman"/>
          <w:sz w:val="24"/>
          <w:szCs w:val="24"/>
        </w:rPr>
        <w:t xml:space="preserve"> </w:t>
      </w:r>
      <w:r w:rsidR="003A232E" w:rsidRPr="002C6F16">
        <w:rPr>
          <w:rFonts w:ascii="Times New Roman" w:eastAsia="Times New Roman" w:hAnsi="Times New Roman" w:cs="Times New Roman"/>
          <w:sz w:val="24"/>
          <w:szCs w:val="24"/>
        </w:rPr>
        <w:t>While the credit’s value will depend on multiple factors, the credits will be available during the Company’s 202</w:t>
      </w:r>
      <w:r w:rsidR="001671ED" w:rsidRPr="002C6F16">
        <w:rPr>
          <w:rFonts w:ascii="Times New Roman" w:eastAsia="Times New Roman" w:hAnsi="Times New Roman" w:cs="Times New Roman"/>
          <w:sz w:val="24"/>
          <w:szCs w:val="24"/>
        </w:rPr>
        <w:t>8</w:t>
      </w:r>
      <w:r w:rsidR="003A232E" w:rsidRPr="002C6F16">
        <w:rPr>
          <w:rFonts w:ascii="Times New Roman" w:eastAsia="Times New Roman" w:hAnsi="Times New Roman" w:cs="Times New Roman"/>
          <w:sz w:val="24"/>
          <w:szCs w:val="24"/>
        </w:rPr>
        <w:t xml:space="preserve"> Rate Case filing. </w:t>
      </w:r>
      <w:r w:rsidR="00667C5C" w:rsidRPr="002C6F16">
        <w:rPr>
          <w:rFonts w:ascii="Times New Roman" w:eastAsia="Times New Roman" w:hAnsi="Times New Roman" w:cs="Times New Roman"/>
          <w:sz w:val="24"/>
          <w:szCs w:val="24"/>
        </w:rPr>
        <w:t xml:space="preserve"> </w:t>
      </w:r>
      <w:r w:rsidR="003A232E" w:rsidRPr="002C6F16">
        <w:rPr>
          <w:rFonts w:ascii="Times New Roman" w:eastAsia="Times New Roman" w:hAnsi="Times New Roman" w:cs="Times New Roman"/>
          <w:sz w:val="24"/>
          <w:szCs w:val="24"/>
        </w:rPr>
        <w:t xml:space="preserve">ITCs </w:t>
      </w:r>
      <w:r w:rsidR="008737C0">
        <w:rPr>
          <w:rFonts w:ascii="Times New Roman" w:eastAsia="Times New Roman" w:hAnsi="Times New Roman" w:cs="Times New Roman"/>
          <w:sz w:val="24"/>
          <w:szCs w:val="24"/>
        </w:rPr>
        <w:t xml:space="preserve">and PTCs </w:t>
      </w:r>
      <w:r w:rsidR="003A232E" w:rsidRPr="002C6F16">
        <w:rPr>
          <w:rFonts w:ascii="Times New Roman" w:eastAsia="Times New Roman" w:hAnsi="Times New Roman" w:cs="Times New Roman"/>
          <w:sz w:val="24"/>
          <w:szCs w:val="24"/>
        </w:rPr>
        <w:t xml:space="preserve">above the established and agreed-upon threshold, </w:t>
      </w:r>
      <w:r w:rsidR="001671ED" w:rsidRPr="002C6F16">
        <w:rPr>
          <w:rFonts w:ascii="Times New Roman" w:eastAsia="Times New Roman" w:hAnsi="Times New Roman" w:cs="Times New Roman"/>
          <w:sz w:val="24"/>
          <w:szCs w:val="24"/>
        </w:rPr>
        <w:t>as well as</w:t>
      </w:r>
      <w:r w:rsidR="003A232E" w:rsidRPr="002C6F16">
        <w:rPr>
          <w:rFonts w:ascii="Times New Roman" w:eastAsia="Times New Roman" w:hAnsi="Times New Roman" w:cs="Times New Roman"/>
          <w:sz w:val="24"/>
          <w:szCs w:val="24"/>
        </w:rPr>
        <w:t xml:space="preserve"> 40% of PTCs</w:t>
      </w:r>
      <w:r w:rsidR="008737C0">
        <w:rPr>
          <w:rFonts w:ascii="Times New Roman" w:eastAsia="Times New Roman" w:hAnsi="Times New Roman" w:cs="Times New Roman"/>
          <w:sz w:val="24"/>
          <w:szCs w:val="24"/>
        </w:rPr>
        <w:t xml:space="preserve"> below the threshold</w:t>
      </w:r>
      <w:r w:rsidR="003A232E" w:rsidRPr="002C6F16">
        <w:rPr>
          <w:rFonts w:ascii="Times New Roman" w:eastAsia="Times New Roman" w:hAnsi="Times New Roman" w:cs="Times New Roman"/>
          <w:sz w:val="24"/>
          <w:szCs w:val="24"/>
        </w:rPr>
        <w:t>, will be deferred as regulatory liabilities to offset any regulatory assets resulting from the extension.</w:t>
      </w:r>
      <w:r w:rsidR="00667C5C" w:rsidRPr="002C6F16">
        <w:rPr>
          <w:rFonts w:ascii="Times New Roman" w:eastAsia="Times New Roman" w:hAnsi="Times New Roman" w:cs="Times New Roman"/>
          <w:sz w:val="24"/>
          <w:szCs w:val="24"/>
        </w:rPr>
        <w:t xml:space="preserve"> </w:t>
      </w:r>
      <w:r w:rsidR="003A232E" w:rsidRPr="002C6F16">
        <w:rPr>
          <w:rFonts w:ascii="Times New Roman" w:eastAsia="Times New Roman" w:hAnsi="Times New Roman" w:cs="Times New Roman"/>
          <w:sz w:val="24"/>
          <w:szCs w:val="24"/>
        </w:rPr>
        <w:t xml:space="preserve"> In turn, the tax credits will be used to minimize regulatory assets associated with CCR-ARO and storm damage costs.</w:t>
      </w:r>
      <w:r w:rsidR="00667C5C" w:rsidRPr="002C6F16">
        <w:rPr>
          <w:rFonts w:ascii="Times New Roman" w:eastAsia="Times New Roman" w:hAnsi="Times New Roman" w:cs="Times New Roman"/>
          <w:sz w:val="24"/>
          <w:szCs w:val="24"/>
        </w:rPr>
        <w:t xml:space="preserve"> </w:t>
      </w:r>
      <w:r w:rsidR="003A232E" w:rsidRPr="002C6F16">
        <w:rPr>
          <w:rFonts w:ascii="Times New Roman" w:eastAsia="Times New Roman" w:hAnsi="Times New Roman" w:cs="Times New Roman"/>
          <w:sz w:val="24"/>
          <w:szCs w:val="24"/>
        </w:rPr>
        <w:t xml:space="preserve"> Equally, state and federal tax reductions will be deferred as regulatory liabilities for future customer benefit. </w:t>
      </w:r>
    </w:p>
    <w:p w14:paraId="627CB8E4" w14:textId="1B1D4687" w:rsidR="009C0B3B" w:rsidRPr="002C6F16" w:rsidRDefault="009C0B3B" w:rsidP="00AA30D8">
      <w:pPr>
        <w:spacing w:after="120" w:line="240" w:lineRule="auto"/>
        <w:jc w:val="center"/>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4.</w:t>
      </w:r>
    </w:p>
    <w:p w14:paraId="5A88FA98" w14:textId="5465DA83" w:rsidR="009C0B3B" w:rsidRPr="002C6F16" w:rsidRDefault="009C0B3B"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The Company agrees to the use of various expense adjustments to keep existing base rates stable.</w:t>
      </w:r>
    </w:p>
    <w:p w14:paraId="17212ECD" w14:textId="720587B5" w:rsidR="009C0B3B" w:rsidRPr="002C6F16" w:rsidRDefault="0069204D"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 xml:space="preserve">The Stipulation includes adjustments to the depreciation expenses associated with Bowen Units 1-4 and Plant Scherer Units 1-3, as well as adjustments for the amortization of the remaining </w:t>
      </w:r>
      <w:r w:rsidR="00667C5C" w:rsidRPr="002C6F16">
        <w:rPr>
          <w:rFonts w:ascii="Times New Roman" w:eastAsia="Times New Roman" w:hAnsi="Times New Roman" w:cs="Times New Roman"/>
          <w:sz w:val="24"/>
          <w:szCs w:val="24"/>
        </w:rPr>
        <w:t>netbook</w:t>
      </w:r>
      <w:r w:rsidRPr="002C6F16">
        <w:rPr>
          <w:rFonts w:ascii="Times New Roman" w:eastAsia="Times New Roman" w:hAnsi="Times New Roman" w:cs="Times New Roman"/>
          <w:sz w:val="24"/>
          <w:szCs w:val="24"/>
        </w:rPr>
        <w:t xml:space="preserve"> value of retired plants Wansley Units 1-2 and Plant Hammond Unit 4, which will be extended to 13 years. </w:t>
      </w:r>
      <w:r w:rsidR="00667C5C" w:rsidRPr="002C6F16">
        <w:rPr>
          <w:rFonts w:ascii="Times New Roman" w:eastAsia="Times New Roman" w:hAnsi="Times New Roman" w:cs="Times New Roman"/>
          <w:sz w:val="24"/>
          <w:szCs w:val="24"/>
        </w:rPr>
        <w:t xml:space="preserve"> </w:t>
      </w:r>
      <w:r w:rsidR="008737C0">
        <w:rPr>
          <w:rFonts w:ascii="Times New Roman" w:eastAsia="Times New Roman" w:hAnsi="Times New Roman" w:cs="Times New Roman"/>
          <w:sz w:val="24"/>
          <w:szCs w:val="24"/>
        </w:rPr>
        <w:t>It provides for t</w:t>
      </w:r>
      <w:r w:rsidRPr="002C6F16">
        <w:rPr>
          <w:rFonts w:ascii="Times New Roman" w:eastAsia="Times New Roman" w:hAnsi="Times New Roman" w:cs="Times New Roman"/>
          <w:sz w:val="24"/>
          <w:szCs w:val="24"/>
        </w:rPr>
        <w:t xml:space="preserve">he continuation and recovery of Municipal Franchise Fees, Demand Side Management costs, and limited deferrals for potential </w:t>
      </w:r>
      <w:proofErr w:type="spellStart"/>
      <w:r w:rsidRPr="002C6F16">
        <w:rPr>
          <w:rFonts w:ascii="Times New Roman" w:eastAsia="Times New Roman" w:hAnsi="Times New Roman" w:cs="Times New Roman"/>
          <w:sz w:val="24"/>
          <w:szCs w:val="24"/>
        </w:rPr>
        <w:t>uncollectables</w:t>
      </w:r>
      <w:proofErr w:type="spellEnd"/>
      <w:r w:rsidRPr="002C6F16">
        <w:rPr>
          <w:rFonts w:ascii="Times New Roman" w:eastAsia="Times New Roman" w:hAnsi="Times New Roman" w:cs="Times New Roman"/>
          <w:sz w:val="24"/>
          <w:szCs w:val="24"/>
        </w:rPr>
        <w:t xml:space="preserve"> above the amounts already in rates</w:t>
      </w:r>
      <w:proofErr w:type="gramStart"/>
      <w:r w:rsidRPr="002C6F16">
        <w:rPr>
          <w:rFonts w:ascii="Times New Roman" w:eastAsia="Times New Roman" w:hAnsi="Times New Roman" w:cs="Times New Roman"/>
          <w:sz w:val="24"/>
          <w:szCs w:val="24"/>
        </w:rPr>
        <w:t>.</w:t>
      </w:r>
      <w:r w:rsidR="00667C5C"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 </w:t>
      </w:r>
      <w:proofErr w:type="gramEnd"/>
      <w:r w:rsidRPr="002C6F16">
        <w:rPr>
          <w:rFonts w:ascii="Times New Roman" w:eastAsia="Times New Roman" w:hAnsi="Times New Roman" w:cs="Times New Roman"/>
          <w:sz w:val="24"/>
          <w:szCs w:val="24"/>
        </w:rPr>
        <w:t xml:space="preserve">The Company is, further, allowed to defer any incremental cost for distributed energy resource management systems (“DERMs”) that were approved in the 2025 IRP. </w:t>
      </w:r>
      <w:r w:rsidR="00667C5C"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The Company may also use certain limited deferrals related to depreciation expense for resources that were previously approved by the Commission, but not currently in depreciation rates, if the Company’s earnings drop below the return on equity setpoint from the 2022 Rate Case.</w:t>
      </w:r>
    </w:p>
    <w:p w14:paraId="351C697C" w14:textId="4BDD6A52" w:rsidR="009C0B3B" w:rsidRPr="002C6F16" w:rsidRDefault="009C0B3B" w:rsidP="00AA30D8">
      <w:pPr>
        <w:spacing w:after="120" w:line="240" w:lineRule="auto"/>
        <w:jc w:val="center"/>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5.</w:t>
      </w:r>
    </w:p>
    <w:p w14:paraId="797B30F5" w14:textId="549D6444" w:rsidR="009C0B3B" w:rsidRPr="002C6F16" w:rsidRDefault="009C0B3B"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The Company agrees to the continuation of activities and programs approved in the current ARP.</w:t>
      </w:r>
    </w:p>
    <w:p w14:paraId="68D9B98D" w14:textId="2B9E4707" w:rsidR="009C0B3B" w:rsidRPr="002C6F16" w:rsidRDefault="0069204D"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 xml:space="preserve">The EV Make Ready Program, Grid Improvement Plan (“GIP”), and other Commission-approved programs and activities will continue during the Extension Period. </w:t>
      </w:r>
      <w:r w:rsidR="00667C5C"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 xml:space="preserve">GIP spending </w:t>
      </w:r>
      <w:r w:rsidR="0081050A" w:rsidRPr="002C6F16">
        <w:rPr>
          <w:rFonts w:ascii="Times New Roman" w:eastAsia="Times New Roman" w:hAnsi="Times New Roman" w:cs="Times New Roman"/>
          <w:sz w:val="24"/>
          <w:szCs w:val="24"/>
        </w:rPr>
        <w:t>will not exceed</w:t>
      </w:r>
      <w:r w:rsidRPr="002C6F16">
        <w:rPr>
          <w:rFonts w:ascii="Times New Roman" w:eastAsia="Times New Roman" w:hAnsi="Times New Roman" w:cs="Times New Roman"/>
          <w:sz w:val="24"/>
          <w:szCs w:val="24"/>
        </w:rPr>
        <w:t xml:space="preserve"> 50% of the level approved in the 2022 Rate Case Order for the three-year period. Spending reporting is to continue during the GIP’s semi-annual reporting process.</w:t>
      </w:r>
    </w:p>
    <w:p w14:paraId="2BE92738" w14:textId="46AD98B3" w:rsidR="009C0B3B" w:rsidRPr="002C6F16" w:rsidRDefault="009C0B3B" w:rsidP="00AA30D8">
      <w:pPr>
        <w:spacing w:after="120" w:line="240" w:lineRule="auto"/>
        <w:jc w:val="center"/>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6.</w:t>
      </w:r>
    </w:p>
    <w:p w14:paraId="59CE126C" w14:textId="325BF74A" w:rsidR="00B45FCD" w:rsidRPr="002C6F16" w:rsidRDefault="00397FE2"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 xml:space="preserve">The Settlement allows the Company to request deferrals of some pre-construction costs </w:t>
      </w:r>
      <w:r w:rsidR="00411475" w:rsidRPr="002C6F16">
        <w:rPr>
          <w:rFonts w:ascii="Times New Roman" w:eastAsia="Times New Roman" w:hAnsi="Times New Roman" w:cs="Times New Roman"/>
          <w:sz w:val="24"/>
          <w:szCs w:val="24"/>
        </w:rPr>
        <w:t>as</w:t>
      </w:r>
      <w:r w:rsidRPr="002C6F16">
        <w:rPr>
          <w:rFonts w:ascii="Times New Roman" w:eastAsia="Times New Roman" w:hAnsi="Times New Roman" w:cs="Times New Roman"/>
          <w:sz w:val="24"/>
          <w:szCs w:val="24"/>
        </w:rPr>
        <w:t xml:space="preserve"> part of either the All-Source Certification proceeding, or another proceeding identified by the Company.</w:t>
      </w:r>
      <w:r w:rsidR="00667C5C" w:rsidRPr="002C6F16">
        <w:rPr>
          <w:rFonts w:ascii="Times New Roman" w:eastAsia="Times New Roman" w:hAnsi="Times New Roman" w:cs="Times New Roman"/>
          <w:sz w:val="24"/>
          <w:szCs w:val="24"/>
        </w:rPr>
        <w:t xml:space="preserve"> </w:t>
      </w:r>
      <w:r w:rsidR="00411475" w:rsidRPr="002C6F16">
        <w:rPr>
          <w:rFonts w:ascii="Times New Roman" w:eastAsia="Times New Roman" w:hAnsi="Times New Roman" w:cs="Times New Roman"/>
          <w:sz w:val="24"/>
          <w:szCs w:val="24"/>
        </w:rPr>
        <w:t>Staff reserved the right to oppose or recommend modifications to any such request.</w:t>
      </w:r>
      <w:r w:rsidRPr="002C6F16">
        <w:rPr>
          <w:rFonts w:ascii="Times New Roman" w:eastAsia="Times New Roman" w:hAnsi="Times New Roman" w:cs="Times New Roman"/>
          <w:sz w:val="24"/>
          <w:szCs w:val="24"/>
        </w:rPr>
        <w:t xml:space="preserve"> </w:t>
      </w:r>
    </w:p>
    <w:p w14:paraId="0CBF24E1" w14:textId="034FF3B4" w:rsidR="00B45FCD" w:rsidRPr="002C6F16" w:rsidRDefault="00EC38DD" w:rsidP="002C6F16">
      <w:pPr>
        <w:spacing w:after="120" w:line="240" w:lineRule="auto"/>
        <w:jc w:val="center"/>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7.</w:t>
      </w:r>
    </w:p>
    <w:p w14:paraId="1C7F257D" w14:textId="1715B8F1" w:rsidR="009C0B3B" w:rsidRPr="002C6F16" w:rsidRDefault="00397FE2"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PIA Staff and Georgia Power also modified certain provisions</w:t>
      </w:r>
      <w:r w:rsidR="00EC38DD" w:rsidRPr="002C6F16">
        <w:rPr>
          <w:rFonts w:ascii="Times New Roman" w:eastAsia="Times New Roman" w:hAnsi="Times New Roman" w:cs="Times New Roman"/>
          <w:sz w:val="24"/>
          <w:szCs w:val="24"/>
        </w:rPr>
        <w:t xml:space="preserve"> to revise dates to reflect the ARP extension period</w:t>
      </w:r>
      <w:r w:rsidRPr="002C6F16">
        <w:rPr>
          <w:rFonts w:ascii="Times New Roman" w:eastAsia="Times New Roman" w:hAnsi="Times New Roman" w:cs="Times New Roman"/>
          <w:sz w:val="24"/>
          <w:szCs w:val="24"/>
        </w:rPr>
        <w:t xml:space="preserve">, limited to paragraph 14 of the </w:t>
      </w:r>
      <w:r w:rsidR="00814175" w:rsidRPr="002C6F16">
        <w:rPr>
          <w:rFonts w:ascii="Times New Roman" w:hAnsi="Times New Roman" w:cs="Times New Roman"/>
          <w:sz w:val="24"/>
          <w:szCs w:val="24"/>
        </w:rPr>
        <w:t>Settlement Agreement</w:t>
      </w:r>
      <w:r w:rsidRPr="002C6F16">
        <w:rPr>
          <w:rFonts w:ascii="Times New Roman" w:eastAsia="Times New Roman" w:hAnsi="Times New Roman" w:cs="Times New Roman"/>
          <w:sz w:val="24"/>
          <w:szCs w:val="24"/>
        </w:rPr>
        <w:t>.</w:t>
      </w:r>
    </w:p>
    <w:p w14:paraId="64526C6F" w14:textId="0D2AA55B" w:rsidR="2D8F7818" w:rsidRPr="002C6F16" w:rsidRDefault="00EC38DD" w:rsidP="00AA30D8">
      <w:pPr>
        <w:spacing w:after="120" w:line="240" w:lineRule="auto"/>
        <w:jc w:val="center"/>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8</w:t>
      </w:r>
      <w:r w:rsidR="0C427BC1" w:rsidRPr="002C6F16">
        <w:rPr>
          <w:rFonts w:ascii="Times New Roman" w:eastAsia="Times New Roman" w:hAnsi="Times New Roman" w:cs="Times New Roman"/>
          <w:sz w:val="24"/>
          <w:szCs w:val="24"/>
        </w:rPr>
        <w:t>.</w:t>
      </w:r>
    </w:p>
    <w:p w14:paraId="737AF8C0" w14:textId="44379AD0" w:rsidR="1F1A34F0" w:rsidRPr="002C6F16" w:rsidRDefault="1F1A34F0"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 xml:space="preserve">The Commission finds that a three-year term for the </w:t>
      </w:r>
      <w:r w:rsidR="008B19F2" w:rsidRPr="002C6F16">
        <w:rPr>
          <w:rFonts w:ascii="Times New Roman" w:eastAsia="Times New Roman" w:hAnsi="Times New Roman" w:cs="Times New Roman"/>
          <w:sz w:val="24"/>
          <w:szCs w:val="24"/>
        </w:rPr>
        <w:t xml:space="preserve">Stipulation </w:t>
      </w:r>
      <w:r w:rsidRPr="002C6F16">
        <w:rPr>
          <w:rFonts w:ascii="Times New Roman" w:eastAsia="Times New Roman" w:hAnsi="Times New Roman" w:cs="Times New Roman"/>
          <w:sz w:val="24"/>
          <w:szCs w:val="24"/>
        </w:rPr>
        <w:t xml:space="preserve">Agreement ending December 31, </w:t>
      </w:r>
      <w:r w:rsidR="00AA30D8" w:rsidRPr="002C6F16">
        <w:rPr>
          <w:rFonts w:ascii="Times New Roman" w:eastAsia="Times New Roman" w:hAnsi="Times New Roman" w:cs="Times New Roman"/>
          <w:sz w:val="24"/>
          <w:szCs w:val="24"/>
        </w:rPr>
        <w:t>2028,</w:t>
      </w:r>
      <w:r w:rsidRPr="002C6F16">
        <w:rPr>
          <w:rFonts w:ascii="Times New Roman" w:eastAsia="Times New Roman" w:hAnsi="Times New Roman" w:cs="Times New Roman"/>
          <w:sz w:val="24"/>
          <w:szCs w:val="24"/>
        </w:rPr>
        <w:t xml:space="preserve"> is reasonable.  By July 1, 202</w:t>
      </w:r>
      <w:r w:rsidR="00C118DB" w:rsidRPr="002C6F16">
        <w:rPr>
          <w:rFonts w:ascii="Times New Roman" w:eastAsia="Times New Roman" w:hAnsi="Times New Roman" w:cs="Times New Roman"/>
          <w:sz w:val="24"/>
          <w:szCs w:val="24"/>
        </w:rPr>
        <w:t>8</w:t>
      </w:r>
      <w:r w:rsidRPr="002C6F16">
        <w:rPr>
          <w:rFonts w:ascii="Times New Roman" w:eastAsia="Times New Roman" w:hAnsi="Times New Roman" w:cs="Times New Roman"/>
          <w:sz w:val="24"/>
          <w:szCs w:val="24"/>
        </w:rPr>
        <w:t xml:space="preserve">, </w:t>
      </w:r>
      <w:r w:rsidR="00C118DB" w:rsidRPr="002C6F16">
        <w:rPr>
          <w:rFonts w:ascii="Times New Roman" w:eastAsia="Times New Roman" w:hAnsi="Times New Roman" w:cs="Times New Roman"/>
          <w:sz w:val="24"/>
          <w:szCs w:val="24"/>
        </w:rPr>
        <w:t xml:space="preserve">the Company shall file testimony and exhibits </w:t>
      </w:r>
      <w:r w:rsidR="00C118DB" w:rsidRPr="002C6F16">
        <w:rPr>
          <w:rFonts w:ascii="Times New Roman" w:eastAsia="Times New Roman" w:hAnsi="Times New Roman" w:cs="Times New Roman"/>
          <w:sz w:val="24"/>
          <w:szCs w:val="24"/>
        </w:rPr>
        <w:lastRenderedPageBreak/>
        <w:t xml:space="preserve">required in a general rate case along with supporting schedules required by the Commission to support a "traditional" rate case. </w:t>
      </w:r>
      <w:r w:rsidR="00667C5C" w:rsidRPr="002C6F16">
        <w:rPr>
          <w:rFonts w:ascii="Times New Roman" w:eastAsia="Times New Roman" w:hAnsi="Times New Roman" w:cs="Times New Roman"/>
          <w:sz w:val="24"/>
          <w:szCs w:val="24"/>
        </w:rPr>
        <w:t xml:space="preserve"> </w:t>
      </w:r>
      <w:r w:rsidR="00C118DB" w:rsidRPr="002C6F16">
        <w:rPr>
          <w:rFonts w:ascii="Times New Roman" w:eastAsia="Times New Roman" w:hAnsi="Times New Roman" w:cs="Times New Roman"/>
          <w:sz w:val="24"/>
          <w:szCs w:val="24"/>
        </w:rPr>
        <w:t xml:space="preserve">The test period utilized by the Company in its rate case filing shall be from August 1, 2028, to July 31, 2029. </w:t>
      </w:r>
      <w:r w:rsidR="00667C5C" w:rsidRPr="002C6F16">
        <w:rPr>
          <w:rFonts w:ascii="Times New Roman" w:eastAsia="Times New Roman" w:hAnsi="Times New Roman" w:cs="Times New Roman"/>
          <w:sz w:val="24"/>
          <w:szCs w:val="24"/>
        </w:rPr>
        <w:t xml:space="preserve"> </w:t>
      </w:r>
      <w:r w:rsidR="00C118DB" w:rsidRPr="002C6F16">
        <w:rPr>
          <w:rFonts w:ascii="Times New Roman" w:eastAsia="Times New Roman" w:hAnsi="Times New Roman" w:cs="Times New Roman"/>
          <w:sz w:val="24"/>
          <w:szCs w:val="24"/>
        </w:rPr>
        <w:t xml:space="preserve">The Company may propose to continue, modify, or discontinue this ARP. </w:t>
      </w:r>
      <w:r w:rsidR="00667C5C" w:rsidRPr="002C6F16">
        <w:rPr>
          <w:rFonts w:ascii="Times New Roman" w:eastAsia="Times New Roman" w:hAnsi="Times New Roman" w:cs="Times New Roman"/>
          <w:sz w:val="24"/>
          <w:szCs w:val="24"/>
        </w:rPr>
        <w:t xml:space="preserve"> </w:t>
      </w:r>
      <w:r w:rsidR="00C118DB" w:rsidRPr="002C6F16">
        <w:rPr>
          <w:rFonts w:ascii="Times New Roman" w:eastAsia="Times New Roman" w:hAnsi="Times New Roman" w:cs="Times New Roman"/>
          <w:sz w:val="24"/>
          <w:szCs w:val="24"/>
        </w:rPr>
        <w:t xml:space="preserve">The Company shall also file projected revenue requirements for calendar years 2029, 2030, and 2031. </w:t>
      </w:r>
      <w:r w:rsidR="00667C5C" w:rsidRPr="002C6F16">
        <w:rPr>
          <w:rFonts w:ascii="Times New Roman" w:eastAsia="Times New Roman" w:hAnsi="Times New Roman" w:cs="Times New Roman"/>
          <w:sz w:val="24"/>
          <w:szCs w:val="24"/>
        </w:rPr>
        <w:t xml:space="preserve"> </w:t>
      </w:r>
      <w:r w:rsidR="00C118DB" w:rsidRPr="002C6F16">
        <w:rPr>
          <w:rFonts w:ascii="Times New Roman" w:eastAsia="Times New Roman" w:hAnsi="Times New Roman" w:cs="Times New Roman"/>
          <w:sz w:val="24"/>
          <w:szCs w:val="24"/>
        </w:rPr>
        <w:t>In addition to filing a Cost-of-Service Study as a part of its next base rate case, the Company shall include additional Cost-of-Service data with sufficient detail to show how the Company proposes to allocate the forecasted costs relating to the new capacity for large load customers at issue in the 2023 Amended Integrated Resource Planning ("IRP") case and the 2025 IRP case, as well as the forecasted revenues from the prospective new large load customers at issue in those cases, to the various customer rate groups.</w:t>
      </w:r>
      <w:r w:rsidR="00667C5C" w:rsidRPr="002C6F16">
        <w:rPr>
          <w:rFonts w:ascii="Times New Roman" w:eastAsia="Times New Roman" w:hAnsi="Times New Roman" w:cs="Times New Roman"/>
          <w:sz w:val="24"/>
          <w:szCs w:val="24"/>
        </w:rPr>
        <w:t xml:space="preserve"> </w:t>
      </w:r>
      <w:r w:rsidR="00C118DB" w:rsidRPr="002C6F16">
        <w:rPr>
          <w:rFonts w:ascii="Times New Roman" w:eastAsia="Times New Roman" w:hAnsi="Times New Roman" w:cs="Times New Roman"/>
          <w:sz w:val="24"/>
          <w:szCs w:val="24"/>
        </w:rPr>
        <w:t xml:space="preserve"> (“Stipulation to Extend the ARP, p. 5, par. 15”).</w:t>
      </w:r>
    </w:p>
    <w:p w14:paraId="65FF312F" w14:textId="2FE6724C" w:rsidR="0084530A" w:rsidRPr="002C6F16" w:rsidRDefault="0084530A" w:rsidP="002C6F16">
      <w:pPr>
        <w:spacing w:after="120" w:line="240" w:lineRule="auto"/>
        <w:jc w:val="center"/>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9.</w:t>
      </w:r>
    </w:p>
    <w:p w14:paraId="56573F71" w14:textId="2E46968B" w:rsidR="0084530A" w:rsidRPr="002C6F16" w:rsidRDefault="0084530A" w:rsidP="00055F4A">
      <w:pPr>
        <w:spacing w:after="240" w:line="240" w:lineRule="auto"/>
        <w:ind w:firstLine="720"/>
        <w:jc w:val="both"/>
        <w:rPr>
          <w:rFonts w:ascii="Times New Roman" w:hAnsi="Times New Roman" w:cs="Times New Roman"/>
          <w:sz w:val="24"/>
          <w:szCs w:val="24"/>
        </w:rPr>
      </w:pPr>
      <w:r w:rsidRPr="002C6F16">
        <w:rPr>
          <w:rFonts w:ascii="Times New Roman" w:hAnsi="Times New Roman" w:cs="Times New Roman"/>
          <w:sz w:val="24"/>
          <w:szCs w:val="24"/>
        </w:rPr>
        <w:t xml:space="preserve">The </w:t>
      </w:r>
      <w:r w:rsidR="008737C0">
        <w:rPr>
          <w:rFonts w:ascii="Times New Roman" w:hAnsi="Times New Roman" w:cs="Times New Roman"/>
          <w:sz w:val="24"/>
          <w:szCs w:val="24"/>
        </w:rPr>
        <w:t xml:space="preserve">terms of the Settlement Agreement are just and reasonable and the </w:t>
      </w:r>
      <w:r w:rsidRPr="002C6F16">
        <w:rPr>
          <w:rFonts w:ascii="Times New Roman" w:hAnsi="Times New Roman" w:cs="Times New Roman"/>
          <w:sz w:val="24"/>
          <w:szCs w:val="24"/>
        </w:rPr>
        <w:t>Settlement Agreement will continue to protect existing customers from the risk of bearing any of the costs of adding new large load customers.</w:t>
      </w:r>
    </w:p>
    <w:p w14:paraId="1B601E20" w14:textId="07A77FC5" w:rsidR="00B346A6" w:rsidRPr="002C6F16" w:rsidRDefault="15069038" w:rsidP="00D15746">
      <w:pPr>
        <w:pStyle w:val="Heading5"/>
        <w:spacing w:before="240" w:after="240" w:line="240" w:lineRule="auto"/>
        <w:rPr>
          <w:rFonts w:ascii="Times New Roman" w:eastAsia="Times New Roman" w:hAnsi="Times New Roman" w:cs="Times New Roman"/>
          <w:b/>
          <w:color w:val="auto"/>
          <w:sz w:val="24"/>
          <w:szCs w:val="24"/>
          <w:u w:val="single"/>
        </w:rPr>
      </w:pPr>
      <w:r w:rsidRPr="002C6F16">
        <w:rPr>
          <w:rFonts w:ascii="Times New Roman" w:eastAsia="Times New Roman" w:hAnsi="Times New Roman" w:cs="Times New Roman"/>
          <w:b/>
          <w:color w:val="auto"/>
          <w:sz w:val="24"/>
          <w:szCs w:val="24"/>
          <w:u w:val="single"/>
        </w:rPr>
        <w:t>V.</w:t>
      </w:r>
      <w:r w:rsidR="00AA30D8" w:rsidRPr="002C6F16">
        <w:rPr>
          <w:rFonts w:ascii="Times New Roman" w:eastAsia="Times New Roman" w:hAnsi="Times New Roman" w:cs="Times New Roman"/>
          <w:b/>
          <w:color w:val="auto"/>
          <w:sz w:val="24"/>
          <w:szCs w:val="24"/>
        </w:rPr>
        <w:tab/>
      </w:r>
      <w:r w:rsidR="1F1A34F0" w:rsidRPr="002C6F16">
        <w:rPr>
          <w:rFonts w:ascii="Times New Roman" w:eastAsia="Times New Roman" w:hAnsi="Times New Roman" w:cs="Times New Roman"/>
          <w:b/>
          <w:color w:val="auto"/>
          <w:sz w:val="24"/>
          <w:szCs w:val="24"/>
          <w:u w:val="single"/>
        </w:rPr>
        <w:t>CONCLUSIONS OF LAW</w:t>
      </w:r>
    </w:p>
    <w:p w14:paraId="7EB4BA73" w14:textId="00C6D160" w:rsidR="00B346A6" w:rsidRPr="002C6F16" w:rsidRDefault="00AF1C73" w:rsidP="00AA30D8">
      <w:pPr>
        <w:spacing w:after="120" w:line="240" w:lineRule="auto"/>
        <w:jc w:val="center"/>
        <w:rPr>
          <w:rFonts w:ascii="Times New Roman" w:hAnsi="Times New Roman" w:cs="Times New Roman"/>
          <w:sz w:val="24"/>
          <w:szCs w:val="24"/>
        </w:rPr>
      </w:pPr>
      <w:r w:rsidRPr="002C6F16">
        <w:rPr>
          <w:rFonts w:ascii="Times New Roman" w:eastAsia="Times New Roman" w:hAnsi="Times New Roman" w:cs="Times New Roman"/>
          <w:sz w:val="24"/>
          <w:szCs w:val="24"/>
        </w:rPr>
        <w:t>1.</w:t>
      </w:r>
    </w:p>
    <w:p w14:paraId="1686AFAD" w14:textId="2AB9F01F" w:rsidR="00EC38DD" w:rsidRPr="002C6F16" w:rsidRDefault="0B16BD44" w:rsidP="00055F4A">
      <w:pPr>
        <w:spacing w:after="240" w:line="240" w:lineRule="auto"/>
        <w:ind w:firstLine="720"/>
        <w:jc w:val="both"/>
        <w:rPr>
          <w:rFonts w:ascii="Times New Roman" w:hAnsi="Times New Roman" w:cs="Times New Roman"/>
          <w:strike/>
          <w:sz w:val="24"/>
          <w:szCs w:val="24"/>
        </w:rPr>
      </w:pPr>
      <w:r w:rsidRPr="002C6F16">
        <w:rPr>
          <w:rFonts w:ascii="Times New Roman" w:eastAsia="Times New Roman" w:hAnsi="Times New Roman" w:cs="Times New Roman"/>
          <w:sz w:val="24"/>
          <w:szCs w:val="24"/>
        </w:rPr>
        <w:t>The Georgia Public Service Commission has general supervision over electric light and power companies.  O.C.G.A. §§ 46-2-20(a) and 46-2-21.  The Commission has “exclusive power to determine what are just and reasonable rates and charges to be made by any person, firm, or corporation subject to its jurisdiction.”  O.C.G.A. § 26-2-23</w:t>
      </w:r>
      <w:r w:rsidR="00F85A0E" w:rsidRPr="002C6F16">
        <w:rPr>
          <w:rFonts w:ascii="Times New Roman" w:eastAsia="Times New Roman" w:hAnsi="Times New Roman" w:cs="Times New Roman"/>
          <w:sz w:val="24"/>
          <w:szCs w:val="24"/>
        </w:rPr>
        <w:t>.</w:t>
      </w:r>
      <w:r w:rsidR="00EC38DD" w:rsidRPr="002C6F16">
        <w:rPr>
          <w:rFonts w:ascii="Times New Roman" w:eastAsia="Times New Roman" w:hAnsi="Times New Roman" w:cs="Times New Roman"/>
          <w:color w:val="000000" w:themeColor="text1"/>
          <w:sz w:val="24"/>
          <w:szCs w:val="24"/>
        </w:rPr>
        <w:t xml:space="preserve">  Unless the Commission has otherwise authorized the change, Georgia Power Company must provide thirty (30) days’ notice to the Commission and to the public of any proposed change to any rate, charge, classification, or service subject to the jurisdiction of the Commission.  O.C.G.A. § 46-2-25(a).  The Commission is authorized to suspend the operation of any new schedule and defer the use of such rate, charge, classification, or service for a period not to exceed five months.  </w:t>
      </w:r>
    </w:p>
    <w:p w14:paraId="636CBEFB" w14:textId="29A3EDA9" w:rsidR="008A1BD5" w:rsidRPr="002C6F16" w:rsidRDefault="008A1BD5" w:rsidP="002C6F16">
      <w:pPr>
        <w:spacing w:after="120" w:line="240" w:lineRule="auto"/>
        <w:jc w:val="center"/>
        <w:rPr>
          <w:rFonts w:ascii="Times New Roman" w:hAnsi="Times New Roman" w:cs="Times New Roman"/>
          <w:sz w:val="24"/>
          <w:szCs w:val="24"/>
        </w:rPr>
      </w:pPr>
      <w:r w:rsidRPr="002C6F16">
        <w:rPr>
          <w:rFonts w:ascii="Times New Roman" w:hAnsi="Times New Roman" w:cs="Times New Roman"/>
          <w:sz w:val="24"/>
          <w:szCs w:val="24"/>
        </w:rPr>
        <w:t>2.</w:t>
      </w:r>
    </w:p>
    <w:p w14:paraId="1EED9AD3" w14:textId="70074EF3" w:rsidR="00F85A0E" w:rsidRPr="002C6F16" w:rsidRDefault="00F85A0E" w:rsidP="00F85A0E">
      <w:pPr>
        <w:spacing w:after="120" w:line="240" w:lineRule="auto"/>
        <w:ind w:firstLine="720"/>
        <w:jc w:val="both"/>
        <w:rPr>
          <w:rFonts w:ascii="Times New Roman" w:hAnsi="Times New Roman" w:cs="Times New Roman"/>
          <w:strike/>
          <w:sz w:val="24"/>
          <w:szCs w:val="24"/>
        </w:rPr>
      </w:pPr>
      <w:r w:rsidRPr="002C6F16">
        <w:rPr>
          <w:rFonts w:ascii="Times New Roman" w:hAnsi="Times New Roman" w:cs="Times New Roman"/>
          <w:sz w:val="24"/>
          <w:szCs w:val="24"/>
        </w:rPr>
        <w:t>The Commission is authorized to resolve matters by stipulation pursuant to O.C.G.A. § 50-13-13(a)(4).</w:t>
      </w:r>
    </w:p>
    <w:p w14:paraId="469D9508" w14:textId="50AAE662" w:rsidR="00B346A6" w:rsidRPr="002C6F16" w:rsidRDefault="0B16BD44" w:rsidP="00AA30D8">
      <w:pPr>
        <w:spacing w:after="120" w:line="240" w:lineRule="auto"/>
        <w:jc w:val="center"/>
        <w:rPr>
          <w:rFonts w:ascii="Times New Roman" w:hAnsi="Times New Roman" w:cs="Times New Roman"/>
          <w:sz w:val="24"/>
          <w:szCs w:val="24"/>
        </w:rPr>
      </w:pPr>
      <w:r w:rsidRPr="002C6F16">
        <w:rPr>
          <w:rFonts w:ascii="Times New Roman" w:eastAsia="Times New Roman" w:hAnsi="Times New Roman" w:cs="Times New Roman"/>
          <w:sz w:val="24"/>
          <w:szCs w:val="24"/>
        </w:rPr>
        <w:t>3.</w:t>
      </w:r>
    </w:p>
    <w:p w14:paraId="4D8EE8A7" w14:textId="0465985A" w:rsidR="00B346A6" w:rsidRPr="002C6F16" w:rsidRDefault="1F1A34F0" w:rsidP="00AA30D8">
      <w:pPr>
        <w:spacing w:after="120" w:line="240" w:lineRule="auto"/>
        <w:ind w:firstLine="720"/>
        <w:jc w:val="both"/>
        <w:rPr>
          <w:rFonts w:ascii="Times New Roman" w:hAnsi="Times New Roman" w:cs="Times New Roman"/>
          <w:sz w:val="24"/>
          <w:szCs w:val="24"/>
        </w:rPr>
      </w:pPr>
      <w:r w:rsidRPr="002C6F16">
        <w:rPr>
          <w:rFonts w:ascii="Times New Roman" w:eastAsia="Times New Roman" w:hAnsi="Times New Roman" w:cs="Times New Roman"/>
          <w:sz w:val="24"/>
          <w:szCs w:val="24"/>
        </w:rPr>
        <w:t xml:space="preserve">The </w:t>
      </w:r>
      <w:r w:rsidR="008A1BD5" w:rsidRPr="002C6F16">
        <w:rPr>
          <w:rFonts w:ascii="Times New Roman" w:eastAsia="Times New Roman" w:hAnsi="Times New Roman" w:cs="Times New Roman"/>
          <w:sz w:val="24"/>
          <w:szCs w:val="24"/>
        </w:rPr>
        <w:t xml:space="preserve">terms and conditions of the </w:t>
      </w:r>
      <w:r w:rsidR="00814175" w:rsidRPr="002C6F16">
        <w:rPr>
          <w:rFonts w:ascii="Times New Roman" w:hAnsi="Times New Roman" w:cs="Times New Roman"/>
          <w:sz w:val="24"/>
          <w:szCs w:val="24"/>
        </w:rPr>
        <w:t xml:space="preserve">Settlement Agreement </w:t>
      </w:r>
      <w:r w:rsidRPr="002C6F16">
        <w:rPr>
          <w:rFonts w:ascii="Times New Roman" w:eastAsia="Times New Roman" w:hAnsi="Times New Roman" w:cs="Times New Roman"/>
          <w:sz w:val="24"/>
          <w:szCs w:val="24"/>
        </w:rPr>
        <w:t xml:space="preserve">are fair, just and reasonable.  By adopting the </w:t>
      </w:r>
      <w:r w:rsidR="00814175" w:rsidRPr="002C6F16">
        <w:rPr>
          <w:rFonts w:ascii="Times New Roman" w:hAnsi="Times New Roman" w:cs="Times New Roman"/>
          <w:sz w:val="24"/>
          <w:szCs w:val="24"/>
        </w:rPr>
        <w:t xml:space="preserve">Settlement </w:t>
      </w:r>
      <w:r w:rsidR="00AA30D8" w:rsidRPr="002C6F16">
        <w:rPr>
          <w:rFonts w:ascii="Times New Roman" w:hAnsi="Times New Roman" w:cs="Times New Roman"/>
          <w:sz w:val="24"/>
          <w:szCs w:val="24"/>
        </w:rPr>
        <w:t>Agreement,</w:t>
      </w:r>
      <w:r w:rsidRPr="002C6F16">
        <w:rPr>
          <w:rFonts w:ascii="Times New Roman" w:eastAsia="Times New Roman" w:hAnsi="Times New Roman" w:cs="Times New Roman"/>
          <w:sz w:val="24"/>
          <w:szCs w:val="24"/>
        </w:rPr>
        <w:t xml:space="preserve"> the Commission retains its jurisdiction to ensure that the Company’s rates</w:t>
      </w:r>
      <w:r w:rsidR="0084530A" w:rsidRPr="002C6F16">
        <w:rPr>
          <w:rFonts w:ascii="Times New Roman" w:eastAsia="Times New Roman" w:hAnsi="Times New Roman" w:cs="Times New Roman"/>
          <w:sz w:val="24"/>
          <w:szCs w:val="24"/>
        </w:rPr>
        <w:t>, terms and conditions</w:t>
      </w:r>
      <w:r w:rsidRPr="002C6F16">
        <w:rPr>
          <w:rFonts w:ascii="Times New Roman" w:eastAsia="Times New Roman" w:hAnsi="Times New Roman" w:cs="Times New Roman"/>
          <w:sz w:val="24"/>
          <w:szCs w:val="24"/>
        </w:rPr>
        <w:t xml:space="preserve"> are fair, just and reasonable.</w:t>
      </w:r>
      <w:r w:rsidR="0084530A" w:rsidRPr="002C6F16">
        <w:rPr>
          <w:rFonts w:ascii="Times New Roman" w:eastAsia="Times New Roman" w:hAnsi="Times New Roman" w:cs="Times New Roman"/>
          <w:sz w:val="24"/>
          <w:szCs w:val="24"/>
        </w:rPr>
        <w:t xml:space="preserve"> The Commission concludes that the Settlement Agreement is a reasonable resolution of the issues in this docket.</w:t>
      </w:r>
    </w:p>
    <w:p w14:paraId="77E1B799" w14:textId="207FE968" w:rsidR="00B346A6" w:rsidRPr="002C6F16" w:rsidRDefault="00055F4A" w:rsidP="00AA30D8">
      <w:pPr>
        <w:spacing w:after="12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4</w:t>
      </w:r>
      <w:r w:rsidR="0B16BD44" w:rsidRPr="002C6F16">
        <w:rPr>
          <w:rFonts w:ascii="Times New Roman" w:eastAsia="Times New Roman" w:hAnsi="Times New Roman" w:cs="Times New Roman"/>
          <w:sz w:val="24"/>
          <w:szCs w:val="24"/>
        </w:rPr>
        <w:t>.</w:t>
      </w:r>
    </w:p>
    <w:p w14:paraId="76586B6F" w14:textId="4958F1D4" w:rsidR="00B346A6" w:rsidRDefault="1F1A34F0" w:rsidP="00055F4A">
      <w:pPr>
        <w:spacing w:after="24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lastRenderedPageBreak/>
        <w:t xml:space="preserve">The Commission retains its jurisdiction to ensure that the Company abides by and implements the terms and conditions set forth in the </w:t>
      </w:r>
      <w:r w:rsidR="00814175" w:rsidRPr="002C6F16">
        <w:rPr>
          <w:rFonts w:ascii="Times New Roman" w:hAnsi="Times New Roman" w:cs="Times New Roman"/>
          <w:sz w:val="24"/>
          <w:szCs w:val="24"/>
        </w:rPr>
        <w:t xml:space="preserve">Settlement Agreement </w:t>
      </w:r>
      <w:r w:rsidRPr="002C6F16">
        <w:rPr>
          <w:rFonts w:ascii="Times New Roman" w:eastAsia="Times New Roman" w:hAnsi="Times New Roman" w:cs="Times New Roman"/>
          <w:sz w:val="24"/>
          <w:szCs w:val="24"/>
        </w:rPr>
        <w:t xml:space="preserve">adopted herein, and to issue such further </w:t>
      </w:r>
      <w:proofErr w:type="gramStart"/>
      <w:r w:rsidRPr="002C6F16">
        <w:rPr>
          <w:rFonts w:ascii="Times New Roman" w:eastAsia="Times New Roman" w:hAnsi="Times New Roman" w:cs="Times New Roman"/>
          <w:sz w:val="24"/>
          <w:szCs w:val="24"/>
        </w:rPr>
        <w:t>order</w:t>
      </w:r>
      <w:proofErr w:type="gramEnd"/>
      <w:r w:rsidRPr="002C6F16">
        <w:rPr>
          <w:rFonts w:ascii="Times New Roman" w:eastAsia="Times New Roman" w:hAnsi="Times New Roman" w:cs="Times New Roman"/>
          <w:sz w:val="24"/>
          <w:szCs w:val="24"/>
        </w:rPr>
        <w:t xml:space="preserve"> or orders as this Commission may deem proper.</w:t>
      </w:r>
    </w:p>
    <w:p w14:paraId="7454F18A" w14:textId="77777777" w:rsidR="00055F4A" w:rsidRPr="002C6F16" w:rsidRDefault="00055F4A" w:rsidP="00055F4A">
      <w:pPr>
        <w:spacing w:after="240" w:line="240" w:lineRule="auto"/>
        <w:ind w:firstLine="720"/>
        <w:jc w:val="both"/>
        <w:rPr>
          <w:rFonts w:ascii="Times New Roman" w:hAnsi="Times New Roman" w:cs="Times New Roman"/>
          <w:sz w:val="24"/>
          <w:szCs w:val="24"/>
        </w:rPr>
      </w:pPr>
    </w:p>
    <w:p w14:paraId="19AD3703" w14:textId="1C299A17" w:rsidR="00B346A6" w:rsidRPr="002C6F16" w:rsidRDefault="72A5AAB4" w:rsidP="00D15746">
      <w:pPr>
        <w:spacing w:before="240" w:after="240" w:line="240" w:lineRule="auto"/>
        <w:jc w:val="both"/>
        <w:rPr>
          <w:rFonts w:ascii="Times New Roman" w:eastAsia="Times New Roman" w:hAnsi="Times New Roman" w:cs="Times New Roman"/>
          <w:b/>
          <w:bCs/>
          <w:sz w:val="24"/>
          <w:szCs w:val="24"/>
          <w:u w:val="single"/>
        </w:rPr>
      </w:pPr>
      <w:r w:rsidRPr="002C6F16">
        <w:rPr>
          <w:rFonts w:ascii="Times New Roman" w:eastAsia="Times New Roman" w:hAnsi="Times New Roman" w:cs="Times New Roman"/>
          <w:b/>
          <w:bCs/>
          <w:sz w:val="24"/>
          <w:szCs w:val="24"/>
          <w:u w:val="single"/>
        </w:rPr>
        <w:t>VI</w:t>
      </w:r>
      <w:r w:rsidR="1F1A34F0" w:rsidRPr="002C6F16">
        <w:rPr>
          <w:rFonts w:ascii="Times New Roman" w:eastAsia="Times New Roman" w:hAnsi="Times New Roman" w:cs="Times New Roman"/>
          <w:b/>
          <w:bCs/>
          <w:sz w:val="24"/>
          <w:szCs w:val="24"/>
          <w:u w:val="single"/>
        </w:rPr>
        <w:t>.</w:t>
      </w:r>
      <w:r w:rsidR="00AF1C73" w:rsidRPr="002C6F16">
        <w:rPr>
          <w:rFonts w:ascii="Times New Roman" w:hAnsi="Times New Roman" w:cs="Times New Roman"/>
          <w:sz w:val="24"/>
          <w:szCs w:val="24"/>
        </w:rPr>
        <w:tab/>
      </w:r>
      <w:r w:rsidR="1F1A34F0" w:rsidRPr="002C6F16">
        <w:rPr>
          <w:rFonts w:ascii="Times New Roman" w:eastAsia="Times New Roman" w:hAnsi="Times New Roman" w:cs="Times New Roman"/>
          <w:b/>
          <w:bCs/>
          <w:sz w:val="24"/>
          <w:szCs w:val="24"/>
          <w:u w:val="single"/>
        </w:rPr>
        <w:t>ORDERING PARAGRAPHS</w:t>
      </w:r>
    </w:p>
    <w:p w14:paraId="65377F0B" w14:textId="1251AC2A" w:rsidR="00B346A6" w:rsidRPr="002C6F16" w:rsidRDefault="1F1A34F0" w:rsidP="00AA30D8">
      <w:pPr>
        <w:spacing w:after="120" w:line="240" w:lineRule="auto"/>
        <w:ind w:firstLine="720"/>
        <w:jc w:val="both"/>
        <w:rPr>
          <w:rFonts w:ascii="Times New Roman" w:hAnsi="Times New Roman" w:cs="Times New Roman"/>
          <w:sz w:val="24"/>
          <w:szCs w:val="24"/>
        </w:rPr>
      </w:pPr>
      <w:r w:rsidRPr="002C6F16">
        <w:rPr>
          <w:rFonts w:ascii="Times New Roman" w:eastAsia="Times New Roman" w:hAnsi="Times New Roman" w:cs="Times New Roman"/>
          <w:b/>
          <w:bCs/>
          <w:sz w:val="24"/>
          <w:szCs w:val="24"/>
        </w:rPr>
        <w:t xml:space="preserve">WHEREFORE, IT IS ORDERED, </w:t>
      </w:r>
      <w:r w:rsidRPr="002C6F16">
        <w:rPr>
          <w:rFonts w:ascii="Times New Roman" w:eastAsia="Times New Roman" w:hAnsi="Times New Roman" w:cs="Times New Roman"/>
          <w:sz w:val="24"/>
          <w:szCs w:val="24"/>
        </w:rPr>
        <w:t xml:space="preserve">that the </w:t>
      </w:r>
      <w:r w:rsidR="00814175" w:rsidRPr="002C6F16">
        <w:rPr>
          <w:rFonts w:ascii="Times New Roman" w:hAnsi="Times New Roman" w:cs="Times New Roman"/>
          <w:sz w:val="24"/>
          <w:szCs w:val="24"/>
        </w:rPr>
        <w:t xml:space="preserve">Settlement Agreement </w:t>
      </w:r>
      <w:r w:rsidRPr="002C6F16">
        <w:rPr>
          <w:rFonts w:ascii="Times New Roman" w:eastAsia="Times New Roman" w:hAnsi="Times New Roman" w:cs="Times New Roman"/>
          <w:sz w:val="24"/>
          <w:szCs w:val="24"/>
        </w:rPr>
        <w:t xml:space="preserve">shall be and the same hereby is adopted, that its terms and conditions are fully incorporated herein, and that Georgia Power Company shall comply with said terms and conditions.  </w:t>
      </w:r>
    </w:p>
    <w:p w14:paraId="6799A717" w14:textId="62468838" w:rsidR="00B346A6" w:rsidRPr="002C6F16" w:rsidRDefault="1F1A34F0" w:rsidP="00AA30D8">
      <w:pPr>
        <w:spacing w:after="120" w:line="240" w:lineRule="auto"/>
        <w:ind w:firstLine="720"/>
        <w:jc w:val="both"/>
        <w:rPr>
          <w:rFonts w:ascii="Times New Roman" w:hAnsi="Times New Roman" w:cs="Times New Roman"/>
          <w:sz w:val="24"/>
          <w:szCs w:val="24"/>
        </w:rPr>
      </w:pPr>
      <w:r w:rsidRPr="002C6F16">
        <w:rPr>
          <w:rFonts w:ascii="Times New Roman" w:eastAsia="Times New Roman" w:hAnsi="Times New Roman" w:cs="Times New Roman"/>
          <w:b/>
          <w:bCs/>
          <w:sz w:val="24"/>
          <w:szCs w:val="24"/>
        </w:rPr>
        <w:t xml:space="preserve">ORDERED FURTHER, </w:t>
      </w:r>
      <w:r w:rsidRPr="002C6F16">
        <w:rPr>
          <w:rFonts w:ascii="Times New Roman" w:eastAsia="Times New Roman" w:hAnsi="Times New Roman" w:cs="Times New Roman"/>
          <w:sz w:val="24"/>
          <w:szCs w:val="24"/>
        </w:rPr>
        <w:t xml:space="preserve">that the terms and conditions set forth in the </w:t>
      </w:r>
      <w:r w:rsidR="00814175" w:rsidRPr="002C6F16">
        <w:rPr>
          <w:rFonts w:ascii="Times New Roman" w:hAnsi="Times New Roman" w:cs="Times New Roman"/>
          <w:sz w:val="24"/>
          <w:szCs w:val="24"/>
        </w:rPr>
        <w:t xml:space="preserve">Settlement Agreement </w:t>
      </w:r>
      <w:r w:rsidRPr="002C6F16">
        <w:rPr>
          <w:rFonts w:ascii="Times New Roman" w:eastAsia="Times New Roman" w:hAnsi="Times New Roman" w:cs="Times New Roman"/>
          <w:sz w:val="24"/>
          <w:szCs w:val="24"/>
        </w:rPr>
        <w:t>are just and reasonable and shall take effect for service rendered from and after January 1, 202</w:t>
      </w:r>
      <w:r w:rsidR="00C118DB" w:rsidRPr="002C6F16">
        <w:rPr>
          <w:rFonts w:ascii="Times New Roman" w:eastAsia="Times New Roman" w:hAnsi="Times New Roman" w:cs="Times New Roman"/>
          <w:sz w:val="24"/>
          <w:szCs w:val="24"/>
        </w:rPr>
        <w:t>6</w:t>
      </w:r>
      <w:r w:rsidRPr="002C6F16">
        <w:rPr>
          <w:rFonts w:ascii="Times New Roman" w:eastAsia="Times New Roman" w:hAnsi="Times New Roman" w:cs="Times New Roman"/>
          <w:sz w:val="24"/>
          <w:szCs w:val="24"/>
        </w:rPr>
        <w:t>.</w:t>
      </w:r>
    </w:p>
    <w:p w14:paraId="574E2F89" w14:textId="09652CAE" w:rsidR="00B346A6" w:rsidRPr="002C6F16" w:rsidRDefault="1F1A34F0" w:rsidP="00AA30D8">
      <w:pPr>
        <w:spacing w:after="120" w:line="240" w:lineRule="auto"/>
        <w:ind w:firstLine="720"/>
        <w:jc w:val="both"/>
        <w:rPr>
          <w:rFonts w:ascii="Times New Roman" w:hAnsi="Times New Roman" w:cs="Times New Roman"/>
          <w:sz w:val="24"/>
          <w:szCs w:val="24"/>
        </w:rPr>
      </w:pPr>
      <w:r w:rsidRPr="002C6F16">
        <w:rPr>
          <w:rFonts w:ascii="Times New Roman" w:eastAsia="Times New Roman" w:hAnsi="Times New Roman" w:cs="Times New Roman"/>
          <w:b/>
          <w:bCs/>
          <w:sz w:val="24"/>
          <w:szCs w:val="24"/>
        </w:rPr>
        <w:t xml:space="preserve">ORDERED FURTHER, </w:t>
      </w:r>
      <w:r w:rsidRPr="002C6F16">
        <w:rPr>
          <w:rFonts w:ascii="Times New Roman" w:eastAsia="Times New Roman" w:hAnsi="Times New Roman" w:cs="Times New Roman"/>
          <w:sz w:val="24"/>
          <w:szCs w:val="24"/>
        </w:rPr>
        <w:t xml:space="preserve">that </w:t>
      </w:r>
      <w:r w:rsidR="0084530A" w:rsidRPr="002C6F16">
        <w:rPr>
          <w:rFonts w:ascii="Times New Roman" w:eastAsia="Times New Roman" w:hAnsi="Times New Roman" w:cs="Times New Roman"/>
          <w:sz w:val="24"/>
          <w:szCs w:val="24"/>
        </w:rPr>
        <w:t>any</w:t>
      </w:r>
      <w:r w:rsidRPr="002C6F16">
        <w:rPr>
          <w:rFonts w:ascii="Times New Roman" w:eastAsia="Times New Roman" w:hAnsi="Times New Roman" w:cs="Times New Roman"/>
          <w:sz w:val="24"/>
          <w:szCs w:val="24"/>
        </w:rPr>
        <w:t xml:space="preserve"> tariffs implemented by Georgia Power to implement the terms and conditions of the </w:t>
      </w:r>
      <w:r w:rsidR="00814175" w:rsidRPr="002C6F16">
        <w:rPr>
          <w:rFonts w:ascii="Times New Roman" w:hAnsi="Times New Roman" w:cs="Times New Roman"/>
          <w:sz w:val="24"/>
          <w:szCs w:val="24"/>
        </w:rPr>
        <w:t xml:space="preserve">Settlement Agreement </w:t>
      </w:r>
      <w:r w:rsidRPr="002C6F16">
        <w:rPr>
          <w:rFonts w:ascii="Times New Roman" w:eastAsia="Times New Roman" w:hAnsi="Times New Roman" w:cs="Times New Roman"/>
          <w:sz w:val="24"/>
          <w:szCs w:val="24"/>
        </w:rPr>
        <w:t>shall be subject to review by the Commission to ensure that such tariffs, as implemented, are proper and just.</w:t>
      </w:r>
    </w:p>
    <w:p w14:paraId="7139C370" w14:textId="38981685" w:rsidR="00B346A6" w:rsidRPr="002C6F16" w:rsidRDefault="1F1A34F0" w:rsidP="00AA30D8">
      <w:pPr>
        <w:spacing w:after="120" w:line="240" w:lineRule="auto"/>
        <w:ind w:firstLine="720"/>
        <w:jc w:val="both"/>
        <w:rPr>
          <w:rFonts w:ascii="Times New Roman" w:hAnsi="Times New Roman" w:cs="Times New Roman"/>
          <w:sz w:val="24"/>
          <w:szCs w:val="24"/>
        </w:rPr>
      </w:pPr>
      <w:r w:rsidRPr="002C6F16">
        <w:rPr>
          <w:rFonts w:ascii="Times New Roman" w:eastAsia="Times New Roman" w:hAnsi="Times New Roman" w:cs="Times New Roman"/>
          <w:b/>
          <w:bCs/>
          <w:sz w:val="24"/>
          <w:szCs w:val="24"/>
        </w:rPr>
        <w:t>ORDERED FURTHER</w:t>
      </w:r>
      <w:r w:rsidRPr="002C6F16">
        <w:rPr>
          <w:rFonts w:ascii="Times New Roman" w:eastAsia="Times New Roman" w:hAnsi="Times New Roman" w:cs="Times New Roman"/>
          <w:sz w:val="24"/>
          <w:szCs w:val="24"/>
        </w:rPr>
        <w:t>, that all findings, conclusions and decisions contained within the preceding sections of this Order are adopted as findings of fact, conclusions of law, and decisions of regulatory policy of this Commission.</w:t>
      </w:r>
    </w:p>
    <w:p w14:paraId="4C896ABB" w14:textId="725BE058" w:rsidR="00B346A6" w:rsidRPr="002C6F16" w:rsidRDefault="1F1A34F0" w:rsidP="00AA30D8">
      <w:pPr>
        <w:spacing w:after="120" w:line="240" w:lineRule="auto"/>
        <w:ind w:firstLine="720"/>
        <w:jc w:val="both"/>
        <w:rPr>
          <w:rFonts w:ascii="Times New Roman" w:hAnsi="Times New Roman" w:cs="Times New Roman"/>
          <w:sz w:val="24"/>
          <w:szCs w:val="24"/>
        </w:rPr>
      </w:pPr>
      <w:r w:rsidRPr="002C6F16">
        <w:rPr>
          <w:rFonts w:ascii="Times New Roman" w:eastAsia="Times New Roman" w:hAnsi="Times New Roman" w:cs="Times New Roman"/>
          <w:b/>
          <w:bCs/>
          <w:sz w:val="24"/>
          <w:szCs w:val="24"/>
        </w:rPr>
        <w:t xml:space="preserve">ORDERED FURTHER, </w:t>
      </w:r>
      <w:r w:rsidRPr="002C6F16">
        <w:rPr>
          <w:rFonts w:ascii="Times New Roman" w:eastAsia="Times New Roman" w:hAnsi="Times New Roman" w:cs="Times New Roman"/>
          <w:sz w:val="24"/>
          <w:szCs w:val="24"/>
        </w:rPr>
        <w:t>that jurisdiction over this proceeding is expressly retained for the purpose of entering such further order or orders as this Commission may deem proper.</w:t>
      </w:r>
    </w:p>
    <w:p w14:paraId="3BA73D87" w14:textId="1179A4EE" w:rsidR="00B346A6" w:rsidRPr="002C6F16" w:rsidRDefault="1F1A34F0" w:rsidP="00AA30D8">
      <w:pPr>
        <w:spacing w:after="120" w:line="240" w:lineRule="auto"/>
        <w:ind w:firstLine="720"/>
        <w:jc w:val="both"/>
        <w:rPr>
          <w:rFonts w:ascii="Times New Roman" w:hAnsi="Times New Roman" w:cs="Times New Roman"/>
          <w:sz w:val="24"/>
          <w:szCs w:val="24"/>
        </w:rPr>
      </w:pPr>
      <w:r w:rsidRPr="002C6F16">
        <w:rPr>
          <w:rFonts w:ascii="Times New Roman" w:eastAsia="Times New Roman" w:hAnsi="Times New Roman" w:cs="Times New Roman"/>
          <w:b/>
          <w:bCs/>
          <w:sz w:val="24"/>
          <w:szCs w:val="24"/>
        </w:rPr>
        <w:t xml:space="preserve">ORDERED FURTHER, </w:t>
      </w:r>
      <w:r w:rsidRPr="002C6F16">
        <w:rPr>
          <w:rFonts w:ascii="Times New Roman" w:eastAsia="Times New Roman" w:hAnsi="Times New Roman" w:cs="Times New Roman"/>
          <w:sz w:val="24"/>
          <w:szCs w:val="24"/>
        </w:rPr>
        <w:t>any motion for reconsideration, rehearing, or oral argument shall not stay the effectiveness of this order unless expressly ordered by the Commission.</w:t>
      </w:r>
    </w:p>
    <w:p w14:paraId="36E8B31D" w14:textId="02797CD8" w:rsidR="00B346A6" w:rsidRPr="002C6F16" w:rsidRDefault="1F1A34F0" w:rsidP="00AA30D8">
      <w:pPr>
        <w:spacing w:after="120" w:line="240" w:lineRule="auto"/>
        <w:ind w:firstLine="72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 xml:space="preserve">The above by action of the Commission in Administrative Session on the </w:t>
      </w:r>
      <w:r w:rsidR="00C118DB" w:rsidRPr="002C6F16">
        <w:rPr>
          <w:rFonts w:ascii="Times New Roman" w:eastAsia="Times New Roman" w:hAnsi="Times New Roman" w:cs="Times New Roman"/>
          <w:sz w:val="24"/>
          <w:szCs w:val="24"/>
        </w:rPr>
        <w:t>1st</w:t>
      </w:r>
      <w:r w:rsidRPr="002C6F16">
        <w:rPr>
          <w:rFonts w:ascii="Times New Roman" w:eastAsia="Times New Roman" w:hAnsi="Times New Roman" w:cs="Times New Roman"/>
          <w:sz w:val="24"/>
          <w:szCs w:val="24"/>
        </w:rPr>
        <w:t xml:space="preserve"> of </w:t>
      </w:r>
      <w:r w:rsidR="00C118DB" w:rsidRPr="002C6F16">
        <w:rPr>
          <w:rFonts w:ascii="Times New Roman" w:eastAsia="Times New Roman" w:hAnsi="Times New Roman" w:cs="Times New Roman"/>
          <w:sz w:val="24"/>
          <w:szCs w:val="24"/>
        </w:rPr>
        <w:t xml:space="preserve">July </w:t>
      </w:r>
      <w:r w:rsidRPr="002C6F16">
        <w:rPr>
          <w:rFonts w:ascii="Times New Roman" w:eastAsia="Times New Roman" w:hAnsi="Times New Roman" w:cs="Times New Roman"/>
          <w:sz w:val="24"/>
          <w:szCs w:val="24"/>
        </w:rPr>
        <w:t>202</w:t>
      </w:r>
      <w:r w:rsidR="00C118DB" w:rsidRPr="002C6F16">
        <w:rPr>
          <w:rFonts w:ascii="Times New Roman" w:eastAsia="Times New Roman" w:hAnsi="Times New Roman" w:cs="Times New Roman"/>
          <w:sz w:val="24"/>
          <w:szCs w:val="24"/>
        </w:rPr>
        <w:t>5</w:t>
      </w:r>
      <w:r w:rsidRPr="002C6F16">
        <w:rPr>
          <w:rFonts w:ascii="Times New Roman" w:eastAsia="Times New Roman" w:hAnsi="Times New Roman" w:cs="Times New Roman"/>
          <w:sz w:val="24"/>
          <w:szCs w:val="24"/>
        </w:rPr>
        <w:t>.</w:t>
      </w:r>
    </w:p>
    <w:p w14:paraId="5C33AA13" w14:textId="5F538A0B" w:rsidR="00B346A6" w:rsidRPr="002C6F16" w:rsidRDefault="0B16BD44" w:rsidP="40F46D5C">
      <w:pPr>
        <w:jc w:val="both"/>
        <w:rPr>
          <w:rFonts w:ascii="Times New Roman" w:hAnsi="Times New Roman" w:cs="Times New Roman"/>
          <w:sz w:val="24"/>
          <w:szCs w:val="24"/>
        </w:rPr>
      </w:pPr>
      <w:r w:rsidRPr="002C6F16">
        <w:rPr>
          <w:rFonts w:ascii="Times New Roman" w:eastAsia="Times New Roman" w:hAnsi="Times New Roman" w:cs="Times New Roman"/>
          <w:sz w:val="24"/>
          <w:szCs w:val="24"/>
        </w:rPr>
        <w:t xml:space="preserve"> </w:t>
      </w:r>
    </w:p>
    <w:p w14:paraId="2BB824B1" w14:textId="6725BB5D" w:rsidR="00DD1CE0" w:rsidRPr="002C6F16" w:rsidRDefault="1F1A34F0" w:rsidP="00E47CDD">
      <w:pPr>
        <w:spacing w:after="0"/>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 xml:space="preserve"> ________________________</w:t>
      </w:r>
      <w:proofErr w:type="gramStart"/>
      <w:r w:rsidRPr="002C6F16">
        <w:rPr>
          <w:rFonts w:ascii="Times New Roman" w:eastAsia="Times New Roman" w:hAnsi="Times New Roman" w:cs="Times New Roman"/>
          <w:sz w:val="24"/>
          <w:szCs w:val="24"/>
        </w:rPr>
        <w:t>_</w:t>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proofErr w:type="gramEnd"/>
      <w:r w:rsidRPr="002C6F16">
        <w:rPr>
          <w:rFonts w:ascii="Times New Roman" w:eastAsia="Times New Roman" w:hAnsi="Times New Roman" w:cs="Times New Roman"/>
          <w:sz w:val="24"/>
          <w:szCs w:val="24"/>
        </w:rPr>
        <w:t>_________________________</w:t>
      </w:r>
    </w:p>
    <w:p w14:paraId="6FC4CD74" w14:textId="09B726DD" w:rsidR="00B346A6" w:rsidRPr="002C6F16" w:rsidRDefault="3CC782E2" w:rsidP="00E47CDD">
      <w:pPr>
        <w:spacing w:after="0"/>
        <w:jc w:val="both"/>
        <w:rPr>
          <w:rFonts w:ascii="Times New Roman" w:hAnsi="Times New Roman" w:cs="Times New Roman"/>
          <w:sz w:val="24"/>
          <w:szCs w:val="24"/>
        </w:rPr>
      </w:pPr>
      <w:r w:rsidRPr="002C6F16">
        <w:rPr>
          <w:rFonts w:ascii="Times New Roman" w:eastAsia="Times New Roman" w:hAnsi="Times New Roman" w:cs="Times New Roman"/>
          <w:sz w:val="24"/>
          <w:szCs w:val="24"/>
        </w:rPr>
        <w:t>Sallie Tanner</w:t>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C118DB" w:rsidRPr="002C6F16">
        <w:rPr>
          <w:rFonts w:ascii="Times New Roman" w:eastAsia="Times New Roman" w:hAnsi="Times New Roman" w:cs="Times New Roman"/>
          <w:sz w:val="24"/>
          <w:szCs w:val="24"/>
        </w:rPr>
        <w:t>Jason Shaw</w:t>
      </w:r>
    </w:p>
    <w:p w14:paraId="4A4B1313" w14:textId="7A262F20" w:rsidR="00B346A6" w:rsidRPr="002C6F16" w:rsidRDefault="0B16BD44" w:rsidP="00E47CDD">
      <w:pPr>
        <w:tabs>
          <w:tab w:val="left" w:pos="5760"/>
        </w:tabs>
        <w:spacing w:after="0"/>
        <w:jc w:val="both"/>
        <w:rPr>
          <w:rFonts w:ascii="Times New Roman" w:hAnsi="Times New Roman" w:cs="Times New Roman"/>
          <w:sz w:val="24"/>
          <w:szCs w:val="24"/>
        </w:rPr>
      </w:pPr>
      <w:r w:rsidRPr="002C6F16">
        <w:rPr>
          <w:rFonts w:ascii="Times New Roman" w:eastAsia="Times New Roman" w:hAnsi="Times New Roman" w:cs="Times New Roman"/>
          <w:sz w:val="24"/>
          <w:szCs w:val="24"/>
        </w:rPr>
        <w:t>Executive Secretary</w:t>
      </w:r>
      <w:r w:rsidR="00AF1C73" w:rsidRPr="002C6F16">
        <w:rPr>
          <w:rFonts w:ascii="Times New Roman" w:hAnsi="Times New Roman" w:cs="Times New Roman"/>
          <w:sz w:val="24"/>
          <w:szCs w:val="24"/>
        </w:rPr>
        <w:tab/>
      </w:r>
      <w:r w:rsidRPr="002C6F16">
        <w:rPr>
          <w:rFonts w:ascii="Times New Roman" w:eastAsia="Times New Roman" w:hAnsi="Times New Roman" w:cs="Times New Roman"/>
          <w:sz w:val="24"/>
          <w:szCs w:val="24"/>
        </w:rPr>
        <w:t>Chairman</w:t>
      </w:r>
    </w:p>
    <w:p w14:paraId="26A8F87C" w14:textId="2A10C7B4" w:rsidR="00B346A6" w:rsidRPr="002C6F16" w:rsidRDefault="1F1A34F0" w:rsidP="33B06CD6">
      <w:pPr>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 xml:space="preserve"> </w:t>
      </w:r>
    </w:p>
    <w:p w14:paraId="7E24EE25" w14:textId="587F30E0" w:rsidR="004E39C6" w:rsidRPr="002C6F16" w:rsidRDefault="0B16BD44" w:rsidP="00895AA1">
      <w:pPr>
        <w:jc w:val="both"/>
        <w:rPr>
          <w:rFonts w:ascii="Times New Roman" w:eastAsia="Times New Roman" w:hAnsi="Times New Roman" w:cs="Times New Roman"/>
          <w:sz w:val="24"/>
          <w:szCs w:val="24"/>
        </w:rPr>
      </w:pPr>
      <w:r w:rsidRPr="002C6F16">
        <w:rPr>
          <w:rFonts w:ascii="Times New Roman" w:eastAsia="Times New Roman" w:hAnsi="Times New Roman" w:cs="Times New Roman"/>
          <w:sz w:val="24"/>
          <w:szCs w:val="24"/>
        </w:rPr>
        <w:t>_________________________</w:t>
      </w:r>
      <w:proofErr w:type="gramStart"/>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Pr="002C6F16">
        <w:rPr>
          <w:rFonts w:ascii="Times New Roman" w:eastAsia="Times New Roman" w:hAnsi="Times New Roman" w:cs="Times New Roman"/>
          <w:sz w:val="24"/>
          <w:szCs w:val="24"/>
        </w:rPr>
        <w:t>_________________________</w:t>
      </w:r>
      <w:r w:rsidR="00DD1CE0" w:rsidRPr="002C6F16">
        <w:rPr>
          <w:rFonts w:ascii="Times New Roman" w:eastAsia="Times New Roman" w:hAnsi="Times New Roman" w:cs="Times New Roman"/>
          <w:sz w:val="24"/>
          <w:szCs w:val="24"/>
        </w:rPr>
        <w:t xml:space="preserve">   </w:t>
      </w:r>
      <w:proofErr w:type="gramEnd"/>
      <w:r w:rsidR="00DD1CE0" w:rsidRPr="002C6F16">
        <w:rPr>
          <w:rFonts w:ascii="Times New Roman" w:eastAsia="Times New Roman" w:hAnsi="Times New Roman" w:cs="Times New Roman"/>
          <w:sz w:val="24"/>
          <w:szCs w:val="24"/>
        </w:rPr>
        <w:t xml:space="preserve"> </w:t>
      </w:r>
      <w:r w:rsidRPr="002C6F16">
        <w:rPr>
          <w:rFonts w:ascii="Times New Roman" w:eastAsia="Times New Roman" w:hAnsi="Times New Roman" w:cs="Times New Roman"/>
          <w:sz w:val="24"/>
          <w:szCs w:val="24"/>
        </w:rPr>
        <w:t>Date</w:t>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00AF1C73" w:rsidRPr="002C6F16">
        <w:rPr>
          <w:rFonts w:ascii="Times New Roman" w:hAnsi="Times New Roman" w:cs="Times New Roman"/>
          <w:sz w:val="24"/>
          <w:szCs w:val="24"/>
        </w:rPr>
        <w:tab/>
      </w:r>
      <w:r w:rsidRPr="002C6F16">
        <w:rPr>
          <w:rFonts w:ascii="Times New Roman" w:eastAsia="Times New Roman" w:hAnsi="Times New Roman" w:cs="Times New Roman"/>
          <w:sz w:val="24"/>
          <w:szCs w:val="24"/>
        </w:rPr>
        <w:t>Date</w:t>
      </w:r>
    </w:p>
    <w:p w14:paraId="648DB50F" w14:textId="77777777" w:rsidR="00833A7C" w:rsidRPr="002C6F16" w:rsidRDefault="00833A7C">
      <w:pPr>
        <w:rPr>
          <w:rFonts w:ascii="Times New Roman" w:eastAsia="Times New Roman" w:hAnsi="Times New Roman" w:cs="Times New Roman"/>
          <w:b/>
          <w:sz w:val="24"/>
          <w:szCs w:val="24"/>
          <w:u w:val="single"/>
        </w:rPr>
      </w:pPr>
      <w:r w:rsidRPr="002C6F16">
        <w:rPr>
          <w:rFonts w:ascii="Times New Roman" w:eastAsia="Times New Roman" w:hAnsi="Times New Roman" w:cs="Times New Roman"/>
          <w:b/>
          <w:sz w:val="24"/>
          <w:szCs w:val="24"/>
          <w:u w:val="single"/>
        </w:rPr>
        <w:br w:type="page"/>
      </w:r>
    </w:p>
    <w:p w14:paraId="78BA09DA" w14:textId="66BC4C34" w:rsidR="004E39C6" w:rsidRPr="002C6F16" w:rsidRDefault="0038005E" w:rsidP="00D15746">
      <w:pPr>
        <w:spacing w:after="240" w:line="240" w:lineRule="auto"/>
        <w:jc w:val="center"/>
        <w:rPr>
          <w:rFonts w:ascii="Times New Roman" w:eastAsia="Times New Roman" w:hAnsi="Times New Roman" w:cs="Times New Roman"/>
          <w:b/>
          <w:sz w:val="24"/>
          <w:szCs w:val="24"/>
          <w:u w:val="single"/>
        </w:rPr>
      </w:pPr>
      <w:r w:rsidRPr="002C6F16">
        <w:rPr>
          <w:rFonts w:ascii="Times New Roman" w:eastAsia="Times New Roman" w:hAnsi="Times New Roman" w:cs="Times New Roman"/>
          <w:b/>
          <w:sz w:val="24"/>
          <w:szCs w:val="24"/>
          <w:u w:val="single"/>
        </w:rPr>
        <w:lastRenderedPageBreak/>
        <w:t>ATTACHMENT 1</w:t>
      </w:r>
    </w:p>
    <w:p w14:paraId="70062CFC" w14:textId="2E1DF7C3" w:rsidR="004E39C6" w:rsidRPr="002C6F16" w:rsidRDefault="0038005E" w:rsidP="00D15746">
      <w:pPr>
        <w:autoSpaceDE w:val="0"/>
        <w:autoSpaceDN w:val="0"/>
        <w:adjustRightInd w:val="0"/>
        <w:spacing w:after="240" w:line="240" w:lineRule="auto"/>
        <w:jc w:val="center"/>
        <w:rPr>
          <w:rFonts w:ascii="Times New Roman" w:hAnsi="Times New Roman" w:cs="Times New Roman"/>
          <w:b/>
          <w:sz w:val="24"/>
          <w:szCs w:val="24"/>
          <w:u w:val="single"/>
        </w:rPr>
      </w:pPr>
      <w:r w:rsidRPr="002C6F16">
        <w:rPr>
          <w:rFonts w:ascii="Times New Roman" w:hAnsi="Times New Roman" w:cs="Times New Roman"/>
          <w:b/>
          <w:sz w:val="24"/>
          <w:szCs w:val="24"/>
          <w:u w:val="single"/>
        </w:rPr>
        <w:t xml:space="preserve">Stipulation To Extend </w:t>
      </w:r>
      <w:r w:rsidR="006E57F0" w:rsidRPr="002C6F16">
        <w:rPr>
          <w:rFonts w:ascii="Times New Roman" w:hAnsi="Times New Roman" w:cs="Times New Roman"/>
          <w:b/>
          <w:sz w:val="24"/>
          <w:szCs w:val="24"/>
          <w:u w:val="single"/>
        </w:rPr>
        <w:t>the</w:t>
      </w:r>
      <w:r w:rsidRPr="002C6F16">
        <w:rPr>
          <w:rFonts w:ascii="Times New Roman" w:hAnsi="Times New Roman" w:cs="Times New Roman"/>
          <w:b/>
          <w:sz w:val="24"/>
          <w:szCs w:val="24"/>
          <w:u w:val="single"/>
        </w:rPr>
        <w:t xml:space="preserve"> Alternate Rate Plan</w:t>
      </w:r>
    </w:p>
    <w:p w14:paraId="37F8A2C1" w14:textId="77777777" w:rsidR="004E39C6" w:rsidRPr="002C6F16" w:rsidRDefault="004E39C6" w:rsidP="00D15746">
      <w:pPr>
        <w:autoSpaceDE w:val="0"/>
        <w:autoSpaceDN w:val="0"/>
        <w:adjustRightInd w:val="0"/>
        <w:spacing w:after="0" w:line="240" w:lineRule="auto"/>
        <w:jc w:val="center"/>
        <w:rPr>
          <w:rFonts w:ascii="Times New Roman" w:hAnsi="Times New Roman" w:cs="Times New Roman"/>
          <w:b/>
          <w:sz w:val="24"/>
          <w:szCs w:val="24"/>
        </w:rPr>
      </w:pPr>
      <w:r w:rsidRPr="002C6F16">
        <w:rPr>
          <w:rFonts w:ascii="Times New Roman" w:hAnsi="Times New Roman" w:cs="Times New Roman"/>
          <w:b/>
          <w:sz w:val="24"/>
          <w:szCs w:val="24"/>
        </w:rPr>
        <w:t>Georgia Power Company’s 2022 Rate Case</w:t>
      </w:r>
    </w:p>
    <w:p w14:paraId="58888C78" w14:textId="77777777" w:rsidR="004E39C6" w:rsidRPr="002C6F16" w:rsidRDefault="004E39C6" w:rsidP="00D15746">
      <w:pPr>
        <w:autoSpaceDE w:val="0"/>
        <w:autoSpaceDN w:val="0"/>
        <w:adjustRightInd w:val="0"/>
        <w:spacing w:after="240" w:line="240" w:lineRule="auto"/>
        <w:jc w:val="center"/>
        <w:rPr>
          <w:rFonts w:ascii="Times New Roman" w:hAnsi="Times New Roman" w:cs="Times New Roman"/>
          <w:b/>
          <w:sz w:val="24"/>
          <w:szCs w:val="24"/>
        </w:rPr>
      </w:pPr>
      <w:r w:rsidRPr="002C6F16">
        <w:rPr>
          <w:rFonts w:ascii="Times New Roman" w:hAnsi="Times New Roman" w:cs="Times New Roman"/>
          <w:b/>
          <w:sz w:val="24"/>
          <w:szCs w:val="24"/>
        </w:rPr>
        <w:t>Docket No. 44280</w:t>
      </w:r>
    </w:p>
    <w:p w14:paraId="2DDBD03C" w14:textId="653104F9" w:rsidR="00D075B2" w:rsidRPr="002C6F16" w:rsidRDefault="00D075B2" w:rsidP="00D15746">
      <w:pPr>
        <w:autoSpaceDE w:val="0"/>
        <w:autoSpaceDN w:val="0"/>
        <w:adjustRightInd w:val="0"/>
        <w:spacing w:after="240" w:line="240" w:lineRule="auto"/>
        <w:ind w:firstLine="720"/>
        <w:jc w:val="both"/>
        <w:rPr>
          <w:rFonts w:ascii="Times New Roman" w:hAnsi="Times New Roman" w:cs="Times New Roman"/>
          <w:sz w:val="24"/>
          <w:szCs w:val="24"/>
        </w:rPr>
      </w:pPr>
      <w:r w:rsidRPr="002C6F16">
        <w:rPr>
          <w:rFonts w:ascii="Times New Roman" w:hAnsi="Times New Roman" w:cs="Times New Roman"/>
          <w:sz w:val="24"/>
          <w:szCs w:val="24"/>
        </w:rPr>
        <w:t>On December 30, 2022, the Georgia Public Service Commission ("Commission") issued its order ("Order Adopting Settlement Agreement As Modified") in the above-styled docket approving a Settlement Agreement between Georgia Power Company ("Georgia Power" or the "Company"), the Public Interest Advocacy Staff ("Staff'), and several Interveners providing for an Alternate Rate Plan ("ARP") (collectively "2022 Rate Case Settlement Agreement"). The ARP commenced January 1, 2023, and continues through December 31, 2025. The ARP required the Company to file its next base rate case by July 1, 2025. This Stipulation allows the ARP to continue for an additional three-year term through December 31, 2028 ("Stipulation to Extend the ARP"). To facilitate extending the current ARP, the Stipulating Parties agree to the following modifications:</w:t>
      </w:r>
    </w:p>
    <w:p w14:paraId="7F56B091" w14:textId="5BB98329" w:rsidR="00D075B2" w:rsidRPr="002C6F16" w:rsidRDefault="00D075B2" w:rsidP="00D15746">
      <w:pPr>
        <w:pStyle w:val="ListParagraph"/>
        <w:numPr>
          <w:ilvl w:val="0"/>
          <w:numId w:val="18"/>
        </w:numPr>
        <w:tabs>
          <w:tab w:val="clear" w:pos="360"/>
        </w:tabs>
        <w:autoSpaceDE w:val="0"/>
        <w:autoSpaceDN w:val="0"/>
        <w:adjustRightInd w:val="0"/>
        <w:ind w:left="0" w:firstLine="720"/>
        <w:jc w:val="both"/>
        <w:rPr>
          <w:rFonts w:ascii="Times New Roman" w:hAnsi="Times New Roman" w:cs="Times New Roman"/>
          <w:sz w:val="24"/>
          <w:szCs w:val="24"/>
        </w:rPr>
      </w:pPr>
      <w:r w:rsidRPr="002C6F16">
        <w:rPr>
          <w:rFonts w:ascii="Times New Roman" w:hAnsi="Times New Roman" w:cs="Times New Roman"/>
          <w:sz w:val="24"/>
          <w:szCs w:val="24"/>
        </w:rPr>
        <w:t xml:space="preserve">The terms and conditions of the ARP, as defined in the 2022 Rate Case Settlement Agreement as approved by the Commission in its Order Adopting Settlement Agreement as Modified, shall remain in effect unless expressly amended by this Stipulation to Extend the ARP. </w:t>
      </w:r>
    </w:p>
    <w:p w14:paraId="448B7076" w14:textId="40670218" w:rsidR="00D075B2" w:rsidRPr="002C6F16" w:rsidRDefault="00D075B2" w:rsidP="00D15746">
      <w:pPr>
        <w:pStyle w:val="ListParagraph"/>
        <w:numPr>
          <w:ilvl w:val="0"/>
          <w:numId w:val="18"/>
        </w:numPr>
        <w:autoSpaceDE w:val="0"/>
        <w:autoSpaceDN w:val="0"/>
        <w:adjustRightInd w:val="0"/>
        <w:ind w:left="0" w:firstLine="720"/>
        <w:jc w:val="both"/>
        <w:rPr>
          <w:rFonts w:ascii="Times New Roman" w:hAnsi="Times New Roman" w:cs="Times New Roman"/>
          <w:sz w:val="24"/>
          <w:szCs w:val="24"/>
        </w:rPr>
      </w:pPr>
      <w:r w:rsidRPr="002C6F16">
        <w:rPr>
          <w:rFonts w:ascii="Times New Roman" w:hAnsi="Times New Roman" w:cs="Times New Roman"/>
          <w:sz w:val="24"/>
          <w:szCs w:val="24"/>
        </w:rPr>
        <w:t xml:space="preserve">Under the Stipulation to Extend the ARP, base rates will not be adjusted for the next three years (2026, 2027, and 2028) ("ARP extension period"), except for storm damage cost, which will be recovered in accordance with Paragraph 3 of this Stipulation. </w:t>
      </w:r>
    </w:p>
    <w:p w14:paraId="09EA8D11" w14:textId="0F20A647" w:rsidR="00D075B2" w:rsidRPr="002C6F16" w:rsidRDefault="00D075B2" w:rsidP="00D15746">
      <w:pPr>
        <w:pStyle w:val="ListParagraph"/>
        <w:numPr>
          <w:ilvl w:val="0"/>
          <w:numId w:val="18"/>
        </w:numPr>
        <w:autoSpaceDE w:val="0"/>
        <w:autoSpaceDN w:val="0"/>
        <w:adjustRightInd w:val="0"/>
        <w:ind w:left="0" w:firstLine="720"/>
        <w:jc w:val="both"/>
        <w:rPr>
          <w:rFonts w:ascii="Times New Roman" w:hAnsi="Times New Roman" w:cs="Times New Roman"/>
          <w:sz w:val="24"/>
          <w:szCs w:val="24"/>
        </w:rPr>
      </w:pPr>
      <w:r w:rsidRPr="002C6F16">
        <w:rPr>
          <w:rFonts w:ascii="Times New Roman" w:hAnsi="Times New Roman" w:cs="Times New Roman"/>
          <w:sz w:val="24"/>
          <w:szCs w:val="24"/>
        </w:rPr>
        <w:t xml:space="preserve">The Company will be allowed to recover actual reasonable and prudent storm damage cost incurred </w:t>
      </w:r>
      <w:proofErr w:type="gramStart"/>
      <w:r w:rsidRPr="002C6F16">
        <w:rPr>
          <w:rFonts w:ascii="Times New Roman" w:hAnsi="Times New Roman" w:cs="Times New Roman"/>
          <w:sz w:val="24"/>
          <w:szCs w:val="24"/>
        </w:rPr>
        <w:t>through</w:t>
      </w:r>
      <w:proofErr w:type="gramEnd"/>
      <w:r w:rsidRPr="002C6F16">
        <w:rPr>
          <w:rFonts w:ascii="Times New Roman" w:hAnsi="Times New Roman" w:cs="Times New Roman"/>
          <w:sz w:val="24"/>
          <w:szCs w:val="24"/>
        </w:rPr>
        <w:t xml:space="preserve"> December 31, 2025, that exceeds the amount of the annual storm damage accrual approved in the Order Adopting Settlement Agreement as Modified. The Company will file for the recovery of </w:t>
      </w:r>
      <w:proofErr w:type="gramStart"/>
      <w:r w:rsidRPr="002C6F16">
        <w:rPr>
          <w:rFonts w:ascii="Times New Roman" w:hAnsi="Times New Roman" w:cs="Times New Roman"/>
          <w:sz w:val="24"/>
          <w:szCs w:val="24"/>
        </w:rPr>
        <w:t>under</w:t>
      </w:r>
      <w:proofErr w:type="gramEnd"/>
      <w:r w:rsidRPr="002C6F16">
        <w:rPr>
          <w:rFonts w:ascii="Times New Roman" w:hAnsi="Times New Roman" w:cs="Times New Roman"/>
          <w:sz w:val="24"/>
          <w:szCs w:val="24"/>
        </w:rPr>
        <w:t xml:space="preserve">-recovered storm damage cost no sooner than February 1, </w:t>
      </w:r>
      <w:r w:rsidR="00055F4A" w:rsidRPr="002C6F16">
        <w:rPr>
          <w:rFonts w:ascii="Times New Roman" w:hAnsi="Times New Roman" w:cs="Times New Roman"/>
          <w:sz w:val="24"/>
          <w:szCs w:val="24"/>
        </w:rPr>
        <w:t>2026,</w:t>
      </w:r>
      <w:r w:rsidRPr="002C6F16">
        <w:rPr>
          <w:rFonts w:ascii="Times New Roman" w:hAnsi="Times New Roman" w:cs="Times New Roman"/>
          <w:sz w:val="24"/>
          <w:szCs w:val="24"/>
        </w:rPr>
        <w:t xml:space="preserve"> and no later than July 1, 2026, with new rates effective the 1st of the month following 90 days after the request for recovery. The Company's filing will include at a minimum pre-filed direct testimony and the documentation supporting the request for changes in the storm damage accrual as well as the proposed period over which to allow recovery of the under-recovered storm damage balance. The Commission shall determine the rates, the period over which under-recovered storm costs will be recovered, and any other issues the Commission </w:t>
      </w:r>
      <w:r w:rsidR="00055F4A" w:rsidRPr="002C6F16">
        <w:rPr>
          <w:rFonts w:ascii="Times New Roman" w:hAnsi="Times New Roman" w:cs="Times New Roman"/>
          <w:sz w:val="24"/>
          <w:szCs w:val="24"/>
        </w:rPr>
        <w:t>deem</w:t>
      </w:r>
      <w:r w:rsidRPr="002C6F16">
        <w:rPr>
          <w:rFonts w:ascii="Times New Roman" w:hAnsi="Times New Roman" w:cs="Times New Roman"/>
          <w:sz w:val="24"/>
          <w:szCs w:val="24"/>
        </w:rPr>
        <w:t xml:space="preserve"> necessary to address the limited issue of storm damage cost recovery. The rate increase shall be applied to each traditional base rate on an equal percentage basis. The energy, demand, and basic service charge components shall all be adjusted </w:t>
      </w:r>
      <w:r w:rsidR="00055F4A" w:rsidRPr="002C6F16">
        <w:rPr>
          <w:rFonts w:ascii="Times New Roman" w:hAnsi="Times New Roman" w:cs="Times New Roman"/>
          <w:sz w:val="24"/>
          <w:szCs w:val="24"/>
        </w:rPr>
        <w:t>equally,</w:t>
      </w:r>
      <w:r w:rsidRPr="002C6F16">
        <w:rPr>
          <w:rFonts w:ascii="Times New Roman" w:hAnsi="Times New Roman" w:cs="Times New Roman"/>
          <w:sz w:val="24"/>
          <w:szCs w:val="24"/>
        </w:rPr>
        <w:t xml:space="preserve"> provided that the Company shall not apply any increase to the basic service charge for the domestic and small business rate groups. The Commission shall issue a final decision within 90 days of the Company's filing. </w:t>
      </w:r>
    </w:p>
    <w:p w14:paraId="1BFB139A" w14:textId="3A386D42" w:rsidR="00D075B2" w:rsidRPr="002C6F16" w:rsidRDefault="00D075B2" w:rsidP="00D15746">
      <w:pPr>
        <w:pStyle w:val="ListParagraph"/>
        <w:numPr>
          <w:ilvl w:val="0"/>
          <w:numId w:val="18"/>
        </w:numPr>
        <w:autoSpaceDE w:val="0"/>
        <w:autoSpaceDN w:val="0"/>
        <w:adjustRightInd w:val="0"/>
        <w:ind w:left="0" w:firstLine="720"/>
        <w:jc w:val="both"/>
        <w:rPr>
          <w:rFonts w:ascii="Times New Roman" w:hAnsi="Times New Roman" w:cs="Times New Roman"/>
          <w:sz w:val="24"/>
          <w:szCs w:val="24"/>
        </w:rPr>
      </w:pPr>
      <w:r w:rsidRPr="002C6F16">
        <w:rPr>
          <w:rFonts w:ascii="Times New Roman" w:hAnsi="Times New Roman" w:cs="Times New Roman"/>
          <w:sz w:val="24"/>
          <w:szCs w:val="24"/>
        </w:rPr>
        <w:t xml:space="preserve">During the ARP extension period, the Company shall continue the amortization of regulatory assets and liabilities in the 2022 Rate Case Settlement Agreement as approved in the </w:t>
      </w:r>
      <w:r w:rsidRPr="002C6F16">
        <w:rPr>
          <w:rFonts w:ascii="Times New Roman" w:hAnsi="Times New Roman" w:cs="Times New Roman"/>
          <w:sz w:val="24"/>
          <w:szCs w:val="24"/>
        </w:rPr>
        <w:lastRenderedPageBreak/>
        <w:t xml:space="preserve">Order Adopting Settlement Agreement </w:t>
      </w:r>
      <w:proofErr w:type="gramStart"/>
      <w:r w:rsidRPr="002C6F16">
        <w:rPr>
          <w:rFonts w:ascii="Times New Roman" w:hAnsi="Times New Roman" w:cs="Times New Roman"/>
          <w:sz w:val="24"/>
          <w:szCs w:val="24"/>
        </w:rPr>
        <w:t>As</w:t>
      </w:r>
      <w:proofErr w:type="gramEnd"/>
      <w:r w:rsidRPr="002C6F16">
        <w:rPr>
          <w:rFonts w:ascii="Times New Roman" w:hAnsi="Times New Roman" w:cs="Times New Roman"/>
          <w:sz w:val="24"/>
          <w:szCs w:val="24"/>
        </w:rPr>
        <w:t xml:space="preserve"> Modified and subsequently included in current rates through the annual compliance filings. This includes those regulatory asset and liability balances that were projected to be fully amortized through 2025 or during the ARP extension period, and any amortization debit or </w:t>
      </w:r>
      <w:proofErr w:type="gramStart"/>
      <w:r w:rsidRPr="002C6F16">
        <w:rPr>
          <w:rFonts w:ascii="Times New Roman" w:hAnsi="Times New Roman" w:cs="Times New Roman"/>
          <w:sz w:val="24"/>
          <w:szCs w:val="24"/>
        </w:rPr>
        <w:t>credit will be</w:t>
      </w:r>
      <w:proofErr w:type="gramEnd"/>
      <w:r w:rsidRPr="002C6F16">
        <w:rPr>
          <w:rFonts w:ascii="Times New Roman" w:hAnsi="Times New Roman" w:cs="Times New Roman"/>
          <w:sz w:val="24"/>
          <w:szCs w:val="24"/>
        </w:rPr>
        <w:t xml:space="preserve"> recorded to a regulatory liability or asset during the ARP extension period. </w:t>
      </w:r>
    </w:p>
    <w:p w14:paraId="3F2EDA3E" w14:textId="6F3039EA" w:rsidR="00D075B2" w:rsidRPr="002C6F16" w:rsidRDefault="00D075B2" w:rsidP="00D15746">
      <w:pPr>
        <w:pStyle w:val="ListParagraph"/>
        <w:numPr>
          <w:ilvl w:val="0"/>
          <w:numId w:val="18"/>
        </w:numPr>
        <w:autoSpaceDE w:val="0"/>
        <w:autoSpaceDN w:val="0"/>
        <w:adjustRightInd w:val="0"/>
        <w:ind w:left="0" w:firstLine="720"/>
        <w:jc w:val="both"/>
        <w:rPr>
          <w:rFonts w:ascii="Times New Roman" w:hAnsi="Times New Roman" w:cs="Times New Roman"/>
          <w:sz w:val="24"/>
          <w:szCs w:val="24"/>
        </w:rPr>
      </w:pPr>
      <w:r w:rsidRPr="002C6F16">
        <w:rPr>
          <w:rFonts w:ascii="Times New Roman" w:hAnsi="Times New Roman" w:cs="Times New Roman"/>
          <w:sz w:val="24"/>
          <w:szCs w:val="24"/>
        </w:rPr>
        <w:t xml:space="preserve">Stipulation Paragraph 14 of the 2022 Rate Case Settlement Agreement shall be modified by adding the following to the end of the paragraph: </w:t>
      </w:r>
    </w:p>
    <w:p w14:paraId="08516CB5" w14:textId="77777777" w:rsidR="00D075B2" w:rsidRPr="002C6F16" w:rsidRDefault="00D075B2" w:rsidP="006E57F0">
      <w:pPr>
        <w:autoSpaceDE w:val="0"/>
        <w:autoSpaceDN w:val="0"/>
        <w:adjustRightInd w:val="0"/>
        <w:spacing w:after="240" w:line="240" w:lineRule="auto"/>
        <w:ind w:left="1440" w:right="720"/>
        <w:jc w:val="both"/>
        <w:rPr>
          <w:rFonts w:ascii="Times New Roman" w:hAnsi="Times New Roman" w:cs="Times New Roman"/>
          <w:sz w:val="24"/>
          <w:szCs w:val="24"/>
        </w:rPr>
      </w:pPr>
      <w:r w:rsidRPr="002C6F16">
        <w:rPr>
          <w:rFonts w:ascii="Times New Roman" w:hAnsi="Times New Roman" w:cs="Times New Roman"/>
          <w:sz w:val="24"/>
          <w:szCs w:val="24"/>
        </w:rPr>
        <w:t xml:space="preserve">Provided, however, that the Company shall not accrue tax benefits on Investment Tax Credits ("ITCs") or Production Tax Credits ("PTCs") as a regulatory liability during the ARP extension period, except as described in this paragraph. The Company will recognize state and federal tax benefits in accordance with the Internal Revenue Service rules, the Georgia Department of Revenue rules, and the Company's accounting policy. The Company shall be allowed to transfer certain tax credits and to elect out of Internal Revenue Code ("IRC") normalization rules on a project-by-project basis, where applicable, which would allow the Company to reduce </w:t>
      </w:r>
      <w:proofErr w:type="gramStart"/>
      <w:r w:rsidRPr="002C6F16">
        <w:rPr>
          <w:rFonts w:ascii="Times New Roman" w:hAnsi="Times New Roman" w:cs="Times New Roman"/>
          <w:sz w:val="24"/>
          <w:szCs w:val="24"/>
        </w:rPr>
        <w:t>rate</w:t>
      </w:r>
      <w:proofErr w:type="gramEnd"/>
      <w:r w:rsidRPr="002C6F16">
        <w:rPr>
          <w:rFonts w:ascii="Times New Roman" w:hAnsi="Times New Roman" w:cs="Times New Roman"/>
          <w:sz w:val="24"/>
          <w:szCs w:val="24"/>
        </w:rPr>
        <w:t xml:space="preserve"> base by any unamortized ITC benefits. Any ITCs and PTCs deferred to an ITC liability or regulatory liability from 2023 to 2025 will be amortized to amortization or income tax expense over three years beginning January 1, 2026, to the extent they are not subject to the Internal Revenue Service ("IRS") normalization rules. Any ITCs not subject to the IRS normalization rules that are generated during the ARP extension period will be amortized to amortization expense over five years. The value of ITCs and PTCs that will be available to support the extension of the ARP will depend upon several factors including IRS determinations and in service dates for resources eligible for ITCs. The Company has provided a schedule of ITCs and PTCs in Exhibit A to this Stipulation. Any ITCs and PTCs generated above the annual levels projected by the Company in Exhibit A shall be deferred to a regulatory liability. To the extent the Company does not generate ITCs equal to the annual projections shown on Exhibit A </w:t>
      </w:r>
      <w:proofErr w:type="gramStart"/>
      <w:r w:rsidRPr="002C6F16">
        <w:rPr>
          <w:rFonts w:ascii="Times New Roman" w:hAnsi="Times New Roman" w:cs="Times New Roman"/>
          <w:sz w:val="24"/>
          <w:szCs w:val="24"/>
        </w:rPr>
        <w:t>in a given year</w:t>
      </w:r>
      <w:proofErr w:type="gramEnd"/>
      <w:r w:rsidRPr="002C6F16">
        <w:rPr>
          <w:rFonts w:ascii="Times New Roman" w:hAnsi="Times New Roman" w:cs="Times New Roman"/>
          <w:sz w:val="24"/>
          <w:szCs w:val="24"/>
        </w:rPr>
        <w:t xml:space="preserve">, the shortfall shall be added to the annual projection available for amortization in the following year so that the annual amount shown in Exhibit A is increased by the amount of the shortfall. However, any ITC amount deferred to a regulatory liability can be carried forward to a subsequent year, to be available for amortization, subject to the maximum level for that year. Sixty percent (60%) of PTCs generated during the ARP extension period will be credited to income tax expense as generated. The remaining forty percent (40%) shall be deferred to </w:t>
      </w:r>
      <w:proofErr w:type="gramStart"/>
      <w:r w:rsidRPr="002C6F16">
        <w:rPr>
          <w:rFonts w:ascii="Times New Roman" w:hAnsi="Times New Roman" w:cs="Times New Roman"/>
          <w:sz w:val="24"/>
          <w:szCs w:val="24"/>
        </w:rPr>
        <w:t>a regulatory</w:t>
      </w:r>
      <w:proofErr w:type="gramEnd"/>
      <w:r w:rsidRPr="002C6F16">
        <w:rPr>
          <w:rFonts w:ascii="Times New Roman" w:hAnsi="Times New Roman" w:cs="Times New Roman"/>
          <w:sz w:val="24"/>
          <w:szCs w:val="24"/>
        </w:rPr>
        <w:t xml:space="preserve"> liability. The PTCs generated under the IRC 45J associated with Plant Vogtle Units 3 and 4 will not be subject to the provisions in this stipulated agreement. </w:t>
      </w:r>
    </w:p>
    <w:p w14:paraId="2C3BB356" w14:textId="4422F5A7" w:rsidR="00D075B2" w:rsidRPr="002C6F16" w:rsidRDefault="00D075B2" w:rsidP="00D15746">
      <w:pPr>
        <w:pStyle w:val="ListParagraph"/>
        <w:numPr>
          <w:ilvl w:val="0"/>
          <w:numId w:val="18"/>
        </w:numPr>
        <w:tabs>
          <w:tab w:val="left" w:pos="450"/>
        </w:tabs>
        <w:autoSpaceDE w:val="0"/>
        <w:autoSpaceDN w:val="0"/>
        <w:adjustRightInd w:val="0"/>
        <w:ind w:left="0" w:firstLine="720"/>
        <w:jc w:val="both"/>
        <w:rPr>
          <w:rFonts w:ascii="Times New Roman" w:hAnsi="Times New Roman" w:cs="Times New Roman"/>
          <w:sz w:val="24"/>
          <w:szCs w:val="24"/>
        </w:rPr>
      </w:pPr>
      <w:r w:rsidRPr="002C6F16">
        <w:rPr>
          <w:rFonts w:ascii="Times New Roman" w:hAnsi="Times New Roman" w:cs="Times New Roman"/>
          <w:sz w:val="24"/>
          <w:szCs w:val="24"/>
        </w:rPr>
        <w:lastRenderedPageBreak/>
        <w:t xml:space="preserve">The Company will not defer the benefits of the state tax rate reduction from 5.39% to 5.19% effective January 1, 2025. </w:t>
      </w:r>
    </w:p>
    <w:p w14:paraId="34CEC533" w14:textId="0C36ED80" w:rsidR="00D075B2" w:rsidRPr="002C6F16" w:rsidRDefault="00D075B2" w:rsidP="00D15746">
      <w:pPr>
        <w:pStyle w:val="ListParagraph"/>
        <w:numPr>
          <w:ilvl w:val="0"/>
          <w:numId w:val="18"/>
        </w:numPr>
        <w:autoSpaceDE w:val="0"/>
        <w:autoSpaceDN w:val="0"/>
        <w:adjustRightInd w:val="0"/>
        <w:ind w:left="0" w:firstLine="720"/>
        <w:jc w:val="both"/>
        <w:rPr>
          <w:rFonts w:ascii="Times New Roman" w:hAnsi="Times New Roman" w:cs="Times New Roman"/>
          <w:sz w:val="24"/>
          <w:szCs w:val="24"/>
        </w:rPr>
      </w:pPr>
      <w:r w:rsidRPr="002C6F16">
        <w:rPr>
          <w:rFonts w:ascii="Times New Roman" w:hAnsi="Times New Roman" w:cs="Times New Roman"/>
          <w:sz w:val="24"/>
          <w:szCs w:val="24"/>
        </w:rPr>
        <w:t xml:space="preserve">For each year of the ARP extension period, provided that the Company does not file a rate case or invoke the Interim Cost Recovery Mechanism in such year, the Company shall be allowed to defer certain costs under subsection (b) of this provision as specified below if the Company's ROE would otherwise drop below 10.5% (the set point ROE used by the Commission to set rates in the 2022 Order Adopting Settlement Agreement As Modified). For avoidance of doubt, this provision does not change or modify the Company's current earnings band of 9.5% to 11.9% approved in the Order Adopting Settlement Agreement </w:t>
      </w:r>
      <w:proofErr w:type="gramStart"/>
      <w:r w:rsidRPr="002C6F16">
        <w:rPr>
          <w:rFonts w:ascii="Times New Roman" w:hAnsi="Times New Roman" w:cs="Times New Roman"/>
          <w:sz w:val="24"/>
          <w:szCs w:val="24"/>
        </w:rPr>
        <w:t>As</w:t>
      </w:r>
      <w:proofErr w:type="gramEnd"/>
      <w:r w:rsidRPr="002C6F16">
        <w:rPr>
          <w:rFonts w:ascii="Times New Roman" w:hAnsi="Times New Roman" w:cs="Times New Roman"/>
          <w:sz w:val="24"/>
          <w:szCs w:val="24"/>
        </w:rPr>
        <w:t xml:space="preserve"> Modified. </w:t>
      </w:r>
    </w:p>
    <w:p w14:paraId="332C5E6C" w14:textId="1DEF0F32" w:rsidR="00D075B2" w:rsidRPr="002C6F16" w:rsidRDefault="00D075B2" w:rsidP="006E57F0">
      <w:pPr>
        <w:pStyle w:val="ListParagraph"/>
        <w:numPr>
          <w:ilvl w:val="1"/>
          <w:numId w:val="18"/>
        </w:numPr>
        <w:autoSpaceDE w:val="0"/>
        <w:autoSpaceDN w:val="0"/>
        <w:adjustRightInd w:val="0"/>
        <w:spacing w:after="120"/>
        <w:jc w:val="both"/>
        <w:rPr>
          <w:rFonts w:ascii="Times New Roman" w:hAnsi="Times New Roman" w:cs="Times New Roman"/>
          <w:sz w:val="24"/>
          <w:szCs w:val="24"/>
        </w:rPr>
      </w:pPr>
      <w:r w:rsidRPr="002C6F16">
        <w:rPr>
          <w:rFonts w:ascii="Times New Roman" w:hAnsi="Times New Roman" w:cs="Times New Roman"/>
          <w:sz w:val="24"/>
          <w:szCs w:val="24"/>
        </w:rPr>
        <w:t xml:space="preserve">The maximum amount of such costs that the Company shall be allowed to defer exclusively for purposes of Paragraph 7, shall be $50 million for 2026, $100 million for 2027, and $150 million for 2028. In the event that the Company's actual retail ROE, as determined by the Commission through review and audit of, and after any resulting accounting or regulatory adjustments to, the Company's Annual Surveillance Report for such year, would be greater than 10.50% if the Company were to defer the entire amount, then the deferral shall be limited to only that amount, if any, as would allow the Company to earn no more than 10.50% for such year. </w:t>
      </w:r>
    </w:p>
    <w:p w14:paraId="1EC6F8F7" w14:textId="57949FFA" w:rsidR="00D075B2" w:rsidRPr="002C6F16" w:rsidRDefault="00D075B2" w:rsidP="006E57F0">
      <w:pPr>
        <w:pStyle w:val="ListParagraph"/>
        <w:numPr>
          <w:ilvl w:val="1"/>
          <w:numId w:val="18"/>
        </w:numPr>
        <w:autoSpaceDE w:val="0"/>
        <w:autoSpaceDN w:val="0"/>
        <w:adjustRightInd w:val="0"/>
        <w:spacing w:after="120"/>
        <w:jc w:val="both"/>
        <w:rPr>
          <w:rFonts w:ascii="Times New Roman" w:hAnsi="Times New Roman" w:cs="Times New Roman"/>
          <w:sz w:val="24"/>
          <w:szCs w:val="24"/>
        </w:rPr>
      </w:pPr>
      <w:r w:rsidRPr="002C6F16">
        <w:rPr>
          <w:rFonts w:ascii="Times New Roman" w:hAnsi="Times New Roman" w:cs="Times New Roman"/>
          <w:sz w:val="24"/>
          <w:szCs w:val="24"/>
        </w:rPr>
        <w:t xml:space="preserve">In the following order of priority, costs that may be deferred consist of: </w:t>
      </w:r>
    </w:p>
    <w:p w14:paraId="79F099B9" w14:textId="3A5694DC" w:rsidR="00D075B2" w:rsidRPr="002C6F16" w:rsidRDefault="00D075B2" w:rsidP="006E57F0">
      <w:pPr>
        <w:pStyle w:val="ListParagraph"/>
        <w:numPr>
          <w:ilvl w:val="2"/>
          <w:numId w:val="18"/>
        </w:numPr>
        <w:autoSpaceDE w:val="0"/>
        <w:autoSpaceDN w:val="0"/>
        <w:adjustRightInd w:val="0"/>
        <w:spacing w:after="120"/>
        <w:ind w:left="1800"/>
        <w:jc w:val="both"/>
        <w:rPr>
          <w:rFonts w:ascii="Times New Roman" w:hAnsi="Times New Roman" w:cs="Times New Roman"/>
          <w:sz w:val="24"/>
          <w:szCs w:val="24"/>
        </w:rPr>
      </w:pPr>
      <w:r w:rsidRPr="002C6F16">
        <w:rPr>
          <w:rFonts w:ascii="Times New Roman" w:hAnsi="Times New Roman" w:cs="Times New Roman"/>
          <w:sz w:val="24"/>
          <w:szCs w:val="24"/>
        </w:rPr>
        <w:t xml:space="preserve">the depreciation expense for assets approved in the 2023 Amended IRP that went into rate base on or after </w:t>
      </w:r>
      <w:proofErr w:type="gramStart"/>
      <w:r w:rsidRPr="002C6F16">
        <w:rPr>
          <w:rFonts w:ascii="Times New Roman" w:hAnsi="Times New Roman" w:cs="Times New Roman"/>
          <w:sz w:val="24"/>
          <w:szCs w:val="24"/>
        </w:rPr>
        <w:t>01/01/2026;</w:t>
      </w:r>
      <w:proofErr w:type="gramEnd"/>
      <w:r w:rsidRPr="002C6F16">
        <w:rPr>
          <w:rFonts w:ascii="Times New Roman" w:hAnsi="Times New Roman" w:cs="Times New Roman"/>
          <w:sz w:val="24"/>
          <w:szCs w:val="24"/>
        </w:rPr>
        <w:t xml:space="preserve"> </w:t>
      </w:r>
    </w:p>
    <w:p w14:paraId="65E111D3" w14:textId="269987E7" w:rsidR="00D075B2" w:rsidRPr="002C6F16" w:rsidRDefault="00D075B2" w:rsidP="006E57F0">
      <w:pPr>
        <w:pStyle w:val="ListParagraph"/>
        <w:numPr>
          <w:ilvl w:val="2"/>
          <w:numId w:val="18"/>
        </w:numPr>
        <w:autoSpaceDE w:val="0"/>
        <w:autoSpaceDN w:val="0"/>
        <w:adjustRightInd w:val="0"/>
        <w:spacing w:after="120"/>
        <w:ind w:left="1800"/>
        <w:jc w:val="both"/>
        <w:rPr>
          <w:rFonts w:ascii="Times New Roman" w:hAnsi="Times New Roman" w:cs="Times New Roman"/>
          <w:sz w:val="24"/>
          <w:szCs w:val="24"/>
        </w:rPr>
      </w:pPr>
      <w:r w:rsidRPr="002C6F16">
        <w:rPr>
          <w:rFonts w:ascii="Times New Roman" w:hAnsi="Times New Roman" w:cs="Times New Roman"/>
          <w:sz w:val="24"/>
          <w:szCs w:val="24"/>
        </w:rPr>
        <w:t xml:space="preserve">the depreciation expense for assets approved in the 2025 IRP that went into rate base on or after 01/01/2026; and, </w:t>
      </w:r>
    </w:p>
    <w:p w14:paraId="0386939C" w14:textId="6AFF636F" w:rsidR="00D075B2" w:rsidRPr="002C6F16" w:rsidRDefault="00D075B2" w:rsidP="006E57F0">
      <w:pPr>
        <w:pStyle w:val="ListParagraph"/>
        <w:numPr>
          <w:ilvl w:val="2"/>
          <w:numId w:val="18"/>
        </w:numPr>
        <w:autoSpaceDE w:val="0"/>
        <w:autoSpaceDN w:val="0"/>
        <w:adjustRightInd w:val="0"/>
        <w:spacing w:after="120"/>
        <w:ind w:left="1800"/>
        <w:jc w:val="both"/>
        <w:rPr>
          <w:rFonts w:ascii="Times New Roman" w:hAnsi="Times New Roman" w:cs="Times New Roman"/>
          <w:sz w:val="24"/>
          <w:szCs w:val="24"/>
        </w:rPr>
      </w:pPr>
      <w:r w:rsidRPr="002C6F16">
        <w:rPr>
          <w:rFonts w:ascii="Times New Roman" w:hAnsi="Times New Roman" w:cs="Times New Roman"/>
          <w:sz w:val="24"/>
          <w:szCs w:val="24"/>
        </w:rPr>
        <w:t xml:space="preserve">the depreciation expense for assets approved in the 2022 IRP that went into rate base on or after 01/01/2026, provided that such cost was not included in rates set in the 2022 rate case. </w:t>
      </w:r>
    </w:p>
    <w:p w14:paraId="26054BD8" w14:textId="62969434" w:rsidR="00D15746" w:rsidRPr="002C6F16" w:rsidRDefault="00D075B2" w:rsidP="00D15746">
      <w:pPr>
        <w:pStyle w:val="ListParagraph"/>
        <w:numPr>
          <w:ilvl w:val="0"/>
          <w:numId w:val="18"/>
        </w:numPr>
        <w:autoSpaceDE w:val="0"/>
        <w:autoSpaceDN w:val="0"/>
        <w:adjustRightInd w:val="0"/>
        <w:ind w:left="0" w:firstLine="720"/>
        <w:jc w:val="both"/>
        <w:rPr>
          <w:rFonts w:ascii="Times New Roman" w:hAnsi="Times New Roman" w:cs="Times New Roman"/>
          <w:sz w:val="24"/>
          <w:szCs w:val="24"/>
        </w:rPr>
      </w:pPr>
      <w:r w:rsidRPr="002C6F16">
        <w:rPr>
          <w:rFonts w:ascii="Times New Roman" w:hAnsi="Times New Roman" w:cs="Times New Roman"/>
          <w:sz w:val="24"/>
          <w:szCs w:val="24"/>
        </w:rPr>
        <w:t>There shall be annual true up of Municipal Franchise Fee tariff ("MFF") in 2026, 2027, and 2028. The treatment (refund or cost recovery) of any resulting regulatory asset or liability from the MFF</w:t>
      </w:r>
      <w:r w:rsidR="006E57F0" w:rsidRPr="002C6F16">
        <w:rPr>
          <w:rFonts w:ascii="Times New Roman" w:hAnsi="Times New Roman" w:cs="Times New Roman"/>
          <w:sz w:val="24"/>
          <w:szCs w:val="24"/>
        </w:rPr>
        <w:t>.</w:t>
      </w:r>
      <w:r w:rsidRPr="002C6F16">
        <w:rPr>
          <w:rFonts w:ascii="Times New Roman" w:hAnsi="Times New Roman" w:cs="Times New Roman"/>
          <w:sz w:val="24"/>
          <w:szCs w:val="24"/>
        </w:rPr>
        <w:t xml:space="preserve"> </w:t>
      </w:r>
    </w:p>
    <w:p w14:paraId="2AA63267" w14:textId="2A051594" w:rsidR="00D075B2" w:rsidRPr="002C6F16" w:rsidRDefault="00D075B2" w:rsidP="00D15746">
      <w:pPr>
        <w:pStyle w:val="ListParagraph"/>
        <w:numPr>
          <w:ilvl w:val="0"/>
          <w:numId w:val="18"/>
        </w:numPr>
        <w:autoSpaceDE w:val="0"/>
        <w:autoSpaceDN w:val="0"/>
        <w:adjustRightInd w:val="0"/>
        <w:ind w:left="0" w:firstLine="720"/>
        <w:jc w:val="both"/>
        <w:rPr>
          <w:rFonts w:ascii="Times New Roman" w:hAnsi="Times New Roman" w:cs="Times New Roman"/>
          <w:sz w:val="24"/>
          <w:szCs w:val="24"/>
        </w:rPr>
      </w:pPr>
      <w:r w:rsidRPr="002C6F16">
        <w:rPr>
          <w:rFonts w:ascii="Times New Roman" w:hAnsi="Times New Roman" w:cs="Times New Roman"/>
          <w:sz w:val="24"/>
          <w:szCs w:val="24"/>
        </w:rPr>
        <w:t xml:space="preserve">The DSM tariff will be accounted for under the existing DSM true-up methodology, without annual rate adjustments during the ARP extension period. The treatment (refund or cost recovery) of any resulting regulatory asset or regulatory liability from the DSM true-up process shall be considered in the Company's next base rate case. </w:t>
      </w:r>
    </w:p>
    <w:p w14:paraId="1B714EBE" w14:textId="525F3871" w:rsidR="00D075B2" w:rsidRPr="002C6F16" w:rsidRDefault="00D075B2" w:rsidP="00D15746">
      <w:pPr>
        <w:pStyle w:val="ListParagraph"/>
        <w:numPr>
          <w:ilvl w:val="0"/>
          <w:numId w:val="18"/>
        </w:numPr>
        <w:autoSpaceDE w:val="0"/>
        <w:autoSpaceDN w:val="0"/>
        <w:adjustRightInd w:val="0"/>
        <w:ind w:left="0" w:firstLine="720"/>
        <w:jc w:val="both"/>
        <w:rPr>
          <w:rFonts w:ascii="Times New Roman" w:hAnsi="Times New Roman" w:cs="Times New Roman"/>
          <w:sz w:val="24"/>
          <w:szCs w:val="24"/>
        </w:rPr>
      </w:pPr>
      <w:r w:rsidRPr="002C6F16">
        <w:rPr>
          <w:rFonts w:ascii="Times New Roman" w:hAnsi="Times New Roman" w:cs="Times New Roman"/>
          <w:sz w:val="24"/>
          <w:szCs w:val="24"/>
        </w:rPr>
        <w:t xml:space="preserve">To the extent any uncollectible expense during the ARP extension period exceeds the annual amount for uncollectible expense included in the base rates approved by the Commission in the 2022 Base Rate Case, the Company will defer such balance as a regulatory asset to be recovered in the Company's next base rate case provided that the deferral shall not </w:t>
      </w:r>
      <w:r w:rsidRPr="002C6F16">
        <w:rPr>
          <w:rFonts w:ascii="Times New Roman" w:hAnsi="Times New Roman" w:cs="Times New Roman"/>
          <w:sz w:val="24"/>
          <w:szCs w:val="24"/>
        </w:rPr>
        <w:lastRenderedPageBreak/>
        <w:t xml:space="preserve">exceed $20 million in any given year of the ARP extension period or $60 million total for the cumulative 3-year period. </w:t>
      </w:r>
    </w:p>
    <w:p w14:paraId="73C193A5" w14:textId="5BF7F42D" w:rsidR="00D075B2" w:rsidRPr="002C6F16" w:rsidRDefault="00D075B2" w:rsidP="00D15746">
      <w:pPr>
        <w:pStyle w:val="ListParagraph"/>
        <w:numPr>
          <w:ilvl w:val="0"/>
          <w:numId w:val="18"/>
        </w:numPr>
        <w:autoSpaceDE w:val="0"/>
        <w:autoSpaceDN w:val="0"/>
        <w:adjustRightInd w:val="0"/>
        <w:ind w:left="0" w:firstLine="720"/>
        <w:jc w:val="both"/>
        <w:rPr>
          <w:rFonts w:ascii="Times New Roman" w:hAnsi="Times New Roman" w:cs="Times New Roman"/>
          <w:sz w:val="24"/>
          <w:szCs w:val="24"/>
        </w:rPr>
      </w:pPr>
      <w:r w:rsidRPr="002C6F16">
        <w:rPr>
          <w:rFonts w:ascii="Times New Roman" w:hAnsi="Times New Roman" w:cs="Times New Roman"/>
          <w:sz w:val="24"/>
          <w:szCs w:val="24"/>
        </w:rPr>
        <w:t>Paragraph 3 of the 2022 Rate Case Settlement Agreement shall be modified as follows to allow for the continuation of Commission-approved activities and programs during the ARP extension period:</w:t>
      </w:r>
    </w:p>
    <w:p w14:paraId="1F56E929" w14:textId="49838876" w:rsidR="008B19F2" w:rsidRPr="002C6F16" w:rsidRDefault="008B19F2" w:rsidP="00D15746">
      <w:pPr>
        <w:pStyle w:val="ListParagraph"/>
        <w:numPr>
          <w:ilvl w:val="1"/>
          <w:numId w:val="18"/>
        </w:numPr>
        <w:autoSpaceDE w:val="0"/>
        <w:autoSpaceDN w:val="0"/>
        <w:adjustRightInd w:val="0"/>
        <w:spacing w:after="120"/>
        <w:jc w:val="both"/>
        <w:rPr>
          <w:rFonts w:ascii="Times New Roman" w:hAnsi="Times New Roman" w:cs="Times New Roman"/>
          <w:sz w:val="24"/>
          <w:szCs w:val="24"/>
        </w:rPr>
      </w:pPr>
      <w:r w:rsidRPr="002C6F16">
        <w:rPr>
          <w:rFonts w:ascii="Times New Roman" w:hAnsi="Times New Roman" w:cs="Times New Roman"/>
          <w:sz w:val="24"/>
          <w:szCs w:val="24"/>
        </w:rPr>
        <w:t xml:space="preserve">The Company shall continue with the Grid Investment Plan ("GIP") spending over the term of the ARP extension period and will not exceed 50% of the budget levels previously approved by the Commission in the Order Adopting Settlement Agreement </w:t>
      </w:r>
      <w:proofErr w:type="gramStart"/>
      <w:r w:rsidRPr="002C6F16">
        <w:rPr>
          <w:rFonts w:ascii="Times New Roman" w:hAnsi="Times New Roman" w:cs="Times New Roman"/>
          <w:sz w:val="24"/>
          <w:szCs w:val="24"/>
        </w:rPr>
        <w:t>As</w:t>
      </w:r>
      <w:proofErr w:type="gramEnd"/>
      <w:r w:rsidRPr="002C6F16">
        <w:rPr>
          <w:rFonts w:ascii="Times New Roman" w:hAnsi="Times New Roman" w:cs="Times New Roman"/>
          <w:sz w:val="24"/>
          <w:szCs w:val="24"/>
        </w:rPr>
        <w:t xml:space="preserve"> Modified. Spending will continue to be reported through the Grid Improvement Plan's semi-annual reporting process. </w:t>
      </w:r>
    </w:p>
    <w:p w14:paraId="117C083F" w14:textId="56170157" w:rsidR="008B19F2" w:rsidRPr="002C6F16" w:rsidRDefault="008B19F2" w:rsidP="00D15746">
      <w:pPr>
        <w:pStyle w:val="ListParagraph"/>
        <w:numPr>
          <w:ilvl w:val="1"/>
          <w:numId w:val="18"/>
        </w:numPr>
        <w:autoSpaceDE w:val="0"/>
        <w:autoSpaceDN w:val="0"/>
        <w:adjustRightInd w:val="0"/>
        <w:spacing w:after="120"/>
        <w:jc w:val="both"/>
        <w:rPr>
          <w:rFonts w:ascii="Times New Roman" w:hAnsi="Times New Roman" w:cs="Times New Roman"/>
          <w:sz w:val="24"/>
          <w:szCs w:val="24"/>
        </w:rPr>
      </w:pPr>
      <w:r w:rsidRPr="002C6F16">
        <w:rPr>
          <w:rFonts w:ascii="Times New Roman" w:hAnsi="Times New Roman" w:cs="Times New Roman"/>
          <w:sz w:val="24"/>
          <w:szCs w:val="24"/>
        </w:rPr>
        <w:t xml:space="preserve">The Company shall continue with EV Make Ready spending over the term of the ARP extension period using the same budget levels previously approved by the Commission in </w:t>
      </w:r>
      <w:proofErr w:type="gramStart"/>
      <w:r w:rsidRPr="002C6F16">
        <w:rPr>
          <w:rFonts w:ascii="Times New Roman" w:hAnsi="Times New Roman" w:cs="Times New Roman"/>
          <w:sz w:val="24"/>
          <w:szCs w:val="24"/>
        </w:rPr>
        <w:t>the Order</w:t>
      </w:r>
      <w:proofErr w:type="gramEnd"/>
      <w:r w:rsidRPr="002C6F16">
        <w:rPr>
          <w:rFonts w:ascii="Times New Roman" w:hAnsi="Times New Roman" w:cs="Times New Roman"/>
          <w:sz w:val="24"/>
          <w:szCs w:val="24"/>
        </w:rPr>
        <w:t xml:space="preserve"> Adopting Settlement Agreement </w:t>
      </w:r>
      <w:proofErr w:type="gramStart"/>
      <w:r w:rsidRPr="002C6F16">
        <w:rPr>
          <w:rFonts w:ascii="Times New Roman" w:hAnsi="Times New Roman" w:cs="Times New Roman"/>
          <w:sz w:val="24"/>
          <w:szCs w:val="24"/>
        </w:rPr>
        <w:t>As</w:t>
      </w:r>
      <w:proofErr w:type="gramEnd"/>
      <w:r w:rsidRPr="002C6F16">
        <w:rPr>
          <w:rFonts w:ascii="Times New Roman" w:hAnsi="Times New Roman" w:cs="Times New Roman"/>
          <w:sz w:val="24"/>
          <w:szCs w:val="24"/>
        </w:rPr>
        <w:t xml:space="preserve"> Modified. </w:t>
      </w:r>
    </w:p>
    <w:p w14:paraId="36FF7156" w14:textId="4B9B44B7" w:rsidR="008B19F2" w:rsidRPr="002C6F16" w:rsidRDefault="008B19F2" w:rsidP="00D15746">
      <w:pPr>
        <w:pStyle w:val="ListParagraph"/>
        <w:numPr>
          <w:ilvl w:val="1"/>
          <w:numId w:val="18"/>
        </w:numPr>
        <w:autoSpaceDE w:val="0"/>
        <w:autoSpaceDN w:val="0"/>
        <w:adjustRightInd w:val="0"/>
        <w:spacing w:after="120"/>
        <w:jc w:val="both"/>
        <w:rPr>
          <w:rFonts w:ascii="Times New Roman" w:hAnsi="Times New Roman" w:cs="Times New Roman"/>
          <w:sz w:val="24"/>
          <w:szCs w:val="24"/>
        </w:rPr>
      </w:pPr>
      <w:r w:rsidRPr="002C6F16">
        <w:rPr>
          <w:rFonts w:ascii="Times New Roman" w:hAnsi="Times New Roman" w:cs="Times New Roman"/>
          <w:sz w:val="24"/>
          <w:szCs w:val="24"/>
        </w:rPr>
        <w:t xml:space="preserve">To the extent the cost for DERMs in the ARP extension period exceeds the amount approved in rates in the 2022 Rate </w:t>
      </w:r>
      <w:proofErr w:type="gramStart"/>
      <w:r w:rsidRPr="002C6F16">
        <w:rPr>
          <w:rFonts w:ascii="Times New Roman" w:hAnsi="Times New Roman" w:cs="Times New Roman"/>
          <w:sz w:val="24"/>
          <w:szCs w:val="24"/>
        </w:rPr>
        <w:t>Case Settlement</w:t>
      </w:r>
      <w:proofErr w:type="gramEnd"/>
      <w:r w:rsidRPr="002C6F16">
        <w:rPr>
          <w:rFonts w:ascii="Times New Roman" w:hAnsi="Times New Roman" w:cs="Times New Roman"/>
          <w:sz w:val="24"/>
          <w:szCs w:val="24"/>
        </w:rPr>
        <w:t xml:space="preserve"> Agreement, any incremental cost for DERMs approved in the 2025 Integrated Resource Plan ("2025 IRP") shall be deferred as a regulatory asset for recovery in the Company's next base rate case. </w:t>
      </w:r>
    </w:p>
    <w:p w14:paraId="2C0DBFDC" w14:textId="1EA7FFB7" w:rsidR="008B19F2" w:rsidRPr="002C6F16" w:rsidRDefault="008B19F2" w:rsidP="00D15746">
      <w:pPr>
        <w:pStyle w:val="ListParagraph"/>
        <w:numPr>
          <w:ilvl w:val="1"/>
          <w:numId w:val="18"/>
        </w:numPr>
        <w:autoSpaceDE w:val="0"/>
        <w:autoSpaceDN w:val="0"/>
        <w:adjustRightInd w:val="0"/>
        <w:spacing w:after="120"/>
        <w:jc w:val="both"/>
        <w:rPr>
          <w:rFonts w:ascii="Times New Roman" w:hAnsi="Times New Roman" w:cs="Times New Roman"/>
          <w:sz w:val="24"/>
          <w:szCs w:val="24"/>
        </w:rPr>
      </w:pPr>
      <w:r w:rsidRPr="002C6F16">
        <w:rPr>
          <w:rFonts w:ascii="Times New Roman" w:hAnsi="Times New Roman" w:cs="Times New Roman"/>
          <w:sz w:val="24"/>
          <w:szCs w:val="24"/>
        </w:rPr>
        <w:t xml:space="preserve">The annual depreciation expense for Plant Bowen Units 1-4 and Plant Scherer Units 1-3 shall be reduced by extending the period for depreciation to 13 years effective January 1, 2026. The deferral of depreciation expense associated with Bowen Units 1-2 and Scherer Units 1-3 approved in the 2022 Base Rate Case will cease during the ARP extension period and the associated regulatory asset shall begin amortization on January 1. 2026 </w:t>
      </w:r>
      <w:proofErr w:type="gramStart"/>
      <w:r w:rsidRPr="002C6F16">
        <w:rPr>
          <w:rFonts w:ascii="Times New Roman" w:hAnsi="Times New Roman" w:cs="Times New Roman"/>
          <w:sz w:val="24"/>
          <w:szCs w:val="24"/>
        </w:rPr>
        <w:t>over</w:t>
      </w:r>
      <w:proofErr w:type="gramEnd"/>
      <w:r w:rsidRPr="002C6F16">
        <w:rPr>
          <w:rFonts w:ascii="Times New Roman" w:hAnsi="Times New Roman" w:cs="Times New Roman"/>
          <w:sz w:val="24"/>
          <w:szCs w:val="24"/>
        </w:rPr>
        <w:t xml:space="preserve"> 13 years to match the depreciation period. </w:t>
      </w:r>
    </w:p>
    <w:p w14:paraId="7ACE5B89" w14:textId="4C826962" w:rsidR="008B19F2" w:rsidRPr="002C6F16" w:rsidRDefault="008B19F2" w:rsidP="00D15746">
      <w:pPr>
        <w:pStyle w:val="ListParagraph"/>
        <w:numPr>
          <w:ilvl w:val="1"/>
          <w:numId w:val="18"/>
        </w:numPr>
        <w:autoSpaceDE w:val="0"/>
        <w:autoSpaceDN w:val="0"/>
        <w:adjustRightInd w:val="0"/>
        <w:jc w:val="both"/>
        <w:rPr>
          <w:rFonts w:ascii="Times New Roman" w:hAnsi="Times New Roman" w:cs="Times New Roman"/>
          <w:sz w:val="24"/>
          <w:szCs w:val="24"/>
        </w:rPr>
      </w:pPr>
      <w:r w:rsidRPr="002C6F16">
        <w:rPr>
          <w:rFonts w:ascii="Times New Roman" w:hAnsi="Times New Roman" w:cs="Times New Roman"/>
          <w:sz w:val="24"/>
          <w:szCs w:val="24"/>
        </w:rPr>
        <w:t xml:space="preserve">The amortization expense on the remaining </w:t>
      </w:r>
      <w:proofErr w:type="gramStart"/>
      <w:r w:rsidRPr="002C6F16">
        <w:rPr>
          <w:rFonts w:ascii="Times New Roman" w:hAnsi="Times New Roman" w:cs="Times New Roman"/>
          <w:sz w:val="24"/>
          <w:szCs w:val="24"/>
        </w:rPr>
        <w:t>net book</w:t>
      </w:r>
      <w:proofErr w:type="gramEnd"/>
      <w:r w:rsidRPr="002C6F16">
        <w:rPr>
          <w:rFonts w:ascii="Times New Roman" w:hAnsi="Times New Roman" w:cs="Times New Roman"/>
          <w:sz w:val="24"/>
          <w:szCs w:val="24"/>
        </w:rPr>
        <w:t xml:space="preserve"> value of Plant Wansley Units 1-2 and Plant Hammond Unit 4 shall be reduced by extending the period for amortization to 13 years effective January 1, 2026. </w:t>
      </w:r>
    </w:p>
    <w:p w14:paraId="4E5A4BFC" w14:textId="03BC1047" w:rsidR="008B19F2" w:rsidRPr="002C6F16" w:rsidRDefault="008B19F2" w:rsidP="00D15746">
      <w:pPr>
        <w:pStyle w:val="ListParagraph"/>
        <w:numPr>
          <w:ilvl w:val="0"/>
          <w:numId w:val="18"/>
        </w:numPr>
        <w:autoSpaceDE w:val="0"/>
        <w:autoSpaceDN w:val="0"/>
        <w:adjustRightInd w:val="0"/>
        <w:ind w:left="0" w:firstLine="720"/>
        <w:jc w:val="both"/>
        <w:rPr>
          <w:rFonts w:ascii="Times New Roman" w:hAnsi="Times New Roman" w:cs="Times New Roman"/>
          <w:sz w:val="24"/>
          <w:szCs w:val="24"/>
        </w:rPr>
      </w:pPr>
      <w:r w:rsidRPr="002C6F16">
        <w:rPr>
          <w:rFonts w:ascii="Times New Roman" w:hAnsi="Times New Roman" w:cs="Times New Roman"/>
          <w:sz w:val="24"/>
          <w:szCs w:val="24"/>
        </w:rPr>
        <w:t xml:space="preserve">To the extent that the Company accrues a regulatory asset under the provisions of Paragraphs 4, 7, 8, 9, or 11 c of this Stipulation, the Company shall reduce such asset to the extent possible using the regulatory liability deferrals under Paragraph 5 of the Stipulation to Extend the ARP. Any remaining regulatory liabilities from Paragraph 5, after being fully applied in accordance with the first sentence of this paragraph, shall be applied in the following priority: 1) the storm damage regulatory asset, and 2) CCR ARO regulatory asset. </w:t>
      </w:r>
    </w:p>
    <w:p w14:paraId="6B2CC10B" w14:textId="7A53B962" w:rsidR="00D075B2" w:rsidRPr="002C6F16" w:rsidRDefault="008B19F2" w:rsidP="00D15746">
      <w:pPr>
        <w:pStyle w:val="ListParagraph"/>
        <w:numPr>
          <w:ilvl w:val="0"/>
          <w:numId w:val="18"/>
        </w:numPr>
        <w:autoSpaceDE w:val="0"/>
        <w:autoSpaceDN w:val="0"/>
        <w:adjustRightInd w:val="0"/>
        <w:ind w:left="0" w:firstLine="720"/>
        <w:jc w:val="both"/>
        <w:rPr>
          <w:rFonts w:ascii="Times New Roman" w:hAnsi="Times New Roman" w:cs="Times New Roman"/>
          <w:sz w:val="24"/>
          <w:szCs w:val="24"/>
        </w:rPr>
      </w:pPr>
      <w:r w:rsidRPr="002C6F16">
        <w:rPr>
          <w:rFonts w:ascii="Times New Roman" w:hAnsi="Times New Roman" w:cs="Times New Roman"/>
          <w:sz w:val="24"/>
          <w:szCs w:val="24"/>
        </w:rPr>
        <w:t xml:space="preserve">The Company has maintained that there is a unique opportunity to actively provide benefits to customers during the extension of the ARP by actively growing economic development loads in Georgia, the Company has undertaken pre-construction activities that it believes are appropriate to meet the capacity and energy needs of retail customers. This includes reservation fees for long lead time equipment and scoping and engineering study costs associated with the </w:t>
      </w:r>
      <w:r w:rsidRPr="002C6F16">
        <w:rPr>
          <w:rFonts w:ascii="Times New Roman" w:hAnsi="Times New Roman" w:cs="Times New Roman"/>
          <w:sz w:val="24"/>
          <w:szCs w:val="24"/>
        </w:rPr>
        <w:lastRenderedPageBreak/>
        <w:t xml:space="preserve">projects intended to serve retail customers' needs. To the extent not recovered through other means, the Company intends to seek approval to defer project costs, including associated financing costs, irrespective of whether the projects are later certified. The Company may make such </w:t>
      </w:r>
      <w:proofErr w:type="gramStart"/>
      <w:r w:rsidRPr="002C6F16">
        <w:rPr>
          <w:rFonts w:ascii="Times New Roman" w:hAnsi="Times New Roman" w:cs="Times New Roman"/>
          <w:sz w:val="24"/>
          <w:szCs w:val="24"/>
        </w:rPr>
        <w:t>request</w:t>
      </w:r>
      <w:proofErr w:type="gramEnd"/>
      <w:r w:rsidRPr="002C6F16">
        <w:rPr>
          <w:rFonts w:ascii="Times New Roman" w:hAnsi="Times New Roman" w:cs="Times New Roman"/>
          <w:sz w:val="24"/>
          <w:szCs w:val="24"/>
        </w:rPr>
        <w:t xml:space="preserve"> as part of the All-Source Certification proceeding or as part of another proceeding identified by the Company. Staff </w:t>
      </w:r>
      <w:proofErr w:type="gramStart"/>
      <w:r w:rsidRPr="002C6F16">
        <w:rPr>
          <w:rFonts w:ascii="Times New Roman" w:hAnsi="Times New Roman" w:cs="Times New Roman"/>
          <w:sz w:val="24"/>
          <w:szCs w:val="24"/>
        </w:rPr>
        <w:t>reserves</w:t>
      </w:r>
      <w:proofErr w:type="gramEnd"/>
      <w:r w:rsidRPr="002C6F16">
        <w:rPr>
          <w:rFonts w:ascii="Times New Roman" w:hAnsi="Times New Roman" w:cs="Times New Roman"/>
          <w:sz w:val="24"/>
          <w:szCs w:val="24"/>
        </w:rPr>
        <w:t xml:space="preserve"> the right to oppose the request or to recommend modifications to it.</w:t>
      </w:r>
    </w:p>
    <w:p w14:paraId="763F51CD" w14:textId="41AEB2E7" w:rsidR="008B19F2" w:rsidRPr="002C6F16" w:rsidRDefault="008B19F2" w:rsidP="00D15746">
      <w:pPr>
        <w:pStyle w:val="ListParagraph"/>
        <w:numPr>
          <w:ilvl w:val="0"/>
          <w:numId w:val="18"/>
        </w:numPr>
        <w:autoSpaceDE w:val="0"/>
        <w:autoSpaceDN w:val="0"/>
        <w:adjustRightInd w:val="0"/>
        <w:ind w:left="0" w:firstLine="720"/>
        <w:jc w:val="both"/>
        <w:rPr>
          <w:rFonts w:ascii="Times New Roman" w:hAnsi="Times New Roman" w:cs="Times New Roman"/>
          <w:sz w:val="24"/>
          <w:szCs w:val="24"/>
        </w:rPr>
      </w:pPr>
      <w:r w:rsidRPr="002C6F16">
        <w:rPr>
          <w:rFonts w:ascii="Times New Roman" w:hAnsi="Times New Roman" w:cs="Times New Roman"/>
          <w:sz w:val="24"/>
          <w:szCs w:val="24"/>
        </w:rPr>
        <w:t xml:space="preserve">Paragraphs 29 and 33 from the 2022 Rate Case Settlement Agreement shall be amended as follows to revise dates in these provisions to reflect the ARP extension period: </w:t>
      </w:r>
    </w:p>
    <w:p w14:paraId="7C18ECCE" w14:textId="0D84B7F6" w:rsidR="008B19F2" w:rsidRPr="002C6F16" w:rsidRDefault="008B19F2" w:rsidP="00D15746">
      <w:pPr>
        <w:pStyle w:val="ListParagraph"/>
        <w:numPr>
          <w:ilvl w:val="1"/>
          <w:numId w:val="18"/>
        </w:numPr>
        <w:autoSpaceDE w:val="0"/>
        <w:autoSpaceDN w:val="0"/>
        <w:adjustRightInd w:val="0"/>
        <w:spacing w:after="120"/>
        <w:jc w:val="both"/>
        <w:rPr>
          <w:rFonts w:ascii="Times New Roman" w:hAnsi="Times New Roman" w:cs="Times New Roman"/>
          <w:sz w:val="24"/>
          <w:szCs w:val="24"/>
        </w:rPr>
      </w:pPr>
      <w:r w:rsidRPr="002C6F16">
        <w:rPr>
          <w:rFonts w:ascii="Times New Roman" w:hAnsi="Times New Roman" w:cs="Times New Roman"/>
          <w:sz w:val="24"/>
          <w:szCs w:val="24"/>
        </w:rPr>
        <w:t xml:space="preserve">The first sentence of Paragraph 29 of the 2022 Rate Case Settlement Agreement shall be amended to state that the "The Time of Use — Food and Drink ("TOU-FD") rate shall remain available to all food services and drink places identified as 722 of the North American Industry Classification System ("NAICS") through this ARP extension period." </w:t>
      </w:r>
    </w:p>
    <w:p w14:paraId="78373352" w14:textId="37922193" w:rsidR="008B19F2" w:rsidRPr="002C6F16" w:rsidRDefault="008B19F2" w:rsidP="00D15746">
      <w:pPr>
        <w:pStyle w:val="ListParagraph"/>
        <w:numPr>
          <w:ilvl w:val="1"/>
          <w:numId w:val="18"/>
        </w:numPr>
        <w:autoSpaceDE w:val="0"/>
        <w:autoSpaceDN w:val="0"/>
        <w:adjustRightInd w:val="0"/>
        <w:jc w:val="both"/>
        <w:rPr>
          <w:rFonts w:ascii="Times New Roman" w:hAnsi="Times New Roman" w:cs="Times New Roman"/>
          <w:sz w:val="24"/>
          <w:szCs w:val="24"/>
        </w:rPr>
      </w:pPr>
      <w:r w:rsidRPr="002C6F16">
        <w:rPr>
          <w:rFonts w:ascii="Times New Roman" w:hAnsi="Times New Roman" w:cs="Times New Roman"/>
          <w:sz w:val="24"/>
          <w:szCs w:val="24"/>
        </w:rPr>
        <w:t xml:space="preserve">The fourth sentence of Paragraph 33 of the 2022 Rate Case Settlement Agreement shall be amended to state "The additional amount shall be in place during the ARP extension period and will be reviewed in the Company's next base rate case." </w:t>
      </w:r>
    </w:p>
    <w:p w14:paraId="4FBB3EAC" w14:textId="51338CD5" w:rsidR="001269DD" w:rsidRPr="002C6F16" w:rsidRDefault="008B19F2" w:rsidP="00D15746">
      <w:pPr>
        <w:pStyle w:val="ListParagraph"/>
        <w:numPr>
          <w:ilvl w:val="0"/>
          <w:numId w:val="18"/>
        </w:numPr>
        <w:autoSpaceDE w:val="0"/>
        <w:autoSpaceDN w:val="0"/>
        <w:adjustRightInd w:val="0"/>
        <w:ind w:left="0" w:firstLine="720"/>
        <w:jc w:val="both"/>
        <w:rPr>
          <w:rFonts w:ascii="Times New Roman" w:hAnsi="Times New Roman" w:cs="Times New Roman"/>
          <w:sz w:val="24"/>
          <w:szCs w:val="24"/>
        </w:rPr>
      </w:pPr>
      <w:r w:rsidRPr="002C6F16">
        <w:rPr>
          <w:rFonts w:ascii="Times New Roman" w:hAnsi="Times New Roman" w:cs="Times New Roman"/>
          <w:sz w:val="24"/>
          <w:szCs w:val="24"/>
        </w:rPr>
        <w:t>By July 1, 2028, the Company shall file testimony and exhibits required in a general rate case along with supporting schedules required by the Commission to support a "traditional" rate case. The test period utilized by the Company in its rate case filing shall be from August 1, 2028, to July 31, 2029. The Company may propose to continue, modify, or discontinue this ARP. The Company shall also file projected revenue requirements for calendar years 2029, 2030, and 2031. In addition to filing a Cost-of-Service Study as a part of its next base rate case, the Company shall include additional Cost-of-Service data with sufficient detail to show how the Company proposes to allocate the forecasted costs relating to the new capacity for large load customers at issue in the 2023 Amended Integrated Resource Planning ("IRP") case and the 2025 IRP case, as well as the forecasted revenues from the prospective new large load customers at issue in those cases, to the various customer rate groups.</w:t>
      </w:r>
      <w:bookmarkStart w:id="2" w:name="_DV_M104"/>
      <w:bookmarkEnd w:id="2"/>
    </w:p>
    <w:p w14:paraId="3F950022" w14:textId="16FF55CA" w:rsidR="00746CD5" w:rsidRPr="002C6F16" w:rsidRDefault="00746CD5" w:rsidP="00814175">
      <w:pPr>
        <w:autoSpaceDE w:val="0"/>
        <w:autoSpaceDN w:val="0"/>
        <w:adjustRightInd w:val="0"/>
        <w:jc w:val="both"/>
        <w:rPr>
          <w:rFonts w:ascii="Times New Roman" w:hAnsi="Times New Roman" w:cs="Times New Roman"/>
          <w:sz w:val="24"/>
          <w:szCs w:val="24"/>
        </w:rPr>
      </w:pPr>
    </w:p>
    <w:sectPr w:rsidR="00746CD5" w:rsidRPr="002C6F1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0B7F" w14:textId="77777777" w:rsidR="00B65A7D" w:rsidRDefault="00B65A7D">
      <w:pPr>
        <w:spacing w:after="0" w:line="240" w:lineRule="auto"/>
      </w:pPr>
      <w:r>
        <w:separator/>
      </w:r>
    </w:p>
  </w:endnote>
  <w:endnote w:type="continuationSeparator" w:id="0">
    <w:p w14:paraId="5C6974A6" w14:textId="77777777" w:rsidR="00B65A7D" w:rsidRDefault="00B6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0129653"/>
      <w:docPartObj>
        <w:docPartGallery w:val="Page Numbers (Bottom of Page)"/>
        <w:docPartUnique/>
      </w:docPartObj>
    </w:sdtPr>
    <w:sdtEndPr>
      <w:rPr>
        <w:b/>
        <w:bCs/>
        <w:noProof/>
      </w:rPr>
    </w:sdtEndPr>
    <w:sdtContent>
      <w:p w14:paraId="6EB3D4B7" w14:textId="77777777" w:rsidR="00BA1412" w:rsidRPr="00C74377" w:rsidRDefault="00BA1412">
        <w:pPr>
          <w:pStyle w:val="Footer"/>
          <w:jc w:val="center"/>
          <w:rPr>
            <w:rFonts w:ascii="Times New Roman" w:hAnsi="Times New Roman" w:cs="Times New Roman"/>
          </w:rPr>
        </w:pPr>
      </w:p>
      <w:p w14:paraId="19F9256C" w14:textId="51D5663E" w:rsidR="007F2D6B" w:rsidRPr="005F5252" w:rsidRDefault="00BC5EEE">
        <w:pPr>
          <w:pStyle w:val="Footer"/>
          <w:jc w:val="center"/>
          <w:rPr>
            <w:rFonts w:ascii="Times New Roman" w:hAnsi="Times New Roman" w:cs="Times New Roman"/>
            <w:bCs/>
          </w:rPr>
        </w:pPr>
        <w:r w:rsidRPr="005F5252">
          <w:rPr>
            <w:rFonts w:ascii="Times New Roman" w:hAnsi="Times New Roman" w:cs="Times New Roman"/>
            <w:bCs/>
          </w:rPr>
          <w:t>Order Granting Joint Petition</w:t>
        </w:r>
        <w:r w:rsidR="007F2D6B" w:rsidRPr="005F5252">
          <w:rPr>
            <w:rFonts w:ascii="Times New Roman" w:hAnsi="Times New Roman" w:cs="Times New Roman"/>
            <w:bCs/>
          </w:rPr>
          <w:t xml:space="preserve"> of </w:t>
        </w:r>
        <w:r w:rsidR="00BA1412" w:rsidRPr="005F5252">
          <w:rPr>
            <w:rFonts w:ascii="Times New Roman" w:hAnsi="Times New Roman" w:cs="Times New Roman"/>
            <w:bCs/>
          </w:rPr>
          <w:t>Georgia Power Company</w:t>
        </w:r>
        <w:r w:rsidR="007F2D6B" w:rsidRPr="005F5252">
          <w:rPr>
            <w:rFonts w:ascii="Times New Roman" w:hAnsi="Times New Roman" w:cs="Times New Roman"/>
            <w:bCs/>
          </w:rPr>
          <w:t xml:space="preserve"> and</w:t>
        </w:r>
      </w:p>
      <w:p w14:paraId="208ECD5B" w14:textId="2ECD64CF" w:rsidR="00D63CEC" w:rsidRPr="005F5252" w:rsidRDefault="007F2D6B" w:rsidP="00AE399F">
        <w:pPr>
          <w:pStyle w:val="Footer"/>
          <w:jc w:val="center"/>
          <w:rPr>
            <w:rFonts w:ascii="Times New Roman" w:hAnsi="Times New Roman" w:cs="Times New Roman"/>
            <w:bCs/>
          </w:rPr>
        </w:pPr>
        <w:r w:rsidRPr="005F5252">
          <w:rPr>
            <w:rFonts w:ascii="Times New Roman" w:hAnsi="Times New Roman" w:cs="Times New Roman"/>
            <w:bCs/>
          </w:rPr>
          <w:t>The Public Interest Advocacy</w:t>
        </w:r>
        <w:r w:rsidR="00EF7DCF" w:rsidRPr="005F5252">
          <w:rPr>
            <w:rFonts w:ascii="Times New Roman" w:hAnsi="Times New Roman" w:cs="Times New Roman"/>
            <w:bCs/>
          </w:rPr>
          <w:t xml:space="preserve"> Sta</w:t>
        </w:r>
        <w:r w:rsidR="00AE399F" w:rsidRPr="005F5252">
          <w:rPr>
            <w:rFonts w:ascii="Times New Roman" w:hAnsi="Times New Roman" w:cs="Times New Roman"/>
            <w:bCs/>
          </w:rPr>
          <w:t>ff</w:t>
        </w:r>
        <w:r w:rsidR="000C3436" w:rsidRPr="005F5252">
          <w:rPr>
            <w:rFonts w:ascii="Times New Roman" w:hAnsi="Times New Roman" w:cs="Times New Roman"/>
            <w:bCs/>
          </w:rPr>
          <w:t xml:space="preserve"> </w:t>
        </w:r>
        <w:r w:rsidR="009A3F6E" w:rsidRPr="005F5252">
          <w:rPr>
            <w:rFonts w:ascii="Times New Roman" w:hAnsi="Times New Roman" w:cs="Times New Roman"/>
            <w:bCs/>
          </w:rPr>
          <w:t xml:space="preserve">and </w:t>
        </w:r>
      </w:p>
      <w:p w14:paraId="14A90FD4" w14:textId="379A2C84" w:rsidR="00AE399F" w:rsidRPr="005F5252" w:rsidDel="00AE399F" w:rsidRDefault="00D63CEC" w:rsidP="00AE399F">
        <w:pPr>
          <w:pStyle w:val="Footer"/>
          <w:jc w:val="center"/>
          <w:rPr>
            <w:rFonts w:ascii="Times New Roman" w:hAnsi="Times New Roman" w:cs="Times New Roman"/>
            <w:bCs/>
          </w:rPr>
        </w:pPr>
        <w:r w:rsidRPr="005F5252">
          <w:rPr>
            <w:rFonts w:ascii="Times New Roman" w:hAnsi="Times New Roman" w:cs="Times New Roman"/>
            <w:bCs/>
          </w:rPr>
          <w:t>Approv</w:t>
        </w:r>
        <w:r w:rsidR="00C21515" w:rsidRPr="005F5252">
          <w:rPr>
            <w:rFonts w:ascii="Times New Roman" w:hAnsi="Times New Roman" w:cs="Times New Roman"/>
            <w:bCs/>
          </w:rPr>
          <w:t>al of</w:t>
        </w:r>
        <w:r w:rsidR="006E4D0E" w:rsidRPr="005F5252">
          <w:rPr>
            <w:rFonts w:ascii="Times New Roman" w:hAnsi="Times New Roman" w:cs="Times New Roman"/>
            <w:bCs/>
          </w:rPr>
          <w:t xml:space="preserve"> </w:t>
        </w:r>
        <w:r w:rsidR="00AE399F" w:rsidRPr="005F5252">
          <w:rPr>
            <w:rFonts w:ascii="Times New Roman" w:hAnsi="Times New Roman" w:cs="Times New Roman"/>
            <w:bCs/>
          </w:rPr>
          <w:t>Stipulation</w:t>
        </w:r>
      </w:p>
      <w:p w14:paraId="5170C875" w14:textId="4F71893F" w:rsidR="00BA1412" w:rsidRPr="00572976" w:rsidRDefault="005F1F60" w:rsidP="00AE399F">
        <w:pPr>
          <w:pStyle w:val="Footer"/>
          <w:jc w:val="center"/>
          <w:rPr>
            <w:rFonts w:ascii="Times New Roman" w:hAnsi="Times New Roman" w:cs="Times New Roman"/>
            <w:b/>
          </w:rPr>
        </w:pPr>
        <w:r>
          <w:rPr>
            <w:rFonts w:ascii="Times New Roman" w:hAnsi="Times New Roman" w:cs="Times New Roman"/>
            <w:b/>
          </w:rPr>
          <w:t xml:space="preserve"> </w:t>
        </w:r>
      </w:p>
      <w:p w14:paraId="53F45154" w14:textId="2E488A57" w:rsidR="00BA1412" w:rsidRPr="00814175" w:rsidRDefault="005F1F60">
        <w:pPr>
          <w:pStyle w:val="Footer"/>
          <w:jc w:val="center"/>
          <w:rPr>
            <w:rFonts w:ascii="Times New Roman" w:hAnsi="Times New Roman" w:cs="Times New Roman"/>
            <w:b/>
            <w:bCs/>
          </w:rPr>
        </w:pPr>
        <w:r>
          <w:rPr>
            <w:rFonts w:ascii="Times New Roman" w:hAnsi="Times New Roman" w:cs="Times New Roman"/>
            <w:b/>
            <w:bCs/>
          </w:rPr>
          <w:t>-</w:t>
        </w:r>
        <w:r w:rsidR="00BA1412" w:rsidRPr="00814175">
          <w:rPr>
            <w:rFonts w:ascii="Times New Roman" w:hAnsi="Times New Roman" w:cs="Times New Roman"/>
            <w:b/>
            <w:bCs/>
          </w:rPr>
          <w:fldChar w:fldCharType="begin"/>
        </w:r>
        <w:r w:rsidR="00BA1412" w:rsidRPr="00814175">
          <w:rPr>
            <w:rFonts w:ascii="Times New Roman" w:hAnsi="Times New Roman" w:cs="Times New Roman"/>
            <w:b/>
            <w:bCs/>
          </w:rPr>
          <w:instrText xml:space="preserve"> PAGE   \* MERGEFORMAT </w:instrText>
        </w:r>
        <w:r w:rsidR="00BA1412" w:rsidRPr="00814175">
          <w:rPr>
            <w:rFonts w:ascii="Times New Roman" w:hAnsi="Times New Roman" w:cs="Times New Roman"/>
            <w:b/>
            <w:bCs/>
          </w:rPr>
          <w:fldChar w:fldCharType="separate"/>
        </w:r>
        <w:r w:rsidR="00D053A1" w:rsidRPr="00814175">
          <w:rPr>
            <w:rFonts w:ascii="Times New Roman" w:hAnsi="Times New Roman" w:cs="Times New Roman"/>
            <w:b/>
            <w:bCs/>
            <w:noProof/>
          </w:rPr>
          <w:t>33</w:t>
        </w:r>
        <w:r w:rsidR="00BA1412" w:rsidRPr="00814175">
          <w:rPr>
            <w:rFonts w:ascii="Times New Roman" w:hAnsi="Times New Roman" w:cs="Times New Roman"/>
            <w:b/>
            <w:bCs/>
            <w:noProof/>
          </w:rPr>
          <w:fldChar w:fldCharType="end"/>
        </w:r>
        <w:r>
          <w:rPr>
            <w:rFonts w:ascii="Times New Roman" w:hAnsi="Times New Roman" w:cs="Times New Roman"/>
            <w:b/>
            <w:bCs/>
            <w:noProof/>
          </w:rPr>
          <w:t>-</w:t>
        </w:r>
      </w:p>
    </w:sdtContent>
  </w:sdt>
  <w:p w14:paraId="729F1DC4" w14:textId="6D69896A" w:rsidR="00BA1412" w:rsidRDefault="00BA1412" w:rsidP="33B0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C5FA" w14:textId="77777777" w:rsidR="00B65A7D" w:rsidRDefault="00B65A7D">
      <w:pPr>
        <w:spacing w:after="0" w:line="240" w:lineRule="auto"/>
      </w:pPr>
      <w:r>
        <w:separator/>
      </w:r>
    </w:p>
  </w:footnote>
  <w:footnote w:type="continuationSeparator" w:id="0">
    <w:p w14:paraId="24DB2254" w14:textId="77777777" w:rsidR="00B65A7D" w:rsidRDefault="00B65A7D">
      <w:pPr>
        <w:spacing w:after="0" w:line="240" w:lineRule="auto"/>
      </w:pPr>
      <w:r>
        <w:continuationSeparator/>
      </w:r>
    </w:p>
  </w:footnote>
  <w:footnote w:id="1">
    <w:p w14:paraId="08989E3F" w14:textId="3C44B848" w:rsidR="00666F0D" w:rsidRPr="00055F4A" w:rsidRDefault="00666F0D">
      <w:pPr>
        <w:pStyle w:val="FootnoteText"/>
        <w:rPr>
          <w:rFonts w:ascii="Times New Roman" w:hAnsi="Times New Roman" w:cs="Times New Roman"/>
        </w:rPr>
      </w:pPr>
      <w:r w:rsidRPr="00055F4A">
        <w:rPr>
          <w:rStyle w:val="FootnoteReference"/>
          <w:rFonts w:ascii="Times New Roman" w:hAnsi="Times New Roman" w:cs="Times New Roman"/>
        </w:rPr>
        <w:footnoteRef/>
      </w:r>
      <w:r w:rsidRPr="00055F4A">
        <w:rPr>
          <w:rFonts w:ascii="Times New Roman" w:hAnsi="Times New Roman" w:cs="Times New Roman"/>
        </w:rPr>
        <w:t xml:space="preserve"> Two other entities signed the </w:t>
      </w:r>
      <w:r w:rsidR="00055F4A" w:rsidRPr="00055F4A">
        <w:rPr>
          <w:rFonts w:ascii="Times New Roman" w:hAnsi="Times New Roman" w:cs="Times New Roman"/>
        </w:rPr>
        <w:t>Demand;</w:t>
      </w:r>
      <w:r w:rsidRPr="00055F4A">
        <w:rPr>
          <w:rFonts w:ascii="Times New Roman" w:hAnsi="Times New Roman" w:cs="Times New Roman"/>
        </w:rPr>
        <w:t xml:space="preserve"> however, they failed to intervene in this matter</w:t>
      </w:r>
      <w:r w:rsidR="008A399A" w:rsidRPr="00055F4A">
        <w:rPr>
          <w:rFonts w:ascii="Times New Roman" w:hAnsi="Times New Roman" w:cs="Times New Roman"/>
        </w:rPr>
        <w:t>.</w:t>
      </w:r>
    </w:p>
  </w:footnote>
  <w:footnote w:id="2">
    <w:p w14:paraId="091A9E42" w14:textId="2925FA0F" w:rsidR="00E96D3C" w:rsidRPr="00055F4A" w:rsidRDefault="00E96D3C">
      <w:pPr>
        <w:pStyle w:val="FootnoteText"/>
        <w:rPr>
          <w:rFonts w:ascii="Times New Roman" w:hAnsi="Times New Roman" w:cs="Times New Roman"/>
        </w:rPr>
      </w:pPr>
      <w:r w:rsidRPr="00055F4A">
        <w:rPr>
          <w:rStyle w:val="FootnoteReference"/>
          <w:rFonts w:ascii="Times New Roman" w:hAnsi="Times New Roman" w:cs="Times New Roman"/>
        </w:rPr>
        <w:footnoteRef/>
      </w:r>
      <w:r w:rsidRPr="00055F4A">
        <w:rPr>
          <w:rFonts w:ascii="Times New Roman" w:hAnsi="Times New Roman" w:cs="Times New Roman"/>
        </w:rPr>
        <w:t xml:space="preserve"> </w:t>
      </w:r>
      <w:r w:rsidR="00832ACE" w:rsidRPr="00055F4A">
        <w:rPr>
          <w:rFonts w:ascii="Times New Roman" w:hAnsi="Times New Roman" w:cs="Times New Roman"/>
        </w:rPr>
        <w:t>Additionally, n</w:t>
      </w:r>
      <w:r w:rsidRPr="00055F4A">
        <w:rPr>
          <w:rFonts w:ascii="Times New Roman" w:hAnsi="Times New Roman" w:cs="Times New Roman"/>
        </w:rPr>
        <w:t xml:space="preserve">either </w:t>
      </w:r>
      <w:r w:rsidRPr="00055F4A">
        <w:rPr>
          <w:rFonts w:ascii="Times New Roman" w:eastAsia="Times New Roman" w:hAnsi="Times New Roman" w:cs="Times New Roman"/>
          <w:color w:val="000000" w:themeColor="text1"/>
        </w:rPr>
        <w:t xml:space="preserve">Georgian Wand Education Fund nor Georgia Conservation Education Fund </w:t>
      </w:r>
      <w:r w:rsidR="00832ACE" w:rsidRPr="00055F4A">
        <w:rPr>
          <w:rFonts w:ascii="Times New Roman" w:eastAsia="Times New Roman" w:hAnsi="Times New Roman" w:cs="Times New Roman"/>
          <w:color w:val="000000" w:themeColor="text1"/>
        </w:rPr>
        <w:t>pre-</w:t>
      </w:r>
      <w:r w:rsidRPr="00055F4A">
        <w:rPr>
          <w:rFonts w:ascii="Times New Roman" w:eastAsia="Times New Roman" w:hAnsi="Times New Roman" w:cs="Times New Roman"/>
          <w:color w:val="000000" w:themeColor="text1"/>
        </w:rPr>
        <w:t>filed testimony in this proceeding</w:t>
      </w:r>
      <w:r w:rsidRPr="00055F4A">
        <w:rPr>
          <w:rFonts w:ascii="Times New Roman" w:eastAsia="Times New Roman" w:hAnsi="Times New Roman" w:cs="Times New Roman"/>
          <w:color w:val="000000" w:themeColor="text1"/>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BA1412" w14:paraId="55C92B2C" w14:textId="77777777" w:rsidTr="33B06CD6">
      <w:tc>
        <w:tcPr>
          <w:tcW w:w="3120" w:type="dxa"/>
        </w:tcPr>
        <w:p w14:paraId="31D881A2" w14:textId="6A547E02" w:rsidR="00BA1412" w:rsidRDefault="00BA1412" w:rsidP="33B06CD6">
          <w:pPr>
            <w:pStyle w:val="Header"/>
            <w:ind w:left="-115"/>
          </w:pPr>
        </w:p>
      </w:tc>
      <w:tc>
        <w:tcPr>
          <w:tcW w:w="3120" w:type="dxa"/>
        </w:tcPr>
        <w:p w14:paraId="1BEB5495" w14:textId="24885F1A" w:rsidR="00BA1412" w:rsidRDefault="00BA1412" w:rsidP="33B06CD6">
          <w:pPr>
            <w:pStyle w:val="Header"/>
            <w:jc w:val="center"/>
          </w:pPr>
        </w:p>
      </w:tc>
      <w:tc>
        <w:tcPr>
          <w:tcW w:w="3120" w:type="dxa"/>
        </w:tcPr>
        <w:p w14:paraId="60ED18A7" w14:textId="4266837E" w:rsidR="00BA1412" w:rsidRDefault="00BA1412" w:rsidP="33B06CD6">
          <w:pPr>
            <w:pStyle w:val="Header"/>
            <w:ind w:right="-115"/>
            <w:jc w:val="right"/>
          </w:pPr>
        </w:p>
      </w:tc>
    </w:tr>
  </w:tbl>
  <w:p w14:paraId="78E92D52" w14:textId="422A642C" w:rsidR="00BA1412" w:rsidRDefault="00BA1412" w:rsidP="33B06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CA3A"/>
    <w:multiLevelType w:val="hybridMultilevel"/>
    <w:tmpl w:val="BB66AD18"/>
    <w:lvl w:ilvl="0" w:tplc="FAAE9CB6">
      <w:start w:val="1"/>
      <w:numFmt w:val="bullet"/>
      <w:lvlText w:val=""/>
      <w:lvlJc w:val="left"/>
      <w:pPr>
        <w:ind w:left="720" w:hanging="360"/>
      </w:pPr>
      <w:rPr>
        <w:rFonts w:ascii="Symbol" w:hAnsi="Symbol" w:hint="default"/>
      </w:rPr>
    </w:lvl>
    <w:lvl w:ilvl="1" w:tplc="6ED8B9AA">
      <w:start w:val="1"/>
      <w:numFmt w:val="bullet"/>
      <w:lvlText w:val="o"/>
      <w:lvlJc w:val="left"/>
      <w:pPr>
        <w:ind w:left="1440" w:hanging="360"/>
      </w:pPr>
      <w:rPr>
        <w:rFonts w:ascii="Courier New" w:hAnsi="Courier New" w:hint="default"/>
      </w:rPr>
    </w:lvl>
    <w:lvl w:ilvl="2" w:tplc="49080F5A">
      <w:start w:val="1"/>
      <w:numFmt w:val="bullet"/>
      <w:lvlText w:val=""/>
      <w:lvlJc w:val="left"/>
      <w:pPr>
        <w:ind w:left="2160" w:hanging="360"/>
      </w:pPr>
      <w:rPr>
        <w:rFonts w:ascii="Wingdings" w:hAnsi="Wingdings" w:hint="default"/>
      </w:rPr>
    </w:lvl>
    <w:lvl w:ilvl="3" w:tplc="57B8B5C8">
      <w:start w:val="1"/>
      <w:numFmt w:val="bullet"/>
      <w:lvlText w:val=""/>
      <w:lvlJc w:val="left"/>
      <w:pPr>
        <w:ind w:left="2880" w:hanging="360"/>
      </w:pPr>
      <w:rPr>
        <w:rFonts w:ascii="Symbol" w:hAnsi="Symbol" w:hint="default"/>
      </w:rPr>
    </w:lvl>
    <w:lvl w:ilvl="4" w:tplc="35B4C5E8">
      <w:start w:val="1"/>
      <w:numFmt w:val="bullet"/>
      <w:lvlText w:val="o"/>
      <w:lvlJc w:val="left"/>
      <w:pPr>
        <w:ind w:left="3600" w:hanging="360"/>
      </w:pPr>
      <w:rPr>
        <w:rFonts w:ascii="Courier New" w:hAnsi="Courier New" w:hint="default"/>
      </w:rPr>
    </w:lvl>
    <w:lvl w:ilvl="5" w:tplc="CCFED200">
      <w:start w:val="1"/>
      <w:numFmt w:val="bullet"/>
      <w:lvlText w:val=""/>
      <w:lvlJc w:val="left"/>
      <w:pPr>
        <w:ind w:left="4320" w:hanging="360"/>
      </w:pPr>
      <w:rPr>
        <w:rFonts w:ascii="Wingdings" w:hAnsi="Wingdings" w:hint="default"/>
      </w:rPr>
    </w:lvl>
    <w:lvl w:ilvl="6" w:tplc="C8725A42">
      <w:start w:val="1"/>
      <w:numFmt w:val="bullet"/>
      <w:lvlText w:val=""/>
      <w:lvlJc w:val="left"/>
      <w:pPr>
        <w:ind w:left="5040" w:hanging="360"/>
      </w:pPr>
      <w:rPr>
        <w:rFonts w:ascii="Symbol" w:hAnsi="Symbol" w:hint="default"/>
      </w:rPr>
    </w:lvl>
    <w:lvl w:ilvl="7" w:tplc="1F508D42">
      <w:start w:val="1"/>
      <w:numFmt w:val="bullet"/>
      <w:lvlText w:val="o"/>
      <w:lvlJc w:val="left"/>
      <w:pPr>
        <w:ind w:left="5760" w:hanging="360"/>
      </w:pPr>
      <w:rPr>
        <w:rFonts w:ascii="Courier New" w:hAnsi="Courier New" w:hint="default"/>
      </w:rPr>
    </w:lvl>
    <w:lvl w:ilvl="8" w:tplc="8046A126">
      <w:start w:val="1"/>
      <w:numFmt w:val="bullet"/>
      <w:lvlText w:val=""/>
      <w:lvlJc w:val="left"/>
      <w:pPr>
        <w:ind w:left="6480" w:hanging="360"/>
      </w:pPr>
      <w:rPr>
        <w:rFonts w:ascii="Wingdings" w:hAnsi="Wingdings" w:hint="default"/>
      </w:rPr>
    </w:lvl>
  </w:abstractNum>
  <w:abstractNum w:abstractNumId="1" w15:restartNumberingAfterBreak="0">
    <w:nsid w:val="13A01841"/>
    <w:multiLevelType w:val="hybridMultilevel"/>
    <w:tmpl w:val="FE86E07E"/>
    <w:lvl w:ilvl="0" w:tplc="ECC861A0">
      <w:start w:val="1"/>
      <w:numFmt w:val="lowerLetter"/>
      <w:lvlText w:val="%1)"/>
      <w:lvlJc w:val="left"/>
      <w:pPr>
        <w:ind w:left="1170" w:hanging="360"/>
      </w:pPr>
    </w:lvl>
    <w:lvl w:ilvl="1" w:tplc="C16AAE72">
      <w:start w:val="1"/>
      <w:numFmt w:val="lowerLetter"/>
      <w:lvlText w:val="%2."/>
      <w:lvlJc w:val="left"/>
      <w:pPr>
        <w:ind w:left="1890" w:hanging="360"/>
      </w:pPr>
    </w:lvl>
    <w:lvl w:ilvl="2" w:tplc="F9E0B434">
      <w:start w:val="1"/>
      <w:numFmt w:val="lowerRoman"/>
      <w:lvlText w:val="%3."/>
      <w:lvlJc w:val="right"/>
      <w:pPr>
        <w:ind w:left="2610" w:hanging="180"/>
      </w:pPr>
    </w:lvl>
    <w:lvl w:ilvl="3" w:tplc="B09AA61C">
      <w:start w:val="1"/>
      <w:numFmt w:val="decimal"/>
      <w:lvlText w:val="%4."/>
      <w:lvlJc w:val="left"/>
      <w:pPr>
        <w:ind w:left="3330" w:hanging="360"/>
      </w:pPr>
    </w:lvl>
    <w:lvl w:ilvl="4" w:tplc="294A400C">
      <w:start w:val="1"/>
      <w:numFmt w:val="lowerLetter"/>
      <w:lvlText w:val="%5."/>
      <w:lvlJc w:val="left"/>
      <w:pPr>
        <w:ind w:left="4050" w:hanging="360"/>
      </w:pPr>
    </w:lvl>
    <w:lvl w:ilvl="5" w:tplc="647A19D8">
      <w:start w:val="1"/>
      <w:numFmt w:val="lowerRoman"/>
      <w:lvlText w:val="%6."/>
      <w:lvlJc w:val="right"/>
      <w:pPr>
        <w:ind w:left="4770" w:hanging="180"/>
      </w:pPr>
    </w:lvl>
    <w:lvl w:ilvl="6" w:tplc="F8020814">
      <w:start w:val="1"/>
      <w:numFmt w:val="decimal"/>
      <w:lvlText w:val="%7."/>
      <w:lvlJc w:val="left"/>
      <w:pPr>
        <w:ind w:left="5490" w:hanging="360"/>
      </w:pPr>
    </w:lvl>
    <w:lvl w:ilvl="7" w:tplc="6358B114">
      <w:start w:val="1"/>
      <w:numFmt w:val="lowerLetter"/>
      <w:lvlText w:val="%8."/>
      <w:lvlJc w:val="left"/>
      <w:pPr>
        <w:ind w:left="6210" w:hanging="360"/>
      </w:pPr>
    </w:lvl>
    <w:lvl w:ilvl="8" w:tplc="F4201CB8">
      <w:start w:val="1"/>
      <w:numFmt w:val="lowerRoman"/>
      <w:lvlText w:val="%9."/>
      <w:lvlJc w:val="right"/>
      <w:pPr>
        <w:ind w:left="6930" w:hanging="180"/>
      </w:pPr>
    </w:lvl>
  </w:abstractNum>
  <w:abstractNum w:abstractNumId="2" w15:restartNumberingAfterBreak="0">
    <w:nsid w:val="1BDD2085"/>
    <w:multiLevelType w:val="hybridMultilevel"/>
    <w:tmpl w:val="7E5C0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70ECF"/>
    <w:multiLevelType w:val="hybridMultilevel"/>
    <w:tmpl w:val="737034D2"/>
    <w:lvl w:ilvl="0" w:tplc="C34609DC">
      <w:start w:val="1"/>
      <w:numFmt w:val="decimal"/>
      <w:lvlText w:val="%1."/>
      <w:lvlJc w:val="left"/>
      <w:pPr>
        <w:ind w:left="720" w:hanging="360"/>
      </w:pPr>
    </w:lvl>
    <w:lvl w:ilvl="1" w:tplc="CE0AE5EA">
      <w:start w:val="1"/>
      <w:numFmt w:val="lowerLetter"/>
      <w:lvlText w:val="%2."/>
      <w:lvlJc w:val="left"/>
      <w:pPr>
        <w:ind w:left="1440" w:hanging="360"/>
      </w:pPr>
      <w:rPr>
        <w:rFonts w:ascii="Times New Roman" w:hAnsi="Times New Roman" w:cs="Times New Roman" w:hint="default"/>
      </w:rPr>
    </w:lvl>
    <w:lvl w:ilvl="2" w:tplc="8F343668">
      <w:start w:val="1"/>
      <w:numFmt w:val="lowerRoman"/>
      <w:lvlText w:val="%3."/>
      <w:lvlJc w:val="right"/>
      <w:pPr>
        <w:ind w:left="2160" w:hanging="180"/>
      </w:pPr>
    </w:lvl>
    <w:lvl w:ilvl="3" w:tplc="B704A5F4">
      <w:start w:val="1"/>
      <w:numFmt w:val="decimal"/>
      <w:lvlText w:val="%4."/>
      <w:lvlJc w:val="left"/>
      <w:pPr>
        <w:ind w:left="2880" w:hanging="360"/>
      </w:pPr>
    </w:lvl>
    <w:lvl w:ilvl="4" w:tplc="2572E102">
      <w:start w:val="1"/>
      <w:numFmt w:val="lowerLetter"/>
      <w:lvlText w:val="%5."/>
      <w:lvlJc w:val="left"/>
      <w:pPr>
        <w:ind w:left="3600" w:hanging="360"/>
      </w:pPr>
    </w:lvl>
    <w:lvl w:ilvl="5" w:tplc="C55CDC12">
      <w:start w:val="1"/>
      <w:numFmt w:val="lowerRoman"/>
      <w:lvlText w:val="%6."/>
      <w:lvlJc w:val="right"/>
      <w:pPr>
        <w:ind w:left="4320" w:hanging="180"/>
      </w:pPr>
    </w:lvl>
    <w:lvl w:ilvl="6" w:tplc="3A705986">
      <w:start w:val="1"/>
      <w:numFmt w:val="decimal"/>
      <w:lvlText w:val="%7."/>
      <w:lvlJc w:val="left"/>
      <w:pPr>
        <w:ind w:left="5040" w:hanging="360"/>
      </w:pPr>
    </w:lvl>
    <w:lvl w:ilvl="7" w:tplc="E3888720">
      <w:start w:val="1"/>
      <w:numFmt w:val="lowerLetter"/>
      <w:lvlText w:val="%8."/>
      <w:lvlJc w:val="left"/>
      <w:pPr>
        <w:ind w:left="5760" w:hanging="360"/>
      </w:pPr>
    </w:lvl>
    <w:lvl w:ilvl="8" w:tplc="6840EE88">
      <w:start w:val="1"/>
      <w:numFmt w:val="lowerRoman"/>
      <w:lvlText w:val="%9."/>
      <w:lvlJc w:val="right"/>
      <w:pPr>
        <w:ind w:left="6480" w:hanging="180"/>
      </w:pPr>
    </w:lvl>
  </w:abstractNum>
  <w:abstractNum w:abstractNumId="4" w15:restartNumberingAfterBreak="0">
    <w:nsid w:val="286B8C6C"/>
    <w:multiLevelType w:val="hybridMultilevel"/>
    <w:tmpl w:val="6EE00CB8"/>
    <w:lvl w:ilvl="0" w:tplc="36D29E1A">
      <w:start w:val="1"/>
      <w:numFmt w:val="bullet"/>
      <w:lvlText w:val=""/>
      <w:lvlJc w:val="left"/>
      <w:pPr>
        <w:ind w:left="720" w:hanging="360"/>
      </w:pPr>
      <w:rPr>
        <w:rFonts w:ascii="Symbol" w:hAnsi="Symbol" w:hint="default"/>
      </w:rPr>
    </w:lvl>
    <w:lvl w:ilvl="1" w:tplc="F094F7FC">
      <w:start w:val="1"/>
      <w:numFmt w:val="bullet"/>
      <w:lvlText w:val="o"/>
      <w:lvlJc w:val="left"/>
      <w:pPr>
        <w:ind w:left="1440" w:hanging="360"/>
      </w:pPr>
      <w:rPr>
        <w:rFonts w:ascii="Courier New" w:hAnsi="Courier New" w:hint="default"/>
      </w:rPr>
    </w:lvl>
    <w:lvl w:ilvl="2" w:tplc="02886CDA">
      <w:start w:val="1"/>
      <w:numFmt w:val="bullet"/>
      <w:lvlText w:val=""/>
      <w:lvlJc w:val="left"/>
      <w:pPr>
        <w:ind w:left="2160" w:hanging="360"/>
      </w:pPr>
      <w:rPr>
        <w:rFonts w:ascii="Wingdings" w:hAnsi="Wingdings" w:hint="default"/>
      </w:rPr>
    </w:lvl>
    <w:lvl w:ilvl="3" w:tplc="478A09AE">
      <w:start w:val="1"/>
      <w:numFmt w:val="bullet"/>
      <w:lvlText w:val=""/>
      <w:lvlJc w:val="left"/>
      <w:pPr>
        <w:ind w:left="2880" w:hanging="360"/>
      </w:pPr>
      <w:rPr>
        <w:rFonts w:ascii="Symbol" w:hAnsi="Symbol" w:hint="default"/>
      </w:rPr>
    </w:lvl>
    <w:lvl w:ilvl="4" w:tplc="A4A86190">
      <w:start w:val="1"/>
      <w:numFmt w:val="bullet"/>
      <w:lvlText w:val="o"/>
      <w:lvlJc w:val="left"/>
      <w:pPr>
        <w:ind w:left="3600" w:hanging="360"/>
      </w:pPr>
      <w:rPr>
        <w:rFonts w:ascii="Courier New" w:hAnsi="Courier New" w:hint="default"/>
      </w:rPr>
    </w:lvl>
    <w:lvl w:ilvl="5" w:tplc="5D7CF936">
      <w:start w:val="1"/>
      <w:numFmt w:val="bullet"/>
      <w:lvlText w:val=""/>
      <w:lvlJc w:val="left"/>
      <w:pPr>
        <w:ind w:left="4320" w:hanging="360"/>
      </w:pPr>
      <w:rPr>
        <w:rFonts w:ascii="Wingdings" w:hAnsi="Wingdings" w:hint="default"/>
      </w:rPr>
    </w:lvl>
    <w:lvl w:ilvl="6" w:tplc="13309796">
      <w:start w:val="1"/>
      <w:numFmt w:val="bullet"/>
      <w:lvlText w:val=""/>
      <w:lvlJc w:val="left"/>
      <w:pPr>
        <w:ind w:left="5040" w:hanging="360"/>
      </w:pPr>
      <w:rPr>
        <w:rFonts w:ascii="Symbol" w:hAnsi="Symbol" w:hint="default"/>
      </w:rPr>
    </w:lvl>
    <w:lvl w:ilvl="7" w:tplc="D5DCE62A">
      <w:start w:val="1"/>
      <w:numFmt w:val="bullet"/>
      <w:lvlText w:val="o"/>
      <w:lvlJc w:val="left"/>
      <w:pPr>
        <w:ind w:left="5760" w:hanging="360"/>
      </w:pPr>
      <w:rPr>
        <w:rFonts w:ascii="Courier New" w:hAnsi="Courier New" w:hint="default"/>
      </w:rPr>
    </w:lvl>
    <w:lvl w:ilvl="8" w:tplc="6CA68CEC">
      <w:start w:val="1"/>
      <w:numFmt w:val="bullet"/>
      <w:lvlText w:val=""/>
      <w:lvlJc w:val="left"/>
      <w:pPr>
        <w:ind w:left="6480" w:hanging="360"/>
      </w:pPr>
      <w:rPr>
        <w:rFonts w:ascii="Wingdings" w:hAnsi="Wingdings" w:hint="default"/>
      </w:rPr>
    </w:lvl>
  </w:abstractNum>
  <w:abstractNum w:abstractNumId="5" w15:restartNumberingAfterBreak="0">
    <w:nsid w:val="3AED0749"/>
    <w:multiLevelType w:val="hybridMultilevel"/>
    <w:tmpl w:val="A484C980"/>
    <w:lvl w:ilvl="0" w:tplc="E4A893A4">
      <w:start w:val="1"/>
      <w:numFmt w:val="lowerLetter"/>
      <w:lvlText w:val="%1."/>
      <w:lvlJc w:val="left"/>
      <w:pPr>
        <w:ind w:left="720" w:hanging="360"/>
      </w:pPr>
    </w:lvl>
    <w:lvl w:ilvl="1" w:tplc="6A90B02C">
      <w:start w:val="1"/>
      <w:numFmt w:val="lowerLetter"/>
      <w:lvlText w:val="%2."/>
      <w:lvlJc w:val="left"/>
      <w:pPr>
        <w:ind w:left="1440" w:hanging="360"/>
      </w:pPr>
    </w:lvl>
    <w:lvl w:ilvl="2" w:tplc="2ED03B8C">
      <w:start w:val="1"/>
      <w:numFmt w:val="lowerRoman"/>
      <w:lvlText w:val="%3."/>
      <w:lvlJc w:val="right"/>
      <w:pPr>
        <w:ind w:left="2160" w:hanging="180"/>
      </w:pPr>
    </w:lvl>
    <w:lvl w:ilvl="3" w:tplc="F9A6FC76">
      <w:start w:val="1"/>
      <w:numFmt w:val="decimal"/>
      <w:lvlText w:val="%4."/>
      <w:lvlJc w:val="left"/>
      <w:pPr>
        <w:ind w:left="2880" w:hanging="360"/>
      </w:pPr>
    </w:lvl>
    <w:lvl w:ilvl="4" w:tplc="C8AE355E">
      <w:start w:val="1"/>
      <w:numFmt w:val="lowerLetter"/>
      <w:lvlText w:val="%5."/>
      <w:lvlJc w:val="left"/>
      <w:pPr>
        <w:ind w:left="3600" w:hanging="360"/>
      </w:pPr>
    </w:lvl>
    <w:lvl w:ilvl="5" w:tplc="A6C69AEC">
      <w:start w:val="1"/>
      <w:numFmt w:val="lowerRoman"/>
      <w:lvlText w:val="%6."/>
      <w:lvlJc w:val="right"/>
      <w:pPr>
        <w:ind w:left="4320" w:hanging="180"/>
      </w:pPr>
    </w:lvl>
    <w:lvl w:ilvl="6" w:tplc="F9689C90">
      <w:start w:val="1"/>
      <w:numFmt w:val="decimal"/>
      <w:lvlText w:val="%7."/>
      <w:lvlJc w:val="left"/>
      <w:pPr>
        <w:ind w:left="5040" w:hanging="360"/>
      </w:pPr>
    </w:lvl>
    <w:lvl w:ilvl="7" w:tplc="B2001728">
      <w:start w:val="1"/>
      <w:numFmt w:val="lowerLetter"/>
      <w:lvlText w:val="%8."/>
      <w:lvlJc w:val="left"/>
      <w:pPr>
        <w:ind w:left="5760" w:hanging="360"/>
      </w:pPr>
    </w:lvl>
    <w:lvl w:ilvl="8" w:tplc="C5F2787C">
      <w:start w:val="1"/>
      <w:numFmt w:val="lowerRoman"/>
      <w:lvlText w:val="%9."/>
      <w:lvlJc w:val="right"/>
      <w:pPr>
        <w:ind w:left="6480" w:hanging="180"/>
      </w:pPr>
    </w:lvl>
  </w:abstractNum>
  <w:abstractNum w:abstractNumId="6" w15:restartNumberingAfterBreak="0">
    <w:nsid w:val="3B060F69"/>
    <w:multiLevelType w:val="hybridMultilevel"/>
    <w:tmpl w:val="51DE4120"/>
    <w:lvl w:ilvl="0" w:tplc="DCC29A38">
      <w:start w:val="1"/>
      <w:numFmt w:val="decimal"/>
      <w:lvlText w:val="%1."/>
      <w:lvlJc w:val="left"/>
      <w:pPr>
        <w:ind w:left="720" w:hanging="360"/>
      </w:pPr>
    </w:lvl>
    <w:lvl w:ilvl="1" w:tplc="C524A046">
      <w:start w:val="1"/>
      <w:numFmt w:val="lowerLetter"/>
      <w:lvlText w:val="%2."/>
      <w:lvlJc w:val="left"/>
      <w:pPr>
        <w:ind w:left="1440" w:hanging="360"/>
      </w:pPr>
    </w:lvl>
    <w:lvl w:ilvl="2" w:tplc="1CA8CCB0">
      <w:start w:val="1"/>
      <w:numFmt w:val="lowerRoman"/>
      <w:lvlText w:val="%3."/>
      <w:lvlJc w:val="right"/>
      <w:pPr>
        <w:ind w:left="2160" w:hanging="180"/>
      </w:pPr>
    </w:lvl>
    <w:lvl w:ilvl="3" w:tplc="0B2E35DA">
      <w:start w:val="1"/>
      <w:numFmt w:val="decimal"/>
      <w:lvlText w:val="%4."/>
      <w:lvlJc w:val="left"/>
      <w:pPr>
        <w:ind w:left="2880" w:hanging="360"/>
      </w:pPr>
    </w:lvl>
    <w:lvl w:ilvl="4" w:tplc="3F1A4AB2">
      <w:start w:val="1"/>
      <w:numFmt w:val="lowerLetter"/>
      <w:lvlText w:val="%5."/>
      <w:lvlJc w:val="left"/>
      <w:pPr>
        <w:ind w:left="3600" w:hanging="360"/>
      </w:pPr>
    </w:lvl>
    <w:lvl w:ilvl="5" w:tplc="0A34AE74">
      <w:start w:val="1"/>
      <w:numFmt w:val="lowerRoman"/>
      <w:lvlText w:val="%6."/>
      <w:lvlJc w:val="right"/>
      <w:pPr>
        <w:ind w:left="4320" w:hanging="180"/>
      </w:pPr>
    </w:lvl>
    <w:lvl w:ilvl="6" w:tplc="2AF684CC">
      <w:start w:val="1"/>
      <w:numFmt w:val="decimal"/>
      <w:lvlText w:val="%7."/>
      <w:lvlJc w:val="left"/>
      <w:pPr>
        <w:ind w:left="5040" w:hanging="360"/>
      </w:pPr>
    </w:lvl>
    <w:lvl w:ilvl="7" w:tplc="F0D0EFA0">
      <w:start w:val="1"/>
      <w:numFmt w:val="lowerLetter"/>
      <w:lvlText w:val="%8."/>
      <w:lvlJc w:val="left"/>
      <w:pPr>
        <w:ind w:left="5760" w:hanging="360"/>
      </w:pPr>
    </w:lvl>
    <w:lvl w:ilvl="8" w:tplc="6C86EC58">
      <w:start w:val="1"/>
      <w:numFmt w:val="lowerRoman"/>
      <w:lvlText w:val="%9."/>
      <w:lvlJc w:val="right"/>
      <w:pPr>
        <w:ind w:left="6480" w:hanging="180"/>
      </w:pPr>
    </w:lvl>
  </w:abstractNum>
  <w:abstractNum w:abstractNumId="7" w15:restartNumberingAfterBreak="0">
    <w:nsid w:val="3C1C40CC"/>
    <w:multiLevelType w:val="hybridMultilevel"/>
    <w:tmpl w:val="DEACFCA2"/>
    <w:lvl w:ilvl="0" w:tplc="68D093E2">
      <w:start w:val="1"/>
      <w:numFmt w:val="lowerLetter"/>
      <w:lvlText w:val="%1."/>
      <w:lvlJc w:val="left"/>
      <w:pPr>
        <w:ind w:left="720" w:hanging="360"/>
      </w:pPr>
      <w:rPr>
        <w:rFonts w:ascii="Times New Roman" w:hAnsi="Times New Roman" w:cs="Times New Roman" w:hint="default"/>
      </w:rPr>
    </w:lvl>
    <w:lvl w:ilvl="1" w:tplc="103AD8DC">
      <w:start w:val="1"/>
      <w:numFmt w:val="lowerLetter"/>
      <w:lvlText w:val="%2."/>
      <w:lvlJc w:val="left"/>
      <w:pPr>
        <w:ind w:left="1440" w:hanging="360"/>
      </w:pPr>
    </w:lvl>
    <w:lvl w:ilvl="2" w:tplc="2450962E">
      <w:start w:val="1"/>
      <w:numFmt w:val="lowerRoman"/>
      <w:lvlText w:val="%3."/>
      <w:lvlJc w:val="right"/>
      <w:pPr>
        <w:ind w:left="2160" w:hanging="180"/>
      </w:pPr>
    </w:lvl>
    <w:lvl w:ilvl="3" w:tplc="0B94A158">
      <w:start w:val="1"/>
      <w:numFmt w:val="decimal"/>
      <w:lvlText w:val="%4."/>
      <w:lvlJc w:val="left"/>
      <w:pPr>
        <w:ind w:left="2880" w:hanging="360"/>
      </w:pPr>
    </w:lvl>
    <w:lvl w:ilvl="4" w:tplc="532AD310">
      <w:start w:val="1"/>
      <w:numFmt w:val="lowerLetter"/>
      <w:lvlText w:val="%5."/>
      <w:lvlJc w:val="left"/>
      <w:pPr>
        <w:ind w:left="3600" w:hanging="360"/>
      </w:pPr>
    </w:lvl>
    <w:lvl w:ilvl="5" w:tplc="8B84B1EC">
      <w:start w:val="1"/>
      <w:numFmt w:val="lowerRoman"/>
      <w:lvlText w:val="%6."/>
      <w:lvlJc w:val="right"/>
      <w:pPr>
        <w:ind w:left="4320" w:hanging="180"/>
      </w:pPr>
    </w:lvl>
    <w:lvl w:ilvl="6" w:tplc="4A3EBD40">
      <w:start w:val="1"/>
      <w:numFmt w:val="decimal"/>
      <w:lvlText w:val="%7."/>
      <w:lvlJc w:val="left"/>
      <w:pPr>
        <w:ind w:left="5040" w:hanging="360"/>
      </w:pPr>
    </w:lvl>
    <w:lvl w:ilvl="7" w:tplc="B5481998">
      <w:start w:val="1"/>
      <w:numFmt w:val="lowerLetter"/>
      <w:lvlText w:val="%8."/>
      <w:lvlJc w:val="left"/>
      <w:pPr>
        <w:ind w:left="5760" w:hanging="360"/>
      </w:pPr>
    </w:lvl>
    <w:lvl w:ilvl="8" w:tplc="542C7C76">
      <w:start w:val="1"/>
      <w:numFmt w:val="lowerRoman"/>
      <w:lvlText w:val="%9."/>
      <w:lvlJc w:val="right"/>
      <w:pPr>
        <w:ind w:left="6480" w:hanging="180"/>
      </w:pPr>
    </w:lvl>
  </w:abstractNum>
  <w:abstractNum w:abstractNumId="8" w15:restartNumberingAfterBreak="0">
    <w:nsid w:val="407FBCF2"/>
    <w:multiLevelType w:val="hybridMultilevel"/>
    <w:tmpl w:val="72E4EF08"/>
    <w:lvl w:ilvl="0" w:tplc="8D4E690E">
      <w:start w:val="1"/>
      <w:numFmt w:val="decimal"/>
      <w:lvlText w:val="%1."/>
      <w:lvlJc w:val="left"/>
      <w:pPr>
        <w:ind w:left="720" w:hanging="360"/>
      </w:pPr>
    </w:lvl>
    <w:lvl w:ilvl="1" w:tplc="B75024FE">
      <w:start w:val="1"/>
      <w:numFmt w:val="lowerLetter"/>
      <w:lvlText w:val="%2."/>
      <w:lvlJc w:val="left"/>
      <w:pPr>
        <w:ind w:left="1440" w:hanging="360"/>
      </w:pPr>
    </w:lvl>
    <w:lvl w:ilvl="2" w:tplc="7262975A">
      <w:start w:val="1"/>
      <w:numFmt w:val="lowerRoman"/>
      <w:lvlText w:val="%3."/>
      <w:lvlJc w:val="right"/>
      <w:pPr>
        <w:ind w:left="2160" w:hanging="180"/>
      </w:pPr>
    </w:lvl>
    <w:lvl w:ilvl="3" w:tplc="D242AE76">
      <w:start w:val="1"/>
      <w:numFmt w:val="decimal"/>
      <w:lvlText w:val="%4."/>
      <w:lvlJc w:val="left"/>
      <w:pPr>
        <w:ind w:left="2880" w:hanging="360"/>
      </w:pPr>
    </w:lvl>
    <w:lvl w:ilvl="4" w:tplc="9AE4B568">
      <w:start w:val="1"/>
      <w:numFmt w:val="lowerLetter"/>
      <w:lvlText w:val="%5."/>
      <w:lvlJc w:val="left"/>
      <w:pPr>
        <w:ind w:left="3600" w:hanging="360"/>
      </w:pPr>
    </w:lvl>
    <w:lvl w:ilvl="5" w:tplc="F28A4D32">
      <w:start w:val="1"/>
      <w:numFmt w:val="lowerRoman"/>
      <w:lvlText w:val="%6."/>
      <w:lvlJc w:val="right"/>
      <w:pPr>
        <w:ind w:left="4320" w:hanging="180"/>
      </w:pPr>
    </w:lvl>
    <w:lvl w:ilvl="6" w:tplc="0BAE7586">
      <w:start w:val="1"/>
      <w:numFmt w:val="decimal"/>
      <w:lvlText w:val="%7."/>
      <w:lvlJc w:val="left"/>
      <w:pPr>
        <w:ind w:left="5040" w:hanging="360"/>
      </w:pPr>
    </w:lvl>
    <w:lvl w:ilvl="7" w:tplc="00E6D0CA">
      <w:start w:val="1"/>
      <w:numFmt w:val="lowerLetter"/>
      <w:lvlText w:val="%8."/>
      <w:lvlJc w:val="left"/>
      <w:pPr>
        <w:ind w:left="5760" w:hanging="360"/>
      </w:pPr>
    </w:lvl>
    <w:lvl w:ilvl="8" w:tplc="6DB4004C">
      <w:start w:val="1"/>
      <w:numFmt w:val="lowerRoman"/>
      <w:lvlText w:val="%9."/>
      <w:lvlJc w:val="right"/>
      <w:pPr>
        <w:ind w:left="6480" w:hanging="180"/>
      </w:pPr>
    </w:lvl>
  </w:abstractNum>
  <w:abstractNum w:abstractNumId="9" w15:restartNumberingAfterBreak="0">
    <w:nsid w:val="482F65F9"/>
    <w:multiLevelType w:val="hybridMultilevel"/>
    <w:tmpl w:val="B62C402A"/>
    <w:lvl w:ilvl="0" w:tplc="E028E1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6E3702">
      <w:start w:val="1"/>
      <w:numFmt w:val="lowerLetter"/>
      <w:lvlText w:val="%2"/>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A6F98">
      <w:start w:val="1"/>
      <w:numFmt w:val="lowerLetter"/>
      <w:lvlRestart w:val="0"/>
      <w:lvlText w:val="%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2011E6">
      <w:start w:val="1"/>
      <w:numFmt w:val="decimal"/>
      <w:lvlText w:val="%4"/>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4E87EA">
      <w:start w:val="1"/>
      <w:numFmt w:val="lowerLetter"/>
      <w:lvlText w:val="%5"/>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5C808A">
      <w:start w:val="1"/>
      <w:numFmt w:val="lowerRoman"/>
      <w:lvlText w:val="%6"/>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A05AA4">
      <w:start w:val="1"/>
      <w:numFmt w:val="decimal"/>
      <w:lvlText w:val="%7"/>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F0B19E">
      <w:start w:val="1"/>
      <w:numFmt w:val="lowerLetter"/>
      <w:lvlText w:val="%8"/>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8C943C">
      <w:start w:val="1"/>
      <w:numFmt w:val="lowerRoman"/>
      <w:lvlText w:val="%9"/>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95B28F"/>
    <w:multiLevelType w:val="hybridMultilevel"/>
    <w:tmpl w:val="46E4128C"/>
    <w:lvl w:ilvl="0" w:tplc="CBDA12DC">
      <w:start w:val="1"/>
      <w:numFmt w:val="decimal"/>
      <w:lvlText w:val="%1."/>
      <w:lvlJc w:val="left"/>
      <w:pPr>
        <w:ind w:left="720" w:hanging="360"/>
      </w:pPr>
    </w:lvl>
    <w:lvl w:ilvl="1" w:tplc="F6107E02">
      <w:start w:val="1"/>
      <w:numFmt w:val="lowerLetter"/>
      <w:lvlText w:val="%2."/>
      <w:lvlJc w:val="left"/>
      <w:pPr>
        <w:ind w:left="1440" w:hanging="360"/>
      </w:pPr>
    </w:lvl>
    <w:lvl w:ilvl="2" w:tplc="79BC880C">
      <w:start w:val="1"/>
      <w:numFmt w:val="lowerRoman"/>
      <w:lvlText w:val="%3."/>
      <w:lvlJc w:val="right"/>
      <w:pPr>
        <w:ind w:left="2160" w:hanging="180"/>
      </w:pPr>
    </w:lvl>
    <w:lvl w:ilvl="3" w:tplc="93B645F4">
      <w:start w:val="1"/>
      <w:numFmt w:val="decimal"/>
      <w:lvlText w:val="%4."/>
      <w:lvlJc w:val="left"/>
      <w:pPr>
        <w:ind w:left="2880" w:hanging="360"/>
      </w:pPr>
    </w:lvl>
    <w:lvl w:ilvl="4" w:tplc="08922650">
      <w:start w:val="1"/>
      <w:numFmt w:val="lowerLetter"/>
      <w:lvlText w:val="%5."/>
      <w:lvlJc w:val="left"/>
      <w:pPr>
        <w:ind w:left="3600" w:hanging="360"/>
      </w:pPr>
    </w:lvl>
    <w:lvl w:ilvl="5" w:tplc="285CAB3C">
      <w:start w:val="1"/>
      <w:numFmt w:val="lowerRoman"/>
      <w:lvlText w:val="%6."/>
      <w:lvlJc w:val="right"/>
      <w:pPr>
        <w:ind w:left="4320" w:hanging="180"/>
      </w:pPr>
    </w:lvl>
    <w:lvl w:ilvl="6" w:tplc="C5469C02">
      <w:start w:val="1"/>
      <w:numFmt w:val="decimal"/>
      <w:lvlText w:val="%7."/>
      <w:lvlJc w:val="left"/>
      <w:pPr>
        <w:ind w:left="5040" w:hanging="360"/>
      </w:pPr>
    </w:lvl>
    <w:lvl w:ilvl="7" w:tplc="6E02A6A0">
      <w:start w:val="1"/>
      <w:numFmt w:val="lowerLetter"/>
      <w:lvlText w:val="%8."/>
      <w:lvlJc w:val="left"/>
      <w:pPr>
        <w:ind w:left="5760" w:hanging="360"/>
      </w:pPr>
    </w:lvl>
    <w:lvl w:ilvl="8" w:tplc="C7C0AA86">
      <w:start w:val="1"/>
      <w:numFmt w:val="lowerRoman"/>
      <w:lvlText w:val="%9."/>
      <w:lvlJc w:val="right"/>
      <w:pPr>
        <w:ind w:left="6480" w:hanging="180"/>
      </w:pPr>
    </w:lvl>
  </w:abstractNum>
  <w:abstractNum w:abstractNumId="11" w15:restartNumberingAfterBreak="0">
    <w:nsid w:val="5675097F"/>
    <w:multiLevelType w:val="hybridMultilevel"/>
    <w:tmpl w:val="A2564E5C"/>
    <w:lvl w:ilvl="0" w:tplc="982695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637E54"/>
    <w:multiLevelType w:val="hybridMultilevel"/>
    <w:tmpl w:val="51DE4120"/>
    <w:lvl w:ilvl="0" w:tplc="DCC29A38">
      <w:start w:val="1"/>
      <w:numFmt w:val="decimal"/>
      <w:lvlText w:val="%1."/>
      <w:lvlJc w:val="left"/>
      <w:pPr>
        <w:ind w:left="720" w:hanging="360"/>
      </w:pPr>
    </w:lvl>
    <w:lvl w:ilvl="1" w:tplc="C524A046">
      <w:start w:val="1"/>
      <w:numFmt w:val="lowerLetter"/>
      <w:lvlText w:val="%2."/>
      <w:lvlJc w:val="left"/>
      <w:pPr>
        <w:ind w:left="1440" w:hanging="360"/>
      </w:pPr>
    </w:lvl>
    <w:lvl w:ilvl="2" w:tplc="1CA8CCB0">
      <w:start w:val="1"/>
      <w:numFmt w:val="lowerRoman"/>
      <w:lvlText w:val="%3."/>
      <w:lvlJc w:val="right"/>
      <w:pPr>
        <w:ind w:left="2160" w:hanging="180"/>
      </w:pPr>
    </w:lvl>
    <w:lvl w:ilvl="3" w:tplc="0B2E35DA">
      <w:start w:val="1"/>
      <w:numFmt w:val="decimal"/>
      <w:lvlText w:val="%4."/>
      <w:lvlJc w:val="left"/>
      <w:pPr>
        <w:ind w:left="2880" w:hanging="360"/>
      </w:pPr>
    </w:lvl>
    <w:lvl w:ilvl="4" w:tplc="3F1A4AB2">
      <w:start w:val="1"/>
      <w:numFmt w:val="lowerLetter"/>
      <w:lvlText w:val="%5."/>
      <w:lvlJc w:val="left"/>
      <w:pPr>
        <w:ind w:left="3600" w:hanging="360"/>
      </w:pPr>
    </w:lvl>
    <w:lvl w:ilvl="5" w:tplc="0A34AE74">
      <w:start w:val="1"/>
      <w:numFmt w:val="lowerRoman"/>
      <w:lvlText w:val="%6."/>
      <w:lvlJc w:val="right"/>
      <w:pPr>
        <w:ind w:left="4320" w:hanging="180"/>
      </w:pPr>
    </w:lvl>
    <w:lvl w:ilvl="6" w:tplc="2AF684CC">
      <w:start w:val="1"/>
      <w:numFmt w:val="decimal"/>
      <w:lvlText w:val="%7."/>
      <w:lvlJc w:val="left"/>
      <w:pPr>
        <w:ind w:left="5040" w:hanging="360"/>
      </w:pPr>
    </w:lvl>
    <w:lvl w:ilvl="7" w:tplc="F0D0EFA0">
      <w:start w:val="1"/>
      <w:numFmt w:val="lowerLetter"/>
      <w:lvlText w:val="%8."/>
      <w:lvlJc w:val="left"/>
      <w:pPr>
        <w:ind w:left="5760" w:hanging="360"/>
      </w:pPr>
    </w:lvl>
    <w:lvl w:ilvl="8" w:tplc="6C86EC58">
      <w:start w:val="1"/>
      <w:numFmt w:val="lowerRoman"/>
      <w:lvlText w:val="%9."/>
      <w:lvlJc w:val="right"/>
      <w:pPr>
        <w:ind w:left="6480" w:hanging="180"/>
      </w:pPr>
    </w:lvl>
  </w:abstractNum>
  <w:abstractNum w:abstractNumId="13" w15:restartNumberingAfterBreak="0">
    <w:nsid w:val="612636E8"/>
    <w:multiLevelType w:val="hybridMultilevel"/>
    <w:tmpl w:val="2B4C7176"/>
    <w:lvl w:ilvl="0" w:tplc="530A1074">
      <w:start w:val="14"/>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2A290">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2CB8C">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6A97A2">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46842">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848C86">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48AD48">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BA3ED4">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44AC56">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B5A2CA6"/>
    <w:multiLevelType w:val="hybridMultilevel"/>
    <w:tmpl w:val="964667CE"/>
    <w:lvl w:ilvl="0" w:tplc="9392E2CA">
      <w:start w:val="1"/>
      <w:numFmt w:val="bullet"/>
      <w:lvlText w:val=""/>
      <w:lvlJc w:val="left"/>
      <w:pPr>
        <w:ind w:left="720" w:hanging="360"/>
      </w:pPr>
      <w:rPr>
        <w:rFonts w:ascii="Symbol" w:hAnsi="Symbol" w:hint="default"/>
        <w:color w:val="auto"/>
      </w:rPr>
    </w:lvl>
    <w:lvl w:ilvl="1" w:tplc="E0BC391A">
      <w:start w:val="1"/>
      <w:numFmt w:val="bullet"/>
      <w:lvlText w:val="o"/>
      <w:lvlJc w:val="left"/>
      <w:pPr>
        <w:ind w:left="1440" w:hanging="360"/>
      </w:pPr>
      <w:rPr>
        <w:rFonts w:ascii="Courier New" w:hAnsi="Courier New" w:cs="Courier New" w:hint="default"/>
      </w:rPr>
    </w:lvl>
    <w:lvl w:ilvl="2" w:tplc="160C28E0">
      <w:start w:val="1"/>
      <w:numFmt w:val="decimal"/>
      <w:lvlText w:val="%3."/>
      <w:lvlJc w:val="left"/>
      <w:pPr>
        <w:ind w:left="2160" w:hanging="360"/>
      </w:pPr>
      <w:rPr>
        <w:rFonts w:ascii="Times New Roman" w:eastAsia="Times New Roman" w:hAnsi="Times New Roman" w:cs="Times New Roman" w:hint="default"/>
      </w:rPr>
    </w:lvl>
    <w:lvl w:ilvl="3" w:tplc="9C247C12">
      <w:start w:val="1"/>
      <w:numFmt w:val="bullet"/>
      <w:lvlText w:val="o"/>
      <w:lvlJc w:val="left"/>
      <w:pPr>
        <w:ind w:left="2880" w:hanging="360"/>
      </w:pPr>
      <w:rPr>
        <w:rFonts w:ascii="Courier New" w:hAnsi="Courier New" w:cs="Courier New" w:hint="default"/>
      </w:rPr>
    </w:lvl>
    <w:lvl w:ilvl="4" w:tplc="2CB8EA60">
      <w:start w:val="1"/>
      <w:numFmt w:val="bullet"/>
      <w:lvlText w:val="o"/>
      <w:lvlJc w:val="left"/>
      <w:pPr>
        <w:ind w:left="3600" w:hanging="360"/>
      </w:pPr>
      <w:rPr>
        <w:rFonts w:ascii="Courier New" w:hAnsi="Courier New" w:cs="Courier New" w:hint="default"/>
      </w:rPr>
    </w:lvl>
    <w:lvl w:ilvl="5" w:tplc="271600E6">
      <w:start w:val="1"/>
      <w:numFmt w:val="bullet"/>
      <w:lvlText w:val=""/>
      <w:lvlJc w:val="left"/>
      <w:pPr>
        <w:ind w:left="4320" w:hanging="360"/>
      </w:pPr>
      <w:rPr>
        <w:rFonts w:ascii="Wingdings" w:hAnsi="Wingdings" w:hint="default"/>
      </w:rPr>
    </w:lvl>
    <w:lvl w:ilvl="6" w:tplc="E57E9DA4">
      <w:start w:val="1"/>
      <w:numFmt w:val="bullet"/>
      <w:lvlText w:val=""/>
      <w:lvlJc w:val="left"/>
      <w:pPr>
        <w:ind w:left="5040" w:hanging="360"/>
      </w:pPr>
      <w:rPr>
        <w:rFonts w:ascii="Symbol" w:hAnsi="Symbol" w:hint="default"/>
      </w:rPr>
    </w:lvl>
    <w:lvl w:ilvl="7" w:tplc="2A5205FA">
      <w:start w:val="1"/>
      <w:numFmt w:val="bullet"/>
      <w:lvlText w:val="o"/>
      <w:lvlJc w:val="left"/>
      <w:pPr>
        <w:ind w:left="5760" w:hanging="360"/>
      </w:pPr>
      <w:rPr>
        <w:rFonts w:ascii="Courier New" w:hAnsi="Courier New" w:cs="Courier New" w:hint="default"/>
      </w:rPr>
    </w:lvl>
    <w:lvl w:ilvl="8" w:tplc="99FA930C">
      <w:start w:val="1"/>
      <w:numFmt w:val="bullet"/>
      <w:lvlText w:val=""/>
      <w:lvlJc w:val="left"/>
      <w:pPr>
        <w:ind w:left="6480" w:hanging="360"/>
      </w:pPr>
      <w:rPr>
        <w:rFonts w:ascii="Wingdings" w:hAnsi="Wingdings" w:hint="default"/>
      </w:rPr>
    </w:lvl>
  </w:abstractNum>
  <w:abstractNum w:abstractNumId="15" w15:restartNumberingAfterBreak="0">
    <w:nsid w:val="75A34469"/>
    <w:multiLevelType w:val="hybridMultilevel"/>
    <w:tmpl w:val="3034AF9E"/>
    <w:lvl w:ilvl="0" w:tplc="150A8C0E">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9A1052">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7A5E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A37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C3D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7C3A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48C6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9AC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A06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BE546F9"/>
    <w:multiLevelType w:val="hybridMultilevel"/>
    <w:tmpl w:val="EBCC6F98"/>
    <w:lvl w:ilvl="0" w:tplc="72E2D3AE">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0A6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F8286C">
      <w:start w:val="1"/>
      <w:numFmt w:val="lowerRoman"/>
      <w:lvlText w:val="%3"/>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A2A154">
      <w:start w:val="1"/>
      <w:numFmt w:val="decimal"/>
      <w:lvlText w:val="%4"/>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CEB326">
      <w:start w:val="1"/>
      <w:numFmt w:val="lowerLetter"/>
      <w:lvlText w:val="%5"/>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89E38">
      <w:start w:val="1"/>
      <w:numFmt w:val="lowerRoman"/>
      <w:lvlText w:val="%6"/>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18288A">
      <w:start w:val="1"/>
      <w:numFmt w:val="decimal"/>
      <w:lvlText w:val="%7"/>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E4353A">
      <w:start w:val="1"/>
      <w:numFmt w:val="lowerLetter"/>
      <w:lvlText w:val="%8"/>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68F51E">
      <w:start w:val="1"/>
      <w:numFmt w:val="lowerRoman"/>
      <w:lvlText w:val="%9"/>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EED1866"/>
    <w:multiLevelType w:val="hybridMultilevel"/>
    <w:tmpl w:val="07C0C2B8"/>
    <w:lvl w:ilvl="0" w:tplc="9B429F5E">
      <w:start w:val="1"/>
      <w:numFmt w:val="decimal"/>
      <w:lvlText w:val="%1."/>
      <w:lvlJc w:val="left"/>
      <w:pPr>
        <w:tabs>
          <w:tab w:val="num" w:pos="36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348223">
    <w:abstractNumId w:val="3"/>
  </w:num>
  <w:num w:numId="2" w16cid:durableId="2093351233">
    <w:abstractNumId w:val="8"/>
  </w:num>
  <w:num w:numId="3" w16cid:durableId="523905580">
    <w:abstractNumId w:val="0"/>
  </w:num>
  <w:num w:numId="4" w16cid:durableId="228660359">
    <w:abstractNumId w:val="7"/>
  </w:num>
  <w:num w:numId="5" w16cid:durableId="870336115">
    <w:abstractNumId w:val="10"/>
  </w:num>
  <w:num w:numId="6" w16cid:durableId="1597248657">
    <w:abstractNumId w:val="4"/>
  </w:num>
  <w:num w:numId="7" w16cid:durableId="322007139">
    <w:abstractNumId w:val="5"/>
  </w:num>
  <w:num w:numId="8" w16cid:durableId="1312634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4571542">
    <w:abstractNumId w:val="12"/>
  </w:num>
  <w:num w:numId="10" w16cid:durableId="2131390398">
    <w:abstractNumId w:val="6"/>
  </w:num>
  <w:num w:numId="11" w16cid:durableId="67773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7946514">
    <w:abstractNumId w:val="14"/>
    <w:lvlOverride w:ilvl="0"/>
    <w:lvlOverride w:ilvl="1"/>
    <w:lvlOverride w:ilvl="2">
      <w:startOverride w:val="1"/>
    </w:lvlOverride>
    <w:lvlOverride w:ilvl="3"/>
    <w:lvlOverride w:ilvl="4"/>
    <w:lvlOverride w:ilvl="5"/>
    <w:lvlOverride w:ilvl="6"/>
    <w:lvlOverride w:ilvl="7"/>
    <w:lvlOverride w:ilvl="8"/>
  </w:num>
  <w:num w:numId="13" w16cid:durableId="163713079">
    <w:abstractNumId w:val="16"/>
  </w:num>
  <w:num w:numId="14" w16cid:durableId="221451591">
    <w:abstractNumId w:val="9"/>
  </w:num>
  <w:num w:numId="15" w16cid:durableId="1508212146">
    <w:abstractNumId w:val="13"/>
  </w:num>
  <w:num w:numId="16" w16cid:durableId="144519525">
    <w:abstractNumId w:val="15"/>
  </w:num>
  <w:num w:numId="17" w16cid:durableId="1255211605">
    <w:abstractNumId w:val="2"/>
  </w:num>
  <w:num w:numId="18" w16cid:durableId="722607636">
    <w:abstractNumId w:val="17"/>
  </w:num>
  <w:num w:numId="19" w16cid:durableId="5228605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5CE4CA"/>
    <w:rsid w:val="000021AB"/>
    <w:rsid w:val="00003BEA"/>
    <w:rsid w:val="000069D4"/>
    <w:rsid w:val="00010412"/>
    <w:rsid w:val="0001138C"/>
    <w:rsid w:val="000173BA"/>
    <w:rsid w:val="000175BC"/>
    <w:rsid w:val="000510CC"/>
    <w:rsid w:val="00052780"/>
    <w:rsid w:val="000528C3"/>
    <w:rsid w:val="00055F4A"/>
    <w:rsid w:val="000575B3"/>
    <w:rsid w:val="00071AE7"/>
    <w:rsid w:val="00085E6D"/>
    <w:rsid w:val="00094B6A"/>
    <w:rsid w:val="000A3545"/>
    <w:rsid w:val="000B70AF"/>
    <w:rsid w:val="000B7BAC"/>
    <w:rsid w:val="000C04DF"/>
    <w:rsid w:val="000C3436"/>
    <w:rsid w:val="000E6439"/>
    <w:rsid w:val="000F1A8F"/>
    <w:rsid w:val="001120CC"/>
    <w:rsid w:val="00114B6E"/>
    <w:rsid w:val="00114D92"/>
    <w:rsid w:val="001224A0"/>
    <w:rsid w:val="00123BE1"/>
    <w:rsid w:val="001247C7"/>
    <w:rsid w:val="001269DD"/>
    <w:rsid w:val="0013925F"/>
    <w:rsid w:val="00144C44"/>
    <w:rsid w:val="0015400E"/>
    <w:rsid w:val="00160C76"/>
    <w:rsid w:val="001621C4"/>
    <w:rsid w:val="001652CD"/>
    <w:rsid w:val="00165A4F"/>
    <w:rsid w:val="001671ED"/>
    <w:rsid w:val="001725D9"/>
    <w:rsid w:val="001742B4"/>
    <w:rsid w:val="001832A8"/>
    <w:rsid w:val="00184616"/>
    <w:rsid w:val="0018474E"/>
    <w:rsid w:val="0019160E"/>
    <w:rsid w:val="0019687E"/>
    <w:rsid w:val="001A17A2"/>
    <w:rsid w:val="001A3005"/>
    <w:rsid w:val="001B1E29"/>
    <w:rsid w:val="001C1077"/>
    <w:rsid w:val="001C3B78"/>
    <w:rsid w:val="001C5CC0"/>
    <w:rsid w:val="002143D0"/>
    <w:rsid w:val="0022119B"/>
    <w:rsid w:val="00225E65"/>
    <w:rsid w:val="00231941"/>
    <w:rsid w:val="00233288"/>
    <w:rsid w:val="00237221"/>
    <w:rsid w:val="00243584"/>
    <w:rsid w:val="00257FA3"/>
    <w:rsid w:val="002818BD"/>
    <w:rsid w:val="00283541"/>
    <w:rsid w:val="002857D3"/>
    <w:rsid w:val="00292326"/>
    <w:rsid w:val="00297E19"/>
    <w:rsid w:val="002A40B3"/>
    <w:rsid w:val="002C68B1"/>
    <w:rsid w:val="002C6F16"/>
    <w:rsid w:val="002D0904"/>
    <w:rsid w:val="002D78A5"/>
    <w:rsid w:val="002E0850"/>
    <w:rsid w:val="002E289C"/>
    <w:rsid w:val="002E5083"/>
    <w:rsid w:val="00300398"/>
    <w:rsid w:val="00307D1B"/>
    <w:rsid w:val="003225F2"/>
    <w:rsid w:val="003251B1"/>
    <w:rsid w:val="003334A9"/>
    <w:rsid w:val="00340BB5"/>
    <w:rsid w:val="0034163B"/>
    <w:rsid w:val="0036077F"/>
    <w:rsid w:val="0037047A"/>
    <w:rsid w:val="00373BFE"/>
    <w:rsid w:val="00376E83"/>
    <w:rsid w:val="0038005E"/>
    <w:rsid w:val="003808AE"/>
    <w:rsid w:val="00380CC0"/>
    <w:rsid w:val="0038297D"/>
    <w:rsid w:val="0038755F"/>
    <w:rsid w:val="003937AA"/>
    <w:rsid w:val="0039539D"/>
    <w:rsid w:val="00397FE2"/>
    <w:rsid w:val="003A232E"/>
    <w:rsid w:val="003A4D2E"/>
    <w:rsid w:val="003B31CE"/>
    <w:rsid w:val="003C2591"/>
    <w:rsid w:val="003D380A"/>
    <w:rsid w:val="003E2691"/>
    <w:rsid w:val="003E5905"/>
    <w:rsid w:val="003F0368"/>
    <w:rsid w:val="0040652D"/>
    <w:rsid w:val="00406BE4"/>
    <w:rsid w:val="00411475"/>
    <w:rsid w:val="00416525"/>
    <w:rsid w:val="00417DE3"/>
    <w:rsid w:val="0043552B"/>
    <w:rsid w:val="00435CA0"/>
    <w:rsid w:val="00437D57"/>
    <w:rsid w:val="00446297"/>
    <w:rsid w:val="00462BD3"/>
    <w:rsid w:val="0046751C"/>
    <w:rsid w:val="00471A83"/>
    <w:rsid w:val="00475547"/>
    <w:rsid w:val="0048078A"/>
    <w:rsid w:val="00482229"/>
    <w:rsid w:val="004A2D95"/>
    <w:rsid w:val="004A5024"/>
    <w:rsid w:val="004B0581"/>
    <w:rsid w:val="004B114C"/>
    <w:rsid w:val="004B3E24"/>
    <w:rsid w:val="004B6DA9"/>
    <w:rsid w:val="004C3368"/>
    <w:rsid w:val="004C7A7C"/>
    <w:rsid w:val="004C7E92"/>
    <w:rsid w:val="004D1CD6"/>
    <w:rsid w:val="004E38F0"/>
    <w:rsid w:val="004E39C6"/>
    <w:rsid w:val="004F51EB"/>
    <w:rsid w:val="0050315E"/>
    <w:rsid w:val="0051144B"/>
    <w:rsid w:val="00514F98"/>
    <w:rsid w:val="00524865"/>
    <w:rsid w:val="00526653"/>
    <w:rsid w:val="00527267"/>
    <w:rsid w:val="00550EB2"/>
    <w:rsid w:val="0055292C"/>
    <w:rsid w:val="005628E2"/>
    <w:rsid w:val="0056648A"/>
    <w:rsid w:val="005706FF"/>
    <w:rsid w:val="00572976"/>
    <w:rsid w:val="005838E0"/>
    <w:rsid w:val="005A196B"/>
    <w:rsid w:val="005A2113"/>
    <w:rsid w:val="005A2DD9"/>
    <w:rsid w:val="005C0E08"/>
    <w:rsid w:val="005C0F74"/>
    <w:rsid w:val="005C246D"/>
    <w:rsid w:val="005D5546"/>
    <w:rsid w:val="005E148D"/>
    <w:rsid w:val="005E3541"/>
    <w:rsid w:val="005E5628"/>
    <w:rsid w:val="005F1F60"/>
    <w:rsid w:val="005F5252"/>
    <w:rsid w:val="005F79AB"/>
    <w:rsid w:val="00617D89"/>
    <w:rsid w:val="006200C5"/>
    <w:rsid w:val="00620217"/>
    <w:rsid w:val="00620CC8"/>
    <w:rsid w:val="00621C9A"/>
    <w:rsid w:val="00625C50"/>
    <w:rsid w:val="00625E8E"/>
    <w:rsid w:val="0063035C"/>
    <w:rsid w:val="0063077B"/>
    <w:rsid w:val="00637295"/>
    <w:rsid w:val="00644676"/>
    <w:rsid w:val="00650079"/>
    <w:rsid w:val="00653793"/>
    <w:rsid w:val="00653C2E"/>
    <w:rsid w:val="00662ECF"/>
    <w:rsid w:val="00666F0D"/>
    <w:rsid w:val="00667C5C"/>
    <w:rsid w:val="00670A20"/>
    <w:rsid w:val="006740B5"/>
    <w:rsid w:val="00674F1F"/>
    <w:rsid w:val="00681830"/>
    <w:rsid w:val="0069204D"/>
    <w:rsid w:val="006922B9"/>
    <w:rsid w:val="00692A9B"/>
    <w:rsid w:val="00692C49"/>
    <w:rsid w:val="006B1D4B"/>
    <w:rsid w:val="006B5631"/>
    <w:rsid w:val="006E3448"/>
    <w:rsid w:val="006E3493"/>
    <w:rsid w:val="006E4D0E"/>
    <w:rsid w:val="006E57F0"/>
    <w:rsid w:val="00712BC2"/>
    <w:rsid w:val="00713384"/>
    <w:rsid w:val="00713927"/>
    <w:rsid w:val="00721967"/>
    <w:rsid w:val="007326E8"/>
    <w:rsid w:val="007341DB"/>
    <w:rsid w:val="00734DF1"/>
    <w:rsid w:val="00746CD5"/>
    <w:rsid w:val="00771ED3"/>
    <w:rsid w:val="00774438"/>
    <w:rsid w:val="007753CA"/>
    <w:rsid w:val="00785B40"/>
    <w:rsid w:val="00786C66"/>
    <w:rsid w:val="007A02D6"/>
    <w:rsid w:val="007A7A81"/>
    <w:rsid w:val="007B2163"/>
    <w:rsid w:val="007C0AD7"/>
    <w:rsid w:val="007C71CB"/>
    <w:rsid w:val="007D1AE1"/>
    <w:rsid w:val="007E6034"/>
    <w:rsid w:val="007F2D6B"/>
    <w:rsid w:val="007F45BE"/>
    <w:rsid w:val="007F535A"/>
    <w:rsid w:val="008012E5"/>
    <w:rsid w:val="00801D22"/>
    <w:rsid w:val="00810344"/>
    <w:rsid w:val="0081050A"/>
    <w:rsid w:val="00814175"/>
    <w:rsid w:val="00815F5B"/>
    <w:rsid w:val="00832ACE"/>
    <w:rsid w:val="00833A7C"/>
    <w:rsid w:val="00836F7A"/>
    <w:rsid w:val="0084530A"/>
    <w:rsid w:val="008506FC"/>
    <w:rsid w:val="008737C0"/>
    <w:rsid w:val="00876278"/>
    <w:rsid w:val="00880B9B"/>
    <w:rsid w:val="00883DFE"/>
    <w:rsid w:val="00895AA1"/>
    <w:rsid w:val="008A1BD5"/>
    <w:rsid w:val="008A399A"/>
    <w:rsid w:val="008A5B68"/>
    <w:rsid w:val="008A7BB7"/>
    <w:rsid w:val="008B19F2"/>
    <w:rsid w:val="008D5B96"/>
    <w:rsid w:val="008E0CD2"/>
    <w:rsid w:val="008E65DE"/>
    <w:rsid w:val="008F11A0"/>
    <w:rsid w:val="008F42F6"/>
    <w:rsid w:val="008F5CBA"/>
    <w:rsid w:val="00900496"/>
    <w:rsid w:val="00900BF8"/>
    <w:rsid w:val="0090698E"/>
    <w:rsid w:val="009137D7"/>
    <w:rsid w:val="00914B5C"/>
    <w:rsid w:val="00927A01"/>
    <w:rsid w:val="00935039"/>
    <w:rsid w:val="009378AE"/>
    <w:rsid w:val="0094281B"/>
    <w:rsid w:val="00945E4F"/>
    <w:rsid w:val="00951C68"/>
    <w:rsid w:val="00971449"/>
    <w:rsid w:val="009755C6"/>
    <w:rsid w:val="00984B95"/>
    <w:rsid w:val="00991280"/>
    <w:rsid w:val="00991E29"/>
    <w:rsid w:val="00994540"/>
    <w:rsid w:val="00994CDE"/>
    <w:rsid w:val="009A3F6E"/>
    <w:rsid w:val="009C0B3B"/>
    <w:rsid w:val="009C1957"/>
    <w:rsid w:val="009C2552"/>
    <w:rsid w:val="009D5423"/>
    <w:rsid w:val="009F2778"/>
    <w:rsid w:val="009F2F8E"/>
    <w:rsid w:val="00A205A0"/>
    <w:rsid w:val="00A23552"/>
    <w:rsid w:val="00A558B1"/>
    <w:rsid w:val="00A658B2"/>
    <w:rsid w:val="00A771DF"/>
    <w:rsid w:val="00A81728"/>
    <w:rsid w:val="00A81DCF"/>
    <w:rsid w:val="00A83043"/>
    <w:rsid w:val="00A921AD"/>
    <w:rsid w:val="00AA30D8"/>
    <w:rsid w:val="00AC7CAD"/>
    <w:rsid w:val="00AD24E9"/>
    <w:rsid w:val="00AD2725"/>
    <w:rsid w:val="00AD2C27"/>
    <w:rsid w:val="00AE399F"/>
    <w:rsid w:val="00AF0895"/>
    <w:rsid w:val="00AF1C73"/>
    <w:rsid w:val="00B000F9"/>
    <w:rsid w:val="00B00AA5"/>
    <w:rsid w:val="00B02462"/>
    <w:rsid w:val="00B17402"/>
    <w:rsid w:val="00B336C1"/>
    <w:rsid w:val="00B346A6"/>
    <w:rsid w:val="00B370FA"/>
    <w:rsid w:val="00B4370E"/>
    <w:rsid w:val="00B45FCD"/>
    <w:rsid w:val="00B50396"/>
    <w:rsid w:val="00B6147A"/>
    <w:rsid w:val="00B63DAB"/>
    <w:rsid w:val="00B65A7D"/>
    <w:rsid w:val="00B702C1"/>
    <w:rsid w:val="00B7148B"/>
    <w:rsid w:val="00B7305A"/>
    <w:rsid w:val="00B754E2"/>
    <w:rsid w:val="00B804A6"/>
    <w:rsid w:val="00B84356"/>
    <w:rsid w:val="00B914BE"/>
    <w:rsid w:val="00B95571"/>
    <w:rsid w:val="00BA09AB"/>
    <w:rsid w:val="00BA1412"/>
    <w:rsid w:val="00BA16BB"/>
    <w:rsid w:val="00BA6DAD"/>
    <w:rsid w:val="00BB3BFA"/>
    <w:rsid w:val="00BB4CDF"/>
    <w:rsid w:val="00BB4F10"/>
    <w:rsid w:val="00BB757A"/>
    <w:rsid w:val="00BC4148"/>
    <w:rsid w:val="00BC5EEE"/>
    <w:rsid w:val="00BE5A3D"/>
    <w:rsid w:val="00BE5CA6"/>
    <w:rsid w:val="00BF3ACB"/>
    <w:rsid w:val="00BF557A"/>
    <w:rsid w:val="00C03065"/>
    <w:rsid w:val="00C118DB"/>
    <w:rsid w:val="00C11FBD"/>
    <w:rsid w:val="00C13963"/>
    <w:rsid w:val="00C21515"/>
    <w:rsid w:val="00C30160"/>
    <w:rsid w:val="00C319AC"/>
    <w:rsid w:val="00C45D7B"/>
    <w:rsid w:val="00C56538"/>
    <w:rsid w:val="00C74377"/>
    <w:rsid w:val="00C806E1"/>
    <w:rsid w:val="00C86EB7"/>
    <w:rsid w:val="00C9708A"/>
    <w:rsid w:val="00CA4AC3"/>
    <w:rsid w:val="00CD47E1"/>
    <w:rsid w:val="00CD4B0B"/>
    <w:rsid w:val="00CD71F9"/>
    <w:rsid w:val="00CE53FF"/>
    <w:rsid w:val="00D018ED"/>
    <w:rsid w:val="00D053A1"/>
    <w:rsid w:val="00D0673B"/>
    <w:rsid w:val="00D075B2"/>
    <w:rsid w:val="00D11BEB"/>
    <w:rsid w:val="00D1448B"/>
    <w:rsid w:val="00D15746"/>
    <w:rsid w:val="00D22354"/>
    <w:rsid w:val="00D31F05"/>
    <w:rsid w:val="00D34960"/>
    <w:rsid w:val="00D52C0C"/>
    <w:rsid w:val="00D63CEC"/>
    <w:rsid w:val="00D72A02"/>
    <w:rsid w:val="00D72C0F"/>
    <w:rsid w:val="00D76346"/>
    <w:rsid w:val="00D8386E"/>
    <w:rsid w:val="00DA02A1"/>
    <w:rsid w:val="00DA1D6B"/>
    <w:rsid w:val="00DA30B0"/>
    <w:rsid w:val="00DA4652"/>
    <w:rsid w:val="00DB71CC"/>
    <w:rsid w:val="00DC2ACB"/>
    <w:rsid w:val="00DD1CE0"/>
    <w:rsid w:val="00DD2906"/>
    <w:rsid w:val="00DD3D0D"/>
    <w:rsid w:val="00DE69A7"/>
    <w:rsid w:val="00DF2643"/>
    <w:rsid w:val="00E02141"/>
    <w:rsid w:val="00E03903"/>
    <w:rsid w:val="00E155B6"/>
    <w:rsid w:val="00E32DBA"/>
    <w:rsid w:val="00E47CDD"/>
    <w:rsid w:val="00E501C7"/>
    <w:rsid w:val="00E61793"/>
    <w:rsid w:val="00E75115"/>
    <w:rsid w:val="00E75C9F"/>
    <w:rsid w:val="00E760F5"/>
    <w:rsid w:val="00E765BA"/>
    <w:rsid w:val="00E85EA3"/>
    <w:rsid w:val="00E86AA4"/>
    <w:rsid w:val="00E96929"/>
    <w:rsid w:val="00E96D3C"/>
    <w:rsid w:val="00E96F11"/>
    <w:rsid w:val="00EA001C"/>
    <w:rsid w:val="00EC38DD"/>
    <w:rsid w:val="00ED21F7"/>
    <w:rsid w:val="00ED685E"/>
    <w:rsid w:val="00ED7E6A"/>
    <w:rsid w:val="00ED7ED0"/>
    <w:rsid w:val="00EE273E"/>
    <w:rsid w:val="00EE517C"/>
    <w:rsid w:val="00EF5682"/>
    <w:rsid w:val="00EF7DCF"/>
    <w:rsid w:val="00F10931"/>
    <w:rsid w:val="00F14192"/>
    <w:rsid w:val="00F14DF8"/>
    <w:rsid w:val="00F24B84"/>
    <w:rsid w:val="00F27567"/>
    <w:rsid w:val="00F36491"/>
    <w:rsid w:val="00F46B9C"/>
    <w:rsid w:val="00F543F4"/>
    <w:rsid w:val="00F678D9"/>
    <w:rsid w:val="00F7155A"/>
    <w:rsid w:val="00F75840"/>
    <w:rsid w:val="00F77374"/>
    <w:rsid w:val="00F82DD4"/>
    <w:rsid w:val="00F84052"/>
    <w:rsid w:val="00F85A0E"/>
    <w:rsid w:val="00F863CA"/>
    <w:rsid w:val="00F97581"/>
    <w:rsid w:val="00FA2080"/>
    <w:rsid w:val="00FA4B0D"/>
    <w:rsid w:val="00FA795E"/>
    <w:rsid w:val="00FC69AB"/>
    <w:rsid w:val="00FD07D3"/>
    <w:rsid w:val="00FE16CC"/>
    <w:rsid w:val="00FE1D26"/>
    <w:rsid w:val="012D9FF7"/>
    <w:rsid w:val="017EE9DA"/>
    <w:rsid w:val="01A7A6A5"/>
    <w:rsid w:val="01D2B508"/>
    <w:rsid w:val="02016BD3"/>
    <w:rsid w:val="0202D7B3"/>
    <w:rsid w:val="0208BC69"/>
    <w:rsid w:val="0214148F"/>
    <w:rsid w:val="02235876"/>
    <w:rsid w:val="0233DF8C"/>
    <w:rsid w:val="02383D4A"/>
    <w:rsid w:val="0253E17A"/>
    <w:rsid w:val="026700D7"/>
    <w:rsid w:val="026C9D74"/>
    <w:rsid w:val="027592AD"/>
    <w:rsid w:val="027B2C8C"/>
    <w:rsid w:val="027F043E"/>
    <w:rsid w:val="02847321"/>
    <w:rsid w:val="02930A08"/>
    <w:rsid w:val="02A18C3D"/>
    <w:rsid w:val="02AC025F"/>
    <w:rsid w:val="02AFEEBE"/>
    <w:rsid w:val="02D383C4"/>
    <w:rsid w:val="02D3F4C1"/>
    <w:rsid w:val="02E8E6A5"/>
    <w:rsid w:val="030B989C"/>
    <w:rsid w:val="032C2DF5"/>
    <w:rsid w:val="032D6910"/>
    <w:rsid w:val="03BB911C"/>
    <w:rsid w:val="03CE9B39"/>
    <w:rsid w:val="0434C8C1"/>
    <w:rsid w:val="04655E31"/>
    <w:rsid w:val="048AA0EF"/>
    <w:rsid w:val="04E5F83B"/>
    <w:rsid w:val="04EF214E"/>
    <w:rsid w:val="04F6C47E"/>
    <w:rsid w:val="0536F846"/>
    <w:rsid w:val="054BD1F7"/>
    <w:rsid w:val="059FA559"/>
    <w:rsid w:val="05B34069"/>
    <w:rsid w:val="05DEF1BF"/>
    <w:rsid w:val="05E44531"/>
    <w:rsid w:val="05F7C142"/>
    <w:rsid w:val="05FDC6FE"/>
    <w:rsid w:val="05FDF7D0"/>
    <w:rsid w:val="06036492"/>
    <w:rsid w:val="0604B809"/>
    <w:rsid w:val="060F8365"/>
    <w:rsid w:val="064F6930"/>
    <w:rsid w:val="0651633F"/>
    <w:rsid w:val="0662864F"/>
    <w:rsid w:val="0668F241"/>
    <w:rsid w:val="0693C9AA"/>
    <w:rsid w:val="06A21EFD"/>
    <w:rsid w:val="06D8F9AB"/>
    <w:rsid w:val="06DCD066"/>
    <w:rsid w:val="06FB0E94"/>
    <w:rsid w:val="06FBBDBB"/>
    <w:rsid w:val="070C8221"/>
    <w:rsid w:val="0718DF0C"/>
    <w:rsid w:val="0723AE23"/>
    <w:rsid w:val="073B75BA"/>
    <w:rsid w:val="078643CA"/>
    <w:rsid w:val="079B7C02"/>
    <w:rsid w:val="07A8B25E"/>
    <w:rsid w:val="07D75F41"/>
    <w:rsid w:val="07FF8E05"/>
    <w:rsid w:val="085F4080"/>
    <w:rsid w:val="086114AF"/>
    <w:rsid w:val="08BE54C4"/>
    <w:rsid w:val="08C2B69B"/>
    <w:rsid w:val="08CA59C2"/>
    <w:rsid w:val="08D1EC91"/>
    <w:rsid w:val="08F03F60"/>
    <w:rsid w:val="08FDA6BE"/>
    <w:rsid w:val="0908EBCE"/>
    <w:rsid w:val="091A4A4C"/>
    <w:rsid w:val="09AA6D77"/>
    <w:rsid w:val="09CB3AE4"/>
    <w:rsid w:val="09EDC368"/>
    <w:rsid w:val="0A0C4ACA"/>
    <w:rsid w:val="0A4D01C6"/>
    <w:rsid w:val="0A5B9BD5"/>
    <w:rsid w:val="0A9711A6"/>
    <w:rsid w:val="0A9AC717"/>
    <w:rsid w:val="0B16BD44"/>
    <w:rsid w:val="0B1D2696"/>
    <w:rsid w:val="0B463DD8"/>
    <w:rsid w:val="0B6752FC"/>
    <w:rsid w:val="0B874A27"/>
    <w:rsid w:val="0B8F247E"/>
    <w:rsid w:val="0B98B571"/>
    <w:rsid w:val="0BA49B81"/>
    <w:rsid w:val="0BAD7D18"/>
    <w:rsid w:val="0BB6941A"/>
    <w:rsid w:val="0BC49ABF"/>
    <w:rsid w:val="0BE8D227"/>
    <w:rsid w:val="0BEE44F8"/>
    <w:rsid w:val="0BF9E8E3"/>
    <w:rsid w:val="0C1C19E8"/>
    <w:rsid w:val="0C1D48A6"/>
    <w:rsid w:val="0C3A1FF2"/>
    <w:rsid w:val="0C427BC1"/>
    <w:rsid w:val="0C4C0A64"/>
    <w:rsid w:val="0C75D4A8"/>
    <w:rsid w:val="0C82ABA3"/>
    <w:rsid w:val="0C932756"/>
    <w:rsid w:val="0CB8F6F7"/>
    <w:rsid w:val="0CE9B73C"/>
    <w:rsid w:val="0D08CCA2"/>
    <w:rsid w:val="0D9E504F"/>
    <w:rsid w:val="0D9EC1EC"/>
    <w:rsid w:val="0DB37C9D"/>
    <w:rsid w:val="0DB3D60D"/>
    <w:rsid w:val="0DC09547"/>
    <w:rsid w:val="0DCD6438"/>
    <w:rsid w:val="0DCEB268"/>
    <w:rsid w:val="0DCF7838"/>
    <w:rsid w:val="0E4B7FEA"/>
    <w:rsid w:val="0E5EF40B"/>
    <w:rsid w:val="0E70060E"/>
    <w:rsid w:val="0E7CA512"/>
    <w:rsid w:val="0E814F00"/>
    <w:rsid w:val="0E8A25BC"/>
    <w:rsid w:val="0EAA9894"/>
    <w:rsid w:val="0EB3E3B6"/>
    <w:rsid w:val="0ED1AF45"/>
    <w:rsid w:val="0ED4040A"/>
    <w:rsid w:val="0EDECD0A"/>
    <w:rsid w:val="0EE754AD"/>
    <w:rsid w:val="0F049594"/>
    <w:rsid w:val="0F270B63"/>
    <w:rsid w:val="0F5F55BB"/>
    <w:rsid w:val="0F7A62B6"/>
    <w:rsid w:val="0F7D36EF"/>
    <w:rsid w:val="0F809D74"/>
    <w:rsid w:val="0F8AC9EA"/>
    <w:rsid w:val="0FDE1661"/>
    <w:rsid w:val="100B3321"/>
    <w:rsid w:val="1021540B"/>
    <w:rsid w:val="10226D9C"/>
    <w:rsid w:val="10942DE2"/>
    <w:rsid w:val="10AC5A4D"/>
    <w:rsid w:val="10C4C0E1"/>
    <w:rsid w:val="10C7E213"/>
    <w:rsid w:val="10E65279"/>
    <w:rsid w:val="10FB261C"/>
    <w:rsid w:val="110718FA"/>
    <w:rsid w:val="11190750"/>
    <w:rsid w:val="11334221"/>
    <w:rsid w:val="1167A69A"/>
    <w:rsid w:val="11A1F5E8"/>
    <w:rsid w:val="11AB310D"/>
    <w:rsid w:val="11B7181A"/>
    <w:rsid w:val="11BD246C"/>
    <w:rsid w:val="11E58BD1"/>
    <w:rsid w:val="120F8F87"/>
    <w:rsid w:val="12113630"/>
    <w:rsid w:val="1287C360"/>
    <w:rsid w:val="1289CBDC"/>
    <w:rsid w:val="12CA6A1F"/>
    <w:rsid w:val="12F39613"/>
    <w:rsid w:val="1316F058"/>
    <w:rsid w:val="131D48D9"/>
    <w:rsid w:val="134FB828"/>
    <w:rsid w:val="13504436"/>
    <w:rsid w:val="137B4818"/>
    <w:rsid w:val="138256C9"/>
    <w:rsid w:val="13AED2D5"/>
    <w:rsid w:val="13D02F1F"/>
    <w:rsid w:val="13FC56FC"/>
    <w:rsid w:val="1433639B"/>
    <w:rsid w:val="143DF3EC"/>
    <w:rsid w:val="145B1E7E"/>
    <w:rsid w:val="148E2DEC"/>
    <w:rsid w:val="14A3DF00"/>
    <w:rsid w:val="14C6E87B"/>
    <w:rsid w:val="14C7D4AA"/>
    <w:rsid w:val="14DC7FE7"/>
    <w:rsid w:val="15069038"/>
    <w:rsid w:val="152C7AAF"/>
    <w:rsid w:val="15486807"/>
    <w:rsid w:val="15538619"/>
    <w:rsid w:val="1564D90B"/>
    <w:rsid w:val="15D28B41"/>
    <w:rsid w:val="15DD16F7"/>
    <w:rsid w:val="164A0D83"/>
    <w:rsid w:val="16AC59D8"/>
    <w:rsid w:val="16E43868"/>
    <w:rsid w:val="16EA9882"/>
    <w:rsid w:val="1740BF08"/>
    <w:rsid w:val="1744E915"/>
    <w:rsid w:val="1792008C"/>
    <w:rsid w:val="179A7C30"/>
    <w:rsid w:val="17AB8423"/>
    <w:rsid w:val="17DE82CA"/>
    <w:rsid w:val="17E5DDE4"/>
    <w:rsid w:val="17EE6F50"/>
    <w:rsid w:val="183E05B7"/>
    <w:rsid w:val="1877331E"/>
    <w:rsid w:val="18B8EE13"/>
    <w:rsid w:val="18C42D03"/>
    <w:rsid w:val="18DE018D"/>
    <w:rsid w:val="18F293BF"/>
    <w:rsid w:val="18F49695"/>
    <w:rsid w:val="19201B9E"/>
    <w:rsid w:val="1977ED15"/>
    <w:rsid w:val="197BC704"/>
    <w:rsid w:val="197CF80E"/>
    <w:rsid w:val="199CD10C"/>
    <w:rsid w:val="19C8047B"/>
    <w:rsid w:val="19CC9D58"/>
    <w:rsid w:val="19CF6009"/>
    <w:rsid w:val="19EBC0B8"/>
    <w:rsid w:val="1A259B3E"/>
    <w:rsid w:val="1A2BE94D"/>
    <w:rsid w:val="1A31EF4A"/>
    <w:rsid w:val="1A513FBA"/>
    <w:rsid w:val="1A5192F2"/>
    <w:rsid w:val="1A6D5571"/>
    <w:rsid w:val="1A78D748"/>
    <w:rsid w:val="1AB31AAC"/>
    <w:rsid w:val="1ABA8E23"/>
    <w:rsid w:val="1B03AAA7"/>
    <w:rsid w:val="1B0824DF"/>
    <w:rsid w:val="1B20E71A"/>
    <w:rsid w:val="1B229D89"/>
    <w:rsid w:val="1B261F83"/>
    <w:rsid w:val="1B6DF069"/>
    <w:rsid w:val="1BD924CB"/>
    <w:rsid w:val="1C0BA86C"/>
    <w:rsid w:val="1C28386A"/>
    <w:rsid w:val="1C2A3481"/>
    <w:rsid w:val="1C45F81F"/>
    <w:rsid w:val="1C4F2132"/>
    <w:rsid w:val="1C51EB44"/>
    <w:rsid w:val="1C5CE4CA"/>
    <w:rsid w:val="1CD7A9FB"/>
    <w:rsid w:val="1CDF57C3"/>
    <w:rsid w:val="1D05C80F"/>
    <w:rsid w:val="1D0D9327"/>
    <w:rsid w:val="1D2600A5"/>
    <w:rsid w:val="1D5CF105"/>
    <w:rsid w:val="1D64B7ED"/>
    <w:rsid w:val="1D835413"/>
    <w:rsid w:val="1DF1CC5A"/>
    <w:rsid w:val="1DF78A58"/>
    <w:rsid w:val="1E0A0A74"/>
    <w:rsid w:val="1E2D0145"/>
    <w:rsid w:val="1E36AE19"/>
    <w:rsid w:val="1E38F59C"/>
    <w:rsid w:val="1E38F98F"/>
    <w:rsid w:val="1E4B3DF9"/>
    <w:rsid w:val="1E689B79"/>
    <w:rsid w:val="1E7CA36F"/>
    <w:rsid w:val="1E8F0EAF"/>
    <w:rsid w:val="1EA96388"/>
    <w:rsid w:val="1F19B0AB"/>
    <w:rsid w:val="1F1A34F0"/>
    <w:rsid w:val="1F51320E"/>
    <w:rsid w:val="1FB70C93"/>
    <w:rsid w:val="1FB9DE41"/>
    <w:rsid w:val="1FBEC17D"/>
    <w:rsid w:val="2080D860"/>
    <w:rsid w:val="20B0E11F"/>
    <w:rsid w:val="210092E7"/>
    <w:rsid w:val="2103AF7D"/>
    <w:rsid w:val="212F5444"/>
    <w:rsid w:val="2133CE51"/>
    <w:rsid w:val="217E73E5"/>
    <w:rsid w:val="21B1788B"/>
    <w:rsid w:val="220110CA"/>
    <w:rsid w:val="220D9A81"/>
    <w:rsid w:val="221A8A2E"/>
    <w:rsid w:val="22659F47"/>
    <w:rsid w:val="2270F497"/>
    <w:rsid w:val="228006BA"/>
    <w:rsid w:val="228B5F35"/>
    <w:rsid w:val="22D7B935"/>
    <w:rsid w:val="22E9C233"/>
    <w:rsid w:val="22EF8031"/>
    <w:rsid w:val="2307F23F"/>
    <w:rsid w:val="2311A763"/>
    <w:rsid w:val="2338CDF1"/>
    <w:rsid w:val="23667149"/>
    <w:rsid w:val="23987522"/>
    <w:rsid w:val="239C80BD"/>
    <w:rsid w:val="23BB5172"/>
    <w:rsid w:val="23C98A8C"/>
    <w:rsid w:val="23DBB139"/>
    <w:rsid w:val="23F82200"/>
    <w:rsid w:val="240924C6"/>
    <w:rsid w:val="2411E9BB"/>
    <w:rsid w:val="2467810F"/>
    <w:rsid w:val="24790E65"/>
    <w:rsid w:val="24794BF8"/>
    <w:rsid w:val="24A2FC8D"/>
    <w:rsid w:val="24A6B4F8"/>
    <w:rsid w:val="24BA18A2"/>
    <w:rsid w:val="24C6928D"/>
    <w:rsid w:val="24FD9E73"/>
    <w:rsid w:val="24FE5033"/>
    <w:rsid w:val="250F4FFF"/>
    <w:rsid w:val="25150075"/>
    <w:rsid w:val="252BF58A"/>
    <w:rsid w:val="2572C8FD"/>
    <w:rsid w:val="25904849"/>
    <w:rsid w:val="25CB2C2C"/>
    <w:rsid w:val="25E34742"/>
    <w:rsid w:val="25E71B18"/>
    <w:rsid w:val="25F6E5CF"/>
    <w:rsid w:val="26134F8C"/>
    <w:rsid w:val="26422C5D"/>
    <w:rsid w:val="264F9182"/>
    <w:rsid w:val="2651E508"/>
    <w:rsid w:val="26549F1E"/>
    <w:rsid w:val="265BBD4A"/>
    <w:rsid w:val="26826DE7"/>
    <w:rsid w:val="2684E9AE"/>
    <w:rsid w:val="2689A3D9"/>
    <w:rsid w:val="269E120B"/>
    <w:rsid w:val="26E73848"/>
    <w:rsid w:val="271955E8"/>
    <w:rsid w:val="27427CDA"/>
    <w:rsid w:val="277A7DA1"/>
    <w:rsid w:val="27A30FD5"/>
    <w:rsid w:val="27AE9E60"/>
    <w:rsid w:val="27CC7357"/>
    <w:rsid w:val="281AD05A"/>
    <w:rsid w:val="2835F0F5"/>
    <w:rsid w:val="283DDE7B"/>
    <w:rsid w:val="2843B8AA"/>
    <w:rsid w:val="2847EE05"/>
    <w:rsid w:val="286EEC67"/>
    <w:rsid w:val="2884ECA8"/>
    <w:rsid w:val="28A79F6D"/>
    <w:rsid w:val="28D0A5ED"/>
    <w:rsid w:val="28D4B112"/>
    <w:rsid w:val="28F6F071"/>
    <w:rsid w:val="292EB267"/>
    <w:rsid w:val="2935F5C6"/>
    <w:rsid w:val="293F564C"/>
    <w:rsid w:val="29560376"/>
    <w:rsid w:val="2976F9BD"/>
    <w:rsid w:val="297CBE80"/>
    <w:rsid w:val="2980E8E7"/>
    <w:rsid w:val="2988B928"/>
    <w:rsid w:val="2996ACE1"/>
    <w:rsid w:val="29A01638"/>
    <w:rsid w:val="29BF5616"/>
    <w:rsid w:val="29C0867F"/>
    <w:rsid w:val="29EFCBCD"/>
    <w:rsid w:val="2A101EBE"/>
    <w:rsid w:val="2A54D695"/>
    <w:rsid w:val="2A6CEF4B"/>
    <w:rsid w:val="2AB210A1"/>
    <w:rsid w:val="2AD68415"/>
    <w:rsid w:val="2ADDFAE6"/>
    <w:rsid w:val="2AF5EC11"/>
    <w:rsid w:val="2B37FCBF"/>
    <w:rsid w:val="2B82BE05"/>
    <w:rsid w:val="2B8F1937"/>
    <w:rsid w:val="2B9A4DB3"/>
    <w:rsid w:val="2BBE8FAD"/>
    <w:rsid w:val="2BCFDCD5"/>
    <w:rsid w:val="2BF53717"/>
    <w:rsid w:val="2BF87C60"/>
    <w:rsid w:val="2C088EB5"/>
    <w:rsid w:val="2C272FEE"/>
    <w:rsid w:val="2C64AB10"/>
    <w:rsid w:val="2C7ADDBB"/>
    <w:rsid w:val="2C7CE4F8"/>
    <w:rsid w:val="2CA7318D"/>
    <w:rsid w:val="2CA9F69C"/>
    <w:rsid w:val="2CC546F9"/>
    <w:rsid w:val="2CEE20BA"/>
    <w:rsid w:val="2D0E8B66"/>
    <w:rsid w:val="2D224F6A"/>
    <w:rsid w:val="2D332012"/>
    <w:rsid w:val="2D40E40C"/>
    <w:rsid w:val="2D51987E"/>
    <w:rsid w:val="2D5E9C08"/>
    <w:rsid w:val="2D8B157E"/>
    <w:rsid w:val="2D8F7818"/>
    <w:rsid w:val="2D99FA10"/>
    <w:rsid w:val="2DE9B6A0"/>
    <w:rsid w:val="2DFE5D0E"/>
    <w:rsid w:val="2E1FF0AB"/>
    <w:rsid w:val="2EA1366A"/>
    <w:rsid w:val="2F2999D0"/>
    <w:rsid w:val="2FAE21BA"/>
    <w:rsid w:val="2FB34A45"/>
    <w:rsid w:val="2FCD335C"/>
    <w:rsid w:val="2FDACB09"/>
    <w:rsid w:val="2FDED24F"/>
    <w:rsid w:val="30191A78"/>
    <w:rsid w:val="30358010"/>
    <w:rsid w:val="3048F060"/>
    <w:rsid w:val="30532182"/>
    <w:rsid w:val="305823A3"/>
    <w:rsid w:val="3066D4A2"/>
    <w:rsid w:val="309003A1"/>
    <w:rsid w:val="3090728C"/>
    <w:rsid w:val="3090DFD7"/>
    <w:rsid w:val="30944A16"/>
    <w:rsid w:val="30B99006"/>
    <w:rsid w:val="30C69A9A"/>
    <w:rsid w:val="30CC39CE"/>
    <w:rsid w:val="30CE7F71"/>
    <w:rsid w:val="30CEAB41"/>
    <w:rsid w:val="30D6C810"/>
    <w:rsid w:val="30E3DB33"/>
    <w:rsid w:val="3140D8F8"/>
    <w:rsid w:val="316E714B"/>
    <w:rsid w:val="31CB9864"/>
    <w:rsid w:val="32885AA2"/>
    <w:rsid w:val="32AFB1A3"/>
    <w:rsid w:val="32B60E4F"/>
    <w:rsid w:val="32E5C27C"/>
    <w:rsid w:val="3314EC2D"/>
    <w:rsid w:val="3328DF82"/>
    <w:rsid w:val="333B8519"/>
    <w:rsid w:val="333EB3D7"/>
    <w:rsid w:val="33854D07"/>
    <w:rsid w:val="339190EE"/>
    <w:rsid w:val="33981A38"/>
    <w:rsid w:val="33ACEAB1"/>
    <w:rsid w:val="33B06CD6"/>
    <w:rsid w:val="33D09088"/>
    <w:rsid w:val="33D0F5D9"/>
    <w:rsid w:val="33EBF409"/>
    <w:rsid w:val="33F966EE"/>
    <w:rsid w:val="34029C12"/>
    <w:rsid w:val="341F571B"/>
    <w:rsid w:val="34487955"/>
    <w:rsid w:val="3465C7F3"/>
    <w:rsid w:val="347609D2"/>
    <w:rsid w:val="347A0C5C"/>
    <w:rsid w:val="348F322F"/>
    <w:rsid w:val="34C80F67"/>
    <w:rsid w:val="351CFED7"/>
    <w:rsid w:val="35316311"/>
    <w:rsid w:val="3549392A"/>
    <w:rsid w:val="35839581"/>
    <w:rsid w:val="358A7DF9"/>
    <w:rsid w:val="35B230D6"/>
    <w:rsid w:val="35EFC30D"/>
    <w:rsid w:val="35F3000A"/>
    <w:rsid w:val="35FAC557"/>
    <w:rsid w:val="3612D09D"/>
    <w:rsid w:val="36199F80"/>
    <w:rsid w:val="36384D15"/>
    <w:rsid w:val="3647E236"/>
    <w:rsid w:val="36A15543"/>
    <w:rsid w:val="36B3C804"/>
    <w:rsid w:val="3731D577"/>
    <w:rsid w:val="37333A06"/>
    <w:rsid w:val="37353138"/>
    <w:rsid w:val="37A40751"/>
    <w:rsid w:val="37E44957"/>
    <w:rsid w:val="38081671"/>
    <w:rsid w:val="38086495"/>
    <w:rsid w:val="380BC6B9"/>
    <w:rsid w:val="3843C919"/>
    <w:rsid w:val="385473E2"/>
    <w:rsid w:val="3854CE52"/>
    <w:rsid w:val="38674AA4"/>
    <w:rsid w:val="386D9C3F"/>
    <w:rsid w:val="38796926"/>
    <w:rsid w:val="39087449"/>
    <w:rsid w:val="39168A4B"/>
    <w:rsid w:val="39211819"/>
    <w:rsid w:val="394C0C56"/>
    <w:rsid w:val="395A4570"/>
    <w:rsid w:val="397F8E40"/>
    <w:rsid w:val="3981A773"/>
    <w:rsid w:val="3A153987"/>
    <w:rsid w:val="3A60724C"/>
    <w:rsid w:val="3A6509F0"/>
    <w:rsid w:val="3AAA6E1A"/>
    <w:rsid w:val="3AC83EF0"/>
    <w:rsid w:val="3AD50977"/>
    <w:rsid w:val="3AD9B163"/>
    <w:rsid w:val="3AE54B56"/>
    <w:rsid w:val="3B069ECC"/>
    <w:rsid w:val="3B10A782"/>
    <w:rsid w:val="3B33F955"/>
    <w:rsid w:val="3B4691CD"/>
    <w:rsid w:val="3B5B3D91"/>
    <w:rsid w:val="3B949518"/>
    <w:rsid w:val="3B9782C1"/>
    <w:rsid w:val="3B9907DA"/>
    <w:rsid w:val="3BB6E711"/>
    <w:rsid w:val="3BBB7854"/>
    <w:rsid w:val="3BD2A57E"/>
    <w:rsid w:val="3BFF7CDF"/>
    <w:rsid w:val="3C3030D5"/>
    <w:rsid w:val="3C5B9639"/>
    <w:rsid w:val="3CB7BA7A"/>
    <w:rsid w:val="3CC6E826"/>
    <w:rsid w:val="3CC782E2"/>
    <w:rsid w:val="3CF19E68"/>
    <w:rsid w:val="3CFD5A77"/>
    <w:rsid w:val="3D140D82"/>
    <w:rsid w:val="3D1AB1FA"/>
    <w:rsid w:val="3D237759"/>
    <w:rsid w:val="3D27E505"/>
    <w:rsid w:val="3D4745A8"/>
    <w:rsid w:val="3D5EAFC2"/>
    <w:rsid w:val="3D7DAF71"/>
    <w:rsid w:val="3D847C7E"/>
    <w:rsid w:val="3D98ED07"/>
    <w:rsid w:val="3DCE7F9F"/>
    <w:rsid w:val="3DE4E992"/>
    <w:rsid w:val="3E0D7A4D"/>
    <w:rsid w:val="3E22792B"/>
    <w:rsid w:val="3E2EF8D8"/>
    <w:rsid w:val="3E387DE0"/>
    <w:rsid w:val="3E6B0685"/>
    <w:rsid w:val="3E7435FE"/>
    <w:rsid w:val="3EC3B566"/>
    <w:rsid w:val="3EDB6AEF"/>
    <w:rsid w:val="3F3FBD9A"/>
    <w:rsid w:val="3F42791D"/>
    <w:rsid w:val="3F55DCE8"/>
    <w:rsid w:val="3F57E411"/>
    <w:rsid w:val="3F9471B8"/>
    <w:rsid w:val="3FC42422"/>
    <w:rsid w:val="3FC44584"/>
    <w:rsid w:val="3FC4B927"/>
    <w:rsid w:val="3FE3DE63"/>
    <w:rsid w:val="3FF0E8F7"/>
    <w:rsid w:val="4006376B"/>
    <w:rsid w:val="401AC5DB"/>
    <w:rsid w:val="4036D28D"/>
    <w:rsid w:val="40409BF8"/>
    <w:rsid w:val="40792C8A"/>
    <w:rsid w:val="409F5630"/>
    <w:rsid w:val="40F46D5C"/>
    <w:rsid w:val="40F5E6C1"/>
    <w:rsid w:val="412B1901"/>
    <w:rsid w:val="417A9C8F"/>
    <w:rsid w:val="41AFD5F9"/>
    <w:rsid w:val="41B2A93C"/>
    <w:rsid w:val="41D86CD5"/>
    <w:rsid w:val="424DEF23"/>
    <w:rsid w:val="425AF0EF"/>
    <w:rsid w:val="426C5E2A"/>
    <w:rsid w:val="42775E5C"/>
    <w:rsid w:val="42A6AFD1"/>
    <w:rsid w:val="42BFF813"/>
    <w:rsid w:val="42E27CDF"/>
    <w:rsid w:val="4308255F"/>
    <w:rsid w:val="4327776F"/>
    <w:rsid w:val="432E9352"/>
    <w:rsid w:val="43485D10"/>
    <w:rsid w:val="4376B391"/>
    <w:rsid w:val="438E8C5B"/>
    <w:rsid w:val="43EF062E"/>
    <w:rsid w:val="43F73022"/>
    <w:rsid w:val="43FCC1E3"/>
    <w:rsid w:val="43FF0B5D"/>
    <w:rsid w:val="442031F1"/>
    <w:rsid w:val="446961FC"/>
    <w:rsid w:val="446D1216"/>
    <w:rsid w:val="447DE847"/>
    <w:rsid w:val="44A90796"/>
    <w:rsid w:val="44B8EEDA"/>
    <w:rsid w:val="44BAD080"/>
    <w:rsid w:val="44DEC8F5"/>
    <w:rsid w:val="44E3990A"/>
    <w:rsid w:val="44EDFC24"/>
    <w:rsid w:val="450D2582"/>
    <w:rsid w:val="4516B70F"/>
    <w:rsid w:val="45278424"/>
    <w:rsid w:val="4534A38A"/>
    <w:rsid w:val="453C1048"/>
    <w:rsid w:val="454B14A0"/>
    <w:rsid w:val="455CCC18"/>
    <w:rsid w:val="4564AF1D"/>
    <w:rsid w:val="45759B8C"/>
    <w:rsid w:val="459CEDE7"/>
    <w:rsid w:val="45C9F538"/>
    <w:rsid w:val="4605325D"/>
    <w:rsid w:val="46053D7E"/>
    <w:rsid w:val="46237E94"/>
    <w:rsid w:val="46440DCF"/>
    <w:rsid w:val="4659D9AB"/>
    <w:rsid w:val="467C0D4B"/>
    <w:rsid w:val="468B751C"/>
    <w:rsid w:val="46B85006"/>
    <w:rsid w:val="46ED40ED"/>
    <w:rsid w:val="46F4F941"/>
    <w:rsid w:val="47528D0D"/>
    <w:rsid w:val="47A4F435"/>
    <w:rsid w:val="47A52F2A"/>
    <w:rsid w:val="47A6F806"/>
    <w:rsid w:val="47BB7A05"/>
    <w:rsid w:val="47F00385"/>
    <w:rsid w:val="47FC3D68"/>
    <w:rsid w:val="47FD415A"/>
    <w:rsid w:val="4807F584"/>
    <w:rsid w:val="4828A81E"/>
    <w:rsid w:val="483FC2DB"/>
    <w:rsid w:val="48AE4EC2"/>
    <w:rsid w:val="48CADBB6"/>
    <w:rsid w:val="48D03306"/>
    <w:rsid w:val="4925D33B"/>
    <w:rsid w:val="49292C52"/>
    <w:rsid w:val="49314CFD"/>
    <w:rsid w:val="49582CDF"/>
    <w:rsid w:val="495DBCA3"/>
    <w:rsid w:val="49A39E08"/>
    <w:rsid w:val="49D33184"/>
    <w:rsid w:val="49DE3A9A"/>
    <w:rsid w:val="49E22999"/>
    <w:rsid w:val="49E3832D"/>
    <w:rsid w:val="49FA65F0"/>
    <w:rsid w:val="4A06E404"/>
    <w:rsid w:val="4A198A0F"/>
    <w:rsid w:val="4A1AE3B8"/>
    <w:rsid w:val="4A32FE8A"/>
    <w:rsid w:val="4A3CC754"/>
    <w:rsid w:val="4A705F0A"/>
    <w:rsid w:val="4A7672F5"/>
    <w:rsid w:val="4A7951D3"/>
    <w:rsid w:val="4A87CB11"/>
    <w:rsid w:val="4ACDF0F0"/>
    <w:rsid w:val="4B01CC8D"/>
    <w:rsid w:val="4B17EA69"/>
    <w:rsid w:val="4B36A65A"/>
    <w:rsid w:val="4B581D99"/>
    <w:rsid w:val="4B5D0AD7"/>
    <w:rsid w:val="4B6048E0"/>
    <w:rsid w:val="4B6D5D16"/>
    <w:rsid w:val="4BEF3213"/>
    <w:rsid w:val="4BFC9A21"/>
    <w:rsid w:val="4C051845"/>
    <w:rsid w:val="4C380E81"/>
    <w:rsid w:val="4C5F3CFB"/>
    <w:rsid w:val="4C9A45A9"/>
    <w:rsid w:val="4CA0E928"/>
    <w:rsid w:val="4CAAF634"/>
    <w:rsid w:val="4CB7CEBC"/>
    <w:rsid w:val="4CC374A8"/>
    <w:rsid w:val="4D678514"/>
    <w:rsid w:val="4D7CC112"/>
    <w:rsid w:val="4D8F3BBC"/>
    <w:rsid w:val="4DB7A686"/>
    <w:rsid w:val="4DD29B27"/>
    <w:rsid w:val="4DE2C785"/>
    <w:rsid w:val="4E293194"/>
    <w:rsid w:val="4E4ADB2F"/>
    <w:rsid w:val="4E95DC02"/>
    <w:rsid w:val="4E99074C"/>
    <w:rsid w:val="4EC361EB"/>
    <w:rsid w:val="4ED565E0"/>
    <w:rsid w:val="4F13BDF4"/>
    <w:rsid w:val="4F1677D3"/>
    <w:rsid w:val="4F188D80"/>
    <w:rsid w:val="4F197283"/>
    <w:rsid w:val="4F287229"/>
    <w:rsid w:val="4F2AA7D0"/>
    <w:rsid w:val="4F4CB32A"/>
    <w:rsid w:val="4F515FE2"/>
    <w:rsid w:val="4F94C912"/>
    <w:rsid w:val="4F9AD9CC"/>
    <w:rsid w:val="4F9CF626"/>
    <w:rsid w:val="500A0CEE"/>
    <w:rsid w:val="50221E9F"/>
    <w:rsid w:val="5060010E"/>
    <w:rsid w:val="50668E47"/>
    <w:rsid w:val="509341B5"/>
    <w:rsid w:val="50AF568A"/>
    <w:rsid w:val="50DDAB48"/>
    <w:rsid w:val="50E3B4F7"/>
    <w:rsid w:val="51070BA9"/>
    <w:rsid w:val="5121C2B7"/>
    <w:rsid w:val="5139B0F4"/>
    <w:rsid w:val="5142A5D2"/>
    <w:rsid w:val="514FD28A"/>
    <w:rsid w:val="515975CD"/>
    <w:rsid w:val="51F037A9"/>
    <w:rsid w:val="51FB13DE"/>
    <w:rsid w:val="52006AD2"/>
    <w:rsid w:val="523CD473"/>
    <w:rsid w:val="52541E94"/>
    <w:rsid w:val="525B3AB7"/>
    <w:rsid w:val="5269D92E"/>
    <w:rsid w:val="52797BA9"/>
    <w:rsid w:val="528B17A9"/>
    <w:rsid w:val="5299CD7A"/>
    <w:rsid w:val="52A113D9"/>
    <w:rsid w:val="52AAFDA1"/>
    <w:rsid w:val="52CE4116"/>
    <w:rsid w:val="52E7748D"/>
    <w:rsid w:val="52EC77F8"/>
    <w:rsid w:val="5347B4E0"/>
    <w:rsid w:val="5355E191"/>
    <w:rsid w:val="539ADA61"/>
    <w:rsid w:val="53CAB6EA"/>
    <w:rsid w:val="53DB69CF"/>
    <w:rsid w:val="53DE0824"/>
    <w:rsid w:val="53E40F37"/>
    <w:rsid w:val="53F656D8"/>
    <w:rsid w:val="540E40FD"/>
    <w:rsid w:val="5429365F"/>
    <w:rsid w:val="5439A1D5"/>
    <w:rsid w:val="548E1BDD"/>
    <w:rsid w:val="54A10D46"/>
    <w:rsid w:val="54CD0AE8"/>
    <w:rsid w:val="54F745C2"/>
    <w:rsid w:val="554D4A9E"/>
    <w:rsid w:val="55555282"/>
    <w:rsid w:val="5566874B"/>
    <w:rsid w:val="5580334F"/>
    <w:rsid w:val="55851715"/>
    <w:rsid w:val="55887507"/>
    <w:rsid w:val="55A3A379"/>
    <w:rsid w:val="55CC927B"/>
    <w:rsid w:val="563503D8"/>
    <w:rsid w:val="56403155"/>
    <w:rsid w:val="5661A115"/>
    <w:rsid w:val="5677EAFB"/>
    <w:rsid w:val="56A89C38"/>
    <w:rsid w:val="56BA97ED"/>
    <w:rsid w:val="56C9FE5F"/>
    <w:rsid w:val="56E65A8D"/>
    <w:rsid w:val="56F56B53"/>
    <w:rsid w:val="5743EF5E"/>
    <w:rsid w:val="574869CC"/>
    <w:rsid w:val="5757B386"/>
    <w:rsid w:val="578C3DEA"/>
    <w:rsid w:val="578F74B4"/>
    <w:rsid w:val="57A56647"/>
    <w:rsid w:val="57A9DD28"/>
    <w:rsid w:val="57CDFE4E"/>
    <w:rsid w:val="57CF645B"/>
    <w:rsid w:val="57F40A36"/>
    <w:rsid w:val="581773C7"/>
    <w:rsid w:val="585FCEF1"/>
    <w:rsid w:val="58794D3B"/>
    <w:rsid w:val="58848D20"/>
    <w:rsid w:val="5890A5E9"/>
    <w:rsid w:val="589870A3"/>
    <w:rsid w:val="589D9EF6"/>
    <w:rsid w:val="58C1EB26"/>
    <w:rsid w:val="58FB78F3"/>
    <w:rsid w:val="5941BC12"/>
    <w:rsid w:val="594D99EA"/>
    <w:rsid w:val="5977D217"/>
    <w:rsid w:val="59888AD8"/>
    <w:rsid w:val="59A67B8A"/>
    <w:rsid w:val="59F4F74D"/>
    <w:rsid w:val="59F55685"/>
    <w:rsid w:val="5A469586"/>
    <w:rsid w:val="5A8CB404"/>
    <w:rsid w:val="5A9CE729"/>
    <w:rsid w:val="5AA44CD7"/>
    <w:rsid w:val="5AC3F0E4"/>
    <w:rsid w:val="5AEDDE67"/>
    <w:rsid w:val="5AF7266D"/>
    <w:rsid w:val="5B025FD7"/>
    <w:rsid w:val="5B139D83"/>
    <w:rsid w:val="5B420F4B"/>
    <w:rsid w:val="5B46FF77"/>
    <w:rsid w:val="5B4D356E"/>
    <w:rsid w:val="5BA8E0AF"/>
    <w:rsid w:val="5C0400D4"/>
    <w:rsid w:val="5C1DF5BA"/>
    <w:rsid w:val="5C3054A6"/>
    <w:rsid w:val="5C455B9E"/>
    <w:rsid w:val="5C53EA62"/>
    <w:rsid w:val="5C6425EE"/>
    <w:rsid w:val="5CC20054"/>
    <w:rsid w:val="5CC41212"/>
    <w:rsid w:val="5CE381A0"/>
    <w:rsid w:val="5D0A24CE"/>
    <w:rsid w:val="5D25C862"/>
    <w:rsid w:val="5D34017C"/>
    <w:rsid w:val="5D522D41"/>
    <w:rsid w:val="5D9CAEC4"/>
    <w:rsid w:val="5DBAE6E1"/>
    <w:rsid w:val="5DC71FF5"/>
    <w:rsid w:val="5E02C1F5"/>
    <w:rsid w:val="5E1FA261"/>
    <w:rsid w:val="5E458F4E"/>
    <w:rsid w:val="5E6E2182"/>
    <w:rsid w:val="5E7B5658"/>
    <w:rsid w:val="5E8749DF"/>
    <w:rsid w:val="5EBCAC4E"/>
    <w:rsid w:val="5EC30F28"/>
    <w:rsid w:val="5ED998F7"/>
    <w:rsid w:val="5EE2B769"/>
    <w:rsid w:val="5F0EB29F"/>
    <w:rsid w:val="5F1E1C76"/>
    <w:rsid w:val="5F5D413E"/>
    <w:rsid w:val="5FEA3719"/>
    <w:rsid w:val="6003DFF3"/>
    <w:rsid w:val="60474AC3"/>
    <w:rsid w:val="605BDB7C"/>
    <w:rsid w:val="607A9284"/>
    <w:rsid w:val="609A3142"/>
    <w:rsid w:val="60A393D1"/>
    <w:rsid w:val="60AAD425"/>
    <w:rsid w:val="60C06A6B"/>
    <w:rsid w:val="60C2A4CB"/>
    <w:rsid w:val="60DA2696"/>
    <w:rsid w:val="60E55F04"/>
    <w:rsid w:val="6117D857"/>
    <w:rsid w:val="612A8D78"/>
    <w:rsid w:val="61317FEA"/>
    <w:rsid w:val="613C9616"/>
    <w:rsid w:val="614465AE"/>
    <w:rsid w:val="614EA384"/>
    <w:rsid w:val="617B0140"/>
    <w:rsid w:val="617D3010"/>
    <w:rsid w:val="61C234F0"/>
    <w:rsid w:val="61DE8380"/>
    <w:rsid w:val="61E19281"/>
    <w:rsid w:val="61E31B24"/>
    <w:rsid w:val="6255BD38"/>
    <w:rsid w:val="62B66722"/>
    <w:rsid w:val="62DBC94F"/>
    <w:rsid w:val="62E62338"/>
    <w:rsid w:val="635E0551"/>
    <w:rsid w:val="639813E2"/>
    <w:rsid w:val="639E5FAA"/>
    <w:rsid w:val="63F0EA8E"/>
    <w:rsid w:val="6411D3BF"/>
    <w:rsid w:val="642C553A"/>
    <w:rsid w:val="649E84AA"/>
    <w:rsid w:val="64AA4081"/>
    <w:rsid w:val="64AFC2D5"/>
    <w:rsid w:val="64D9592C"/>
    <w:rsid w:val="6518EB42"/>
    <w:rsid w:val="6520330A"/>
    <w:rsid w:val="6559F531"/>
    <w:rsid w:val="65619A7B"/>
    <w:rsid w:val="6581D4EF"/>
    <w:rsid w:val="65A5E34C"/>
    <w:rsid w:val="65AE47B1"/>
    <w:rsid w:val="65B45172"/>
    <w:rsid w:val="65CB9329"/>
    <w:rsid w:val="66067304"/>
    <w:rsid w:val="6617A026"/>
    <w:rsid w:val="66253D15"/>
    <w:rsid w:val="6631CFE3"/>
    <w:rsid w:val="66429463"/>
    <w:rsid w:val="66586D35"/>
    <w:rsid w:val="6688F0D2"/>
    <w:rsid w:val="668EFDD2"/>
    <w:rsid w:val="6695A613"/>
    <w:rsid w:val="66BDCECE"/>
    <w:rsid w:val="66BDE8FA"/>
    <w:rsid w:val="66D50BDB"/>
    <w:rsid w:val="670AAC0D"/>
    <w:rsid w:val="67268BCE"/>
    <w:rsid w:val="67292E5B"/>
    <w:rsid w:val="6753A995"/>
    <w:rsid w:val="6753CB05"/>
    <w:rsid w:val="676466C4"/>
    <w:rsid w:val="677C73E8"/>
    <w:rsid w:val="67E76F4C"/>
    <w:rsid w:val="6810F518"/>
    <w:rsid w:val="681461B8"/>
    <w:rsid w:val="682ACE33"/>
    <w:rsid w:val="682D891A"/>
    <w:rsid w:val="684F6458"/>
    <w:rsid w:val="68845614"/>
    <w:rsid w:val="688DC920"/>
    <w:rsid w:val="68D399C1"/>
    <w:rsid w:val="68E6722C"/>
    <w:rsid w:val="68FEE0F7"/>
    <w:rsid w:val="695118C9"/>
    <w:rsid w:val="69953FD6"/>
    <w:rsid w:val="69B4F02C"/>
    <w:rsid w:val="69C69E94"/>
    <w:rsid w:val="69F7FAD6"/>
    <w:rsid w:val="6A0AFD85"/>
    <w:rsid w:val="6A1F06CA"/>
    <w:rsid w:val="6A4B225E"/>
    <w:rsid w:val="6A566207"/>
    <w:rsid w:val="6A5D9AE3"/>
    <w:rsid w:val="6A5E2C90"/>
    <w:rsid w:val="6A5E5B6E"/>
    <w:rsid w:val="6A60291A"/>
    <w:rsid w:val="6A860428"/>
    <w:rsid w:val="6A9EAD67"/>
    <w:rsid w:val="6AAD8B43"/>
    <w:rsid w:val="6AE6A2F7"/>
    <w:rsid w:val="6AF6E896"/>
    <w:rsid w:val="6AFCB5E6"/>
    <w:rsid w:val="6B026164"/>
    <w:rsid w:val="6B21D70B"/>
    <w:rsid w:val="6B3413BE"/>
    <w:rsid w:val="6B39569F"/>
    <w:rsid w:val="6B6059C4"/>
    <w:rsid w:val="6B74738F"/>
    <w:rsid w:val="6B75DEBF"/>
    <w:rsid w:val="6B889FF8"/>
    <w:rsid w:val="6B913FF1"/>
    <w:rsid w:val="6BB2B680"/>
    <w:rsid w:val="6BBAD72B"/>
    <w:rsid w:val="6BC9A28D"/>
    <w:rsid w:val="6C1B5575"/>
    <w:rsid w:val="6C39961C"/>
    <w:rsid w:val="6C39E0A6"/>
    <w:rsid w:val="6CC445AD"/>
    <w:rsid w:val="6CC5FE18"/>
    <w:rsid w:val="6CD29E40"/>
    <w:rsid w:val="6CF9E938"/>
    <w:rsid w:val="6D06ECBD"/>
    <w:rsid w:val="6D06F8E5"/>
    <w:rsid w:val="6D22B84F"/>
    <w:rsid w:val="6D6822F6"/>
    <w:rsid w:val="6D70AC04"/>
    <w:rsid w:val="6D768223"/>
    <w:rsid w:val="6D84700D"/>
    <w:rsid w:val="6DA7AE85"/>
    <w:rsid w:val="6DA80E77"/>
    <w:rsid w:val="6DB50A51"/>
    <w:rsid w:val="6DB96A74"/>
    <w:rsid w:val="6DCA0784"/>
    <w:rsid w:val="6DF10B4B"/>
    <w:rsid w:val="6E15DCB0"/>
    <w:rsid w:val="6E51325E"/>
    <w:rsid w:val="6E716135"/>
    <w:rsid w:val="6E887684"/>
    <w:rsid w:val="6ED6D866"/>
    <w:rsid w:val="6EEBAD3C"/>
    <w:rsid w:val="6EFC80D5"/>
    <w:rsid w:val="6F28B735"/>
    <w:rsid w:val="6F363650"/>
    <w:rsid w:val="6F41DF92"/>
    <w:rsid w:val="6F519DF7"/>
    <w:rsid w:val="6F5D2094"/>
    <w:rsid w:val="6F61655C"/>
    <w:rsid w:val="6FAC61EE"/>
    <w:rsid w:val="6FAC8118"/>
    <w:rsid w:val="6FD7B6FD"/>
    <w:rsid w:val="6FF0BA21"/>
    <w:rsid w:val="702015AD"/>
    <w:rsid w:val="70263E1D"/>
    <w:rsid w:val="705016E0"/>
    <w:rsid w:val="708F1BE0"/>
    <w:rsid w:val="709FC3B8"/>
    <w:rsid w:val="70A4C2BD"/>
    <w:rsid w:val="70B79A55"/>
    <w:rsid w:val="70C48796"/>
    <w:rsid w:val="70CC337F"/>
    <w:rsid w:val="70D9EAD2"/>
    <w:rsid w:val="70E0B61B"/>
    <w:rsid w:val="71063891"/>
    <w:rsid w:val="71886D6F"/>
    <w:rsid w:val="718DAAE7"/>
    <w:rsid w:val="71B172BF"/>
    <w:rsid w:val="71B67EB1"/>
    <w:rsid w:val="71BAF80D"/>
    <w:rsid w:val="71C71946"/>
    <w:rsid w:val="71C7F998"/>
    <w:rsid w:val="71CCB9E4"/>
    <w:rsid w:val="720E8D45"/>
    <w:rsid w:val="72171921"/>
    <w:rsid w:val="723D06ED"/>
    <w:rsid w:val="723F55E1"/>
    <w:rsid w:val="725A8D1C"/>
    <w:rsid w:val="72798054"/>
    <w:rsid w:val="727BE9BF"/>
    <w:rsid w:val="7287E6F2"/>
    <w:rsid w:val="72A5AAB4"/>
    <w:rsid w:val="72AF34E5"/>
    <w:rsid w:val="72C82E53"/>
    <w:rsid w:val="72EF8BF5"/>
    <w:rsid w:val="7325023B"/>
    <w:rsid w:val="733A6D56"/>
    <w:rsid w:val="735D0168"/>
    <w:rsid w:val="735F00EA"/>
    <w:rsid w:val="73B62B17"/>
    <w:rsid w:val="73CE0FD2"/>
    <w:rsid w:val="73CE2A57"/>
    <w:rsid w:val="73D41C05"/>
    <w:rsid w:val="73DD4E2F"/>
    <w:rsid w:val="740B7884"/>
    <w:rsid w:val="7417BA20"/>
    <w:rsid w:val="7426EF64"/>
    <w:rsid w:val="74286AB5"/>
    <w:rsid w:val="74C9239C"/>
    <w:rsid w:val="74FAD14B"/>
    <w:rsid w:val="7513F9A8"/>
    <w:rsid w:val="7517923D"/>
    <w:rsid w:val="753BA944"/>
    <w:rsid w:val="754E338B"/>
    <w:rsid w:val="757D1A9F"/>
    <w:rsid w:val="75988BD1"/>
    <w:rsid w:val="75A272CE"/>
    <w:rsid w:val="75B38A81"/>
    <w:rsid w:val="75FB7D2C"/>
    <w:rsid w:val="76292855"/>
    <w:rsid w:val="76398C2D"/>
    <w:rsid w:val="765130E0"/>
    <w:rsid w:val="76718971"/>
    <w:rsid w:val="769E3073"/>
    <w:rsid w:val="76ABB735"/>
    <w:rsid w:val="76B7146C"/>
    <w:rsid w:val="7744A699"/>
    <w:rsid w:val="77534EE4"/>
    <w:rsid w:val="7770A29B"/>
    <w:rsid w:val="77805E74"/>
    <w:rsid w:val="778D93BE"/>
    <w:rsid w:val="77ABFA78"/>
    <w:rsid w:val="77FD043F"/>
    <w:rsid w:val="785BF56C"/>
    <w:rsid w:val="786D3248"/>
    <w:rsid w:val="7872FCDF"/>
    <w:rsid w:val="78816D0F"/>
    <w:rsid w:val="78AF5760"/>
    <w:rsid w:val="78B985C0"/>
    <w:rsid w:val="78EB2B43"/>
    <w:rsid w:val="7912B80C"/>
    <w:rsid w:val="7914F6FF"/>
    <w:rsid w:val="792B75F3"/>
    <w:rsid w:val="793EBDA6"/>
    <w:rsid w:val="797E740A"/>
    <w:rsid w:val="79A65345"/>
    <w:rsid w:val="79CE426E"/>
    <w:rsid w:val="79EC4BFC"/>
    <w:rsid w:val="79FF3123"/>
    <w:rsid w:val="7A4216FE"/>
    <w:rsid w:val="7A4BA8F6"/>
    <w:rsid w:val="7A8AB523"/>
    <w:rsid w:val="7AB61583"/>
    <w:rsid w:val="7AD225FA"/>
    <w:rsid w:val="7AE62DF0"/>
    <w:rsid w:val="7B14E442"/>
    <w:rsid w:val="7B28FB49"/>
    <w:rsid w:val="7B31544D"/>
    <w:rsid w:val="7B431EE4"/>
    <w:rsid w:val="7B51A719"/>
    <w:rsid w:val="7B9D713B"/>
    <w:rsid w:val="7BF69BB7"/>
    <w:rsid w:val="7C3915EB"/>
    <w:rsid w:val="7C3CC0DA"/>
    <w:rsid w:val="7C41BB66"/>
    <w:rsid w:val="7C81FE51"/>
    <w:rsid w:val="7CCA7F96"/>
    <w:rsid w:val="7CCB4752"/>
    <w:rsid w:val="7CD43581"/>
    <w:rsid w:val="7D0AA754"/>
    <w:rsid w:val="7D1BE9B4"/>
    <w:rsid w:val="7D360017"/>
    <w:rsid w:val="7D446485"/>
    <w:rsid w:val="7D6A1D68"/>
    <w:rsid w:val="7D74B8DC"/>
    <w:rsid w:val="7D807056"/>
    <w:rsid w:val="7D82EB94"/>
    <w:rsid w:val="7D83F30C"/>
    <w:rsid w:val="7DB17BDF"/>
    <w:rsid w:val="7DD8913B"/>
    <w:rsid w:val="7E100EAA"/>
    <w:rsid w:val="7E120473"/>
    <w:rsid w:val="7E1EFF1B"/>
    <w:rsid w:val="7E342B69"/>
    <w:rsid w:val="7EAEE5B6"/>
    <w:rsid w:val="7EAFF5EE"/>
    <w:rsid w:val="7ED532F7"/>
    <w:rsid w:val="7EE43D5D"/>
    <w:rsid w:val="7F18BE48"/>
    <w:rsid w:val="7F201FC5"/>
    <w:rsid w:val="7F5ED07D"/>
    <w:rsid w:val="7F6B9C5D"/>
    <w:rsid w:val="7F9A9D02"/>
    <w:rsid w:val="7FC241AA"/>
    <w:rsid w:val="7FE0BF23"/>
    <w:rsid w:val="7FE3F5E9"/>
    <w:rsid w:val="7FED8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C5CE4CA"/>
  <w15:chartTrackingRefBased/>
  <w15:docId w15:val="{80148292-ADCE-4A8F-84F9-C6D68281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493"/>
  </w:style>
  <w:style w:type="paragraph" w:styleId="Heading1">
    <w:name w:val="heading 1"/>
    <w:basedOn w:val="Normal"/>
    <w:next w:val="Normal"/>
    <w:link w:val="Heading1Char"/>
    <w:uiPriority w:val="9"/>
    <w:qFormat/>
    <w:rsid w:val="007E6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1"/>
    <w:qFormat/>
    <w:rsid w:val="00D15746"/>
    <w:pPr>
      <w:spacing w:after="240" w:line="240" w:lineRule="auto"/>
      <w:ind w:left="720" w:firstLine="432"/>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7E603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44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C44"/>
    <w:rPr>
      <w:rFonts w:ascii="Segoe UI" w:hAnsi="Segoe UI" w:cs="Segoe UI"/>
      <w:sz w:val="18"/>
      <w:szCs w:val="18"/>
    </w:rPr>
  </w:style>
  <w:style w:type="character" w:styleId="CommentReference">
    <w:name w:val="annotation reference"/>
    <w:basedOn w:val="DefaultParagraphFont"/>
    <w:uiPriority w:val="99"/>
    <w:semiHidden/>
    <w:unhideWhenUsed/>
    <w:rsid w:val="009D5423"/>
    <w:rPr>
      <w:sz w:val="16"/>
      <w:szCs w:val="16"/>
    </w:rPr>
  </w:style>
  <w:style w:type="paragraph" w:styleId="CommentText">
    <w:name w:val="annotation text"/>
    <w:basedOn w:val="Normal"/>
    <w:link w:val="CommentTextChar"/>
    <w:uiPriority w:val="99"/>
    <w:unhideWhenUsed/>
    <w:rsid w:val="009D5423"/>
    <w:pPr>
      <w:spacing w:line="240" w:lineRule="auto"/>
    </w:pPr>
    <w:rPr>
      <w:sz w:val="20"/>
      <w:szCs w:val="20"/>
    </w:rPr>
  </w:style>
  <w:style w:type="character" w:customStyle="1" w:styleId="CommentTextChar">
    <w:name w:val="Comment Text Char"/>
    <w:basedOn w:val="DefaultParagraphFont"/>
    <w:link w:val="CommentText"/>
    <w:uiPriority w:val="99"/>
    <w:rsid w:val="009D5423"/>
    <w:rPr>
      <w:sz w:val="20"/>
      <w:szCs w:val="20"/>
    </w:rPr>
  </w:style>
  <w:style w:type="paragraph" w:styleId="CommentSubject">
    <w:name w:val="annotation subject"/>
    <w:basedOn w:val="CommentText"/>
    <w:next w:val="CommentText"/>
    <w:link w:val="CommentSubjectChar"/>
    <w:uiPriority w:val="99"/>
    <w:semiHidden/>
    <w:unhideWhenUsed/>
    <w:rsid w:val="009D5423"/>
    <w:rPr>
      <w:b/>
      <w:bCs/>
    </w:rPr>
  </w:style>
  <w:style w:type="character" w:customStyle="1" w:styleId="CommentSubjectChar">
    <w:name w:val="Comment Subject Char"/>
    <w:basedOn w:val="CommentTextChar"/>
    <w:link w:val="CommentSubject"/>
    <w:uiPriority w:val="99"/>
    <w:semiHidden/>
    <w:rsid w:val="009D5423"/>
    <w:rPr>
      <w:b/>
      <w:bCs/>
      <w:sz w:val="20"/>
      <w:szCs w:val="20"/>
    </w:rPr>
  </w:style>
  <w:style w:type="paragraph" w:styleId="FootnoteText">
    <w:name w:val="footnote text"/>
    <w:basedOn w:val="Normal"/>
    <w:link w:val="FootnoteTextChar"/>
    <w:uiPriority w:val="99"/>
    <w:semiHidden/>
    <w:unhideWhenUsed/>
    <w:rsid w:val="009069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98E"/>
    <w:rPr>
      <w:sz w:val="20"/>
      <w:szCs w:val="20"/>
    </w:rPr>
  </w:style>
  <w:style w:type="character" w:styleId="FootnoteReference">
    <w:name w:val="footnote reference"/>
    <w:basedOn w:val="DefaultParagraphFont"/>
    <w:uiPriority w:val="99"/>
    <w:semiHidden/>
    <w:unhideWhenUsed/>
    <w:rsid w:val="0090698E"/>
    <w:rPr>
      <w:vertAlign w:val="superscript"/>
    </w:rPr>
  </w:style>
  <w:style w:type="paragraph" w:styleId="Revision">
    <w:name w:val="Revision"/>
    <w:hidden/>
    <w:uiPriority w:val="99"/>
    <w:semiHidden/>
    <w:rsid w:val="007C0AD7"/>
    <w:pPr>
      <w:spacing w:after="0" w:line="240" w:lineRule="auto"/>
    </w:pPr>
  </w:style>
  <w:style w:type="paragraph" w:styleId="EndnoteText">
    <w:name w:val="endnote text"/>
    <w:basedOn w:val="Normal"/>
    <w:link w:val="EndnoteTextChar"/>
    <w:uiPriority w:val="99"/>
    <w:semiHidden/>
    <w:unhideWhenUsed/>
    <w:rsid w:val="007C0A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0AD7"/>
    <w:rPr>
      <w:sz w:val="20"/>
      <w:szCs w:val="20"/>
    </w:rPr>
  </w:style>
  <w:style w:type="character" w:styleId="EndnoteReference">
    <w:name w:val="endnote reference"/>
    <w:basedOn w:val="DefaultParagraphFont"/>
    <w:uiPriority w:val="99"/>
    <w:semiHidden/>
    <w:unhideWhenUsed/>
    <w:rsid w:val="007C0AD7"/>
    <w:rPr>
      <w:vertAlign w:val="superscript"/>
    </w:rPr>
  </w:style>
  <w:style w:type="character" w:styleId="PlaceholderText">
    <w:name w:val="Placeholder Text"/>
    <w:basedOn w:val="DefaultParagraphFont"/>
    <w:uiPriority w:val="99"/>
    <w:semiHidden/>
    <w:rsid w:val="00F77374"/>
    <w:rPr>
      <w:color w:val="808080"/>
    </w:rPr>
  </w:style>
  <w:style w:type="character" w:styleId="FollowedHyperlink">
    <w:name w:val="FollowedHyperlink"/>
    <w:basedOn w:val="DefaultParagraphFont"/>
    <w:uiPriority w:val="99"/>
    <w:semiHidden/>
    <w:unhideWhenUsed/>
    <w:rsid w:val="004E39C6"/>
    <w:rPr>
      <w:color w:val="954F72" w:themeColor="followedHyperlink"/>
      <w:u w:val="single"/>
    </w:rPr>
  </w:style>
  <w:style w:type="character" w:customStyle="1" w:styleId="ListParagraphChar">
    <w:name w:val="List Paragraph Char"/>
    <w:link w:val="ListParagraph"/>
    <w:uiPriority w:val="1"/>
    <w:locked/>
    <w:rsid w:val="00D15746"/>
  </w:style>
  <w:style w:type="character" w:customStyle="1" w:styleId="AnswersChar">
    <w:name w:val="Answers Char"/>
    <w:link w:val="Answers"/>
    <w:locked/>
    <w:rsid w:val="004E39C6"/>
    <w:rPr>
      <w:szCs w:val="24"/>
    </w:rPr>
  </w:style>
  <w:style w:type="paragraph" w:customStyle="1" w:styleId="Answers">
    <w:name w:val="Answers"/>
    <w:basedOn w:val="Normal"/>
    <w:link w:val="AnswersChar"/>
    <w:qFormat/>
    <w:rsid w:val="004E39C6"/>
    <w:pPr>
      <w:spacing w:after="0" w:line="480" w:lineRule="auto"/>
      <w:ind w:left="720" w:hanging="720"/>
      <w:jc w:val="both"/>
    </w:pPr>
    <w:rPr>
      <w:szCs w:val="24"/>
    </w:rPr>
  </w:style>
  <w:style w:type="paragraph" w:styleId="BodyText">
    <w:name w:val="Body Text"/>
    <w:basedOn w:val="Normal"/>
    <w:link w:val="BodyTextChar"/>
    <w:rsid w:val="004E38F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E38F0"/>
    <w:rPr>
      <w:rFonts w:ascii="Times New Roman" w:eastAsia="Times New Roman" w:hAnsi="Times New Roman" w:cs="Times New Roman"/>
      <w:sz w:val="24"/>
      <w:szCs w:val="20"/>
    </w:rPr>
  </w:style>
  <w:style w:type="character" w:styleId="Strong">
    <w:name w:val="Strong"/>
    <w:qFormat/>
    <w:rsid w:val="0043552B"/>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34809">
      <w:bodyDiv w:val="1"/>
      <w:marLeft w:val="0"/>
      <w:marRight w:val="0"/>
      <w:marTop w:val="0"/>
      <w:marBottom w:val="0"/>
      <w:divBdr>
        <w:top w:val="none" w:sz="0" w:space="0" w:color="auto"/>
        <w:left w:val="none" w:sz="0" w:space="0" w:color="auto"/>
        <w:bottom w:val="none" w:sz="0" w:space="0" w:color="auto"/>
        <w:right w:val="none" w:sz="0" w:space="0" w:color="auto"/>
      </w:divBdr>
    </w:div>
    <w:div w:id="397871947">
      <w:bodyDiv w:val="1"/>
      <w:marLeft w:val="0"/>
      <w:marRight w:val="0"/>
      <w:marTop w:val="0"/>
      <w:marBottom w:val="0"/>
      <w:divBdr>
        <w:top w:val="none" w:sz="0" w:space="0" w:color="auto"/>
        <w:left w:val="none" w:sz="0" w:space="0" w:color="auto"/>
        <w:bottom w:val="none" w:sz="0" w:space="0" w:color="auto"/>
        <w:right w:val="none" w:sz="0" w:space="0" w:color="auto"/>
      </w:divBdr>
    </w:div>
    <w:div w:id="1135221426">
      <w:bodyDiv w:val="1"/>
      <w:marLeft w:val="0"/>
      <w:marRight w:val="0"/>
      <w:marTop w:val="0"/>
      <w:marBottom w:val="0"/>
      <w:divBdr>
        <w:top w:val="none" w:sz="0" w:space="0" w:color="auto"/>
        <w:left w:val="none" w:sz="0" w:space="0" w:color="auto"/>
        <w:bottom w:val="none" w:sz="0" w:space="0" w:color="auto"/>
        <w:right w:val="none" w:sz="0" w:space="0" w:color="auto"/>
      </w:divBdr>
    </w:div>
    <w:div w:id="1413506801">
      <w:bodyDiv w:val="1"/>
      <w:marLeft w:val="0"/>
      <w:marRight w:val="0"/>
      <w:marTop w:val="0"/>
      <w:marBottom w:val="0"/>
      <w:divBdr>
        <w:top w:val="none" w:sz="0" w:space="0" w:color="auto"/>
        <w:left w:val="none" w:sz="0" w:space="0" w:color="auto"/>
        <w:bottom w:val="none" w:sz="0" w:space="0" w:color="auto"/>
        <w:right w:val="none" w:sz="0" w:space="0" w:color="auto"/>
      </w:divBdr>
    </w:div>
    <w:div w:id="1415740493">
      <w:bodyDiv w:val="1"/>
      <w:marLeft w:val="0"/>
      <w:marRight w:val="0"/>
      <w:marTop w:val="0"/>
      <w:marBottom w:val="0"/>
      <w:divBdr>
        <w:top w:val="none" w:sz="0" w:space="0" w:color="auto"/>
        <w:left w:val="none" w:sz="0" w:space="0" w:color="auto"/>
        <w:bottom w:val="none" w:sz="0" w:space="0" w:color="auto"/>
        <w:right w:val="none" w:sz="0" w:space="0" w:color="auto"/>
      </w:divBdr>
    </w:div>
    <w:div w:id="1473869746">
      <w:bodyDiv w:val="1"/>
      <w:marLeft w:val="0"/>
      <w:marRight w:val="0"/>
      <w:marTop w:val="0"/>
      <w:marBottom w:val="0"/>
      <w:divBdr>
        <w:top w:val="none" w:sz="0" w:space="0" w:color="auto"/>
        <w:left w:val="none" w:sz="0" w:space="0" w:color="auto"/>
        <w:bottom w:val="none" w:sz="0" w:space="0" w:color="auto"/>
        <w:right w:val="none" w:sz="0" w:space="0" w:color="auto"/>
      </w:divBdr>
    </w:div>
    <w:div w:id="167039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6608B-4BFE-4071-8D87-748C8B7C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5702</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Branch</dc:creator>
  <cp:keywords/>
  <dc:description/>
  <cp:lastModifiedBy>Keimani Harvey</cp:lastModifiedBy>
  <cp:revision>13</cp:revision>
  <cp:lastPrinted>2025-07-11T11:36:00Z</cp:lastPrinted>
  <dcterms:created xsi:type="dcterms:W3CDTF">2025-07-24T12:05:00Z</dcterms:created>
  <dcterms:modified xsi:type="dcterms:W3CDTF">2025-07-24T13:58:00Z</dcterms:modified>
</cp:coreProperties>
</file>