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69468" w14:textId="77777777" w:rsidR="00C6254D" w:rsidRPr="00C6254D" w:rsidRDefault="00C6254D" w:rsidP="00C6254D">
      <w:pPr>
        <w:contextualSpacing/>
        <w:jc w:val="center"/>
        <w:rPr>
          <w:rFonts w:ascii="Times New Roman" w:eastAsia="Times New Roman" w:hAnsi="Times New Roman" w:cs="Times New Roman"/>
          <w:b/>
        </w:rPr>
      </w:pPr>
      <w:bookmarkStart w:id="0" w:name="_Hlk177385151"/>
      <w:bookmarkEnd w:id="0"/>
      <w:r w:rsidRPr="00C6254D">
        <w:rPr>
          <w:rFonts w:ascii="Times New Roman" w:eastAsia="Times New Roman" w:hAnsi="Times New Roman" w:cs="Times New Roman"/>
          <w:b/>
        </w:rPr>
        <w:t>BEFORE THE GEORGIA PUBLIC SERVICE COMMISSION</w:t>
      </w:r>
    </w:p>
    <w:p w14:paraId="23D83353" w14:textId="77777777" w:rsidR="00C6254D" w:rsidRPr="00C6254D" w:rsidRDefault="00C6254D" w:rsidP="00C6254D">
      <w:pPr>
        <w:jc w:val="center"/>
        <w:rPr>
          <w:rFonts w:ascii="Times New Roman" w:eastAsia="Times New Roman" w:hAnsi="Times New Roman" w:cs="Times New Roman"/>
          <w:b/>
        </w:rPr>
      </w:pPr>
    </w:p>
    <w:p w14:paraId="3835ACF4" w14:textId="77777777" w:rsidR="00C6254D" w:rsidRPr="00C6254D" w:rsidRDefault="00C6254D" w:rsidP="00C6254D">
      <w:pPr>
        <w:jc w:val="center"/>
        <w:rPr>
          <w:rFonts w:ascii="Times New Roman" w:eastAsia="Times New Roman" w:hAnsi="Times New Roman" w:cs="Times New Roman"/>
        </w:rPr>
      </w:pPr>
    </w:p>
    <w:tbl>
      <w:tblPr>
        <w:tblW w:w="9018" w:type="dxa"/>
        <w:tblCellMar>
          <w:left w:w="0" w:type="dxa"/>
          <w:right w:w="0" w:type="dxa"/>
        </w:tblCellMar>
        <w:tblLook w:val="0000" w:firstRow="0" w:lastRow="0" w:firstColumn="0" w:lastColumn="0" w:noHBand="0" w:noVBand="0"/>
      </w:tblPr>
      <w:tblGrid>
        <w:gridCol w:w="6408"/>
        <w:gridCol w:w="360"/>
        <w:gridCol w:w="2250"/>
      </w:tblGrid>
      <w:tr w:rsidR="00C6254D" w:rsidRPr="00C6254D" w14:paraId="65B9828B" w14:textId="77777777" w:rsidTr="009779B0">
        <w:tc>
          <w:tcPr>
            <w:tcW w:w="6408" w:type="dxa"/>
            <w:tcMar>
              <w:top w:w="0" w:type="dxa"/>
              <w:left w:w="108" w:type="dxa"/>
              <w:bottom w:w="0" w:type="dxa"/>
              <w:right w:w="108" w:type="dxa"/>
            </w:tcMar>
          </w:tcPr>
          <w:p w14:paraId="7E38D026" w14:textId="77777777" w:rsidR="00C6254D" w:rsidRPr="00C6254D" w:rsidRDefault="00C6254D" w:rsidP="00C6254D">
            <w:pPr>
              <w:rPr>
                <w:rFonts w:ascii="Times New Roman" w:hAnsi="Times New Roman" w:cs="Times New Roman"/>
                <w:b/>
              </w:rPr>
            </w:pPr>
            <w:r w:rsidRPr="00C6254D">
              <w:rPr>
                <w:rFonts w:ascii="Times New Roman" w:hAnsi="Times New Roman" w:cs="Times New Roman"/>
                <w:b/>
                <w:i/>
                <w:iCs/>
              </w:rPr>
              <w:t>In Re</w:t>
            </w:r>
            <w:r w:rsidRPr="00C6254D">
              <w:rPr>
                <w:rFonts w:ascii="Times New Roman" w:hAnsi="Times New Roman" w:cs="Times New Roman"/>
                <w:b/>
              </w:rPr>
              <w:t xml:space="preserve">:  </w:t>
            </w:r>
          </w:p>
          <w:p w14:paraId="649634E5" w14:textId="77777777" w:rsidR="00C6254D" w:rsidRPr="00C6254D" w:rsidRDefault="00C6254D" w:rsidP="00C6254D">
            <w:pPr>
              <w:rPr>
                <w:rFonts w:ascii="Times New Roman" w:hAnsi="Times New Roman" w:cs="Times New Roman"/>
                <w:b/>
                <w:i/>
                <w:iCs/>
              </w:rPr>
            </w:pPr>
            <w:r w:rsidRPr="00C6254D">
              <w:rPr>
                <w:rFonts w:ascii="Times New Roman" w:hAnsi="Times New Roman" w:cs="Times New Roman"/>
                <w:b/>
              </w:rPr>
              <w:t xml:space="preserve">2019 ATLANTA GAS LIGHT RATE CASE/AFFILIATE TRANSACTION AUDIT </w:t>
            </w:r>
          </w:p>
        </w:tc>
        <w:tc>
          <w:tcPr>
            <w:tcW w:w="360" w:type="dxa"/>
            <w:tcMar>
              <w:top w:w="0" w:type="dxa"/>
              <w:left w:w="108" w:type="dxa"/>
              <w:bottom w:w="0" w:type="dxa"/>
              <w:right w:w="108" w:type="dxa"/>
            </w:tcMar>
          </w:tcPr>
          <w:p w14:paraId="71780F07" w14:textId="77777777" w:rsidR="00C6254D" w:rsidRPr="00C6254D" w:rsidRDefault="00C6254D" w:rsidP="00C6254D">
            <w:pPr>
              <w:rPr>
                <w:rFonts w:ascii="Times New Roman" w:hAnsi="Times New Roman" w:cs="Times New Roman"/>
                <w:b/>
              </w:rPr>
            </w:pPr>
            <w:r w:rsidRPr="00C6254D">
              <w:rPr>
                <w:rFonts w:ascii="Times New Roman" w:hAnsi="Times New Roman" w:cs="Times New Roman"/>
                <w:b/>
              </w:rPr>
              <w:t>)</w:t>
            </w:r>
          </w:p>
          <w:p w14:paraId="25E57794" w14:textId="77777777" w:rsidR="00C6254D" w:rsidRPr="00C6254D" w:rsidRDefault="00C6254D" w:rsidP="00C6254D">
            <w:pPr>
              <w:rPr>
                <w:rFonts w:ascii="Times New Roman" w:hAnsi="Times New Roman" w:cs="Times New Roman"/>
                <w:b/>
              </w:rPr>
            </w:pPr>
            <w:r w:rsidRPr="00C6254D">
              <w:rPr>
                <w:rFonts w:ascii="Times New Roman" w:hAnsi="Times New Roman" w:cs="Times New Roman"/>
                <w:b/>
              </w:rPr>
              <w:t>)</w:t>
            </w:r>
          </w:p>
          <w:p w14:paraId="6F29424D" w14:textId="77777777" w:rsidR="00C6254D" w:rsidRPr="00C6254D" w:rsidRDefault="00C6254D" w:rsidP="00C6254D">
            <w:pPr>
              <w:rPr>
                <w:rFonts w:ascii="Times New Roman" w:hAnsi="Times New Roman" w:cs="Times New Roman"/>
                <w:b/>
              </w:rPr>
            </w:pPr>
            <w:r w:rsidRPr="00C6254D">
              <w:rPr>
                <w:rFonts w:ascii="Times New Roman" w:hAnsi="Times New Roman" w:cs="Times New Roman"/>
                <w:b/>
              </w:rPr>
              <w:t>)</w:t>
            </w:r>
          </w:p>
          <w:p w14:paraId="1CE18680" w14:textId="77777777" w:rsidR="00C6254D" w:rsidRPr="00C6254D" w:rsidRDefault="00C6254D" w:rsidP="00C6254D">
            <w:pPr>
              <w:rPr>
                <w:rFonts w:ascii="Times New Roman" w:hAnsi="Times New Roman" w:cs="Times New Roman"/>
                <w:b/>
              </w:rPr>
            </w:pPr>
            <w:r w:rsidRPr="00C6254D">
              <w:rPr>
                <w:rFonts w:ascii="Times New Roman" w:hAnsi="Times New Roman" w:cs="Times New Roman"/>
                <w:b/>
              </w:rPr>
              <w:t>)</w:t>
            </w:r>
            <w:r w:rsidRPr="00C6254D">
              <w:rPr>
                <w:rFonts w:ascii="Times New Roman" w:hAnsi="Times New Roman" w:cs="Times New Roman"/>
                <w:b/>
              </w:rPr>
              <w:br/>
            </w:r>
          </w:p>
        </w:tc>
        <w:tc>
          <w:tcPr>
            <w:tcW w:w="2250" w:type="dxa"/>
            <w:tcMar>
              <w:top w:w="0" w:type="dxa"/>
              <w:left w:w="108" w:type="dxa"/>
              <w:bottom w:w="0" w:type="dxa"/>
              <w:right w:w="108" w:type="dxa"/>
            </w:tcMar>
          </w:tcPr>
          <w:p w14:paraId="12F1A02A" w14:textId="77777777" w:rsidR="00C6254D" w:rsidRPr="00C6254D" w:rsidRDefault="00C6254D" w:rsidP="00C6254D">
            <w:pPr>
              <w:rPr>
                <w:rFonts w:ascii="Times New Roman" w:hAnsi="Times New Roman" w:cs="Times New Roman"/>
                <w:b/>
              </w:rPr>
            </w:pPr>
          </w:p>
          <w:p w14:paraId="5A9A1F8E" w14:textId="77777777" w:rsidR="00C6254D" w:rsidRPr="00C6254D" w:rsidRDefault="00C6254D" w:rsidP="00C6254D">
            <w:pPr>
              <w:rPr>
                <w:rFonts w:ascii="Times New Roman" w:hAnsi="Times New Roman" w:cs="Times New Roman"/>
                <w:b/>
              </w:rPr>
            </w:pPr>
            <w:r w:rsidRPr="00C6254D">
              <w:rPr>
                <w:rFonts w:ascii="Times New Roman" w:hAnsi="Times New Roman" w:cs="Times New Roman"/>
                <w:b/>
              </w:rPr>
              <w:t>DOCKET 42315</w:t>
            </w:r>
          </w:p>
        </w:tc>
      </w:tr>
    </w:tbl>
    <w:p w14:paraId="18D20749" w14:textId="77777777" w:rsidR="00C6254D" w:rsidRPr="00C6254D" w:rsidRDefault="00C6254D" w:rsidP="00C6254D">
      <w:pPr>
        <w:keepNext/>
        <w:tabs>
          <w:tab w:val="left" w:pos="810"/>
        </w:tabs>
        <w:outlineLvl w:val="0"/>
        <w:rPr>
          <w:rFonts w:ascii="Times New Roman" w:eastAsia="Times New Roman" w:hAnsi="Times New Roman" w:cs="Times New Roman"/>
          <w:b/>
        </w:rPr>
      </w:pPr>
    </w:p>
    <w:p w14:paraId="4C6E2781" w14:textId="711659B1" w:rsidR="00C6254D" w:rsidRPr="00C6254D" w:rsidRDefault="00C6254D" w:rsidP="0BE74214">
      <w:pPr>
        <w:keepNext/>
        <w:jc w:val="center"/>
        <w:outlineLvl w:val="1"/>
        <w:rPr>
          <w:rFonts w:ascii="Times New Roman" w:eastAsia="Times New Roman" w:hAnsi="Times New Roman" w:cs="Times New Roman"/>
          <w:b/>
          <w:bCs/>
        </w:rPr>
      </w:pPr>
      <w:r w:rsidRPr="0BE74214">
        <w:rPr>
          <w:rFonts w:ascii="Times New Roman" w:eastAsia="Times New Roman" w:hAnsi="Times New Roman" w:cs="Times New Roman"/>
          <w:b/>
          <w:bCs/>
        </w:rPr>
        <w:t xml:space="preserve">STAFF’S </w:t>
      </w:r>
      <w:r w:rsidR="00401544" w:rsidRPr="0BE74214">
        <w:rPr>
          <w:rFonts w:ascii="Times New Roman" w:eastAsia="Times New Roman" w:hAnsi="Times New Roman" w:cs="Times New Roman"/>
          <w:b/>
          <w:bCs/>
        </w:rPr>
        <w:t>FIFT</w:t>
      </w:r>
      <w:r w:rsidR="00A6012D">
        <w:rPr>
          <w:rFonts w:ascii="Times New Roman" w:eastAsia="Times New Roman" w:hAnsi="Times New Roman" w:cs="Times New Roman"/>
          <w:b/>
          <w:bCs/>
        </w:rPr>
        <w:t>Y-</w:t>
      </w:r>
      <w:r w:rsidR="00B43CA4">
        <w:rPr>
          <w:rFonts w:ascii="Times New Roman" w:eastAsia="Times New Roman" w:hAnsi="Times New Roman" w:cs="Times New Roman"/>
          <w:b/>
          <w:bCs/>
        </w:rPr>
        <w:t>SECOND</w:t>
      </w:r>
      <w:r w:rsidR="000D0DF2" w:rsidRPr="0BE74214">
        <w:rPr>
          <w:rFonts w:ascii="Times New Roman" w:eastAsia="Times New Roman" w:hAnsi="Times New Roman" w:cs="Times New Roman"/>
          <w:b/>
          <w:bCs/>
        </w:rPr>
        <w:t xml:space="preserve"> </w:t>
      </w:r>
      <w:r w:rsidRPr="0BE74214">
        <w:rPr>
          <w:rFonts w:ascii="Times New Roman" w:eastAsia="Times New Roman" w:hAnsi="Times New Roman" w:cs="Times New Roman"/>
          <w:b/>
          <w:bCs/>
        </w:rPr>
        <w:t xml:space="preserve">SET OF DATA REQUESTS TO THE </w:t>
      </w:r>
    </w:p>
    <w:p w14:paraId="38EE4B3E" w14:textId="77777777" w:rsidR="00C6254D" w:rsidRPr="00C6254D" w:rsidRDefault="00C6254D" w:rsidP="00C6254D">
      <w:pPr>
        <w:jc w:val="center"/>
        <w:rPr>
          <w:rFonts w:ascii="Times New Roman" w:hAnsi="Times New Roman" w:cs="Times New Roman"/>
          <w:b/>
        </w:rPr>
      </w:pPr>
      <w:r w:rsidRPr="00C6254D">
        <w:rPr>
          <w:rFonts w:ascii="Times New Roman" w:hAnsi="Times New Roman" w:cs="Times New Roman"/>
          <w:b/>
        </w:rPr>
        <w:t>ATLANTA GAS LIGHT COMPANY</w:t>
      </w:r>
    </w:p>
    <w:p w14:paraId="28C95906" w14:textId="77777777" w:rsidR="00C6254D" w:rsidRPr="00C6254D" w:rsidRDefault="00C6254D" w:rsidP="00C6254D">
      <w:pPr>
        <w:jc w:val="center"/>
        <w:rPr>
          <w:rFonts w:ascii="Times New Roman" w:hAnsi="Times New Roman" w:cs="Times New Roman"/>
          <w:b/>
        </w:rPr>
      </w:pPr>
    </w:p>
    <w:p w14:paraId="4F690A4E" w14:textId="77777777" w:rsidR="00C6254D" w:rsidRPr="00C6254D" w:rsidRDefault="00C6254D" w:rsidP="00C6254D">
      <w:pPr>
        <w:rPr>
          <w:rFonts w:ascii="Times New Roman" w:hAnsi="Times New Roman" w:cs="Times New Roman"/>
        </w:rPr>
      </w:pPr>
    </w:p>
    <w:p w14:paraId="0BBD24FC" w14:textId="77777777" w:rsidR="00C6254D" w:rsidRPr="00C6254D" w:rsidRDefault="00C6254D" w:rsidP="00C6254D">
      <w:pPr>
        <w:rPr>
          <w:rFonts w:ascii="Times New Roman" w:hAnsi="Times New Roman" w:cs="Times New Roman"/>
        </w:rPr>
      </w:pPr>
      <w:r w:rsidRPr="1FC0F26E">
        <w:rPr>
          <w:rFonts w:ascii="Times New Roman" w:hAnsi="Times New Roman" w:cs="Times New Roman"/>
        </w:rPr>
        <w:t>TO:</w:t>
      </w:r>
      <w:r>
        <w:tab/>
      </w:r>
      <w:r w:rsidRPr="1FC0F26E">
        <w:rPr>
          <w:rFonts w:ascii="Times New Roman" w:hAnsi="Times New Roman" w:cs="Times New Roman"/>
        </w:rPr>
        <w:t>BLAKE O’FARROW</w:t>
      </w:r>
    </w:p>
    <w:p w14:paraId="7240986F" w14:textId="77777777" w:rsidR="00C6254D" w:rsidRPr="00C6254D" w:rsidRDefault="00C6254D" w:rsidP="00C6254D">
      <w:pPr>
        <w:rPr>
          <w:rFonts w:ascii="Times New Roman" w:hAnsi="Times New Roman" w:cs="Times New Roman"/>
        </w:rPr>
      </w:pPr>
      <w:r w:rsidRPr="00C6254D">
        <w:rPr>
          <w:rFonts w:ascii="Times New Roman" w:hAnsi="Times New Roman" w:cs="Times New Roman"/>
        </w:rPr>
        <w:tab/>
        <w:t>DIRECTOR – REGULATORY AFFAIRS</w:t>
      </w:r>
    </w:p>
    <w:p w14:paraId="3324BFB4" w14:textId="77777777" w:rsidR="00C6254D" w:rsidRPr="00C6254D" w:rsidRDefault="00C6254D" w:rsidP="00C6254D">
      <w:pPr>
        <w:rPr>
          <w:rFonts w:ascii="Times New Roman" w:hAnsi="Times New Roman" w:cs="Times New Roman"/>
        </w:rPr>
      </w:pPr>
      <w:r w:rsidRPr="00C6254D">
        <w:rPr>
          <w:rFonts w:ascii="Times New Roman" w:hAnsi="Times New Roman" w:cs="Times New Roman"/>
        </w:rPr>
        <w:tab/>
        <w:t xml:space="preserve">ATLANTA GAS LIGHT COMPANY </w:t>
      </w:r>
    </w:p>
    <w:p w14:paraId="23DB2D17" w14:textId="77777777" w:rsidR="00C6254D" w:rsidRPr="00C6254D" w:rsidRDefault="00C6254D" w:rsidP="00C6254D">
      <w:pPr>
        <w:rPr>
          <w:rFonts w:ascii="Times New Roman" w:hAnsi="Times New Roman" w:cs="Times New Roman"/>
        </w:rPr>
      </w:pPr>
      <w:r w:rsidRPr="00C6254D">
        <w:rPr>
          <w:rFonts w:ascii="Times New Roman" w:hAnsi="Times New Roman" w:cs="Times New Roman"/>
        </w:rPr>
        <w:tab/>
        <w:t xml:space="preserve">TEN PEACHTREE PLACE </w:t>
      </w:r>
    </w:p>
    <w:p w14:paraId="2A5D96E3" w14:textId="77777777" w:rsidR="00C6254D" w:rsidRPr="00C6254D" w:rsidRDefault="00C6254D" w:rsidP="00C6254D">
      <w:pPr>
        <w:rPr>
          <w:rFonts w:ascii="Times New Roman" w:hAnsi="Times New Roman" w:cs="Times New Roman"/>
        </w:rPr>
      </w:pPr>
      <w:r w:rsidRPr="00C6254D">
        <w:rPr>
          <w:rFonts w:ascii="Times New Roman" w:hAnsi="Times New Roman" w:cs="Times New Roman"/>
        </w:rPr>
        <w:tab/>
        <w:t>ATLANTA, GA  30309</w:t>
      </w:r>
    </w:p>
    <w:p w14:paraId="63723989" w14:textId="77777777" w:rsidR="00C6254D" w:rsidRPr="00C6254D" w:rsidRDefault="00C6254D" w:rsidP="00C6254D">
      <w:pPr>
        <w:rPr>
          <w:rFonts w:ascii="Times New Roman" w:hAnsi="Times New Roman" w:cs="Times New Roman"/>
        </w:rPr>
      </w:pPr>
    </w:p>
    <w:p w14:paraId="30162A04" w14:textId="77777777" w:rsidR="00C6254D" w:rsidRPr="00C6254D" w:rsidRDefault="00C6254D" w:rsidP="00C6254D">
      <w:pPr>
        <w:tabs>
          <w:tab w:val="left" w:pos="360"/>
        </w:tabs>
        <w:ind w:firstLine="720"/>
        <w:rPr>
          <w:rFonts w:ascii="Times New Roman" w:hAnsi="Times New Roman" w:cs="Times New Roman"/>
        </w:rPr>
      </w:pPr>
    </w:p>
    <w:p w14:paraId="5D56AED9" w14:textId="77777777" w:rsidR="00C6254D" w:rsidRPr="00C6254D" w:rsidRDefault="00C6254D" w:rsidP="00C6254D">
      <w:pPr>
        <w:spacing w:line="480" w:lineRule="auto"/>
        <w:jc w:val="both"/>
        <w:rPr>
          <w:rFonts w:ascii="Times New Roman" w:eastAsia="Cambria" w:hAnsi="Times New Roman" w:cs="Times New Roman"/>
        </w:rPr>
      </w:pPr>
      <w:r w:rsidRPr="00C6254D">
        <w:rPr>
          <w:rFonts w:ascii="Times New Roman" w:hAnsi="Times New Roman" w:cs="Times New Roman"/>
        </w:rPr>
        <w:tab/>
        <w:t xml:space="preserve">COMES NOW the Georgia Public Service Commission Staff (“Staff”) and, pursuant to the authority vested in it by the Georgia Public Service Commission (“Commission”) pursuant to O.C.G.A. § 46-2-57, herein propounds the following interrogatories and requests for production of documents (collectively, “data requests”), </w:t>
      </w:r>
      <w:r w:rsidRPr="00C6254D">
        <w:rPr>
          <w:rFonts w:ascii="Times New Roman" w:hAnsi="Times New Roman" w:cs="Times New Roman"/>
          <w:u w:val="single"/>
        </w:rPr>
        <w:t>to be answered under oath</w:t>
      </w:r>
      <w:r w:rsidRPr="00C6254D">
        <w:rPr>
          <w:rFonts w:ascii="Times New Roman" w:hAnsi="Times New Roman" w:cs="Times New Roman"/>
        </w:rPr>
        <w:t xml:space="preserve"> by Atlanta Gas Light Company, (“AGL” or “Company”) or its designated representatives.  </w:t>
      </w:r>
      <w:r w:rsidRPr="00C6254D">
        <w:rPr>
          <w:rFonts w:ascii="Times New Roman" w:eastAsia="Cambria" w:hAnsi="Times New Roman" w:cs="Times New Roman"/>
        </w:rPr>
        <w:t>The Company shall file with the Executive Secretary’s Office using the Alternative E-filing instructions. Public and Trade Secret responses shall be Accompanied therewith shall be an electronic version in Microsoft Word® format for text documents and Excel® for spreadsheets.</w:t>
      </w:r>
    </w:p>
    <w:p w14:paraId="617E9B0A" w14:textId="77777777" w:rsidR="00C6254D" w:rsidRPr="00C6254D" w:rsidRDefault="00C6254D" w:rsidP="00C6254D">
      <w:pPr>
        <w:spacing w:line="480" w:lineRule="auto"/>
        <w:jc w:val="both"/>
        <w:rPr>
          <w:rFonts w:ascii="Times New Roman" w:hAnsi="Times New Roman" w:cs="Times New Roman"/>
        </w:rPr>
      </w:pPr>
      <w:r w:rsidRPr="00C6254D">
        <w:rPr>
          <w:rFonts w:ascii="Times New Roman" w:hAnsi="Times New Roman" w:cs="Times New Roman"/>
        </w:rPr>
        <w:tab/>
      </w:r>
    </w:p>
    <w:p w14:paraId="510EB12A" w14:textId="6832D1F9" w:rsidR="00C6254D" w:rsidRPr="00C6254D" w:rsidRDefault="00C6254D" w:rsidP="00C6254D">
      <w:pPr>
        <w:spacing w:line="480" w:lineRule="auto"/>
        <w:ind w:firstLine="720"/>
        <w:jc w:val="both"/>
        <w:rPr>
          <w:rFonts w:ascii="Times New Roman" w:hAnsi="Times New Roman" w:cs="Times New Roman"/>
        </w:rPr>
      </w:pPr>
      <w:r w:rsidRPr="00C6254D">
        <w:rPr>
          <w:rFonts w:ascii="Times New Roman" w:hAnsi="Times New Roman" w:cs="Times New Roman"/>
        </w:rPr>
        <w:t>Please provide responses on or before 4:00 p. m. on</w:t>
      </w:r>
      <w:r w:rsidR="000C30ED">
        <w:rPr>
          <w:rFonts w:ascii="Times New Roman" w:hAnsi="Times New Roman" w:cs="Times New Roman"/>
        </w:rPr>
        <w:t xml:space="preserve"> </w:t>
      </w:r>
      <w:r w:rsidR="00401544">
        <w:rPr>
          <w:rFonts w:ascii="Times New Roman" w:hAnsi="Times New Roman" w:cs="Times New Roman"/>
          <w:b/>
          <w:bCs/>
        </w:rPr>
        <w:t xml:space="preserve">August </w:t>
      </w:r>
      <w:r w:rsidR="005B0F0C">
        <w:rPr>
          <w:rFonts w:ascii="Times New Roman" w:hAnsi="Times New Roman" w:cs="Times New Roman"/>
          <w:b/>
          <w:bCs/>
        </w:rPr>
        <w:t>12</w:t>
      </w:r>
      <w:r w:rsidRPr="000C30ED">
        <w:rPr>
          <w:rFonts w:ascii="Times New Roman" w:hAnsi="Times New Roman" w:cs="Times New Roman"/>
          <w:b/>
          <w:bCs/>
        </w:rPr>
        <w:t>, 202</w:t>
      </w:r>
      <w:r w:rsidR="00401544">
        <w:rPr>
          <w:rFonts w:ascii="Times New Roman" w:hAnsi="Times New Roman" w:cs="Times New Roman"/>
          <w:b/>
          <w:bCs/>
        </w:rPr>
        <w:t>5</w:t>
      </w:r>
      <w:r w:rsidRPr="000C30ED">
        <w:rPr>
          <w:rFonts w:ascii="Times New Roman" w:hAnsi="Times New Roman" w:cs="Times New Roman"/>
          <w:bCs/>
        </w:rPr>
        <w:t>.</w:t>
      </w:r>
      <w:r w:rsidRPr="00C6254D">
        <w:rPr>
          <w:rFonts w:ascii="Times New Roman" w:hAnsi="Times New Roman" w:cs="Times New Roman"/>
          <w:b/>
        </w:rPr>
        <w:t xml:space="preserve"> </w:t>
      </w:r>
    </w:p>
    <w:p w14:paraId="3BAF6CA1" w14:textId="77777777" w:rsidR="00C6254D" w:rsidRPr="00C6254D" w:rsidRDefault="00C6254D" w:rsidP="00C6254D">
      <w:pPr>
        <w:rPr>
          <w:rFonts w:ascii="Times New Roman" w:hAnsi="Times New Roman" w:cs="Times New Roman"/>
        </w:rPr>
      </w:pPr>
      <w:r w:rsidRPr="00C6254D">
        <w:rPr>
          <w:rFonts w:ascii="Times New Roman" w:hAnsi="Times New Roman" w:cs="Times New Roman"/>
          <w:color w:val="FF0000"/>
        </w:rPr>
        <w:br w:type="page"/>
      </w:r>
    </w:p>
    <w:p w14:paraId="53E72432" w14:textId="77777777" w:rsidR="00C6254D" w:rsidRPr="00C6254D" w:rsidRDefault="00C6254D" w:rsidP="00C6254D">
      <w:pPr>
        <w:keepNext/>
        <w:keepLines/>
        <w:spacing w:before="160" w:after="80" w:line="480" w:lineRule="auto"/>
        <w:jc w:val="center"/>
        <w:outlineLvl w:val="1"/>
        <w:rPr>
          <w:rFonts w:ascii="Times New Roman" w:eastAsiaTheme="majorEastAsia" w:hAnsi="Times New Roman" w:cs="Times New Roman"/>
          <w:b/>
        </w:rPr>
      </w:pPr>
      <w:r w:rsidRPr="00C6254D">
        <w:rPr>
          <w:rFonts w:ascii="Times New Roman" w:eastAsiaTheme="majorEastAsia" w:hAnsi="Times New Roman" w:cs="Times New Roman"/>
          <w:b/>
        </w:rPr>
        <w:lastRenderedPageBreak/>
        <w:t>INSTRUCTIONS</w:t>
      </w:r>
    </w:p>
    <w:p w14:paraId="6564657B" w14:textId="77777777" w:rsidR="00C6254D" w:rsidRPr="00C6254D" w:rsidRDefault="00C6254D">
      <w:pPr>
        <w:numPr>
          <w:ilvl w:val="0"/>
          <w:numId w:val="1"/>
        </w:numPr>
        <w:spacing w:line="480" w:lineRule="auto"/>
        <w:jc w:val="both"/>
        <w:rPr>
          <w:rFonts w:ascii="Times New Roman" w:eastAsia="Times New Roman" w:hAnsi="Times New Roman" w:cs="Times New Roman"/>
          <w:kern w:val="0"/>
          <w14:ligatures w14:val="none"/>
        </w:rPr>
      </w:pPr>
      <w:r w:rsidRPr="00C6254D">
        <w:rPr>
          <w:rFonts w:ascii="Times New Roman" w:eastAsia="Times New Roman" w:hAnsi="Times New Roman" w:cs="Times New Roman"/>
          <w:kern w:val="0"/>
          <w14:ligatures w14:val="none"/>
        </w:rPr>
        <w:t>These requests shall be deemed to be continuing.  The Respondent is obliged to change, supplement, and correct all answers to requests to conform to available information; including such information as first comes available to the Respondent after the answers are hereto filed.</w:t>
      </w:r>
    </w:p>
    <w:p w14:paraId="57961F49" w14:textId="77777777" w:rsidR="00C6254D" w:rsidRPr="00C6254D" w:rsidRDefault="00C6254D" w:rsidP="00C6254D">
      <w:pPr>
        <w:spacing w:line="480" w:lineRule="auto"/>
        <w:jc w:val="both"/>
        <w:rPr>
          <w:rFonts w:ascii="Times New Roman" w:eastAsia="Times New Roman" w:hAnsi="Times New Roman" w:cs="Times New Roman"/>
          <w:kern w:val="0"/>
          <w14:ligatures w14:val="none"/>
        </w:rPr>
      </w:pPr>
    </w:p>
    <w:p w14:paraId="353B1A2C" w14:textId="77777777" w:rsidR="00C6254D" w:rsidRPr="00C6254D" w:rsidRDefault="00C6254D">
      <w:pPr>
        <w:numPr>
          <w:ilvl w:val="0"/>
          <w:numId w:val="1"/>
        </w:numPr>
        <w:spacing w:line="480" w:lineRule="auto"/>
        <w:jc w:val="both"/>
        <w:rPr>
          <w:rFonts w:ascii="Times New Roman" w:eastAsia="Times New Roman" w:hAnsi="Times New Roman" w:cs="Times New Roman"/>
          <w:kern w:val="0"/>
          <w14:ligatures w14:val="none"/>
        </w:rPr>
      </w:pPr>
      <w:r w:rsidRPr="00C6254D">
        <w:rPr>
          <w:rFonts w:ascii="Times New Roman" w:eastAsia="Times New Roman" w:hAnsi="Times New Roman" w:cs="Times New Roman"/>
          <w:kern w:val="0"/>
          <w14:ligatures w14:val="none"/>
        </w:rPr>
        <w:t>The answers provided should first restate the question asked and also identify the person(s) supplying the information.</w:t>
      </w:r>
    </w:p>
    <w:p w14:paraId="3767DDFB" w14:textId="77777777" w:rsidR="00C6254D" w:rsidRPr="00C6254D" w:rsidRDefault="00C6254D" w:rsidP="00C6254D">
      <w:pPr>
        <w:spacing w:line="480" w:lineRule="auto"/>
        <w:jc w:val="both"/>
        <w:rPr>
          <w:rFonts w:ascii="Times New Roman" w:eastAsia="Times New Roman" w:hAnsi="Times New Roman" w:cs="Times New Roman"/>
          <w:kern w:val="0"/>
          <w14:ligatures w14:val="none"/>
        </w:rPr>
      </w:pPr>
    </w:p>
    <w:p w14:paraId="26BBB16A" w14:textId="77777777" w:rsidR="00C6254D" w:rsidRPr="00C6254D" w:rsidRDefault="00C6254D">
      <w:pPr>
        <w:numPr>
          <w:ilvl w:val="0"/>
          <w:numId w:val="1"/>
        </w:numPr>
        <w:spacing w:line="480" w:lineRule="auto"/>
        <w:jc w:val="both"/>
        <w:rPr>
          <w:rFonts w:ascii="Times New Roman" w:eastAsia="Times New Roman" w:hAnsi="Times New Roman" w:cs="Times New Roman"/>
          <w:kern w:val="0"/>
          <w14:ligatures w14:val="none"/>
        </w:rPr>
      </w:pPr>
      <w:r w:rsidRPr="00C6254D">
        <w:rPr>
          <w:rFonts w:ascii="Times New Roman" w:eastAsia="Times New Roman" w:hAnsi="Times New Roman" w:cs="Times New Roman"/>
          <w:kern w:val="0"/>
          <w14:ligatures w14:val="none"/>
        </w:rPr>
        <w:t>All information is to be divulged that is within the knowledge, possession, control, or custody of the Respondent or may be reasonably ascertained thereby.</w:t>
      </w:r>
    </w:p>
    <w:p w14:paraId="0991F113" w14:textId="77777777" w:rsidR="00C6254D" w:rsidRPr="00C6254D" w:rsidRDefault="00C6254D" w:rsidP="00C6254D">
      <w:pPr>
        <w:spacing w:line="480" w:lineRule="auto"/>
        <w:jc w:val="both"/>
        <w:rPr>
          <w:rFonts w:ascii="Times New Roman" w:eastAsia="Times New Roman" w:hAnsi="Times New Roman" w:cs="Times New Roman"/>
          <w:kern w:val="0"/>
          <w14:ligatures w14:val="none"/>
        </w:rPr>
      </w:pPr>
    </w:p>
    <w:p w14:paraId="3EDA16E8" w14:textId="77777777" w:rsidR="00C6254D" w:rsidRPr="00C6254D" w:rsidRDefault="00C6254D">
      <w:pPr>
        <w:numPr>
          <w:ilvl w:val="0"/>
          <w:numId w:val="1"/>
        </w:numPr>
        <w:spacing w:line="480" w:lineRule="auto"/>
        <w:jc w:val="both"/>
        <w:rPr>
          <w:rFonts w:ascii="Times New Roman" w:eastAsia="Times New Roman" w:hAnsi="Times New Roman" w:cs="Times New Roman"/>
          <w:kern w:val="0"/>
          <w14:ligatures w14:val="none"/>
        </w:rPr>
      </w:pPr>
      <w:r w:rsidRPr="00C6254D">
        <w:rPr>
          <w:rFonts w:ascii="Times New Roman" w:eastAsia="Times New Roman" w:hAnsi="Times New Roman" w:cs="Times New Roman"/>
          <w:kern w:val="0"/>
          <w14:ligatures w14:val="none"/>
        </w:rPr>
        <w:t>As used herein the “document” included, but is not limited to, the original and all copies (regardless of origin and whether or not including additional writing thereon or attached thereto) of memoranda, reports, books, manuals, instructions, directives, records, forms, notes, letters, notices, confirmations, telephone calls, meetings or other communications, bulletins, transcripts, diaries, analyses, summaries, correspondence and enclosures, circulars, opinions, studies, investigations, questionnaires and surveys, work sheets, and all drafts, preliminary versions, alterations, modifications, revisions, changes, amendments and written comments concerning the foregoing, in whatever form, stored or contained in or on whatever medium including computerized memory or magnetic media.</w:t>
      </w:r>
    </w:p>
    <w:p w14:paraId="39AC5D10" w14:textId="77777777" w:rsidR="00C6254D" w:rsidRDefault="00C6254D" w:rsidP="00E75597">
      <w:pPr>
        <w:jc w:val="center"/>
        <w:rPr>
          <w:rFonts w:ascii="Times New Roman" w:hAnsi="Times New Roman" w:cs="Times New Roman"/>
          <w:b/>
          <w:bCs/>
        </w:rPr>
      </w:pPr>
    </w:p>
    <w:p w14:paraId="0CB58D5D" w14:textId="77777777" w:rsidR="00C6254D" w:rsidRDefault="00C6254D" w:rsidP="00E75597">
      <w:pPr>
        <w:jc w:val="center"/>
        <w:rPr>
          <w:rFonts w:ascii="Times New Roman" w:hAnsi="Times New Roman" w:cs="Times New Roman"/>
          <w:b/>
          <w:bCs/>
        </w:rPr>
      </w:pPr>
    </w:p>
    <w:p w14:paraId="2066B352" w14:textId="77777777" w:rsidR="00C6254D" w:rsidRDefault="00C6254D" w:rsidP="00E75597">
      <w:pPr>
        <w:jc w:val="center"/>
        <w:rPr>
          <w:rFonts w:ascii="Times New Roman" w:hAnsi="Times New Roman" w:cs="Times New Roman"/>
          <w:b/>
          <w:bCs/>
        </w:rPr>
      </w:pPr>
    </w:p>
    <w:p w14:paraId="1CAEFB5F" w14:textId="77777777" w:rsidR="00C6254D" w:rsidRDefault="00C6254D" w:rsidP="00E75597">
      <w:pPr>
        <w:jc w:val="center"/>
        <w:rPr>
          <w:rFonts w:ascii="Times New Roman" w:hAnsi="Times New Roman" w:cs="Times New Roman"/>
          <w:b/>
          <w:bCs/>
        </w:rPr>
      </w:pPr>
    </w:p>
    <w:p w14:paraId="45AAF26C" w14:textId="137CFE50" w:rsidR="00E75597" w:rsidRPr="00167644" w:rsidRDefault="00E75597" w:rsidP="00E9732D">
      <w:pPr>
        <w:contextualSpacing/>
        <w:jc w:val="center"/>
        <w:rPr>
          <w:rFonts w:ascii="Times New Roman" w:hAnsi="Times New Roman" w:cs="Times New Roman"/>
          <w:b/>
          <w:bCs/>
        </w:rPr>
      </w:pPr>
      <w:r w:rsidRPr="68BEF812">
        <w:rPr>
          <w:rFonts w:ascii="Times New Roman" w:hAnsi="Times New Roman" w:cs="Times New Roman"/>
          <w:b/>
          <w:bCs/>
        </w:rPr>
        <w:lastRenderedPageBreak/>
        <w:t>Information Request</w:t>
      </w:r>
    </w:p>
    <w:p w14:paraId="6E06C939" w14:textId="28B1BCF6" w:rsidR="00E75597" w:rsidRPr="00167644" w:rsidRDefault="00E75597" w:rsidP="00E9732D">
      <w:pPr>
        <w:contextualSpacing/>
        <w:jc w:val="center"/>
        <w:rPr>
          <w:rFonts w:ascii="Times New Roman" w:hAnsi="Times New Roman" w:cs="Times New Roman"/>
          <w:b/>
          <w:bCs/>
        </w:rPr>
      </w:pPr>
      <w:r w:rsidRPr="00167644">
        <w:rPr>
          <w:rFonts w:ascii="Times New Roman" w:hAnsi="Times New Roman" w:cs="Times New Roman"/>
          <w:b/>
          <w:bCs/>
        </w:rPr>
        <w:t>Docket No. 42315</w:t>
      </w:r>
    </w:p>
    <w:p w14:paraId="129AD84B" w14:textId="77777777" w:rsidR="00A82269" w:rsidRDefault="00A82269" w:rsidP="00E9732D">
      <w:pPr>
        <w:contextualSpacing/>
        <w:rPr>
          <w:rFonts w:ascii="Times New Roman" w:hAnsi="Times New Roman" w:cs="Times New Roman"/>
        </w:rPr>
      </w:pPr>
    </w:p>
    <w:p w14:paraId="1843B353" w14:textId="394933CD" w:rsidR="00A82269" w:rsidRPr="00A8568D" w:rsidRDefault="009E6FF7" w:rsidP="00E9732D">
      <w:pPr>
        <w:contextualSpacing/>
        <w:rPr>
          <w:rFonts w:ascii="Times New Roman" w:hAnsi="Times New Roman" w:cs="Times New Roman"/>
          <w:b/>
          <w:bCs/>
          <w:u w:val="single"/>
        </w:rPr>
      </w:pPr>
      <w:r w:rsidRPr="00A8568D">
        <w:rPr>
          <w:rFonts w:ascii="Times New Roman" w:hAnsi="Times New Roman" w:cs="Times New Roman"/>
          <w:b/>
          <w:bCs/>
          <w:u w:val="single"/>
        </w:rPr>
        <w:t>2026 GRAM Schedule-11a</w:t>
      </w:r>
    </w:p>
    <w:p w14:paraId="504A8633" w14:textId="7067CEF4" w:rsidR="00A82269" w:rsidRPr="00686892" w:rsidRDefault="00B43CA4" w:rsidP="00686892">
      <w:pPr>
        <w:ind w:left="1440" w:hanging="1440"/>
        <w:contextualSpacing/>
        <w:rPr>
          <w:rFonts w:ascii="Times New Roman" w:hAnsi="Times New Roman" w:cs="Times New Roman"/>
        </w:rPr>
      </w:pPr>
      <w:r w:rsidRPr="2AA7DB82">
        <w:rPr>
          <w:rFonts w:ascii="Times New Roman" w:hAnsi="Times New Roman" w:cs="Times New Roman"/>
        </w:rPr>
        <w:t>STF-52-1</w:t>
      </w:r>
      <w:r>
        <w:tab/>
      </w:r>
      <w:r w:rsidR="00A82269" w:rsidRPr="2AA7DB82">
        <w:rPr>
          <w:rFonts w:ascii="Times New Roman" w:hAnsi="Times New Roman" w:cs="Times New Roman"/>
        </w:rPr>
        <w:t xml:space="preserve">In Schedule-11a Column-C Row-33, Line-12, AGL provided a </w:t>
      </w:r>
      <w:r w:rsidR="007874F7" w:rsidRPr="2AA7DB82">
        <w:rPr>
          <w:rFonts w:ascii="Times New Roman" w:hAnsi="Times New Roman" w:cs="Times New Roman"/>
        </w:rPr>
        <w:t>R</w:t>
      </w:r>
      <w:r w:rsidR="00A82269" w:rsidRPr="2AA7DB82">
        <w:rPr>
          <w:rFonts w:ascii="Times New Roman" w:hAnsi="Times New Roman" w:cs="Times New Roman"/>
        </w:rPr>
        <w:t xml:space="preserve">evenue </w:t>
      </w:r>
      <w:r w:rsidR="007874F7" w:rsidRPr="2AA7DB82">
        <w:rPr>
          <w:rFonts w:ascii="Times New Roman" w:hAnsi="Times New Roman" w:cs="Times New Roman"/>
        </w:rPr>
        <w:t>R</w:t>
      </w:r>
      <w:r w:rsidR="00A82269" w:rsidRPr="2AA7DB82">
        <w:rPr>
          <w:rFonts w:ascii="Times New Roman" w:hAnsi="Times New Roman" w:cs="Times New Roman"/>
        </w:rPr>
        <w:t xml:space="preserve">equirement </w:t>
      </w:r>
      <w:r w:rsidR="007874F7" w:rsidRPr="2AA7DB82">
        <w:rPr>
          <w:rFonts w:ascii="Times New Roman" w:hAnsi="Times New Roman" w:cs="Times New Roman"/>
        </w:rPr>
        <w:t>A</w:t>
      </w:r>
      <w:r w:rsidR="00A82269" w:rsidRPr="2AA7DB82">
        <w:rPr>
          <w:rFonts w:ascii="Times New Roman" w:hAnsi="Times New Roman" w:cs="Times New Roman"/>
        </w:rPr>
        <w:t>djustment</w:t>
      </w:r>
      <w:r w:rsidR="007874F7" w:rsidRPr="2AA7DB82">
        <w:rPr>
          <w:rFonts w:ascii="Times New Roman" w:hAnsi="Times New Roman" w:cs="Times New Roman"/>
        </w:rPr>
        <w:t xml:space="preserve"> (“RRA”)</w:t>
      </w:r>
      <w:r w:rsidR="00A82269" w:rsidRPr="2AA7DB82">
        <w:rPr>
          <w:rFonts w:ascii="Times New Roman" w:hAnsi="Times New Roman" w:cs="Times New Roman"/>
        </w:rPr>
        <w:t xml:space="preserve"> of ($43,000,000). </w:t>
      </w:r>
      <w:r w:rsidR="5748CFE6" w:rsidRPr="2AA7DB82">
        <w:rPr>
          <w:rFonts w:ascii="Times New Roman" w:hAnsi="Times New Roman" w:cs="Times New Roman"/>
        </w:rPr>
        <w:t xml:space="preserve">Please explain </w:t>
      </w:r>
      <w:r w:rsidR="55E1F4CB" w:rsidRPr="2AA7DB82">
        <w:rPr>
          <w:rFonts w:ascii="Times New Roman" w:hAnsi="Times New Roman" w:cs="Times New Roman"/>
        </w:rPr>
        <w:t>w</w:t>
      </w:r>
      <w:r w:rsidR="00A82269" w:rsidRPr="2AA7DB82">
        <w:rPr>
          <w:rFonts w:ascii="Times New Roman" w:hAnsi="Times New Roman" w:cs="Times New Roman"/>
        </w:rPr>
        <w:t xml:space="preserve">hy  AGL </w:t>
      </w:r>
      <w:r w:rsidR="458F669E" w:rsidRPr="2AA7DB82">
        <w:rPr>
          <w:rFonts w:ascii="Times New Roman" w:hAnsi="Times New Roman" w:cs="Times New Roman"/>
        </w:rPr>
        <w:t xml:space="preserve">is </w:t>
      </w:r>
      <w:r w:rsidR="00A82269" w:rsidRPr="2AA7DB82">
        <w:rPr>
          <w:rFonts w:ascii="Times New Roman" w:hAnsi="Times New Roman" w:cs="Times New Roman"/>
        </w:rPr>
        <w:t>placing this adjustment in Schedule-11a</w:t>
      </w:r>
    </w:p>
    <w:p w14:paraId="69101D48" w14:textId="77777777" w:rsidR="00A82269" w:rsidRDefault="00A82269" w:rsidP="00A82269">
      <w:pPr>
        <w:pStyle w:val="ListParagraph"/>
        <w:ind w:left="1800"/>
        <w:rPr>
          <w:rFonts w:ascii="Times New Roman" w:hAnsi="Times New Roman" w:cs="Times New Roman"/>
        </w:rPr>
      </w:pPr>
    </w:p>
    <w:p w14:paraId="5222498C" w14:textId="2BAD8F82" w:rsidR="00A82269" w:rsidRPr="00686892" w:rsidRDefault="00686892" w:rsidP="00686892">
      <w:pPr>
        <w:ind w:left="1440" w:hanging="1440"/>
        <w:rPr>
          <w:rFonts w:ascii="Times New Roman" w:hAnsi="Times New Roman" w:cs="Times New Roman"/>
        </w:rPr>
      </w:pPr>
      <w:r w:rsidRPr="2AA7DB82">
        <w:rPr>
          <w:rFonts w:ascii="Times New Roman" w:hAnsi="Times New Roman" w:cs="Times New Roman"/>
        </w:rPr>
        <w:t>STF-52-2</w:t>
      </w:r>
      <w:r>
        <w:tab/>
      </w:r>
      <w:r w:rsidRPr="2AA7DB82">
        <w:rPr>
          <w:rFonts w:ascii="Times New Roman" w:hAnsi="Times New Roman" w:cs="Times New Roman"/>
        </w:rPr>
        <w:t xml:space="preserve"> </w:t>
      </w:r>
      <w:r w:rsidR="5E0A06B9" w:rsidRPr="2AA7DB82">
        <w:rPr>
          <w:rFonts w:ascii="Times New Roman" w:hAnsi="Times New Roman" w:cs="Times New Roman"/>
        </w:rPr>
        <w:t xml:space="preserve">In </w:t>
      </w:r>
      <w:r w:rsidRPr="2AA7DB82">
        <w:rPr>
          <w:rFonts w:ascii="Times New Roman" w:hAnsi="Times New Roman" w:cs="Times New Roman"/>
        </w:rPr>
        <w:t xml:space="preserve">Schedule-11a Column-C Line-12 </w:t>
      </w:r>
      <w:r w:rsidR="007874F7" w:rsidRPr="2AA7DB82">
        <w:rPr>
          <w:rFonts w:ascii="Times New Roman" w:hAnsi="Times New Roman" w:cs="Times New Roman"/>
        </w:rPr>
        <w:t>RRA</w:t>
      </w:r>
      <w:r w:rsidRPr="2AA7DB82">
        <w:rPr>
          <w:rFonts w:ascii="Times New Roman" w:hAnsi="Times New Roman" w:cs="Times New Roman"/>
        </w:rPr>
        <w:t>, w</w:t>
      </w:r>
      <w:r w:rsidR="00A82269" w:rsidRPr="2AA7DB82">
        <w:rPr>
          <w:rFonts w:ascii="Times New Roman" w:hAnsi="Times New Roman" w:cs="Times New Roman"/>
        </w:rPr>
        <w:t>hat is the dollar amount  in the 2026 GRAM model</w:t>
      </w:r>
      <w:r w:rsidR="00766F25">
        <w:rPr>
          <w:rFonts w:ascii="Times New Roman" w:hAnsi="Times New Roman" w:cs="Times New Roman"/>
        </w:rPr>
        <w:t>, ($43,100,000), that reduced the revenue requirement</w:t>
      </w:r>
      <w:r w:rsidR="00A82269" w:rsidRPr="2AA7DB82">
        <w:rPr>
          <w:rFonts w:ascii="Times New Roman" w:hAnsi="Times New Roman" w:cs="Times New Roman"/>
        </w:rPr>
        <w:t>?</w:t>
      </w:r>
    </w:p>
    <w:p w14:paraId="7B9ABDD7" w14:textId="77777777" w:rsidR="00A82269" w:rsidRDefault="00A82269" w:rsidP="00A82269">
      <w:pPr>
        <w:pStyle w:val="ListParagraph"/>
        <w:ind w:left="1800"/>
        <w:rPr>
          <w:rFonts w:ascii="Times New Roman" w:hAnsi="Times New Roman" w:cs="Times New Roman"/>
        </w:rPr>
      </w:pPr>
    </w:p>
    <w:p w14:paraId="24C9F9BF" w14:textId="2952CB72" w:rsidR="00A82269" w:rsidRPr="00686892" w:rsidRDefault="00686892" w:rsidP="00686892">
      <w:pPr>
        <w:ind w:left="1440" w:hanging="1440"/>
        <w:rPr>
          <w:rFonts w:ascii="Times New Roman" w:hAnsi="Times New Roman" w:cs="Times New Roman"/>
        </w:rPr>
      </w:pPr>
      <w:r w:rsidRPr="2AA7DB82">
        <w:rPr>
          <w:rFonts w:ascii="Times New Roman" w:hAnsi="Times New Roman" w:cs="Times New Roman"/>
        </w:rPr>
        <w:t>STF-52-</w:t>
      </w:r>
      <w:r w:rsidR="0BAE48C0" w:rsidRPr="2AA7DB82">
        <w:rPr>
          <w:rFonts w:ascii="Times New Roman" w:hAnsi="Times New Roman" w:cs="Times New Roman"/>
        </w:rPr>
        <w:t>3</w:t>
      </w:r>
      <w:r>
        <w:tab/>
      </w:r>
      <w:r w:rsidR="518457BB" w:rsidRPr="2AA7DB82">
        <w:rPr>
          <w:rFonts w:ascii="Times New Roman" w:hAnsi="Times New Roman" w:cs="Times New Roman"/>
        </w:rPr>
        <w:t xml:space="preserve"> In</w:t>
      </w:r>
      <w:r w:rsidRPr="2AA7DB82">
        <w:rPr>
          <w:rFonts w:ascii="Times New Roman" w:hAnsi="Times New Roman" w:cs="Times New Roman"/>
        </w:rPr>
        <w:t xml:space="preserve"> Schedule-11a Column-C Line-12 </w:t>
      </w:r>
      <w:r w:rsidR="007874F7" w:rsidRPr="2AA7DB82">
        <w:rPr>
          <w:rFonts w:ascii="Times New Roman" w:hAnsi="Times New Roman" w:cs="Times New Roman"/>
        </w:rPr>
        <w:t>RRA</w:t>
      </w:r>
      <w:r w:rsidRPr="2AA7DB82">
        <w:rPr>
          <w:rFonts w:ascii="Times New Roman" w:hAnsi="Times New Roman" w:cs="Times New Roman"/>
        </w:rPr>
        <w:t xml:space="preserve">, </w:t>
      </w:r>
      <w:r w:rsidR="7847C5D7" w:rsidRPr="2AA7DB82">
        <w:rPr>
          <w:rFonts w:ascii="Times New Roman" w:hAnsi="Times New Roman" w:cs="Times New Roman"/>
        </w:rPr>
        <w:t>will</w:t>
      </w:r>
      <w:r w:rsidR="00A82269" w:rsidRPr="2AA7DB82">
        <w:rPr>
          <w:rFonts w:ascii="Times New Roman" w:hAnsi="Times New Roman" w:cs="Times New Roman"/>
        </w:rPr>
        <w:t xml:space="preserve"> </w:t>
      </w:r>
      <w:r w:rsidR="00A82269" w:rsidRPr="006567F6">
        <w:rPr>
          <w:rFonts w:ascii="Times New Roman" w:hAnsi="Times New Roman" w:cs="Times New Roman"/>
        </w:rPr>
        <w:t>AGL attempt</w:t>
      </w:r>
      <w:r w:rsidR="00A82269" w:rsidRPr="2AA7DB82">
        <w:rPr>
          <w:rFonts w:ascii="Times New Roman" w:hAnsi="Times New Roman" w:cs="Times New Roman"/>
        </w:rPr>
        <w:t xml:space="preserve"> to recoup this dollar amount in a future GRAM or rate proceeding</w:t>
      </w:r>
      <w:r w:rsidR="006C5685">
        <w:rPr>
          <w:rFonts w:ascii="Times New Roman" w:hAnsi="Times New Roman" w:cs="Times New Roman"/>
        </w:rPr>
        <w:t>s</w:t>
      </w:r>
      <w:r w:rsidR="00A82269" w:rsidRPr="2AA7DB82">
        <w:rPr>
          <w:rFonts w:ascii="Times New Roman" w:hAnsi="Times New Roman" w:cs="Times New Roman"/>
        </w:rPr>
        <w:t>?</w:t>
      </w:r>
    </w:p>
    <w:p w14:paraId="02653C3E" w14:textId="77777777" w:rsidR="00A82269" w:rsidRPr="00A82269" w:rsidRDefault="00A82269" w:rsidP="00A82269">
      <w:pPr>
        <w:pStyle w:val="ListParagraph"/>
        <w:rPr>
          <w:rFonts w:ascii="Times New Roman" w:hAnsi="Times New Roman" w:cs="Times New Roman"/>
        </w:rPr>
      </w:pPr>
    </w:p>
    <w:p w14:paraId="43A09447" w14:textId="33E5F35D" w:rsidR="00A82269" w:rsidRPr="007874F7" w:rsidRDefault="00686892" w:rsidP="007874F7">
      <w:pPr>
        <w:ind w:left="1440" w:hanging="1440"/>
        <w:rPr>
          <w:rFonts w:ascii="Times New Roman" w:hAnsi="Times New Roman" w:cs="Times New Roman"/>
        </w:rPr>
      </w:pPr>
      <w:r w:rsidRPr="00766F25">
        <w:rPr>
          <w:rFonts w:ascii="Times New Roman" w:hAnsi="Times New Roman" w:cs="Times New Roman"/>
        </w:rPr>
        <w:t>STF-52-</w:t>
      </w:r>
      <w:r w:rsidR="41FB795A" w:rsidRPr="00766F25">
        <w:rPr>
          <w:rFonts w:ascii="Times New Roman" w:hAnsi="Times New Roman" w:cs="Times New Roman"/>
        </w:rPr>
        <w:t>4</w:t>
      </w:r>
      <w:r w:rsidRPr="00766F25">
        <w:tab/>
      </w:r>
      <w:r w:rsidR="00A82269" w:rsidRPr="00766F25">
        <w:rPr>
          <w:rFonts w:ascii="Times New Roman" w:hAnsi="Times New Roman" w:cs="Times New Roman"/>
        </w:rPr>
        <w:t>AGL’s authorized ROE is 10.25%.</w:t>
      </w:r>
      <w:r w:rsidR="00B0084B" w:rsidRPr="00766F25">
        <w:rPr>
          <w:rFonts w:ascii="Times New Roman" w:hAnsi="Times New Roman" w:cs="Times New Roman"/>
        </w:rPr>
        <w:t xml:space="preserve"> T</w:t>
      </w:r>
      <w:r w:rsidR="00A82269" w:rsidRPr="00766F25">
        <w:rPr>
          <w:rFonts w:ascii="Times New Roman" w:hAnsi="Times New Roman" w:cs="Times New Roman"/>
        </w:rPr>
        <w:t xml:space="preserve">he Schedule-11a Row-19, Line-5, Operating Income Deficiency of $84,972,015 was due to an ROE forecasted shortfall of -3.10% (10.25% - 7.15%). </w:t>
      </w:r>
      <w:r w:rsidRPr="00766F25">
        <w:rPr>
          <w:rFonts w:ascii="Times New Roman" w:hAnsi="Times New Roman" w:cs="Times New Roman"/>
        </w:rPr>
        <w:t>By AGL reducing the Schedule-11a Row-23, Line-7, Proposed Revenue Adjustment of $113,414,851 (with tax gross up)</w:t>
      </w:r>
      <w:r w:rsidR="007874F7" w:rsidRPr="00766F25">
        <w:rPr>
          <w:rFonts w:ascii="Times New Roman" w:hAnsi="Times New Roman" w:cs="Times New Roman"/>
        </w:rPr>
        <w:t xml:space="preserve"> with the </w:t>
      </w:r>
      <w:r w:rsidR="00F67A5A">
        <w:rPr>
          <w:rFonts w:ascii="Times New Roman" w:hAnsi="Times New Roman" w:cs="Times New Roman"/>
        </w:rPr>
        <w:t xml:space="preserve">Column-C Row-33, </w:t>
      </w:r>
      <w:r w:rsidR="007874F7" w:rsidRPr="00766F25">
        <w:rPr>
          <w:rFonts w:ascii="Times New Roman" w:hAnsi="Times New Roman" w:cs="Times New Roman"/>
        </w:rPr>
        <w:t>Line-12</w:t>
      </w:r>
      <w:r w:rsidRPr="00766F25">
        <w:rPr>
          <w:rFonts w:ascii="Times New Roman" w:hAnsi="Times New Roman" w:cs="Times New Roman"/>
        </w:rPr>
        <w:t xml:space="preserve">, what is AGL’s </w:t>
      </w:r>
      <w:r w:rsidR="008D4204" w:rsidRPr="00766F25">
        <w:rPr>
          <w:rFonts w:ascii="Times New Roman" w:hAnsi="Times New Roman" w:cs="Times New Roman"/>
        </w:rPr>
        <w:t xml:space="preserve">adjusted </w:t>
      </w:r>
      <w:r w:rsidRPr="00766F25">
        <w:rPr>
          <w:rFonts w:ascii="Times New Roman" w:hAnsi="Times New Roman" w:cs="Times New Roman"/>
        </w:rPr>
        <w:t xml:space="preserve">forecasted ROE when the </w:t>
      </w:r>
      <w:r w:rsidR="007874F7" w:rsidRPr="00766F25">
        <w:rPr>
          <w:rFonts w:ascii="Times New Roman" w:hAnsi="Times New Roman" w:cs="Times New Roman"/>
        </w:rPr>
        <w:t xml:space="preserve">Line-7 </w:t>
      </w:r>
      <w:r w:rsidR="00F67A5A">
        <w:rPr>
          <w:rFonts w:ascii="Times New Roman" w:hAnsi="Times New Roman" w:cs="Times New Roman"/>
        </w:rPr>
        <w:t>($43,100,000) is removed</w:t>
      </w:r>
      <w:r w:rsidR="00CE67CF">
        <w:rPr>
          <w:rFonts w:ascii="Times New Roman" w:hAnsi="Times New Roman" w:cs="Times New Roman"/>
        </w:rPr>
        <w:t>?</w:t>
      </w:r>
    </w:p>
    <w:p w14:paraId="006D29F8" w14:textId="77777777" w:rsidR="00686892" w:rsidRPr="002B7776" w:rsidRDefault="00686892" w:rsidP="00686892">
      <w:pPr>
        <w:pStyle w:val="ListParagraph"/>
        <w:rPr>
          <w:rFonts w:ascii="Times New Roman" w:hAnsi="Times New Roman" w:cs="Times New Roman"/>
        </w:rPr>
      </w:pPr>
    </w:p>
    <w:p w14:paraId="777522D2" w14:textId="3F55140A" w:rsidR="007B70DA" w:rsidRPr="002B7776" w:rsidRDefault="00686892" w:rsidP="007874F7">
      <w:pPr>
        <w:ind w:left="1440" w:hanging="1440"/>
        <w:rPr>
          <w:rFonts w:ascii="Times New Roman" w:eastAsia="Times New Roman" w:hAnsi="Times New Roman" w:cs="Times New Roman"/>
          <w:kern w:val="0"/>
          <w14:ligatures w14:val="none"/>
        </w:rPr>
      </w:pPr>
      <w:r w:rsidRPr="002B7776">
        <w:rPr>
          <w:rFonts w:ascii="Times New Roman" w:hAnsi="Times New Roman" w:cs="Times New Roman"/>
        </w:rPr>
        <w:t>STF-52-</w:t>
      </w:r>
      <w:r w:rsidR="75BA5E37" w:rsidRPr="002B7776">
        <w:rPr>
          <w:rFonts w:ascii="Times New Roman" w:hAnsi="Times New Roman" w:cs="Times New Roman"/>
        </w:rPr>
        <w:t>5</w:t>
      </w:r>
      <w:r w:rsidRPr="002B7776">
        <w:rPr>
          <w:rFonts w:ascii="Times New Roman" w:hAnsi="Times New Roman" w:cs="Times New Roman"/>
        </w:rPr>
        <w:tab/>
      </w:r>
      <w:r w:rsidR="008229FA">
        <w:rPr>
          <w:rFonts w:ascii="Times New Roman" w:hAnsi="Times New Roman" w:cs="Times New Roman"/>
        </w:rPr>
        <w:t>In</w:t>
      </w:r>
      <w:r w:rsidRPr="002B7776">
        <w:rPr>
          <w:rFonts w:ascii="Times New Roman" w:hAnsi="Times New Roman" w:cs="Times New Roman"/>
        </w:rPr>
        <w:t xml:space="preserve"> </w:t>
      </w:r>
      <w:r w:rsidR="00F17CB5" w:rsidRPr="002B7776">
        <w:rPr>
          <w:rFonts w:ascii="Times New Roman" w:hAnsi="Times New Roman" w:cs="Times New Roman"/>
        </w:rPr>
        <w:t>Schedule-11a Column-C Row-</w:t>
      </w:r>
      <w:r w:rsidR="007B70DA" w:rsidRPr="002B7776">
        <w:rPr>
          <w:rFonts w:ascii="Times New Roman" w:hAnsi="Times New Roman" w:cs="Times New Roman"/>
        </w:rPr>
        <w:t xml:space="preserve">35, Line-13, </w:t>
      </w:r>
      <w:r w:rsidR="008229FA">
        <w:rPr>
          <w:rFonts w:ascii="Times New Roman" w:hAnsi="Times New Roman" w:cs="Times New Roman"/>
        </w:rPr>
        <w:t xml:space="preserve">a </w:t>
      </w:r>
      <w:r w:rsidR="007B70DA" w:rsidRPr="002B7776">
        <w:rPr>
          <w:rFonts w:ascii="Times New Roman" w:eastAsia="Times New Roman" w:hAnsi="Times New Roman" w:cs="Times New Roman"/>
          <w:kern w:val="0"/>
          <w14:ligatures w14:val="none"/>
        </w:rPr>
        <w:t xml:space="preserve">R&amp;D Tax Credit </w:t>
      </w:r>
      <w:r w:rsidR="008229FA">
        <w:rPr>
          <w:rFonts w:ascii="Times New Roman" w:eastAsia="Times New Roman" w:hAnsi="Times New Roman" w:cs="Times New Roman"/>
          <w:kern w:val="0"/>
          <w14:ligatures w14:val="none"/>
        </w:rPr>
        <w:t>is a</w:t>
      </w:r>
      <w:r w:rsidR="007B70DA" w:rsidRPr="002B7776">
        <w:rPr>
          <w:rFonts w:ascii="Times New Roman" w:eastAsia="Times New Roman" w:hAnsi="Times New Roman" w:cs="Times New Roman"/>
          <w:kern w:val="0"/>
          <w14:ligatures w14:val="none"/>
        </w:rPr>
        <w:t>pplied to R-1 Customers, ($1,975,000)</w:t>
      </w:r>
      <w:r w:rsidR="007874F7" w:rsidRPr="002B7776">
        <w:rPr>
          <w:rFonts w:ascii="Times New Roman" w:eastAsia="Times New Roman" w:hAnsi="Times New Roman" w:cs="Times New Roman"/>
          <w:kern w:val="0"/>
          <w14:ligatures w14:val="none"/>
        </w:rPr>
        <w:t xml:space="preserve">. </w:t>
      </w:r>
      <w:r w:rsidR="007B70DA" w:rsidRPr="002B7776">
        <w:rPr>
          <w:rFonts w:ascii="Times New Roman" w:eastAsia="Times New Roman" w:hAnsi="Times New Roman" w:cs="Times New Roman"/>
          <w:kern w:val="0"/>
          <w14:ligatures w14:val="none"/>
        </w:rPr>
        <w:t xml:space="preserve">In </w:t>
      </w:r>
      <w:r w:rsidR="007B70DA" w:rsidRPr="002B7776">
        <w:rPr>
          <w:rFonts w:ascii="Times New Roman" w:eastAsia="Times New Roman" w:hAnsi="Times New Roman" w:cs="Times New Roman"/>
          <w:b/>
          <w:bCs/>
          <w:kern w:val="0"/>
          <w14:ligatures w14:val="none"/>
        </w:rPr>
        <w:t xml:space="preserve">Table-1 </w:t>
      </w:r>
      <w:r w:rsidR="007B70DA" w:rsidRPr="002B7776">
        <w:rPr>
          <w:rFonts w:ascii="Times New Roman" w:eastAsia="Times New Roman" w:hAnsi="Times New Roman" w:cs="Times New Roman"/>
          <w:kern w:val="0"/>
          <w14:ligatures w14:val="none"/>
        </w:rPr>
        <w:t xml:space="preserve">below, the Inputs worksheet shows numerous R&amp;D tax credits. </w:t>
      </w:r>
      <w:r w:rsidR="74BC96BE" w:rsidRPr="002B7776">
        <w:rPr>
          <w:rFonts w:ascii="Times New Roman" w:eastAsia="Times New Roman" w:hAnsi="Times New Roman" w:cs="Times New Roman"/>
          <w:kern w:val="0"/>
          <w14:ligatures w14:val="none"/>
        </w:rPr>
        <w:t xml:space="preserve">Please explain </w:t>
      </w:r>
      <w:r w:rsidR="7ED3BB3F" w:rsidRPr="002B7776">
        <w:rPr>
          <w:rFonts w:ascii="Times New Roman" w:eastAsia="Times New Roman" w:hAnsi="Times New Roman" w:cs="Times New Roman"/>
          <w:kern w:val="0"/>
          <w14:ligatures w14:val="none"/>
        </w:rPr>
        <w:t>w</w:t>
      </w:r>
      <w:r w:rsidR="007B70DA" w:rsidRPr="002B7776">
        <w:rPr>
          <w:rFonts w:ascii="Times New Roman" w:eastAsia="Times New Roman" w:hAnsi="Times New Roman" w:cs="Times New Roman"/>
          <w:kern w:val="0"/>
          <w14:ligatures w14:val="none"/>
        </w:rPr>
        <w:t xml:space="preserve">hy </w:t>
      </w:r>
      <w:r w:rsidR="7FDF7EAB" w:rsidRPr="002B7776">
        <w:rPr>
          <w:rFonts w:ascii="Times New Roman" w:eastAsia="Times New Roman" w:hAnsi="Times New Roman" w:cs="Times New Roman"/>
          <w:kern w:val="0"/>
          <w14:ligatures w14:val="none"/>
        </w:rPr>
        <w:t>one dollar amount is only</w:t>
      </w:r>
      <w:r w:rsidR="007B70DA" w:rsidRPr="002B7776">
        <w:rPr>
          <w:rFonts w:ascii="Times New Roman" w:eastAsia="Times New Roman" w:hAnsi="Times New Roman" w:cs="Times New Roman"/>
          <w:kern w:val="0"/>
          <w14:ligatures w14:val="none"/>
        </w:rPr>
        <w:t xml:space="preserve"> being applied to the 2026 </w:t>
      </w:r>
      <w:proofErr w:type="gramStart"/>
      <w:r w:rsidR="007B70DA" w:rsidRPr="002B7776">
        <w:rPr>
          <w:rFonts w:ascii="Times New Roman" w:eastAsia="Times New Roman" w:hAnsi="Times New Roman" w:cs="Times New Roman"/>
          <w:kern w:val="0"/>
          <w14:ligatures w14:val="none"/>
        </w:rPr>
        <w:t>GRAM?</w:t>
      </w:r>
      <w:proofErr w:type="gramEnd"/>
    </w:p>
    <w:p w14:paraId="1C583EC7" w14:textId="157165E5" w:rsidR="00686892" w:rsidRPr="002B7776" w:rsidRDefault="00686892" w:rsidP="00686892">
      <w:pPr>
        <w:rPr>
          <w:rFonts w:ascii="Times New Roman" w:hAnsi="Times New Roman" w:cs="Times New Roman"/>
          <w:b/>
          <w:bCs/>
        </w:rPr>
      </w:pPr>
    </w:p>
    <w:p w14:paraId="270D9E55" w14:textId="3C8E7E1C" w:rsidR="007B70DA" w:rsidRPr="007B70DA" w:rsidRDefault="007B70DA" w:rsidP="007B70DA">
      <w:pPr>
        <w:ind w:left="1440"/>
        <w:rPr>
          <w:rFonts w:ascii="Times New Roman" w:hAnsi="Times New Roman" w:cs="Times New Roman"/>
          <w:b/>
          <w:bCs/>
        </w:rPr>
      </w:pPr>
      <w:r w:rsidRPr="007B70DA">
        <w:rPr>
          <w:rFonts w:ascii="Times New Roman" w:hAnsi="Times New Roman" w:cs="Times New Roman"/>
          <w:b/>
          <w:bCs/>
        </w:rPr>
        <w:t xml:space="preserve">Table-1: Inputs Worksheet R&amp;D Tax Credits </w:t>
      </w:r>
    </w:p>
    <w:p w14:paraId="49A10746" w14:textId="2AB7F9D7" w:rsidR="007B70DA" w:rsidRDefault="007B70DA" w:rsidP="00686892">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7B70DA">
        <w:rPr>
          <w:rFonts w:ascii="Times New Roman" w:hAnsi="Times New Roman" w:cs="Times New Roman"/>
          <w:noProof/>
        </w:rPr>
        <w:drawing>
          <wp:inline distT="0" distB="0" distL="0" distR="0" wp14:anchorId="6EF86C31" wp14:editId="12F37FFE">
            <wp:extent cx="4763165" cy="1448002"/>
            <wp:effectExtent l="0" t="0" r="0" b="0"/>
            <wp:docPr id="1216475523" name="Picture 1" descr="Graphical user interface, text, application,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475523" name="Picture 1" descr="Graphical user interface, text, application, email&#10;&#10;AI-generated content may be incorrect."/>
                    <pic:cNvPicPr/>
                  </pic:nvPicPr>
                  <pic:blipFill>
                    <a:blip r:embed="rId11"/>
                    <a:stretch>
                      <a:fillRect/>
                    </a:stretch>
                  </pic:blipFill>
                  <pic:spPr>
                    <a:xfrm>
                      <a:off x="0" y="0"/>
                      <a:ext cx="4763165" cy="1448002"/>
                    </a:xfrm>
                    <a:prstGeom prst="rect">
                      <a:avLst/>
                    </a:prstGeom>
                  </pic:spPr>
                </pic:pic>
              </a:graphicData>
            </a:graphic>
          </wp:inline>
        </w:drawing>
      </w:r>
    </w:p>
    <w:p w14:paraId="498A0E15" w14:textId="77777777" w:rsidR="007B70DA" w:rsidRDefault="007B70DA" w:rsidP="00686892">
      <w:pPr>
        <w:rPr>
          <w:rFonts w:ascii="Times New Roman" w:hAnsi="Times New Roman" w:cs="Times New Roman"/>
        </w:rPr>
      </w:pPr>
    </w:p>
    <w:p w14:paraId="52EA018E" w14:textId="3DEE8BF0" w:rsidR="007874F7" w:rsidRDefault="007874F7" w:rsidP="00765CA4">
      <w:pPr>
        <w:spacing w:line="259" w:lineRule="auto"/>
        <w:ind w:left="1440" w:hanging="1440"/>
        <w:rPr>
          <w:rFonts w:ascii="Times New Roman" w:hAnsi="Times New Roman" w:cs="Times New Roman"/>
        </w:rPr>
      </w:pPr>
      <w:r>
        <w:rPr>
          <w:rFonts w:ascii="Times New Roman" w:hAnsi="Times New Roman" w:cs="Times New Roman"/>
        </w:rPr>
        <w:t>STF-52-</w:t>
      </w:r>
      <w:r w:rsidR="485E9EA9" w:rsidRPr="2AA7DB82">
        <w:rPr>
          <w:rFonts w:ascii="Times New Roman" w:hAnsi="Times New Roman" w:cs="Times New Roman"/>
        </w:rPr>
        <w:t>6</w:t>
      </w:r>
      <w:r>
        <w:rPr>
          <w:rFonts w:ascii="Times New Roman" w:hAnsi="Times New Roman" w:cs="Times New Roman"/>
        </w:rPr>
        <w:tab/>
        <w:t xml:space="preserve">Regarding the Schedule-11a Column-C Row-35, Line-13, </w:t>
      </w:r>
      <w:r w:rsidRPr="007B70DA">
        <w:rPr>
          <w:rFonts w:ascii="Arial" w:eastAsia="Times New Roman" w:hAnsi="Arial" w:cs="Arial"/>
          <w:kern w:val="0"/>
          <w:sz w:val="20"/>
          <w:szCs w:val="20"/>
          <w14:ligatures w14:val="none"/>
        </w:rPr>
        <w:t>R&amp;D Tax Credit Applied to R-1 Customers</w:t>
      </w:r>
      <w:r>
        <w:rPr>
          <w:rFonts w:ascii="Arial" w:eastAsia="Times New Roman" w:hAnsi="Arial" w:cs="Arial"/>
          <w:kern w:val="0"/>
          <w:sz w:val="20"/>
          <w:szCs w:val="20"/>
          <w14:ligatures w14:val="none"/>
        </w:rPr>
        <w:t xml:space="preserve">, </w:t>
      </w:r>
      <w:r w:rsidR="0D9DD5DD">
        <w:rPr>
          <w:rFonts w:ascii="Arial" w:eastAsia="Times New Roman" w:hAnsi="Arial" w:cs="Arial"/>
          <w:kern w:val="0"/>
          <w:sz w:val="20"/>
          <w:szCs w:val="20"/>
          <w14:ligatures w14:val="none"/>
        </w:rPr>
        <w:t xml:space="preserve">please explain </w:t>
      </w:r>
      <w:r>
        <w:rPr>
          <w:rFonts w:ascii="Arial" w:eastAsia="Times New Roman" w:hAnsi="Arial" w:cs="Arial"/>
          <w:kern w:val="0"/>
          <w:sz w:val="20"/>
          <w:szCs w:val="20"/>
          <w14:ligatures w14:val="none"/>
        </w:rPr>
        <w:t>why  this</w:t>
      </w:r>
      <w:r w:rsidR="71DCCDBB">
        <w:rPr>
          <w:rFonts w:ascii="Arial" w:eastAsia="Times New Roman" w:hAnsi="Arial" w:cs="Arial"/>
          <w:kern w:val="0"/>
          <w:sz w:val="20"/>
          <w:szCs w:val="20"/>
          <w14:ligatures w14:val="none"/>
        </w:rPr>
        <w:t xml:space="preserve"> is</w:t>
      </w:r>
      <w:r>
        <w:rPr>
          <w:rFonts w:ascii="Arial" w:eastAsia="Times New Roman" w:hAnsi="Arial" w:cs="Arial"/>
          <w:kern w:val="0"/>
          <w:sz w:val="20"/>
          <w:szCs w:val="20"/>
          <w14:ligatures w14:val="none"/>
        </w:rPr>
        <w:t xml:space="preserve"> called “Applied to R-1 Customers” when the reduction to the Line-7 Proposed Revenue Adjustment will impact all customer Classes</w:t>
      </w:r>
      <w:r w:rsidR="6BD335EB">
        <w:rPr>
          <w:rFonts w:ascii="Arial" w:eastAsia="Times New Roman" w:hAnsi="Arial" w:cs="Arial"/>
          <w:kern w:val="0"/>
          <w:sz w:val="20"/>
          <w:szCs w:val="20"/>
          <w14:ligatures w14:val="none"/>
        </w:rPr>
        <w:t>.</w:t>
      </w:r>
    </w:p>
    <w:p w14:paraId="2256F37B" w14:textId="77777777" w:rsidR="007874F7" w:rsidRDefault="007874F7" w:rsidP="00686892">
      <w:pPr>
        <w:rPr>
          <w:rFonts w:ascii="Times New Roman" w:hAnsi="Times New Roman" w:cs="Times New Roman"/>
        </w:rPr>
      </w:pPr>
    </w:p>
    <w:p w14:paraId="32BA5BB4" w14:textId="2E5ABB77" w:rsidR="007B70DA" w:rsidRPr="006567F6" w:rsidRDefault="007874F7" w:rsidP="00EC374D">
      <w:pPr>
        <w:ind w:left="1440" w:hanging="1440"/>
        <w:rPr>
          <w:rFonts w:ascii="Times New Roman" w:hAnsi="Times New Roman" w:cs="Times New Roman"/>
        </w:rPr>
      </w:pPr>
      <w:r w:rsidRPr="006567F6">
        <w:rPr>
          <w:rFonts w:ascii="Times New Roman" w:hAnsi="Times New Roman" w:cs="Times New Roman"/>
        </w:rPr>
        <w:t>STF-52-</w:t>
      </w:r>
      <w:r w:rsidR="258FCF41" w:rsidRPr="006567F6">
        <w:rPr>
          <w:rFonts w:ascii="Times New Roman" w:hAnsi="Times New Roman" w:cs="Times New Roman"/>
        </w:rPr>
        <w:t>7</w:t>
      </w:r>
      <w:r w:rsidRPr="006567F6">
        <w:tab/>
      </w:r>
      <w:r w:rsidRPr="006567F6">
        <w:rPr>
          <w:rFonts w:ascii="Times New Roman" w:hAnsi="Times New Roman" w:cs="Times New Roman"/>
        </w:rPr>
        <w:t xml:space="preserve">AGL’s authorized ROE is 10.25%. the Schedule-11a Row-19, Line-5, Operating Income Deficiency of $84,972,015 was due to an ROE forecasted shortfall of -3.10% (10.25% - 7.15%). By AGL reducing the Schedule-11a Row-23, Line-7, Proposed Revenue Adjustment of $113,414,851 (with tax gross up), </w:t>
      </w:r>
      <w:r w:rsidR="2D585E45" w:rsidRPr="006567F6">
        <w:rPr>
          <w:rFonts w:ascii="Times New Roman" w:hAnsi="Times New Roman" w:cs="Times New Roman"/>
        </w:rPr>
        <w:t xml:space="preserve">please explain </w:t>
      </w:r>
      <w:r w:rsidRPr="006567F6">
        <w:rPr>
          <w:rFonts w:ascii="Times New Roman" w:hAnsi="Times New Roman" w:cs="Times New Roman"/>
        </w:rPr>
        <w:t xml:space="preserve">what is AGL’s </w:t>
      </w:r>
      <w:r w:rsidR="008D4204" w:rsidRPr="006567F6">
        <w:rPr>
          <w:rFonts w:ascii="Times New Roman" w:hAnsi="Times New Roman" w:cs="Times New Roman"/>
        </w:rPr>
        <w:t xml:space="preserve">adjusted forecasted ROE when the </w:t>
      </w:r>
      <w:r w:rsidR="00F67A5A" w:rsidRPr="006567F6">
        <w:rPr>
          <w:rFonts w:ascii="Times New Roman" w:hAnsi="Times New Roman" w:cs="Times New Roman"/>
        </w:rPr>
        <w:t xml:space="preserve">Column-C Row-35, </w:t>
      </w:r>
      <w:r w:rsidR="008D4204" w:rsidRPr="006567F6">
        <w:rPr>
          <w:rFonts w:ascii="Times New Roman" w:hAnsi="Times New Roman" w:cs="Times New Roman"/>
        </w:rPr>
        <w:t xml:space="preserve">Line- Proposed </w:t>
      </w:r>
      <w:r w:rsidR="00F67A5A" w:rsidRPr="006567F6">
        <w:rPr>
          <w:rFonts w:ascii="Times New Roman" w:hAnsi="Times New Roman" w:cs="Times New Roman"/>
        </w:rPr>
        <w:t>R&amp; D Tax credit of</w:t>
      </w:r>
      <w:r w:rsidR="008D4204" w:rsidRPr="006567F6">
        <w:rPr>
          <w:rFonts w:ascii="Times New Roman" w:hAnsi="Times New Roman" w:cs="Times New Roman"/>
        </w:rPr>
        <w:t xml:space="preserve"> ($1,975,000)</w:t>
      </w:r>
      <w:r w:rsidR="00766F25" w:rsidRPr="006567F6">
        <w:rPr>
          <w:rFonts w:ascii="Times New Roman" w:hAnsi="Times New Roman" w:cs="Times New Roman"/>
        </w:rPr>
        <w:t xml:space="preserve"> </w:t>
      </w:r>
      <w:r w:rsidR="00F67A5A" w:rsidRPr="006567F6">
        <w:rPr>
          <w:rFonts w:ascii="Times New Roman" w:hAnsi="Times New Roman" w:cs="Times New Roman"/>
        </w:rPr>
        <w:t>is removed</w:t>
      </w:r>
      <w:r w:rsidR="4C98600D" w:rsidRPr="006567F6">
        <w:rPr>
          <w:rFonts w:ascii="Times New Roman" w:hAnsi="Times New Roman" w:cs="Times New Roman"/>
        </w:rPr>
        <w:t>.</w:t>
      </w:r>
    </w:p>
    <w:p w14:paraId="5550DC7E" w14:textId="01ABF951" w:rsidR="2AA7DB82" w:rsidRPr="006567F6" w:rsidRDefault="2AA7DB82" w:rsidP="2AA7DB82">
      <w:pPr>
        <w:ind w:left="1440" w:hanging="1440"/>
        <w:rPr>
          <w:rFonts w:ascii="Times New Roman" w:hAnsi="Times New Roman" w:cs="Times New Roman"/>
        </w:rPr>
      </w:pPr>
    </w:p>
    <w:p w14:paraId="2D380773" w14:textId="081237EB" w:rsidR="007B70DA" w:rsidRDefault="00EC374D" w:rsidP="00EC374D">
      <w:pPr>
        <w:ind w:left="1440" w:hanging="1440"/>
        <w:rPr>
          <w:rFonts w:ascii="Times New Roman" w:hAnsi="Times New Roman" w:cs="Times New Roman"/>
        </w:rPr>
      </w:pPr>
      <w:r w:rsidRPr="006567F6">
        <w:rPr>
          <w:rFonts w:ascii="Times New Roman" w:hAnsi="Times New Roman" w:cs="Times New Roman"/>
        </w:rPr>
        <w:t>STF-52-</w:t>
      </w:r>
      <w:r w:rsidR="15136499" w:rsidRPr="006567F6">
        <w:rPr>
          <w:rFonts w:ascii="Times New Roman" w:hAnsi="Times New Roman" w:cs="Times New Roman"/>
        </w:rPr>
        <w:t>8</w:t>
      </w:r>
      <w:r w:rsidRPr="006567F6">
        <w:tab/>
      </w:r>
      <w:r w:rsidRPr="006567F6">
        <w:rPr>
          <w:rFonts w:ascii="Times New Roman" w:hAnsi="Times New Roman" w:cs="Times New Roman"/>
        </w:rPr>
        <w:t xml:space="preserve">When combining the Schedule-11a Line-12 RRA and the Line-13 R&amp;D Tax Credit, the total reduction to the Line-7 Proposed Revenue Adjustment is ($45,075,000). </w:t>
      </w:r>
      <w:r w:rsidR="4F2FA61F" w:rsidRPr="006567F6">
        <w:rPr>
          <w:rFonts w:ascii="Times New Roman" w:hAnsi="Times New Roman" w:cs="Times New Roman"/>
        </w:rPr>
        <w:t xml:space="preserve">Please explain </w:t>
      </w:r>
      <w:r w:rsidR="008D4204" w:rsidRPr="006567F6">
        <w:rPr>
          <w:rFonts w:ascii="Times New Roman" w:hAnsi="Times New Roman" w:cs="Times New Roman"/>
        </w:rPr>
        <w:t>what is AGL’s adjusted forecasted ROE when the Line-7 Proposed Revenue Adjustment is reduced by ($45,075,000)</w:t>
      </w:r>
      <w:r w:rsidR="35D5FC33" w:rsidRPr="006567F6">
        <w:rPr>
          <w:rFonts w:ascii="Times New Roman" w:hAnsi="Times New Roman" w:cs="Times New Roman"/>
        </w:rPr>
        <w:t>.</w:t>
      </w:r>
    </w:p>
    <w:p w14:paraId="7A574910" w14:textId="77777777" w:rsidR="007B70DA" w:rsidRDefault="007B70DA" w:rsidP="00686892">
      <w:pPr>
        <w:rPr>
          <w:rFonts w:ascii="Times New Roman" w:hAnsi="Times New Roman" w:cs="Times New Roman"/>
        </w:rPr>
      </w:pPr>
    </w:p>
    <w:p w14:paraId="2E36F5C9" w14:textId="69D68784" w:rsidR="007B70DA" w:rsidRDefault="00E676E2" w:rsidP="000E01A9">
      <w:pPr>
        <w:ind w:left="1440" w:hanging="1440"/>
        <w:rPr>
          <w:rFonts w:ascii="Times New Roman" w:hAnsi="Times New Roman" w:cs="Times New Roman"/>
        </w:rPr>
      </w:pPr>
      <w:r w:rsidRPr="2AA7DB82">
        <w:rPr>
          <w:rFonts w:ascii="Times New Roman" w:hAnsi="Times New Roman" w:cs="Times New Roman"/>
        </w:rPr>
        <w:t>STF-52-</w:t>
      </w:r>
      <w:r w:rsidR="6F31C181" w:rsidRPr="2AA7DB82">
        <w:rPr>
          <w:rFonts w:ascii="Times New Roman" w:hAnsi="Times New Roman" w:cs="Times New Roman"/>
        </w:rPr>
        <w:t>9</w:t>
      </w:r>
      <w:r>
        <w:tab/>
      </w:r>
      <w:r w:rsidR="000E01A9" w:rsidRPr="2AA7DB82">
        <w:rPr>
          <w:rFonts w:ascii="Times New Roman" w:hAnsi="Times New Roman" w:cs="Times New Roman"/>
        </w:rPr>
        <w:t xml:space="preserve">On Schedule-11a, AGL shows that it will need a revenue increase of $84,972,015 to achieve its authorized ROE of 10.25%. This </w:t>
      </w:r>
      <w:r w:rsidR="31B92498" w:rsidRPr="2AA7DB82">
        <w:rPr>
          <w:rFonts w:ascii="Times New Roman" w:hAnsi="Times New Roman" w:cs="Times New Roman"/>
        </w:rPr>
        <w:t xml:space="preserve">is </w:t>
      </w:r>
      <w:r w:rsidR="000E01A9" w:rsidRPr="2AA7DB82">
        <w:rPr>
          <w:rFonts w:ascii="Times New Roman" w:hAnsi="Times New Roman" w:cs="Times New Roman"/>
        </w:rPr>
        <w:t>separate from the income tax amount on the revenue increase, which is $28,169,836. Does AGL agree that any reduction to its Line-7 Propose</w:t>
      </w:r>
      <w:r w:rsidR="122934EF" w:rsidRPr="2AA7DB82">
        <w:rPr>
          <w:rFonts w:ascii="Times New Roman" w:hAnsi="Times New Roman" w:cs="Times New Roman"/>
        </w:rPr>
        <w:t>d</w:t>
      </w:r>
      <w:r w:rsidR="000E01A9" w:rsidRPr="2AA7DB82">
        <w:rPr>
          <w:rFonts w:ascii="Times New Roman" w:hAnsi="Times New Roman" w:cs="Times New Roman"/>
        </w:rPr>
        <w:t xml:space="preserve"> Revenue Adjustment will </w:t>
      </w:r>
      <w:r w:rsidR="009727F8">
        <w:rPr>
          <w:rFonts w:ascii="Times New Roman" w:hAnsi="Times New Roman" w:cs="Times New Roman"/>
        </w:rPr>
        <w:t>impact</w:t>
      </w:r>
      <w:r w:rsidR="000E01A9" w:rsidRPr="2AA7DB82">
        <w:rPr>
          <w:rFonts w:ascii="Times New Roman" w:hAnsi="Times New Roman" w:cs="Times New Roman"/>
        </w:rPr>
        <w:t xml:space="preserve"> AGL</w:t>
      </w:r>
      <w:r w:rsidR="009727F8">
        <w:rPr>
          <w:rFonts w:ascii="Times New Roman" w:hAnsi="Times New Roman" w:cs="Times New Roman"/>
        </w:rPr>
        <w:t>’s ability</w:t>
      </w:r>
      <w:r w:rsidR="000E01A9" w:rsidRPr="2AA7DB82">
        <w:rPr>
          <w:rFonts w:ascii="Times New Roman" w:hAnsi="Times New Roman" w:cs="Times New Roman"/>
        </w:rPr>
        <w:t xml:space="preserve"> to achieve it authorized ROE?</w:t>
      </w:r>
    </w:p>
    <w:p w14:paraId="05C6BB34" w14:textId="77777777" w:rsidR="00157D36" w:rsidRDefault="00157D36" w:rsidP="000E01A9">
      <w:pPr>
        <w:ind w:left="1440" w:hanging="1440"/>
        <w:rPr>
          <w:rFonts w:ascii="Times New Roman" w:hAnsi="Times New Roman" w:cs="Times New Roman"/>
        </w:rPr>
      </w:pPr>
    </w:p>
    <w:p w14:paraId="41D726A4" w14:textId="12475F55" w:rsidR="00157D36" w:rsidRDefault="00157D36" w:rsidP="000E01A9">
      <w:pPr>
        <w:ind w:left="1440" w:hanging="1440"/>
        <w:rPr>
          <w:rFonts w:ascii="Times New Roman" w:hAnsi="Times New Roman" w:cs="Times New Roman"/>
        </w:rPr>
      </w:pPr>
      <w:r w:rsidRPr="2AA7DB82">
        <w:rPr>
          <w:rFonts w:ascii="Times New Roman" w:hAnsi="Times New Roman" w:cs="Times New Roman"/>
        </w:rPr>
        <w:t>STF-52-</w:t>
      </w:r>
      <w:r w:rsidR="71E2472A" w:rsidRPr="2AA7DB82">
        <w:rPr>
          <w:rFonts w:ascii="Times New Roman" w:hAnsi="Times New Roman" w:cs="Times New Roman"/>
        </w:rPr>
        <w:t>10</w:t>
      </w:r>
      <w:r>
        <w:tab/>
      </w:r>
      <w:r w:rsidRPr="2AA7DB82">
        <w:rPr>
          <w:rFonts w:ascii="Times New Roman" w:hAnsi="Times New Roman" w:cs="Times New Roman"/>
        </w:rPr>
        <w:t xml:space="preserve">Regarding tax credits and other adjustments that appear on Schedule-11a, as a reduction, or increase, why </w:t>
      </w:r>
      <w:r w:rsidR="009727F8">
        <w:rPr>
          <w:rFonts w:ascii="Times New Roman" w:hAnsi="Times New Roman" w:cs="Times New Roman"/>
        </w:rPr>
        <w:t xml:space="preserve">does not </w:t>
      </w:r>
      <w:r w:rsidRPr="2AA7DB82">
        <w:rPr>
          <w:rFonts w:ascii="Times New Roman" w:hAnsi="Times New Roman" w:cs="Times New Roman"/>
        </w:rPr>
        <w:t>AGL provide these adjustments to rate base or O&amp;M</w:t>
      </w:r>
      <w:r w:rsidR="009727F8">
        <w:rPr>
          <w:rFonts w:ascii="Times New Roman" w:hAnsi="Times New Roman" w:cs="Times New Roman"/>
        </w:rPr>
        <w:t>, which</w:t>
      </w:r>
      <w:r w:rsidRPr="2AA7DB82">
        <w:rPr>
          <w:rFonts w:ascii="Times New Roman" w:hAnsi="Times New Roman" w:cs="Times New Roman"/>
        </w:rPr>
        <w:t xml:space="preserve"> can have a direct impact to the forecasted ROE calculation on Schedule-2? This would ensure the Schedule-11a Proposed Revenue Adjustment is in line with the revenue increase, or </w:t>
      </w:r>
      <w:r w:rsidR="16CDBD4F" w:rsidRPr="2AA7DB82">
        <w:rPr>
          <w:rFonts w:ascii="Times New Roman" w:hAnsi="Times New Roman" w:cs="Times New Roman"/>
        </w:rPr>
        <w:t>decrease</w:t>
      </w:r>
      <w:r w:rsidR="00336F18">
        <w:rPr>
          <w:rFonts w:ascii="Times New Roman" w:hAnsi="Times New Roman" w:cs="Times New Roman"/>
        </w:rPr>
        <w:t xml:space="preserve"> that </w:t>
      </w:r>
      <w:r w:rsidR="16CDBD4F" w:rsidRPr="2AA7DB82">
        <w:rPr>
          <w:rFonts w:ascii="Times New Roman" w:hAnsi="Times New Roman" w:cs="Times New Roman"/>
        </w:rPr>
        <w:t>AGL</w:t>
      </w:r>
      <w:r w:rsidRPr="2AA7DB82">
        <w:rPr>
          <w:rFonts w:ascii="Times New Roman" w:hAnsi="Times New Roman" w:cs="Times New Roman"/>
        </w:rPr>
        <w:t xml:space="preserve"> would need to achieve its authorized ROE. </w:t>
      </w:r>
    </w:p>
    <w:p w14:paraId="36FEF44F" w14:textId="77777777" w:rsidR="00157D36" w:rsidRDefault="00157D36" w:rsidP="000E01A9">
      <w:pPr>
        <w:ind w:left="1440" w:hanging="1440"/>
        <w:rPr>
          <w:rFonts w:ascii="Times New Roman" w:hAnsi="Times New Roman" w:cs="Times New Roman"/>
        </w:rPr>
      </w:pPr>
    </w:p>
    <w:p w14:paraId="379B8FD5" w14:textId="487B6444" w:rsidR="00C950C9" w:rsidRPr="00300E9D" w:rsidRDefault="00C950C9" w:rsidP="00B06AF1">
      <w:pPr>
        <w:ind w:left="1440" w:hanging="1440"/>
        <w:rPr>
          <w:rFonts w:ascii="Times New Roman" w:hAnsi="Times New Roman" w:cs="Times New Roman"/>
        </w:rPr>
      </w:pPr>
      <w:r w:rsidRPr="2AA7DB82">
        <w:rPr>
          <w:rFonts w:ascii="Times New Roman" w:hAnsi="Times New Roman" w:cs="Times New Roman"/>
        </w:rPr>
        <w:t>STF-52-</w:t>
      </w:r>
      <w:r w:rsidR="1F9F17F1" w:rsidRPr="2AA7DB82">
        <w:rPr>
          <w:rFonts w:ascii="Times New Roman" w:hAnsi="Times New Roman" w:cs="Times New Roman"/>
        </w:rPr>
        <w:t>11</w:t>
      </w:r>
      <w:r>
        <w:tab/>
      </w:r>
      <w:r w:rsidRPr="2AA7DB82">
        <w:rPr>
          <w:rFonts w:ascii="Times New Roman" w:hAnsi="Times New Roman" w:cs="Times New Roman"/>
        </w:rPr>
        <w:t>Regarding Schedule-11a Row-39 Line-12, AGL listed Peaking Revenue Adjustment from the Peaking Model, Attachment-D. In Staff’s 51</w:t>
      </w:r>
      <w:r w:rsidRPr="2AA7DB82">
        <w:rPr>
          <w:rFonts w:ascii="Times New Roman" w:hAnsi="Times New Roman" w:cs="Times New Roman"/>
          <w:vertAlign w:val="superscript"/>
        </w:rPr>
        <w:t>st</w:t>
      </w:r>
      <w:r w:rsidRPr="2AA7DB82">
        <w:rPr>
          <w:rFonts w:ascii="Times New Roman" w:hAnsi="Times New Roman" w:cs="Times New Roman"/>
        </w:rPr>
        <w:t xml:space="preserve"> Set, the Staff raised issues about AGL comingling the Peaking Charge revenues with total Rate Base revenues in WP 4. The GRAM model addressed base rate items and calculations, not Peaking. Does AGL agree to remove the Peaking dollar amount in Schedule-11a since it is addressed in Attachment-D?</w:t>
      </w:r>
      <w:r w:rsidR="00300E9D" w:rsidRPr="2AA7DB82">
        <w:rPr>
          <w:rFonts w:ascii="Times New Roman" w:hAnsi="Times New Roman" w:cs="Times New Roman"/>
        </w:rPr>
        <w:t xml:space="preserve"> </w:t>
      </w:r>
    </w:p>
    <w:p w14:paraId="4FCC29B4" w14:textId="77777777" w:rsidR="00300E9D" w:rsidRDefault="00300E9D" w:rsidP="001B21F2">
      <w:pPr>
        <w:rPr>
          <w:rFonts w:ascii="Times New Roman" w:hAnsi="Times New Roman" w:cs="Times New Roman"/>
        </w:rPr>
      </w:pPr>
    </w:p>
    <w:p w14:paraId="011FEFEB" w14:textId="6DC1E5CE" w:rsidR="007B70DA" w:rsidRPr="00300E9D" w:rsidRDefault="00300E9D" w:rsidP="00686892">
      <w:pPr>
        <w:rPr>
          <w:rFonts w:ascii="Times New Roman" w:hAnsi="Times New Roman" w:cs="Times New Roman"/>
          <w:b/>
          <w:bCs/>
          <w:u w:val="single"/>
        </w:rPr>
      </w:pPr>
      <w:r w:rsidRPr="00300E9D">
        <w:rPr>
          <w:rFonts w:ascii="Times New Roman" w:hAnsi="Times New Roman" w:cs="Times New Roman"/>
          <w:b/>
          <w:bCs/>
          <w:u w:val="single"/>
        </w:rPr>
        <w:t xml:space="preserve">Schedule-11b </w:t>
      </w:r>
    </w:p>
    <w:p w14:paraId="4E0A504C" w14:textId="2B555D77" w:rsidR="006940B3" w:rsidRDefault="00300E9D" w:rsidP="00B06AF1">
      <w:pPr>
        <w:ind w:left="1440" w:hanging="1440"/>
        <w:rPr>
          <w:rFonts w:ascii="Times New Roman" w:hAnsi="Times New Roman" w:cs="Times New Roman"/>
        </w:rPr>
      </w:pPr>
      <w:r w:rsidRPr="2AA7DB82">
        <w:rPr>
          <w:rFonts w:ascii="Times New Roman" w:hAnsi="Times New Roman" w:cs="Times New Roman"/>
        </w:rPr>
        <w:t>STF-52-1</w:t>
      </w:r>
      <w:r w:rsidR="17464C6D" w:rsidRPr="2AA7DB82">
        <w:rPr>
          <w:rFonts w:ascii="Times New Roman" w:hAnsi="Times New Roman" w:cs="Times New Roman"/>
        </w:rPr>
        <w:t>2</w:t>
      </w:r>
      <w:r>
        <w:tab/>
      </w:r>
      <w:r w:rsidRPr="2AA7DB82">
        <w:rPr>
          <w:rFonts w:ascii="Times New Roman" w:hAnsi="Times New Roman" w:cs="Times New Roman"/>
        </w:rPr>
        <w:t>Regarding Schedule-</w:t>
      </w:r>
      <w:r w:rsidR="00B06AF1" w:rsidRPr="2AA7DB82">
        <w:rPr>
          <w:rFonts w:ascii="Times New Roman" w:hAnsi="Times New Roman" w:cs="Times New Roman"/>
        </w:rPr>
        <w:t xml:space="preserve">11a Q78, AGL listed $69,348,829 as the revenue requirement increase, but in Schedule-11a, the final revenue requirement increase was $66,372,165. When investigating this matter, the Staff found </w:t>
      </w:r>
      <w:r w:rsidR="00336F18">
        <w:rPr>
          <w:rFonts w:ascii="Times New Roman" w:hAnsi="Times New Roman" w:cs="Times New Roman"/>
        </w:rPr>
        <w:t xml:space="preserve">that </w:t>
      </w:r>
      <w:r w:rsidR="00B06AF1" w:rsidRPr="2AA7DB82">
        <w:rPr>
          <w:rFonts w:ascii="Times New Roman" w:hAnsi="Times New Roman" w:cs="Times New Roman"/>
        </w:rPr>
        <w:t>AGL did not include the Sched</w:t>
      </w:r>
      <w:r w:rsidR="00336F18">
        <w:rPr>
          <w:rFonts w:ascii="Times New Roman" w:hAnsi="Times New Roman" w:cs="Times New Roman"/>
        </w:rPr>
        <w:t>u</w:t>
      </w:r>
      <w:r w:rsidR="00B06AF1" w:rsidRPr="2AA7DB82">
        <w:rPr>
          <w:rFonts w:ascii="Times New Roman" w:hAnsi="Times New Roman" w:cs="Times New Roman"/>
        </w:rPr>
        <w:t>le-11a C25 2024 GRAM RTU adjustment. AGL engage</w:t>
      </w:r>
      <w:r w:rsidR="00336F18">
        <w:rPr>
          <w:rFonts w:ascii="Times New Roman" w:hAnsi="Times New Roman" w:cs="Times New Roman"/>
        </w:rPr>
        <w:t>d</w:t>
      </w:r>
      <w:r w:rsidR="00B06AF1" w:rsidRPr="2AA7DB82">
        <w:rPr>
          <w:rFonts w:ascii="Times New Roman" w:hAnsi="Times New Roman" w:cs="Times New Roman"/>
        </w:rPr>
        <w:t xml:space="preserve"> in a separate RTU allocation and rate calculation </w:t>
      </w:r>
      <w:r w:rsidR="001B21F2" w:rsidRPr="2AA7DB82">
        <w:rPr>
          <w:rFonts w:ascii="Times New Roman" w:hAnsi="Times New Roman" w:cs="Times New Roman"/>
        </w:rPr>
        <w:t xml:space="preserve">in Schedule-11b Columns X and Y. This was not approved during the 2019 rate case, </w:t>
      </w:r>
      <w:r w:rsidR="00336F18">
        <w:rPr>
          <w:rFonts w:ascii="Times New Roman" w:hAnsi="Times New Roman" w:cs="Times New Roman"/>
        </w:rPr>
        <w:t>it did not</w:t>
      </w:r>
      <w:r w:rsidR="001B21F2" w:rsidRPr="2AA7DB82">
        <w:rPr>
          <w:rFonts w:ascii="Times New Roman" w:hAnsi="Times New Roman" w:cs="Times New Roman"/>
        </w:rPr>
        <w:t xml:space="preserve"> appear in the 2020 rate case Compliance Filing, and it </w:t>
      </w:r>
      <w:r w:rsidR="00336F18">
        <w:rPr>
          <w:rFonts w:ascii="Times New Roman" w:hAnsi="Times New Roman" w:cs="Times New Roman"/>
        </w:rPr>
        <w:t>does not</w:t>
      </w:r>
      <w:r w:rsidR="00336F18" w:rsidRPr="2AA7DB82">
        <w:rPr>
          <w:rFonts w:ascii="Times New Roman" w:hAnsi="Times New Roman" w:cs="Times New Roman"/>
        </w:rPr>
        <w:t xml:space="preserve"> </w:t>
      </w:r>
      <w:r w:rsidR="001B21F2" w:rsidRPr="2AA7DB82">
        <w:rPr>
          <w:rFonts w:ascii="Times New Roman" w:hAnsi="Times New Roman" w:cs="Times New Roman"/>
        </w:rPr>
        <w:t xml:space="preserve">appear in the </w:t>
      </w:r>
      <w:r w:rsidR="00C74E26" w:rsidRPr="2AA7DB82">
        <w:rPr>
          <w:rFonts w:ascii="Times New Roman" w:hAnsi="Times New Roman" w:cs="Times New Roman"/>
        </w:rPr>
        <w:t xml:space="preserve">GRAM Tariff Section 26. </w:t>
      </w:r>
      <w:r w:rsidR="001B21F2" w:rsidRPr="2AA7DB82">
        <w:rPr>
          <w:rFonts w:ascii="Times New Roman" w:hAnsi="Times New Roman" w:cs="Times New Roman"/>
        </w:rPr>
        <w:t xml:space="preserve">There is no approval for </w:t>
      </w:r>
      <w:r w:rsidR="00205008" w:rsidRPr="2AA7DB82">
        <w:rPr>
          <w:rFonts w:ascii="Times New Roman" w:hAnsi="Times New Roman" w:cs="Times New Roman"/>
        </w:rPr>
        <w:t>an RTU</w:t>
      </w:r>
      <w:r w:rsidR="001B21F2" w:rsidRPr="2AA7DB82">
        <w:rPr>
          <w:rFonts w:ascii="Times New Roman" w:hAnsi="Times New Roman" w:cs="Times New Roman"/>
        </w:rPr>
        <w:t xml:space="preserve"> rate. </w:t>
      </w:r>
      <w:r w:rsidR="006940B3" w:rsidRPr="2AA7DB82">
        <w:rPr>
          <w:rFonts w:ascii="Times New Roman" w:hAnsi="Times New Roman" w:cs="Times New Roman"/>
        </w:rPr>
        <w:t>Please answer the following:</w:t>
      </w:r>
    </w:p>
    <w:p w14:paraId="2136CE87" w14:textId="77777777" w:rsidR="006940B3" w:rsidRDefault="006940B3" w:rsidP="00B06AF1">
      <w:pPr>
        <w:ind w:left="1440" w:hanging="1440"/>
        <w:rPr>
          <w:rFonts w:ascii="Times New Roman" w:hAnsi="Times New Roman" w:cs="Times New Roman"/>
        </w:rPr>
      </w:pPr>
    </w:p>
    <w:p w14:paraId="2BE1BBE5" w14:textId="04EF5ADA" w:rsidR="00300E9D" w:rsidRDefault="001B21F2">
      <w:pPr>
        <w:pStyle w:val="ListParagraph"/>
        <w:numPr>
          <w:ilvl w:val="0"/>
          <w:numId w:val="4"/>
        </w:numPr>
        <w:rPr>
          <w:rFonts w:ascii="Times New Roman" w:hAnsi="Times New Roman" w:cs="Times New Roman"/>
        </w:rPr>
      </w:pPr>
      <w:r w:rsidRPr="006940B3">
        <w:rPr>
          <w:rFonts w:ascii="Times New Roman" w:hAnsi="Times New Roman" w:cs="Times New Roman"/>
        </w:rPr>
        <w:t xml:space="preserve">Does AGL agree to use the actual revenue requirement dollar amount in Schedule-11a C37 that </w:t>
      </w:r>
      <w:r w:rsidR="00F974C5">
        <w:rPr>
          <w:rFonts w:ascii="Times New Roman" w:hAnsi="Times New Roman" w:cs="Times New Roman"/>
        </w:rPr>
        <w:t>would</w:t>
      </w:r>
      <w:r w:rsidR="00F974C5" w:rsidRPr="006940B3">
        <w:rPr>
          <w:rFonts w:ascii="Times New Roman" w:hAnsi="Times New Roman" w:cs="Times New Roman"/>
        </w:rPr>
        <w:t xml:space="preserve"> </w:t>
      </w:r>
      <w:r w:rsidRPr="006940B3">
        <w:rPr>
          <w:rFonts w:ascii="Times New Roman" w:hAnsi="Times New Roman" w:cs="Times New Roman"/>
        </w:rPr>
        <w:t>be transferred to Schedule-11b Q78 to be allocated in Column-Q, as approved in the 2020 rate case?</w:t>
      </w:r>
      <w:r w:rsidR="00337B78" w:rsidRPr="006940B3">
        <w:rPr>
          <w:rFonts w:ascii="Times New Roman" w:hAnsi="Times New Roman" w:cs="Times New Roman"/>
        </w:rPr>
        <w:t xml:space="preserve"> This will require the removal of Columns </w:t>
      </w:r>
      <w:r w:rsidR="00B07B9C" w:rsidRPr="006940B3">
        <w:rPr>
          <w:rFonts w:ascii="Times New Roman" w:hAnsi="Times New Roman" w:cs="Times New Roman"/>
        </w:rPr>
        <w:t xml:space="preserve">S, </w:t>
      </w:r>
      <w:r w:rsidR="00337B78" w:rsidRPr="006940B3">
        <w:rPr>
          <w:rFonts w:ascii="Times New Roman" w:hAnsi="Times New Roman" w:cs="Times New Roman"/>
        </w:rPr>
        <w:t>W, X,</w:t>
      </w:r>
      <w:r w:rsidR="00B07B9C" w:rsidRPr="006940B3">
        <w:rPr>
          <w:rFonts w:ascii="Times New Roman" w:hAnsi="Times New Roman" w:cs="Times New Roman"/>
        </w:rPr>
        <w:t xml:space="preserve">Y, </w:t>
      </w:r>
      <w:r w:rsidR="00337B78" w:rsidRPr="006940B3">
        <w:rPr>
          <w:rFonts w:ascii="Times New Roman" w:hAnsi="Times New Roman" w:cs="Times New Roman"/>
        </w:rPr>
        <w:t>AN,</w:t>
      </w:r>
      <w:r w:rsidR="00B07B9C" w:rsidRPr="006940B3">
        <w:rPr>
          <w:rFonts w:ascii="Times New Roman" w:hAnsi="Times New Roman" w:cs="Times New Roman"/>
        </w:rPr>
        <w:t xml:space="preserve"> </w:t>
      </w:r>
      <w:r w:rsidR="00337B78" w:rsidRPr="006940B3">
        <w:rPr>
          <w:rFonts w:ascii="Times New Roman" w:hAnsi="Times New Roman" w:cs="Times New Roman"/>
        </w:rPr>
        <w:t>AO</w:t>
      </w:r>
      <w:r w:rsidR="00B07B9C" w:rsidRPr="006940B3">
        <w:rPr>
          <w:rFonts w:ascii="Times New Roman" w:hAnsi="Times New Roman" w:cs="Times New Roman"/>
        </w:rPr>
        <w:t>, and AP</w:t>
      </w:r>
      <w:r w:rsidR="00337B78" w:rsidRPr="006940B3">
        <w:rPr>
          <w:rFonts w:ascii="Times New Roman" w:hAnsi="Times New Roman" w:cs="Times New Roman"/>
        </w:rPr>
        <w:t xml:space="preserve">. </w:t>
      </w:r>
    </w:p>
    <w:p w14:paraId="70EDE7E4" w14:textId="77777777" w:rsidR="006940B3" w:rsidRDefault="006940B3" w:rsidP="006940B3">
      <w:pPr>
        <w:pStyle w:val="ListParagraph"/>
        <w:ind w:left="1890"/>
        <w:rPr>
          <w:rFonts w:ascii="Times New Roman" w:hAnsi="Times New Roman" w:cs="Times New Roman"/>
        </w:rPr>
      </w:pPr>
    </w:p>
    <w:p w14:paraId="2C46EE8B" w14:textId="07E663C7" w:rsidR="006940B3" w:rsidRPr="006940B3" w:rsidRDefault="006940B3">
      <w:pPr>
        <w:pStyle w:val="ListParagraph"/>
        <w:numPr>
          <w:ilvl w:val="0"/>
          <w:numId w:val="4"/>
        </w:numPr>
        <w:rPr>
          <w:rFonts w:ascii="Times New Roman" w:hAnsi="Times New Roman" w:cs="Times New Roman"/>
        </w:rPr>
      </w:pPr>
      <w:r>
        <w:rPr>
          <w:rFonts w:ascii="Times New Roman" w:hAnsi="Times New Roman" w:cs="Times New Roman"/>
        </w:rPr>
        <w:t>In Schedule-11f, does AGL agree to remove Columns E and J?</w:t>
      </w:r>
    </w:p>
    <w:p w14:paraId="722A5D3C" w14:textId="77777777" w:rsidR="00337B78" w:rsidRDefault="00337B78" w:rsidP="00AA0CF2">
      <w:pPr>
        <w:rPr>
          <w:rFonts w:ascii="Times New Roman" w:hAnsi="Times New Roman" w:cs="Times New Roman"/>
        </w:rPr>
      </w:pPr>
    </w:p>
    <w:p w14:paraId="22134C3A" w14:textId="77777777" w:rsidR="006940B3" w:rsidRDefault="006940B3" w:rsidP="00AA0CF2">
      <w:pPr>
        <w:rPr>
          <w:rFonts w:ascii="Times New Roman" w:hAnsi="Times New Roman" w:cs="Times New Roman"/>
        </w:rPr>
      </w:pPr>
    </w:p>
    <w:p w14:paraId="53B40483" w14:textId="77777777" w:rsidR="006940B3" w:rsidRDefault="006940B3" w:rsidP="00AA0CF2">
      <w:pPr>
        <w:rPr>
          <w:rFonts w:ascii="Times New Roman" w:hAnsi="Times New Roman" w:cs="Times New Roman"/>
        </w:rPr>
      </w:pPr>
    </w:p>
    <w:p w14:paraId="655A0AE7" w14:textId="77777777" w:rsidR="006940B3" w:rsidRDefault="006940B3" w:rsidP="00AA0CF2">
      <w:pPr>
        <w:rPr>
          <w:rFonts w:ascii="Times New Roman" w:hAnsi="Times New Roman" w:cs="Times New Roman"/>
        </w:rPr>
      </w:pPr>
    </w:p>
    <w:p w14:paraId="0F8F7AD1" w14:textId="77777777" w:rsidR="006940B3" w:rsidRDefault="006940B3" w:rsidP="00AA0CF2">
      <w:pPr>
        <w:rPr>
          <w:rFonts w:ascii="Times New Roman" w:hAnsi="Times New Roman" w:cs="Times New Roman"/>
        </w:rPr>
      </w:pPr>
    </w:p>
    <w:p w14:paraId="0D2BDF64" w14:textId="796D264A" w:rsidR="00AA0CF2" w:rsidRDefault="006940B3" w:rsidP="00AA0CF2">
      <w:pPr>
        <w:rPr>
          <w:rFonts w:ascii="Times New Roman" w:hAnsi="Times New Roman" w:cs="Times New Roman"/>
        </w:rPr>
      </w:pPr>
      <w:r w:rsidRPr="2AA7DB82">
        <w:rPr>
          <w:rFonts w:ascii="Times New Roman" w:hAnsi="Times New Roman" w:cs="Times New Roman"/>
        </w:rPr>
        <w:t>STF-52-1</w:t>
      </w:r>
      <w:r w:rsidR="4714B6B6" w:rsidRPr="2AA7DB82">
        <w:rPr>
          <w:rFonts w:ascii="Times New Roman" w:hAnsi="Times New Roman" w:cs="Times New Roman"/>
        </w:rPr>
        <w:t>3</w:t>
      </w:r>
      <w:r>
        <w:tab/>
      </w:r>
      <w:r w:rsidR="00AA0CF2" w:rsidRPr="2AA7DB82">
        <w:rPr>
          <w:rFonts w:ascii="Times New Roman" w:hAnsi="Times New Roman" w:cs="Times New Roman"/>
        </w:rPr>
        <w:t>Concerning Schedule-11b, please answer the following:</w:t>
      </w:r>
    </w:p>
    <w:p w14:paraId="7E680BB7" w14:textId="77777777" w:rsidR="00AA0CF2" w:rsidRDefault="00AA0CF2" w:rsidP="00AA0CF2">
      <w:pPr>
        <w:rPr>
          <w:rFonts w:ascii="Times New Roman" w:hAnsi="Times New Roman" w:cs="Times New Roman"/>
        </w:rPr>
      </w:pPr>
    </w:p>
    <w:p w14:paraId="6725AB75" w14:textId="497BBF39" w:rsidR="00AA0CF2" w:rsidRDefault="00AA0CF2">
      <w:pPr>
        <w:pStyle w:val="ListParagraph"/>
        <w:numPr>
          <w:ilvl w:val="0"/>
          <w:numId w:val="3"/>
        </w:numPr>
        <w:rPr>
          <w:rFonts w:ascii="Times New Roman" w:hAnsi="Times New Roman" w:cs="Times New Roman"/>
        </w:rPr>
      </w:pPr>
      <w:r w:rsidRPr="2AA7DB82">
        <w:rPr>
          <w:rFonts w:ascii="Times New Roman" w:hAnsi="Times New Roman" w:cs="Times New Roman"/>
        </w:rPr>
        <w:t>Does AGL agree to create a new Column- called “FTY Customer Charge Revenues” that show</w:t>
      </w:r>
      <w:r w:rsidR="41D83BD1" w:rsidRPr="2AA7DB82">
        <w:rPr>
          <w:rFonts w:ascii="Times New Roman" w:hAnsi="Times New Roman" w:cs="Times New Roman"/>
        </w:rPr>
        <w:t>s</w:t>
      </w:r>
      <w:r w:rsidRPr="2AA7DB82">
        <w:rPr>
          <w:rFonts w:ascii="Times New Roman" w:hAnsi="Times New Roman" w:cs="Times New Roman"/>
        </w:rPr>
        <w:t xml:space="preserve"> the forecasted Customer Charge revenues over the FTY under current rates?</w:t>
      </w:r>
    </w:p>
    <w:p w14:paraId="2B2FA72F" w14:textId="77777777" w:rsidR="00AA0CF2" w:rsidRDefault="00AA0CF2" w:rsidP="00AA0CF2">
      <w:pPr>
        <w:pStyle w:val="ListParagraph"/>
        <w:ind w:left="1800"/>
        <w:rPr>
          <w:rFonts w:ascii="Times New Roman" w:hAnsi="Times New Roman" w:cs="Times New Roman"/>
        </w:rPr>
      </w:pPr>
    </w:p>
    <w:p w14:paraId="5E2D7D54" w14:textId="6B62D918" w:rsidR="00AA0CF2" w:rsidRDefault="00AA0CF2">
      <w:pPr>
        <w:pStyle w:val="ListParagraph"/>
        <w:numPr>
          <w:ilvl w:val="0"/>
          <w:numId w:val="3"/>
        </w:numPr>
        <w:rPr>
          <w:rFonts w:ascii="Times New Roman" w:hAnsi="Times New Roman" w:cs="Times New Roman"/>
        </w:rPr>
      </w:pPr>
      <w:r w:rsidRPr="2AA7DB82">
        <w:rPr>
          <w:rFonts w:ascii="Times New Roman" w:hAnsi="Times New Roman" w:cs="Times New Roman"/>
        </w:rPr>
        <w:t>Does AGL agree to create a new Column-</w:t>
      </w:r>
      <w:r w:rsidR="00782D36" w:rsidRPr="2AA7DB82">
        <w:rPr>
          <w:rFonts w:ascii="Times New Roman" w:hAnsi="Times New Roman" w:cs="Times New Roman"/>
        </w:rPr>
        <w:t>AW called Total Customer Charge to show the estimated revenues</w:t>
      </w:r>
      <w:r w:rsidRPr="2AA7DB82">
        <w:rPr>
          <w:rFonts w:ascii="Times New Roman" w:hAnsi="Times New Roman" w:cs="Times New Roman"/>
        </w:rPr>
        <w:t>?</w:t>
      </w:r>
    </w:p>
    <w:p w14:paraId="1AC4BDC8" w14:textId="77777777" w:rsidR="00782D36" w:rsidRPr="00782D36" w:rsidRDefault="00782D36" w:rsidP="00782D36">
      <w:pPr>
        <w:pStyle w:val="ListParagraph"/>
        <w:rPr>
          <w:rFonts w:ascii="Times New Roman" w:hAnsi="Times New Roman" w:cs="Times New Roman"/>
        </w:rPr>
      </w:pPr>
    </w:p>
    <w:p w14:paraId="6252BA5F" w14:textId="5F2CCE67" w:rsidR="00782D36" w:rsidRDefault="00782D36">
      <w:pPr>
        <w:pStyle w:val="ListParagraph"/>
        <w:numPr>
          <w:ilvl w:val="0"/>
          <w:numId w:val="3"/>
        </w:numPr>
        <w:rPr>
          <w:rFonts w:ascii="Times New Roman" w:hAnsi="Times New Roman" w:cs="Times New Roman"/>
        </w:rPr>
      </w:pPr>
      <w:r>
        <w:rPr>
          <w:rFonts w:ascii="Times New Roman" w:hAnsi="Times New Roman" w:cs="Times New Roman"/>
        </w:rPr>
        <w:t>Does AGL agree to create a new Column-AX called Total DDDC Estimated Revenues?</w:t>
      </w:r>
    </w:p>
    <w:p w14:paraId="3D43A698" w14:textId="77777777" w:rsidR="00782D36" w:rsidRPr="00782D36" w:rsidRDefault="00782D36" w:rsidP="00782D36">
      <w:pPr>
        <w:pStyle w:val="ListParagraph"/>
        <w:rPr>
          <w:rFonts w:ascii="Times New Roman" w:hAnsi="Times New Roman" w:cs="Times New Roman"/>
        </w:rPr>
      </w:pPr>
    </w:p>
    <w:p w14:paraId="29A1BFB1" w14:textId="27C3B06B" w:rsidR="00782D36" w:rsidRDefault="00782D36">
      <w:pPr>
        <w:pStyle w:val="ListParagraph"/>
        <w:numPr>
          <w:ilvl w:val="0"/>
          <w:numId w:val="3"/>
        </w:numPr>
        <w:rPr>
          <w:rFonts w:ascii="Times New Roman" w:hAnsi="Times New Roman" w:cs="Times New Roman"/>
        </w:rPr>
      </w:pPr>
      <w:r>
        <w:rPr>
          <w:rFonts w:ascii="Times New Roman" w:hAnsi="Times New Roman" w:cs="Times New Roman"/>
        </w:rPr>
        <w:t>Does AGL agree to create a new Column-AY called Total Volumetric Estimated Revenues?</w:t>
      </w:r>
    </w:p>
    <w:p w14:paraId="5DD32659" w14:textId="77777777" w:rsidR="00782D36" w:rsidRPr="00782D36" w:rsidRDefault="00782D36" w:rsidP="00782D36">
      <w:pPr>
        <w:pStyle w:val="ListParagraph"/>
        <w:rPr>
          <w:rFonts w:ascii="Times New Roman" w:hAnsi="Times New Roman" w:cs="Times New Roman"/>
        </w:rPr>
      </w:pPr>
    </w:p>
    <w:p w14:paraId="3F263241" w14:textId="18B807AD" w:rsidR="00782D36" w:rsidRPr="00782D36" w:rsidRDefault="00782D36">
      <w:pPr>
        <w:pStyle w:val="ListParagraph"/>
        <w:numPr>
          <w:ilvl w:val="0"/>
          <w:numId w:val="3"/>
        </w:numPr>
        <w:rPr>
          <w:rFonts w:ascii="Times New Roman" w:hAnsi="Times New Roman" w:cs="Times New Roman"/>
        </w:rPr>
      </w:pPr>
      <w:r>
        <w:rPr>
          <w:rFonts w:ascii="Times New Roman" w:hAnsi="Times New Roman" w:cs="Times New Roman"/>
        </w:rPr>
        <w:t>Does AGL agree to create a new Column-AZ using the current “Total Revenue Per Customer Class” that will total Rows AW, AX, and AY?</w:t>
      </w:r>
    </w:p>
    <w:p w14:paraId="1B3537D8" w14:textId="77777777" w:rsidR="00AA0CF2" w:rsidRPr="00782D36" w:rsidRDefault="00AA0CF2" w:rsidP="00782D36">
      <w:pPr>
        <w:rPr>
          <w:rFonts w:ascii="Times New Roman" w:hAnsi="Times New Roman" w:cs="Times New Roman"/>
        </w:rPr>
      </w:pPr>
    </w:p>
    <w:p w14:paraId="34E62033" w14:textId="2B660A94" w:rsidR="006940B3" w:rsidRDefault="006940B3" w:rsidP="006940B3">
      <w:pPr>
        <w:ind w:left="1440" w:hanging="1440"/>
        <w:rPr>
          <w:rFonts w:ascii="Times New Roman" w:hAnsi="Times New Roman" w:cs="Times New Roman"/>
        </w:rPr>
      </w:pPr>
      <w:r w:rsidRPr="2AA7DB82">
        <w:rPr>
          <w:rFonts w:ascii="Times New Roman" w:hAnsi="Times New Roman" w:cs="Times New Roman"/>
        </w:rPr>
        <w:t>STF-52-1</w:t>
      </w:r>
      <w:r w:rsidR="4A14C533" w:rsidRPr="2AA7DB82">
        <w:rPr>
          <w:rFonts w:ascii="Times New Roman" w:hAnsi="Times New Roman" w:cs="Times New Roman"/>
        </w:rPr>
        <w:t>4</w:t>
      </w:r>
      <w:r>
        <w:tab/>
      </w:r>
      <w:r w:rsidRPr="2AA7DB82">
        <w:rPr>
          <w:rFonts w:ascii="Times New Roman" w:hAnsi="Times New Roman" w:cs="Times New Roman"/>
        </w:rPr>
        <w:t>Regarding the Schedule-11b Synergy Saving</w:t>
      </w:r>
      <w:r w:rsidR="00233277">
        <w:rPr>
          <w:rFonts w:ascii="Times New Roman" w:hAnsi="Times New Roman" w:cs="Times New Roman"/>
        </w:rPr>
        <w:t>s</w:t>
      </w:r>
      <w:r w:rsidRPr="2AA7DB82">
        <w:rPr>
          <w:rFonts w:ascii="Times New Roman" w:hAnsi="Times New Roman" w:cs="Times New Roman"/>
        </w:rPr>
        <w:t xml:space="preserve"> presentation, please answer the following: </w:t>
      </w:r>
    </w:p>
    <w:p w14:paraId="4B0E4821" w14:textId="77777777" w:rsidR="006940B3" w:rsidRDefault="006940B3" w:rsidP="006940B3">
      <w:pPr>
        <w:ind w:left="720" w:firstLine="720"/>
        <w:rPr>
          <w:rFonts w:ascii="Times New Roman" w:hAnsi="Times New Roman" w:cs="Times New Roman"/>
        </w:rPr>
      </w:pPr>
    </w:p>
    <w:p w14:paraId="63AC0FCA" w14:textId="21D27740" w:rsidR="00AA0CF2" w:rsidRDefault="00AA0CF2">
      <w:pPr>
        <w:pStyle w:val="ListParagraph"/>
        <w:numPr>
          <w:ilvl w:val="0"/>
          <w:numId w:val="5"/>
        </w:numPr>
        <w:rPr>
          <w:rFonts w:ascii="Times New Roman" w:hAnsi="Times New Roman" w:cs="Times New Roman"/>
        </w:rPr>
      </w:pPr>
      <w:r w:rsidRPr="006940B3">
        <w:rPr>
          <w:rFonts w:ascii="Times New Roman" w:hAnsi="Times New Roman" w:cs="Times New Roman"/>
        </w:rPr>
        <w:t>In</w:t>
      </w:r>
      <w:r w:rsidR="00782D36" w:rsidRPr="006940B3">
        <w:rPr>
          <w:rFonts w:ascii="Times New Roman" w:hAnsi="Times New Roman" w:cs="Times New Roman"/>
        </w:rPr>
        <w:t xml:space="preserve"> Schedule-11b</w:t>
      </w:r>
      <w:r w:rsidRPr="006940B3">
        <w:rPr>
          <w:rFonts w:ascii="Times New Roman" w:hAnsi="Times New Roman" w:cs="Times New Roman"/>
        </w:rPr>
        <w:t xml:space="preserve"> Rows </w:t>
      </w:r>
      <w:r w:rsidR="00782D36" w:rsidRPr="006940B3">
        <w:rPr>
          <w:rFonts w:ascii="Times New Roman" w:hAnsi="Times New Roman" w:cs="Times New Roman"/>
        </w:rPr>
        <w:t>48</w:t>
      </w:r>
      <w:r w:rsidRPr="006940B3">
        <w:rPr>
          <w:rFonts w:ascii="Times New Roman" w:hAnsi="Times New Roman" w:cs="Times New Roman"/>
        </w:rPr>
        <w:t xml:space="preserve"> – </w:t>
      </w:r>
      <w:r w:rsidR="00782D36" w:rsidRPr="006940B3">
        <w:rPr>
          <w:rFonts w:ascii="Times New Roman" w:hAnsi="Times New Roman" w:cs="Times New Roman"/>
        </w:rPr>
        <w:t>5</w:t>
      </w:r>
      <w:r w:rsidRPr="006940B3">
        <w:rPr>
          <w:rFonts w:ascii="Times New Roman" w:hAnsi="Times New Roman" w:cs="Times New Roman"/>
        </w:rPr>
        <w:t>5, AGL shows Synergy Saving</w:t>
      </w:r>
      <w:r w:rsidR="00233277">
        <w:rPr>
          <w:rFonts w:ascii="Times New Roman" w:hAnsi="Times New Roman" w:cs="Times New Roman"/>
        </w:rPr>
        <w:t>s</w:t>
      </w:r>
      <w:r w:rsidRPr="006940B3">
        <w:rPr>
          <w:rFonts w:ascii="Times New Roman" w:hAnsi="Times New Roman" w:cs="Times New Roman"/>
        </w:rPr>
        <w:t xml:space="preserve">. On June 16, 2025 in Docket No. 31647, AGL filed a letter with the Commission that stated </w:t>
      </w:r>
      <w:r w:rsidR="00233277">
        <w:rPr>
          <w:rFonts w:ascii="Times New Roman" w:hAnsi="Times New Roman" w:cs="Times New Roman"/>
        </w:rPr>
        <w:t xml:space="preserve">that </w:t>
      </w:r>
      <w:r w:rsidRPr="006940B3">
        <w:rPr>
          <w:rFonts w:ascii="Times New Roman" w:hAnsi="Times New Roman" w:cs="Times New Roman"/>
        </w:rPr>
        <w:t>the Synergy Savings would not be part of the 2026 GRAM filing and would be eliminated from the 2026 GRAM rates. Does AGL agree to remove all Synergy Savings from the 2026 GRAM and all future GRAM filings?</w:t>
      </w:r>
    </w:p>
    <w:p w14:paraId="0629F787" w14:textId="77777777" w:rsidR="006940B3" w:rsidRDefault="006940B3" w:rsidP="006940B3">
      <w:pPr>
        <w:pStyle w:val="ListParagraph"/>
        <w:ind w:left="1800"/>
        <w:rPr>
          <w:rFonts w:ascii="Times New Roman" w:hAnsi="Times New Roman" w:cs="Times New Roman"/>
        </w:rPr>
      </w:pPr>
    </w:p>
    <w:p w14:paraId="15A5AB37" w14:textId="184E128A" w:rsidR="006940B3" w:rsidRPr="006940B3" w:rsidRDefault="006940B3">
      <w:pPr>
        <w:pStyle w:val="ListParagraph"/>
        <w:numPr>
          <w:ilvl w:val="0"/>
          <w:numId w:val="5"/>
        </w:numPr>
        <w:rPr>
          <w:rFonts w:ascii="Times New Roman" w:hAnsi="Times New Roman" w:cs="Times New Roman"/>
        </w:rPr>
      </w:pPr>
      <w:r>
        <w:rPr>
          <w:rFonts w:ascii="Times New Roman" w:hAnsi="Times New Roman" w:cs="Times New Roman"/>
        </w:rPr>
        <w:t>Regarding Schedule-11f, does AGL agree to remove Column-L?</w:t>
      </w:r>
    </w:p>
    <w:p w14:paraId="5AE6ACAC" w14:textId="77777777" w:rsidR="00AA0CF2" w:rsidRDefault="00AA0CF2" w:rsidP="00AA0CF2">
      <w:pPr>
        <w:pStyle w:val="ListParagraph"/>
        <w:rPr>
          <w:rFonts w:ascii="Times New Roman" w:hAnsi="Times New Roman" w:cs="Times New Roman"/>
        </w:rPr>
      </w:pPr>
    </w:p>
    <w:p w14:paraId="1B4E2487" w14:textId="17065A97" w:rsidR="00782D36" w:rsidRPr="006940B3" w:rsidRDefault="006940B3" w:rsidP="006940B3">
      <w:pPr>
        <w:ind w:left="1440" w:hanging="1440"/>
        <w:rPr>
          <w:rFonts w:ascii="Times New Roman" w:hAnsi="Times New Roman" w:cs="Times New Roman"/>
        </w:rPr>
      </w:pPr>
      <w:r w:rsidRPr="2AA7DB82">
        <w:rPr>
          <w:rFonts w:ascii="Times New Roman" w:hAnsi="Times New Roman" w:cs="Times New Roman"/>
        </w:rPr>
        <w:t>STF-52-1</w:t>
      </w:r>
      <w:r w:rsidR="0F1D6E36" w:rsidRPr="2AA7DB82">
        <w:rPr>
          <w:rFonts w:ascii="Times New Roman" w:hAnsi="Times New Roman" w:cs="Times New Roman"/>
        </w:rPr>
        <w:t>5</w:t>
      </w:r>
      <w:r>
        <w:tab/>
      </w:r>
      <w:r w:rsidRPr="2AA7DB82">
        <w:rPr>
          <w:rFonts w:ascii="Times New Roman" w:hAnsi="Times New Roman" w:cs="Times New Roman"/>
        </w:rPr>
        <w:t>Regarding Schedule-11b, d</w:t>
      </w:r>
      <w:r w:rsidR="00782D36" w:rsidRPr="2AA7DB82">
        <w:rPr>
          <w:rFonts w:ascii="Times New Roman" w:hAnsi="Times New Roman" w:cs="Times New Roman"/>
        </w:rPr>
        <w:t xml:space="preserve">oes AGL agree to remove Row-40 to remove the Peaking Charge from Schedule11b and the GRAM model? The Peaking Charge calculation, Peaking rate, and estimated revenues are </w:t>
      </w:r>
      <w:r w:rsidR="008C450F" w:rsidRPr="2AA7DB82">
        <w:rPr>
          <w:rFonts w:ascii="Times New Roman" w:hAnsi="Times New Roman" w:cs="Times New Roman"/>
        </w:rPr>
        <w:t xml:space="preserve">already shown in the Peaking Model as Attachment-D. </w:t>
      </w:r>
    </w:p>
    <w:p w14:paraId="56A9F65E" w14:textId="77777777" w:rsidR="00782D36" w:rsidRPr="00274D3D" w:rsidRDefault="00782D36" w:rsidP="00AA0CF2">
      <w:pPr>
        <w:pStyle w:val="ListParagraph"/>
        <w:rPr>
          <w:rFonts w:ascii="Times New Roman" w:hAnsi="Times New Roman" w:cs="Times New Roman"/>
        </w:rPr>
      </w:pPr>
    </w:p>
    <w:p w14:paraId="5E7B18BA" w14:textId="4A54DD87" w:rsidR="00AA0CF2" w:rsidRPr="006940B3" w:rsidRDefault="006940B3" w:rsidP="006940B3">
      <w:pPr>
        <w:rPr>
          <w:rFonts w:ascii="Times New Roman" w:hAnsi="Times New Roman" w:cs="Times New Roman"/>
        </w:rPr>
      </w:pPr>
      <w:r w:rsidRPr="2AA7DB82">
        <w:rPr>
          <w:rFonts w:ascii="Times New Roman" w:hAnsi="Times New Roman" w:cs="Times New Roman"/>
        </w:rPr>
        <w:t>STF-52-1</w:t>
      </w:r>
      <w:r w:rsidR="568232FD" w:rsidRPr="2AA7DB82">
        <w:rPr>
          <w:rFonts w:ascii="Times New Roman" w:hAnsi="Times New Roman" w:cs="Times New Roman"/>
        </w:rPr>
        <w:t>6</w:t>
      </w:r>
      <w:r>
        <w:tab/>
      </w:r>
      <w:r w:rsidR="00AA0CF2" w:rsidRPr="2AA7DB82">
        <w:rPr>
          <w:rFonts w:ascii="Times New Roman" w:hAnsi="Times New Roman" w:cs="Times New Roman"/>
        </w:rPr>
        <w:t>Does AGL agree to add the following</w:t>
      </w:r>
      <w:r w:rsidR="00174F0F" w:rsidRPr="2AA7DB82">
        <w:rPr>
          <w:rFonts w:ascii="Times New Roman" w:hAnsi="Times New Roman" w:cs="Times New Roman"/>
        </w:rPr>
        <w:t xml:space="preserve"> </w:t>
      </w:r>
      <w:r w:rsidRPr="2AA7DB82">
        <w:rPr>
          <w:rFonts w:ascii="Times New Roman" w:hAnsi="Times New Roman" w:cs="Times New Roman"/>
        </w:rPr>
        <w:t xml:space="preserve">to Schedule-11b </w:t>
      </w:r>
      <w:r w:rsidR="00174F0F" w:rsidRPr="2AA7DB82">
        <w:rPr>
          <w:rFonts w:ascii="Times New Roman" w:hAnsi="Times New Roman" w:cs="Times New Roman"/>
        </w:rPr>
        <w:t xml:space="preserve">Column-AY Rows 80 - </w:t>
      </w:r>
      <w:r>
        <w:tab/>
      </w:r>
      <w:r>
        <w:tab/>
      </w:r>
      <w:r w:rsidR="006567F6">
        <w:tab/>
      </w:r>
      <w:r w:rsidR="00174F0F" w:rsidRPr="2AA7DB82">
        <w:rPr>
          <w:rFonts w:ascii="Times New Roman" w:hAnsi="Times New Roman" w:cs="Times New Roman"/>
        </w:rPr>
        <w:t>82</w:t>
      </w:r>
      <w:r w:rsidR="00AA0CF2" w:rsidRPr="2AA7DB82">
        <w:rPr>
          <w:rFonts w:ascii="Times New Roman" w:hAnsi="Times New Roman" w:cs="Times New Roman"/>
        </w:rPr>
        <w:t>:</w:t>
      </w:r>
    </w:p>
    <w:p w14:paraId="33707408" w14:textId="77777777" w:rsidR="00AA0CF2" w:rsidRPr="002D3414" w:rsidRDefault="00AA0CF2" w:rsidP="00AA0CF2">
      <w:pPr>
        <w:pStyle w:val="ListParagraph"/>
        <w:rPr>
          <w:rFonts w:ascii="Times New Roman" w:hAnsi="Times New Roman" w:cs="Times New Roman"/>
        </w:rPr>
      </w:pPr>
    </w:p>
    <w:p w14:paraId="7C203649" w14:textId="391111CE" w:rsidR="00AA0CF2" w:rsidRDefault="00AA0CF2">
      <w:pPr>
        <w:pStyle w:val="ListParagraph"/>
        <w:numPr>
          <w:ilvl w:val="0"/>
          <w:numId w:val="2"/>
        </w:numPr>
        <w:rPr>
          <w:rFonts w:ascii="Times New Roman" w:hAnsi="Times New Roman" w:cs="Times New Roman"/>
        </w:rPr>
      </w:pPr>
      <w:r>
        <w:rPr>
          <w:rFonts w:ascii="Times New Roman" w:hAnsi="Times New Roman" w:cs="Times New Roman"/>
        </w:rPr>
        <w:t>A new Line-</w:t>
      </w:r>
      <w:r w:rsidR="00174F0F">
        <w:rPr>
          <w:rFonts w:ascii="Times New Roman" w:hAnsi="Times New Roman" w:cs="Times New Roman"/>
        </w:rPr>
        <w:t>80</w:t>
      </w:r>
      <w:r>
        <w:rPr>
          <w:rFonts w:ascii="Times New Roman" w:hAnsi="Times New Roman" w:cs="Times New Roman"/>
        </w:rPr>
        <w:t xml:space="preserve"> called “ Total Distribution Revenues”?</w:t>
      </w:r>
    </w:p>
    <w:p w14:paraId="7ACF977C" w14:textId="68AA20B7" w:rsidR="00AA0CF2" w:rsidRDefault="00AA0CF2">
      <w:pPr>
        <w:pStyle w:val="ListParagraph"/>
        <w:numPr>
          <w:ilvl w:val="0"/>
          <w:numId w:val="2"/>
        </w:numPr>
        <w:rPr>
          <w:rFonts w:ascii="Times New Roman" w:hAnsi="Times New Roman" w:cs="Times New Roman"/>
        </w:rPr>
      </w:pPr>
      <w:r>
        <w:rPr>
          <w:rFonts w:ascii="Times New Roman" w:hAnsi="Times New Roman" w:cs="Times New Roman"/>
        </w:rPr>
        <w:t>A new Line-</w:t>
      </w:r>
      <w:r w:rsidR="00174F0F">
        <w:rPr>
          <w:rFonts w:ascii="Times New Roman" w:hAnsi="Times New Roman" w:cs="Times New Roman"/>
        </w:rPr>
        <w:t>81</w:t>
      </w:r>
      <w:r>
        <w:rPr>
          <w:rFonts w:ascii="Times New Roman" w:hAnsi="Times New Roman" w:cs="Times New Roman"/>
        </w:rPr>
        <w:t xml:space="preserve"> called “Total Miscellaneous Revenues”?</w:t>
      </w:r>
    </w:p>
    <w:p w14:paraId="08F371C0" w14:textId="55FCA797" w:rsidR="00AA0CF2" w:rsidRDefault="00AA0CF2">
      <w:pPr>
        <w:pStyle w:val="ListParagraph"/>
        <w:numPr>
          <w:ilvl w:val="0"/>
          <w:numId w:val="2"/>
        </w:numPr>
        <w:rPr>
          <w:rFonts w:ascii="Times New Roman" w:hAnsi="Times New Roman" w:cs="Times New Roman"/>
        </w:rPr>
      </w:pPr>
      <w:r>
        <w:rPr>
          <w:rFonts w:ascii="Times New Roman" w:hAnsi="Times New Roman" w:cs="Times New Roman"/>
        </w:rPr>
        <w:t>A new Line-</w:t>
      </w:r>
      <w:r w:rsidR="00174F0F">
        <w:rPr>
          <w:rFonts w:ascii="Times New Roman" w:hAnsi="Times New Roman" w:cs="Times New Roman"/>
        </w:rPr>
        <w:t>82</w:t>
      </w:r>
      <w:r>
        <w:rPr>
          <w:rFonts w:ascii="Times New Roman" w:hAnsi="Times New Roman" w:cs="Times New Roman"/>
        </w:rPr>
        <w:t xml:space="preserve"> called “Total Rate Base Revenues No Peaking”?</w:t>
      </w:r>
    </w:p>
    <w:p w14:paraId="4352E273" w14:textId="1C7DCF1C" w:rsidR="00A8568D" w:rsidRDefault="00A8568D" w:rsidP="00A8568D">
      <w:pPr>
        <w:rPr>
          <w:rFonts w:ascii="Times New Roman" w:hAnsi="Times New Roman" w:cs="Times New Roman"/>
        </w:rPr>
      </w:pPr>
    </w:p>
    <w:p w14:paraId="24ECBDF4" w14:textId="77777777" w:rsidR="00765CA4" w:rsidRDefault="00765CA4" w:rsidP="00A8568D">
      <w:pPr>
        <w:rPr>
          <w:rFonts w:ascii="Times New Roman" w:hAnsi="Times New Roman" w:cs="Times New Roman"/>
        </w:rPr>
      </w:pPr>
    </w:p>
    <w:p w14:paraId="147589B4" w14:textId="77777777" w:rsidR="00765CA4" w:rsidRDefault="00765CA4" w:rsidP="00A8568D">
      <w:pPr>
        <w:rPr>
          <w:rFonts w:ascii="Times New Roman" w:hAnsi="Times New Roman" w:cs="Times New Roman"/>
        </w:rPr>
      </w:pPr>
    </w:p>
    <w:p w14:paraId="455FFF80" w14:textId="77777777" w:rsidR="006567F6" w:rsidRDefault="006567F6" w:rsidP="00A8568D">
      <w:pPr>
        <w:rPr>
          <w:rFonts w:ascii="Times New Roman" w:hAnsi="Times New Roman" w:cs="Times New Roman"/>
        </w:rPr>
      </w:pPr>
    </w:p>
    <w:p w14:paraId="4D1C5678" w14:textId="77777777" w:rsidR="006567F6" w:rsidRDefault="006567F6" w:rsidP="00A8568D">
      <w:pPr>
        <w:rPr>
          <w:rFonts w:ascii="Times New Roman" w:hAnsi="Times New Roman" w:cs="Times New Roman"/>
        </w:rPr>
      </w:pPr>
    </w:p>
    <w:p w14:paraId="198A7623" w14:textId="0352E62C" w:rsidR="00A8568D" w:rsidRPr="00A8568D" w:rsidRDefault="00A8568D" w:rsidP="00B06AF1">
      <w:pPr>
        <w:ind w:left="1440" w:hanging="1440"/>
        <w:rPr>
          <w:rFonts w:ascii="Times New Roman" w:hAnsi="Times New Roman" w:cs="Times New Roman"/>
          <w:b/>
          <w:bCs/>
          <w:u w:val="single"/>
        </w:rPr>
      </w:pPr>
      <w:r w:rsidRPr="00A8568D">
        <w:rPr>
          <w:rFonts w:ascii="Times New Roman" w:hAnsi="Times New Roman" w:cs="Times New Roman"/>
          <w:b/>
          <w:bCs/>
          <w:u w:val="single"/>
        </w:rPr>
        <w:lastRenderedPageBreak/>
        <w:t>Peaking Model</w:t>
      </w:r>
    </w:p>
    <w:p w14:paraId="2C47AA4B" w14:textId="21094EB7" w:rsidR="00300D08" w:rsidRDefault="00CB3EFE" w:rsidP="00B06AF1">
      <w:pPr>
        <w:ind w:left="1440" w:hanging="1440"/>
        <w:rPr>
          <w:rFonts w:ascii="Times New Roman" w:hAnsi="Times New Roman" w:cs="Times New Roman"/>
        </w:rPr>
      </w:pPr>
      <w:r w:rsidRPr="2AA7DB82">
        <w:rPr>
          <w:rFonts w:ascii="Times New Roman" w:hAnsi="Times New Roman" w:cs="Times New Roman"/>
        </w:rPr>
        <w:t>STF-52-1</w:t>
      </w:r>
      <w:r w:rsidR="5B9D095D" w:rsidRPr="2AA7DB82">
        <w:rPr>
          <w:rFonts w:ascii="Times New Roman" w:hAnsi="Times New Roman" w:cs="Times New Roman"/>
        </w:rPr>
        <w:t>7</w:t>
      </w:r>
      <w:r>
        <w:tab/>
      </w:r>
      <w:r w:rsidRPr="2AA7DB82">
        <w:rPr>
          <w:rFonts w:ascii="Times New Roman" w:hAnsi="Times New Roman" w:cs="Times New Roman"/>
        </w:rPr>
        <w:t xml:space="preserve">Regarding the 2026 Peaking Model, Attachment-D, </w:t>
      </w:r>
      <w:r w:rsidR="00300D08" w:rsidRPr="2AA7DB82">
        <w:rPr>
          <w:rFonts w:ascii="Times New Roman" w:hAnsi="Times New Roman" w:cs="Times New Roman"/>
        </w:rPr>
        <w:t>concerning the Peaking DDDC, please answer the following:</w:t>
      </w:r>
    </w:p>
    <w:p w14:paraId="05189FAC" w14:textId="77777777" w:rsidR="00300D08" w:rsidRDefault="00300D08" w:rsidP="00300D08">
      <w:pPr>
        <w:ind w:left="1440"/>
        <w:rPr>
          <w:rFonts w:ascii="Times New Roman" w:hAnsi="Times New Roman" w:cs="Times New Roman"/>
        </w:rPr>
      </w:pPr>
    </w:p>
    <w:p w14:paraId="7EFBA277" w14:textId="346AEE3F" w:rsidR="00300D08" w:rsidRDefault="00300D08" w:rsidP="00300D08">
      <w:pPr>
        <w:ind w:left="1440"/>
        <w:rPr>
          <w:rFonts w:ascii="Times New Roman" w:hAnsi="Times New Roman" w:cs="Times New Roman"/>
        </w:rPr>
      </w:pPr>
      <w:r w:rsidRPr="2AA7DB82">
        <w:rPr>
          <w:rFonts w:ascii="Times New Roman" w:hAnsi="Times New Roman" w:cs="Times New Roman"/>
        </w:rPr>
        <w:t>In the PS Rate Calc worksheet of the Peaking model, AGL provided the Projected full Year Peaking DDDC of 28,901,150</w:t>
      </w:r>
      <w:r w:rsidR="002B7776" w:rsidRPr="2AA7DB82">
        <w:rPr>
          <w:rFonts w:ascii="Times New Roman" w:hAnsi="Times New Roman" w:cs="Times New Roman"/>
        </w:rPr>
        <w:t xml:space="preserve">. This dollar amount originated from the WP 4-2 worksheet. The </w:t>
      </w:r>
      <w:r w:rsidR="72EBE8A1" w:rsidRPr="2AA7DB82">
        <w:rPr>
          <w:rFonts w:ascii="Times New Roman" w:hAnsi="Times New Roman" w:cs="Times New Roman"/>
        </w:rPr>
        <w:t xml:space="preserve"> formula</w:t>
      </w:r>
      <w:r w:rsidR="002B7776" w:rsidRPr="2AA7DB82">
        <w:rPr>
          <w:rFonts w:ascii="Times New Roman" w:hAnsi="Times New Roman" w:cs="Times New Roman"/>
        </w:rPr>
        <w:t xml:space="preserve"> </w:t>
      </w:r>
      <w:r w:rsidR="6F655DE5" w:rsidRPr="2AA7DB82">
        <w:rPr>
          <w:rFonts w:ascii="Times New Roman" w:hAnsi="Times New Roman" w:cs="Times New Roman"/>
        </w:rPr>
        <w:t xml:space="preserve"> in</w:t>
      </w:r>
      <w:r w:rsidR="002B7776" w:rsidRPr="2AA7DB82">
        <w:rPr>
          <w:rFonts w:ascii="Times New Roman" w:hAnsi="Times New Roman" w:cs="Times New Roman"/>
        </w:rPr>
        <w:t xml:space="preserve"> WP 4-2 </w:t>
      </w:r>
      <w:r w:rsidR="125A515E" w:rsidRPr="2AA7DB82">
        <w:rPr>
          <w:rFonts w:ascii="Times New Roman" w:hAnsi="Times New Roman" w:cs="Times New Roman"/>
        </w:rPr>
        <w:t xml:space="preserve">is </w:t>
      </w:r>
      <w:r w:rsidR="002B7776" w:rsidRPr="2AA7DB82">
        <w:rPr>
          <w:rFonts w:ascii="Times New Roman" w:hAnsi="Times New Roman" w:cs="Times New Roman"/>
        </w:rPr>
        <w:t xml:space="preserve">Q12 + Q18 + Q42. Q40 is the total for all G11, G12, and G13 </w:t>
      </w:r>
      <w:r w:rsidR="5470F524" w:rsidRPr="2AA7DB82">
        <w:rPr>
          <w:rFonts w:ascii="Times New Roman" w:hAnsi="Times New Roman" w:cs="Times New Roman"/>
        </w:rPr>
        <w:t>C</w:t>
      </w:r>
      <w:r w:rsidR="002B7776" w:rsidRPr="2AA7DB82">
        <w:rPr>
          <w:rFonts w:ascii="Times New Roman" w:hAnsi="Times New Roman" w:cs="Times New Roman"/>
        </w:rPr>
        <w:t xml:space="preserve">ustomer Classes, but AGL created a Row 42  </w:t>
      </w:r>
      <w:r w:rsidR="60F6B93E" w:rsidRPr="2AA7DB82">
        <w:rPr>
          <w:rFonts w:ascii="Times New Roman" w:hAnsi="Times New Roman" w:cs="Times New Roman"/>
        </w:rPr>
        <w:t xml:space="preserve"> called</w:t>
      </w:r>
      <w:r w:rsidR="002B7776" w:rsidRPr="2AA7DB82">
        <w:rPr>
          <w:rFonts w:ascii="Times New Roman" w:hAnsi="Times New Roman" w:cs="Times New Roman"/>
        </w:rPr>
        <w:t xml:space="preserve"> Peaking DDDC which uses differen</w:t>
      </w:r>
      <w:r w:rsidR="05834564" w:rsidRPr="2AA7DB82">
        <w:rPr>
          <w:rFonts w:ascii="Times New Roman" w:hAnsi="Times New Roman" w:cs="Times New Roman"/>
        </w:rPr>
        <w:t>t</w:t>
      </w:r>
      <w:r w:rsidR="002B7776" w:rsidRPr="2AA7DB82">
        <w:rPr>
          <w:rFonts w:ascii="Times New Roman" w:hAnsi="Times New Roman" w:cs="Times New Roman"/>
        </w:rPr>
        <w:t xml:space="preserve"> numbers than Row 40. Please answer the following:</w:t>
      </w:r>
    </w:p>
    <w:p w14:paraId="6C687D65" w14:textId="77777777" w:rsidR="002B7776" w:rsidRDefault="002B7776" w:rsidP="00300D08">
      <w:pPr>
        <w:ind w:left="1440"/>
        <w:rPr>
          <w:rFonts w:ascii="Times New Roman" w:hAnsi="Times New Roman" w:cs="Times New Roman"/>
        </w:rPr>
      </w:pPr>
    </w:p>
    <w:p w14:paraId="549ADE12" w14:textId="6D7D0EA5" w:rsidR="00C74E26" w:rsidRDefault="002B7776" w:rsidP="002B7776">
      <w:pPr>
        <w:pStyle w:val="ListParagraph"/>
        <w:numPr>
          <w:ilvl w:val="0"/>
          <w:numId w:val="9"/>
        </w:numPr>
        <w:rPr>
          <w:rFonts w:ascii="Times New Roman" w:hAnsi="Times New Roman" w:cs="Times New Roman"/>
        </w:rPr>
      </w:pPr>
      <w:r>
        <w:rPr>
          <w:rFonts w:ascii="Times New Roman" w:hAnsi="Times New Roman" w:cs="Times New Roman"/>
        </w:rPr>
        <w:t xml:space="preserve">Why </w:t>
      </w:r>
      <w:r w:rsidR="007E44B7">
        <w:rPr>
          <w:rFonts w:ascii="Times New Roman" w:hAnsi="Times New Roman" w:cs="Times New Roman"/>
        </w:rPr>
        <w:t xml:space="preserve">does not </w:t>
      </w:r>
      <w:r>
        <w:rPr>
          <w:rFonts w:ascii="Times New Roman" w:hAnsi="Times New Roman" w:cs="Times New Roman"/>
        </w:rPr>
        <w:t>AGL use the numbers in Row 40?</w:t>
      </w:r>
    </w:p>
    <w:p w14:paraId="41EFB1AE" w14:textId="77777777" w:rsidR="002B7776" w:rsidRDefault="002B7776" w:rsidP="002B7776">
      <w:pPr>
        <w:pStyle w:val="ListParagraph"/>
        <w:ind w:left="1800"/>
        <w:rPr>
          <w:rFonts w:ascii="Times New Roman" w:hAnsi="Times New Roman" w:cs="Times New Roman"/>
        </w:rPr>
      </w:pPr>
    </w:p>
    <w:p w14:paraId="4C31D21A" w14:textId="18B1920C" w:rsidR="002B7776" w:rsidRDefault="002B7776" w:rsidP="002B7776">
      <w:pPr>
        <w:pStyle w:val="ListParagraph"/>
        <w:numPr>
          <w:ilvl w:val="0"/>
          <w:numId w:val="9"/>
        </w:numPr>
        <w:rPr>
          <w:rFonts w:ascii="Times New Roman" w:hAnsi="Times New Roman" w:cs="Times New Roman"/>
        </w:rPr>
      </w:pPr>
      <w:r>
        <w:rPr>
          <w:rFonts w:ascii="Times New Roman" w:hAnsi="Times New Roman" w:cs="Times New Roman"/>
        </w:rPr>
        <w:t>Please provide a categories and numbers that make up the numbers in Row 42</w:t>
      </w:r>
    </w:p>
    <w:p w14:paraId="37828591" w14:textId="77777777" w:rsidR="002B7776" w:rsidRPr="002B7776" w:rsidRDefault="002B7776" w:rsidP="002B7776">
      <w:pPr>
        <w:rPr>
          <w:rFonts w:ascii="Times New Roman" w:hAnsi="Times New Roman" w:cs="Times New Roman"/>
        </w:rPr>
      </w:pPr>
    </w:p>
    <w:p w14:paraId="0D3E7941" w14:textId="0542ABD3" w:rsidR="00300D08" w:rsidRDefault="002D3C0B" w:rsidP="002D3C0B">
      <w:pPr>
        <w:ind w:left="1440" w:hanging="1440"/>
        <w:rPr>
          <w:rFonts w:ascii="Times New Roman" w:hAnsi="Times New Roman" w:cs="Times New Roman"/>
        </w:rPr>
      </w:pPr>
      <w:r w:rsidRPr="2AA7DB82">
        <w:rPr>
          <w:rFonts w:ascii="Times New Roman" w:hAnsi="Times New Roman" w:cs="Times New Roman"/>
        </w:rPr>
        <w:t>STF-52-1</w:t>
      </w:r>
      <w:r w:rsidR="3A64BFD3" w:rsidRPr="2AA7DB82">
        <w:rPr>
          <w:rFonts w:ascii="Times New Roman" w:hAnsi="Times New Roman" w:cs="Times New Roman"/>
        </w:rPr>
        <w:t>8</w:t>
      </w:r>
      <w:r>
        <w:tab/>
      </w:r>
      <w:r w:rsidRPr="2AA7DB82">
        <w:rPr>
          <w:rFonts w:ascii="Times New Roman" w:hAnsi="Times New Roman" w:cs="Times New Roman"/>
        </w:rPr>
        <w:t xml:space="preserve">In WP 2-1, AGL uses a 13-month average with hard inputs and no source data. Please provide the dollar amounts that contribute to the 13 month average. </w:t>
      </w:r>
    </w:p>
    <w:p w14:paraId="3B4EF154" w14:textId="77777777" w:rsidR="002D3C0B" w:rsidRDefault="002D3C0B" w:rsidP="002D3C0B">
      <w:pPr>
        <w:ind w:left="1440" w:hanging="1440"/>
        <w:rPr>
          <w:rFonts w:ascii="Times New Roman" w:hAnsi="Times New Roman" w:cs="Times New Roman"/>
        </w:rPr>
      </w:pPr>
    </w:p>
    <w:p w14:paraId="4A1D1893" w14:textId="69C67552" w:rsidR="002D3C0B" w:rsidRDefault="002D3C0B" w:rsidP="002D3C0B">
      <w:pPr>
        <w:ind w:left="1440" w:hanging="1440"/>
        <w:rPr>
          <w:rFonts w:ascii="Times New Roman" w:hAnsi="Times New Roman" w:cs="Times New Roman"/>
        </w:rPr>
      </w:pPr>
      <w:r w:rsidRPr="2AA7DB82">
        <w:rPr>
          <w:rFonts w:ascii="Times New Roman" w:hAnsi="Times New Roman" w:cs="Times New Roman"/>
        </w:rPr>
        <w:t>STF-52-1</w:t>
      </w:r>
      <w:r w:rsidR="28DD3811" w:rsidRPr="2AA7DB82">
        <w:rPr>
          <w:rFonts w:ascii="Times New Roman" w:hAnsi="Times New Roman" w:cs="Times New Roman"/>
        </w:rPr>
        <w:t>9</w:t>
      </w:r>
      <w:r>
        <w:tab/>
      </w:r>
      <w:r w:rsidRPr="2AA7DB82">
        <w:rPr>
          <w:rFonts w:ascii="Times New Roman" w:hAnsi="Times New Roman" w:cs="Times New Roman"/>
        </w:rPr>
        <w:t xml:space="preserve">In WP 2-2, AGL uses a 13-month average with hard inputs and no source data. Please provide the dollar amounts that contribute to the 13 month average. </w:t>
      </w:r>
    </w:p>
    <w:p w14:paraId="123A1F39" w14:textId="77777777" w:rsidR="00300D08" w:rsidRDefault="00300D08" w:rsidP="00F67BA1">
      <w:pPr>
        <w:rPr>
          <w:rFonts w:ascii="Times New Roman" w:hAnsi="Times New Roman" w:cs="Times New Roman"/>
        </w:rPr>
      </w:pPr>
    </w:p>
    <w:p w14:paraId="72343D5D" w14:textId="102EE6AA" w:rsidR="00300D08" w:rsidRDefault="005A43F4" w:rsidP="00B06AF1">
      <w:pPr>
        <w:ind w:left="1440" w:hanging="1440"/>
        <w:rPr>
          <w:rFonts w:ascii="Times New Roman" w:hAnsi="Times New Roman" w:cs="Times New Roman"/>
        </w:rPr>
      </w:pPr>
      <w:r w:rsidRPr="2AA7DB82">
        <w:rPr>
          <w:rFonts w:ascii="Times New Roman" w:hAnsi="Times New Roman" w:cs="Times New Roman"/>
        </w:rPr>
        <w:t>STF-50-</w:t>
      </w:r>
      <w:r w:rsidR="56718C37" w:rsidRPr="2AA7DB82">
        <w:rPr>
          <w:rFonts w:ascii="Times New Roman" w:hAnsi="Times New Roman" w:cs="Times New Roman"/>
        </w:rPr>
        <w:t>20</w:t>
      </w:r>
      <w:r>
        <w:tab/>
      </w:r>
      <w:r w:rsidRPr="2AA7DB82">
        <w:rPr>
          <w:rFonts w:ascii="Times New Roman" w:hAnsi="Times New Roman" w:cs="Times New Roman"/>
        </w:rPr>
        <w:t>In the Peaking model, AGL uses a Peaking % tab. Please answer the following:</w:t>
      </w:r>
    </w:p>
    <w:p w14:paraId="7197962B" w14:textId="77777777" w:rsidR="005A43F4" w:rsidRDefault="005A43F4" w:rsidP="00B06AF1">
      <w:pPr>
        <w:ind w:left="1440" w:hanging="1440"/>
        <w:rPr>
          <w:rFonts w:ascii="Times New Roman" w:hAnsi="Times New Roman" w:cs="Times New Roman"/>
        </w:rPr>
      </w:pPr>
    </w:p>
    <w:p w14:paraId="58C23804" w14:textId="164C1624" w:rsidR="005A43F4" w:rsidRDefault="005A43F4" w:rsidP="005A43F4">
      <w:pPr>
        <w:pStyle w:val="ListParagraph"/>
        <w:numPr>
          <w:ilvl w:val="0"/>
          <w:numId w:val="10"/>
        </w:numPr>
        <w:rPr>
          <w:rFonts w:ascii="Times New Roman" w:hAnsi="Times New Roman" w:cs="Times New Roman"/>
        </w:rPr>
      </w:pPr>
      <w:r>
        <w:rPr>
          <w:rFonts w:ascii="Times New Roman" w:hAnsi="Times New Roman" w:cs="Times New Roman"/>
        </w:rPr>
        <w:t>What is the purpose of this worksheet?</w:t>
      </w:r>
    </w:p>
    <w:p w14:paraId="799BE8CC" w14:textId="77777777" w:rsidR="005A43F4" w:rsidRDefault="005A43F4" w:rsidP="005A43F4">
      <w:pPr>
        <w:pStyle w:val="ListParagraph"/>
        <w:ind w:left="1800"/>
        <w:rPr>
          <w:rFonts w:ascii="Times New Roman" w:hAnsi="Times New Roman" w:cs="Times New Roman"/>
        </w:rPr>
      </w:pPr>
    </w:p>
    <w:p w14:paraId="3A623EB0" w14:textId="07664619" w:rsidR="005A43F4" w:rsidRDefault="005A43F4" w:rsidP="005A43F4">
      <w:pPr>
        <w:pStyle w:val="ListParagraph"/>
        <w:numPr>
          <w:ilvl w:val="0"/>
          <w:numId w:val="10"/>
        </w:numPr>
        <w:rPr>
          <w:rFonts w:ascii="Times New Roman" w:hAnsi="Times New Roman" w:cs="Times New Roman"/>
        </w:rPr>
      </w:pPr>
      <w:r>
        <w:rPr>
          <w:rFonts w:ascii="Times New Roman" w:hAnsi="Times New Roman" w:cs="Times New Roman"/>
        </w:rPr>
        <w:t>Where were the dollar amounts derived?</w:t>
      </w:r>
    </w:p>
    <w:p w14:paraId="1DF3F020" w14:textId="77777777" w:rsidR="005A43F4" w:rsidRDefault="005A43F4" w:rsidP="005A43F4">
      <w:pPr>
        <w:pStyle w:val="ListParagraph"/>
        <w:ind w:left="1800"/>
        <w:rPr>
          <w:rFonts w:ascii="Times New Roman" w:hAnsi="Times New Roman" w:cs="Times New Roman"/>
        </w:rPr>
      </w:pPr>
    </w:p>
    <w:p w14:paraId="36734E1A" w14:textId="679363DF" w:rsidR="005A43F4" w:rsidRPr="005A43F4" w:rsidRDefault="005A43F4" w:rsidP="005A43F4">
      <w:pPr>
        <w:pStyle w:val="ListParagraph"/>
        <w:numPr>
          <w:ilvl w:val="0"/>
          <w:numId w:val="10"/>
        </w:numPr>
        <w:rPr>
          <w:rFonts w:ascii="Times New Roman" w:hAnsi="Times New Roman" w:cs="Times New Roman"/>
        </w:rPr>
      </w:pPr>
      <w:r>
        <w:rPr>
          <w:rFonts w:ascii="Times New Roman" w:hAnsi="Times New Roman" w:cs="Times New Roman"/>
        </w:rPr>
        <w:t xml:space="preserve">How were the percentages </w:t>
      </w:r>
      <w:r w:rsidR="004811C3">
        <w:rPr>
          <w:rFonts w:ascii="Times New Roman" w:hAnsi="Times New Roman" w:cs="Times New Roman"/>
        </w:rPr>
        <w:t>calculated</w:t>
      </w:r>
      <w:r>
        <w:rPr>
          <w:rFonts w:ascii="Times New Roman" w:hAnsi="Times New Roman" w:cs="Times New Roman"/>
        </w:rPr>
        <w:t>?</w:t>
      </w:r>
    </w:p>
    <w:p w14:paraId="05CDF8D5" w14:textId="77777777" w:rsidR="00A8568D" w:rsidRDefault="00A8568D" w:rsidP="00B06AF1">
      <w:pPr>
        <w:ind w:left="1440" w:hanging="1440"/>
        <w:rPr>
          <w:rFonts w:ascii="Times New Roman" w:hAnsi="Times New Roman" w:cs="Times New Roman"/>
        </w:rPr>
      </w:pPr>
    </w:p>
    <w:p w14:paraId="391C6068" w14:textId="7253C4AC" w:rsidR="00633414" w:rsidRDefault="00633414" w:rsidP="00B06AF1">
      <w:pPr>
        <w:ind w:left="1440" w:hanging="1440"/>
        <w:rPr>
          <w:rFonts w:ascii="Times New Roman" w:hAnsi="Times New Roman" w:cs="Times New Roman"/>
        </w:rPr>
      </w:pPr>
      <w:r w:rsidRPr="2AA7DB82">
        <w:rPr>
          <w:rFonts w:ascii="Times New Roman" w:hAnsi="Times New Roman" w:cs="Times New Roman"/>
        </w:rPr>
        <w:t>STF-50</w:t>
      </w:r>
      <w:r w:rsidR="00D40D88" w:rsidRPr="2AA7DB82">
        <w:rPr>
          <w:rFonts w:ascii="Times New Roman" w:hAnsi="Times New Roman" w:cs="Times New Roman"/>
        </w:rPr>
        <w:t>-</w:t>
      </w:r>
      <w:r w:rsidR="17FEF59A" w:rsidRPr="2AA7DB82">
        <w:rPr>
          <w:rFonts w:ascii="Times New Roman" w:hAnsi="Times New Roman" w:cs="Times New Roman"/>
        </w:rPr>
        <w:t>2</w:t>
      </w:r>
      <w:r w:rsidR="2B9B454C" w:rsidRPr="2AA7DB82">
        <w:rPr>
          <w:rFonts w:ascii="Times New Roman" w:hAnsi="Times New Roman" w:cs="Times New Roman"/>
        </w:rPr>
        <w:t>1</w:t>
      </w:r>
      <w:r>
        <w:tab/>
      </w:r>
      <w:r w:rsidRPr="2AA7DB82">
        <w:rPr>
          <w:rFonts w:ascii="Times New Roman" w:hAnsi="Times New Roman" w:cs="Times New Roman"/>
        </w:rPr>
        <w:t>Concerning the Peaking Charge rate, please answer the following:</w:t>
      </w:r>
    </w:p>
    <w:p w14:paraId="1898A73C" w14:textId="77777777" w:rsidR="00633414" w:rsidRDefault="00633414" w:rsidP="00B06AF1">
      <w:pPr>
        <w:ind w:left="1440" w:hanging="1440"/>
        <w:rPr>
          <w:rFonts w:ascii="Times New Roman" w:hAnsi="Times New Roman" w:cs="Times New Roman"/>
        </w:rPr>
      </w:pPr>
    </w:p>
    <w:p w14:paraId="28B473E1" w14:textId="71B1C6F7" w:rsidR="00633414" w:rsidRDefault="00633414" w:rsidP="00633414">
      <w:pPr>
        <w:pStyle w:val="ListParagraph"/>
        <w:numPr>
          <w:ilvl w:val="0"/>
          <w:numId w:val="11"/>
        </w:numPr>
        <w:rPr>
          <w:rFonts w:ascii="Times New Roman" w:hAnsi="Times New Roman" w:cs="Times New Roman"/>
        </w:rPr>
      </w:pPr>
      <w:r>
        <w:rPr>
          <w:rFonts w:ascii="Times New Roman" w:hAnsi="Times New Roman" w:cs="Times New Roman"/>
        </w:rPr>
        <w:t>If the Peaking recovery was rolled into base rate recovery would this become an increase to the DDDC Charge?</w:t>
      </w:r>
    </w:p>
    <w:p w14:paraId="2F983F05" w14:textId="77777777" w:rsidR="00633414" w:rsidRDefault="00633414" w:rsidP="00633414">
      <w:pPr>
        <w:pStyle w:val="ListParagraph"/>
        <w:ind w:left="1800"/>
        <w:rPr>
          <w:rFonts w:ascii="Times New Roman" w:hAnsi="Times New Roman" w:cs="Times New Roman"/>
        </w:rPr>
      </w:pPr>
    </w:p>
    <w:p w14:paraId="108BCF18" w14:textId="71A7CBA5" w:rsidR="00633414" w:rsidRDefault="00633414" w:rsidP="00633414">
      <w:pPr>
        <w:pStyle w:val="ListParagraph"/>
        <w:numPr>
          <w:ilvl w:val="0"/>
          <w:numId w:val="11"/>
        </w:numPr>
        <w:rPr>
          <w:rFonts w:ascii="Times New Roman" w:hAnsi="Times New Roman" w:cs="Times New Roman"/>
        </w:rPr>
      </w:pPr>
      <w:r>
        <w:rPr>
          <w:rFonts w:ascii="Times New Roman" w:hAnsi="Times New Roman" w:cs="Times New Roman"/>
        </w:rPr>
        <w:t>Would the rolling in of the DDDC Charge into base rates have little impact on customers paying it today?</w:t>
      </w:r>
    </w:p>
    <w:p w14:paraId="35699DCA" w14:textId="77777777" w:rsidR="00633414" w:rsidRDefault="00633414" w:rsidP="00633414">
      <w:pPr>
        <w:pStyle w:val="ListParagraph"/>
        <w:ind w:left="1800"/>
        <w:rPr>
          <w:rFonts w:ascii="Times New Roman" w:hAnsi="Times New Roman" w:cs="Times New Roman"/>
        </w:rPr>
      </w:pPr>
    </w:p>
    <w:p w14:paraId="4B407BCC" w14:textId="7EB65F0E" w:rsidR="00633414" w:rsidRPr="00633414" w:rsidRDefault="00633414" w:rsidP="00633414">
      <w:pPr>
        <w:pStyle w:val="ListParagraph"/>
        <w:numPr>
          <w:ilvl w:val="0"/>
          <w:numId w:val="11"/>
        </w:numPr>
        <w:rPr>
          <w:rFonts w:ascii="Times New Roman" w:hAnsi="Times New Roman" w:cs="Times New Roman"/>
        </w:rPr>
      </w:pPr>
      <w:r>
        <w:rPr>
          <w:rFonts w:ascii="Times New Roman" w:hAnsi="Times New Roman" w:cs="Times New Roman"/>
        </w:rPr>
        <w:t>What would be the potential rate impact on each of the customer Classes if it were rolled into base rate recovery?</w:t>
      </w:r>
    </w:p>
    <w:sectPr w:rsidR="00633414" w:rsidRPr="00633414" w:rsidSect="004A09B3">
      <w:headerReference w:type="default" r:id="rId12"/>
      <w:footerReference w:type="default" r:id="rId13"/>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3F533" w14:textId="77777777" w:rsidR="00842635" w:rsidRDefault="00842635" w:rsidP="009C7DB6">
      <w:r>
        <w:separator/>
      </w:r>
    </w:p>
  </w:endnote>
  <w:endnote w:type="continuationSeparator" w:id="0">
    <w:p w14:paraId="54A55369" w14:textId="77777777" w:rsidR="00842635" w:rsidRDefault="00842635" w:rsidP="009C7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3053092"/>
      <w:docPartObj>
        <w:docPartGallery w:val="Page Numbers (Bottom of Page)"/>
        <w:docPartUnique/>
      </w:docPartObj>
    </w:sdtPr>
    <w:sdtEndPr>
      <w:rPr>
        <w:noProof/>
      </w:rPr>
    </w:sdtEndPr>
    <w:sdtContent>
      <w:p w14:paraId="4A6B9F26" w14:textId="6A1D9035" w:rsidR="009C7DB6" w:rsidRDefault="009C7DB6">
        <w:pPr>
          <w:pStyle w:val="Footer"/>
          <w:jc w:val="center"/>
          <w:rPr>
            <w:rFonts w:ascii="Times New Roman" w:hAnsi="Times New Roman" w:cs="Times New Roman"/>
            <w:sz w:val="20"/>
            <w:szCs w:val="20"/>
          </w:rPr>
        </w:pPr>
        <w:r w:rsidRPr="009C7DB6">
          <w:rPr>
            <w:rFonts w:ascii="Times New Roman" w:hAnsi="Times New Roman" w:cs="Times New Roman"/>
            <w:sz w:val="20"/>
            <w:szCs w:val="20"/>
          </w:rPr>
          <w:t xml:space="preserve">Docket No. 42315: Staff’s </w:t>
        </w:r>
        <w:r w:rsidR="00401544">
          <w:rPr>
            <w:rFonts w:ascii="Times New Roman" w:hAnsi="Times New Roman" w:cs="Times New Roman"/>
            <w:sz w:val="20"/>
            <w:szCs w:val="20"/>
          </w:rPr>
          <w:t>5</w:t>
        </w:r>
        <w:r w:rsidR="00B43CA4">
          <w:rPr>
            <w:rFonts w:ascii="Times New Roman" w:hAnsi="Times New Roman" w:cs="Times New Roman"/>
            <w:sz w:val="20"/>
            <w:szCs w:val="20"/>
          </w:rPr>
          <w:t>2</w:t>
        </w:r>
        <w:r w:rsidR="00B43CA4" w:rsidRPr="00B43CA4">
          <w:rPr>
            <w:rFonts w:ascii="Times New Roman" w:hAnsi="Times New Roman" w:cs="Times New Roman"/>
            <w:sz w:val="20"/>
            <w:szCs w:val="20"/>
            <w:vertAlign w:val="superscript"/>
          </w:rPr>
          <w:t>nd</w:t>
        </w:r>
        <w:r w:rsidRPr="009C7DB6">
          <w:rPr>
            <w:rFonts w:ascii="Times New Roman" w:hAnsi="Times New Roman" w:cs="Times New Roman"/>
            <w:sz w:val="20"/>
            <w:szCs w:val="20"/>
          </w:rPr>
          <w:t xml:space="preserve"> Set of DRs – 202</w:t>
        </w:r>
        <w:r w:rsidR="00401544">
          <w:rPr>
            <w:rFonts w:ascii="Times New Roman" w:hAnsi="Times New Roman" w:cs="Times New Roman"/>
            <w:sz w:val="20"/>
            <w:szCs w:val="20"/>
          </w:rPr>
          <w:t>6</w:t>
        </w:r>
        <w:r w:rsidRPr="009C7DB6">
          <w:rPr>
            <w:rFonts w:ascii="Times New Roman" w:hAnsi="Times New Roman" w:cs="Times New Roman"/>
            <w:sz w:val="20"/>
            <w:szCs w:val="20"/>
          </w:rPr>
          <w:t xml:space="preserve"> GRAM</w:t>
        </w:r>
        <w:r w:rsidR="00401544">
          <w:rPr>
            <w:rFonts w:ascii="Times New Roman" w:hAnsi="Times New Roman" w:cs="Times New Roman"/>
            <w:sz w:val="20"/>
            <w:szCs w:val="20"/>
          </w:rPr>
          <w:t xml:space="preserve"> </w:t>
        </w:r>
      </w:p>
      <w:p w14:paraId="403436FF" w14:textId="3762A3AC" w:rsidR="00680CEC" w:rsidRPr="009C7DB6" w:rsidRDefault="00680CEC">
        <w:pPr>
          <w:pStyle w:val="Footer"/>
          <w:jc w:val="center"/>
          <w:rPr>
            <w:rFonts w:ascii="Times New Roman" w:hAnsi="Times New Roman" w:cs="Times New Roman"/>
            <w:sz w:val="20"/>
            <w:szCs w:val="20"/>
          </w:rPr>
        </w:pPr>
        <w:r>
          <w:rPr>
            <w:rFonts w:ascii="Times New Roman" w:hAnsi="Times New Roman" w:cs="Times New Roman"/>
            <w:sz w:val="20"/>
            <w:szCs w:val="20"/>
          </w:rPr>
          <w:t>Schedule-11a – 11f &amp;</w:t>
        </w:r>
        <w:r w:rsidR="00CB3EFE">
          <w:rPr>
            <w:rFonts w:ascii="Times New Roman" w:hAnsi="Times New Roman" w:cs="Times New Roman"/>
            <w:sz w:val="20"/>
            <w:szCs w:val="20"/>
          </w:rPr>
          <w:t xml:space="preserve"> Peaking Model</w:t>
        </w:r>
      </w:p>
      <w:p w14:paraId="28F25E01" w14:textId="75D67663" w:rsidR="009C7DB6" w:rsidRDefault="2AA7DB82" w:rsidP="00765CA4">
        <w:pPr>
          <w:pStyle w:val="Footer"/>
          <w:jc w:val="center"/>
        </w:pPr>
        <w:r w:rsidRPr="2AA7DB82">
          <w:rPr>
            <w:rFonts w:ascii="Times New Roman" w:hAnsi="Times New Roman" w:cs="Times New Roman"/>
            <w:sz w:val="20"/>
            <w:szCs w:val="20"/>
          </w:rPr>
          <w:t xml:space="preserve">Page </w:t>
        </w:r>
        <w:r w:rsidR="009C7DB6" w:rsidRPr="2AA7DB82">
          <w:rPr>
            <w:rFonts w:ascii="Times New Roman" w:hAnsi="Times New Roman" w:cs="Times New Roman"/>
            <w:noProof/>
            <w:sz w:val="20"/>
            <w:szCs w:val="20"/>
          </w:rPr>
          <w:fldChar w:fldCharType="begin"/>
        </w:r>
        <w:r w:rsidR="009C7DB6" w:rsidRPr="2AA7DB82">
          <w:rPr>
            <w:rFonts w:ascii="Times New Roman" w:hAnsi="Times New Roman" w:cs="Times New Roman"/>
            <w:sz w:val="20"/>
            <w:szCs w:val="20"/>
          </w:rPr>
          <w:instrText xml:space="preserve"> PAGE   \* MERGEFORMAT </w:instrText>
        </w:r>
        <w:r w:rsidR="009C7DB6" w:rsidRPr="2AA7DB82">
          <w:rPr>
            <w:rFonts w:ascii="Times New Roman" w:hAnsi="Times New Roman" w:cs="Times New Roman"/>
            <w:sz w:val="20"/>
            <w:szCs w:val="20"/>
          </w:rPr>
          <w:fldChar w:fldCharType="separate"/>
        </w:r>
        <w:r w:rsidRPr="2AA7DB82">
          <w:rPr>
            <w:rFonts w:ascii="Times New Roman" w:hAnsi="Times New Roman" w:cs="Times New Roman"/>
            <w:noProof/>
            <w:sz w:val="20"/>
            <w:szCs w:val="20"/>
          </w:rPr>
          <w:t>2</w:t>
        </w:r>
        <w:r w:rsidR="009C7DB6" w:rsidRPr="2AA7DB82">
          <w:rPr>
            <w:rFonts w:ascii="Times New Roman" w:hAnsi="Times New Roman" w:cs="Times New Roman"/>
            <w:noProof/>
            <w:sz w:val="20"/>
            <w:szCs w:val="20"/>
          </w:rPr>
          <w:fldChar w:fldCharType="end"/>
        </w:r>
        <w:r w:rsidRPr="2AA7DB82">
          <w:rPr>
            <w:rFonts w:ascii="Times New Roman" w:hAnsi="Times New Roman" w:cs="Times New Roman"/>
            <w:noProof/>
            <w:sz w:val="20"/>
            <w:szCs w:val="20"/>
          </w:rPr>
          <w:t xml:space="preserve"> of </w:t>
        </w:r>
        <w:r w:rsidR="006567F6">
          <w:rPr>
            <w:rFonts w:ascii="Times New Roman" w:hAnsi="Times New Roman" w:cs="Times New Roman"/>
            <w:noProof/>
            <w:sz w:val="20"/>
            <w:szCs w:val="20"/>
          </w:rPr>
          <w:t>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89CA8" w14:textId="77777777" w:rsidR="00842635" w:rsidRDefault="00842635" w:rsidP="009C7DB6">
      <w:r>
        <w:separator/>
      </w:r>
    </w:p>
  </w:footnote>
  <w:footnote w:type="continuationSeparator" w:id="0">
    <w:p w14:paraId="6FE28D7B" w14:textId="77777777" w:rsidR="00842635" w:rsidRDefault="00842635" w:rsidP="009C7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AA7DB82" w14:paraId="02E3B7BE" w14:textId="77777777" w:rsidTr="00765CA4">
      <w:trPr>
        <w:trHeight w:val="300"/>
      </w:trPr>
      <w:tc>
        <w:tcPr>
          <w:tcW w:w="3120" w:type="dxa"/>
        </w:tcPr>
        <w:p w14:paraId="27F3558D" w14:textId="512BD6E8" w:rsidR="2AA7DB82" w:rsidRDefault="2AA7DB82" w:rsidP="00765CA4">
          <w:pPr>
            <w:pStyle w:val="Header"/>
            <w:ind w:left="-115"/>
          </w:pPr>
        </w:p>
      </w:tc>
      <w:tc>
        <w:tcPr>
          <w:tcW w:w="3120" w:type="dxa"/>
        </w:tcPr>
        <w:p w14:paraId="3B4E5415" w14:textId="58525506" w:rsidR="2AA7DB82" w:rsidRDefault="2AA7DB82" w:rsidP="00765CA4">
          <w:pPr>
            <w:pStyle w:val="Header"/>
            <w:jc w:val="center"/>
          </w:pPr>
        </w:p>
      </w:tc>
      <w:tc>
        <w:tcPr>
          <w:tcW w:w="3120" w:type="dxa"/>
        </w:tcPr>
        <w:p w14:paraId="407860A9" w14:textId="4C106C82" w:rsidR="2AA7DB82" w:rsidRDefault="2AA7DB82" w:rsidP="00765CA4">
          <w:pPr>
            <w:pStyle w:val="Header"/>
            <w:ind w:right="-115"/>
            <w:jc w:val="right"/>
          </w:pPr>
        </w:p>
      </w:tc>
    </w:tr>
  </w:tbl>
  <w:p w14:paraId="1DE70C55" w14:textId="16F618E2" w:rsidR="2AA7DB82" w:rsidRDefault="2AA7DB82" w:rsidP="00765CA4">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C6B2E"/>
    <w:multiLevelType w:val="hybridMultilevel"/>
    <w:tmpl w:val="77A69BFA"/>
    <w:lvl w:ilvl="0" w:tplc="BF34C67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A7F36FF"/>
    <w:multiLevelType w:val="hybridMultilevel"/>
    <w:tmpl w:val="C902F8CA"/>
    <w:lvl w:ilvl="0" w:tplc="BC406A8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3F7E08C6"/>
    <w:multiLevelType w:val="hybridMultilevel"/>
    <w:tmpl w:val="404AE3B6"/>
    <w:lvl w:ilvl="0" w:tplc="E49237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43740F7"/>
    <w:multiLevelType w:val="hybridMultilevel"/>
    <w:tmpl w:val="17A6C2E0"/>
    <w:lvl w:ilvl="0" w:tplc="0D3062F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458322F"/>
    <w:multiLevelType w:val="hybridMultilevel"/>
    <w:tmpl w:val="8EEA3E50"/>
    <w:lvl w:ilvl="0" w:tplc="EDF466EA">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508E1778"/>
    <w:multiLevelType w:val="hybridMultilevel"/>
    <w:tmpl w:val="DA8A879C"/>
    <w:lvl w:ilvl="0" w:tplc="3EE66AA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B91103F"/>
    <w:multiLevelType w:val="hybridMultilevel"/>
    <w:tmpl w:val="F7949C10"/>
    <w:lvl w:ilvl="0" w:tplc="E01E7B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EE13762"/>
    <w:multiLevelType w:val="hybridMultilevel"/>
    <w:tmpl w:val="FAE6E7D2"/>
    <w:lvl w:ilvl="0" w:tplc="90B601A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18F506F"/>
    <w:multiLevelType w:val="hybridMultilevel"/>
    <w:tmpl w:val="70B4329A"/>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62A76FA"/>
    <w:multiLevelType w:val="singleLevel"/>
    <w:tmpl w:val="3E06DA74"/>
    <w:lvl w:ilvl="0">
      <w:start w:val="1"/>
      <w:numFmt w:val="lowerLetter"/>
      <w:lvlText w:val="%1)"/>
      <w:lvlJc w:val="left"/>
      <w:pPr>
        <w:tabs>
          <w:tab w:val="num" w:pos="720"/>
        </w:tabs>
        <w:ind w:left="720" w:hanging="720"/>
      </w:pPr>
      <w:rPr>
        <w:rFonts w:hint="default"/>
      </w:rPr>
    </w:lvl>
  </w:abstractNum>
  <w:abstractNum w:abstractNumId="10" w15:restartNumberingAfterBreak="0">
    <w:nsid w:val="79C07EC3"/>
    <w:multiLevelType w:val="hybridMultilevel"/>
    <w:tmpl w:val="062E76DA"/>
    <w:lvl w:ilvl="0" w:tplc="04090019">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16cid:durableId="365565624">
    <w:abstractNumId w:val="9"/>
  </w:num>
  <w:num w:numId="2" w16cid:durableId="1855605707">
    <w:abstractNumId w:val="1"/>
  </w:num>
  <w:num w:numId="3" w16cid:durableId="1207067835">
    <w:abstractNumId w:val="8"/>
  </w:num>
  <w:num w:numId="4" w16cid:durableId="1698003552">
    <w:abstractNumId w:val="10"/>
  </w:num>
  <w:num w:numId="5" w16cid:durableId="2011060780">
    <w:abstractNumId w:val="2"/>
  </w:num>
  <w:num w:numId="6" w16cid:durableId="382145524">
    <w:abstractNumId w:val="5"/>
  </w:num>
  <w:num w:numId="7" w16cid:durableId="1776054615">
    <w:abstractNumId w:val="6"/>
  </w:num>
  <w:num w:numId="8" w16cid:durableId="1626811314">
    <w:abstractNumId w:val="4"/>
  </w:num>
  <w:num w:numId="9" w16cid:durableId="1323047295">
    <w:abstractNumId w:val="7"/>
  </w:num>
  <w:num w:numId="10" w16cid:durableId="1736584484">
    <w:abstractNumId w:val="3"/>
  </w:num>
  <w:num w:numId="11" w16cid:durableId="79895395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597"/>
    <w:rsid w:val="00007353"/>
    <w:rsid w:val="000336C1"/>
    <w:rsid w:val="000357E9"/>
    <w:rsid w:val="000465DC"/>
    <w:rsid w:val="00051F1C"/>
    <w:rsid w:val="00057424"/>
    <w:rsid w:val="00063DC4"/>
    <w:rsid w:val="00070E35"/>
    <w:rsid w:val="00071577"/>
    <w:rsid w:val="000817D7"/>
    <w:rsid w:val="00082572"/>
    <w:rsid w:val="00086A4A"/>
    <w:rsid w:val="00086FEA"/>
    <w:rsid w:val="00087E5E"/>
    <w:rsid w:val="000B1B82"/>
    <w:rsid w:val="000B51A3"/>
    <w:rsid w:val="000C30ED"/>
    <w:rsid w:val="000C422B"/>
    <w:rsid w:val="000D0B1E"/>
    <w:rsid w:val="000D0DF2"/>
    <w:rsid w:val="000D614A"/>
    <w:rsid w:val="000D62C1"/>
    <w:rsid w:val="000E01A9"/>
    <w:rsid w:val="000E226D"/>
    <w:rsid w:val="000E7ABE"/>
    <w:rsid w:val="000E7D1C"/>
    <w:rsid w:val="000F3C3F"/>
    <w:rsid w:val="000F78EA"/>
    <w:rsid w:val="000F7984"/>
    <w:rsid w:val="00103417"/>
    <w:rsid w:val="0014044C"/>
    <w:rsid w:val="00151F60"/>
    <w:rsid w:val="00156985"/>
    <w:rsid w:val="00157D36"/>
    <w:rsid w:val="001607C6"/>
    <w:rsid w:val="001621F4"/>
    <w:rsid w:val="00167644"/>
    <w:rsid w:val="001721E5"/>
    <w:rsid w:val="00174F0F"/>
    <w:rsid w:val="0018624B"/>
    <w:rsid w:val="0019689B"/>
    <w:rsid w:val="001B21F2"/>
    <w:rsid w:val="001C0F67"/>
    <w:rsid w:val="001D1ABD"/>
    <w:rsid w:val="001E28BC"/>
    <w:rsid w:val="001F16BE"/>
    <w:rsid w:val="001F33BE"/>
    <w:rsid w:val="001F4E10"/>
    <w:rsid w:val="00204376"/>
    <w:rsid w:val="00205008"/>
    <w:rsid w:val="00210578"/>
    <w:rsid w:val="00211DC5"/>
    <w:rsid w:val="00232C85"/>
    <w:rsid w:val="00233277"/>
    <w:rsid w:val="00237088"/>
    <w:rsid w:val="002444DA"/>
    <w:rsid w:val="00245160"/>
    <w:rsid w:val="00262BE6"/>
    <w:rsid w:val="00265847"/>
    <w:rsid w:val="00266FDD"/>
    <w:rsid w:val="00274D3D"/>
    <w:rsid w:val="002763BA"/>
    <w:rsid w:val="002931C2"/>
    <w:rsid w:val="002B3302"/>
    <w:rsid w:val="002B7776"/>
    <w:rsid w:val="002D3414"/>
    <w:rsid w:val="002D3C0B"/>
    <w:rsid w:val="002D4F5B"/>
    <w:rsid w:val="002E2C5C"/>
    <w:rsid w:val="002E30B4"/>
    <w:rsid w:val="00300D08"/>
    <w:rsid w:val="00300E9D"/>
    <w:rsid w:val="00303E5A"/>
    <w:rsid w:val="0033488E"/>
    <w:rsid w:val="00336F18"/>
    <w:rsid w:val="00337B78"/>
    <w:rsid w:val="00342098"/>
    <w:rsid w:val="00350012"/>
    <w:rsid w:val="00356E10"/>
    <w:rsid w:val="0036277B"/>
    <w:rsid w:val="0037217C"/>
    <w:rsid w:val="00373DF1"/>
    <w:rsid w:val="00387F64"/>
    <w:rsid w:val="003A3187"/>
    <w:rsid w:val="003B0B06"/>
    <w:rsid w:val="003B7B46"/>
    <w:rsid w:val="003C421D"/>
    <w:rsid w:val="003D7574"/>
    <w:rsid w:val="003E0772"/>
    <w:rsid w:val="003E24B4"/>
    <w:rsid w:val="003F78D6"/>
    <w:rsid w:val="00401544"/>
    <w:rsid w:val="00427B8E"/>
    <w:rsid w:val="00433109"/>
    <w:rsid w:val="004448EC"/>
    <w:rsid w:val="00444C6C"/>
    <w:rsid w:val="00455654"/>
    <w:rsid w:val="004560A9"/>
    <w:rsid w:val="00462F1D"/>
    <w:rsid w:val="004811C3"/>
    <w:rsid w:val="00483739"/>
    <w:rsid w:val="004848F0"/>
    <w:rsid w:val="00490010"/>
    <w:rsid w:val="004A09B3"/>
    <w:rsid w:val="004A26FF"/>
    <w:rsid w:val="004A4937"/>
    <w:rsid w:val="004A62E8"/>
    <w:rsid w:val="004C63A6"/>
    <w:rsid w:val="004C7090"/>
    <w:rsid w:val="004D0C9F"/>
    <w:rsid w:val="004D40FD"/>
    <w:rsid w:val="004E3165"/>
    <w:rsid w:val="004E4C45"/>
    <w:rsid w:val="004E7921"/>
    <w:rsid w:val="004F2FEA"/>
    <w:rsid w:val="004F4D02"/>
    <w:rsid w:val="00504285"/>
    <w:rsid w:val="00505594"/>
    <w:rsid w:val="0050728C"/>
    <w:rsid w:val="005108AE"/>
    <w:rsid w:val="00510FDC"/>
    <w:rsid w:val="00532CC2"/>
    <w:rsid w:val="00532ED0"/>
    <w:rsid w:val="00572D30"/>
    <w:rsid w:val="00584A4A"/>
    <w:rsid w:val="005961DB"/>
    <w:rsid w:val="005A43F4"/>
    <w:rsid w:val="005B0F0C"/>
    <w:rsid w:val="005C315D"/>
    <w:rsid w:val="005C331E"/>
    <w:rsid w:val="005E3281"/>
    <w:rsid w:val="005F6DAA"/>
    <w:rsid w:val="006219CC"/>
    <w:rsid w:val="00621E5D"/>
    <w:rsid w:val="00633414"/>
    <w:rsid w:val="006505BB"/>
    <w:rsid w:val="006515A7"/>
    <w:rsid w:val="006567F6"/>
    <w:rsid w:val="00667FB7"/>
    <w:rsid w:val="00673FA6"/>
    <w:rsid w:val="00680CEC"/>
    <w:rsid w:val="006835D4"/>
    <w:rsid w:val="00683715"/>
    <w:rsid w:val="00686892"/>
    <w:rsid w:val="00692C07"/>
    <w:rsid w:val="006940B3"/>
    <w:rsid w:val="00696BD0"/>
    <w:rsid w:val="006A5594"/>
    <w:rsid w:val="006B626E"/>
    <w:rsid w:val="006C395D"/>
    <w:rsid w:val="006C5685"/>
    <w:rsid w:val="006C73C9"/>
    <w:rsid w:val="006D5CDA"/>
    <w:rsid w:val="006E084A"/>
    <w:rsid w:val="00707626"/>
    <w:rsid w:val="007133E7"/>
    <w:rsid w:val="00713FB2"/>
    <w:rsid w:val="00737E7F"/>
    <w:rsid w:val="00743085"/>
    <w:rsid w:val="007570AF"/>
    <w:rsid w:val="00760EB5"/>
    <w:rsid w:val="00763651"/>
    <w:rsid w:val="00764B56"/>
    <w:rsid w:val="00765CA4"/>
    <w:rsid w:val="00766F25"/>
    <w:rsid w:val="00782B38"/>
    <w:rsid w:val="00782D36"/>
    <w:rsid w:val="007874F7"/>
    <w:rsid w:val="0079159F"/>
    <w:rsid w:val="007A26A8"/>
    <w:rsid w:val="007B260D"/>
    <w:rsid w:val="007B70DA"/>
    <w:rsid w:val="007C1F5D"/>
    <w:rsid w:val="007C61C8"/>
    <w:rsid w:val="007D092A"/>
    <w:rsid w:val="007E2BF1"/>
    <w:rsid w:val="007E44B7"/>
    <w:rsid w:val="007F64D6"/>
    <w:rsid w:val="00807728"/>
    <w:rsid w:val="008229FA"/>
    <w:rsid w:val="0082684D"/>
    <w:rsid w:val="00827982"/>
    <w:rsid w:val="00831776"/>
    <w:rsid w:val="008325C0"/>
    <w:rsid w:val="00833699"/>
    <w:rsid w:val="00842635"/>
    <w:rsid w:val="00842668"/>
    <w:rsid w:val="008443FA"/>
    <w:rsid w:val="0086105A"/>
    <w:rsid w:val="0086404A"/>
    <w:rsid w:val="008670A7"/>
    <w:rsid w:val="008703EB"/>
    <w:rsid w:val="008A1A56"/>
    <w:rsid w:val="008A2286"/>
    <w:rsid w:val="008A23E9"/>
    <w:rsid w:val="008B6142"/>
    <w:rsid w:val="008B708F"/>
    <w:rsid w:val="008C450F"/>
    <w:rsid w:val="008D106D"/>
    <w:rsid w:val="008D13B0"/>
    <w:rsid w:val="008D33AD"/>
    <w:rsid w:val="008D4204"/>
    <w:rsid w:val="008D7CCF"/>
    <w:rsid w:val="008E25DB"/>
    <w:rsid w:val="008E5326"/>
    <w:rsid w:val="008F38CC"/>
    <w:rsid w:val="008F6FC1"/>
    <w:rsid w:val="008F773C"/>
    <w:rsid w:val="009003A0"/>
    <w:rsid w:val="0090138A"/>
    <w:rsid w:val="0090313B"/>
    <w:rsid w:val="0091360D"/>
    <w:rsid w:val="009303BE"/>
    <w:rsid w:val="00932C66"/>
    <w:rsid w:val="00933E11"/>
    <w:rsid w:val="00942294"/>
    <w:rsid w:val="00953C90"/>
    <w:rsid w:val="00955200"/>
    <w:rsid w:val="00957CEB"/>
    <w:rsid w:val="009641FA"/>
    <w:rsid w:val="009727F8"/>
    <w:rsid w:val="00975C4A"/>
    <w:rsid w:val="009A4E42"/>
    <w:rsid w:val="009A65EF"/>
    <w:rsid w:val="009A7916"/>
    <w:rsid w:val="009A7F6A"/>
    <w:rsid w:val="009B2C3B"/>
    <w:rsid w:val="009C7DB6"/>
    <w:rsid w:val="009D1533"/>
    <w:rsid w:val="009E0C67"/>
    <w:rsid w:val="009E22EF"/>
    <w:rsid w:val="009E6FF7"/>
    <w:rsid w:val="00A0631C"/>
    <w:rsid w:val="00A15581"/>
    <w:rsid w:val="00A27356"/>
    <w:rsid w:val="00A37D91"/>
    <w:rsid w:val="00A427EE"/>
    <w:rsid w:val="00A6012D"/>
    <w:rsid w:val="00A60717"/>
    <w:rsid w:val="00A82269"/>
    <w:rsid w:val="00A8568D"/>
    <w:rsid w:val="00A95891"/>
    <w:rsid w:val="00AA0CF2"/>
    <w:rsid w:val="00AA3900"/>
    <w:rsid w:val="00AB2DCF"/>
    <w:rsid w:val="00AB7928"/>
    <w:rsid w:val="00AC2F1A"/>
    <w:rsid w:val="00AC6266"/>
    <w:rsid w:val="00AD757C"/>
    <w:rsid w:val="00AF6C98"/>
    <w:rsid w:val="00B0084B"/>
    <w:rsid w:val="00B04CFB"/>
    <w:rsid w:val="00B0619E"/>
    <w:rsid w:val="00B06AF1"/>
    <w:rsid w:val="00B07B9C"/>
    <w:rsid w:val="00B17034"/>
    <w:rsid w:val="00B21DE7"/>
    <w:rsid w:val="00B35578"/>
    <w:rsid w:val="00B43CA4"/>
    <w:rsid w:val="00B473DA"/>
    <w:rsid w:val="00B60391"/>
    <w:rsid w:val="00B6278C"/>
    <w:rsid w:val="00B63393"/>
    <w:rsid w:val="00B77255"/>
    <w:rsid w:val="00B81F03"/>
    <w:rsid w:val="00B85210"/>
    <w:rsid w:val="00B932BE"/>
    <w:rsid w:val="00BA2FFD"/>
    <w:rsid w:val="00BB0510"/>
    <w:rsid w:val="00BB53A5"/>
    <w:rsid w:val="00BC19CC"/>
    <w:rsid w:val="00BD4095"/>
    <w:rsid w:val="00BE054B"/>
    <w:rsid w:val="00BE1874"/>
    <w:rsid w:val="00BF1616"/>
    <w:rsid w:val="00BF3EA3"/>
    <w:rsid w:val="00BF6C18"/>
    <w:rsid w:val="00C0235F"/>
    <w:rsid w:val="00C026F9"/>
    <w:rsid w:val="00C02B7F"/>
    <w:rsid w:val="00C16D3D"/>
    <w:rsid w:val="00C17037"/>
    <w:rsid w:val="00C1732B"/>
    <w:rsid w:val="00C23024"/>
    <w:rsid w:val="00C2409C"/>
    <w:rsid w:val="00C51C8D"/>
    <w:rsid w:val="00C535C0"/>
    <w:rsid w:val="00C6254D"/>
    <w:rsid w:val="00C74E26"/>
    <w:rsid w:val="00C779DD"/>
    <w:rsid w:val="00C836B3"/>
    <w:rsid w:val="00C92103"/>
    <w:rsid w:val="00C923EF"/>
    <w:rsid w:val="00C94E6F"/>
    <w:rsid w:val="00C950C9"/>
    <w:rsid w:val="00CB16AD"/>
    <w:rsid w:val="00CB3EFE"/>
    <w:rsid w:val="00CC17C0"/>
    <w:rsid w:val="00CD7B0E"/>
    <w:rsid w:val="00CE1E85"/>
    <w:rsid w:val="00CE67CF"/>
    <w:rsid w:val="00CF1CBC"/>
    <w:rsid w:val="00CF7F5E"/>
    <w:rsid w:val="00D035E8"/>
    <w:rsid w:val="00D050D0"/>
    <w:rsid w:val="00D21FAA"/>
    <w:rsid w:val="00D3040F"/>
    <w:rsid w:val="00D40D88"/>
    <w:rsid w:val="00D6614B"/>
    <w:rsid w:val="00D77171"/>
    <w:rsid w:val="00DB05F7"/>
    <w:rsid w:val="00DC650D"/>
    <w:rsid w:val="00DF1827"/>
    <w:rsid w:val="00DF4D28"/>
    <w:rsid w:val="00DF7C7C"/>
    <w:rsid w:val="00E00380"/>
    <w:rsid w:val="00E13C34"/>
    <w:rsid w:val="00E16F16"/>
    <w:rsid w:val="00E20F75"/>
    <w:rsid w:val="00E2531B"/>
    <w:rsid w:val="00E358BB"/>
    <w:rsid w:val="00E35C88"/>
    <w:rsid w:val="00E37B79"/>
    <w:rsid w:val="00E41E45"/>
    <w:rsid w:val="00E54E55"/>
    <w:rsid w:val="00E56485"/>
    <w:rsid w:val="00E676E2"/>
    <w:rsid w:val="00E71B41"/>
    <w:rsid w:val="00E75597"/>
    <w:rsid w:val="00E86BE7"/>
    <w:rsid w:val="00E86CF2"/>
    <w:rsid w:val="00E9732D"/>
    <w:rsid w:val="00EB45E3"/>
    <w:rsid w:val="00EC374D"/>
    <w:rsid w:val="00EC3D40"/>
    <w:rsid w:val="00EC412C"/>
    <w:rsid w:val="00EE33FD"/>
    <w:rsid w:val="00EE3C9D"/>
    <w:rsid w:val="00EE404C"/>
    <w:rsid w:val="00EE48CD"/>
    <w:rsid w:val="00F00C48"/>
    <w:rsid w:val="00F17CB5"/>
    <w:rsid w:val="00F234B1"/>
    <w:rsid w:val="00F37A15"/>
    <w:rsid w:val="00F44BD6"/>
    <w:rsid w:val="00F50A4F"/>
    <w:rsid w:val="00F565F3"/>
    <w:rsid w:val="00F60A98"/>
    <w:rsid w:val="00F67A5A"/>
    <w:rsid w:val="00F67BA1"/>
    <w:rsid w:val="00F71FE6"/>
    <w:rsid w:val="00F81C46"/>
    <w:rsid w:val="00F974C5"/>
    <w:rsid w:val="00FA3E77"/>
    <w:rsid w:val="00FC2060"/>
    <w:rsid w:val="00FD4878"/>
    <w:rsid w:val="00FE11B0"/>
    <w:rsid w:val="00FE4BA3"/>
    <w:rsid w:val="00FF6F3C"/>
    <w:rsid w:val="02F00A29"/>
    <w:rsid w:val="030A5234"/>
    <w:rsid w:val="03DC3111"/>
    <w:rsid w:val="0553D06A"/>
    <w:rsid w:val="05834564"/>
    <w:rsid w:val="089B87F7"/>
    <w:rsid w:val="095B9AA2"/>
    <w:rsid w:val="09E590E9"/>
    <w:rsid w:val="0A12254F"/>
    <w:rsid w:val="0BAE48C0"/>
    <w:rsid w:val="0BE74214"/>
    <w:rsid w:val="0C03F290"/>
    <w:rsid w:val="0D5ED686"/>
    <w:rsid w:val="0D9DD5DD"/>
    <w:rsid w:val="0F1D6E36"/>
    <w:rsid w:val="0FFDA559"/>
    <w:rsid w:val="120C2DFE"/>
    <w:rsid w:val="122934EF"/>
    <w:rsid w:val="125A515E"/>
    <w:rsid w:val="14014684"/>
    <w:rsid w:val="15136499"/>
    <w:rsid w:val="16076162"/>
    <w:rsid w:val="16CDBD4F"/>
    <w:rsid w:val="17464C6D"/>
    <w:rsid w:val="17FEF59A"/>
    <w:rsid w:val="190CEBD2"/>
    <w:rsid w:val="19FD4728"/>
    <w:rsid w:val="1A16A6B8"/>
    <w:rsid w:val="1BE771EA"/>
    <w:rsid w:val="1C808D47"/>
    <w:rsid w:val="1CF47645"/>
    <w:rsid w:val="1D4C752E"/>
    <w:rsid w:val="1D61B750"/>
    <w:rsid w:val="1E1AF5DC"/>
    <w:rsid w:val="1F11D10E"/>
    <w:rsid w:val="1F83D0BA"/>
    <w:rsid w:val="1F9F17F1"/>
    <w:rsid w:val="1FC0F26E"/>
    <w:rsid w:val="200598FE"/>
    <w:rsid w:val="203BD1DB"/>
    <w:rsid w:val="2075F8E5"/>
    <w:rsid w:val="2103F5B9"/>
    <w:rsid w:val="2187A2BF"/>
    <w:rsid w:val="21937366"/>
    <w:rsid w:val="2299AF75"/>
    <w:rsid w:val="258FCF41"/>
    <w:rsid w:val="26F9198F"/>
    <w:rsid w:val="276013E6"/>
    <w:rsid w:val="2895AA2C"/>
    <w:rsid w:val="28DD3811"/>
    <w:rsid w:val="2AA7DB82"/>
    <w:rsid w:val="2AE5152A"/>
    <w:rsid w:val="2B4D7FBB"/>
    <w:rsid w:val="2B9B454C"/>
    <w:rsid w:val="2C27AFFD"/>
    <w:rsid w:val="2C5E6BBA"/>
    <w:rsid w:val="2D585E45"/>
    <w:rsid w:val="2DEE5BF1"/>
    <w:rsid w:val="2FF7CD5C"/>
    <w:rsid w:val="3045FAF1"/>
    <w:rsid w:val="308E3F2F"/>
    <w:rsid w:val="309F1903"/>
    <w:rsid w:val="31B92498"/>
    <w:rsid w:val="32D7B661"/>
    <w:rsid w:val="33AF26DA"/>
    <w:rsid w:val="3503A317"/>
    <w:rsid w:val="35D5FC33"/>
    <w:rsid w:val="374F7C33"/>
    <w:rsid w:val="37FB1DE2"/>
    <w:rsid w:val="3872FC8E"/>
    <w:rsid w:val="39EF803A"/>
    <w:rsid w:val="3A64BFD3"/>
    <w:rsid w:val="3A99A188"/>
    <w:rsid w:val="3B7ACA9D"/>
    <w:rsid w:val="3CC724DB"/>
    <w:rsid w:val="3D3A2524"/>
    <w:rsid w:val="3EEDDCE7"/>
    <w:rsid w:val="3F7CDDB4"/>
    <w:rsid w:val="3F89B5F6"/>
    <w:rsid w:val="40BAE629"/>
    <w:rsid w:val="40BE8259"/>
    <w:rsid w:val="41A62224"/>
    <w:rsid w:val="41D83BD1"/>
    <w:rsid w:val="41FB795A"/>
    <w:rsid w:val="42DC0B5D"/>
    <w:rsid w:val="44C00BB9"/>
    <w:rsid w:val="452024E1"/>
    <w:rsid w:val="458F669E"/>
    <w:rsid w:val="45F76D7F"/>
    <w:rsid w:val="4714B6B6"/>
    <w:rsid w:val="485E9EA9"/>
    <w:rsid w:val="496CA618"/>
    <w:rsid w:val="4A14C533"/>
    <w:rsid w:val="4B89330E"/>
    <w:rsid w:val="4C5906DA"/>
    <w:rsid w:val="4C98600D"/>
    <w:rsid w:val="4F2FA61F"/>
    <w:rsid w:val="4FE7B403"/>
    <w:rsid w:val="518457BB"/>
    <w:rsid w:val="524A1BD8"/>
    <w:rsid w:val="5470F524"/>
    <w:rsid w:val="54BEC13E"/>
    <w:rsid w:val="55E1F4CB"/>
    <w:rsid w:val="55EF5B20"/>
    <w:rsid w:val="56456B42"/>
    <w:rsid w:val="56718C37"/>
    <w:rsid w:val="568232FD"/>
    <w:rsid w:val="5748CFE6"/>
    <w:rsid w:val="578D636C"/>
    <w:rsid w:val="5A003218"/>
    <w:rsid w:val="5B9D095D"/>
    <w:rsid w:val="5D1F89A2"/>
    <w:rsid w:val="5DC020E2"/>
    <w:rsid w:val="5E0A06B9"/>
    <w:rsid w:val="60B2D795"/>
    <w:rsid w:val="60F6B93E"/>
    <w:rsid w:val="638A714F"/>
    <w:rsid w:val="64DEDDB1"/>
    <w:rsid w:val="652D9C09"/>
    <w:rsid w:val="65422CA5"/>
    <w:rsid w:val="6684640C"/>
    <w:rsid w:val="67358F1A"/>
    <w:rsid w:val="6790F058"/>
    <w:rsid w:val="68BEF812"/>
    <w:rsid w:val="6B64381F"/>
    <w:rsid w:val="6B8575E9"/>
    <w:rsid w:val="6BD335EB"/>
    <w:rsid w:val="6D3BE9C1"/>
    <w:rsid w:val="6D48C103"/>
    <w:rsid w:val="6D5E543B"/>
    <w:rsid w:val="6D6F2649"/>
    <w:rsid w:val="6F31C181"/>
    <w:rsid w:val="6F655DE5"/>
    <w:rsid w:val="7012B8F6"/>
    <w:rsid w:val="7024D0DD"/>
    <w:rsid w:val="710CAAD8"/>
    <w:rsid w:val="71DCCDBB"/>
    <w:rsid w:val="71E2472A"/>
    <w:rsid w:val="726720F6"/>
    <w:rsid w:val="726F9FEC"/>
    <w:rsid w:val="72A53287"/>
    <w:rsid w:val="72EBE8A1"/>
    <w:rsid w:val="7305D51A"/>
    <w:rsid w:val="73379138"/>
    <w:rsid w:val="734ADF18"/>
    <w:rsid w:val="73929855"/>
    <w:rsid w:val="74BC96BE"/>
    <w:rsid w:val="757CC3F6"/>
    <w:rsid w:val="75BA5E37"/>
    <w:rsid w:val="7626BCDF"/>
    <w:rsid w:val="76666C4A"/>
    <w:rsid w:val="78189C39"/>
    <w:rsid w:val="7821EC5B"/>
    <w:rsid w:val="7847C5D7"/>
    <w:rsid w:val="78EC36E1"/>
    <w:rsid w:val="78F60876"/>
    <w:rsid w:val="7A4A45A8"/>
    <w:rsid w:val="7ADF975C"/>
    <w:rsid w:val="7B47B99A"/>
    <w:rsid w:val="7BCB1A09"/>
    <w:rsid w:val="7BFCAA1B"/>
    <w:rsid w:val="7E5445A7"/>
    <w:rsid w:val="7ED3BB3F"/>
    <w:rsid w:val="7FDF7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413A73"/>
  <w15:chartTrackingRefBased/>
  <w15:docId w15:val="{3DD762F6-9757-4708-BEA4-2577E6449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5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55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5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5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5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5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5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5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5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5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55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5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5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5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5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5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5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597"/>
    <w:rPr>
      <w:rFonts w:eastAsiaTheme="majorEastAsia" w:cstheme="majorBidi"/>
      <w:color w:val="272727" w:themeColor="text1" w:themeTint="D8"/>
    </w:rPr>
  </w:style>
  <w:style w:type="paragraph" w:styleId="Title">
    <w:name w:val="Title"/>
    <w:basedOn w:val="Normal"/>
    <w:next w:val="Normal"/>
    <w:link w:val="TitleChar"/>
    <w:uiPriority w:val="10"/>
    <w:qFormat/>
    <w:rsid w:val="00E755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5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59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5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59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75597"/>
    <w:rPr>
      <w:i/>
      <w:iCs/>
      <w:color w:val="404040" w:themeColor="text1" w:themeTint="BF"/>
    </w:rPr>
  </w:style>
  <w:style w:type="paragraph" w:styleId="ListParagraph">
    <w:name w:val="List Paragraph"/>
    <w:basedOn w:val="Normal"/>
    <w:uiPriority w:val="34"/>
    <w:qFormat/>
    <w:rsid w:val="00E75597"/>
    <w:pPr>
      <w:ind w:left="720"/>
      <w:contextualSpacing/>
    </w:pPr>
  </w:style>
  <w:style w:type="character" w:styleId="IntenseEmphasis">
    <w:name w:val="Intense Emphasis"/>
    <w:basedOn w:val="DefaultParagraphFont"/>
    <w:uiPriority w:val="21"/>
    <w:qFormat/>
    <w:rsid w:val="00E75597"/>
    <w:rPr>
      <w:i/>
      <w:iCs/>
      <w:color w:val="0F4761" w:themeColor="accent1" w:themeShade="BF"/>
    </w:rPr>
  </w:style>
  <w:style w:type="paragraph" w:styleId="IntenseQuote">
    <w:name w:val="Intense Quote"/>
    <w:basedOn w:val="Normal"/>
    <w:next w:val="Normal"/>
    <w:link w:val="IntenseQuoteChar"/>
    <w:uiPriority w:val="30"/>
    <w:qFormat/>
    <w:rsid w:val="00E755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597"/>
    <w:rPr>
      <w:i/>
      <w:iCs/>
      <w:color w:val="0F4761" w:themeColor="accent1" w:themeShade="BF"/>
    </w:rPr>
  </w:style>
  <w:style w:type="character" w:styleId="IntenseReference">
    <w:name w:val="Intense Reference"/>
    <w:basedOn w:val="DefaultParagraphFont"/>
    <w:uiPriority w:val="32"/>
    <w:qFormat/>
    <w:rsid w:val="00E75597"/>
    <w:rPr>
      <w:b/>
      <w:bCs/>
      <w:smallCaps/>
      <w:color w:val="0F4761" w:themeColor="accent1" w:themeShade="BF"/>
      <w:spacing w:val="5"/>
    </w:rPr>
  </w:style>
  <w:style w:type="character" w:styleId="CommentReference">
    <w:name w:val="annotation reference"/>
    <w:basedOn w:val="DefaultParagraphFont"/>
    <w:uiPriority w:val="99"/>
    <w:semiHidden/>
    <w:unhideWhenUsed/>
    <w:rsid w:val="0037217C"/>
    <w:rPr>
      <w:sz w:val="16"/>
      <w:szCs w:val="16"/>
    </w:rPr>
  </w:style>
  <w:style w:type="paragraph" w:styleId="CommentText">
    <w:name w:val="annotation text"/>
    <w:basedOn w:val="Normal"/>
    <w:link w:val="CommentTextChar"/>
    <w:uiPriority w:val="99"/>
    <w:unhideWhenUsed/>
    <w:rsid w:val="0037217C"/>
    <w:rPr>
      <w:sz w:val="20"/>
      <w:szCs w:val="20"/>
    </w:rPr>
  </w:style>
  <w:style w:type="character" w:customStyle="1" w:styleId="CommentTextChar">
    <w:name w:val="Comment Text Char"/>
    <w:basedOn w:val="DefaultParagraphFont"/>
    <w:link w:val="CommentText"/>
    <w:uiPriority w:val="99"/>
    <w:rsid w:val="0037217C"/>
    <w:rPr>
      <w:sz w:val="20"/>
      <w:szCs w:val="20"/>
    </w:rPr>
  </w:style>
  <w:style w:type="paragraph" w:styleId="CommentSubject">
    <w:name w:val="annotation subject"/>
    <w:basedOn w:val="CommentText"/>
    <w:next w:val="CommentText"/>
    <w:link w:val="CommentSubjectChar"/>
    <w:uiPriority w:val="99"/>
    <w:semiHidden/>
    <w:unhideWhenUsed/>
    <w:rsid w:val="0037217C"/>
    <w:rPr>
      <w:b/>
      <w:bCs/>
    </w:rPr>
  </w:style>
  <w:style w:type="character" w:customStyle="1" w:styleId="CommentSubjectChar">
    <w:name w:val="Comment Subject Char"/>
    <w:basedOn w:val="CommentTextChar"/>
    <w:link w:val="CommentSubject"/>
    <w:uiPriority w:val="99"/>
    <w:semiHidden/>
    <w:rsid w:val="0037217C"/>
    <w:rPr>
      <w:b/>
      <w:bCs/>
      <w:sz w:val="20"/>
      <w:szCs w:val="20"/>
    </w:rPr>
  </w:style>
  <w:style w:type="character" w:styleId="Hyperlink">
    <w:name w:val="Hyperlink"/>
    <w:basedOn w:val="DefaultParagraphFont"/>
    <w:uiPriority w:val="99"/>
    <w:unhideWhenUsed/>
    <w:rsid w:val="00953C90"/>
    <w:rPr>
      <w:color w:val="0000FF"/>
      <w:u w:val="single"/>
    </w:rPr>
  </w:style>
  <w:style w:type="character" w:styleId="UnresolvedMention">
    <w:name w:val="Unresolved Mention"/>
    <w:basedOn w:val="DefaultParagraphFont"/>
    <w:uiPriority w:val="99"/>
    <w:semiHidden/>
    <w:unhideWhenUsed/>
    <w:rsid w:val="00953C90"/>
    <w:rPr>
      <w:color w:val="605E5C"/>
      <w:shd w:val="clear" w:color="auto" w:fill="E1DFDD"/>
    </w:rPr>
  </w:style>
  <w:style w:type="paragraph" w:styleId="Header">
    <w:name w:val="header"/>
    <w:basedOn w:val="Normal"/>
    <w:link w:val="HeaderChar"/>
    <w:uiPriority w:val="99"/>
    <w:unhideWhenUsed/>
    <w:rsid w:val="009C7DB6"/>
    <w:pPr>
      <w:tabs>
        <w:tab w:val="center" w:pos="4680"/>
        <w:tab w:val="right" w:pos="9360"/>
      </w:tabs>
    </w:pPr>
  </w:style>
  <w:style w:type="character" w:customStyle="1" w:styleId="HeaderChar">
    <w:name w:val="Header Char"/>
    <w:basedOn w:val="DefaultParagraphFont"/>
    <w:link w:val="Header"/>
    <w:uiPriority w:val="99"/>
    <w:rsid w:val="009C7DB6"/>
  </w:style>
  <w:style w:type="paragraph" w:styleId="Footer">
    <w:name w:val="footer"/>
    <w:basedOn w:val="Normal"/>
    <w:link w:val="FooterChar"/>
    <w:uiPriority w:val="99"/>
    <w:unhideWhenUsed/>
    <w:rsid w:val="009C7DB6"/>
    <w:pPr>
      <w:tabs>
        <w:tab w:val="center" w:pos="4680"/>
        <w:tab w:val="right" w:pos="9360"/>
      </w:tabs>
    </w:pPr>
  </w:style>
  <w:style w:type="character" w:customStyle="1" w:styleId="FooterChar">
    <w:name w:val="Footer Char"/>
    <w:basedOn w:val="DefaultParagraphFont"/>
    <w:link w:val="Footer"/>
    <w:uiPriority w:val="99"/>
    <w:rsid w:val="009C7DB6"/>
  </w:style>
  <w:style w:type="paragraph" w:styleId="Revision">
    <w:name w:val="Revision"/>
    <w:hidden/>
    <w:uiPriority w:val="99"/>
    <w:semiHidden/>
    <w:rsid w:val="00F565F3"/>
  </w:style>
  <w:style w:type="paragraph" w:styleId="BalloonText">
    <w:name w:val="Balloon Text"/>
    <w:basedOn w:val="Normal"/>
    <w:link w:val="BalloonTextChar"/>
    <w:uiPriority w:val="99"/>
    <w:semiHidden/>
    <w:unhideWhenUsed/>
    <w:rsid w:val="007915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59F"/>
    <w:rPr>
      <w:rFonts w:ascii="Segoe UI" w:hAnsi="Segoe UI" w:cs="Segoe UI"/>
      <w:sz w:val="18"/>
      <w:szCs w:val="18"/>
    </w:rPr>
  </w:style>
  <w:style w:type="table" w:styleId="TableGrid">
    <w:name w:val="Table Grid"/>
    <w:basedOn w:val="TableNormal"/>
    <w:uiPriority w:val="39"/>
    <w:rsid w:val="008F773C"/>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69949">
      <w:bodyDiv w:val="1"/>
      <w:marLeft w:val="0"/>
      <w:marRight w:val="0"/>
      <w:marTop w:val="0"/>
      <w:marBottom w:val="0"/>
      <w:divBdr>
        <w:top w:val="none" w:sz="0" w:space="0" w:color="auto"/>
        <w:left w:val="none" w:sz="0" w:space="0" w:color="auto"/>
        <w:bottom w:val="none" w:sz="0" w:space="0" w:color="auto"/>
        <w:right w:val="none" w:sz="0" w:space="0" w:color="auto"/>
      </w:divBdr>
    </w:div>
    <w:div w:id="177695448">
      <w:bodyDiv w:val="1"/>
      <w:marLeft w:val="0"/>
      <w:marRight w:val="0"/>
      <w:marTop w:val="0"/>
      <w:marBottom w:val="0"/>
      <w:divBdr>
        <w:top w:val="none" w:sz="0" w:space="0" w:color="auto"/>
        <w:left w:val="none" w:sz="0" w:space="0" w:color="auto"/>
        <w:bottom w:val="none" w:sz="0" w:space="0" w:color="auto"/>
        <w:right w:val="none" w:sz="0" w:space="0" w:color="auto"/>
      </w:divBdr>
    </w:div>
    <w:div w:id="213735012">
      <w:bodyDiv w:val="1"/>
      <w:marLeft w:val="0"/>
      <w:marRight w:val="0"/>
      <w:marTop w:val="0"/>
      <w:marBottom w:val="0"/>
      <w:divBdr>
        <w:top w:val="none" w:sz="0" w:space="0" w:color="auto"/>
        <w:left w:val="none" w:sz="0" w:space="0" w:color="auto"/>
        <w:bottom w:val="none" w:sz="0" w:space="0" w:color="auto"/>
        <w:right w:val="none" w:sz="0" w:space="0" w:color="auto"/>
      </w:divBdr>
    </w:div>
    <w:div w:id="228075249">
      <w:bodyDiv w:val="1"/>
      <w:marLeft w:val="0"/>
      <w:marRight w:val="0"/>
      <w:marTop w:val="0"/>
      <w:marBottom w:val="0"/>
      <w:divBdr>
        <w:top w:val="none" w:sz="0" w:space="0" w:color="auto"/>
        <w:left w:val="none" w:sz="0" w:space="0" w:color="auto"/>
        <w:bottom w:val="none" w:sz="0" w:space="0" w:color="auto"/>
        <w:right w:val="none" w:sz="0" w:space="0" w:color="auto"/>
      </w:divBdr>
    </w:div>
    <w:div w:id="341442792">
      <w:bodyDiv w:val="1"/>
      <w:marLeft w:val="0"/>
      <w:marRight w:val="0"/>
      <w:marTop w:val="0"/>
      <w:marBottom w:val="0"/>
      <w:divBdr>
        <w:top w:val="none" w:sz="0" w:space="0" w:color="auto"/>
        <w:left w:val="none" w:sz="0" w:space="0" w:color="auto"/>
        <w:bottom w:val="none" w:sz="0" w:space="0" w:color="auto"/>
        <w:right w:val="none" w:sz="0" w:space="0" w:color="auto"/>
      </w:divBdr>
    </w:div>
    <w:div w:id="352387376">
      <w:bodyDiv w:val="1"/>
      <w:marLeft w:val="0"/>
      <w:marRight w:val="0"/>
      <w:marTop w:val="0"/>
      <w:marBottom w:val="0"/>
      <w:divBdr>
        <w:top w:val="none" w:sz="0" w:space="0" w:color="auto"/>
        <w:left w:val="none" w:sz="0" w:space="0" w:color="auto"/>
        <w:bottom w:val="none" w:sz="0" w:space="0" w:color="auto"/>
        <w:right w:val="none" w:sz="0" w:space="0" w:color="auto"/>
      </w:divBdr>
    </w:div>
    <w:div w:id="360126676">
      <w:bodyDiv w:val="1"/>
      <w:marLeft w:val="0"/>
      <w:marRight w:val="0"/>
      <w:marTop w:val="0"/>
      <w:marBottom w:val="0"/>
      <w:divBdr>
        <w:top w:val="none" w:sz="0" w:space="0" w:color="auto"/>
        <w:left w:val="none" w:sz="0" w:space="0" w:color="auto"/>
        <w:bottom w:val="none" w:sz="0" w:space="0" w:color="auto"/>
        <w:right w:val="none" w:sz="0" w:space="0" w:color="auto"/>
      </w:divBdr>
    </w:div>
    <w:div w:id="445735693">
      <w:bodyDiv w:val="1"/>
      <w:marLeft w:val="0"/>
      <w:marRight w:val="0"/>
      <w:marTop w:val="0"/>
      <w:marBottom w:val="0"/>
      <w:divBdr>
        <w:top w:val="none" w:sz="0" w:space="0" w:color="auto"/>
        <w:left w:val="none" w:sz="0" w:space="0" w:color="auto"/>
        <w:bottom w:val="none" w:sz="0" w:space="0" w:color="auto"/>
        <w:right w:val="none" w:sz="0" w:space="0" w:color="auto"/>
      </w:divBdr>
    </w:div>
    <w:div w:id="501626237">
      <w:bodyDiv w:val="1"/>
      <w:marLeft w:val="0"/>
      <w:marRight w:val="0"/>
      <w:marTop w:val="0"/>
      <w:marBottom w:val="0"/>
      <w:divBdr>
        <w:top w:val="none" w:sz="0" w:space="0" w:color="auto"/>
        <w:left w:val="none" w:sz="0" w:space="0" w:color="auto"/>
        <w:bottom w:val="none" w:sz="0" w:space="0" w:color="auto"/>
        <w:right w:val="none" w:sz="0" w:space="0" w:color="auto"/>
      </w:divBdr>
    </w:div>
    <w:div w:id="1162426134">
      <w:bodyDiv w:val="1"/>
      <w:marLeft w:val="0"/>
      <w:marRight w:val="0"/>
      <w:marTop w:val="0"/>
      <w:marBottom w:val="0"/>
      <w:divBdr>
        <w:top w:val="none" w:sz="0" w:space="0" w:color="auto"/>
        <w:left w:val="none" w:sz="0" w:space="0" w:color="auto"/>
        <w:bottom w:val="none" w:sz="0" w:space="0" w:color="auto"/>
        <w:right w:val="none" w:sz="0" w:space="0" w:color="auto"/>
      </w:divBdr>
    </w:div>
    <w:div w:id="1206983537">
      <w:bodyDiv w:val="1"/>
      <w:marLeft w:val="0"/>
      <w:marRight w:val="0"/>
      <w:marTop w:val="0"/>
      <w:marBottom w:val="0"/>
      <w:divBdr>
        <w:top w:val="none" w:sz="0" w:space="0" w:color="auto"/>
        <w:left w:val="none" w:sz="0" w:space="0" w:color="auto"/>
        <w:bottom w:val="none" w:sz="0" w:space="0" w:color="auto"/>
        <w:right w:val="none" w:sz="0" w:space="0" w:color="auto"/>
      </w:divBdr>
    </w:div>
    <w:div w:id="1240292091">
      <w:bodyDiv w:val="1"/>
      <w:marLeft w:val="0"/>
      <w:marRight w:val="0"/>
      <w:marTop w:val="0"/>
      <w:marBottom w:val="0"/>
      <w:divBdr>
        <w:top w:val="none" w:sz="0" w:space="0" w:color="auto"/>
        <w:left w:val="none" w:sz="0" w:space="0" w:color="auto"/>
        <w:bottom w:val="none" w:sz="0" w:space="0" w:color="auto"/>
        <w:right w:val="none" w:sz="0" w:space="0" w:color="auto"/>
      </w:divBdr>
    </w:div>
    <w:div w:id="1292250866">
      <w:bodyDiv w:val="1"/>
      <w:marLeft w:val="0"/>
      <w:marRight w:val="0"/>
      <w:marTop w:val="0"/>
      <w:marBottom w:val="0"/>
      <w:divBdr>
        <w:top w:val="none" w:sz="0" w:space="0" w:color="auto"/>
        <w:left w:val="none" w:sz="0" w:space="0" w:color="auto"/>
        <w:bottom w:val="none" w:sz="0" w:space="0" w:color="auto"/>
        <w:right w:val="none" w:sz="0" w:space="0" w:color="auto"/>
      </w:divBdr>
    </w:div>
    <w:div w:id="1358846018">
      <w:bodyDiv w:val="1"/>
      <w:marLeft w:val="0"/>
      <w:marRight w:val="0"/>
      <w:marTop w:val="0"/>
      <w:marBottom w:val="0"/>
      <w:divBdr>
        <w:top w:val="none" w:sz="0" w:space="0" w:color="auto"/>
        <w:left w:val="none" w:sz="0" w:space="0" w:color="auto"/>
        <w:bottom w:val="none" w:sz="0" w:space="0" w:color="auto"/>
        <w:right w:val="none" w:sz="0" w:space="0" w:color="auto"/>
      </w:divBdr>
    </w:div>
    <w:div w:id="1379356081">
      <w:bodyDiv w:val="1"/>
      <w:marLeft w:val="0"/>
      <w:marRight w:val="0"/>
      <w:marTop w:val="0"/>
      <w:marBottom w:val="0"/>
      <w:divBdr>
        <w:top w:val="none" w:sz="0" w:space="0" w:color="auto"/>
        <w:left w:val="none" w:sz="0" w:space="0" w:color="auto"/>
        <w:bottom w:val="none" w:sz="0" w:space="0" w:color="auto"/>
        <w:right w:val="none" w:sz="0" w:space="0" w:color="auto"/>
      </w:divBdr>
    </w:div>
    <w:div w:id="1381708239">
      <w:bodyDiv w:val="1"/>
      <w:marLeft w:val="0"/>
      <w:marRight w:val="0"/>
      <w:marTop w:val="0"/>
      <w:marBottom w:val="0"/>
      <w:divBdr>
        <w:top w:val="none" w:sz="0" w:space="0" w:color="auto"/>
        <w:left w:val="none" w:sz="0" w:space="0" w:color="auto"/>
        <w:bottom w:val="none" w:sz="0" w:space="0" w:color="auto"/>
        <w:right w:val="none" w:sz="0" w:space="0" w:color="auto"/>
      </w:divBdr>
    </w:div>
    <w:div w:id="1424759353">
      <w:bodyDiv w:val="1"/>
      <w:marLeft w:val="0"/>
      <w:marRight w:val="0"/>
      <w:marTop w:val="0"/>
      <w:marBottom w:val="0"/>
      <w:divBdr>
        <w:top w:val="none" w:sz="0" w:space="0" w:color="auto"/>
        <w:left w:val="none" w:sz="0" w:space="0" w:color="auto"/>
        <w:bottom w:val="none" w:sz="0" w:space="0" w:color="auto"/>
        <w:right w:val="none" w:sz="0" w:space="0" w:color="auto"/>
      </w:divBdr>
    </w:div>
    <w:div w:id="1587374028">
      <w:bodyDiv w:val="1"/>
      <w:marLeft w:val="0"/>
      <w:marRight w:val="0"/>
      <w:marTop w:val="0"/>
      <w:marBottom w:val="0"/>
      <w:divBdr>
        <w:top w:val="none" w:sz="0" w:space="0" w:color="auto"/>
        <w:left w:val="none" w:sz="0" w:space="0" w:color="auto"/>
        <w:bottom w:val="none" w:sz="0" w:space="0" w:color="auto"/>
        <w:right w:val="none" w:sz="0" w:space="0" w:color="auto"/>
      </w:divBdr>
    </w:div>
    <w:div w:id="1659458733">
      <w:bodyDiv w:val="1"/>
      <w:marLeft w:val="0"/>
      <w:marRight w:val="0"/>
      <w:marTop w:val="0"/>
      <w:marBottom w:val="0"/>
      <w:divBdr>
        <w:top w:val="none" w:sz="0" w:space="0" w:color="auto"/>
        <w:left w:val="none" w:sz="0" w:space="0" w:color="auto"/>
        <w:bottom w:val="none" w:sz="0" w:space="0" w:color="auto"/>
        <w:right w:val="none" w:sz="0" w:space="0" w:color="auto"/>
      </w:divBdr>
    </w:div>
    <w:div w:id="1786074922">
      <w:bodyDiv w:val="1"/>
      <w:marLeft w:val="0"/>
      <w:marRight w:val="0"/>
      <w:marTop w:val="0"/>
      <w:marBottom w:val="0"/>
      <w:divBdr>
        <w:top w:val="none" w:sz="0" w:space="0" w:color="auto"/>
        <w:left w:val="none" w:sz="0" w:space="0" w:color="auto"/>
        <w:bottom w:val="none" w:sz="0" w:space="0" w:color="auto"/>
        <w:right w:val="none" w:sz="0" w:space="0" w:color="auto"/>
      </w:divBdr>
    </w:div>
    <w:div w:id="1828207588">
      <w:bodyDiv w:val="1"/>
      <w:marLeft w:val="0"/>
      <w:marRight w:val="0"/>
      <w:marTop w:val="0"/>
      <w:marBottom w:val="0"/>
      <w:divBdr>
        <w:top w:val="none" w:sz="0" w:space="0" w:color="auto"/>
        <w:left w:val="none" w:sz="0" w:space="0" w:color="auto"/>
        <w:bottom w:val="none" w:sz="0" w:space="0" w:color="auto"/>
        <w:right w:val="none" w:sz="0" w:space="0" w:color="auto"/>
      </w:divBdr>
    </w:div>
    <w:div w:id="1847938614">
      <w:bodyDiv w:val="1"/>
      <w:marLeft w:val="0"/>
      <w:marRight w:val="0"/>
      <w:marTop w:val="0"/>
      <w:marBottom w:val="0"/>
      <w:divBdr>
        <w:top w:val="none" w:sz="0" w:space="0" w:color="auto"/>
        <w:left w:val="none" w:sz="0" w:space="0" w:color="auto"/>
        <w:bottom w:val="none" w:sz="0" w:space="0" w:color="auto"/>
        <w:right w:val="none" w:sz="0" w:space="0" w:color="auto"/>
      </w:divBdr>
    </w:div>
    <w:div w:id="1870415364">
      <w:bodyDiv w:val="1"/>
      <w:marLeft w:val="0"/>
      <w:marRight w:val="0"/>
      <w:marTop w:val="0"/>
      <w:marBottom w:val="0"/>
      <w:divBdr>
        <w:top w:val="none" w:sz="0" w:space="0" w:color="auto"/>
        <w:left w:val="none" w:sz="0" w:space="0" w:color="auto"/>
        <w:bottom w:val="none" w:sz="0" w:space="0" w:color="auto"/>
        <w:right w:val="none" w:sz="0" w:space="0" w:color="auto"/>
      </w:divBdr>
    </w:div>
    <w:div w:id="212299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D604C9416F7D42B19D04356824670A" ma:contentTypeVersion="14" ma:contentTypeDescription="Create a new document." ma:contentTypeScope="" ma:versionID="13d6cd122acaabec2a64bc7b5245cd72">
  <xsd:schema xmlns:xsd="http://www.w3.org/2001/XMLSchema" xmlns:xs="http://www.w3.org/2001/XMLSchema" xmlns:p="http://schemas.microsoft.com/office/2006/metadata/properties" xmlns:ns2="956c91bd-07e9-4e5e-8b56-2a74e9369b60" xmlns:ns3="bfe06535-efc6-4487-9d5e-01610a6d7e4b" targetNamespace="http://schemas.microsoft.com/office/2006/metadata/properties" ma:root="true" ma:fieldsID="357c106f6f839f73ee93c83554a64158" ns2:_="" ns3:_="">
    <xsd:import namespace="956c91bd-07e9-4e5e-8b56-2a74e9369b60"/>
    <xsd:import namespace="bfe06535-efc6-4487-9d5e-01610a6d7e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6c91bd-07e9-4e5e-8b56-2a74e9369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17d8504-7ee1-4e4a-9b94-7367353ff7b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e06535-efc6-4487-9d5e-01610a6d7e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f34026b-3b5b-43b5-893d-3e7fc9dc30c3}" ma:internalName="TaxCatchAll" ma:showField="CatchAllData" ma:web="bfe06535-efc6-4487-9d5e-01610a6d7e4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fe06535-efc6-4487-9d5e-01610a6d7e4b" xsi:nil="true"/>
    <lcf76f155ced4ddcb4097134ff3c332f xmlns="956c91bd-07e9-4e5e-8b56-2a74e9369b6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EEEB8-7260-4E62-9206-0B539CEFF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6c91bd-07e9-4e5e-8b56-2a74e9369b60"/>
    <ds:schemaRef ds:uri="bfe06535-efc6-4487-9d5e-01610a6d7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19AEC6-1F3D-456A-A16A-6D0FB4DEFAFB}">
  <ds:schemaRefs>
    <ds:schemaRef ds:uri="http://schemas.microsoft.com/sharepoint/v3/contenttype/forms"/>
  </ds:schemaRefs>
</ds:datastoreItem>
</file>

<file path=customXml/itemProps3.xml><?xml version="1.0" encoding="utf-8"?>
<ds:datastoreItem xmlns:ds="http://schemas.openxmlformats.org/officeDocument/2006/customXml" ds:itemID="{21FC6309-725D-4D7E-8CE1-CB98E2BC4538}">
  <ds:schemaRefs>
    <ds:schemaRef ds:uri="http://schemas.microsoft.com/office/2006/metadata/properties"/>
    <ds:schemaRef ds:uri="http://schemas.microsoft.com/office/infopath/2007/PartnerControls"/>
    <ds:schemaRef ds:uri="bfe06535-efc6-4487-9d5e-01610a6d7e4b"/>
    <ds:schemaRef ds:uri="956c91bd-07e9-4e5e-8b56-2a74e9369b60"/>
  </ds:schemaRefs>
</ds:datastoreItem>
</file>

<file path=customXml/itemProps4.xml><?xml version="1.0" encoding="utf-8"?>
<ds:datastoreItem xmlns:ds="http://schemas.openxmlformats.org/officeDocument/2006/customXml" ds:itemID="{4BFF4E34-FC46-4C36-9B0A-A4A726BCE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1517</Words>
  <Characters>8651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Wackerly</dc:creator>
  <cp:keywords/>
  <dc:description/>
  <cp:lastModifiedBy>Tony Wackerly</cp:lastModifiedBy>
  <cp:revision>3</cp:revision>
  <dcterms:created xsi:type="dcterms:W3CDTF">2025-07-30T03:54:00Z</dcterms:created>
  <dcterms:modified xsi:type="dcterms:W3CDTF">2025-07-30T10:57:00Z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0x010100D9D604C9416F7D42B19D04356824670A</vt:lpwstr>
  </property>
  <property fmtid="{D5CDD505-2E9C-101B-9397-08002B2CF9AE}" pid="3" name="MediaServiceImageTags">
    <vt:lpwstr/>
  </property>
</Properties>
</file>