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30CA8" w14:textId="77777777" w:rsidR="00C2500C" w:rsidRDefault="00C2500C" w:rsidP="00C2500C">
      <w:pPr>
        <w:pStyle w:val="Heading1"/>
        <w:jc w:val="center"/>
        <w:rPr>
          <w:b/>
        </w:rPr>
      </w:pPr>
      <w:r>
        <w:rPr>
          <w:b/>
        </w:rPr>
        <w:t>BEFORE THE</w:t>
      </w:r>
    </w:p>
    <w:p w14:paraId="48198AE2" w14:textId="77777777" w:rsidR="00C2500C" w:rsidRDefault="00C2500C" w:rsidP="00C2500C">
      <w:pPr>
        <w:rPr>
          <w:sz w:val="24"/>
        </w:rPr>
      </w:pPr>
    </w:p>
    <w:p w14:paraId="16F1D1B4" w14:textId="77777777" w:rsidR="00C2500C" w:rsidRDefault="00C2500C" w:rsidP="00C2500C">
      <w:pPr>
        <w:jc w:val="center"/>
        <w:rPr>
          <w:b/>
          <w:sz w:val="24"/>
        </w:rPr>
      </w:pPr>
      <w:smartTag w:uri="urn:schemas-microsoft-com:office:smarttags" w:element="country-region">
        <w:smartTag w:uri="urn:schemas-microsoft-com:office:smarttags" w:element="place">
          <w:r>
            <w:rPr>
              <w:b/>
              <w:sz w:val="24"/>
            </w:rPr>
            <w:t>GEORGIA</w:t>
          </w:r>
        </w:smartTag>
      </w:smartTag>
      <w:r>
        <w:rPr>
          <w:b/>
          <w:sz w:val="24"/>
        </w:rPr>
        <w:t xml:space="preserve"> PUBLIC SERVICE COMMISSION</w:t>
      </w:r>
    </w:p>
    <w:p w14:paraId="56069273" w14:textId="77777777" w:rsidR="00160B67" w:rsidRDefault="00160B67" w:rsidP="00C2500C">
      <w:pPr>
        <w:jc w:val="center"/>
        <w:rPr>
          <w:b/>
          <w:sz w:val="24"/>
        </w:rPr>
      </w:pPr>
    </w:p>
    <w:p w14:paraId="552D181F" w14:textId="77777777" w:rsidR="00CE376E" w:rsidRDefault="00CE376E" w:rsidP="00C2500C">
      <w:pPr>
        <w:jc w:val="center"/>
        <w:rPr>
          <w:b/>
          <w:sz w:val="24"/>
        </w:rPr>
      </w:pPr>
    </w:p>
    <w:p w14:paraId="13751908" w14:textId="77777777" w:rsidR="00051987" w:rsidRDefault="00051987" w:rsidP="00051987">
      <w:pPr>
        <w:tabs>
          <w:tab w:val="center" w:pos="4680"/>
        </w:tabs>
        <w:rPr>
          <w:b/>
          <w:sz w:val="24"/>
        </w:rPr>
      </w:pPr>
      <w:r>
        <w:rPr>
          <w:b/>
          <w:sz w:val="24"/>
        </w:rPr>
        <w:t>In Re:</w:t>
      </w:r>
      <w:r>
        <w:rPr>
          <w:b/>
          <w:sz w:val="24"/>
        </w:rPr>
        <w:tab/>
        <w:t>)</w:t>
      </w:r>
    </w:p>
    <w:p w14:paraId="0E4DF491" w14:textId="5BEDC463" w:rsidR="00051987" w:rsidRDefault="00051987" w:rsidP="00051987">
      <w:pPr>
        <w:tabs>
          <w:tab w:val="center" w:pos="4680"/>
        </w:tabs>
        <w:rPr>
          <w:b/>
          <w:sz w:val="24"/>
        </w:rPr>
      </w:pPr>
      <w:r>
        <w:rPr>
          <w:b/>
          <w:sz w:val="24"/>
        </w:rPr>
        <w:t>Georgia Power Company’s</w:t>
      </w:r>
      <w:r>
        <w:rPr>
          <w:b/>
          <w:sz w:val="24"/>
        </w:rPr>
        <w:tab/>
        <w:t>)</w:t>
      </w:r>
      <w:r>
        <w:rPr>
          <w:b/>
          <w:sz w:val="24"/>
        </w:rPr>
        <w:tab/>
      </w:r>
      <w:r>
        <w:rPr>
          <w:b/>
          <w:sz w:val="24"/>
        </w:rPr>
        <w:tab/>
        <w:t>Docket No. 5</w:t>
      </w:r>
      <w:r w:rsidR="00FE28E7">
        <w:rPr>
          <w:b/>
          <w:sz w:val="24"/>
        </w:rPr>
        <w:t>6002</w:t>
      </w:r>
    </w:p>
    <w:p w14:paraId="5CF8EE38" w14:textId="0EAAD681" w:rsidR="00FE28E7" w:rsidRDefault="00051987" w:rsidP="00051987">
      <w:pPr>
        <w:tabs>
          <w:tab w:val="center" w:pos="4680"/>
        </w:tabs>
        <w:rPr>
          <w:b/>
          <w:sz w:val="24"/>
        </w:rPr>
      </w:pPr>
      <w:r>
        <w:rPr>
          <w:b/>
          <w:sz w:val="24"/>
        </w:rPr>
        <w:t>202</w:t>
      </w:r>
      <w:r w:rsidR="00FE28E7">
        <w:rPr>
          <w:b/>
          <w:sz w:val="24"/>
        </w:rPr>
        <w:t>5</w:t>
      </w:r>
      <w:r>
        <w:rPr>
          <w:b/>
          <w:sz w:val="24"/>
        </w:rPr>
        <w:t xml:space="preserve"> Integrated Resource Plan</w:t>
      </w:r>
      <w:r>
        <w:rPr>
          <w:b/>
          <w:sz w:val="24"/>
        </w:rPr>
        <w:tab/>
        <w:t>)</w:t>
      </w:r>
    </w:p>
    <w:p w14:paraId="06969790" w14:textId="116FFF15" w:rsidR="00FE28E7" w:rsidRDefault="00FE28E7" w:rsidP="00051987">
      <w:pPr>
        <w:tabs>
          <w:tab w:val="center" w:pos="4680"/>
        </w:tabs>
        <w:rPr>
          <w:b/>
          <w:sz w:val="24"/>
        </w:rPr>
      </w:pPr>
      <w:r>
        <w:rPr>
          <w:b/>
          <w:sz w:val="24"/>
        </w:rPr>
        <w:tab/>
        <w:t>)</w:t>
      </w:r>
    </w:p>
    <w:p w14:paraId="6B8E45BA" w14:textId="7968BC9D" w:rsidR="00FE28E7" w:rsidRDefault="00FE28E7" w:rsidP="00051987">
      <w:pPr>
        <w:tabs>
          <w:tab w:val="center" w:pos="4680"/>
        </w:tabs>
        <w:rPr>
          <w:b/>
          <w:sz w:val="24"/>
        </w:rPr>
      </w:pPr>
      <w:r>
        <w:rPr>
          <w:b/>
          <w:sz w:val="24"/>
        </w:rPr>
        <w:t>and</w:t>
      </w:r>
      <w:r>
        <w:rPr>
          <w:b/>
          <w:sz w:val="24"/>
        </w:rPr>
        <w:tab/>
        <w:t>)</w:t>
      </w:r>
    </w:p>
    <w:p w14:paraId="4340E960" w14:textId="4D1C2087" w:rsidR="00FE28E7" w:rsidRDefault="00FE28E7" w:rsidP="00051987">
      <w:pPr>
        <w:tabs>
          <w:tab w:val="center" w:pos="4680"/>
        </w:tabs>
        <w:rPr>
          <w:b/>
          <w:sz w:val="24"/>
        </w:rPr>
      </w:pPr>
      <w:r>
        <w:rPr>
          <w:b/>
          <w:sz w:val="24"/>
        </w:rPr>
        <w:tab/>
        <w:t>)</w:t>
      </w:r>
    </w:p>
    <w:p w14:paraId="0EE5A802" w14:textId="7084AAD4" w:rsidR="00FE28E7" w:rsidRDefault="00FE28E7" w:rsidP="00051987">
      <w:pPr>
        <w:tabs>
          <w:tab w:val="center" w:pos="4680"/>
        </w:tabs>
        <w:rPr>
          <w:b/>
          <w:sz w:val="24"/>
        </w:rPr>
      </w:pPr>
      <w:r>
        <w:rPr>
          <w:b/>
          <w:sz w:val="24"/>
        </w:rPr>
        <w:t>Georgia Power Company’s 2025</w:t>
      </w:r>
      <w:r>
        <w:rPr>
          <w:b/>
          <w:sz w:val="24"/>
        </w:rPr>
        <w:tab/>
        <w:t>)</w:t>
      </w:r>
    </w:p>
    <w:p w14:paraId="3FBB1296" w14:textId="5B92EEB0" w:rsidR="00FE28E7" w:rsidRDefault="00FE28E7" w:rsidP="00051987">
      <w:pPr>
        <w:tabs>
          <w:tab w:val="center" w:pos="4680"/>
        </w:tabs>
        <w:rPr>
          <w:b/>
          <w:sz w:val="24"/>
        </w:rPr>
      </w:pPr>
      <w:r>
        <w:rPr>
          <w:b/>
          <w:sz w:val="24"/>
        </w:rPr>
        <w:t>Application for the Certification,</w:t>
      </w:r>
      <w:r>
        <w:rPr>
          <w:b/>
          <w:sz w:val="24"/>
        </w:rPr>
        <w:tab/>
        <w:t>)</w:t>
      </w:r>
      <w:r>
        <w:rPr>
          <w:b/>
          <w:sz w:val="24"/>
        </w:rPr>
        <w:tab/>
      </w:r>
      <w:r>
        <w:rPr>
          <w:b/>
          <w:sz w:val="24"/>
        </w:rPr>
        <w:tab/>
        <w:t>Docket No. 56003</w:t>
      </w:r>
    </w:p>
    <w:p w14:paraId="23043A6F" w14:textId="1E497AF1" w:rsidR="00FE28E7" w:rsidRDefault="00FE28E7" w:rsidP="00051987">
      <w:pPr>
        <w:tabs>
          <w:tab w:val="center" w:pos="4680"/>
        </w:tabs>
        <w:rPr>
          <w:b/>
          <w:sz w:val="24"/>
        </w:rPr>
      </w:pPr>
      <w:r>
        <w:rPr>
          <w:b/>
          <w:sz w:val="24"/>
        </w:rPr>
        <w:t>Decertification, and Amended</w:t>
      </w:r>
      <w:r>
        <w:rPr>
          <w:b/>
          <w:sz w:val="24"/>
        </w:rPr>
        <w:tab/>
        <w:t>)</w:t>
      </w:r>
    </w:p>
    <w:p w14:paraId="4AC2F07C" w14:textId="1DD5781B" w:rsidR="00FE28E7" w:rsidRDefault="00FE28E7" w:rsidP="00051987">
      <w:pPr>
        <w:tabs>
          <w:tab w:val="center" w:pos="4680"/>
        </w:tabs>
        <w:rPr>
          <w:b/>
          <w:sz w:val="24"/>
        </w:rPr>
      </w:pPr>
      <w:r>
        <w:rPr>
          <w:b/>
          <w:sz w:val="24"/>
        </w:rPr>
        <w:t>Demand-Side Management Program</w:t>
      </w:r>
      <w:r>
        <w:rPr>
          <w:b/>
          <w:sz w:val="24"/>
        </w:rPr>
        <w:tab/>
        <w:t>)</w:t>
      </w:r>
    </w:p>
    <w:p w14:paraId="11BCE677" w14:textId="77777777" w:rsidR="00FE28E7" w:rsidRDefault="00FE28E7" w:rsidP="00051987">
      <w:pPr>
        <w:tabs>
          <w:tab w:val="center" w:pos="4680"/>
        </w:tabs>
        <w:rPr>
          <w:b/>
          <w:sz w:val="24"/>
        </w:rPr>
      </w:pPr>
    </w:p>
    <w:p w14:paraId="4DCF8FCA" w14:textId="77777777" w:rsidR="00A219B6" w:rsidRDefault="00A219B6" w:rsidP="00C2500C">
      <w:pPr>
        <w:tabs>
          <w:tab w:val="center" w:pos="4680"/>
        </w:tabs>
        <w:rPr>
          <w:b/>
          <w:sz w:val="24"/>
        </w:rPr>
      </w:pPr>
    </w:p>
    <w:p w14:paraId="2ECC1FB6" w14:textId="77777777" w:rsidR="00691AC7" w:rsidRPr="00533989" w:rsidRDefault="00B729FC" w:rsidP="00C2500C">
      <w:pPr>
        <w:jc w:val="center"/>
        <w:rPr>
          <w:b/>
          <w:sz w:val="24"/>
        </w:rPr>
      </w:pPr>
      <w:r>
        <w:rPr>
          <w:b/>
          <w:sz w:val="24"/>
        </w:rPr>
        <w:t>POST-HEARING BRIEF</w:t>
      </w:r>
      <w:r w:rsidR="000E1448">
        <w:rPr>
          <w:b/>
          <w:sz w:val="24"/>
        </w:rPr>
        <w:t xml:space="preserve"> OF</w:t>
      </w:r>
    </w:p>
    <w:p w14:paraId="67E94F19" w14:textId="77777777" w:rsidR="00C2500C" w:rsidRDefault="000E1448" w:rsidP="00C2500C">
      <w:pPr>
        <w:jc w:val="center"/>
        <w:rPr>
          <w:b/>
          <w:sz w:val="24"/>
          <w:u w:val="single"/>
        </w:rPr>
      </w:pPr>
      <w:r>
        <w:rPr>
          <w:b/>
          <w:sz w:val="24"/>
          <w:u w:val="single"/>
        </w:rPr>
        <w:t>THE G</w:t>
      </w:r>
      <w:r w:rsidR="00691AC7">
        <w:rPr>
          <w:b/>
          <w:sz w:val="24"/>
          <w:u w:val="single"/>
        </w:rPr>
        <w:t>EORGIA ASSOCIATION</w:t>
      </w:r>
      <w:r>
        <w:rPr>
          <w:b/>
          <w:sz w:val="24"/>
          <w:u w:val="single"/>
        </w:rPr>
        <w:t xml:space="preserve"> OF MANUFACTURERS</w:t>
      </w:r>
    </w:p>
    <w:p w14:paraId="7C8C64F2" w14:textId="77777777" w:rsidR="00C2500C" w:rsidRDefault="00C2500C" w:rsidP="00C2500C">
      <w:pPr>
        <w:rPr>
          <w:b/>
          <w:sz w:val="24"/>
          <w:u w:val="single"/>
        </w:rPr>
      </w:pPr>
    </w:p>
    <w:p w14:paraId="31098336" w14:textId="77777777" w:rsidR="00B729FC" w:rsidRDefault="00C2500C" w:rsidP="00DB737C">
      <w:pPr>
        <w:spacing w:line="480" w:lineRule="auto"/>
        <w:jc w:val="both"/>
        <w:rPr>
          <w:sz w:val="24"/>
        </w:rPr>
      </w:pPr>
      <w:r>
        <w:rPr>
          <w:sz w:val="24"/>
        </w:rPr>
        <w:tab/>
      </w:r>
      <w:r w:rsidR="00DB737C">
        <w:rPr>
          <w:sz w:val="24"/>
        </w:rPr>
        <w:tab/>
      </w:r>
      <w:r>
        <w:rPr>
          <w:sz w:val="24"/>
        </w:rPr>
        <w:t>COME</w:t>
      </w:r>
      <w:r w:rsidR="00533989">
        <w:rPr>
          <w:sz w:val="24"/>
        </w:rPr>
        <w:t>S</w:t>
      </w:r>
      <w:r>
        <w:rPr>
          <w:sz w:val="24"/>
        </w:rPr>
        <w:t xml:space="preserve"> NOW, </w:t>
      </w:r>
      <w:r w:rsidR="00691AC7">
        <w:rPr>
          <w:sz w:val="24"/>
        </w:rPr>
        <w:t>the Georgia Association</w:t>
      </w:r>
      <w:r w:rsidR="000E1448">
        <w:rPr>
          <w:sz w:val="24"/>
        </w:rPr>
        <w:t xml:space="preserve"> of Manufacturers</w:t>
      </w:r>
      <w:r w:rsidR="00691AC7">
        <w:rPr>
          <w:sz w:val="24"/>
        </w:rPr>
        <w:t xml:space="preserve"> (“G</w:t>
      </w:r>
      <w:r w:rsidR="000E1448">
        <w:rPr>
          <w:sz w:val="24"/>
        </w:rPr>
        <w:t>AM</w:t>
      </w:r>
      <w:r w:rsidR="00691AC7">
        <w:rPr>
          <w:sz w:val="24"/>
        </w:rPr>
        <w:t>”), and hereby</w:t>
      </w:r>
      <w:r w:rsidR="00533989">
        <w:rPr>
          <w:sz w:val="24"/>
        </w:rPr>
        <w:t xml:space="preserve"> files this </w:t>
      </w:r>
      <w:r w:rsidR="00B729FC">
        <w:rPr>
          <w:sz w:val="24"/>
        </w:rPr>
        <w:t>Post-Hearing Brief in the above-referenced docket.</w:t>
      </w:r>
    </w:p>
    <w:p w14:paraId="5033E3F1" w14:textId="60EF38A6" w:rsidR="00051987" w:rsidRDefault="00DB737C" w:rsidP="00DB737C">
      <w:pPr>
        <w:spacing w:line="480" w:lineRule="auto"/>
        <w:jc w:val="both"/>
        <w:rPr>
          <w:sz w:val="24"/>
        </w:rPr>
      </w:pPr>
      <w:r>
        <w:rPr>
          <w:sz w:val="24"/>
        </w:rPr>
        <w:tab/>
      </w:r>
      <w:r>
        <w:rPr>
          <w:sz w:val="24"/>
        </w:rPr>
        <w:tab/>
      </w:r>
      <w:r w:rsidR="00B941ED">
        <w:rPr>
          <w:sz w:val="24"/>
        </w:rPr>
        <w:t>The Integrated Resource Plan (“IRP”) filed by Georgia Power Company (“Georgia Power” or “Company”) is a reasonable and sound approach to address the significant and increasing demand being experienced on the Company’s system.  GAM supports Georgia Power’s IRP and the general approach it takes.  As a result, GAM did not file testimony in this case.  However, there are improvements that could be made as reflected in the testimonies of Staff and certain intervenors.</w:t>
      </w:r>
      <w:r w:rsidR="00AD68DA">
        <w:rPr>
          <w:sz w:val="24"/>
        </w:rPr>
        <w:t xml:space="preserve">  GAM respectfully asks the Commission to </w:t>
      </w:r>
      <w:r w:rsidR="00105523">
        <w:rPr>
          <w:sz w:val="24"/>
        </w:rPr>
        <w:t xml:space="preserve">issue an order approving the Company’s IRP subject to amendments consistent with </w:t>
      </w:r>
      <w:r w:rsidR="00AD68DA">
        <w:rPr>
          <w:sz w:val="24"/>
        </w:rPr>
        <w:t>the positions contained herein.</w:t>
      </w:r>
    </w:p>
    <w:p w14:paraId="0F144E1D" w14:textId="0D928B26" w:rsidR="00051987" w:rsidRPr="00DA6321" w:rsidRDefault="00DA6321" w:rsidP="00DA6321">
      <w:pPr>
        <w:spacing w:line="480" w:lineRule="auto"/>
        <w:jc w:val="both"/>
        <w:rPr>
          <w:b/>
          <w:bCs/>
          <w:sz w:val="24"/>
        </w:rPr>
      </w:pPr>
      <w:r w:rsidRPr="00DA6321">
        <w:rPr>
          <w:b/>
          <w:bCs/>
          <w:sz w:val="24"/>
        </w:rPr>
        <w:t>A.</w:t>
      </w:r>
      <w:r w:rsidRPr="00DA6321">
        <w:rPr>
          <w:b/>
          <w:bCs/>
          <w:sz w:val="24"/>
        </w:rPr>
        <w:tab/>
      </w:r>
      <w:r w:rsidR="00AD68DA">
        <w:rPr>
          <w:b/>
          <w:bCs/>
          <w:sz w:val="24"/>
        </w:rPr>
        <w:t>The Core of Georgia Power’s IRP is a Good Plan for Georgia</w:t>
      </w:r>
      <w:r w:rsidRPr="00DA6321">
        <w:rPr>
          <w:b/>
          <w:bCs/>
          <w:sz w:val="24"/>
        </w:rPr>
        <w:t>.</w:t>
      </w:r>
    </w:p>
    <w:p w14:paraId="7F419E32" w14:textId="728E1101" w:rsidR="00DA6321" w:rsidRDefault="00DA6321" w:rsidP="00DA6321">
      <w:pPr>
        <w:spacing w:line="480" w:lineRule="auto"/>
        <w:jc w:val="both"/>
        <w:rPr>
          <w:sz w:val="24"/>
          <w:szCs w:val="24"/>
        </w:rPr>
      </w:pPr>
      <w:r>
        <w:tab/>
      </w:r>
      <w:r w:rsidR="00AD68DA">
        <w:tab/>
      </w:r>
      <w:r w:rsidR="00AD68DA">
        <w:rPr>
          <w:sz w:val="24"/>
          <w:szCs w:val="24"/>
        </w:rPr>
        <w:t>While its IRP proposal is certainly susceptible to improvement, the Company should be applauded for the main things that it proposes.  Specifically, the proposal to keep all existing plants online and serving customers is a wise decision at this point in time.  Georgia can ill-afford to lose dispatchable capacity when demand is accelerating</w:t>
      </w:r>
      <w:r w:rsidR="00540113">
        <w:rPr>
          <w:sz w:val="24"/>
          <w:szCs w:val="24"/>
        </w:rPr>
        <w:t xml:space="preserve"> thanks to </w:t>
      </w:r>
      <w:r w:rsidR="004B2F67">
        <w:rPr>
          <w:sz w:val="24"/>
          <w:szCs w:val="24"/>
        </w:rPr>
        <w:t>our state’s</w:t>
      </w:r>
      <w:r w:rsidR="00540113">
        <w:rPr>
          <w:sz w:val="24"/>
          <w:szCs w:val="24"/>
        </w:rPr>
        <w:t xml:space="preserve"> continued </w:t>
      </w:r>
      <w:r w:rsidR="00540113">
        <w:rPr>
          <w:sz w:val="24"/>
          <w:szCs w:val="24"/>
        </w:rPr>
        <w:lastRenderedPageBreak/>
        <w:t>economic success, much of which was facilitated by the policies of this Commission</w:t>
      </w:r>
      <w:r w:rsidR="00AD68DA">
        <w:rPr>
          <w:sz w:val="24"/>
          <w:szCs w:val="24"/>
        </w:rPr>
        <w:t>.  The right path forward</w:t>
      </w:r>
      <w:r w:rsidR="00540113">
        <w:rPr>
          <w:sz w:val="24"/>
          <w:szCs w:val="24"/>
        </w:rPr>
        <w:t xml:space="preserve"> for the near term</w:t>
      </w:r>
      <w:r w:rsidR="00AD68DA">
        <w:rPr>
          <w:sz w:val="24"/>
          <w:szCs w:val="24"/>
        </w:rPr>
        <w:t xml:space="preserve"> is to retain our existing assets and our diverse supply of generation, including nuclear, natural gas, coal, solar and other renewables and hydroelectric power.  Moreover, GAM supports</w:t>
      </w:r>
      <w:r w:rsidR="002D32A6">
        <w:rPr>
          <w:sz w:val="24"/>
          <w:szCs w:val="24"/>
        </w:rPr>
        <w:t xml:space="preserve"> and commends</w:t>
      </w:r>
      <w:r w:rsidR="00AD68DA">
        <w:rPr>
          <w:sz w:val="24"/>
          <w:szCs w:val="24"/>
        </w:rPr>
        <w:t xml:space="preserve"> Georgia Power’s focus on improving operational efficiencies to increase power output from existing resources.  </w:t>
      </w:r>
    </w:p>
    <w:p w14:paraId="4F6777AE" w14:textId="2E0563D6" w:rsidR="00105523" w:rsidRPr="00105523" w:rsidRDefault="00A868A9" w:rsidP="00105523">
      <w:pPr>
        <w:spacing w:line="480" w:lineRule="auto"/>
        <w:jc w:val="both"/>
        <w:rPr>
          <w:b/>
          <w:bCs/>
          <w:sz w:val="24"/>
          <w:szCs w:val="24"/>
        </w:rPr>
      </w:pPr>
      <w:r>
        <w:rPr>
          <w:b/>
          <w:bCs/>
          <w:sz w:val="24"/>
          <w:szCs w:val="24"/>
        </w:rPr>
        <w:t>B</w:t>
      </w:r>
      <w:r w:rsidR="00105523" w:rsidRPr="00105523">
        <w:rPr>
          <w:b/>
          <w:bCs/>
          <w:sz w:val="24"/>
          <w:szCs w:val="24"/>
        </w:rPr>
        <w:t>.</w:t>
      </w:r>
      <w:r w:rsidR="00105523" w:rsidRPr="00105523">
        <w:rPr>
          <w:b/>
          <w:bCs/>
          <w:sz w:val="24"/>
          <w:szCs w:val="24"/>
        </w:rPr>
        <w:tab/>
        <w:t>GAM Supports Improvements to the CARES Program Proposed by CEBA.</w:t>
      </w:r>
    </w:p>
    <w:p w14:paraId="1712AE93" w14:textId="06605BCE" w:rsidR="00105523" w:rsidRDefault="00A53BF2" w:rsidP="00105523">
      <w:pPr>
        <w:spacing w:line="480" w:lineRule="auto"/>
        <w:jc w:val="both"/>
        <w:rPr>
          <w:sz w:val="24"/>
          <w:szCs w:val="24"/>
        </w:rPr>
      </w:pPr>
      <w:r>
        <w:rPr>
          <w:sz w:val="24"/>
          <w:szCs w:val="24"/>
        </w:rPr>
        <w:tab/>
      </w:r>
      <w:r>
        <w:rPr>
          <w:sz w:val="24"/>
          <w:szCs w:val="24"/>
        </w:rPr>
        <w:tab/>
        <w:t xml:space="preserve">The Clean Energy Buyers Association (“CEBA”) proposed several improvements to the CARES program that would </w:t>
      </w:r>
      <w:r w:rsidR="00F94B6C">
        <w:rPr>
          <w:sz w:val="24"/>
          <w:szCs w:val="24"/>
        </w:rPr>
        <w:t>facilitate</w:t>
      </w:r>
      <w:r>
        <w:rPr>
          <w:sz w:val="24"/>
          <w:szCs w:val="24"/>
        </w:rPr>
        <w:t xml:space="preserve"> flexibility and reduce risk to participants in the program.  GAM supports these changes to encourage more participation </w:t>
      </w:r>
      <w:r w:rsidR="00F94B6C">
        <w:rPr>
          <w:sz w:val="24"/>
          <w:szCs w:val="24"/>
        </w:rPr>
        <w:t>and</w:t>
      </w:r>
      <w:r>
        <w:rPr>
          <w:sz w:val="24"/>
          <w:szCs w:val="24"/>
        </w:rPr>
        <w:t xml:space="preserve"> the more efficient acquisition of resources to meet demand.  CEBA’s proposals, including allowing large customers to bring forward customer-identified resources, to allow multiple customers to coordinate to bring forward such resources, and to allow subscription to any type of carbon-free generation technology, among others, should be supported.  </w:t>
      </w:r>
      <w:r w:rsidR="00F94B6C">
        <w:rPr>
          <w:sz w:val="24"/>
          <w:szCs w:val="24"/>
        </w:rPr>
        <w:t>Taking this approach will help “unleash private capital to help Georgia Power meet its load growth projections with carbon-free energy resources and in a revenue-neutral way.”  (</w:t>
      </w:r>
      <w:r w:rsidR="00F94B6C" w:rsidRPr="00F94B6C">
        <w:rPr>
          <w:i/>
          <w:iCs/>
          <w:sz w:val="24"/>
          <w:szCs w:val="24"/>
        </w:rPr>
        <w:t>Direct Testimony of Priya Barua and R. Brent Alderfer</w:t>
      </w:r>
      <w:r w:rsidR="00F94B6C">
        <w:rPr>
          <w:sz w:val="24"/>
          <w:szCs w:val="24"/>
        </w:rPr>
        <w:t>, page 54, lines 5-6).</w:t>
      </w:r>
    </w:p>
    <w:p w14:paraId="5C00F172" w14:textId="1D8E8C7A" w:rsidR="00105523" w:rsidRPr="00105523" w:rsidRDefault="00A868A9" w:rsidP="00105523">
      <w:pPr>
        <w:spacing w:line="480" w:lineRule="auto"/>
        <w:jc w:val="both"/>
        <w:rPr>
          <w:b/>
          <w:bCs/>
          <w:sz w:val="24"/>
          <w:szCs w:val="24"/>
        </w:rPr>
      </w:pPr>
      <w:r>
        <w:rPr>
          <w:b/>
          <w:bCs/>
          <w:sz w:val="24"/>
          <w:szCs w:val="24"/>
        </w:rPr>
        <w:t>C</w:t>
      </w:r>
      <w:r w:rsidR="00105523" w:rsidRPr="00105523">
        <w:rPr>
          <w:b/>
          <w:bCs/>
          <w:sz w:val="24"/>
          <w:szCs w:val="24"/>
        </w:rPr>
        <w:t>.</w:t>
      </w:r>
      <w:r w:rsidR="00105523" w:rsidRPr="00105523">
        <w:rPr>
          <w:b/>
          <w:bCs/>
          <w:sz w:val="24"/>
          <w:szCs w:val="24"/>
        </w:rPr>
        <w:tab/>
      </w:r>
      <w:r w:rsidR="002D32A6">
        <w:rPr>
          <w:b/>
          <w:bCs/>
          <w:sz w:val="24"/>
          <w:szCs w:val="24"/>
        </w:rPr>
        <w:t xml:space="preserve">At a Minimum, </w:t>
      </w:r>
      <w:r w:rsidR="00105523" w:rsidRPr="00105523">
        <w:rPr>
          <w:b/>
          <w:bCs/>
          <w:sz w:val="24"/>
          <w:szCs w:val="24"/>
        </w:rPr>
        <w:t xml:space="preserve">Georgia Power’s Proposed Additional Sum </w:t>
      </w:r>
      <w:r w:rsidR="002D32A6">
        <w:rPr>
          <w:b/>
          <w:bCs/>
          <w:sz w:val="24"/>
          <w:szCs w:val="24"/>
        </w:rPr>
        <w:t>Should Be Reduced</w:t>
      </w:r>
      <w:r w:rsidR="00105523" w:rsidRPr="00105523">
        <w:rPr>
          <w:b/>
          <w:bCs/>
          <w:sz w:val="24"/>
          <w:szCs w:val="24"/>
        </w:rPr>
        <w:t>.</w:t>
      </w:r>
    </w:p>
    <w:p w14:paraId="1EF23B31" w14:textId="46ED2AB1" w:rsidR="00105523" w:rsidRDefault="002D32A6" w:rsidP="00105523">
      <w:pPr>
        <w:spacing w:line="480" w:lineRule="auto"/>
        <w:jc w:val="both"/>
        <w:rPr>
          <w:sz w:val="24"/>
          <w:szCs w:val="24"/>
        </w:rPr>
      </w:pPr>
      <w:r>
        <w:rPr>
          <w:sz w:val="24"/>
          <w:szCs w:val="24"/>
        </w:rPr>
        <w:tab/>
      </w:r>
      <w:r>
        <w:rPr>
          <w:sz w:val="24"/>
          <w:szCs w:val="24"/>
        </w:rPr>
        <w:tab/>
        <w:t xml:space="preserve">Georgia Power proposes a $4.00/kW “additional sum” for new demand response and DER programs.  While the appropriateness and </w:t>
      </w:r>
      <w:r w:rsidR="00F90105">
        <w:rPr>
          <w:sz w:val="24"/>
          <w:szCs w:val="24"/>
        </w:rPr>
        <w:t>level</w:t>
      </w:r>
      <w:r>
        <w:rPr>
          <w:sz w:val="24"/>
          <w:szCs w:val="24"/>
        </w:rPr>
        <w:t xml:space="preserve"> of additional sums are a subject of perpetual debate in IRP dockets, one thing that is not contested is that the </w:t>
      </w:r>
      <w:r w:rsidRPr="004B2F67">
        <w:rPr>
          <w:i/>
          <w:iCs/>
          <w:sz w:val="24"/>
          <w:szCs w:val="24"/>
        </w:rPr>
        <w:t>purpose</w:t>
      </w:r>
      <w:r>
        <w:rPr>
          <w:sz w:val="24"/>
          <w:szCs w:val="24"/>
        </w:rPr>
        <w:t xml:space="preserve"> of an additional sum is to incentivize the Company to </w:t>
      </w:r>
      <w:r w:rsidR="00F90105">
        <w:rPr>
          <w:sz w:val="24"/>
          <w:szCs w:val="24"/>
        </w:rPr>
        <w:t xml:space="preserve">pursue options other than building generation when such options are more economically efficient for ratepayers.  The additional sum compensates Georgia Power for the missed opportunity to earn a return on </w:t>
      </w:r>
      <w:r w:rsidR="004B2F67">
        <w:rPr>
          <w:sz w:val="24"/>
          <w:szCs w:val="24"/>
        </w:rPr>
        <w:t xml:space="preserve">its </w:t>
      </w:r>
      <w:r w:rsidR="00F90105">
        <w:rPr>
          <w:sz w:val="24"/>
          <w:szCs w:val="24"/>
        </w:rPr>
        <w:t>capital investment.</w:t>
      </w:r>
    </w:p>
    <w:p w14:paraId="2292CEE5" w14:textId="0A0F6756" w:rsidR="00F90105" w:rsidRDefault="00F90105" w:rsidP="00105523">
      <w:pPr>
        <w:spacing w:line="480" w:lineRule="auto"/>
        <w:jc w:val="both"/>
        <w:rPr>
          <w:sz w:val="24"/>
          <w:szCs w:val="24"/>
        </w:rPr>
      </w:pPr>
      <w:r>
        <w:rPr>
          <w:sz w:val="24"/>
          <w:szCs w:val="24"/>
        </w:rPr>
        <w:lastRenderedPageBreak/>
        <w:tab/>
      </w:r>
      <w:r>
        <w:rPr>
          <w:sz w:val="24"/>
          <w:szCs w:val="24"/>
        </w:rPr>
        <w:tab/>
        <w:t xml:space="preserve">However, Georgia Power needs very little if any such incentive in the current environment of exponentially increasing demand.  As the IRP demonstrates, Georgia Power is </w:t>
      </w:r>
      <w:r w:rsidR="00BC5176">
        <w:rPr>
          <w:sz w:val="24"/>
          <w:szCs w:val="24"/>
        </w:rPr>
        <w:t xml:space="preserve">having </w:t>
      </w:r>
      <w:r>
        <w:rPr>
          <w:sz w:val="24"/>
          <w:szCs w:val="24"/>
        </w:rPr>
        <w:t xml:space="preserve">to utilize every potential </w:t>
      </w:r>
      <w:r w:rsidR="00BC5176">
        <w:rPr>
          <w:sz w:val="24"/>
          <w:szCs w:val="24"/>
        </w:rPr>
        <w:t>avenue</w:t>
      </w:r>
      <w:r>
        <w:rPr>
          <w:sz w:val="24"/>
          <w:szCs w:val="24"/>
        </w:rPr>
        <w:t xml:space="preserve"> to meet customer demand, including maintaining existing assets, improving operational efficiencies, expanding DER programs, and conducting </w:t>
      </w:r>
      <w:r w:rsidR="00F94B6C">
        <w:rPr>
          <w:sz w:val="24"/>
          <w:szCs w:val="24"/>
        </w:rPr>
        <w:t xml:space="preserve">large-scale </w:t>
      </w:r>
      <w:r>
        <w:rPr>
          <w:sz w:val="24"/>
          <w:szCs w:val="24"/>
        </w:rPr>
        <w:t xml:space="preserve">RFPs to attract more capacity from the market.  Again, GAM strongly commends these efforts and appreciates the innovation and hard work of Georgia Power in this regard, but </w:t>
      </w:r>
      <w:r w:rsidR="00BC5176">
        <w:rPr>
          <w:sz w:val="24"/>
          <w:szCs w:val="24"/>
        </w:rPr>
        <w:t xml:space="preserve">the basis for maintaining the recently approved additional sum levels is simply not present.  At a minimum, the Commission should substantially reduce the Company’s proposed additional sum </w:t>
      </w:r>
      <w:r w:rsidR="00A53BF2">
        <w:rPr>
          <w:sz w:val="24"/>
          <w:szCs w:val="24"/>
        </w:rPr>
        <w:t xml:space="preserve">for any projects </w:t>
      </w:r>
      <w:r w:rsidR="00F94B6C">
        <w:rPr>
          <w:sz w:val="24"/>
          <w:szCs w:val="24"/>
        </w:rPr>
        <w:t xml:space="preserve">(PPAs, demand side options) </w:t>
      </w:r>
      <w:r w:rsidR="00BC5176">
        <w:rPr>
          <w:sz w:val="24"/>
          <w:szCs w:val="24"/>
        </w:rPr>
        <w:t>to more accurately reflect the current reality and incentives for Georgia Power.</w:t>
      </w:r>
    </w:p>
    <w:p w14:paraId="0E0A93BB" w14:textId="7DB002B6" w:rsidR="00A868A9" w:rsidRPr="00A868A9" w:rsidRDefault="00A868A9" w:rsidP="00105523">
      <w:pPr>
        <w:spacing w:line="480" w:lineRule="auto"/>
        <w:jc w:val="both"/>
        <w:rPr>
          <w:b/>
          <w:bCs/>
          <w:sz w:val="24"/>
          <w:szCs w:val="24"/>
        </w:rPr>
      </w:pPr>
      <w:r w:rsidRPr="00A868A9">
        <w:rPr>
          <w:b/>
          <w:bCs/>
          <w:sz w:val="24"/>
          <w:szCs w:val="24"/>
        </w:rPr>
        <w:t>D.</w:t>
      </w:r>
      <w:r w:rsidRPr="00A868A9">
        <w:rPr>
          <w:b/>
          <w:bCs/>
          <w:sz w:val="24"/>
          <w:szCs w:val="24"/>
        </w:rPr>
        <w:tab/>
        <w:t>Other Comments</w:t>
      </w:r>
    </w:p>
    <w:p w14:paraId="0F3D98D2" w14:textId="7C82F891" w:rsidR="00A868A9" w:rsidRDefault="00A868A9" w:rsidP="00105523">
      <w:pPr>
        <w:spacing w:line="480" w:lineRule="auto"/>
        <w:jc w:val="both"/>
        <w:rPr>
          <w:sz w:val="24"/>
          <w:szCs w:val="24"/>
        </w:rPr>
      </w:pPr>
      <w:r>
        <w:rPr>
          <w:sz w:val="24"/>
          <w:szCs w:val="24"/>
        </w:rPr>
        <w:tab/>
      </w:r>
      <w:r>
        <w:rPr>
          <w:sz w:val="24"/>
          <w:szCs w:val="24"/>
        </w:rPr>
        <w:tab/>
        <w:t xml:space="preserve">1.  </w:t>
      </w:r>
      <w:r w:rsidRPr="00A868A9">
        <w:rPr>
          <w:sz w:val="24"/>
          <w:szCs w:val="24"/>
          <w:u w:val="single"/>
        </w:rPr>
        <w:t xml:space="preserve">Georgia Power’s </w:t>
      </w:r>
      <w:r>
        <w:rPr>
          <w:sz w:val="24"/>
          <w:szCs w:val="24"/>
          <w:u w:val="single"/>
        </w:rPr>
        <w:t>Target Reserve Margin (“TRM”)</w:t>
      </w:r>
      <w:r w:rsidRPr="00A868A9">
        <w:rPr>
          <w:sz w:val="24"/>
          <w:szCs w:val="24"/>
          <w:u w:val="single"/>
        </w:rPr>
        <w:t xml:space="preserve"> may be elevated</w:t>
      </w:r>
      <w:r>
        <w:rPr>
          <w:sz w:val="24"/>
          <w:szCs w:val="24"/>
        </w:rPr>
        <w:t xml:space="preserve">.  Staff argued that </w:t>
      </w:r>
      <w:r w:rsidR="004B2F67">
        <w:rPr>
          <w:sz w:val="24"/>
          <w:szCs w:val="24"/>
        </w:rPr>
        <w:t>Georgia Power’s</w:t>
      </w:r>
      <w:r>
        <w:rPr>
          <w:sz w:val="24"/>
          <w:szCs w:val="24"/>
        </w:rPr>
        <w:t xml:space="preserve"> TRM was elevated due to:  (1) modeling of very large data centers as weather-sensitive loads; and (2) the apparent extreme sensitivity of the Loss of Load Expectation (“LOLE”) study, which increased the reliability-driven TRM to 26% (in the last IRP the reliability TRM was lower).  GAM understands and supports the Commission’s policy to maintain a healthy reserve margin, but there is a balance to be achieved in terms of the cost impact on ratepayers.  GAM encourages the Commission to carefully review Staff’s critique to determine if a slightly lower TRM is warranted.</w:t>
      </w:r>
    </w:p>
    <w:p w14:paraId="154605FA" w14:textId="5739AC02" w:rsidR="00A868A9" w:rsidRDefault="00A868A9" w:rsidP="004B2F67">
      <w:pPr>
        <w:spacing w:line="480" w:lineRule="auto"/>
        <w:ind w:firstLine="1440"/>
        <w:jc w:val="both"/>
        <w:rPr>
          <w:sz w:val="24"/>
          <w:szCs w:val="24"/>
        </w:rPr>
      </w:pPr>
      <w:r>
        <w:rPr>
          <w:sz w:val="24"/>
          <w:szCs w:val="24"/>
        </w:rPr>
        <w:t xml:space="preserve">2.  </w:t>
      </w:r>
      <w:r w:rsidR="004B2F67">
        <w:rPr>
          <w:sz w:val="24"/>
          <w:szCs w:val="24"/>
          <w:u w:val="single"/>
        </w:rPr>
        <w:t>M</w:t>
      </w:r>
      <w:r w:rsidRPr="00A868A9">
        <w:rPr>
          <w:sz w:val="24"/>
          <w:szCs w:val="24"/>
          <w:u w:val="single"/>
        </w:rPr>
        <w:t>odeling should more accurately reflect regulatory realities</w:t>
      </w:r>
      <w:r>
        <w:rPr>
          <w:sz w:val="24"/>
          <w:szCs w:val="24"/>
        </w:rPr>
        <w:t xml:space="preserve">.  The Company admitted that it failed to model a scenario to address the possible (perhaps likely) phase out of clean energy tax credits </w:t>
      </w:r>
      <w:r w:rsidR="004B2F67">
        <w:rPr>
          <w:sz w:val="24"/>
          <w:szCs w:val="24"/>
        </w:rPr>
        <w:t>for</w:t>
      </w:r>
      <w:r>
        <w:rPr>
          <w:sz w:val="24"/>
          <w:szCs w:val="24"/>
        </w:rPr>
        <w:t xml:space="preserve"> solar and BESS.  Further, it is inconsistent to model both tax credits and carbon costs given that there remains to this day no carbon tax on fuel emissions; this places fossil fuel units at a disadvantage in the economic analysis.  Further, carbon capture is modeled in </w:t>
      </w:r>
      <w:r>
        <w:rPr>
          <w:sz w:val="24"/>
          <w:szCs w:val="24"/>
        </w:rPr>
        <w:lastRenderedPageBreak/>
        <w:t xml:space="preserve">numerous scenarios – yet it is not a commercially scalable technology at this point in time.  GAM is not taking a position on clean energy credits, or </w:t>
      </w:r>
      <w:r w:rsidR="004B2F67">
        <w:rPr>
          <w:sz w:val="24"/>
          <w:szCs w:val="24"/>
        </w:rPr>
        <w:t xml:space="preserve">fossil fuels versus renewables, or carbon capture.  Parties can still argue for policies that favor resources not strictly based on cost-competitiveness – and the </w:t>
      </w:r>
      <w:r w:rsidR="004B2F67">
        <w:rPr>
          <w:sz w:val="24"/>
          <w:szCs w:val="24"/>
        </w:rPr>
        <w:t xml:space="preserve">Commission can </w:t>
      </w:r>
      <w:r w:rsidR="004B2F67">
        <w:rPr>
          <w:sz w:val="24"/>
          <w:szCs w:val="24"/>
        </w:rPr>
        <w:t>accept those arguments and implement those policies</w:t>
      </w:r>
      <w:r w:rsidR="004B2F67">
        <w:rPr>
          <w:sz w:val="24"/>
          <w:szCs w:val="24"/>
        </w:rPr>
        <w:t xml:space="preserve"> should it choose to do so after considering all the evidence and arguments,</w:t>
      </w:r>
      <w:r w:rsidR="004B2F67">
        <w:rPr>
          <w:sz w:val="24"/>
          <w:szCs w:val="24"/>
        </w:rPr>
        <w:t xml:space="preserve">.  </w:t>
      </w:r>
      <w:r w:rsidR="004B2F67">
        <w:rPr>
          <w:sz w:val="24"/>
          <w:szCs w:val="24"/>
        </w:rPr>
        <w:t xml:space="preserve">However, the </w:t>
      </w:r>
      <w:r w:rsidR="004B2F67" w:rsidRPr="004B2F67">
        <w:rPr>
          <w:i/>
          <w:iCs/>
          <w:sz w:val="24"/>
          <w:szCs w:val="24"/>
        </w:rPr>
        <w:t>economic</w:t>
      </w:r>
      <w:r w:rsidR="004B2F67">
        <w:rPr>
          <w:sz w:val="24"/>
          <w:szCs w:val="24"/>
        </w:rPr>
        <w:t xml:space="preserve"> analysis should be based on actual regulatory, legal and technological </w:t>
      </w:r>
      <w:r w:rsidR="004B2F67">
        <w:rPr>
          <w:sz w:val="24"/>
          <w:szCs w:val="24"/>
        </w:rPr>
        <w:t>scenarios – and Georgia Power should be directed to more thoroughly analyze those scenarios in future modeling presented to the Commission.</w:t>
      </w:r>
    </w:p>
    <w:p w14:paraId="0E5C94DE" w14:textId="77777777" w:rsidR="00323794" w:rsidRPr="00956A2A" w:rsidRDefault="00323794" w:rsidP="00956A2A">
      <w:pPr>
        <w:spacing w:line="480" w:lineRule="auto"/>
        <w:jc w:val="both"/>
        <w:rPr>
          <w:sz w:val="24"/>
          <w:szCs w:val="24"/>
        </w:rPr>
      </w:pPr>
    </w:p>
    <w:p w14:paraId="40EF84A7" w14:textId="3CDC9FEC" w:rsidR="00C2500C" w:rsidRDefault="00C2500C" w:rsidP="0066407D">
      <w:pPr>
        <w:ind w:left="1440" w:firstLine="720"/>
        <w:jc w:val="both"/>
        <w:rPr>
          <w:sz w:val="24"/>
        </w:rPr>
      </w:pPr>
      <w:r>
        <w:rPr>
          <w:sz w:val="24"/>
        </w:rPr>
        <w:t>Respectfully submitted this</w:t>
      </w:r>
      <w:r w:rsidR="002D32A6">
        <w:rPr>
          <w:sz w:val="24"/>
        </w:rPr>
        <w:t xml:space="preserve"> 3</w:t>
      </w:r>
      <w:r w:rsidR="002D32A6" w:rsidRPr="002D32A6">
        <w:rPr>
          <w:sz w:val="24"/>
          <w:vertAlign w:val="superscript"/>
        </w:rPr>
        <w:t>rd</w:t>
      </w:r>
      <w:r w:rsidR="002D32A6">
        <w:rPr>
          <w:sz w:val="24"/>
        </w:rPr>
        <w:t xml:space="preserve"> day of July, 2025</w:t>
      </w:r>
      <w:r>
        <w:rPr>
          <w:sz w:val="24"/>
        </w:rPr>
        <w:t>.</w:t>
      </w:r>
    </w:p>
    <w:p w14:paraId="3FC0CDD7" w14:textId="77777777" w:rsidR="000E1448" w:rsidRDefault="000E1448" w:rsidP="00C2500C">
      <w:pPr>
        <w:ind w:left="1440" w:firstLine="720"/>
        <w:rPr>
          <w:sz w:val="24"/>
        </w:rPr>
      </w:pPr>
    </w:p>
    <w:p w14:paraId="62A57C68" w14:textId="5104ED75" w:rsidR="00C2500C" w:rsidRDefault="00C640C0" w:rsidP="00C2500C">
      <w:pPr>
        <w:rPr>
          <w:sz w:val="24"/>
        </w:rPr>
      </w:pPr>
      <w:r>
        <w:rPr>
          <w:sz w:val="24"/>
        </w:rPr>
        <w:tab/>
      </w:r>
      <w:r>
        <w:rPr>
          <w:sz w:val="24"/>
        </w:rPr>
        <w:tab/>
      </w:r>
      <w:r>
        <w:rPr>
          <w:sz w:val="24"/>
        </w:rPr>
        <w:tab/>
      </w:r>
      <w:r>
        <w:rPr>
          <w:sz w:val="24"/>
        </w:rPr>
        <w:tab/>
      </w:r>
      <w:r>
        <w:rPr>
          <w:sz w:val="24"/>
        </w:rPr>
        <w:tab/>
      </w:r>
      <w:r w:rsidR="00B414A9" w:rsidRPr="00C640C0">
        <w:rPr>
          <w:noProof/>
          <w:sz w:val="24"/>
        </w:rPr>
        <w:drawing>
          <wp:inline distT="0" distB="0" distL="0" distR="0" wp14:anchorId="18F3CB23" wp14:editId="3325ED14">
            <wp:extent cx="2423160" cy="609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3160" cy="609600"/>
                    </a:xfrm>
                    <a:prstGeom prst="rect">
                      <a:avLst/>
                    </a:prstGeom>
                    <a:noFill/>
                    <a:ln>
                      <a:noFill/>
                    </a:ln>
                  </pic:spPr>
                </pic:pic>
              </a:graphicData>
            </a:graphic>
          </wp:inline>
        </w:drawing>
      </w:r>
    </w:p>
    <w:p w14:paraId="01A290AE" w14:textId="77777777" w:rsidR="00C2500C" w:rsidRDefault="00C2500C" w:rsidP="00915869">
      <w:pPr>
        <w:ind w:left="2880" w:firstLine="720"/>
        <w:rPr>
          <w:sz w:val="24"/>
        </w:rPr>
      </w:pPr>
      <w:r>
        <w:rPr>
          <w:sz w:val="24"/>
        </w:rPr>
        <w:t>________________________________________</w:t>
      </w:r>
    </w:p>
    <w:p w14:paraId="54951018" w14:textId="77777777" w:rsidR="00DD713C" w:rsidRDefault="00846241" w:rsidP="00DD713C">
      <w:pPr>
        <w:rPr>
          <w:sz w:val="24"/>
        </w:rPr>
      </w:pPr>
      <w:r>
        <w:rPr>
          <w:sz w:val="24"/>
        </w:rPr>
        <w:tab/>
      </w:r>
      <w:r>
        <w:rPr>
          <w:sz w:val="24"/>
        </w:rPr>
        <w:tab/>
      </w:r>
      <w:r>
        <w:rPr>
          <w:sz w:val="24"/>
        </w:rPr>
        <w:tab/>
      </w:r>
      <w:r>
        <w:rPr>
          <w:sz w:val="24"/>
        </w:rPr>
        <w:tab/>
      </w:r>
      <w:r w:rsidR="00DD713C">
        <w:rPr>
          <w:sz w:val="24"/>
        </w:rPr>
        <w:tab/>
        <w:t>Charles B. Jones, III</w:t>
      </w:r>
    </w:p>
    <w:p w14:paraId="75973AFD" w14:textId="77777777" w:rsidR="00DD713C" w:rsidRDefault="00DD713C" w:rsidP="00DD713C">
      <w:pPr>
        <w:rPr>
          <w:sz w:val="24"/>
        </w:rPr>
      </w:pPr>
      <w:r>
        <w:rPr>
          <w:sz w:val="24"/>
        </w:rPr>
        <w:tab/>
      </w:r>
      <w:r>
        <w:rPr>
          <w:sz w:val="24"/>
        </w:rPr>
        <w:tab/>
      </w:r>
      <w:r>
        <w:rPr>
          <w:sz w:val="24"/>
        </w:rPr>
        <w:tab/>
      </w:r>
      <w:r>
        <w:rPr>
          <w:sz w:val="24"/>
        </w:rPr>
        <w:tab/>
      </w:r>
      <w:r>
        <w:rPr>
          <w:sz w:val="24"/>
        </w:rPr>
        <w:tab/>
        <w:t>Georgia Association of Manufacturers</w:t>
      </w:r>
    </w:p>
    <w:p w14:paraId="495C678F" w14:textId="5BC1AC7D" w:rsidR="00DD713C" w:rsidRDefault="00DD713C" w:rsidP="002D32A6">
      <w:pPr>
        <w:rPr>
          <w:sz w:val="24"/>
        </w:rPr>
      </w:pPr>
      <w:r>
        <w:rPr>
          <w:sz w:val="24"/>
        </w:rPr>
        <w:tab/>
      </w:r>
      <w:r>
        <w:rPr>
          <w:sz w:val="24"/>
        </w:rPr>
        <w:tab/>
      </w:r>
      <w:r>
        <w:rPr>
          <w:sz w:val="24"/>
        </w:rPr>
        <w:tab/>
      </w:r>
      <w:r>
        <w:rPr>
          <w:sz w:val="24"/>
        </w:rPr>
        <w:tab/>
      </w:r>
      <w:r>
        <w:rPr>
          <w:sz w:val="24"/>
        </w:rPr>
        <w:tab/>
      </w:r>
      <w:r w:rsidR="002D32A6">
        <w:rPr>
          <w:sz w:val="24"/>
        </w:rPr>
        <w:t>75 Fifth Street NW</w:t>
      </w:r>
    </w:p>
    <w:p w14:paraId="0168EE09" w14:textId="606600C3" w:rsidR="002D32A6" w:rsidRDefault="002D32A6" w:rsidP="002D32A6">
      <w:pPr>
        <w:rPr>
          <w:sz w:val="24"/>
        </w:rPr>
      </w:pPr>
      <w:r>
        <w:rPr>
          <w:sz w:val="24"/>
        </w:rPr>
        <w:tab/>
      </w:r>
      <w:r>
        <w:rPr>
          <w:sz w:val="24"/>
        </w:rPr>
        <w:tab/>
      </w:r>
      <w:r>
        <w:rPr>
          <w:sz w:val="24"/>
        </w:rPr>
        <w:tab/>
      </w:r>
      <w:r>
        <w:rPr>
          <w:sz w:val="24"/>
        </w:rPr>
        <w:tab/>
      </w:r>
      <w:r>
        <w:rPr>
          <w:sz w:val="24"/>
        </w:rPr>
        <w:tab/>
        <w:t>Suite 3412</w:t>
      </w:r>
    </w:p>
    <w:p w14:paraId="35ACF8FB" w14:textId="38C0D166" w:rsidR="00CE376E" w:rsidRDefault="00DD713C" w:rsidP="00DD713C">
      <w:pPr>
        <w:rPr>
          <w:sz w:val="24"/>
        </w:rPr>
      </w:pPr>
      <w:r>
        <w:rPr>
          <w:sz w:val="24"/>
        </w:rPr>
        <w:tab/>
      </w:r>
      <w:r>
        <w:rPr>
          <w:sz w:val="24"/>
        </w:rPr>
        <w:tab/>
      </w:r>
      <w:r>
        <w:rPr>
          <w:sz w:val="24"/>
        </w:rPr>
        <w:tab/>
      </w:r>
      <w:r>
        <w:rPr>
          <w:sz w:val="24"/>
        </w:rPr>
        <w:tab/>
      </w:r>
      <w:r>
        <w:rPr>
          <w:sz w:val="24"/>
        </w:rPr>
        <w:tab/>
        <w:t>Atlanta, Georgia 3030</w:t>
      </w:r>
      <w:r w:rsidR="002D32A6">
        <w:rPr>
          <w:sz w:val="24"/>
        </w:rPr>
        <w:t>8</w:t>
      </w:r>
    </w:p>
    <w:p w14:paraId="47D889C7" w14:textId="77777777" w:rsidR="00DD713C" w:rsidRDefault="00DD713C" w:rsidP="00DD713C">
      <w:pPr>
        <w:rPr>
          <w:sz w:val="24"/>
        </w:rPr>
      </w:pPr>
      <w:r>
        <w:rPr>
          <w:sz w:val="24"/>
        </w:rPr>
        <w:tab/>
      </w:r>
      <w:r>
        <w:rPr>
          <w:sz w:val="24"/>
        </w:rPr>
        <w:tab/>
      </w:r>
      <w:r>
        <w:rPr>
          <w:sz w:val="24"/>
        </w:rPr>
        <w:tab/>
      </w:r>
      <w:r>
        <w:rPr>
          <w:sz w:val="24"/>
        </w:rPr>
        <w:tab/>
      </w:r>
      <w:r>
        <w:rPr>
          <w:sz w:val="24"/>
        </w:rPr>
        <w:tab/>
        <w:t>(404) 219-9017 (cell)</w:t>
      </w:r>
    </w:p>
    <w:p w14:paraId="592A73E7" w14:textId="77777777" w:rsidR="00DD713C" w:rsidRDefault="00DD713C" w:rsidP="00DD713C">
      <w:pPr>
        <w:rPr>
          <w:sz w:val="24"/>
        </w:rPr>
      </w:pPr>
      <w:r>
        <w:rPr>
          <w:sz w:val="24"/>
        </w:rPr>
        <w:tab/>
      </w:r>
      <w:r>
        <w:rPr>
          <w:sz w:val="24"/>
        </w:rPr>
        <w:tab/>
      </w:r>
      <w:r>
        <w:rPr>
          <w:sz w:val="24"/>
        </w:rPr>
        <w:tab/>
      </w:r>
      <w:r>
        <w:rPr>
          <w:sz w:val="24"/>
        </w:rPr>
        <w:tab/>
      </w:r>
      <w:r>
        <w:rPr>
          <w:sz w:val="24"/>
        </w:rPr>
        <w:tab/>
      </w:r>
      <w:hyperlink r:id="rId8" w:history="1">
        <w:r w:rsidRPr="004E0A7B">
          <w:rPr>
            <w:rStyle w:val="Hyperlink"/>
            <w:sz w:val="24"/>
          </w:rPr>
          <w:t>cjones@gamfg.org</w:t>
        </w:r>
      </w:hyperlink>
      <w:r>
        <w:rPr>
          <w:sz w:val="24"/>
        </w:rPr>
        <w:t xml:space="preserve">  </w:t>
      </w:r>
    </w:p>
    <w:p w14:paraId="54AA3EE0" w14:textId="77777777" w:rsidR="00233DA4" w:rsidRDefault="005F59A5" w:rsidP="00233DA4">
      <w:pPr>
        <w:pStyle w:val="Heading1"/>
        <w:jc w:val="center"/>
        <w:rPr>
          <w:b/>
        </w:rPr>
      </w:pPr>
      <w:r>
        <w:br w:type="page"/>
      </w:r>
      <w:r w:rsidR="00233DA4">
        <w:rPr>
          <w:b/>
        </w:rPr>
        <w:lastRenderedPageBreak/>
        <w:t>BEFORE THE</w:t>
      </w:r>
    </w:p>
    <w:p w14:paraId="223B08BE" w14:textId="77777777" w:rsidR="00233DA4" w:rsidRDefault="00233DA4" w:rsidP="00233DA4">
      <w:pPr>
        <w:rPr>
          <w:sz w:val="24"/>
        </w:rPr>
      </w:pPr>
    </w:p>
    <w:p w14:paraId="4DCB340B" w14:textId="77777777" w:rsidR="00233DA4" w:rsidRDefault="00233DA4" w:rsidP="00233DA4">
      <w:pPr>
        <w:jc w:val="center"/>
        <w:rPr>
          <w:b/>
          <w:sz w:val="24"/>
        </w:rPr>
      </w:pPr>
      <w:smartTag w:uri="urn:schemas-microsoft-com:office:smarttags" w:element="country-region">
        <w:smartTag w:uri="urn:schemas-microsoft-com:office:smarttags" w:element="place">
          <w:r>
            <w:rPr>
              <w:b/>
              <w:sz w:val="24"/>
            </w:rPr>
            <w:t>GEORGIA</w:t>
          </w:r>
        </w:smartTag>
      </w:smartTag>
      <w:r>
        <w:rPr>
          <w:b/>
          <w:sz w:val="24"/>
        </w:rPr>
        <w:t xml:space="preserve"> PUBLIC SERVICE COMMISSION</w:t>
      </w:r>
    </w:p>
    <w:p w14:paraId="07986DBB" w14:textId="77777777" w:rsidR="00233DA4" w:rsidRDefault="00233DA4" w:rsidP="00233DA4">
      <w:pPr>
        <w:jc w:val="center"/>
        <w:rPr>
          <w:b/>
          <w:sz w:val="24"/>
        </w:rPr>
      </w:pPr>
    </w:p>
    <w:p w14:paraId="7DB64957" w14:textId="77777777" w:rsidR="00233DA4" w:rsidRDefault="00233DA4" w:rsidP="00233DA4">
      <w:pPr>
        <w:jc w:val="center"/>
        <w:rPr>
          <w:b/>
          <w:sz w:val="24"/>
        </w:rPr>
      </w:pPr>
    </w:p>
    <w:p w14:paraId="55288777" w14:textId="77777777" w:rsidR="00233DA4" w:rsidRDefault="00233DA4" w:rsidP="00233DA4">
      <w:pPr>
        <w:tabs>
          <w:tab w:val="center" w:pos="4680"/>
        </w:tabs>
        <w:rPr>
          <w:b/>
          <w:sz w:val="24"/>
        </w:rPr>
      </w:pPr>
      <w:r>
        <w:rPr>
          <w:b/>
          <w:sz w:val="24"/>
        </w:rPr>
        <w:t>In Re:</w:t>
      </w:r>
      <w:r>
        <w:rPr>
          <w:b/>
          <w:sz w:val="24"/>
        </w:rPr>
        <w:tab/>
        <w:t>)</w:t>
      </w:r>
    </w:p>
    <w:p w14:paraId="0EE1B9A0" w14:textId="77777777" w:rsidR="00233DA4" w:rsidRDefault="00233DA4" w:rsidP="00233DA4">
      <w:pPr>
        <w:tabs>
          <w:tab w:val="center" w:pos="4680"/>
        </w:tabs>
        <w:rPr>
          <w:b/>
          <w:sz w:val="24"/>
        </w:rPr>
      </w:pPr>
      <w:r>
        <w:rPr>
          <w:b/>
          <w:sz w:val="24"/>
        </w:rPr>
        <w:t>Georgia Power Company’s</w:t>
      </w:r>
      <w:r>
        <w:rPr>
          <w:b/>
          <w:sz w:val="24"/>
        </w:rPr>
        <w:tab/>
        <w:t>)</w:t>
      </w:r>
      <w:r>
        <w:rPr>
          <w:b/>
          <w:sz w:val="24"/>
        </w:rPr>
        <w:tab/>
      </w:r>
      <w:r>
        <w:rPr>
          <w:b/>
          <w:sz w:val="24"/>
        </w:rPr>
        <w:tab/>
        <w:t>Docket No. 56002</w:t>
      </w:r>
    </w:p>
    <w:p w14:paraId="049AD6FE" w14:textId="77777777" w:rsidR="00233DA4" w:rsidRDefault="00233DA4" w:rsidP="00233DA4">
      <w:pPr>
        <w:tabs>
          <w:tab w:val="center" w:pos="4680"/>
        </w:tabs>
        <w:rPr>
          <w:b/>
          <w:sz w:val="24"/>
        </w:rPr>
      </w:pPr>
      <w:r>
        <w:rPr>
          <w:b/>
          <w:sz w:val="24"/>
        </w:rPr>
        <w:t>2025 Integrated Resource Plan</w:t>
      </w:r>
      <w:r>
        <w:rPr>
          <w:b/>
          <w:sz w:val="24"/>
        </w:rPr>
        <w:tab/>
        <w:t>)</w:t>
      </w:r>
    </w:p>
    <w:p w14:paraId="433673AA" w14:textId="77777777" w:rsidR="00233DA4" w:rsidRDefault="00233DA4" w:rsidP="00233DA4">
      <w:pPr>
        <w:tabs>
          <w:tab w:val="center" w:pos="4680"/>
        </w:tabs>
        <w:rPr>
          <w:b/>
          <w:sz w:val="24"/>
        </w:rPr>
      </w:pPr>
      <w:r>
        <w:rPr>
          <w:b/>
          <w:sz w:val="24"/>
        </w:rPr>
        <w:tab/>
        <w:t>)</w:t>
      </w:r>
    </w:p>
    <w:p w14:paraId="1B000CBD" w14:textId="77777777" w:rsidR="00233DA4" w:rsidRDefault="00233DA4" w:rsidP="00233DA4">
      <w:pPr>
        <w:tabs>
          <w:tab w:val="center" w:pos="4680"/>
        </w:tabs>
        <w:rPr>
          <w:b/>
          <w:sz w:val="24"/>
        </w:rPr>
      </w:pPr>
      <w:r>
        <w:rPr>
          <w:b/>
          <w:sz w:val="24"/>
        </w:rPr>
        <w:t>and</w:t>
      </w:r>
      <w:r>
        <w:rPr>
          <w:b/>
          <w:sz w:val="24"/>
        </w:rPr>
        <w:tab/>
        <w:t>)</w:t>
      </w:r>
    </w:p>
    <w:p w14:paraId="6BF5692D" w14:textId="77777777" w:rsidR="00233DA4" w:rsidRDefault="00233DA4" w:rsidP="00233DA4">
      <w:pPr>
        <w:tabs>
          <w:tab w:val="center" w:pos="4680"/>
        </w:tabs>
        <w:rPr>
          <w:b/>
          <w:sz w:val="24"/>
        </w:rPr>
      </w:pPr>
      <w:r>
        <w:rPr>
          <w:b/>
          <w:sz w:val="24"/>
        </w:rPr>
        <w:tab/>
        <w:t>)</w:t>
      </w:r>
    </w:p>
    <w:p w14:paraId="40D0DE3B" w14:textId="77777777" w:rsidR="00233DA4" w:rsidRDefault="00233DA4" w:rsidP="00233DA4">
      <w:pPr>
        <w:tabs>
          <w:tab w:val="center" w:pos="4680"/>
        </w:tabs>
        <w:rPr>
          <w:b/>
          <w:sz w:val="24"/>
        </w:rPr>
      </w:pPr>
      <w:r>
        <w:rPr>
          <w:b/>
          <w:sz w:val="24"/>
        </w:rPr>
        <w:t>Georgia Power Company’s 2025</w:t>
      </w:r>
      <w:r>
        <w:rPr>
          <w:b/>
          <w:sz w:val="24"/>
        </w:rPr>
        <w:tab/>
        <w:t>)</w:t>
      </w:r>
    </w:p>
    <w:p w14:paraId="27EA5314" w14:textId="77777777" w:rsidR="00233DA4" w:rsidRDefault="00233DA4" w:rsidP="00233DA4">
      <w:pPr>
        <w:tabs>
          <w:tab w:val="center" w:pos="4680"/>
        </w:tabs>
        <w:rPr>
          <w:b/>
          <w:sz w:val="24"/>
        </w:rPr>
      </w:pPr>
      <w:r>
        <w:rPr>
          <w:b/>
          <w:sz w:val="24"/>
        </w:rPr>
        <w:t>Application for the Certification,</w:t>
      </w:r>
      <w:r>
        <w:rPr>
          <w:b/>
          <w:sz w:val="24"/>
        </w:rPr>
        <w:tab/>
        <w:t>)</w:t>
      </w:r>
      <w:r>
        <w:rPr>
          <w:b/>
          <w:sz w:val="24"/>
        </w:rPr>
        <w:tab/>
      </w:r>
      <w:r>
        <w:rPr>
          <w:b/>
          <w:sz w:val="24"/>
        </w:rPr>
        <w:tab/>
        <w:t>Docket No. 56003</w:t>
      </w:r>
    </w:p>
    <w:p w14:paraId="6381F158" w14:textId="77777777" w:rsidR="00233DA4" w:rsidRDefault="00233DA4" w:rsidP="00233DA4">
      <w:pPr>
        <w:tabs>
          <w:tab w:val="center" w:pos="4680"/>
        </w:tabs>
        <w:rPr>
          <w:b/>
          <w:sz w:val="24"/>
        </w:rPr>
      </w:pPr>
      <w:r>
        <w:rPr>
          <w:b/>
          <w:sz w:val="24"/>
        </w:rPr>
        <w:t>Decertification, and Amended</w:t>
      </w:r>
      <w:r>
        <w:rPr>
          <w:b/>
          <w:sz w:val="24"/>
        </w:rPr>
        <w:tab/>
        <w:t>)</w:t>
      </w:r>
    </w:p>
    <w:p w14:paraId="0B1496F6" w14:textId="77777777" w:rsidR="00233DA4" w:rsidRDefault="00233DA4" w:rsidP="00233DA4">
      <w:pPr>
        <w:tabs>
          <w:tab w:val="center" w:pos="4680"/>
        </w:tabs>
        <w:rPr>
          <w:b/>
          <w:sz w:val="24"/>
        </w:rPr>
      </w:pPr>
      <w:r>
        <w:rPr>
          <w:b/>
          <w:sz w:val="24"/>
        </w:rPr>
        <w:t>Demand-Side Management Program</w:t>
      </w:r>
      <w:r>
        <w:rPr>
          <w:b/>
          <w:sz w:val="24"/>
        </w:rPr>
        <w:tab/>
        <w:t>)</w:t>
      </w:r>
    </w:p>
    <w:p w14:paraId="6478F99E" w14:textId="2FF0149D" w:rsidR="00323794" w:rsidRDefault="00323794" w:rsidP="00233DA4">
      <w:pPr>
        <w:pStyle w:val="Heading1"/>
        <w:jc w:val="center"/>
        <w:rPr>
          <w:b/>
        </w:rPr>
      </w:pPr>
    </w:p>
    <w:p w14:paraId="496FD154" w14:textId="77777777" w:rsidR="00CE376E" w:rsidRDefault="00CE376E" w:rsidP="006F72A2">
      <w:pPr>
        <w:tabs>
          <w:tab w:val="center" w:pos="4680"/>
        </w:tabs>
        <w:rPr>
          <w:b/>
          <w:sz w:val="24"/>
        </w:rPr>
      </w:pPr>
      <w:r>
        <w:rPr>
          <w:b/>
          <w:sz w:val="24"/>
        </w:rPr>
        <w:tab/>
      </w:r>
    </w:p>
    <w:p w14:paraId="61BE4FDE" w14:textId="77777777" w:rsidR="000E1448" w:rsidRDefault="000E1448" w:rsidP="00C2500C">
      <w:pPr>
        <w:widowControl w:val="0"/>
        <w:rPr>
          <w:sz w:val="24"/>
        </w:rPr>
      </w:pPr>
    </w:p>
    <w:p w14:paraId="5D0AD502" w14:textId="77777777" w:rsidR="00C2500C" w:rsidRDefault="00C2500C" w:rsidP="00C2500C">
      <w:pPr>
        <w:widowControl w:val="0"/>
        <w:jc w:val="center"/>
        <w:rPr>
          <w:sz w:val="24"/>
        </w:rPr>
      </w:pPr>
      <w:r>
        <w:rPr>
          <w:b/>
          <w:bCs/>
          <w:sz w:val="24"/>
          <w:u w:val="single"/>
        </w:rPr>
        <w:t>CERTIFICATE OF SERVICE</w:t>
      </w:r>
    </w:p>
    <w:p w14:paraId="039A9402" w14:textId="77777777" w:rsidR="00C2500C" w:rsidRDefault="00C2500C" w:rsidP="00C2500C">
      <w:pPr>
        <w:widowControl w:val="0"/>
        <w:rPr>
          <w:sz w:val="24"/>
        </w:rPr>
      </w:pPr>
    </w:p>
    <w:p w14:paraId="5C2CC1E1" w14:textId="76EF128F" w:rsidR="006F72A2" w:rsidRDefault="00C2500C" w:rsidP="006F72A2">
      <w:pPr>
        <w:widowControl w:val="0"/>
        <w:spacing w:line="480" w:lineRule="auto"/>
        <w:rPr>
          <w:sz w:val="24"/>
        </w:rPr>
      </w:pPr>
      <w:r>
        <w:rPr>
          <w:sz w:val="24"/>
        </w:rPr>
        <w:tab/>
      </w:r>
      <w:r>
        <w:rPr>
          <w:sz w:val="24"/>
        </w:rPr>
        <w:tab/>
      </w:r>
      <w:r w:rsidR="006F72A2">
        <w:rPr>
          <w:sz w:val="24"/>
        </w:rPr>
        <w:t xml:space="preserve">I do hereby certify that I have served the foregoing </w:t>
      </w:r>
      <w:r w:rsidR="006F72A2">
        <w:rPr>
          <w:b/>
          <w:bCs/>
          <w:sz w:val="24"/>
        </w:rPr>
        <w:t>POST-HEARING BRIEF OF THE GEORGIA ASSOCIATION OF MANUFACTURERS,</w:t>
      </w:r>
      <w:r w:rsidR="006F72A2">
        <w:rPr>
          <w:sz w:val="24"/>
        </w:rPr>
        <w:t xml:space="preserve"> via electronic mail</w:t>
      </w:r>
      <w:r w:rsidR="00323794">
        <w:rPr>
          <w:sz w:val="24"/>
        </w:rPr>
        <w:t xml:space="preserve"> to all recipients on the service list for this docket.</w:t>
      </w:r>
    </w:p>
    <w:p w14:paraId="2BC98468" w14:textId="77777777" w:rsidR="006F72A2" w:rsidRDefault="006F72A2" w:rsidP="006F72A2">
      <w:pPr>
        <w:ind w:left="1440" w:firstLine="720"/>
        <w:jc w:val="both"/>
        <w:rPr>
          <w:sz w:val="24"/>
        </w:rPr>
      </w:pPr>
    </w:p>
    <w:p w14:paraId="6CE94439" w14:textId="77EE9881" w:rsidR="006F72A2" w:rsidRDefault="006F72A2" w:rsidP="006F72A2">
      <w:pPr>
        <w:widowControl w:val="0"/>
        <w:ind w:left="720" w:firstLine="720"/>
        <w:rPr>
          <w:color w:val="000000"/>
          <w:sz w:val="24"/>
        </w:rPr>
      </w:pPr>
      <w:r>
        <w:rPr>
          <w:color w:val="000000"/>
          <w:sz w:val="24"/>
        </w:rPr>
        <w:t xml:space="preserve">This </w:t>
      </w:r>
      <w:r w:rsidR="00233DA4">
        <w:rPr>
          <w:color w:val="000000"/>
          <w:sz w:val="24"/>
        </w:rPr>
        <w:t>3</w:t>
      </w:r>
      <w:r w:rsidR="00233DA4" w:rsidRPr="00233DA4">
        <w:rPr>
          <w:color w:val="000000"/>
          <w:sz w:val="24"/>
          <w:vertAlign w:val="superscript"/>
        </w:rPr>
        <w:t>rd</w:t>
      </w:r>
      <w:r w:rsidR="00233DA4">
        <w:rPr>
          <w:color w:val="000000"/>
          <w:sz w:val="24"/>
        </w:rPr>
        <w:t xml:space="preserve"> day of July, 2025</w:t>
      </w:r>
      <w:r>
        <w:rPr>
          <w:color w:val="000000"/>
          <w:sz w:val="24"/>
        </w:rPr>
        <w:t>.</w:t>
      </w:r>
    </w:p>
    <w:p w14:paraId="4BEB329F" w14:textId="2DABEF63" w:rsidR="006F72A2" w:rsidRDefault="006F72A2" w:rsidP="006F72A2">
      <w:pPr>
        <w:widowControl w:val="0"/>
        <w:ind w:left="720" w:firstLine="720"/>
        <w:rPr>
          <w:color w:val="000000"/>
          <w:sz w:val="24"/>
        </w:rPr>
      </w:pPr>
      <w:r>
        <w:rPr>
          <w:color w:val="000000"/>
          <w:sz w:val="24"/>
        </w:rPr>
        <w:tab/>
      </w:r>
      <w:r>
        <w:rPr>
          <w:color w:val="000000"/>
          <w:sz w:val="24"/>
        </w:rPr>
        <w:tab/>
      </w:r>
      <w:r>
        <w:rPr>
          <w:color w:val="000000"/>
          <w:sz w:val="24"/>
        </w:rPr>
        <w:tab/>
      </w:r>
      <w:r>
        <w:rPr>
          <w:color w:val="000000"/>
          <w:sz w:val="24"/>
        </w:rPr>
        <w:tab/>
      </w:r>
      <w:r w:rsidR="00B414A9" w:rsidRPr="0071322E">
        <w:rPr>
          <w:noProof/>
          <w:color w:val="000000"/>
          <w:sz w:val="24"/>
        </w:rPr>
        <w:drawing>
          <wp:inline distT="0" distB="0" distL="0" distR="0" wp14:anchorId="5BC4B5D6" wp14:editId="20C7D7BB">
            <wp:extent cx="2225040" cy="5562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5040" cy="556260"/>
                    </a:xfrm>
                    <a:prstGeom prst="rect">
                      <a:avLst/>
                    </a:prstGeom>
                    <a:noFill/>
                    <a:ln>
                      <a:noFill/>
                    </a:ln>
                  </pic:spPr>
                </pic:pic>
              </a:graphicData>
            </a:graphic>
          </wp:inline>
        </w:drawing>
      </w:r>
    </w:p>
    <w:p w14:paraId="1901D79A" w14:textId="77777777" w:rsidR="006F72A2" w:rsidRDefault="006F72A2" w:rsidP="006F72A2">
      <w:pPr>
        <w:pStyle w:val="Signature"/>
        <w:widowControl w:val="0"/>
        <w:rPr>
          <w:sz w:val="24"/>
          <w:u w:val="single"/>
        </w:rPr>
      </w:pPr>
      <w:r>
        <w:rPr>
          <w:sz w:val="24"/>
          <w:u w:val="single"/>
        </w:rPr>
        <w:tab/>
      </w:r>
      <w:r>
        <w:rPr>
          <w:sz w:val="24"/>
          <w:u w:val="single"/>
        </w:rPr>
        <w:tab/>
      </w:r>
      <w:r>
        <w:rPr>
          <w:sz w:val="24"/>
          <w:u w:val="single"/>
        </w:rPr>
        <w:tab/>
      </w:r>
      <w:r>
        <w:rPr>
          <w:sz w:val="24"/>
          <w:u w:val="single"/>
        </w:rPr>
        <w:tab/>
      </w:r>
      <w:r>
        <w:rPr>
          <w:sz w:val="24"/>
          <w:u w:val="single"/>
        </w:rPr>
        <w:tab/>
      </w:r>
    </w:p>
    <w:p w14:paraId="76B9009D" w14:textId="77777777" w:rsidR="006F72A2" w:rsidRPr="00A30A64" w:rsidRDefault="006F72A2" w:rsidP="006F72A2">
      <w:pPr>
        <w:pStyle w:val="Signature"/>
        <w:widowControl w:val="0"/>
        <w:rPr>
          <w:sz w:val="24"/>
          <w:szCs w:val="24"/>
        </w:rPr>
      </w:pPr>
      <w:r w:rsidRPr="00A30A64">
        <w:rPr>
          <w:sz w:val="24"/>
          <w:szCs w:val="24"/>
        </w:rPr>
        <w:t>Charles B. Jones, III</w:t>
      </w:r>
    </w:p>
    <w:p w14:paraId="325986CA" w14:textId="77777777" w:rsidR="000274D7" w:rsidRPr="00A30A64" w:rsidRDefault="000274D7" w:rsidP="006F72A2">
      <w:pPr>
        <w:widowControl w:val="0"/>
        <w:spacing w:line="480" w:lineRule="auto"/>
        <w:rPr>
          <w:sz w:val="24"/>
          <w:szCs w:val="24"/>
        </w:rPr>
      </w:pPr>
    </w:p>
    <w:sectPr w:rsidR="000274D7" w:rsidRPr="00A30A64" w:rsidSect="00A30A64">
      <w:footerReference w:type="default" r:id="rId10"/>
      <w:footerReference w:type="first" r:id="rId11"/>
      <w:pgSz w:w="12240" w:h="15840"/>
      <w:pgMar w:top="1296"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6D8F3" w14:textId="77777777" w:rsidR="009F2045" w:rsidRDefault="009F2045">
      <w:r>
        <w:separator/>
      </w:r>
    </w:p>
  </w:endnote>
  <w:endnote w:type="continuationSeparator" w:id="0">
    <w:p w14:paraId="4C7E7B3D" w14:textId="77777777" w:rsidR="009F2045" w:rsidRDefault="009F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03C2" w14:textId="77777777" w:rsidR="001F24E0" w:rsidRDefault="001F24E0">
    <w:pPr>
      <w:pStyle w:val="Footer"/>
      <w:jc w:val="center"/>
    </w:pPr>
    <w:r>
      <w:fldChar w:fldCharType="begin"/>
    </w:r>
    <w:r>
      <w:instrText xml:space="preserve"> PAGE   \* MERGEFORMAT </w:instrText>
    </w:r>
    <w:r>
      <w:fldChar w:fldCharType="separate"/>
    </w:r>
    <w:r w:rsidR="00AB27FA">
      <w:rPr>
        <w:noProof/>
      </w:rPr>
      <w:t>6</w:t>
    </w:r>
    <w:r>
      <w:rPr>
        <w:noProof/>
      </w:rPr>
      <w:fldChar w:fldCharType="end"/>
    </w:r>
  </w:p>
  <w:p w14:paraId="76D32315" w14:textId="77777777" w:rsidR="001F24E0" w:rsidRDefault="001F2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35644" w14:textId="77777777" w:rsidR="001F24E0" w:rsidRDefault="001F24E0">
    <w:pPr>
      <w:pStyle w:val="Footer"/>
      <w:jc w:val="center"/>
    </w:pPr>
    <w:r>
      <w:fldChar w:fldCharType="begin"/>
    </w:r>
    <w:r>
      <w:instrText xml:space="preserve"> PAGE   \* MERGEFORMAT </w:instrText>
    </w:r>
    <w:r>
      <w:fldChar w:fldCharType="separate"/>
    </w:r>
    <w:r w:rsidR="00AB27FA">
      <w:rPr>
        <w:noProof/>
      </w:rPr>
      <w:t>1</w:t>
    </w:r>
    <w:r>
      <w:rPr>
        <w:noProof/>
      </w:rPr>
      <w:fldChar w:fldCharType="end"/>
    </w:r>
  </w:p>
  <w:p w14:paraId="011129E7" w14:textId="77777777" w:rsidR="001F24E0" w:rsidRDefault="001F2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7294B" w14:textId="77777777" w:rsidR="009F2045" w:rsidRDefault="009F2045">
      <w:r>
        <w:separator/>
      </w:r>
    </w:p>
  </w:footnote>
  <w:footnote w:type="continuationSeparator" w:id="0">
    <w:p w14:paraId="5A7C8690" w14:textId="77777777" w:rsidR="009F2045" w:rsidRDefault="009F2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9FF"/>
    <w:multiLevelType w:val="hybridMultilevel"/>
    <w:tmpl w:val="5E78B3AC"/>
    <w:lvl w:ilvl="0" w:tplc="A2AACFD8">
      <w:start w:val="1"/>
      <w:numFmt w:val="decimal"/>
      <w:lvlText w:val="%1."/>
      <w:lvlJc w:val="center"/>
      <w:pPr>
        <w:tabs>
          <w:tab w:val="num" w:pos="720"/>
        </w:tabs>
        <w:ind w:left="6120" w:hanging="612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9B731B"/>
    <w:multiLevelType w:val="hybridMultilevel"/>
    <w:tmpl w:val="3526614C"/>
    <w:lvl w:ilvl="0" w:tplc="37008DFA">
      <w:start w:val="1"/>
      <w:numFmt w:val="decimal"/>
      <w:lvlText w:val="%1."/>
      <w:lvlJc w:val="center"/>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4A59B5"/>
    <w:multiLevelType w:val="hybridMultilevel"/>
    <w:tmpl w:val="AA60A3BC"/>
    <w:lvl w:ilvl="0" w:tplc="B8C26A9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ED4240"/>
    <w:multiLevelType w:val="hybridMultilevel"/>
    <w:tmpl w:val="9C04D45E"/>
    <w:lvl w:ilvl="0" w:tplc="F62A5E06">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97732814">
    <w:abstractNumId w:val="1"/>
  </w:num>
  <w:num w:numId="2" w16cid:durableId="1495297321">
    <w:abstractNumId w:val="0"/>
  </w:num>
  <w:num w:numId="3" w16cid:durableId="1304580063">
    <w:abstractNumId w:val="2"/>
  </w:num>
  <w:num w:numId="4" w16cid:durableId="1899440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00C"/>
    <w:rsid w:val="000274D7"/>
    <w:rsid w:val="00027CBE"/>
    <w:rsid w:val="00031AA7"/>
    <w:rsid w:val="000337A6"/>
    <w:rsid w:val="0004554B"/>
    <w:rsid w:val="00051987"/>
    <w:rsid w:val="000571F3"/>
    <w:rsid w:val="00062C6E"/>
    <w:rsid w:val="000631E2"/>
    <w:rsid w:val="00076BAE"/>
    <w:rsid w:val="0008625D"/>
    <w:rsid w:val="00096087"/>
    <w:rsid w:val="000A0084"/>
    <w:rsid w:val="000B270E"/>
    <w:rsid w:val="000C4D52"/>
    <w:rsid w:val="000C5D02"/>
    <w:rsid w:val="000D18E7"/>
    <w:rsid w:val="000E1448"/>
    <w:rsid w:val="00105523"/>
    <w:rsid w:val="001250B3"/>
    <w:rsid w:val="00151705"/>
    <w:rsid w:val="00160B67"/>
    <w:rsid w:val="00177B1A"/>
    <w:rsid w:val="001A3D3B"/>
    <w:rsid w:val="001B4ABA"/>
    <w:rsid w:val="001B5C9A"/>
    <w:rsid w:val="001C03E2"/>
    <w:rsid w:val="001D1E5E"/>
    <w:rsid w:val="001D3DAE"/>
    <w:rsid w:val="001D5CD7"/>
    <w:rsid w:val="001F24E0"/>
    <w:rsid w:val="001F3834"/>
    <w:rsid w:val="00221FB5"/>
    <w:rsid w:val="00230B00"/>
    <w:rsid w:val="00233DA4"/>
    <w:rsid w:val="00234A67"/>
    <w:rsid w:val="002378D5"/>
    <w:rsid w:val="00264F4E"/>
    <w:rsid w:val="002771E3"/>
    <w:rsid w:val="002A11A4"/>
    <w:rsid w:val="002B6BB9"/>
    <w:rsid w:val="002D32A6"/>
    <w:rsid w:val="00310BC0"/>
    <w:rsid w:val="00316A31"/>
    <w:rsid w:val="00323794"/>
    <w:rsid w:val="003341B8"/>
    <w:rsid w:val="00334D01"/>
    <w:rsid w:val="003462C2"/>
    <w:rsid w:val="003A02B9"/>
    <w:rsid w:val="003A1C58"/>
    <w:rsid w:val="003A5903"/>
    <w:rsid w:val="003D2222"/>
    <w:rsid w:val="003E5E58"/>
    <w:rsid w:val="00406503"/>
    <w:rsid w:val="0042042B"/>
    <w:rsid w:val="00434F59"/>
    <w:rsid w:val="004351A6"/>
    <w:rsid w:val="0045234C"/>
    <w:rsid w:val="00454F47"/>
    <w:rsid w:val="00460C00"/>
    <w:rsid w:val="00477AE9"/>
    <w:rsid w:val="00494814"/>
    <w:rsid w:val="004B2F67"/>
    <w:rsid w:val="004C6A81"/>
    <w:rsid w:val="004E4F28"/>
    <w:rsid w:val="00533989"/>
    <w:rsid w:val="00540113"/>
    <w:rsid w:val="00560E4F"/>
    <w:rsid w:val="00571741"/>
    <w:rsid w:val="00580320"/>
    <w:rsid w:val="00594EB9"/>
    <w:rsid w:val="005A5F7F"/>
    <w:rsid w:val="005B1233"/>
    <w:rsid w:val="005E4B4C"/>
    <w:rsid w:val="005E6D4A"/>
    <w:rsid w:val="005F0405"/>
    <w:rsid w:val="005F59A5"/>
    <w:rsid w:val="0066407D"/>
    <w:rsid w:val="00682060"/>
    <w:rsid w:val="00691AC7"/>
    <w:rsid w:val="0069430B"/>
    <w:rsid w:val="006B1DA2"/>
    <w:rsid w:val="006D27E0"/>
    <w:rsid w:val="006F72A2"/>
    <w:rsid w:val="00720286"/>
    <w:rsid w:val="00725CB7"/>
    <w:rsid w:val="00727E6E"/>
    <w:rsid w:val="0075117F"/>
    <w:rsid w:val="00797A28"/>
    <w:rsid w:val="007A190D"/>
    <w:rsid w:val="007A667F"/>
    <w:rsid w:val="007B0BA2"/>
    <w:rsid w:val="007B1AC5"/>
    <w:rsid w:val="007D0D25"/>
    <w:rsid w:val="007D6E0B"/>
    <w:rsid w:val="007E7C5E"/>
    <w:rsid w:val="00846241"/>
    <w:rsid w:val="00885325"/>
    <w:rsid w:val="0089362C"/>
    <w:rsid w:val="00894683"/>
    <w:rsid w:val="0089591A"/>
    <w:rsid w:val="008C4322"/>
    <w:rsid w:val="008D1826"/>
    <w:rsid w:val="008D260D"/>
    <w:rsid w:val="008D36E4"/>
    <w:rsid w:val="008E306E"/>
    <w:rsid w:val="008E3C73"/>
    <w:rsid w:val="008E7A3F"/>
    <w:rsid w:val="008F2A87"/>
    <w:rsid w:val="008F3E1B"/>
    <w:rsid w:val="0090190D"/>
    <w:rsid w:val="0090197B"/>
    <w:rsid w:val="00915869"/>
    <w:rsid w:val="0092007E"/>
    <w:rsid w:val="00925B62"/>
    <w:rsid w:val="00934D60"/>
    <w:rsid w:val="00935C94"/>
    <w:rsid w:val="00942B75"/>
    <w:rsid w:val="009503AD"/>
    <w:rsid w:val="00951292"/>
    <w:rsid w:val="00956A2A"/>
    <w:rsid w:val="00975A57"/>
    <w:rsid w:val="009779E9"/>
    <w:rsid w:val="00980484"/>
    <w:rsid w:val="00985081"/>
    <w:rsid w:val="00996311"/>
    <w:rsid w:val="00996B9E"/>
    <w:rsid w:val="00997D0E"/>
    <w:rsid w:val="009B557B"/>
    <w:rsid w:val="009C540D"/>
    <w:rsid w:val="009C5DA3"/>
    <w:rsid w:val="009C7164"/>
    <w:rsid w:val="009E0F0D"/>
    <w:rsid w:val="009F0DB3"/>
    <w:rsid w:val="009F2045"/>
    <w:rsid w:val="00A12486"/>
    <w:rsid w:val="00A15FBA"/>
    <w:rsid w:val="00A219B6"/>
    <w:rsid w:val="00A30A64"/>
    <w:rsid w:val="00A53BF2"/>
    <w:rsid w:val="00A71B7C"/>
    <w:rsid w:val="00A71C3A"/>
    <w:rsid w:val="00A73E39"/>
    <w:rsid w:val="00A868A9"/>
    <w:rsid w:val="00AA1AC7"/>
    <w:rsid w:val="00AA7209"/>
    <w:rsid w:val="00AB00CD"/>
    <w:rsid w:val="00AB27FA"/>
    <w:rsid w:val="00AD68DA"/>
    <w:rsid w:val="00AF28C8"/>
    <w:rsid w:val="00AF3D09"/>
    <w:rsid w:val="00B03768"/>
    <w:rsid w:val="00B23D31"/>
    <w:rsid w:val="00B2641E"/>
    <w:rsid w:val="00B414A9"/>
    <w:rsid w:val="00B635AB"/>
    <w:rsid w:val="00B66701"/>
    <w:rsid w:val="00B67746"/>
    <w:rsid w:val="00B7105E"/>
    <w:rsid w:val="00B729FC"/>
    <w:rsid w:val="00B752EC"/>
    <w:rsid w:val="00B9304F"/>
    <w:rsid w:val="00B941ED"/>
    <w:rsid w:val="00BA1D8B"/>
    <w:rsid w:val="00BA307A"/>
    <w:rsid w:val="00BA7564"/>
    <w:rsid w:val="00BC172A"/>
    <w:rsid w:val="00BC26F6"/>
    <w:rsid w:val="00BC408C"/>
    <w:rsid w:val="00BC5176"/>
    <w:rsid w:val="00BF4C21"/>
    <w:rsid w:val="00C219C3"/>
    <w:rsid w:val="00C226E0"/>
    <w:rsid w:val="00C2500C"/>
    <w:rsid w:val="00C3616D"/>
    <w:rsid w:val="00C52860"/>
    <w:rsid w:val="00C55F1A"/>
    <w:rsid w:val="00C640C0"/>
    <w:rsid w:val="00C64777"/>
    <w:rsid w:val="00C66013"/>
    <w:rsid w:val="00C75384"/>
    <w:rsid w:val="00C9623B"/>
    <w:rsid w:val="00CA2B3B"/>
    <w:rsid w:val="00CE0E55"/>
    <w:rsid w:val="00CE376E"/>
    <w:rsid w:val="00CF7F9B"/>
    <w:rsid w:val="00D013A7"/>
    <w:rsid w:val="00D4154C"/>
    <w:rsid w:val="00D415F3"/>
    <w:rsid w:val="00D86EC2"/>
    <w:rsid w:val="00D96C4B"/>
    <w:rsid w:val="00D97C8A"/>
    <w:rsid w:val="00DA6321"/>
    <w:rsid w:val="00DA7659"/>
    <w:rsid w:val="00DB2615"/>
    <w:rsid w:val="00DB737C"/>
    <w:rsid w:val="00DC60B0"/>
    <w:rsid w:val="00DD713C"/>
    <w:rsid w:val="00DE01FA"/>
    <w:rsid w:val="00DF0180"/>
    <w:rsid w:val="00DF585C"/>
    <w:rsid w:val="00E0114D"/>
    <w:rsid w:val="00E10C8B"/>
    <w:rsid w:val="00E1377F"/>
    <w:rsid w:val="00E15797"/>
    <w:rsid w:val="00E42C1A"/>
    <w:rsid w:val="00E44407"/>
    <w:rsid w:val="00E46818"/>
    <w:rsid w:val="00E5604A"/>
    <w:rsid w:val="00E635CA"/>
    <w:rsid w:val="00E65FAA"/>
    <w:rsid w:val="00E66754"/>
    <w:rsid w:val="00E87D05"/>
    <w:rsid w:val="00EA0F42"/>
    <w:rsid w:val="00EB4094"/>
    <w:rsid w:val="00EC4E7C"/>
    <w:rsid w:val="00ED0948"/>
    <w:rsid w:val="00ED6D18"/>
    <w:rsid w:val="00EE3D0D"/>
    <w:rsid w:val="00EE64EC"/>
    <w:rsid w:val="00F174AA"/>
    <w:rsid w:val="00F254C7"/>
    <w:rsid w:val="00F37B06"/>
    <w:rsid w:val="00F41EFA"/>
    <w:rsid w:val="00F71489"/>
    <w:rsid w:val="00F90105"/>
    <w:rsid w:val="00F9085A"/>
    <w:rsid w:val="00F94B6C"/>
    <w:rsid w:val="00F95D80"/>
    <w:rsid w:val="00FE28E7"/>
    <w:rsid w:val="00FE3881"/>
    <w:rsid w:val="00FF145F"/>
    <w:rsid w:val="00FF5A6D"/>
    <w:rsid w:val="00FF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D419B68"/>
  <w15:chartTrackingRefBased/>
  <w15:docId w15:val="{02D2B039-E355-4C2D-B51B-F000A072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500C"/>
  </w:style>
  <w:style w:type="paragraph" w:styleId="Heading1">
    <w:name w:val="heading 1"/>
    <w:basedOn w:val="Normal"/>
    <w:next w:val="Normal"/>
    <w:qFormat/>
    <w:rsid w:val="00C2500C"/>
    <w:pPr>
      <w:keepNext/>
      <w:outlineLvl w:val="0"/>
    </w:pPr>
    <w:rPr>
      <w:sz w:val="24"/>
    </w:rPr>
  </w:style>
  <w:style w:type="paragraph" w:styleId="Heading3">
    <w:name w:val="heading 3"/>
    <w:basedOn w:val="Normal"/>
    <w:next w:val="Normal"/>
    <w:qFormat/>
    <w:rsid w:val="002A11A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2500C"/>
    <w:pPr>
      <w:tabs>
        <w:tab w:val="center" w:pos="4320"/>
        <w:tab w:val="right" w:pos="8640"/>
      </w:tabs>
    </w:pPr>
  </w:style>
  <w:style w:type="character" w:styleId="PageNumber">
    <w:name w:val="page number"/>
    <w:basedOn w:val="DefaultParagraphFont"/>
    <w:rsid w:val="00C2500C"/>
  </w:style>
  <w:style w:type="paragraph" w:styleId="Header">
    <w:name w:val="header"/>
    <w:basedOn w:val="Normal"/>
    <w:rsid w:val="00C2500C"/>
    <w:pPr>
      <w:tabs>
        <w:tab w:val="center" w:pos="4320"/>
        <w:tab w:val="right" w:pos="8640"/>
      </w:tabs>
    </w:pPr>
  </w:style>
  <w:style w:type="paragraph" w:customStyle="1" w:styleId="DocID">
    <w:name w:val="DocID"/>
    <w:basedOn w:val="Normal"/>
    <w:rsid w:val="00C2500C"/>
    <w:rPr>
      <w:sz w:val="16"/>
    </w:rPr>
  </w:style>
  <w:style w:type="paragraph" w:styleId="Signature">
    <w:name w:val="Signature"/>
    <w:basedOn w:val="Normal"/>
    <w:rsid w:val="00C2500C"/>
    <w:pPr>
      <w:ind w:left="4320"/>
    </w:pPr>
  </w:style>
  <w:style w:type="character" w:styleId="Hyperlink">
    <w:name w:val="Hyperlink"/>
    <w:uiPriority w:val="99"/>
    <w:rsid w:val="00C2500C"/>
    <w:rPr>
      <w:color w:val="0000FF"/>
      <w:u w:val="single"/>
    </w:rPr>
  </w:style>
  <w:style w:type="paragraph" w:styleId="FootnoteText">
    <w:name w:val="footnote text"/>
    <w:basedOn w:val="Normal"/>
    <w:semiHidden/>
    <w:rsid w:val="00C2500C"/>
  </w:style>
  <w:style w:type="character" w:styleId="FootnoteReference">
    <w:name w:val="footnote reference"/>
    <w:uiPriority w:val="99"/>
    <w:rsid w:val="00C2500C"/>
    <w:rPr>
      <w:vertAlign w:val="superscript"/>
    </w:rPr>
  </w:style>
  <w:style w:type="paragraph" w:styleId="BodyTextIndent3">
    <w:name w:val="Body Text Indent 3"/>
    <w:basedOn w:val="Normal"/>
    <w:link w:val="BodyTextIndent3Char"/>
    <w:rsid w:val="00F71489"/>
    <w:pPr>
      <w:widowControl w:val="0"/>
      <w:overflowPunct w:val="0"/>
      <w:autoSpaceDE w:val="0"/>
      <w:autoSpaceDN w:val="0"/>
      <w:adjustRightInd w:val="0"/>
      <w:ind w:left="720" w:hanging="720"/>
      <w:textAlignment w:val="baseline"/>
    </w:pPr>
    <w:rPr>
      <w:sz w:val="24"/>
    </w:rPr>
  </w:style>
  <w:style w:type="character" w:customStyle="1" w:styleId="BodyTextIndent3Char">
    <w:name w:val="Body Text Indent 3 Char"/>
    <w:link w:val="BodyTextIndent3"/>
    <w:rsid w:val="00F71489"/>
    <w:rPr>
      <w:sz w:val="24"/>
      <w:lang w:val="en-US" w:eastAsia="en-US" w:bidi="ar-SA"/>
    </w:rPr>
  </w:style>
  <w:style w:type="character" w:customStyle="1" w:styleId="FooterChar">
    <w:name w:val="Footer Char"/>
    <w:link w:val="Footer"/>
    <w:uiPriority w:val="99"/>
    <w:rsid w:val="001F24E0"/>
  </w:style>
  <w:style w:type="table" w:customStyle="1" w:styleId="GridTable1Light-Accent16">
    <w:name w:val="Grid Table 1 Light - Accent 16"/>
    <w:basedOn w:val="TableNormal"/>
    <w:next w:val="GridTable1Light-Accent1"/>
    <w:uiPriority w:val="46"/>
    <w:rsid w:val="001250B3"/>
    <w:rPr>
      <w:rFonts w:ascii="Calibri" w:eastAsia="Calibri" w:hAnsi="Calibr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250B3"/>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TestimonyA">
    <w:name w:val="Testimony A"/>
    <w:basedOn w:val="Normal"/>
    <w:link w:val="TestimonyAChar"/>
    <w:qFormat/>
    <w:rsid w:val="00AF3D09"/>
    <w:pPr>
      <w:spacing w:line="480" w:lineRule="auto"/>
      <w:ind w:left="720" w:hanging="720"/>
      <w:jc w:val="both"/>
    </w:pPr>
    <w:rPr>
      <w:rFonts w:ascii="Arial" w:eastAsia="Calibri" w:hAnsi="Arial"/>
      <w:sz w:val="22"/>
    </w:rPr>
  </w:style>
  <w:style w:type="character" w:customStyle="1" w:styleId="TestimonyAChar">
    <w:name w:val="Testimony A Char"/>
    <w:link w:val="TestimonyA"/>
    <w:locked/>
    <w:rsid w:val="00AF3D09"/>
    <w:rPr>
      <w:rFonts w:ascii="Arial" w:eastAsia="Calibri" w:hAnsi="Arial"/>
      <w:sz w:val="22"/>
    </w:rPr>
  </w:style>
  <w:style w:type="table" w:customStyle="1" w:styleId="LightGrid-Accent11">
    <w:name w:val="Light Grid - Accent 11"/>
    <w:basedOn w:val="TableNormal"/>
    <w:uiPriority w:val="62"/>
    <w:rsid w:val="00797A28"/>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line="240" w:lineRule="auto"/>
      </w:pPr>
      <w:rPr>
        <w:rFonts w:ascii="Segoe UI" w:eastAsia="Times New Roman" w:hAnsi="Segoe U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line="240" w:lineRule="auto"/>
      </w:pPr>
      <w:rPr>
        <w:rFonts w:ascii="Segoe UI" w:eastAsia="Times New Roman" w:hAnsi="Segoe U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egoe UI" w:eastAsia="Times New Roman" w:hAnsi="Segoe UI" w:cs="Times New Roman" w:hint="default"/>
        <w:b/>
        <w:bCs/>
      </w:rPr>
    </w:tblStylePr>
    <w:tblStylePr w:type="lastCol">
      <w:rPr>
        <w:rFonts w:ascii="Segoe UI" w:eastAsia="Times New Roman" w:hAnsi="Segoe U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EndnoteText">
    <w:name w:val="endnote text"/>
    <w:basedOn w:val="Normal"/>
    <w:link w:val="EndnoteTextChar"/>
    <w:uiPriority w:val="99"/>
    <w:rsid w:val="0089362C"/>
    <w:rPr>
      <w:rFonts w:ascii="Arial" w:hAnsi="Arial"/>
    </w:rPr>
  </w:style>
  <w:style w:type="character" w:customStyle="1" w:styleId="EndnoteTextChar">
    <w:name w:val="Endnote Text Char"/>
    <w:link w:val="EndnoteText"/>
    <w:uiPriority w:val="99"/>
    <w:rsid w:val="0089362C"/>
    <w:rPr>
      <w:rFonts w:ascii="Arial" w:hAnsi="Arial"/>
    </w:rPr>
  </w:style>
  <w:style w:type="character" w:customStyle="1" w:styleId="IndentedParagraphChar">
    <w:name w:val="Indented Paragraph Char"/>
    <w:link w:val="IndentedParagraph"/>
    <w:locked/>
    <w:rsid w:val="0089362C"/>
    <w:rPr>
      <w:rFonts w:ascii="Arial" w:eastAsia="Calibri" w:hAnsi="Arial" w:cs="Arial"/>
      <w:color w:val="000000"/>
      <w:sz w:val="22"/>
    </w:rPr>
  </w:style>
  <w:style w:type="paragraph" w:customStyle="1" w:styleId="IndentedParagraph">
    <w:name w:val="Indented Paragraph"/>
    <w:basedOn w:val="Normal"/>
    <w:link w:val="IndentedParagraphChar"/>
    <w:qFormat/>
    <w:rsid w:val="0089362C"/>
    <w:pPr>
      <w:spacing w:after="360" w:line="264" w:lineRule="auto"/>
      <w:ind w:left="1080" w:right="360"/>
      <w:jc w:val="both"/>
    </w:pPr>
    <w:rPr>
      <w:rFonts w:ascii="Arial" w:eastAsia="Calibri" w:hAnsi="Arial" w:cs="Arial"/>
      <w:color w:val="000000"/>
      <w:sz w:val="22"/>
    </w:rPr>
  </w:style>
  <w:style w:type="paragraph" w:styleId="Revision">
    <w:name w:val="Revision"/>
    <w:hidden/>
    <w:uiPriority w:val="99"/>
    <w:semiHidden/>
    <w:rsid w:val="00031AA7"/>
  </w:style>
  <w:style w:type="paragraph" w:styleId="BodyText">
    <w:name w:val="Body Text"/>
    <w:basedOn w:val="Normal"/>
    <w:link w:val="BodyTextChar"/>
    <w:rsid w:val="006F72A2"/>
    <w:pPr>
      <w:spacing w:after="120"/>
    </w:pPr>
  </w:style>
  <w:style w:type="character" w:customStyle="1" w:styleId="BodyTextChar">
    <w:name w:val="Body Text Char"/>
    <w:basedOn w:val="DefaultParagraphFont"/>
    <w:link w:val="BodyText"/>
    <w:rsid w:val="006F72A2"/>
  </w:style>
  <w:style w:type="paragraph" w:styleId="ListParagraph">
    <w:name w:val="List Paragraph"/>
    <w:basedOn w:val="Normal"/>
    <w:uiPriority w:val="34"/>
    <w:qFormat/>
    <w:rsid w:val="00DA63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4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jones@gamfg.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5</Pages>
  <Words>1063</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GTMA</Company>
  <LinksUpToDate>false</LinksUpToDate>
  <CharactersWithSpaces>7136</CharactersWithSpaces>
  <SharedDoc>false</SharedDoc>
  <HLinks>
    <vt:vector size="66" baseType="variant">
      <vt:variant>
        <vt:i4>5242981</vt:i4>
      </vt:variant>
      <vt:variant>
        <vt:i4>30</vt:i4>
      </vt:variant>
      <vt:variant>
        <vt:i4>0</vt:i4>
      </vt:variant>
      <vt:variant>
        <vt:i4>5</vt:i4>
      </vt:variant>
      <vt:variant>
        <vt:lpwstr>mailto:lcoyle@georgiawatch.org</vt:lpwstr>
      </vt:variant>
      <vt:variant>
        <vt:lpwstr/>
      </vt:variant>
      <vt:variant>
        <vt:i4>1179695</vt:i4>
      </vt:variant>
      <vt:variant>
        <vt:i4>27</vt:i4>
      </vt:variant>
      <vt:variant>
        <vt:i4>0</vt:i4>
      </vt:variant>
      <vt:variant>
        <vt:i4>5</vt:i4>
      </vt:variant>
      <vt:variant>
        <vt:lpwstr>mailto:bryan@cleanenergy.org</vt:lpwstr>
      </vt:variant>
      <vt:variant>
        <vt:lpwstr/>
      </vt:variant>
      <vt:variant>
        <vt:i4>7929873</vt:i4>
      </vt:variant>
      <vt:variant>
        <vt:i4>24</vt:i4>
      </vt:variant>
      <vt:variant>
        <vt:i4>0</vt:i4>
      </vt:variant>
      <vt:variant>
        <vt:i4>5</vt:i4>
      </vt:variant>
      <vt:variant>
        <vt:lpwstr>mailto:isabella.ariza@sierraclub.org</vt:lpwstr>
      </vt:variant>
      <vt:variant>
        <vt:lpwstr/>
      </vt:variant>
      <vt:variant>
        <vt:i4>327800</vt:i4>
      </vt:variant>
      <vt:variant>
        <vt:i4>21</vt:i4>
      </vt:variant>
      <vt:variant>
        <vt:i4>0</vt:i4>
      </vt:variant>
      <vt:variant>
        <vt:i4>5</vt:i4>
      </vt:variant>
      <vt:variant>
        <vt:lpwstr>mailto:rbj4law@gmail.com</vt:lpwstr>
      </vt:variant>
      <vt:variant>
        <vt:lpwstr/>
      </vt:variant>
      <vt:variant>
        <vt:i4>3997712</vt:i4>
      </vt:variant>
      <vt:variant>
        <vt:i4>18</vt:i4>
      </vt:variant>
      <vt:variant>
        <vt:i4>0</vt:i4>
      </vt:variant>
      <vt:variant>
        <vt:i4>5</vt:i4>
      </vt:variant>
      <vt:variant>
        <vt:lpwstr>mailto:pslag@selcga.org</vt:lpwstr>
      </vt:variant>
      <vt:variant>
        <vt:lpwstr/>
      </vt:variant>
      <vt:variant>
        <vt:i4>2424835</vt:i4>
      </vt:variant>
      <vt:variant>
        <vt:i4>15</vt:i4>
      </vt:variant>
      <vt:variant>
        <vt:i4>0</vt:i4>
      </vt:variant>
      <vt:variant>
        <vt:i4>5</vt:i4>
      </vt:variant>
      <vt:variant>
        <vt:lpwstr>mailto:bsherrier@selcga.org</vt:lpwstr>
      </vt:variant>
      <vt:variant>
        <vt:lpwstr/>
      </vt:variant>
      <vt:variant>
        <vt:i4>4063255</vt:i4>
      </vt:variant>
      <vt:variant>
        <vt:i4>12</vt:i4>
      </vt:variant>
      <vt:variant>
        <vt:i4>0</vt:i4>
      </vt:variant>
      <vt:variant>
        <vt:i4>5</vt:i4>
      </vt:variant>
      <vt:variant>
        <vt:lpwstr>mailto:jwhitfield@selcga.org</vt:lpwstr>
      </vt:variant>
      <vt:variant>
        <vt:lpwstr/>
      </vt:variant>
      <vt:variant>
        <vt:i4>7733342</vt:i4>
      </vt:variant>
      <vt:variant>
        <vt:i4>9</vt:i4>
      </vt:variant>
      <vt:variant>
        <vt:i4>0</vt:i4>
      </vt:variant>
      <vt:variant>
        <vt:i4>5</vt:i4>
      </vt:variant>
      <vt:variant>
        <vt:lpwstr>mailto:jcp@jpollockinc.com</vt:lpwstr>
      </vt:variant>
      <vt:variant>
        <vt:lpwstr/>
      </vt:variant>
      <vt:variant>
        <vt:i4>6356997</vt:i4>
      </vt:variant>
      <vt:variant>
        <vt:i4>6</vt:i4>
      </vt:variant>
      <vt:variant>
        <vt:i4>0</vt:i4>
      </vt:variant>
      <vt:variant>
        <vt:i4>5</vt:i4>
      </vt:variant>
      <vt:variant>
        <vt:lpwstr>mailto:steven.hewitson@troutman.com</vt:lpwstr>
      </vt:variant>
      <vt:variant>
        <vt:lpwstr/>
      </vt:variant>
      <vt:variant>
        <vt:i4>5505067</vt:i4>
      </vt:variant>
      <vt:variant>
        <vt:i4>3</vt:i4>
      </vt:variant>
      <vt:variant>
        <vt:i4>0</vt:i4>
      </vt:variant>
      <vt:variant>
        <vt:i4>5</vt:i4>
      </vt:variant>
      <vt:variant>
        <vt:lpwstr>mailto:brandon.marzo@troutman.com</vt:lpwstr>
      </vt:variant>
      <vt:variant>
        <vt:lpwstr/>
      </vt:variant>
      <vt:variant>
        <vt:i4>1048639</vt:i4>
      </vt:variant>
      <vt:variant>
        <vt:i4>0</vt:i4>
      </vt:variant>
      <vt:variant>
        <vt:i4>0</vt:i4>
      </vt:variant>
      <vt:variant>
        <vt:i4>5</vt:i4>
      </vt:variant>
      <vt:variant>
        <vt:lpwstr>mailto:cjones@gamfg.org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Clay B. Jones</dc:creator>
  <cp:keywords/>
  <cp:lastModifiedBy>Clay Jones</cp:lastModifiedBy>
  <cp:revision>5</cp:revision>
  <cp:lastPrinted>2023-05-08T18:42:00Z</cp:lastPrinted>
  <dcterms:created xsi:type="dcterms:W3CDTF">2025-07-01T20:50:00Z</dcterms:created>
  <dcterms:modified xsi:type="dcterms:W3CDTF">2025-07-03T15:40:00Z</dcterms:modified>
</cp:coreProperties>
</file>