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6D36B" w14:textId="77777777" w:rsidR="00F90F59" w:rsidRPr="00F90F59" w:rsidRDefault="00F90F59" w:rsidP="00F90F59">
      <w:pPr>
        <w:tabs>
          <w:tab w:val="center" w:pos="4680"/>
        </w:tabs>
        <w:suppressAutoHyphens/>
        <w:jc w:val="center"/>
        <w:rPr>
          <w:b/>
          <w:caps/>
          <w:spacing w:val="-3"/>
          <w:u w:val="single"/>
        </w:rPr>
      </w:pPr>
      <w:r w:rsidRPr="00F90F59">
        <w:rPr>
          <w:b/>
          <w:caps/>
          <w:spacing w:val="-3"/>
          <w:u w:val="single"/>
        </w:rPr>
        <w:t>STATE OF GEORGIA</w:t>
      </w:r>
    </w:p>
    <w:p w14:paraId="5089909A" w14:textId="77777777" w:rsidR="00F90F59" w:rsidRPr="00F90F59" w:rsidRDefault="00F90F59" w:rsidP="00F90F59">
      <w:pPr>
        <w:tabs>
          <w:tab w:val="center" w:pos="4680"/>
        </w:tabs>
        <w:suppressAutoHyphens/>
        <w:jc w:val="center"/>
        <w:rPr>
          <w:b/>
          <w:caps/>
          <w:spacing w:val="-3"/>
          <w:u w:val="single"/>
        </w:rPr>
      </w:pPr>
      <w:r w:rsidRPr="00F90F59">
        <w:rPr>
          <w:b/>
          <w:caps/>
          <w:spacing w:val="-3"/>
          <w:u w:val="single"/>
        </w:rPr>
        <w:t>BEFORE THE GEORGIA PUBLIC SERVICE COMMISSION</w:t>
      </w:r>
    </w:p>
    <w:p w14:paraId="0137C11C" w14:textId="529B7F75" w:rsidR="00E227E9" w:rsidRPr="00B37E4B" w:rsidRDefault="00E227E9" w:rsidP="00F90F59">
      <w:pPr>
        <w:tabs>
          <w:tab w:val="center" w:pos="4680"/>
        </w:tabs>
        <w:suppressAutoHyphens/>
        <w:rPr>
          <w:b/>
          <w:caps/>
          <w:spacing w:val="-3"/>
          <w:u w:val="single"/>
        </w:rPr>
      </w:pPr>
    </w:p>
    <w:p w14:paraId="0E87B79F" w14:textId="0D94DACB" w:rsidR="000B65E8" w:rsidRPr="00F90F59" w:rsidRDefault="000B65E8" w:rsidP="000B65E8">
      <w:pPr>
        <w:widowControl w:val="0"/>
        <w:tabs>
          <w:tab w:val="left" w:pos="-720"/>
        </w:tabs>
        <w:suppressAutoHyphens/>
        <w:autoSpaceDE w:val="0"/>
        <w:autoSpaceDN w:val="0"/>
        <w:adjustRightInd w:val="0"/>
        <w:spacing w:line="240" w:lineRule="atLeast"/>
        <w:rPr>
          <w:u w:val="single"/>
        </w:rPr>
      </w:pPr>
      <w:r w:rsidRPr="000B65E8">
        <w:t xml:space="preserve">                              </w:t>
      </w:r>
      <w:r w:rsidR="000F19A8">
        <w:tab/>
      </w:r>
      <w:r w:rsidR="000F19A8">
        <w:tab/>
      </w:r>
    </w:p>
    <w:p w14:paraId="079C0085" w14:textId="3EDBB32B" w:rsidR="000B65E8" w:rsidRPr="002B5505" w:rsidRDefault="000B65E8" w:rsidP="000B65E8">
      <w:pPr>
        <w:widowControl w:val="0"/>
        <w:tabs>
          <w:tab w:val="left" w:pos="-720"/>
        </w:tabs>
        <w:suppressAutoHyphens/>
        <w:autoSpaceDE w:val="0"/>
        <w:autoSpaceDN w:val="0"/>
        <w:adjustRightInd w:val="0"/>
        <w:spacing w:line="240" w:lineRule="atLeast"/>
        <w:rPr>
          <w:b/>
        </w:rPr>
      </w:pPr>
      <w:r w:rsidRPr="002B5505">
        <w:rPr>
          <w:b/>
        </w:rPr>
        <w:t xml:space="preserve">      </w:t>
      </w:r>
      <w:r w:rsidR="00F90F59">
        <w:rPr>
          <w:b/>
        </w:rPr>
        <w:t xml:space="preserve">                              </w:t>
      </w:r>
    </w:p>
    <w:p w14:paraId="060FA1B7" w14:textId="5641A1C4" w:rsidR="00B16AFF" w:rsidRPr="00F150B8" w:rsidRDefault="00B16AFF" w:rsidP="00B16AFF">
      <w:pPr>
        <w:pBdr>
          <w:bottom w:val="single" w:sz="12" w:space="0" w:color="auto"/>
        </w:pBdr>
        <w:ind w:left="720" w:hanging="720"/>
        <w:rPr>
          <w:rFonts w:eastAsia="Times New Roman"/>
          <w:b/>
          <w:color w:val="FF0000"/>
        </w:rPr>
      </w:pPr>
      <w:r>
        <w:rPr>
          <w:rFonts w:eastAsia="Times New Roman"/>
          <w:b/>
        </w:rPr>
        <w:t>Docket No</w:t>
      </w:r>
      <w:r w:rsidR="00865207">
        <w:rPr>
          <w:rFonts w:eastAsia="Times New Roman"/>
          <w:b/>
        </w:rPr>
        <w:t>.</w:t>
      </w:r>
      <w:r w:rsidRPr="00BD2E95">
        <w:rPr>
          <w:rFonts w:eastAsia="Times New Roman"/>
          <w:b/>
        </w:rPr>
        <w:t xml:space="preserve"> </w:t>
      </w:r>
      <w:r w:rsidR="00DE2F65">
        <w:rPr>
          <w:rFonts w:eastAsia="Times New Roman"/>
          <w:b/>
        </w:rPr>
        <w:t>56002</w:t>
      </w:r>
      <w:r>
        <w:rPr>
          <w:rFonts w:eastAsia="Times New Roman"/>
          <w:b/>
        </w:rPr>
        <w:tab/>
      </w:r>
      <w:r w:rsidRPr="00BD2E95">
        <w:rPr>
          <w:rFonts w:eastAsia="Times New Roman"/>
          <w:b/>
        </w:rPr>
        <w:t>Georgia Power Company’s 202</w:t>
      </w:r>
      <w:r w:rsidR="00DE2F65">
        <w:rPr>
          <w:rFonts w:eastAsia="Times New Roman"/>
          <w:b/>
        </w:rPr>
        <w:t>5</w:t>
      </w:r>
      <w:r w:rsidRPr="00BD2E95">
        <w:rPr>
          <w:rFonts w:eastAsia="Times New Roman"/>
          <w:b/>
        </w:rPr>
        <w:t xml:space="preserve"> Integrated Resource Plan</w:t>
      </w:r>
    </w:p>
    <w:p w14:paraId="20BBB024" w14:textId="77777777" w:rsidR="00B16AFF" w:rsidRPr="00F150B8" w:rsidRDefault="00B16AFF" w:rsidP="00B16AFF">
      <w:pPr>
        <w:pBdr>
          <w:bottom w:val="single" w:sz="12" w:space="0" w:color="auto"/>
        </w:pBdr>
        <w:ind w:left="720" w:hanging="720"/>
        <w:jc w:val="center"/>
        <w:rPr>
          <w:rFonts w:eastAsia="Times New Roman"/>
          <w:b/>
          <w:color w:val="FF0000"/>
        </w:rPr>
      </w:pPr>
    </w:p>
    <w:p w14:paraId="32B5E84B" w14:textId="341E5E07" w:rsidR="00B16AFF" w:rsidRDefault="00B16AFF" w:rsidP="00B16AFF">
      <w:pPr>
        <w:pBdr>
          <w:bottom w:val="single" w:sz="12" w:space="0" w:color="auto"/>
        </w:pBdr>
        <w:ind w:left="2160" w:hanging="2160"/>
        <w:rPr>
          <w:b/>
        </w:rPr>
      </w:pPr>
      <w:r w:rsidRPr="00951164">
        <w:rPr>
          <w:rFonts w:eastAsia="Times New Roman"/>
          <w:b/>
        </w:rPr>
        <w:t xml:space="preserve">Docket No. </w:t>
      </w:r>
      <w:r w:rsidR="00DE2F65">
        <w:rPr>
          <w:rFonts w:eastAsia="Times New Roman"/>
          <w:b/>
        </w:rPr>
        <w:t>56003</w:t>
      </w:r>
      <w:r>
        <w:rPr>
          <w:rFonts w:eastAsia="Times New Roman"/>
          <w:b/>
        </w:rPr>
        <w:tab/>
      </w:r>
      <w:r w:rsidRPr="00BD2E95">
        <w:rPr>
          <w:rFonts w:eastAsia="Times New Roman"/>
          <w:b/>
        </w:rPr>
        <w:t xml:space="preserve">Georgia Power Company’s </w:t>
      </w:r>
      <w:r w:rsidRPr="00814E22">
        <w:rPr>
          <w:rFonts w:eastAsia="Times New Roman"/>
          <w:b/>
        </w:rPr>
        <w:t>202</w:t>
      </w:r>
      <w:r w:rsidR="00DE2F65">
        <w:rPr>
          <w:rFonts w:eastAsia="Times New Roman"/>
          <w:b/>
        </w:rPr>
        <w:t>5</w:t>
      </w:r>
      <w:r w:rsidRPr="00814E22">
        <w:rPr>
          <w:rFonts w:eastAsia="Times New Roman"/>
          <w:b/>
        </w:rPr>
        <w:t xml:space="preserve"> Application for the Certification,</w:t>
      </w:r>
      <w:r w:rsidRPr="00814E22">
        <w:rPr>
          <w:b/>
        </w:rPr>
        <w:t xml:space="preserve"> Decertification, and Amended Demand-Side Management Plan</w:t>
      </w:r>
    </w:p>
    <w:p w14:paraId="7A50FCFB" w14:textId="77777777" w:rsidR="00B16AFF" w:rsidRPr="00B16AFF" w:rsidRDefault="00B16AFF" w:rsidP="00B16AFF">
      <w:pPr>
        <w:pBdr>
          <w:bottom w:val="single" w:sz="12" w:space="0" w:color="auto"/>
        </w:pBdr>
        <w:ind w:left="2160" w:hanging="2160"/>
        <w:rPr>
          <w:rFonts w:eastAsia="Times New Roman"/>
          <w:b/>
        </w:rPr>
      </w:pPr>
    </w:p>
    <w:p w14:paraId="21455417" w14:textId="77777777" w:rsidR="00E227E9" w:rsidRDefault="00E227E9" w:rsidP="000B65E8">
      <w:pPr>
        <w:widowControl w:val="0"/>
        <w:tabs>
          <w:tab w:val="left" w:pos="-720"/>
        </w:tabs>
        <w:suppressAutoHyphens/>
        <w:autoSpaceDE w:val="0"/>
        <w:autoSpaceDN w:val="0"/>
        <w:adjustRightInd w:val="0"/>
        <w:spacing w:line="240" w:lineRule="atLeast"/>
      </w:pPr>
    </w:p>
    <w:p w14:paraId="7BB7B07F" w14:textId="77777777" w:rsidR="00540B59" w:rsidRDefault="00540B59" w:rsidP="000B65E8">
      <w:pPr>
        <w:widowControl w:val="0"/>
        <w:tabs>
          <w:tab w:val="left" w:pos="-720"/>
        </w:tabs>
        <w:suppressAutoHyphens/>
        <w:autoSpaceDE w:val="0"/>
        <w:autoSpaceDN w:val="0"/>
        <w:adjustRightInd w:val="0"/>
        <w:spacing w:line="240" w:lineRule="atLeast"/>
      </w:pPr>
    </w:p>
    <w:p w14:paraId="36DEC9C0" w14:textId="77777777" w:rsidR="00DE2F65" w:rsidRDefault="009B7AEC" w:rsidP="00540B59">
      <w:pPr>
        <w:tabs>
          <w:tab w:val="center" w:pos="4680"/>
        </w:tabs>
        <w:suppressAutoHyphens/>
        <w:jc w:val="center"/>
        <w:rPr>
          <w:b/>
          <w:spacing w:val="-3"/>
          <w:u w:val="single"/>
        </w:rPr>
      </w:pPr>
      <w:r>
        <w:rPr>
          <w:b/>
          <w:spacing w:val="-3"/>
          <w:u w:val="single"/>
        </w:rPr>
        <w:t xml:space="preserve">PUBLIC INTEREST ADVOCACY STAFF’S </w:t>
      </w:r>
    </w:p>
    <w:p w14:paraId="50FAF68A" w14:textId="0A40D850" w:rsidR="00540B59" w:rsidRPr="00B37E4B" w:rsidRDefault="00F84151" w:rsidP="00DE2F65">
      <w:pPr>
        <w:tabs>
          <w:tab w:val="center" w:pos="4680"/>
        </w:tabs>
        <w:suppressAutoHyphens/>
        <w:jc w:val="center"/>
        <w:rPr>
          <w:b/>
          <w:spacing w:val="-3"/>
          <w:u w:val="single"/>
        </w:rPr>
      </w:pPr>
      <w:r>
        <w:rPr>
          <w:b/>
          <w:spacing w:val="-3"/>
          <w:u w:val="single"/>
        </w:rPr>
        <w:t>BRIEF IN SUPPORT OF ITS PROPOSED FINAL ORDER</w:t>
      </w:r>
      <w:r w:rsidR="00540B59" w:rsidRPr="00B37E4B">
        <w:rPr>
          <w:b/>
          <w:spacing w:val="-3"/>
          <w:u w:val="single"/>
        </w:rPr>
        <w:t xml:space="preserve"> </w:t>
      </w:r>
    </w:p>
    <w:p w14:paraId="46D0F675" w14:textId="77777777" w:rsidR="00540B59" w:rsidRDefault="00540B59" w:rsidP="000B65E8">
      <w:pPr>
        <w:widowControl w:val="0"/>
        <w:tabs>
          <w:tab w:val="left" w:pos="-720"/>
        </w:tabs>
        <w:suppressAutoHyphens/>
        <w:autoSpaceDE w:val="0"/>
        <w:autoSpaceDN w:val="0"/>
        <w:adjustRightInd w:val="0"/>
        <w:spacing w:line="240" w:lineRule="atLeast"/>
      </w:pPr>
    </w:p>
    <w:p w14:paraId="6251B09F" w14:textId="77777777" w:rsidR="009205D2" w:rsidRDefault="009205D2" w:rsidP="004E4510">
      <w:pPr>
        <w:spacing w:line="276" w:lineRule="auto"/>
      </w:pPr>
    </w:p>
    <w:p w14:paraId="6FE54F0A" w14:textId="4B143847" w:rsidR="00C52AB3" w:rsidRDefault="000737EE" w:rsidP="00BF683B">
      <w:pPr>
        <w:spacing w:line="480" w:lineRule="auto"/>
        <w:jc w:val="both"/>
      </w:pPr>
      <w:r>
        <w:tab/>
      </w:r>
      <w:r w:rsidR="005318F9">
        <w:t>COMES NOW</w:t>
      </w:r>
      <w:r w:rsidR="003D3071">
        <w:t>, the Georgia Public Service Commission</w:t>
      </w:r>
      <w:r w:rsidR="00EB79F5">
        <w:t xml:space="preserve"> Public Interest Advocacy Staff (hereinafter “Staff”)</w:t>
      </w:r>
      <w:r w:rsidR="003D3071">
        <w:t>,</w:t>
      </w:r>
      <w:r w:rsidR="00C105A4">
        <w:t xml:space="preserve"> </w:t>
      </w:r>
      <w:r w:rsidR="003D3071">
        <w:t>and submits its Brief and Proposed Final Order in the above-captioned</w:t>
      </w:r>
      <w:r w:rsidR="00FA5CB7">
        <w:t xml:space="preserve"> matters, Docket No. 56002, Georgia Power Company’s</w:t>
      </w:r>
      <w:r w:rsidR="00C52AB3">
        <w:t xml:space="preserve"> </w:t>
      </w:r>
      <w:r w:rsidR="00FA5CB7">
        <w:t>2025 Integrated Resource Plan</w:t>
      </w:r>
      <w:r w:rsidR="005318F9">
        <w:t xml:space="preserve">, and Docket No. 56003, Georgia Power Company’s 2025 </w:t>
      </w:r>
      <w:r w:rsidR="00267C68">
        <w:t>Application for the Certification, Decertification, and Amended</w:t>
      </w:r>
      <w:r w:rsidR="007C261E">
        <w:t xml:space="preserve"> </w:t>
      </w:r>
      <w:r w:rsidR="00C52AB3">
        <w:t>Demand-Side Management Plan.</w:t>
      </w:r>
      <w:r w:rsidR="00A8337D">
        <w:t xml:space="preserve"> </w:t>
      </w:r>
      <w:r w:rsidR="00EB79F5">
        <w:t>The</w:t>
      </w:r>
      <w:r w:rsidR="00257112">
        <w:t xml:space="preserve"> Staff recommends the Commission enter </w:t>
      </w:r>
      <w:r w:rsidR="000A0B68">
        <w:t>Staff’s</w:t>
      </w:r>
      <w:r w:rsidR="00257112">
        <w:t xml:space="preserve"> Proposed Final Order, attached hereto as Exhibit A</w:t>
      </w:r>
      <w:r w:rsidR="00943C1B">
        <w:t xml:space="preserve">, for the reasons set forth therein. </w:t>
      </w:r>
    </w:p>
    <w:p w14:paraId="242C9864" w14:textId="6BBE4F6C" w:rsidR="00A8337D" w:rsidRDefault="00A8337D" w:rsidP="00BF683B">
      <w:pPr>
        <w:spacing w:line="480" w:lineRule="auto"/>
        <w:jc w:val="both"/>
      </w:pPr>
      <w:r>
        <w:tab/>
      </w:r>
      <w:r w:rsidR="002D041D">
        <w:t>Under</w:t>
      </w:r>
      <w:r w:rsidR="00714D2C">
        <w:t xml:space="preserve"> </w:t>
      </w:r>
      <w:r w:rsidR="009E0FBC">
        <w:t xml:space="preserve">Georgia’s Integrated Resource Planning (“IRP”) </w:t>
      </w:r>
      <w:r w:rsidR="00DD5A60">
        <w:t xml:space="preserve">Act, O.C.G.A. § 46-3A-1 </w:t>
      </w:r>
      <w:r w:rsidR="00DD5A60">
        <w:rPr>
          <w:i/>
          <w:iCs/>
        </w:rPr>
        <w:t>et seq.</w:t>
      </w:r>
      <w:r w:rsidR="00DD5A60">
        <w:t>,</w:t>
      </w:r>
      <w:r w:rsidR="00091793">
        <w:t xml:space="preserve"> Georgia Power Company (hereinafter “Georgia Power” or “the Company”) was required to </w:t>
      </w:r>
      <w:r w:rsidR="00B9059C">
        <w:t>submit, as part of the integrated resource pla</w:t>
      </w:r>
      <w:r w:rsidR="007F7F26">
        <w:t>n</w:t>
      </w:r>
      <w:r w:rsidR="00B9059C">
        <w:t xml:space="preserve">, “the electric utility’s electric demand and </w:t>
      </w:r>
      <w:r w:rsidR="007F7F26">
        <w:t>energy forecast for at least at 20 yea</w:t>
      </w:r>
      <w:r w:rsidR="008B7891">
        <w:t>r period.</w:t>
      </w:r>
      <w:r w:rsidR="000219EE">
        <w:t>”</w:t>
      </w:r>
      <w:r w:rsidR="008B7891">
        <w:t xml:space="preserve"> O.C.G.A. 46-3A-1</w:t>
      </w:r>
      <w:r w:rsidR="002551FC">
        <w:t>(7). After hearing the matter, the Commission</w:t>
      </w:r>
      <w:r w:rsidR="00E40D8A">
        <w:t xml:space="preserve"> must then determine whether “The utility’s forecast requirements are based on substantially</w:t>
      </w:r>
      <w:r w:rsidR="000A0B68">
        <w:t xml:space="preserve"> accurate data and an adequate method of forecasting.”</w:t>
      </w:r>
      <w:r w:rsidR="00E60A29">
        <w:t xml:space="preserve"> O.C.G.A. § 46-3A-2.</w:t>
      </w:r>
    </w:p>
    <w:p w14:paraId="6F42F157" w14:textId="50ECA6F9" w:rsidR="00502D35" w:rsidRPr="00502D35" w:rsidRDefault="00502D35" w:rsidP="00BF683B">
      <w:pPr>
        <w:spacing w:line="480" w:lineRule="auto"/>
        <w:jc w:val="both"/>
      </w:pPr>
      <w:r>
        <w:tab/>
        <w:t>As set forth in the Record</w:t>
      </w:r>
      <w:r w:rsidRPr="00502D35">
        <w:t xml:space="preserve">, </w:t>
      </w:r>
      <w:r>
        <w:t>both</w:t>
      </w:r>
      <w:r w:rsidR="00AE0408">
        <w:t xml:space="preserve"> Georgia Power and Staff’s </w:t>
      </w:r>
      <w:r w:rsidRPr="00502D35">
        <w:t xml:space="preserve">load forecasts in this proceeding are largely driven by the anticipated growth from one customer class for which there is a lack of </w:t>
      </w:r>
      <w:r w:rsidRPr="00502D35">
        <w:lastRenderedPageBreak/>
        <w:t>historic information to inform many of the assumptions used in the forecast. This makes all of the load forecasts in this Docket speculative, which in turn makes it difficult to simultaneously ensure that Georgia has enough capacity to serve all potential customers while also ensuring that existing customers are not placed at risk of bearing substantial costs of unused or under-utilized assets being built to service large customers.   While Staff recommends the Commission adopt its load forecast recommendation, which would allow substantial new growth while still mitigating the risk to existing customers, if Commissioners desire to approve more new capacity than Staff has recommended, but also want</w:t>
      </w:r>
      <w:r w:rsidR="00BB5C81">
        <w:t>s</w:t>
      </w:r>
      <w:r w:rsidRPr="00502D35">
        <w:t xml:space="preserve"> to include robust customer protection, </w:t>
      </w:r>
      <w:r w:rsidR="00BB5C81">
        <w:t>Staff recommend</w:t>
      </w:r>
      <w:r w:rsidR="00A75F85">
        <w:t>s the Commission also</w:t>
      </w:r>
      <w:r w:rsidRPr="00502D35">
        <w:t xml:space="preserve"> consider ordering the following:</w:t>
      </w:r>
    </w:p>
    <w:p w14:paraId="763190E3" w14:textId="77777777" w:rsidR="00502D35" w:rsidRPr="00502D35" w:rsidRDefault="00502D35" w:rsidP="00AE0408">
      <w:pPr>
        <w:ind w:left="720" w:right="720"/>
        <w:jc w:val="both"/>
      </w:pPr>
      <w:r w:rsidRPr="00502D35">
        <w:t>The Company shall be authorized to request certification of up to 6,000 MW of capacity (PIA Staff’s recommended amount) from the 2029 - 2031 All Source Capacity RFP and may seek to add the construction costs related to such capacity to its rate base upon project completion. The Company may also request certification in the 2029-2031 All Source Capacity RFP of up to an additional 2,000 MW (Company’s forecasted additional amount) provided that the Company agrees to not seek to add to its rate base the construction costs for the final 2,000 MW of capacity until the capacity is necessary to meet Georgia Power system demand. Upon such a showing by the Company, recoverable construction costs shall be added to rate base upon the delivery of electric service.  In the interim, the Company may sell energy on the market and retain any proceeds to cover its costs, but it may not charge or accrue costs, including AFUDC, payable by ratepayers until the Commission has approved the recovery of construction costs from rate base. </w:t>
      </w:r>
    </w:p>
    <w:p w14:paraId="4BA66FD3" w14:textId="66903F16" w:rsidR="00502D35" w:rsidRDefault="00502D35" w:rsidP="003D3071">
      <w:pPr>
        <w:spacing w:line="480" w:lineRule="auto"/>
      </w:pPr>
    </w:p>
    <w:p w14:paraId="156C529D" w14:textId="03E0F4FC" w:rsidR="00572098" w:rsidRDefault="00572098" w:rsidP="003D3071">
      <w:pPr>
        <w:spacing w:line="480" w:lineRule="auto"/>
      </w:pPr>
      <w:r>
        <w:t>Respectfully submitted this 3</w:t>
      </w:r>
      <w:r w:rsidRPr="00572098">
        <w:rPr>
          <w:vertAlign w:val="superscript"/>
        </w:rPr>
        <w:t>rd</w:t>
      </w:r>
      <w:r>
        <w:t xml:space="preserve"> day of July, 2025</w:t>
      </w:r>
    </w:p>
    <w:p w14:paraId="27992571" w14:textId="7C79342D" w:rsidR="00E2672C" w:rsidRDefault="00572098" w:rsidP="00E2672C">
      <w:r>
        <w:tab/>
      </w:r>
      <w:r>
        <w:tab/>
      </w:r>
      <w:r>
        <w:tab/>
      </w:r>
      <w:r>
        <w:tab/>
      </w:r>
      <w:r>
        <w:tab/>
      </w:r>
      <w:r>
        <w:tab/>
      </w:r>
      <w:r>
        <w:tab/>
      </w:r>
      <w:r w:rsidRPr="00E2672C">
        <w:rPr>
          <w:u w:val="single"/>
        </w:rPr>
        <w:t>/s/</w:t>
      </w:r>
      <w:r w:rsidR="00E2672C" w:rsidRPr="00E2672C">
        <w:rPr>
          <w:u w:val="single"/>
        </w:rPr>
        <w:t xml:space="preserve"> Justin M. Pawluk</w:t>
      </w:r>
      <w:r w:rsidR="00E2672C">
        <w:rPr>
          <w:u w:val="single"/>
        </w:rPr>
        <w:tab/>
      </w:r>
      <w:r w:rsidR="00E2672C">
        <w:rPr>
          <w:u w:val="single"/>
        </w:rPr>
        <w:tab/>
      </w:r>
    </w:p>
    <w:p w14:paraId="5F9A4937" w14:textId="345846EE" w:rsidR="00E2672C" w:rsidRDefault="00E2672C" w:rsidP="00E2672C">
      <w:r>
        <w:tab/>
      </w:r>
      <w:r>
        <w:tab/>
      </w:r>
      <w:r>
        <w:tab/>
      </w:r>
      <w:r>
        <w:tab/>
      </w:r>
      <w:r>
        <w:tab/>
      </w:r>
      <w:r>
        <w:tab/>
      </w:r>
      <w:r>
        <w:tab/>
      </w:r>
      <w:r w:rsidR="005B574C">
        <w:t>Justin M. Pawluk</w:t>
      </w:r>
    </w:p>
    <w:p w14:paraId="2B2589FD" w14:textId="2615C5B4" w:rsidR="005B574C" w:rsidRDefault="005B574C" w:rsidP="00E2672C">
      <w:r>
        <w:tab/>
      </w:r>
      <w:r>
        <w:tab/>
      </w:r>
      <w:r>
        <w:tab/>
      </w:r>
      <w:r>
        <w:tab/>
      </w:r>
      <w:r>
        <w:tab/>
      </w:r>
      <w:r>
        <w:tab/>
      </w:r>
      <w:r>
        <w:tab/>
        <w:t>Staff Attorney</w:t>
      </w:r>
    </w:p>
    <w:p w14:paraId="53659FC4" w14:textId="7B359EA9" w:rsidR="005B574C" w:rsidRDefault="005B574C" w:rsidP="00E2672C">
      <w:r>
        <w:tab/>
      </w:r>
      <w:r>
        <w:tab/>
      </w:r>
      <w:r>
        <w:tab/>
      </w:r>
      <w:r>
        <w:tab/>
      </w:r>
      <w:r>
        <w:tab/>
      </w:r>
      <w:r>
        <w:tab/>
      </w:r>
      <w:r>
        <w:tab/>
        <w:t>Georgia Bar No. 394705</w:t>
      </w:r>
    </w:p>
    <w:p w14:paraId="5D4372C7" w14:textId="08EBE915" w:rsidR="005B574C" w:rsidRDefault="005B574C" w:rsidP="00E2672C">
      <w:r>
        <w:t>Georgia Public Service Commission</w:t>
      </w:r>
    </w:p>
    <w:p w14:paraId="4D6A2D6E" w14:textId="3BF3A8D3" w:rsidR="005B574C" w:rsidRDefault="005B574C" w:rsidP="00E2672C">
      <w:r>
        <w:t>244 Wash</w:t>
      </w:r>
      <w:r w:rsidR="009D6D45">
        <w:t>ington Street, SW</w:t>
      </w:r>
    </w:p>
    <w:p w14:paraId="60827E0C" w14:textId="6BE1D292" w:rsidR="009D6D45" w:rsidRDefault="009D6D45" w:rsidP="00E2672C">
      <w:r>
        <w:t>Atlanta, GA 30334</w:t>
      </w:r>
    </w:p>
    <w:p w14:paraId="3D5D6868" w14:textId="357660D4" w:rsidR="009D6D45" w:rsidRDefault="00B57F9D" w:rsidP="00E2672C">
      <w:r>
        <w:t>Tel. (404) 463-8783</w:t>
      </w:r>
    </w:p>
    <w:p w14:paraId="18A5895D" w14:textId="19299F40" w:rsidR="00B57F9D" w:rsidRDefault="00B57F9D" w:rsidP="00E2672C">
      <w:r>
        <w:t>jpawluk@</w:t>
      </w:r>
      <w:r w:rsidR="00AC3170">
        <w:t>psc.ga.gov</w:t>
      </w:r>
    </w:p>
    <w:p w14:paraId="600AF032" w14:textId="77777777" w:rsidR="00BF683B" w:rsidRDefault="00BF683B" w:rsidP="00E2672C"/>
    <w:p w14:paraId="35807D51" w14:textId="77777777" w:rsidR="00024203" w:rsidRDefault="00024203" w:rsidP="00E2672C">
      <w:pPr>
        <w:sectPr w:rsidR="00024203">
          <w:headerReference w:type="default" r:id="rId8"/>
          <w:footerReference w:type="default" r:id="rId9"/>
          <w:pgSz w:w="12240" w:h="15840"/>
          <w:pgMar w:top="1440" w:right="1440" w:bottom="1440" w:left="1440" w:header="720" w:footer="720" w:gutter="0"/>
          <w:cols w:space="720"/>
          <w:docGrid w:linePitch="360"/>
        </w:sectPr>
      </w:pPr>
    </w:p>
    <w:p w14:paraId="59D6CF53" w14:textId="77777777" w:rsidR="00BF683B" w:rsidRDefault="00BF683B" w:rsidP="00E2672C"/>
    <w:p w14:paraId="495A1695" w14:textId="77777777" w:rsidR="00024203" w:rsidRDefault="00024203" w:rsidP="00E2672C"/>
    <w:p w14:paraId="34755132" w14:textId="77777777" w:rsidR="00024203" w:rsidRDefault="00024203" w:rsidP="00E2672C"/>
    <w:p w14:paraId="32A40673" w14:textId="77777777" w:rsidR="00024203" w:rsidRDefault="00024203" w:rsidP="00E2672C"/>
    <w:p w14:paraId="407B20AD" w14:textId="77777777" w:rsidR="00024203" w:rsidRDefault="00024203" w:rsidP="00E2672C"/>
    <w:p w14:paraId="1FC24D10" w14:textId="77777777" w:rsidR="00024203" w:rsidRDefault="00024203" w:rsidP="00E2672C"/>
    <w:p w14:paraId="039D27F4" w14:textId="77777777" w:rsidR="00024203" w:rsidRDefault="00024203" w:rsidP="00E2672C"/>
    <w:p w14:paraId="424617AC" w14:textId="77777777" w:rsidR="00024203" w:rsidRDefault="00024203" w:rsidP="00E2672C"/>
    <w:p w14:paraId="257FA9D8" w14:textId="77777777" w:rsidR="00024203" w:rsidRDefault="00024203" w:rsidP="00E2672C"/>
    <w:p w14:paraId="742AE72B" w14:textId="77777777" w:rsidR="00024203" w:rsidRDefault="00024203" w:rsidP="00E2672C"/>
    <w:p w14:paraId="0D5FB1DF" w14:textId="77777777" w:rsidR="00024203" w:rsidRDefault="00024203" w:rsidP="00E2672C"/>
    <w:p w14:paraId="08264BF5" w14:textId="77777777" w:rsidR="00024203" w:rsidRDefault="00024203" w:rsidP="00E2672C"/>
    <w:p w14:paraId="718F4D3E" w14:textId="77777777" w:rsidR="00024203" w:rsidRDefault="00024203" w:rsidP="00E2672C"/>
    <w:p w14:paraId="26F686A3" w14:textId="77777777" w:rsidR="00024203" w:rsidRDefault="00024203" w:rsidP="00E2672C"/>
    <w:p w14:paraId="0E373E96" w14:textId="77777777" w:rsidR="00024203" w:rsidRDefault="00024203" w:rsidP="00E2672C"/>
    <w:p w14:paraId="64FAD52F" w14:textId="47319AF0" w:rsidR="00024203" w:rsidRDefault="00024203" w:rsidP="00024203">
      <w:pPr>
        <w:jc w:val="center"/>
        <w:rPr>
          <w:b/>
          <w:bCs/>
          <w:sz w:val="40"/>
          <w:szCs w:val="40"/>
        </w:rPr>
      </w:pPr>
      <w:r w:rsidRPr="0054334E">
        <w:rPr>
          <w:b/>
          <w:bCs/>
          <w:sz w:val="40"/>
          <w:szCs w:val="40"/>
        </w:rPr>
        <w:t>E</w:t>
      </w:r>
      <w:r w:rsidR="00583521" w:rsidRPr="0054334E">
        <w:rPr>
          <w:b/>
          <w:bCs/>
          <w:sz w:val="40"/>
          <w:szCs w:val="40"/>
        </w:rPr>
        <w:t>XHIBIT A</w:t>
      </w:r>
    </w:p>
    <w:p w14:paraId="70ACA25B" w14:textId="77777777" w:rsidR="004E0159" w:rsidRDefault="004E0159" w:rsidP="00024203">
      <w:pPr>
        <w:jc w:val="center"/>
        <w:rPr>
          <w:b/>
          <w:bCs/>
          <w:sz w:val="40"/>
          <w:szCs w:val="40"/>
        </w:rPr>
        <w:sectPr w:rsidR="004E0159" w:rsidSect="004E0159">
          <w:footerReference w:type="default" r:id="rId10"/>
          <w:pgSz w:w="12240" w:h="15840"/>
          <w:pgMar w:top="1440" w:right="1440" w:bottom="1440" w:left="1440" w:header="720" w:footer="720" w:gutter="0"/>
          <w:pgNumType w:start="1"/>
          <w:cols w:space="720"/>
          <w:docGrid w:linePitch="360"/>
        </w:sectPr>
      </w:pPr>
    </w:p>
    <w:p w14:paraId="5B7516CA" w14:textId="77777777" w:rsidR="003461C9" w:rsidRPr="00F90F59" w:rsidRDefault="003461C9" w:rsidP="003461C9">
      <w:pPr>
        <w:widowControl w:val="0"/>
        <w:tabs>
          <w:tab w:val="center" w:pos="4680"/>
        </w:tabs>
        <w:suppressAutoHyphens/>
        <w:autoSpaceDE w:val="0"/>
        <w:autoSpaceDN w:val="0"/>
        <w:adjustRightInd w:val="0"/>
        <w:spacing w:line="240" w:lineRule="atLeast"/>
        <w:jc w:val="center"/>
      </w:pPr>
      <w:r w:rsidRPr="3BEAA05C">
        <w:rPr>
          <w:rFonts w:eastAsia="Times New Roman"/>
          <w:b/>
          <w:bCs/>
        </w:rPr>
        <w:lastRenderedPageBreak/>
        <w:t>STATE OF GEORGIA</w:t>
      </w:r>
    </w:p>
    <w:p w14:paraId="35F8313B" w14:textId="77777777" w:rsidR="003461C9" w:rsidRPr="00F90F59" w:rsidRDefault="003461C9" w:rsidP="003461C9">
      <w:pPr>
        <w:widowControl w:val="0"/>
        <w:tabs>
          <w:tab w:val="left" w:pos="0"/>
          <w:tab w:val="left" w:pos="4680"/>
        </w:tabs>
        <w:suppressAutoHyphens/>
        <w:autoSpaceDE w:val="0"/>
        <w:autoSpaceDN w:val="0"/>
        <w:adjustRightInd w:val="0"/>
        <w:spacing w:line="240" w:lineRule="atLeast"/>
        <w:jc w:val="center"/>
      </w:pPr>
      <w:r w:rsidRPr="3BEAA05C">
        <w:rPr>
          <w:rFonts w:eastAsia="Times New Roman"/>
          <w:b/>
          <w:bCs/>
        </w:rPr>
        <w:t xml:space="preserve"> </w:t>
      </w:r>
    </w:p>
    <w:p w14:paraId="0D8562DA" w14:textId="77777777" w:rsidR="003461C9" w:rsidRPr="00F90F59" w:rsidRDefault="003461C9" w:rsidP="003461C9">
      <w:pPr>
        <w:widowControl w:val="0"/>
        <w:tabs>
          <w:tab w:val="left" w:pos="0"/>
          <w:tab w:val="left" w:pos="4680"/>
        </w:tabs>
        <w:suppressAutoHyphens/>
        <w:autoSpaceDE w:val="0"/>
        <w:autoSpaceDN w:val="0"/>
        <w:adjustRightInd w:val="0"/>
        <w:spacing w:line="240" w:lineRule="atLeast"/>
        <w:jc w:val="center"/>
      </w:pPr>
      <w:r w:rsidRPr="3BEAA05C">
        <w:rPr>
          <w:rFonts w:eastAsia="Times New Roman"/>
          <w:b/>
          <w:bCs/>
        </w:rPr>
        <w:t>BEFORE THE GEORGIA PUBLIC SERVICE COMMISSION</w:t>
      </w:r>
    </w:p>
    <w:p w14:paraId="512E046F" w14:textId="77777777" w:rsidR="003461C9" w:rsidRPr="00F90F59" w:rsidRDefault="003461C9" w:rsidP="003461C9">
      <w:pPr>
        <w:widowControl w:val="0"/>
        <w:suppressAutoHyphens/>
        <w:autoSpaceDE w:val="0"/>
        <w:autoSpaceDN w:val="0"/>
        <w:adjustRightInd w:val="0"/>
        <w:spacing w:line="240" w:lineRule="atLeast"/>
        <w:jc w:val="center"/>
      </w:pPr>
      <w:r w:rsidRPr="3BEAA05C">
        <w:rPr>
          <w:rFonts w:eastAsia="Times New Roman"/>
        </w:rPr>
        <w:t xml:space="preserve"> </w:t>
      </w:r>
    </w:p>
    <w:p w14:paraId="6D6CFBD9" w14:textId="77777777" w:rsidR="003461C9" w:rsidRPr="00F90F59" w:rsidRDefault="003461C9" w:rsidP="003461C9">
      <w:pPr>
        <w:widowControl w:val="0"/>
        <w:suppressAutoHyphens/>
        <w:autoSpaceDE w:val="0"/>
        <w:autoSpaceDN w:val="0"/>
        <w:adjustRightInd w:val="0"/>
        <w:spacing w:line="240" w:lineRule="atLeast"/>
        <w:jc w:val="center"/>
        <w:rPr>
          <w:u w:val="single"/>
        </w:rPr>
      </w:pPr>
      <w:r w:rsidRPr="3BEAA05C">
        <w:rPr>
          <w:rFonts w:eastAsia="Times New Roman"/>
        </w:rPr>
        <w:t xml:space="preserve"> </w:t>
      </w:r>
      <w:r>
        <w:t xml:space="preserve">                              </w:t>
      </w:r>
      <w:r>
        <w:tab/>
      </w:r>
      <w:r>
        <w:tab/>
      </w:r>
    </w:p>
    <w:p w14:paraId="0906B8C2" w14:textId="77777777" w:rsidR="003461C9" w:rsidRPr="002B5505" w:rsidRDefault="003461C9" w:rsidP="003461C9">
      <w:pPr>
        <w:widowControl w:val="0"/>
        <w:tabs>
          <w:tab w:val="left" w:pos="-720"/>
        </w:tabs>
        <w:suppressAutoHyphens/>
        <w:autoSpaceDE w:val="0"/>
        <w:autoSpaceDN w:val="0"/>
        <w:adjustRightInd w:val="0"/>
        <w:spacing w:line="240" w:lineRule="atLeast"/>
        <w:rPr>
          <w:b/>
        </w:rPr>
      </w:pPr>
      <w:r w:rsidRPr="002B5505">
        <w:rPr>
          <w:b/>
        </w:rPr>
        <w:t xml:space="preserve">      </w:t>
      </w:r>
      <w:r>
        <w:rPr>
          <w:b/>
        </w:rPr>
        <w:t xml:space="preserve">                              </w:t>
      </w:r>
    </w:p>
    <w:p w14:paraId="61EAA6F1" w14:textId="77777777" w:rsidR="003461C9" w:rsidRPr="00F150B8" w:rsidRDefault="003461C9" w:rsidP="003461C9">
      <w:pPr>
        <w:pBdr>
          <w:bottom w:val="single" w:sz="12" w:space="0" w:color="auto"/>
        </w:pBdr>
        <w:ind w:left="720" w:hanging="720"/>
        <w:rPr>
          <w:rFonts w:eastAsia="Times New Roman"/>
          <w:b/>
          <w:color w:val="FF0000"/>
        </w:rPr>
      </w:pPr>
      <w:r>
        <w:rPr>
          <w:rFonts w:eastAsia="Times New Roman"/>
          <w:b/>
        </w:rPr>
        <w:t>Docket No.</w:t>
      </w:r>
      <w:r w:rsidRPr="00BD2E95">
        <w:rPr>
          <w:rFonts w:eastAsia="Times New Roman"/>
          <w:b/>
        </w:rPr>
        <w:t xml:space="preserve"> </w:t>
      </w:r>
      <w:r>
        <w:rPr>
          <w:rFonts w:eastAsia="Times New Roman"/>
          <w:b/>
        </w:rPr>
        <w:t>56002</w:t>
      </w:r>
      <w:r>
        <w:rPr>
          <w:rFonts w:eastAsia="Times New Roman"/>
          <w:b/>
        </w:rPr>
        <w:tab/>
      </w:r>
      <w:r w:rsidRPr="00BD2E95">
        <w:rPr>
          <w:rFonts w:eastAsia="Times New Roman"/>
          <w:b/>
        </w:rPr>
        <w:t>Georgia Power Company’s 202</w:t>
      </w:r>
      <w:r>
        <w:rPr>
          <w:rFonts w:eastAsia="Times New Roman"/>
          <w:b/>
        </w:rPr>
        <w:t>5</w:t>
      </w:r>
      <w:r w:rsidRPr="00BD2E95">
        <w:rPr>
          <w:rFonts w:eastAsia="Times New Roman"/>
          <w:b/>
        </w:rPr>
        <w:t xml:space="preserve"> Integrated Resource Plan</w:t>
      </w:r>
    </w:p>
    <w:p w14:paraId="02135BCC" w14:textId="77777777" w:rsidR="003461C9" w:rsidRPr="00F150B8" w:rsidRDefault="003461C9" w:rsidP="003461C9">
      <w:pPr>
        <w:pBdr>
          <w:bottom w:val="single" w:sz="12" w:space="0" w:color="auto"/>
        </w:pBdr>
        <w:ind w:left="720" w:hanging="720"/>
        <w:jc w:val="center"/>
        <w:rPr>
          <w:rFonts w:eastAsia="Times New Roman"/>
          <w:b/>
          <w:color w:val="FF0000"/>
        </w:rPr>
      </w:pPr>
    </w:p>
    <w:p w14:paraId="3BB55855" w14:textId="77777777" w:rsidR="003461C9" w:rsidRDefault="003461C9" w:rsidP="003461C9">
      <w:pPr>
        <w:pBdr>
          <w:bottom w:val="single" w:sz="12" w:space="0" w:color="auto"/>
        </w:pBdr>
        <w:ind w:left="2160" w:hanging="2160"/>
        <w:rPr>
          <w:b/>
        </w:rPr>
      </w:pPr>
      <w:r w:rsidRPr="00951164">
        <w:rPr>
          <w:rFonts w:eastAsia="Times New Roman"/>
          <w:b/>
        </w:rPr>
        <w:t xml:space="preserve">Docket No. </w:t>
      </w:r>
      <w:r>
        <w:rPr>
          <w:rFonts w:eastAsia="Times New Roman"/>
          <w:b/>
        </w:rPr>
        <w:t>56003</w:t>
      </w:r>
      <w:r>
        <w:tab/>
      </w:r>
      <w:r w:rsidRPr="00BD2E95">
        <w:rPr>
          <w:rFonts w:eastAsia="Times New Roman"/>
          <w:b/>
        </w:rPr>
        <w:t xml:space="preserve">Georgia Power Company’s </w:t>
      </w:r>
      <w:r w:rsidRPr="00814E22">
        <w:rPr>
          <w:rFonts w:eastAsia="Times New Roman"/>
          <w:b/>
        </w:rPr>
        <w:t>202</w:t>
      </w:r>
      <w:r>
        <w:rPr>
          <w:rFonts w:eastAsia="Times New Roman"/>
          <w:b/>
        </w:rPr>
        <w:t>5</w:t>
      </w:r>
      <w:r w:rsidRPr="00814E22">
        <w:rPr>
          <w:rFonts w:eastAsia="Times New Roman"/>
          <w:b/>
        </w:rPr>
        <w:t xml:space="preserve"> Application for the Certification,</w:t>
      </w:r>
      <w:r w:rsidRPr="00814E22">
        <w:rPr>
          <w:b/>
        </w:rPr>
        <w:t xml:space="preserve"> Decertification, and Amended Demand-Side Management Plan</w:t>
      </w:r>
    </w:p>
    <w:p w14:paraId="370A89B3" w14:textId="77777777" w:rsidR="003461C9" w:rsidRPr="00B16AFF" w:rsidRDefault="003461C9" w:rsidP="003461C9">
      <w:pPr>
        <w:pBdr>
          <w:bottom w:val="single" w:sz="12" w:space="0" w:color="auto"/>
        </w:pBdr>
        <w:ind w:left="2160" w:hanging="2160"/>
        <w:rPr>
          <w:rFonts w:eastAsia="Times New Roman"/>
          <w:b/>
        </w:rPr>
      </w:pPr>
    </w:p>
    <w:p w14:paraId="2A517A2F" w14:textId="77777777" w:rsidR="003461C9" w:rsidRDefault="003461C9" w:rsidP="003461C9">
      <w:pPr>
        <w:widowControl w:val="0"/>
        <w:tabs>
          <w:tab w:val="left" w:pos="-720"/>
        </w:tabs>
        <w:suppressAutoHyphens/>
        <w:autoSpaceDE w:val="0"/>
        <w:autoSpaceDN w:val="0"/>
        <w:adjustRightInd w:val="0"/>
        <w:spacing w:line="240" w:lineRule="atLeast"/>
      </w:pPr>
    </w:p>
    <w:p w14:paraId="12C934F8" w14:textId="77777777" w:rsidR="003461C9" w:rsidRDefault="003461C9" w:rsidP="003461C9">
      <w:pPr>
        <w:widowControl w:val="0"/>
        <w:tabs>
          <w:tab w:val="left" w:pos="-720"/>
        </w:tabs>
        <w:suppressAutoHyphens/>
        <w:autoSpaceDE w:val="0"/>
        <w:autoSpaceDN w:val="0"/>
        <w:adjustRightInd w:val="0"/>
        <w:spacing w:line="240" w:lineRule="atLeast"/>
      </w:pPr>
    </w:p>
    <w:p w14:paraId="4C01C40B" w14:textId="77777777" w:rsidR="003461C9" w:rsidRDefault="003461C9" w:rsidP="003461C9">
      <w:pPr>
        <w:tabs>
          <w:tab w:val="center" w:pos="4680"/>
        </w:tabs>
        <w:suppressAutoHyphens/>
        <w:jc w:val="center"/>
        <w:rPr>
          <w:b/>
          <w:spacing w:val="-3"/>
          <w:u w:val="single"/>
        </w:rPr>
      </w:pPr>
      <w:r>
        <w:rPr>
          <w:b/>
          <w:spacing w:val="-3"/>
          <w:u w:val="single"/>
        </w:rPr>
        <w:t xml:space="preserve">PUBLIC INTEREST ADVOCACY STAFF’S </w:t>
      </w:r>
    </w:p>
    <w:p w14:paraId="7ACAAB71" w14:textId="77777777" w:rsidR="003461C9" w:rsidRPr="00B37E4B" w:rsidRDefault="003461C9" w:rsidP="003461C9">
      <w:pPr>
        <w:tabs>
          <w:tab w:val="center" w:pos="4680"/>
        </w:tabs>
        <w:suppressAutoHyphens/>
        <w:jc w:val="center"/>
        <w:rPr>
          <w:b/>
          <w:spacing w:val="-3"/>
          <w:u w:val="single"/>
        </w:rPr>
      </w:pPr>
      <w:r>
        <w:rPr>
          <w:b/>
          <w:spacing w:val="-3"/>
          <w:u w:val="single"/>
        </w:rPr>
        <w:t xml:space="preserve">PROPOSED FINAL </w:t>
      </w:r>
      <w:r w:rsidRPr="00B37E4B">
        <w:rPr>
          <w:b/>
          <w:spacing w:val="-3"/>
          <w:u w:val="single"/>
        </w:rPr>
        <w:t xml:space="preserve">ORDER </w:t>
      </w:r>
    </w:p>
    <w:p w14:paraId="4C1FF8E6" w14:textId="77777777" w:rsidR="003461C9" w:rsidRDefault="003461C9" w:rsidP="003461C9">
      <w:pPr>
        <w:widowControl w:val="0"/>
        <w:tabs>
          <w:tab w:val="left" w:pos="-720"/>
        </w:tabs>
        <w:suppressAutoHyphens/>
        <w:autoSpaceDE w:val="0"/>
        <w:autoSpaceDN w:val="0"/>
        <w:adjustRightInd w:val="0"/>
        <w:spacing w:line="240" w:lineRule="atLeast"/>
      </w:pPr>
    </w:p>
    <w:p w14:paraId="019C6A4C" w14:textId="77777777" w:rsidR="003461C9" w:rsidRPr="00E1048A" w:rsidRDefault="003461C9" w:rsidP="003461C9">
      <w:pPr>
        <w:widowControl w:val="0"/>
        <w:tabs>
          <w:tab w:val="left" w:pos="-720"/>
        </w:tabs>
        <w:suppressAutoHyphens/>
        <w:autoSpaceDE w:val="0"/>
        <w:autoSpaceDN w:val="0"/>
        <w:adjustRightInd w:val="0"/>
        <w:spacing w:line="240" w:lineRule="atLeast"/>
        <w:rPr>
          <w:b/>
          <w:u w:val="single"/>
        </w:rPr>
      </w:pPr>
      <w:r>
        <w:rPr>
          <w:b/>
          <w:u w:val="single"/>
        </w:rPr>
        <w:t>______________________________________________________________________________</w:t>
      </w:r>
    </w:p>
    <w:p w14:paraId="68A697CF" w14:textId="77777777" w:rsidR="003461C9" w:rsidRPr="000B65E8" w:rsidRDefault="003461C9" w:rsidP="003461C9">
      <w:pPr>
        <w:widowControl w:val="0"/>
        <w:tabs>
          <w:tab w:val="left" w:pos="-720"/>
        </w:tabs>
        <w:suppressAutoHyphens/>
        <w:autoSpaceDE w:val="0"/>
        <w:autoSpaceDN w:val="0"/>
        <w:adjustRightInd w:val="0"/>
        <w:spacing w:line="240" w:lineRule="atLeast"/>
        <w:rPr>
          <w:rFonts w:ascii="Courier" w:hAnsi="Courier"/>
        </w:rPr>
      </w:pPr>
      <w:r w:rsidRPr="000B65E8">
        <w:rPr>
          <w:rFonts w:ascii="Courier" w:hAnsi="Courier"/>
        </w:rPr>
        <w:t xml:space="preserve">                                 </w:t>
      </w:r>
    </w:p>
    <w:p w14:paraId="5A1AD4DD" w14:textId="77777777" w:rsidR="003461C9" w:rsidRPr="00C407CD" w:rsidRDefault="003461C9" w:rsidP="003461C9">
      <w:pPr>
        <w:widowControl w:val="0"/>
        <w:tabs>
          <w:tab w:val="left" w:pos="-720"/>
        </w:tabs>
        <w:suppressAutoHyphens/>
        <w:autoSpaceDE w:val="0"/>
        <w:autoSpaceDN w:val="0"/>
        <w:adjustRightInd w:val="0"/>
        <w:spacing w:line="240" w:lineRule="atLeast"/>
        <w:rPr>
          <w:rFonts w:ascii="Courier" w:hAnsi="Courier"/>
        </w:rPr>
      </w:pPr>
      <w:r w:rsidRPr="00566D6A">
        <w:rPr>
          <w:rFonts w:ascii="Courier" w:hAnsi="Courier"/>
        </w:rPr>
        <w:t xml:space="preserve">    </w:t>
      </w:r>
      <w:r>
        <w:rPr>
          <w:rFonts w:ascii="Courier" w:hAnsi="Courier"/>
        </w:rPr>
        <w:t xml:space="preserve">                          </w:t>
      </w:r>
    </w:p>
    <w:p w14:paraId="52650078" w14:textId="77777777" w:rsidR="003461C9" w:rsidRDefault="003461C9" w:rsidP="003461C9">
      <w:pPr>
        <w:widowControl w:val="0"/>
        <w:tabs>
          <w:tab w:val="left" w:pos="-720"/>
        </w:tabs>
        <w:suppressAutoHyphens/>
        <w:autoSpaceDE w:val="0"/>
        <w:autoSpaceDN w:val="0"/>
        <w:adjustRightInd w:val="0"/>
        <w:spacing w:line="240" w:lineRule="atLeast"/>
        <w:rPr>
          <w:b/>
        </w:rPr>
      </w:pPr>
      <w:r w:rsidRPr="00782DC7">
        <w:rPr>
          <w:b/>
        </w:rPr>
        <w:t>APPEARANCES:</w:t>
      </w:r>
    </w:p>
    <w:p w14:paraId="07CFE1CD" w14:textId="77777777" w:rsidR="003461C9" w:rsidRPr="00426AA9" w:rsidRDefault="003461C9" w:rsidP="003461C9">
      <w:pPr>
        <w:widowControl w:val="0"/>
        <w:tabs>
          <w:tab w:val="left" w:pos="-720"/>
        </w:tabs>
        <w:suppressAutoHyphens/>
        <w:autoSpaceDE w:val="0"/>
        <w:autoSpaceDN w:val="0"/>
        <w:adjustRightInd w:val="0"/>
        <w:spacing w:line="240" w:lineRule="atLeast"/>
      </w:pPr>
    </w:p>
    <w:p w14:paraId="4D161FA8" w14:textId="77777777" w:rsidR="003461C9" w:rsidRDefault="003461C9" w:rsidP="003461C9">
      <w:pPr>
        <w:widowControl w:val="0"/>
        <w:tabs>
          <w:tab w:val="left" w:pos="-720"/>
        </w:tabs>
        <w:suppressAutoHyphens/>
        <w:autoSpaceDE w:val="0"/>
        <w:autoSpaceDN w:val="0"/>
        <w:adjustRightInd w:val="0"/>
        <w:spacing w:line="240" w:lineRule="atLeast"/>
      </w:pPr>
      <w:r w:rsidRPr="00426AA9">
        <w:tab/>
      </w:r>
      <w:r w:rsidRPr="00426AA9">
        <w:tab/>
      </w:r>
    </w:p>
    <w:p w14:paraId="64C953FC" w14:textId="77777777" w:rsidR="003461C9" w:rsidRPr="00BB3B56" w:rsidRDefault="003461C9" w:rsidP="003461C9">
      <w:pPr>
        <w:widowControl w:val="0"/>
        <w:tabs>
          <w:tab w:val="left" w:pos="-720"/>
        </w:tabs>
        <w:suppressAutoHyphens/>
        <w:autoSpaceDE w:val="0"/>
        <w:autoSpaceDN w:val="0"/>
        <w:adjustRightInd w:val="0"/>
        <w:spacing w:line="240" w:lineRule="atLeast"/>
        <w:rPr>
          <w:b/>
        </w:rPr>
      </w:pPr>
      <w:r>
        <w:tab/>
      </w:r>
      <w:r w:rsidRPr="00BB3B56">
        <w:rPr>
          <w:b/>
          <w:u w:val="single"/>
        </w:rPr>
        <w:t>On behalf of Georgia Public Service Commission:</w:t>
      </w:r>
    </w:p>
    <w:p w14:paraId="1AA7D03A"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32EC0734"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r>
        <w:t>JUSTIN PAWLUK</w:t>
      </w:r>
      <w:r w:rsidRPr="00426AA9">
        <w:t>, Attorney</w:t>
      </w:r>
    </w:p>
    <w:p w14:paraId="23DD3055"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r>
        <w:t>CHRIS COLLADO. Attorney</w:t>
      </w:r>
    </w:p>
    <w:p w14:paraId="7793E991"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007464D4" w14:textId="77777777" w:rsidR="003461C9" w:rsidRPr="00BB3B56" w:rsidRDefault="003461C9" w:rsidP="003461C9">
      <w:pPr>
        <w:widowControl w:val="0"/>
        <w:tabs>
          <w:tab w:val="left" w:pos="-720"/>
        </w:tabs>
        <w:suppressAutoHyphens/>
        <w:autoSpaceDE w:val="0"/>
        <w:autoSpaceDN w:val="0"/>
        <w:adjustRightInd w:val="0"/>
        <w:spacing w:line="240" w:lineRule="atLeast"/>
        <w:rPr>
          <w:b/>
        </w:rPr>
      </w:pPr>
      <w:r w:rsidRPr="00426AA9">
        <w:tab/>
      </w:r>
      <w:r w:rsidRPr="00BB3B56">
        <w:rPr>
          <w:b/>
          <w:u w:val="single"/>
        </w:rPr>
        <w:t>On behalf of Georgia Power Company</w:t>
      </w:r>
      <w:r w:rsidRPr="00BB3B56">
        <w:rPr>
          <w:b/>
        </w:rPr>
        <w:t>:</w:t>
      </w:r>
    </w:p>
    <w:p w14:paraId="0C4CC3F4" w14:textId="77777777" w:rsidR="003461C9" w:rsidRPr="00426AA9" w:rsidRDefault="003461C9" w:rsidP="003461C9">
      <w:pPr>
        <w:widowControl w:val="0"/>
        <w:tabs>
          <w:tab w:val="left" w:pos="-720"/>
        </w:tabs>
        <w:suppressAutoHyphens/>
        <w:autoSpaceDE w:val="0"/>
        <w:autoSpaceDN w:val="0"/>
        <w:adjustRightInd w:val="0"/>
        <w:spacing w:line="240" w:lineRule="atLeast"/>
      </w:pPr>
    </w:p>
    <w:p w14:paraId="78061E30"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t>BRANDON MARZO, Attorney</w:t>
      </w:r>
    </w:p>
    <w:p w14:paraId="1DC105C6" w14:textId="77777777" w:rsidR="003461C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t>STEVE HEWITSON, Attorney</w:t>
      </w:r>
    </w:p>
    <w:p w14:paraId="11072F36"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ALLISON PRYOR, Attorney</w:t>
      </w:r>
    </w:p>
    <w:p w14:paraId="5BAAD985"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JOSHUA COMBS, Attorney</w:t>
      </w:r>
    </w:p>
    <w:p w14:paraId="4467B848" w14:textId="77777777" w:rsidR="003461C9" w:rsidRDefault="003461C9" w:rsidP="003461C9">
      <w:pPr>
        <w:widowControl w:val="0"/>
        <w:tabs>
          <w:tab w:val="left" w:pos="-720"/>
        </w:tabs>
        <w:suppressAutoHyphens/>
        <w:autoSpaceDE w:val="0"/>
        <w:autoSpaceDN w:val="0"/>
        <w:adjustRightInd w:val="0"/>
        <w:spacing w:line="240" w:lineRule="atLeast"/>
      </w:pPr>
    </w:p>
    <w:p w14:paraId="5A156A63" w14:textId="77777777" w:rsidR="003461C9" w:rsidRDefault="003461C9" w:rsidP="003461C9">
      <w:pPr>
        <w:widowControl w:val="0"/>
        <w:tabs>
          <w:tab w:val="left" w:pos="-720"/>
        </w:tabs>
        <w:suppressAutoHyphens/>
        <w:autoSpaceDE w:val="0"/>
        <w:autoSpaceDN w:val="0"/>
        <w:adjustRightInd w:val="0"/>
        <w:spacing w:line="240" w:lineRule="atLeast"/>
      </w:pPr>
      <w:r>
        <w:tab/>
      </w:r>
      <w:r>
        <w:rPr>
          <w:b/>
          <w:bCs/>
          <w:u w:val="single"/>
        </w:rPr>
        <w:t>On behalf of Advanced Power Alliance:</w:t>
      </w:r>
    </w:p>
    <w:p w14:paraId="029F35B4" w14:textId="77777777" w:rsidR="003461C9" w:rsidRDefault="003461C9" w:rsidP="003461C9">
      <w:pPr>
        <w:widowControl w:val="0"/>
        <w:tabs>
          <w:tab w:val="left" w:pos="-720"/>
        </w:tabs>
        <w:suppressAutoHyphens/>
        <w:autoSpaceDE w:val="0"/>
        <w:autoSpaceDN w:val="0"/>
        <w:adjustRightInd w:val="0"/>
        <w:spacing w:line="240" w:lineRule="atLeast"/>
      </w:pPr>
    </w:p>
    <w:p w14:paraId="30DBF6C9" w14:textId="77777777" w:rsidR="003461C9" w:rsidRPr="00426AA9" w:rsidRDefault="003461C9" w:rsidP="003461C9">
      <w:pPr>
        <w:widowControl w:val="0"/>
        <w:tabs>
          <w:tab w:val="left" w:pos="-720"/>
        </w:tabs>
        <w:suppressAutoHyphens/>
        <w:autoSpaceDE w:val="0"/>
        <w:autoSpaceDN w:val="0"/>
        <w:adjustRightInd w:val="0"/>
        <w:spacing w:line="240" w:lineRule="atLeast"/>
      </w:pPr>
      <w:r>
        <w:tab/>
      </w:r>
      <w:r>
        <w:tab/>
      </w:r>
      <w:r>
        <w:tab/>
      </w:r>
      <w:r w:rsidRPr="00426AA9">
        <w:t>WILLIAM BRADLEY CARVER, SR., Attorney</w:t>
      </w:r>
    </w:p>
    <w:p w14:paraId="01973FF0" w14:textId="77777777" w:rsidR="003461C9" w:rsidRDefault="003461C9" w:rsidP="003461C9">
      <w:pPr>
        <w:widowControl w:val="0"/>
        <w:tabs>
          <w:tab w:val="left" w:pos="-720"/>
        </w:tabs>
        <w:suppressAutoHyphens/>
        <w:autoSpaceDE w:val="0"/>
        <w:autoSpaceDN w:val="0"/>
        <w:adjustRightInd w:val="0"/>
        <w:spacing w:line="240" w:lineRule="atLeast"/>
      </w:pPr>
    </w:p>
    <w:p w14:paraId="227C862C" w14:textId="77777777" w:rsidR="003461C9" w:rsidRDefault="003461C9" w:rsidP="003461C9">
      <w:pPr>
        <w:widowControl w:val="0"/>
        <w:tabs>
          <w:tab w:val="left" w:pos="-720"/>
        </w:tabs>
        <w:suppressAutoHyphens/>
        <w:autoSpaceDE w:val="0"/>
        <w:autoSpaceDN w:val="0"/>
        <w:adjustRightInd w:val="0"/>
        <w:spacing w:line="240" w:lineRule="atLeast"/>
        <w:rPr>
          <w:b/>
          <w:bCs/>
          <w:u w:val="single"/>
        </w:rPr>
      </w:pPr>
      <w:r>
        <w:tab/>
      </w:r>
      <w:r>
        <w:rPr>
          <w:b/>
          <w:bCs/>
          <w:u w:val="single"/>
        </w:rPr>
        <w:t>On behalf of Americans for Affordable Clean Energy:</w:t>
      </w:r>
    </w:p>
    <w:p w14:paraId="1E34115E" w14:textId="77777777" w:rsidR="003461C9" w:rsidRDefault="003461C9" w:rsidP="003461C9">
      <w:pPr>
        <w:widowControl w:val="0"/>
        <w:tabs>
          <w:tab w:val="left" w:pos="-720"/>
        </w:tabs>
        <w:suppressAutoHyphens/>
        <w:autoSpaceDE w:val="0"/>
        <w:autoSpaceDN w:val="0"/>
        <w:adjustRightInd w:val="0"/>
        <w:spacing w:line="240" w:lineRule="atLeast"/>
        <w:rPr>
          <w:b/>
          <w:bCs/>
          <w:u w:val="single"/>
        </w:rPr>
      </w:pPr>
    </w:p>
    <w:p w14:paraId="4E8AF7C9"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NEWTON GALLOWAY, Attorney</w:t>
      </w:r>
    </w:p>
    <w:p w14:paraId="4450B7CB"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r>
      <w:r w:rsidRPr="00F47986">
        <w:rPr>
          <w:caps/>
        </w:rPr>
        <w:t>Terri Lyndall</w:t>
      </w:r>
      <w:r>
        <w:t>,</w:t>
      </w:r>
      <w:r>
        <w:tab/>
        <w:t>Attorney</w:t>
      </w:r>
      <w:r>
        <w:tab/>
        <w:t xml:space="preserve">       </w:t>
      </w:r>
    </w:p>
    <w:p w14:paraId="67A7B9C4" w14:textId="77777777" w:rsidR="003461C9" w:rsidRPr="00426AA9" w:rsidRDefault="003461C9" w:rsidP="003461C9">
      <w:pPr>
        <w:widowControl w:val="0"/>
        <w:tabs>
          <w:tab w:val="left" w:pos="-720"/>
        </w:tabs>
        <w:suppressAutoHyphens/>
        <w:autoSpaceDE w:val="0"/>
        <w:autoSpaceDN w:val="0"/>
        <w:adjustRightInd w:val="0"/>
        <w:spacing w:line="240" w:lineRule="atLeast"/>
      </w:pPr>
      <w:r>
        <w:tab/>
      </w:r>
      <w:r>
        <w:tab/>
      </w:r>
      <w:r>
        <w:tab/>
        <w:t>DAVID PENLAND, Attorney</w:t>
      </w:r>
    </w:p>
    <w:p w14:paraId="288E77EF"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7C9BDC98" w14:textId="77777777" w:rsidR="003461C9" w:rsidRDefault="003461C9" w:rsidP="003461C9">
      <w:pPr>
        <w:widowControl w:val="0"/>
        <w:tabs>
          <w:tab w:val="left" w:pos="-720"/>
        </w:tabs>
        <w:suppressAutoHyphens/>
        <w:autoSpaceDE w:val="0"/>
        <w:autoSpaceDN w:val="0"/>
        <w:adjustRightInd w:val="0"/>
        <w:spacing w:line="240" w:lineRule="atLeast"/>
        <w:rPr>
          <w:b/>
          <w:bCs/>
          <w:u w:val="single"/>
        </w:rPr>
      </w:pPr>
      <w:r w:rsidRPr="00426AA9">
        <w:lastRenderedPageBreak/>
        <w:tab/>
      </w:r>
      <w:r>
        <w:rPr>
          <w:b/>
          <w:bCs/>
          <w:u w:val="single"/>
        </w:rPr>
        <w:t>On behalf of Clean Energy Buyers Association:</w:t>
      </w:r>
    </w:p>
    <w:p w14:paraId="026AAC15" w14:textId="77777777" w:rsidR="003461C9" w:rsidRDefault="003461C9" w:rsidP="003461C9">
      <w:pPr>
        <w:widowControl w:val="0"/>
        <w:tabs>
          <w:tab w:val="left" w:pos="-720"/>
        </w:tabs>
        <w:suppressAutoHyphens/>
        <w:autoSpaceDE w:val="0"/>
        <w:autoSpaceDN w:val="0"/>
        <w:adjustRightInd w:val="0"/>
        <w:spacing w:line="240" w:lineRule="atLeast"/>
      </w:pPr>
    </w:p>
    <w:p w14:paraId="515854A8"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SCOTT DUNBAR, Attorney</w:t>
      </w:r>
    </w:p>
    <w:p w14:paraId="44B47F42" w14:textId="77777777" w:rsidR="003461C9" w:rsidRDefault="003461C9" w:rsidP="003461C9">
      <w:pPr>
        <w:widowControl w:val="0"/>
        <w:tabs>
          <w:tab w:val="left" w:pos="-720"/>
        </w:tabs>
        <w:suppressAutoHyphens/>
        <w:autoSpaceDE w:val="0"/>
        <w:autoSpaceDN w:val="0"/>
        <w:adjustRightInd w:val="0"/>
        <w:spacing w:line="240" w:lineRule="atLeast"/>
      </w:pPr>
    </w:p>
    <w:p w14:paraId="5B82E9BB" w14:textId="77777777" w:rsidR="003461C9" w:rsidRDefault="003461C9" w:rsidP="003461C9">
      <w:pPr>
        <w:widowControl w:val="0"/>
        <w:tabs>
          <w:tab w:val="left" w:pos="-720"/>
        </w:tabs>
        <w:suppressAutoHyphens/>
        <w:autoSpaceDE w:val="0"/>
        <w:autoSpaceDN w:val="0"/>
        <w:adjustRightInd w:val="0"/>
        <w:spacing w:line="240" w:lineRule="atLeast"/>
        <w:rPr>
          <w:b/>
          <w:bCs/>
          <w:u w:val="single"/>
        </w:rPr>
      </w:pPr>
      <w:r>
        <w:rPr>
          <w:b/>
          <w:bCs/>
        </w:rPr>
        <w:tab/>
      </w:r>
      <w:r>
        <w:rPr>
          <w:b/>
          <w:bCs/>
          <w:u w:val="single"/>
        </w:rPr>
        <w:t>On behalf of Capital Good Fund:</w:t>
      </w:r>
    </w:p>
    <w:p w14:paraId="484D9435" w14:textId="77777777" w:rsidR="003461C9" w:rsidRDefault="003461C9" w:rsidP="003461C9">
      <w:pPr>
        <w:widowControl w:val="0"/>
        <w:tabs>
          <w:tab w:val="left" w:pos="-720"/>
        </w:tabs>
        <w:suppressAutoHyphens/>
        <w:autoSpaceDE w:val="0"/>
        <w:autoSpaceDN w:val="0"/>
        <w:adjustRightInd w:val="0"/>
        <w:spacing w:line="240" w:lineRule="atLeast"/>
        <w:rPr>
          <w:b/>
          <w:bCs/>
          <w:u w:val="single"/>
        </w:rPr>
      </w:pPr>
    </w:p>
    <w:p w14:paraId="633B96F5" w14:textId="77777777" w:rsidR="003461C9" w:rsidRPr="005742DC" w:rsidRDefault="003461C9" w:rsidP="003461C9">
      <w:pPr>
        <w:widowControl w:val="0"/>
        <w:tabs>
          <w:tab w:val="left" w:pos="-720"/>
        </w:tabs>
        <w:suppressAutoHyphens/>
        <w:autoSpaceDE w:val="0"/>
        <w:autoSpaceDN w:val="0"/>
        <w:adjustRightInd w:val="0"/>
        <w:spacing w:line="240" w:lineRule="atLeast"/>
      </w:pPr>
      <w:r>
        <w:tab/>
      </w:r>
      <w:r>
        <w:tab/>
      </w:r>
      <w:r>
        <w:tab/>
        <w:t>ALICIA BROWN, Attorney</w:t>
      </w:r>
    </w:p>
    <w:p w14:paraId="001B2FD1" w14:textId="77777777" w:rsidR="003461C9" w:rsidRPr="005742DC" w:rsidRDefault="003461C9" w:rsidP="003461C9">
      <w:pPr>
        <w:widowControl w:val="0"/>
        <w:tabs>
          <w:tab w:val="left" w:pos="-720"/>
        </w:tabs>
        <w:suppressAutoHyphens/>
        <w:autoSpaceDE w:val="0"/>
        <w:autoSpaceDN w:val="0"/>
        <w:adjustRightInd w:val="0"/>
        <w:spacing w:line="240" w:lineRule="atLeast"/>
      </w:pPr>
    </w:p>
    <w:p w14:paraId="2E060D3D" w14:textId="77777777" w:rsidR="003461C9" w:rsidRPr="005742DC" w:rsidRDefault="003461C9" w:rsidP="003461C9">
      <w:pPr>
        <w:widowControl w:val="0"/>
        <w:tabs>
          <w:tab w:val="left" w:pos="-720"/>
        </w:tabs>
        <w:suppressAutoHyphens/>
        <w:autoSpaceDE w:val="0"/>
        <w:autoSpaceDN w:val="0"/>
        <w:adjustRightInd w:val="0"/>
        <w:spacing w:line="240" w:lineRule="atLeast"/>
      </w:pPr>
      <w:r>
        <w:tab/>
      </w:r>
      <w:r>
        <w:rPr>
          <w:b/>
          <w:bCs/>
          <w:u w:val="single"/>
        </w:rPr>
        <w:t>On behalf of Fermata Energy:</w:t>
      </w:r>
    </w:p>
    <w:p w14:paraId="3936AC5D" w14:textId="77777777" w:rsidR="003461C9" w:rsidRPr="005742DC" w:rsidRDefault="003461C9" w:rsidP="003461C9">
      <w:pPr>
        <w:widowControl w:val="0"/>
        <w:tabs>
          <w:tab w:val="left" w:pos="-720"/>
        </w:tabs>
        <w:suppressAutoHyphens/>
        <w:autoSpaceDE w:val="0"/>
        <w:autoSpaceDN w:val="0"/>
        <w:adjustRightInd w:val="0"/>
        <w:spacing w:line="240" w:lineRule="atLeast"/>
      </w:pPr>
    </w:p>
    <w:p w14:paraId="017F2D6D"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ANNA KORBATOV</w:t>
      </w:r>
    </w:p>
    <w:p w14:paraId="06FE6693" w14:textId="77777777" w:rsidR="003461C9" w:rsidRPr="005742DC" w:rsidRDefault="003461C9" w:rsidP="003461C9">
      <w:pPr>
        <w:widowControl w:val="0"/>
        <w:tabs>
          <w:tab w:val="left" w:pos="-720"/>
        </w:tabs>
        <w:suppressAutoHyphens/>
        <w:autoSpaceDE w:val="0"/>
        <w:autoSpaceDN w:val="0"/>
        <w:adjustRightInd w:val="0"/>
        <w:spacing w:line="240" w:lineRule="atLeast"/>
      </w:pPr>
      <w:r>
        <w:tab/>
      </w:r>
      <w:r>
        <w:tab/>
      </w:r>
      <w:r>
        <w:tab/>
        <w:t>STEVE LETENDRE</w:t>
      </w:r>
    </w:p>
    <w:p w14:paraId="68B1BCD0" w14:textId="77777777" w:rsidR="003461C9" w:rsidRPr="00BD7D56"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05A571BD" w14:textId="77777777" w:rsidR="003461C9" w:rsidRDefault="003461C9" w:rsidP="003461C9">
      <w:pPr>
        <w:widowControl w:val="0"/>
        <w:tabs>
          <w:tab w:val="left" w:pos="-720"/>
        </w:tabs>
        <w:suppressAutoHyphens/>
        <w:autoSpaceDE w:val="0"/>
        <w:autoSpaceDN w:val="0"/>
        <w:adjustRightInd w:val="0"/>
        <w:spacing w:line="240" w:lineRule="atLeast"/>
        <w:rPr>
          <w:b/>
          <w:u w:val="single"/>
        </w:rPr>
      </w:pPr>
      <w:r w:rsidRPr="00566D6A">
        <w:rPr>
          <w:rFonts w:ascii="Courier" w:hAnsi="Courier"/>
        </w:rPr>
        <w:tab/>
      </w:r>
      <w:r w:rsidRPr="00BB3B56">
        <w:rPr>
          <w:b/>
          <w:u w:val="single"/>
        </w:rPr>
        <w:t>On behalf of Georgia Association of Manufacturers</w:t>
      </w:r>
      <w:r>
        <w:rPr>
          <w:b/>
          <w:u w:val="single"/>
        </w:rPr>
        <w:t>:</w:t>
      </w:r>
    </w:p>
    <w:p w14:paraId="37090653" w14:textId="77777777" w:rsidR="003461C9" w:rsidRPr="00EE217F" w:rsidRDefault="003461C9" w:rsidP="003461C9">
      <w:pPr>
        <w:widowControl w:val="0"/>
        <w:tabs>
          <w:tab w:val="left" w:pos="-720"/>
        </w:tabs>
        <w:suppressAutoHyphens/>
        <w:autoSpaceDE w:val="0"/>
        <w:autoSpaceDN w:val="0"/>
        <w:adjustRightInd w:val="0"/>
        <w:spacing w:line="240" w:lineRule="atLeast"/>
        <w:rPr>
          <w:b/>
          <w:u w:val="single"/>
        </w:rPr>
      </w:pPr>
      <w:r w:rsidRPr="00BB3B56">
        <w:rPr>
          <w:b/>
          <w:u w:val="single"/>
        </w:rPr>
        <w:t xml:space="preserve"> </w:t>
      </w:r>
    </w:p>
    <w:p w14:paraId="70446D80" w14:textId="77777777" w:rsidR="003461C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t>CHARLES B. JONES, III, Attorney</w:t>
      </w:r>
    </w:p>
    <w:p w14:paraId="0C29AF0E"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LLOYD AVRAM</w:t>
      </w:r>
    </w:p>
    <w:p w14:paraId="362D60C3" w14:textId="77777777" w:rsidR="003461C9" w:rsidRPr="00426AA9" w:rsidRDefault="003461C9" w:rsidP="003461C9">
      <w:pPr>
        <w:widowControl w:val="0"/>
        <w:tabs>
          <w:tab w:val="left" w:pos="-720"/>
        </w:tabs>
        <w:suppressAutoHyphens/>
        <w:autoSpaceDE w:val="0"/>
        <w:autoSpaceDN w:val="0"/>
        <w:adjustRightInd w:val="0"/>
        <w:spacing w:line="240" w:lineRule="atLeast"/>
      </w:pPr>
      <w:r>
        <w:tab/>
      </w:r>
      <w:r>
        <w:tab/>
      </w:r>
      <w:r>
        <w:tab/>
        <w:t>JEFFRY POLLOCK</w:t>
      </w:r>
    </w:p>
    <w:p w14:paraId="05E5E6EB"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5FD8832F" w14:textId="77777777" w:rsidR="003461C9" w:rsidRDefault="003461C9" w:rsidP="003461C9">
      <w:pPr>
        <w:widowControl w:val="0"/>
        <w:tabs>
          <w:tab w:val="left" w:pos="-720"/>
        </w:tabs>
        <w:suppressAutoHyphens/>
        <w:autoSpaceDE w:val="0"/>
        <w:autoSpaceDN w:val="0"/>
        <w:adjustRightInd w:val="0"/>
        <w:spacing w:line="240" w:lineRule="atLeast"/>
        <w:rPr>
          <w:b/>
          <w:u w:val="single"/>
        </w:rPr>
      </w:pPr>
      <w:r w:rsidRPr="00426AA9">
        <w:tab/>
      </w:r>
      <w:r>
        <w:rPr>
          <w:b/>
          <w:u w:val="single"/>
        </w:rPr>
        <w:t>On behalf of Georgia Center for Energy</w:t>
      </w:r>
    </w:p>
    <w:p w14:paraId="102D9CA9" w14:textId="77777777" w:rsidR="003461C9" w:rsidRPr="00BE5907" w:rsidRDefault="003461C9" w:rsidP="003461C9">
      <w:pPr>
        <w:widowControl w:val="0"/>
        <w:tabs>
          <w:tab w:val="left" w:pos="-720"/>
        </w:tabs>
        <w:suppressAutoHyphens/>
        <w:autoSpaceDE w:val="0"/>
        <w:autoSpaceDN w:val="0"/>
        <w:adjustRightInd w:val="0"/>
        <w:spacing w:line="240" w:lineRule="atLeast"/>
        <w:rPr>
          <w:u w:val="single"/>
        </w:rPr>
      </w:pPr>
      <w:r>
        <w:rPr>
          <w:b/>
        </w:rPr>
        <w:tab/>
      </w:r>
      <w:r>
        <w:rPr>
          <w:b/>
        </w:rPr>
        <w:tab/>
      </w:r>
      <w:r>
        <w:rPr>
          <w:b/>
          <w:u w:val="single"/>
        </w:rPr>
        <w:t>Solutions:</w:t>
      </w:r>
    </w:p>
    <w:p w14:paraId="40DFB92A" w14:textId="77777777" w:rsidR="003461C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61CF5BD2"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PETER HUBBARD</w:t>
      </w:r>
    </w:p>
    <w:p w14:paraId="6B025FC7" w14:textId="77777777" w:rsidR="003461C9" w:rsidRDefault="003461C9" w:rsidP="003461C9">
      <w:pPr>
        <w:widowControl w:val="0"/>
        <w:tabs>
          <w:tab w:val="left" w:pos="-720"/>
        </w:tabs>
        <w:suppressAutoHyphens/>
        <w:autoSpaceDE w:val="0"/>
        <w:autoSpaceDN w:val="0"/>
        <w:adjustRightInd w:val="0"/>
        <w:spacing w:line="240" w:lineRule="atLeast"/>
      </w:pPr>
    </w:p>
    <w:p w14:paraId="552142FD" w14:textId="77777777" w:rsidR="003461C9" w:rsidRDefault="003461C9" w:rsidP="003461C9">
      <w:pPr>
        <w:widowControl w:val="0"/>
        <w:tabs>
          <w:tab w:val="left" w:pos="-720"/>
        </w:tabs>
        <w:suppressAutoHyphens/>
        <w:autoSpaceDE w:val="0"/>
        <w:autoSpaceDN w:val="0"/>
        <w:adjustRightInd w:val="0"/>
        <w:spacing w:line="240" w:lineRule="atLeast"/>
        <w:rPr>
          <w:b/>
          <w:bCs/>
          <w:u w:val="single"/>
        </w:rPr>
      </w:pPr>
      <w:r>
        <w:tab/>
      </w:r>
      <w:r>
        <w:rPr>
          <w:b/>
          <w:bCs/>
          <w:u w:val="single"/>
        </w:rPr>
        <w:t>On behalf of Georgia Coalition of Local</w:t>
      </w:r>
    </w:p>
    <w:p w14:paraId="7813BAC0" w14:textId="77777777" w:rsidR="003461C9" w:rsidRDefault="003461C9" w:rsidP="003461C9">
      <w:pPr>
        <w:widowControl w:val="0"/>
        <w:tabs>
          <w:tab w:val="left" w:pos="-720"/>
        </w:tabs>
        <w:suppressAutoHyphens/>
        <w:autoSpaceDE w:val="0"/>
        <w:autoSpaceDN w:val="0"/>
        <w:adjustRightInd w:val="0"/>
        <w:spacing w:line="240" w:lineRule="atLeast"/>
        <w:rPr>
          <w:b/>
          <w:bCs/>
          <w:u w:val="single"/>
        </w:rPr>
      </w:pPr>
      <w:r>
        <w:rPr>
          <w:b/>
          <w:bCs/>
        </w:rPr>
        <w:tab/>
      </w:r>
      <w:r>
        <w:rPr>
          <w:b/>
          <w:bCs/>
        </w:rPr>
        <w:tab/>
      </w:r>
      <w:r>
        <w:rPr>
          <w:b/>
          <w:bCs/>
          <w:u w:val="single"/>
        </w:rPr>
        <w:t>Governments:</w:t>
      </w:r>
    </w:p>
    <w:p w14:paraId="27F04599" w14:textId="77777777" w:rsidR="003461C9" w:rsidRDefault="003461C9" w:rsidP="003461C9">
      <w:pPr>
        <w:widowControl w:val="0"/>
        <w:tabs>
          <w:tab w:val="left" w:pos="-720"/>
        </w:tabs>
        <w:suppressAutoHyphens/>
        <w:autoSpaceDE w:val="0"/>
        <w:autoSpaceDN w:val="0"/>
        <w:adjustRightInd w:val="0"/>
        <w:spacing w:line="240" w:lineRule="atLeast"/>
        <w:rPr>
          <w:b/>
          <w:bCs/>
          <w:u w:val="single"/>
        </w:rPr>
      </w:pPr>
    </w:p>
    <w:p w14:paraId="47AABD26"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BENJAMIN SNOWDEN, Attorney</w:t>
      </w:r>
    </w:p>
    <w:p w14:paraId="7C2727FA"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CORDON SMART, Attorney</w:t>
      </w:r>
    </w:p>
    <w:p w14:paraId="0535A579"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GERALD CHICHESTER, Attorney</w:t>
      </w:r>
    </w:p>
    <w:p w14:paraId="7619CBF9" w14:textId="77777777" w:rsidR="003461C9" w:rsidRDefault="003461C9" w:rsidP="003461C9">
      <w:pPr>
        <w:widowControl w:val="0"/>
        <w:tabs>
          <w:tab w:val="left" w:pos="-720"/>
        </w:tabs>
        <w:suppressAutoHyphens/>
        <w:autoSpaceDE w:val="0"/>
        <w:autoSpaceDN w:val="0"/>
        <w:adjustRightInd w:val="0"/>
        <w:spacing w:line="240" w:lineRule="atLeast"/>
      </w:pPr>
    </w:p>
    <w:p w14:paraId="56B3186D" w14:textId="77777777" w:rsidR="003461C9" w:rsidRDefault="003461C9" w:rsidP="003461C9">
      <w:pPr>
        <w:widowControl w:val="0"/>
        <w:tabs>
          <w:tab w:val="left" w:pos="-720"/>
        </w:tabs>
        <w:suppressAutoHyphens/>
        <w:autoSpaceDE w:val="0"/>
        <w:autoSpaceDN w:val="0"/>
        <w:adjustRightInd w:val="0"/>
        <w:spacing w:line="240" w:lineRule="atLeast"/>
        <w:rPr>
          <w:b/>
          <w:bCs/>
          <w:u w:val="single"/>
        </w:rPr>
      </w:pPr>
      <w:r>
        <w:tab/>
      </w:r>
      <w:r>
        <w:rPr>
          <w:b/>
          <w:bCs/>
          <w:u w:val="single"/>
        </w:rPr>
        <w:t xml:space="preserve">On behalf of Georgia Conservation Voters </w:t>
      </w:r>
    </w:p>
    <w:p w14:paraId="2FBCE8F0" w14:textId="77777777" w:rsidR="003461C9" w:rsidRPr="00BE5907" w:rsidRDefault="003461C9" w:rsidP="003461C9">
      <w:pPr>
        <w:widowControl w:val="0"/>
        <w:tabs>
          <w:tab w:val="left" w:pos="-720"/>
        </w:tabs>
        <w:suppressAutoHyphens/>
        <w:autoSpaceDE w:val="0"/>
        <w:autoSpaceDN w:val="0"/>
        <w:adjustRightInd w:val="0"/>
        <w:spacing w:line="240" w:lineRule="atLeast"/>
      </w:pPr>
      <w:r w:rsidRPr="0082337F">
        <w:rPr>
          <w:b/>
          <w:bCs/>
        </w:rPr>
        <w:tab/>
      </w:r>
      <w:r w:rsidRPr="0082337F">
        <w:rPr>
          <w:b/>
          <w:bCs/>
        </w:rPr>
        <w:tab/>
      </w:r>
      <w:r>
        <w:rPr>
          <w:b/>
          <w:bCs/>
          <w:u w:val="single"/>
        </w:rPr>
        <w:t>Education Fund:</w:t>
      </w:r>
    </w:p>
    <w:p w14:paraId="7D4102C5" w14:textId="77777777" w:rsidR="003461C9" w:rsidRDefault="003461C9" w:rsidP="003461C9">
      <w:pPr>
        <w:widowControl w:val="0"/>
        <w:tabs>
          <w:tab w:val="left" w:pos="-720"/>
        </w:tabs>
        <w:suppressAutoHyphens/>
        <w:autoSpaceDE w:val="0"/>
        <w:autoSpaceDN w:val="0"/>
        <w:adjustRightInd w:val="0"/>
        <w:spacing w:line="240" w:lineRule="atLeast"/>
        <w:rPr>
          <w:b/>
          <w:u w:val="single"/>
        </w:rPr>
      </w:pPr>
    </w:p>
    <w:p w14:paraId="421439A0" w14:textId="77777777" w:rsidR="003461C9" w:rsidRPr="00B1725F" w:rsidRDefault="003461C9" w:rsidP="003461C9">
      <w:pPr>
        <w:widowControl w:val="0"/>
        <w:tabs>
          <w:tab w:val="left" w:pos="-720"/>
        </w:tabs>
        <w:suppressAutoHyphens/>
        <w:autoSpaceDE w:val="0"/>
        <w:autoSpaceDN w:val="0"/>
        <w:adjustRightInd w:val="0"/>
        <w:spacing w:line="240" w:lineRule="atLeast"/>
        <w:rPr>
          <w:bCs/>
        </w:rPr>
      </w:pPr>
      <w:r>
        <w:rPr>
          <w:bCs/>
        </w:rPr>
        <w:tab/>
      </w:r>
      <w:r>
        <w:rPr>
          <w:bCs/>
        </w:rPr>
        <w:tab/>
      </w:r>
      <w:r>
        <w:rPr>
          <w:bCs/>
        </w:rPr>
        <w:tab/>
        <w:t>JUAN ESTRADA</w:t>
      </w:r>
      <w:r>
        <w:t>, Attorney</w:t>
      </w:r>
    </w:p>
    <w:p w14:paraId="1CF384EC" w14:textId="77777777" w:rsidR="003461C9" w:rsidRDefault="003461C9" w:rsidP="003461C9">
      <w:pPr>
        <w:widowControl w:val="0"/>
        <w:tabs>
          <w:tab w:val="left" w:pos="-720"/>
        </w:tabs>
        <w:suppressAutoHyphens/>
        <w:autoSpaceDE w:val="0"/>
        <w:autoSpaceDN w:val="0"/>
        <w:adjustRightInd w:val="0"/>
        <w:spacing w:line="240" w:lineRule="atLeast"/>
        <w:rPr>
          <w:b/>
          <w:u w:val="single"/>
        </w:rPr>
      </w:pPr>
    </w:p>
    <w:p w14:paraId="453F0463" w14:textId="77777777" w:rsidR="003461C9" w:rsidRPr="00BB3B56" w:rsidRDefault="003461C9" w:rsidP="003461C9">
      <w:pPr>
        <w:widowControl w:val="0"/>
        <w:tabs>
          <w:tab w:val="left" w:pos="-720"/>
        </w:tabs>
        <w:suppressAutoHyphens/>
        <w:autoSpaceDE w:val="0"/>
        <w:autoSpaceDN w:val="0"/>
        <w:adjustRightInd w:val="0"/>
        <w:spacing w:line="240" w:lineRule="atLeast"/>
        <w:rPr>
          <w:b/>
          <w:u w:val="single"/>
        </w:rPr>
      </w:pPr>
      <w:r>
        <w:rPr>
          <w:b/>
        </w:rPr>
        <w:tab/>
      </w:r>
      <w:r w:rsidRPr="00BB3B56">
        <w:rPr>
          <w:b/>
          <w:u w:val="single"/>
        </w:rPr>
        <w:t>On behalf of Georgia Interfaith Power &amp; Light</w:t>
      </w:r>
    </w:p>
    <w:p w14:paraId="1D981BB7" w14:textId="77777777" w:rsidR="003461C9" w:rsidRPr="00BB3B56" w:rsidRDefault="003461C9" w:rsidP="003461C9">
      <w:pPr>
        <w:widowControl w:val="0"/>
        <w:tabs>
          <w:tab w:val="left" w:pos="-720"/>
        </w:tabs>
        <w:suppressAutoHyphens/>
        <w:autoSpaceDE w:val="0"/>
        <w:autoSpaceDN w:val="0"/>
        <w:adjustRightInd w:val="0"/>
        <w:spacing w:line="240" w:lineRule="atLeast"/>
        <w:rPr>
          <w:b/>
        </w:rPr>
      </w:pPr>
      <w:r w:rsidRPr="00BB3B56">
        <w:rPr>
          <w:b/>
        </w:rPr>
        <w:tab/>
      </w:r>
      <w:r w:rsidRPr="00BB3B56">
        <w:rPr>
          <w:b/>
        </w:rPr>
        <w:tab/>
      </w:r>
      <w:r w:rsidRPr="00BB3B56">
        <w:rPr>
          <w:b/>
          <w:u w:val="single"/>
        </w:rPr>
        <w:t>and Partnership for Southern Equity</w:t>
      </w:r>
      <w:r w:rsidRPr="00BB3B56">
        <w:rPr>
          <w:b/>
        </w:rPr>
        <w:t>:</w:t>
      </w:r>
    </w:p>
    <w:p w14:paraId="6F6BF579" w14:textId="77777777" w:rsidR="003461C9" w:rsidRPr="00BB3B56" w:rsidRDefault="003461C9" w:rsidP="003461C9">
      <w:pPr>
        <w:widowControl w:val="0"/>
        <w:tabs>
          <w:tab w:val="left" w:pos="-720"/>
        </w:tabs>
        <w:suppressAutoHyphens/>
        <w:autoSpaceDE w:val="0"/>
        <w:autoSpaceDN w:val="0"/>
        <w:adjustRightInd w:val="0"/>
        <w:spacing w:line="240" w:lineRule="atLeast"/>
        <w:rPr>
          <w:b/>
        </w:rPr>
      </w:pPr>
    </w:p>
    <w:p w14:paraId="1BB5136D"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r>
        <w:t>JENNIFER WHITFIELD</w:t>
      </w:r>
      <w:r w:rsidRPr="00426AA9">
        <w:t>, Attorney</w:t>
      </w:r>
    </w:p>
    <w:p w14:paraId="0CB708CE"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r>
        <w:t>BOB SHERRIER</w:t>
      </w:r>
      <w:r w:rsidRPr="00426AA9">
        <w:t>, Attorney</w:t>
      </w:r>
    </w:p>
    <w:p w14:paraId="64D96FE5"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r>
        <w:t>AMITAV KAMANI</w:t>
      </w:r>
      <w:r w:rsidRPr="00426AA9">
        <w:t>, Attorney</w:t>
      </w:r>
    </w:p>
    <w:p w14:paraId="04A692B7"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055726E3" w14:textId="77777777" w:rsidR="003461C9" w:rsidRDefault="003461C9" w:rsidP="003461C9">
      <w:pPr>
        <w:widowControl w:val="0"/>
        <w:tabs>
          <w:tab w:val="left" w:pos="-720"/>
        </w:tabs>
        <w:suppressAutoHyphens/>
        <w:autoSpaceDE w:val="0"/>
        <w:autoSpaceDN w:val="0"/>
        <w:adjustRightInd w:val="0"/>
        <w:spacing w:line="240" w:lineRule="atLeast"/>
        <w:rPr>
          <w:b/>
          <w:u w:val="single"/>
        </w:rPr>
      </w:pPr>
      <w:r w:rsidRPr="00426AA9">
        <w:tab/>
      </w:r>
      <w:r w:rsidRPr="00BB3B56">
        <w:rPr>
          <w:b/>
          <w:u w:val="single"/>
        </w:rPr>
        <w:t xml:space="preserve">On behalf of </w:t>
      </w:r>
      <w:r>
        <w:rPr>
          <w:b/>
          <w:u w:val="single"/>
        </w:rPr>
        <w:t xml:space="preserve">Georgia Solar Energy </w:t>
      </w:r>
    </w:p>
    <w:p w14:paraId="7B7B92FA" w14:textId="77777777" w:rsidR="003461C9" w:rsidRDefault="003461C9" w:rsidP="003461C9">
      <w:pPr>
        <w:widowControl w:val="0"/>
        <w:tabs>
          <w:tab w:val="left" w:pos="-720"/>
        </w:tabs>
        <w:suppressAutoHyphens/>
        <w:autoSpaceDE w:val="0"/>
        <w:autoSpaceDN w:val="0"/>
        <w:adjustRightInd w:val="0"/>
        <w:spacing w:line="240" w:lineRule="atLeast"/>
        <w:rPr>
          <w:b/>
          <w:u w:val="single"/>
        </w:rPr>
      </w:pPr>
      <w:r>
        <w:rPr>
          <w:b/>
        </w:rPr>
        <w:lastRenderedPageBreak/>
        <w:tab/>
      </w:r>
      <w:r>
        <w:rPr>
          <w:b/>
        </w:rPr>
        <w:tab/>
      </w:r>
      <w:r>
        <w:rPr>
          <w:b/>
          <w:u w:val="single"/>
        </w:rPr>
        <w:t>Industries Association:</w:t>
      </w:r>
    </w:p>
    <w:p w14:paraId="4EC269B8" w14:textId="77777777" w:rsidR="003461C9" w:rsidRDefault="003461C9" w:rsidP="003461C9">
      <w:pPr>
        <w:widowControl w:val="0"/>
        <w:tabs>
          <w:tab w:val="left" w:pos="-720"/>
        </w:tabs>
        <w:suppressAutoHyphens/>
        <w:autoSpaceDE w:val="0"/>
        <w:autoSpaceDN w:val="0"/>
        <w:adjustRightInd w:val="0"/>
        <w:spacing w:line="240" w:lineRule="atLeast"/>
      </w:pPr>
    </w:p>
    <w:p w14:paraId="135E9D13"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STEVEN JONES, Attorney</w:t>
      </w:r>
    </w:p>
    <w:p w14:paraId="2FBCA497"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MATTHEW MCKAGEN, Attorney</w:t>
      </w:r>
    </w:p>
    <w:p w14:paraId="730301A7"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STEPHEN BUTLER</w:t>
      </w:r>
    </w:p>
    <w:p w14:paraId="55636AD6" w14:textId="77777777" w:rsidR="003461C9" w:rsidRDefault="003461C9" w:rsidP="003461C9">
      <w:pPr>
        <w:widowControl w:val="0"/>
        <w:tabs>
          <w:tab w:val="left" w:pos="-720"/>
        </w:tabs>
        <w:suppressAutoHyphens/>
        <w:autoSpaceDE w:val="0"/>
        <w:autoSpaceDN w:val="0"/>
        <w:adjustRightInd w:val="0"/>
        <w:spacing w:line="240" w:lineRule="atLeast"/>
      </w:pPr>
    </w:p>
    <w:p w14:paraId="620687A8" w14:textId="77777777" w:rsidR="003461C9" w:rsidRDefault="003461C9" w:rsidP="003461C9">
      <w:pPr>
        <w:widowControl w:val="0"/>
        <w:tabs>
          <w:tab w:val="left" w:pos="-720"/>
        </w:tabs>
        <w:suppressAutoHyphens/>
        <w:autoSpaceDE w:val="0"/>
        <w:autoSpaceDN w:val="0"/>
        <w:adjustRightInd w:val="0"/>
        <w:spacing w:line="240" w:lineRule="atLeast"/>
        <w:rPr>
          <w:b/>
          <w:u w:val="single"/>
        </w:rPr>
      </w:pPr>
      <w:r>
        <w:rPr>
          <w:b/>
        </w:rPr>
        <w:tab/>
      </w:r>
      <w:r w:rsidRPr="00BB3B56">
        <w:rPr>
          <w:b/>
          <w:u w:val="single"/>
        </w:rPr>
        <w:t xml:space="preserve">On behalf of Georgia </w:t>
      </w:r>
      <w:r>
        <w:rPr>
          <w:b/>
          <w:u w:val="single"/>
        </w:rPr>
        <w:t>Solar Energy Association</w:t>
      </w:r>
    </w:p>
    <w:p w14:paraId="2F8F11CC" w14:textId="77777777" w:rsidR="003461C9" w:rsidRDefault="003461C9" w:rsidP="003461C9">
      <w:pPr>
        <w:widowControl w:val="0"/>
        <w:tabs>
          <w:tab w:val="left" w:pos="-720"/>
        </w:tabs>
        <w:suppressAutoHyphens/>
        <w:autoSpaceDE w:val="0"/>
        <w:autoSpaceDN w:val="0"/>
        <w:adjustRightInd w:val="0"/>
        <w:spacing w:line="240" w:lineRule="atLeast"/>
        <w:rPr>
          <w:b/>
          <w:u w:val="single"/>
        </w:rPr>
      </w:pPr>
      <w:r>
        <w:rPr>
          <w:bCs/>
        </w:rPr>
        <w:tab/>
      </w:r>
      <w:r>
        <w:rPr>
          <w:bCs/>
        </w:rPr>
        <w:tab/>
      </w:r>
      <w:r w:rsidRPr="0031180F">
        <w:rPr>
          <w:b/>
          <w:u w:val="single"/>
        </w:rPr>
        <w:t>“GA SOLAR”</w:t>
      </w:r>
    </w:p>
    <w:p w14:paraId="1EAA89D1" w14:textId="77777777" w:rsidR="003461C9" w:rsidRPr="0031180F" w:rsidRDefault="003461C9" w:rsidP="003461C9">
      <w:pPr>
        <w:widowControl w:val="0"/>
        <w:tabs>
          <w:tab w:val="left" w:pos="-720"/>
        </w:tabs>
        <w:suppressAutoHyphens/>
        <w:autoSpaceDE w:val="0"/>
        <w:autoSpaceDN w:val="0"/>
        <w:adjustRightInd w:val="0"/>
        <w:spacing w:line="240" w:lineRule="atLeast"/>
        <w:rPr>
          <w:b/>
          <w:u w:val="single"/>
        </w:rPr>
      </w:pPr>
    </w:p>
    <w:p w14:paraId="0F75CE14" w14:textId="77777777" w:rsidR="003461C9" w:rsidRDefault="003461C9" w:rsidP="003461C9">
      <w:pPr>
        <w:widowControl w:val="0"/>
        <w:tabs>
          <w:tab w:val="left" w:pos="-720"/>
        </w:tabs>
        <w:suppressAutoHyphens/>
        <w:autoSpaceDE w:val="0"/>
        <w:autoSpaceDN w:val="0"/>
        <w:adjustRightInd w:val="0"/>
        <w:spacing w:line="240" w:lineRule="atLeast"/>
        <w:rPr>
          <w:bCs/>
        </w:rPr>
      </w:pPr>
      <w:r>
        <w:rPr>
          <w:b/>
        </w:rPr>
        <w:tab/>
      </w:r>
      <w:r>
        <w:rPr>
          <w:b/>
        </w:rPr>
        <w:tab/>
      </w:r>
      <w:r>
        <w:rPr>
          <w:b/>
        </w:rPr>
        <w:tab/>
      </w:r>
      <w:r>
        <w:rPr>
          <w:bCs/>
        </w:rPr>
        <w:t>DONALD MORELAND</w:t>
      </w:r>
    </w:p>
    <w:p w14:paraId="356F7CC1" w14:textId="77777777" w:rsidR="003461C9" w:rsidRDefault="003461C9" w:rsidP="003461C9">
      <w:pPr>
        <w:widowControl w:val="0"/>
        <w:tabs>
          <w:tab w:val="left" w:pos="-720"/>
        </w:tabs>
        <w:suppressAutoHyphens/>
        <w:autoSpaceDE w:val="0"/>
        <w:autoSpaceDN w:val="0"/>
        <w:adjustRightInd w:val="0"/>
        <w:spacing w:line="240" w:lineRule="atLeast"/>
        <w:rPr>
          <w:b/>
        </w:rPr>
      </w:pPr>
      <w:r>
        <w:rPr>
          <w:b/>
        </w:rPr>
        <w:tab/>
      </w:r>
    </w:p>
    <w:p w14:paraId="1111C764" w14:textId="77777777" w:rsidR="003461C9" w:rsidRPr="00BB3B56" w:rsidRDefault="003461C9" w:rsidP="003461C9">
      <w:pPr>
        <w:widowControl w:val="0"/>
        <w:tabs>
          <w:tab w:val="left" w:pos="-720"/>
        </w:tabs>
        <w:suppressAutoHyphens/>
        <w:autoSpaceDE w:val="0"/>
        <w:autoSpaceDN w:val="0"/>
        <w:adjustRightInd w:val="0"/>
        <w:spacing w:line="240" w:lineRule="atLeast"/>
        <w:rPr>
          <w:b/>
        </w:rPr>
      </w:pPr>
      <w:r>
        <w:rPr>
          <w:b/>
        </w:rPr>
        <w:tab/>
      </w:r>
      <w:r w:rsidRPr="00BB3B56">
        <w:rPr>
          <w:b/>
          <w:u w:val="single"/>
        </w:rPr>
        <w:t>On behalf of</w:t>
      </w:r>
      <w:r>
        <w:rPr>
          <w:b/>
          <w:u w:val="single"/>
        </w:rPr>
        <w:t xml:space="preserve"> Georgia Watch:</w:t>
      </w:r>
    </w:p>
    <w:p w14:paraId="721B018B" w14:textId="77777777" w:rsidR="003461C9" w:rsidRPr="00BB3B56" w:rsidRDefault="003461C9" w:rsidP="003461C9">
      <w:pPr>
        <w:widowControl w:val="0"/>
        <w:tabs>
          <w:tab w:val="left" w:pos="-720"/>
        </w:tabs>
        <w:suppressAutoHyphens/>
        <w:autoSpaceDE w:val="0"/>
        <w:autoSpaceDN w:val="0"/>
        <w:adjustRightInd w:val="0"/>
        <w:spacing w:line="240" w:lineRule="atLeast"/>
        <w:rPr>
          <w:b/>
        </w:rPr>
      </w:pPr>
    </w:p>
    <w:p w14:paraId="111736DF" w14:textId="77777777" w:rsidR="003461C9" w:rsidRPr="00860A43" w:rsidRDefault="003461C9" w:rsidP="003461C9">
      <w:pPr>
        <w:widowControl w:val="0"/>
        <w:tabs>
          <w:tab w:val="left" w:pos="-720"/>
        </w:tabs>
        <w:suppressAutoHyphens/>
        <w:autoSpaceDE w:val="0"/>
        <w:autoSpaceDN w:val="0"/>
        <w:adjustRightInd w:val="0"/>
        <w:spacing w:line="240" w:lineRule="atLeast"/>
      </w:pPr>
      <w:r w:rsidRPr="00BB3B56">
        <w:rPr>
          <w:b/>
        </w:rPr>
        <w:tab/>
      </w:r>
      <w:r w:rsidRPr="00BB3B56">
        <w:rPr>
          <w:b/>
        </w:rPr>
        <w:tab/>
      </w:r>
      <w:r w:rsidRPr="00426AA9">
        <w:tab/>
        <w:t>LIZ COYLE</w:t>
      </w:r>
    </w:p>
    <w:p w14:paraId="42A0C8C7" w14:textId="77777777" w:rsidR="003461C9" w:rsidRPr="003A5465" w:rsidRDefault="003461C9" w:rsidP="003461C9">
      <w:pPr>
        <w:widowControl w:val="0"/>
        <w:tabs>
          <w:tab w:val="left" w:pos="-720"/>
        </w:tabs>
        <w:suppressAutoHyphens/>
        <w:autoSpaceDE w:val="0"/>
        <w:autoSpaceDN w:val="0"/>
        <w:adjustRightInd w:val="0"/>
        <w:spacing w:line="240" w:lineRule="atLeast"/>
        <w:rPr>
          <w:bCs/>
        </w:rPr>
      </w:pPr>
    </w:p>
    <w:p w14:paraId="2D4343E0" w14:textId="77777777" w:rsidR="003461C9" w:rsidRDefault="003461C9" w:rsidP="003461C9">
      <w:pPr>
        <w:widowControl w:val="0"/>
        <w:tabs>
          <w:tab w:val="left" w:pos="-720"/>
        </w:tabs>
        <w:suppressAutoHyphens/>
        <w:autoSpaceDE w:val="0"/>
        <w:autoSpaceDN w:val="0"/>
        <w:adjustRightInd w:val="0"/>
        <w:spacing w:line="240" w:lineRule="atLeast"/>
        <w:rPr>
          <w:b/>
          <w:u w:val="single"/>
        </w:rPr>
      </w:pPr>
      <w:r w:rsidRPr="00426AA9">
        <w:tab/>
      </w:r>
      <w:r w:rsidRPr="00BB3B56">
        <w:rPr>
          <w:b/>
          <w:u w:val="single"/>
        </w:rPr>
        <w:t xml:space="preserve">On behalf of Georgia </w:t>
      </w:r>
      <w:r>
        <w:rPr>
          <w:b/>
          <w:u w:val="single"/>
        </w:rPr>
        <w:t>WAND Education Fund Inc. and</w:t>
      </w:r>
    </w:p>
    <w:p w14:paraId="088FAA17" w14:textId="77777777" w:rsidR="003461C9" w:rsidRPr="00F46928" w:rsidRDefault="003461C9" w:rsidP="003461C9">
      <w:pPr>
        <w:widowControl w:val="0"/>
        <w:tabs>
          <w:tab w:val="left" w:pos="-720"/>
        </w:tabs>
        <w:suppressAutoHyphens/>
        <w:autoSpaceDE w:val="0"/>
        <w:autoSpaceDN w:val="0"/>
        <w:adjustRightInd w:val="0"/>
        <w:spacing w:line="240" w:lineRule="atLeast"/>
        <w:rPr>
          <w:b/>
          <w:u w:val="single"/>
        </w:rPr>
      </w:pPr>
      <w:r>
        <w:rPr>
          <w:b/>
        </w:rPr>
        <w:tab/>
      </w:r>
      <w:r>
        <w:rPr>
          <w:b/>
        </w:rPr>
        <w:tab/>
      </w:r>
      <w:r w:rsidRPr="00F46928">
        <w:rPr>
          <w:b/>
          <w:u w:val="single"/>
        </w:rPr>
        <w:t>Vote Solar:</w:t>
      </w:r>
    </w:p>
    <w:p w14:paraId="0A7CF34D" w14:textId="77777777" w:rsidR="003461C9" w:rsidRPr="00BB3B56" w:rsidRDefault="003461C9" w:rsidP="003461C9">
      <w:pPr>
        <w:widowControl w:val="0"/>
        <w:tabs>
          <w:tab w:val="left" w:pos="-720"/>
        </w:tabs>
        <w:suppressAutoHyphens/>
        <w:autoSpaceDE w:val="0"/>
        <w:autoSpaceDN w:val="0"/>
        <w:adjustRightInd w:val="0"/>
        <w:spacing w:line="240" w:lineRule="atLeast"/>
        <w:rPr>
          <w:b/>
        </w:rPr>
      </w:pPr>
    </w:p>
    <w:p w14:paraId="768E7443" w14:textId="77777777" w:rsidR="003461C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r>
        <w:t>JUAN ESTRADA, Attorney</w:t>
      </w:r>
    </w:p>
    <w:p w14:paraId="520F1D62" w14:textId="77777777" w:rsidR="003461C9" w:rsidRPr="003A5465" w:rsidRDefault="003461C9" w:rsidP="003461C9">
      <w:pPr>
        <w:widowControl w:val="0"/>
        <w:tabs>
          <w:tab w:val="left" w:pos="-720"/>
        </w:tabs>
        <w:suppressAutoHyphens/>
        <w:autoSpaceDE w:val="0"/>
        <w:autoSpaceDN w:val="0"/>
        <w:adjustRightInd w:val="0"/>
        <w:spacing w:line="240" w:lineRule="atLeast"/>
      </w:pPr>
    </w:p>
    <w:p w14:paraId="28E719EF" w14:textId="77777777" w:rsidR="003461C9" w:rsidRPr="00691220" w:rsidRDefault="003461C9" w:rsidP="003461C9">
      <w:pPr>
        <w:widowControl w:val="0"/>
        <w:tabs>
          <w:tab w:val="left" w:pos="-720"/>
        </w:tabs>
        <w:suppressAutoHyphens/>
        <w:autoSpaceDE w:val="0"/>
        <w:autoSpaceDN w:val="0"/>
        <w:adjustRightInd w:val="0"/>
        <w:spacing w:line="240" w:lineRule="atLeast"/>
        <w:rPr>
          <w:b/>
          <w:u w:val="single"/>
        </w:rPr>
      </w:pPr>
      <w:r w:rsidRPr="00426AA9">
        <w:tab/>
      </w:r>
      <w:r w:rsidRPr="00BB3B56">
        <w:rPr>
          <w:b/>
          <w:u w:val="single"/>
        </w:rPr>
        <w:t xml:space="preserve">On </w:t>
      </w:r>
      <w:r w:rsidRPr="00691220">
        <w:rPr>
          <w:b/>
          <w:u w:val="single"/>
        </w:rPr>
        <w:t xml:space="preserve">behalf of Metropolitan Atlanta Rapid </w:t>
      </w:r>
    </w:p>
    <w:p w14:paraId="44DABDCA" w14:textId="77777777" w:rsidR="003461C9" w:rsidRPr="00691220" w:rsidRDefault="003461C9" w:rsidP="003461C9">
      <w:pPr>
        <w:widowControl w:val="0"/>
        <w:tabs>
          <w:tab w:val="left" w:pos="-720"/>
        </w:tabs>
        <w:suppressAutoHyphens/>
        <w:autoSpaceDE w:val="0"/>
        <w:autoSpaceDN w:val="0"/>
        <w:adjustRightInd w:val="0"/>
        <w:spacing w:line="240" w:lineRule="atLeast"/>
        <w:rPr>
          <w:b/>
          <w:u w:val="single"/>
        </w:rPr>
      </w:pPr>
      <w:r w:rsidRPr="00691220">
        <w:rPr>
          <w:b/>
        </w:rPr>
        <w:tab/>
      </w:r>
      <w:r w:rsidRPr="00691220">
        <w:rPr>
          <w:b/>
        </w:rPr>
        <w:tab/>
      </w:r>
      <w:r w:rsidRPr="00691220">
        <w:rPr>
          <w:b/>
          <w:u w:val="single"/>
        </w:rPr>
        <w:t>Transit Authority (MARTA):</w:t>
      </w:r>
    </w:p>
    <w:p w14:paraId="16AFD1AA" w14:textId="77777777" w:rsidR="003461C9" w:rsidRPr="00691220" w:rsidRDefault="003461C9" w:rsidP="003461C9">
      <w:pPr>
        <w:widowControl w:val="0"/>
        <w:tabs>
          <w:tab w:val="left" w:pos="-720"/>
        </w:tabs>
        <w:suppressAutoHyphens/>
        <w:autoSpaceDE w:val="0"/>
        <w:autoSpaceDN w:val="0"/>
        <w:adjustRightInd w:val="0"/>
        <w:spacing w:line="240" w:lineRule="atLeast"/>
        <w:rPr>
          <w:b/>
          <w:u w:val="single"/>
        </w:rPr>
      </w:pPr>
    </w:p>
    <w:p w14:paraId="720B3415" w14:textId="77777777" w:rsidR="003461C9" w:rsidRDefault="003461C9" w:rsidP="003461C9">
      <w:pPr>
        <w:widowControl w:val="0"/>
        <w:tabs>
          <w:tab w:val="left" w:pos="-720"/>
        </w:tabs>
        <w:suppressAutoHyphens/>
        <w:autoSpaceDE w:val="0"/>
        <w:autoSpaceDN w:val="0"/>
        <w:adjustRightInd w:val="0"/>
        <w:spacing w:line="240" w:lineRule="atLeast"/>
      </w:pPr>
      <w:r w:rsidRPr="00691220">
        <w:tab/>
      </w:r>
      <w:r w:rsidRPr="00691220">
        <w:tab/>
      </w:r>
      <w:r w:rsidRPr="00691220">
        <w:tab/>
      </w:r>
      <w:r>
        <w:t>KIMBERLY STURM, Attorney</w:t>
      </w:r>
    </w:p>
    <w:p w14:paraId="32D9F4DA" w14:textId="77777777" w:rsidR="003461C9" w:rsidRPr="00691220" w:rsidRDefault="003461C9" w:rsidP="003461C9">
      <w:pPr>
        <w:widowControl w:val="0"/>
        <w:tabs>
          <w:tab w:val="left" w:pos="-720"/>
        </w:tabs>
        <w:suppressAutoHyphens/>
        <w:autoSpaceDE w:val="0"/>
        <w:autoSpaceDN w:val="0"/>
        <w:adjustRightInd w:val="0"/>
        <w:spacing w:line="240" w:lineRule="atLeast"/>
      </w:pPr>
      <w:r>
        <w:tab/>
      </w:r>
      <w:r>
        <w:tab/>
      </w:r>
      <w:r>
        <w:tab/>
        <w:t>JONATHAN HUNT, Attorney</w:t>
      </w:r>
    </w:p>
    <w:p w14:paraId="6E932656" w14:textId="77777777" w:rsidR="003461C9" w:rsidRPr="00691220" w:rsidRDefault="003461C9" w:rsidP="003461C9">
      <w:pPr>
        <w:widowControl w:val="0"/>
        <w:tabs>
          <w:tab w:val="left" w:pos="-720"/>
        </w:tabs>
        <w:suppressAutoHyphens/>
        <w:autoSpaceDE w:val="0"/>
        <w:autoSpaceDN w:val="0"/>
        <w:adjustRightInd w:val="0"/>
        <w:spacing w:line="240" w:lineRule="atLeast"/>
      </w:pPr>
    </w:p>
    <w:p w14:paraId="1E329499" w14:textId="77777777" w:rsidR="003461C9" w:rsidRPr="00691220" w:rsidRDefault="003461C9" w:rsidP="003461C9">
      <w:pPr>
        <w:widowControl w:val="0"/>
        <w:tabs>
          <w:tab w:val="left" w:pos="-720"/>
        </w:tabs>
        <w:suppressAutoHyphens/>
        <w:autoSpaceDE w:val="0"/>
        <w:autoSpaceDN w:val="0"/>
        <w:adjustRightInd w:val="0"/>
        <w:spacing w:line="240" w:lineRule="atLeast"/>
        <w:rPr>
          <w:b/>
          <w:u w:val="single"/>
        </w:rPr>
      </w:pPr>
      <w:r w:rsidRPr="00691220">
        <w:tab/>
      </w:r>
      <w:r w:rsidRPr="00691220">
        <w:rPr>
          <w:b/>
          <w:u w:val="single"/>
        </w:rPr>
        <w:t>On behalf of Microsoft Corporation:</w:t>
      </w:r>
    </w:p>
    <w:p w14:paraId="157B8607" w14:textId="77777777" w:rsidR="003461C9" w:rsidRPr="00691220" w:rsidRDefault="003461C9" w:rsidP="003461C9">
      <w:pPr>
        <w:widowControl w:val="0"/>
        <w:tabs>
          <w:tab w:val="left" w:pos="-720"/>
        </w:tabs>
        <w:suppressAutoHyphens/>
        <w:autoSpaceDE w:val="0"/>
        <w:autoSpaceDN w:val="0"/>
        <w:adjustRightInd w:val="0"/>
        <w:spacing w:line="240" w:lineRule="atLeast"/>
        <w:rPr>
          <w:bCs/>
        </w:rPr>
      </w:pPr>
    </w:p>
    <w:p w14:paraId="3ED18938" w14:textId="77777777" w:rsidR="003461C9" w:rsidRPr="00691220" w:rsidRDefault="003461C9" w:rsidP="003461C9">
      <w:pPr>
        <w:widowControl w:val="0"/>
        <w:tabs>
          <w:tab w:val="left" w:pos="-720"/>
        </w:tabs>
        <w:suppressAutoHyphens/>
        <w:autoSpaceDE w:val="0"/>
        <w:autoSpaceDN w:val="0"/>
        <w:adjustRightInd w:val="0"/>
        <w:spacing w:line="240" w:lineRule="atLeast"/>
        <w:rPr>
          <w:bCs/>
        </w:rPr>
      </w:pPr>
      <w:r w:rsidRPr="00691220">
        <w:rPr>
          <w:bCs/>
        </w:rPr>
        <w:tab/>
      </w:r>
      <w:r w:rsidRPr="00691220">
        <w:rPr>
          <w:bCs/>
        </w:rPr>
        <w:tab/>
      </w:r>
      <w:r w:rsidRPr="00691220">
        <w:rPr>
          <w:bCs/>
        </w:rPr>
        <w:tab/>
        <w:t>CHIMERA THOMPSON</w:t>
      </w:r>
      <w:r>
        <w:t>, Attorney</w:t>
      </w:r>
    </w:p>
    <w:p w14:paraId="0789F88C" w14:textId="77777777" w:rsidR="003461C9" w:rsidRPr="00691220" w:rsidRDefault="003461C9" w:rsidP="003461C9">
      <w:pPr>
        <w:widowControl w:val="0"/>
        <w:tabs>
          <w:tab w:val="left" w:pos="-720"/>
        </w:tabs>
        <w:suppressAutoHyphens/>
        <w:autoSpaceDE w:val="0"/>
        <w:autoSpaceDN w:val="0"/>
        <w:adjustRightInd w:val="0"/>
        <w:spacing w:line="240" w:lineRule="atLeast"/>
        <w:rPr>
          <w:bCs/>
        </w:rPr>
      </w:pPr>
      <w:r w:rsidRPr="00691220">
        <w:rPr>
          <w:bCs/>
        </w:rPr>
        <w:tab/>
      </w:r>
      <w:r w:rsidRPr="00691220">
        <w:rPr>
          <w:bCs/>
        </w:rPr>
        <w:tab/>
      </w:r>
      <w:r w:rsidRPr="00691220">
        <w:rPr>
          <w:bCs/>
        </w:rPr>
        <w:tab/>
        <w:t>KIMBERLY FRANK</w:t>
      </w:r>
    </w:p>
    <w:p w14:paraId="5310C61C" w14:textId="77777777" w:rsidR="003461C9" w:rsidRPr="00691220" w:rsidRDefault="003461C9" w:rsidP="003461C9">
      <w:pPr>
        <w:widowControl w:val="0"/>
        <w:tabs>
          <w:tab w:val="left" w:pos="-720"/>
        </w:tabs>
        <w:suppressAutoHyphens/>
        <w:autoSpaceDE w:val="0"/>
        <w:autoSpaceDN w:val="0"/>
        <w:adjustRightInd w:val="0"/>
        <w:spacing w:line="240" w:lineRule="atLeast"/>
      </w:pPr>
      <w:r w:rsidRPr="00691220">
        <w:rPr>
          <w:bCs/>
        </w:rPr>
        <w:tab/>
      </w:r>
      <w:r w:rsidRPr="00691220">
        <w:rPr>
          <w:bCs/>
        </w:rPr>
        <w:tab/>
      </w:r>
      <w:r w:rsidRPr="00691220">
        <w:rPr>
          <w:bCs/>
        </w:rPr>
        <w:tab/>
        <w:t>TYLER MAULDIN</w:t>
      </w:r>
      <w:r w:rsidRPr="00691220">
        <w:tab/>
      </w:r>
    </w:p>
    <w:p w14:paraId="458D034D"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691220">
        <w:tab/>
      </w:r>
      <w:r w:rsidRPr="00691220">
        <w:tab/>
      </w:r>
      <w:r w:rsidRPr="00691220">
        <w:tab/>
      </w:r>
      <w:r w:rsidRPr="00426AA9">
        <w:tab/>
      </w:r>
      <w:r w:rsidRPr="00426AA9">
        <w:tab/>
      </w:r>
      <w:r w:rsidRPr="00426AA9">
        <w:tab/>
      </w:r>
    </w:p>
    <w:p w14:paraId="4DC486BA" w14:textId="77777777" w:rsidR="003461C9" w:rsidRPr="00BB3B56" w:rsidRDefault="003461C9" w:rsidP="003461C9">
      <w:pPr>
        <w:widowControl w:val="0"/>
        <w:tabs>
          <w:tab w:val="left" w:pos="-720"/>
        </w:tabs>
        <w:suppressAutoHyphens/>
        <w:autoSpaceDE w:val="0"/>
        <w:autoSpaceDN w:val="0"/>
        <w:adjustRightInd w:val="0"/>
        <w:spacing w:line="240" w:lineRule="atLeast"/>
        <w:rPr>
          <w:b/>
        </w:rPr>
      </w:pPr>
      <w:r w:rsidRPr="00426AA9">
        <w:tab/>
      </w:r>
      <w:r w:rsidRPr="00BB3B56">
        <w:rPr>
          <w:b/>
          <w:u w:val="single"/>
        </w:rPr>
        <w:t>On behalf of Resource Supply Management</w:t>
      </w:r>
      <w:r w:rsidRPr="00BB3B56">
        <w:rPr>
          <w:b/>
        </w:rPr>
        <w:t>:</w:t>
      </w:r>
    </w:p>
    <w:p w14:paraId="07715AAD" w14:textId="77777777" w:rsidR="003461C9" w:rsidRPr="00BB3B56" w:rsidRDefault="003461C9" w:rsidP="003461C9">
      <w:pPr>
        <w:widowControl w:val="0"/>
        <w:tabs>
          <w:tab w:val="left" w:pos="-720"/>
        </w:tabs>
        <w:suppressAutoHyphens/>
        <w:autoSpaceDE w:val="0"/>
        <w:autoSpaceDN w:val="0"/>
        <w:adjustRightInd w:val="0"/>
        <w:spacing w:line="240" w:lineRule="atLeast"/>
        <w:rPr>
          <w:b/>
        </w:rPr>
      </w:pPr>
    </w:p>
    <w:p w14:paraId="22B04ECE" w14:textId="77777777" w:rsidR="003461C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t>JAMES CLARKSON</w:t>
      </w:r>
    </w:p>
    <w:p w14:paraId="60CBF1E7" w14:textId="77777777" w:rsidR="003461C9" w:rsidRPr="00A3118B" w:rsidRDefault="003461C9" w:rsidP="003461C9">
      <w:pPr>
        <w:widowControl w:val="0"/>
        <w:tabs>
          <w:tab w:val="left" w:pos="-720"/>
        </w:tabs>
        <w:suppressAutoHyphens/>
        <w:autoSpaceDE w:val="0"/>
        <w:autoSpaceDN w:val="0"/>
        <w:adjustRightInd w:val="0"/>
        <w:spacing w:line="240" w:lineRule="atLeast"/>
      </w:pPr>
      <w:r>
        <w:tab/>
      </w:r>
      <w:r>
        <w:tab/>
      </w:r>
      <w:r>
        <w:tab/>
        <w:t>ROBERT BAKER, Attorney</w:t>
      </w:r>
    </w:p>
    <w:p w14:paraId="0B0C062F"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6755F5B0" w14:textId="77777777" w:rsidR="003461C9" w:rsidRDefault="003461C9" w:rsidP="003461C9">
      <w:pPr>
        <w:widowControl w:val="0"/>
        <w:tabs>
          <w:tab w:val="left" w:pos="-720"/>
        </w:tabs>
        <w:suppressAutoHyphens/>
        <w:autoSpaceDE w:val="0"/>
        <w:autoSpaceDN w:val="0"/>
        <w:adjustRightInd w:val="0"/>
        <w:spacing w:line="240" w:lineRule="atLeast"/>
        <w:rPr>
          <w:b/>
          <w:u w:val="single"/>
        </w:rPr>
      </w:pPr>
      <w:r w:rsidRPr="00426AA9">
        <w:tab/>
      </w:r>
      <w:r w:rsidRPr="00BB3B56">
        <w:rPr>
          <w:b/>
          <w:u w:val="single"/>
        </w:rPr>
        <w:t>On behalf of the Sierra Club</w:t>
      </w:r>
      <w:r>
        <w:rPr>
          <w:b/>
          <w:u w:val="single"/>
        </w:rPr>
        <w:t xml:space="preserve">, Southern Alliance </w:t>
      </w:r>
    </w:p>
    <w:p w14:paraId="67BF5F1D" w14:textId="77777777" w:rsidR="003461C9" w:rsidRDefault="003461C9" w:rsidP="003461C9">
      <w:pPr>
        <w:widowControl w:val="0"/>
        <w:tabs>
          <w:tab w:val="left" w:pos="-720"/>
        </w:tabs>
        <w:suppressAutoHyphens/>
        <w:autoSpaceDE w:val="0"/>
        <w:autoSpaceDN w:val="0"/>
        <w:adjustRightInd w:val="0"/>
        <w:spacing w:line="240" w:lineRule="atLeast"/>
        <w:rPr>
          <w:b/>
          <w:u w:val="single"/>
        </w:rPr>
      </w:pPr>
      <w:r>
        <w:rPr>
          <w:b/>
        </w:rPr>
        <w:tab/>
      </w:r>
      <w:r>
        <w:rPr>
          <w:b/>
        </w:rPr>
        <w:tab/>
      </w:r>
      <w:r>
        <w:rPr>
          <w:b/>
          <w:u w:val="single"/>
        </w:rPr>
        <w:t xml:space="preserve">for Clean Energy and The </w:t>
      </w:r>
    </w:p>
    <w:p w14:paraId="33B0D73E" w14:textId="77777777" w:rsidR="003461C9" w:rsidRPr="00BB3B56" w:rsidRDefault="003461C9" w:rsidP="003461C9">
      <w:pPr>
        <w:widowControl w:val="0"/>
        <w:tabs>
          <w:tab w:val="left" w:pos="-720"/>
        </w:tabs>
        <w:suppressAutoHyphens/>
        <w:autoSpaceDE w:val="0"/>
        <w:autoSpaceDN w:val="0"/>
        <w:adjustRightInd w:val="0"/>
        <w:spacing w:line="240" w:lineRule="atLeast"/>
        <w:rPr>
          <w:b/>
        </w:rPr>
      </w:pPr>
      <w:r>
        <w:rPr>
          <w:b/>
        </w:rPr>
        <w:tab/>
      </w:r>
      <w:r>
        <w:rPr>
          <w:b/>
        </w:rPr>
        <w:tab/>
      </w:r>
      <w:r>
        <w:rPr>
          <w:b/>
          <w:u w:val="single"/>
        </w:rPr>
        <w:t>Natural Resources Defense Counsel</w:t>
      </w:r>
      <w:r w:rsidRPr="00BB3B56">
        <w:rPr>
          <w:b/>
        </w:rPr>
        <w:t>:</w:t>
      </w:r>
    </w:p>
    <w:p w14:paraId="223E3B18" w14:textId="77777777" w:rsidR="003461C9" w:rsidRPr="00426AA9" w:rsidRDefault="003461C9" w:rsidP="003461C9">
      <w:pPr>
        <w:widowControl w:val="0"/>
        <w:tabs>
          <w:tab w:val="left" w:pos="-720"/>
        </w:tabs>
        <w:suppressAutoHyphens/>
        <w:autoSpaceDE w:val="0"/>
        <w:autoSpaceDN w:val="0"/>
        <w:adjustRightInd w:val="0"/>
        <w:spacing w:line="240" w:lineRule="atLeast"/>
      </w:pPr>
    </w:p>
    <w:p w14:paraId="486DCBD4" w14:textId="77777777" w:rsidR="003461C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t>ZACHARY M. FABISH, Attorney</w:t>
      </w:r>
    </w:p>
    <w:p w14:paraId="37316220" w14:textId="77777777" w:rsidR="003461C9" w:rsidRPr="00426AA9" w:rsidRDefault="003461C9" w:rsidP="003461C9">
      <w:pPr>
        <w:widowControl w:val="0"/>
        <w:tabs>
          <w:tab w:val="left" w:pos="-720"/>
        </w:tabs>
        <w:suppressAutoHyphens/>
        <w:autoSpaceDE w:val="0"/>
        <w:autoSpaceDN w:val="0"/>
        <w:adjustRightInd w:val="0"/>
        <w:spacing w:line="240" w:lineRule="atLeast"/>
      </w:pPr>
      <w:r>
        <w:tab/>
      </w:r>
      <w:r>
        <w:tab/>
      </w:r>
      <w:r>
        <w:tab/>
        <w:t>CURT THOMPSON</w:t>
      </w:r>
    </w:p>
    <w:p w14:paraId="7C8E44DB"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r w:rsidRPr="00F47986">
        <w:rPr>
          <w:caps/>
        </w:rPr>
        <w:t>Isabella Ariza</w:t>
      </w:r>
      <w:r w:rsidRPr="00426AA9">
        <w:t>, Attorney</w:t>
      </w:r>
    </w:p>
    <w:p w14:paraId="78F48096"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lastRenderedPageBreak/>
        <w:tab/>
      </w:r>
      <w:r w:rsidRPr="00426AA9">
        <w:tab/>
      </w:r>
      <w:r w:rsidRPr="00426AA9">
        <w:tab/>
      </w:r>
    </w:p>
    <w:p w14:paraId="56F60495" w14:textId="77777777" w:rsidR="003461C9" w:rsidRPr="00BB3B56" w:rsidRDefault="003461C9" w:rsidP="003461C9">
      <w:pPr>
        <w:widowControl w:val="0"/>
        <w:tabs>
          <w:tab w:val="left" w:pos="-720"/>
        </w:tabs>
        <w:suppressAutoHyphens/>
        <w:autoSpaceDE w:val="0"/>
        <w:autoSpaceDN w:val="0"/>
        <w:adjustRightInd w:val="0"/>
        <w:spacing w:line="240" w:lineRule="atLeast"/>
        <w:rPr>
          <w:b/>
          <w:u w:val="single"/>
        </w:rPr>
      </w:pPr>
      <w:r w:rsidRPr="00426AA9">
        <w:tab/>
      </w:r>
      <w:r w:rsidRPr="00BB3B56">
        <w:rPr>
          <w:b/>
          <w:u w:val="single"/>
        </w:rPr>
        <w:t>On behalf of Southern Renewable Energy</w:t>
      </w:r>
    </w:p>
    <w:p w14:paraId="371ABF57" w14:textId="77777777" w:rsidR="003461C9" w:rsidRPr="00BB3B56" w:rsidRDefault="003461C9" w:rsidP="003461C9">
      <w:pPr>
        <w:widowControl w:val="0"/>
        <w:tabs>
          <w:tab w:val="left" w:pos="-720"/>
        </w:tabs>
        <w:suppressAutoHyphens/>
        <w:autoSpaceDE w:val="0"/>
        <w:autoSpaceDN w:val="0"/>
        <w:adjustRightInd w:val="0"/>
        <w:spacing w:line="240" w:lineRule="atLeast"/>
        <w:rPr>
          <w:b/>
        </w:rPr>
      </w:pPr>
      <w:r w:rsidRPr="00BB3B56">
        <w:rPr>
          <w:b/>
        </w:rPr>
        <w:tab/>
      </w:r>
      <w:r w:rsidRPr="00BB3B56">
        <w:rPr>
          <w:b/>
        </w:rPr>
        <w:tab/>
      </w:r>
      <w:r w:rsidRPr="00BB3B56">
        <w:rPr>
          <w:b/>
          <w:u w:val="single"/>
        </w:rPr>
        <w:t>Association</w:t>
      </w:r>
      <w:r w:rsidRPr="00BB3B56">
        <w:rPr>
          <w:b/>
        </w:rPr>
        <w:t>:</w:t>
      </w:r>
    </w:p>
    <w:p w14:paraId="182B4613" w14:textId="77777777" w:rsidR="003461C9" w:rsidRPr="00BB3B56" w:rsidRDefault="003461C9" w:rsidP="003461C9">
      <w:pPr>
        <w:widowControl w:val="0"/>
        <w:tabs>
          <w:tab w:val="left" w:pos="-720"/>
        </w:tabs>
        <w:suppressAutoHyphens/>
        <w:autoSpaceDE w:val="0"/>
        <w:autoSpaceDN w:val="0"/>
        <w:adjustRightInd w:val="0"/>
        <w:spacing w:line="240" w:lineRule="atLeast"/>
        <w:rPr>
          <w:b/>
        </w:rPr>
      </w:pPr>
    </w:p>
    <w:p w14:paraId="4F2BF5BB" w14:textId="77777777" w:rsidR="003461C9" w:rsidRDefault="003461C9" w:rsidP="003461C9">
      <w:pPr>
        <w:widowControl w:val="0"/>
        <w:tabs>
          <w:tab w:val="left" w:pos="-720"/>
        </w:tabs>
        <w:suppressAutoHyphens/>
        <w:autoSpaceDE w:val="0"/>
        <w:autoSpaceDN w:val="0"/>
        <w:adjustRightInd w:val="0"/>
        <w:spacing w:line="240" w:lineRule="atLeast"/>
      </w:pPr>
      <w:r w:rsidRPr="00CA5510">
        <w:rPr>
          <w:rFonts w:ascii="Courier" w:hAnsi="Courier"/>
        </w:rPr>
        <w:tab/>
      </w:r>
      <w:r w:rsidRPr="00CA5510">
        <w:rPr>
          <w:rFonts w:ascii="Courier" w:hAnsi="Courier"/>
        </w:rPr>
        <w:tab/>
      </w:r>
      <w:r w:rsidRPr="00CA5510">
        <w:rPr>
          <w:rFonts w:ascii="Courier" w:hAnsi="Courier"/>
        </w:rPr>
        <w:tab/>
      </w:r>
      <w:r>
        <w:t>SIMON MAHAN</w:t>
      </w:r>
    </w:p>
    <w:p w14:paraId="647EF4ED"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WHIT COX</w:t>
      </w:r>
    </w:p>
    <w:p w14:paraId="75871ACF" w14:textId="77777777" w:rsidR="003461C9" w:rsidRDefault="003461C9" w:rsidP="003461C9">
      <w:pPr>
        <w:widowControl w:val="0"/>
        <w:tabs>
          <w:tab w:val="left" w:pos="-720"/>
        </w:tabs>
        <w:suppressAutoHyphens/>
        <w:autoSpaceDE w:val="0"/>
        <w:autoSpaceDN w:val="0"/>
        <w:adjustRightInd w:val="0"/>
        <w:spacing w:line="240" w:lineRule="atLeast"/>
      </w:pPr>
    </w:p>
    <w:p w14:paraId="5B1C7AEC" w14:textId="77777777" w:rsidR="003461C9" w:rsidRDefault="003461C9" w:rsidP="003461C9">
      <w:pPr>
        <w:widowControl w:val="0"/>
        <w:tabs>
          <w:tab w:val="left" w:pos="-720"/>
        </w:tabs>
        <w:suppressAutoHyphens/>
        <w:autoSpaceDE w:val="0"/>
        <w:autoSpaceDN w:val="0"/>
        <w:adjustRightInd w:val="0"/>
        <w:spacing w:line="240" w:lineRule="atLeast"/>
        <w:rPr>
          <w:b/>
          <w:u w:val="single"/>
        </w:rPr>
      </w:pPr>
      <w:r>
        <w:tab/>
      </w:r>
      <w:r w:rsidRPr="00BB3B56">
        <w:rPr>
          <w:b/>
          <w:u w:val="single"/>
        </w:rPr>
        <w:t>On behalf of</w:t>
      </w:r>
      <w:r>
        <w:rPr>
          <w:b/>
          <w:u w:val="single"/>
        </w:rPr>
        <w:t xml:space="preserve"> The United States Department of Defense </w:t>
      </w:r>
    </w:p>
    <w:p w14:paraId="6EA49629" w14:textId="77777777" w:rsidR="003461C9" w:rsidRPr="007D43B0" w:rsidRDefault="003461C9" w:rsidP="003461C9">
      <w:pPr>
        <w:widowControl w:val="0"/>
        <w:tabs>
          <w:tab w:val="left" w:pos="-720"/>
        </w:tabs>
        <w:suppressAutoHyphens/>
        <w:autoSpaceDE w:val="0"/>
        <w:autoSpaceDN w:val="0"/>
        <w:adjustRightInd w:val="0"/>
        <w:spacing w:line="240" w:lineRule="atLeast"/>
        <w:rPr>
          <w:b/>
          <w:u w:val="single"/>
        </w:rPr>
      </w:pPr>
      <w:r>
        <w:rPr>
          <w:b/>
        </w:rPr>
        <w:tab/>
      </w:r>
      <w:r>
        <w:rPr>
          <w:b/>
        </w:rPr>
        <w:tab/>
      </w:r>
      <w:r>
        <w:rPr>
          <w:b/>
          <w:u w:val="single"/>
        </w:rPr>
        <w:t>and All other Federal Executive Agencies:</w:t>
      </w:r>
    </w:p>
    <w:p w14:paraId="3B218859" w14:textId="77777777" w:rsidR="003461C9" w:rsidRPr="00426AA9" w:rsidRDefault="003461C9" w:rsidP="003461C9">
      <w:pPr>
        <w:widowControl w:val="0"/>
        <w:tabs>
          <w:tab w:val="left" w:pos="-720"/>
        </w:tabs>
        <w:suppressAutoHyphens/>
        <w:autoSpaceDE w:val="0"/>
        <w:autoSpaceDN w:val="0"/>
        <w:adjustRightInd w:val="0"/>
        <w:spacing w:line="240" w:lineRule="atLeast"/>
      </w:pPr>
      <w:r w:rsidRPr="00426AA9">
        <w:tab/>
      </w:r>
      <w:r w:rsidRPr="00426AA9">
        <w:tab/>
      </w:r>
      <w:r w:rsidRPr="00426AA9">
        <w:tab/>
      </w:r>
    </w:p>
    <w:p w14:paraId="10789614" w14:textId="77777777" w:rsidR="003461C9" w:rsidRDefault="003461C9" w:rsidP="003461C9">
      <w:pPr>
        <w:widowControl w:val="0"/>
        <w:tabs>
          <w:tab w:val="left" w:pos="-720"/>
        </w:tabs>
        <w:suppressAutoHyphens/>
        <w:autoSpaceDE w:val="0"/>
        <w:autoSpaceDN w:val="0"/>
        <w:adjustRightInd w:val="0"/>
        <w:spacing w:line="240" w:lineRule="atLeast"/>
      </w:pPr>
      <w:r>
        <w:tab/>
      </w:r>
      <w:r>
        <w:tab/>
      </w:r>
      <w:r>
        <w:tab/>
        <w:t>JOHN MCNUTT, Attorney</w:t>
      </w:r>
      <w:r w:rsidRPr="00426AA9">
        <w:tab/>
      </w:r>
    </w:p>
    <w:p w14:paraId="7D222546" w14:textId="77777777" w:rsidR="003461C9" w:rsidRDefault="003461C9" w:rsidP="003461C9">
      <w:pPr>
        <w:widowControl w:val="0"/>
        <w:tabs>
          <w:tab w:val="left" w:pos="-720"/>
        </w:tabs>
        <w:suppressAutoHyphens/>
        <w:autoSpaceDE w:val="0"/>
        <w:autoSpaceDN w:val="0"/>
        <w:adjustRightInd w:val="0"/>
        <w:spacing w:line="240" w:lineRule="atLeast"/>
      </w:pPr>
    </w:p>
    <w:p w14:paraId="21FCEE7C" w14:textId="77777777" w:rsidR="003461C9" w:rsidRDefault="003461C9" w:rsidP="003461C9">
      <w:pPr>
        <w:widowControl w:val="0"/>
        <w:tabs>
          <w:tab w:val="left" w:pos="-720"/>
        </w:tabs>
        <w:suppressAutoHyphens/>
        <w:autoSpaceDE w:val="0"/>
        <w:autoSpaceDN w:val="0"/>
        <w:adjustRightInd w:val="0"/>
        <w:spacing w:line="240" w:lineRule="atLeast"/>
        <w:rPr>
          <w:b/>
          <w:u w:val="single"/>
        </w:rPr>
      </w:pPr>
      <w:r>
        <w:rPr>
          <w:b/>
        </w:rPr>
        <w:tab/>
      </w:r>
      <w:r w:rsidRPr="00BB3B56">
        <w:rPr>
          <w:b/>
          <w:u w:val="single"/>
        </w:rPr>
        <w:t>On behalf of</w:t>
      </w:r>
      <w:r>
        <w:rPr>
          <w:b/>
          <w:u w:val="single"/>
        </w:rPr>
        <w:t xml:space="preserve"> Walmart:</w:t>
      </w:r>
    </w:p>
    <w:p w14:paraId="7F55CEDA" w14:textId="77777777" w:rsidR="003461C9" w:rsidRDefault="003461C9" w:rsidP="003461C9">
      <w:pPr>
        <w:widowControl w:val="0"/>
        <w:tabs>
          <w:tab w:val="left" w:pos="-720"/>
        </w:tabs>
        <w:suppressAutoHyphens/>
        <w:autoSpaceDE w:val="0"/>
        <w:autoSpaceDN w:val="0"/>
        <w:adjustRightInd w:val="0"/>
        <w:spacing w:line="240" w:lineRule="atLeast"/>
        <w:rPr>
          <w:b/>
          <w:u w:val="single"/>
        </w:rPr>
      </w:pPr>
    </w:p>
    <w:p w14:paraId="19ED9029" w14:textId="77777777" w:rsidR="003461C9" w:rsidRPr="00072341" w:rsidRDefault="003461C9" w:rsidP="003461C9">
      <w:pPr>
        <w:widowControl w:val="0"/>
        <w:tabs>
          <w:tab w:val="left" w:pos="-720"/>
        </w:tabs>
        <w:suppressAutoHyphens/>
        <w:autoSpaceDE w:val="0"/>
        <w:autoSpaceDN w:val="0"/>
        <w:adjustRightInd w:val="0"/>
        <w:spacing w:line="240" w:lineRule="atLeast"/>
      </w:pPr>
      <w:r>
        <w:rPr>
          <w:b/>
        </w:rPr>
        <w:tab/>
      </w:r>
      <w:r>
        <w:rPr>
          <w:b/>
        </w:rPr>
        <w:tab/>
      </w:r>
      <w:r>
        <w:rPr>
          <w:b/>
        </w:rPr>
        <w:tab/>
      </w:r>
      <w:r>
        <w:rPr>
          <w:bCs/>
        </w:rPr>
        <w:t>STEPHANIE EATON</w:t>
      </w:r>
      <w:r>
        <w:t>, Attorney</w:t>
      </w:r>
      <w:r w:rsidRPr="00426AA9">
        <w:tab/>
      </w:r>
    </w:p>
    <w:p w14:paraId="49C03E40" w14:textId="77777777" w:rsidR="003461C9" w:rsidRPr="001155ED" w:rsidRDefault="003461C9" w:rsidP="003461C9">
      <w:pPr>
        <w:widowControl w:val="0"/>
        <w:tabs>
          <w:tab w:val="left" w:pos="-720"/>
        </w:tabs>
        <w:suppressAutoHyphens/>
        <w:autoSpaceDE w:val="0"/>
        <w:autoSpaceDN w:val="0"/>
        <w:adjustRightInd w:val="0"/>
        <w:spacing w:line="240" w:lineRule="atLeast"/>
      </w:pPr>
      <w:r>
        <w:rPr>
          <w:bCs/>
        </w:rPr>
        <w:tab/>
      </w:r>
      <w:r>
        <w:rPr>
          <w:bCs/>
        </w:rPr>
        <w:tab/>
      </w:r>
      <w:r>
        <w:rPr>
          <w:bCs/>
        </w:rPr>
        <w:tab/>
        <w:t>CARRIE GRUNDMANN</w:t>
      </w:r>
      <w:r>
        <w:t>, Attorney</w:t>
      </w:r>
    </w:p>
    <w:p w14:paraId="6F20F06B" w14:textId="77777777" w:rsidR="003461C9" w:rsidRPr="003C5886" w:rsidRDefault="003461C9" w:rsidP="003461C9">
      <w:pPr>
        <w:widowControl w:val="0"/>
        <w:tabs>
          <w:tab w:val="left" w:pos="-720"/>
        </w:tabs>
        <w:suppressAutoHyphens/>
        <w:autoSpaceDE w:val="0"/>
        <w:autoSpaceDN w:val="0"/>
        <w:adjustRightInd w:val="0"/>
        <w:spacing w:line="240" w:lineRule="atLeast"/>
        <w:rPr>
          <w:bCs/>
        </w:rPr>
      </w:pPr>
      <w:r>
        <w:rPr>
          <w:bCs/>
        </w:rPr>
        <w:tab/>
      </w:r>
      <w:r>
        <w:rPr>
          <w:bCs/>
        </w:rPr>
        <w:tab/>
      </w:r>
      <w:r>
        <w:rPr>
          <w:bCs/>
        </w:rPr>
        <w:tab/>
        <w:t>STEVEN LEE</w:t>
      </w:r>
      <w:r>
        <w:t>, Attorney</w:t>
      </w:r>
    </w:p>
    <w:p w14:paraId="5DB42A89" w14:textId="77777777" w:rsidR="003461C9" w:rsidRPr="00E16A66" w:rsidRDefault="003461C9" w:rsidP="003461C9">
      <w:pPr>
        <w:widowControl w:val="0"/>
        <w:tabs>
          <w:tab w:val="left" w:pos="-720"/>
        </w:tabs>
        <w:suppressAutoHyphens/>
        <w:autoSpaceDE w:val="0"/>
        <w:autoSpaceDN w:val="0"/>
        <w:adjustRightInd w:val="0"/>
        <w:spacing w:line="240" w:lineRule="atLeast"/>
        <w:rPr>
          <w:b/>
          <w:u w:val="single"/>
        </w:rPr>
      </w:pPr>
      <w:r>
        <w:rPr>
          <w:b/>
          <w:u w:val="single"/>
        </w:rPr>
        <w:t>____________________________________________________________________________</w:t>
      </w:r>
    </w:p>
    <w:p w14:paraId="63D0B8BD" w14:textId="77777777" w:rsidR="003461C9" w:rsidRDefault="003461C9" w:rsidP="003461C9">
      <w:pPr>
        <w:widowControl w:val="0"/>
        <w:tabs>
          <w:tab w:val="left" w:pos="-720"/>
        </w:tabs>
        <w:suppressAutoHyphens/>
        <w:autoSpaceDE w:val="0"/>
        <w:autoSpaceDN w:val="0"/>
        <w:adjustRightInd w:val="0"/>
        <w:spacing w:line="240" w:lineRule="atLeast"/>
      </w:pPr>
    </w:p>
    <w:p w14:paraId="594C04DF" w14:textId="77777777" w:rsidR="003461C9" w:rsidRDefault="003461C9" w:rsidP="003461C9">
      <w:pPr>
        <w:widowControl w:val="0"/>
        <w:suppressAutoHyphens/>
        <w:autoSpaceDE w:val="0"/>
        <w:autoSpaceDN w:val="0"/>
        <w:adjustRightInd w:val="0"/>
        <w:spacing w:line="240" w:lineRule="atLeast"/>
      </w:pPr>
    </w:p>
    <w:p w14:paraId="5463D386" w14:textId="77777777" w:rsidR="003461C9" w:rsidRDefault="003461C9" w:rsidP="003461C9">
      <w:pPr>
        <w:widowControl w:val="0"/>
        <w:tabs>
          <w:tab w:val="left" w:pos="-720"/>
        </w:tabs>
        <w:suppressAutoHyphens/>
        <w:autoSpaceDE w:val="0"/>
        <w:autoSpaceDN w:val="0"/>
        <w:adjustRightInd w:val="0"/>
        <w:spacing w:afterLines="160" w:after="384" w:line="36" w:lineRule="atLeast"/>
        <w:rPr>
          <w:b/>
        </w:rPr>
      </w:pPr>
      <w:r>
        <w:rPr>
          <w:b/>
        </w:rPr>
        <w:t>BY THE COMMISSION:</w:t>
      </w:r>
    </w:p>
    <w:p w14:paraId="14B6A6D5" w14:textId="77777777" w:rsidR="003461C9" w:rsidRDefault="003461C9" w:rsidP="003461C9">
      <w:pPr>
        <w:widowControl w:val="0"/>
        <w:tabs>
          <w:tab w:val="left" w:pos="-720"/>
        </w:tabs>
        <w:suppressAutoHyphens/>
        <w:autoSpaceDE w:val="0"/>
        <w:autoSpaceDN w:val="0"/>
        <w:adjustRightInd w:val="0"/>
        <w:spacing w:afterLines="160" w:after="384" w:line="36" w:lineRule="atLeast"/>
        <w:ind w:firstLine="720"/>
        <w:jc w:val="both"/>
        <w:rPr>
          <w:rStyle w:val="Outline2"/>
          <w:spacing w:val="-3"/>
        </w:rPr>
      </w:pPr>
      <w:r>
        <w:t xml:space="preserve">On January 31, 2025, Georgia Power Company (“Georgia Power” or “Company”) </w:t>
      </w:r>
      <w:r w:rsidRPr="00B8697A">
        <w:rPr>
          <w:rStyle w:val="Outline2"/>
          <w:spacing w:val="-3"/>
        </w:rPr>
        <w:t xml:space="preserve">submitted to the Georgia Public Service Commission (“Commission”) </w:t>
      </w:r>
      <w:r>
        <w:rPr>
          <w:rStyle w:val="Outline2"/>
          <w:spacing w:val="-3"/>
        </w:rPr>
        <w:t xml:space="preserve">its 2025 </w:t>
      </w:r>
      <w:r w:rsidRPr="00B8697A">
        <w:rPr>
          <w:rStyle w:val="Outline2"/>
          <w:spacing w:val="-3"/>
        </w:rPr>
        <w:t>Integrated Resource Plan</w:t>
      </w:r>
      <w:r>
        <w:rPr>
          <w:rStyle w:val="Outline2"/>
          <w:spacing w:val="-3"/>
        </w:rPr>
        <w:t xml:space="preserve"> </w:t>
      </w:r>
      <w:r w:rsidRPr="00B8697A">
        <w:rPr>
          <w:rStyle w:val="Outline2"/>
          <w:spacing w:val="-3"/>
        </w:rPr>
        <w:t xml:space="preserve">("IRP" or “Plan”) for approval pursuant to O.C.G.A. § 46-3A-1 </w:t>
      </w:r>
      <w:r>
        <w:rPr>
          <w:rStyle w:val="Outline2"/>
          <w:spacing w:val="-3"/>
        </w:rPr>
        <w:t>through 11 (“IRP Act”)</w:t>
      </w:r>
      <w:r>
        <w:t>, Docket No. 56002. The Company simultaneously submitted</w:t>
      </w:r>
      <w:r w:rsidRPr="00B8697A">
        <w:rPr>
          <w:rStyle w:val="Outline2"/>
          <w:spacing w:val="-3"/>
        </w:rPr>
        <w:t xml:space="preserve"> </w:t>
      </w:r>
      <w:r>
        <w:rPr>
          <w:rStyle w:val="Outline2"/>
          <w:spacing w:val="-3"/>
        </w:rPr>
        <w:t xml:space="preserve">an </w:t>
      </w:r>
      <w:r w:rsidRPr="00B8697A">
        <w:rPr>
          <w:rStyle w:val="Outline2"/>
          <w:spacing w:val="-3"/>
        </w:rPr>
        <w:t>Application for the Certification</w:t>
      </w:r>
      <w:r>
        <w:rPr>
          <w:rStyle w:val="Outline2"/>
          <w:spacing w:val="-3"/>
        </w:rPr>
        <w:t>,</w:t>
      </w:r>
      <w:r w:rsidRPr="00B8697A">
        <w:rPr>
          <w:rStyle w:val="Outline2"/>
          <w:spacing w:val="-3"/>
        </w:rPr>
        <w:t xml:space="preserve"> </w:t>
      </w:r>
      <w:r w:rsidRPr="000B65E8">
        <w:t>Decertification</w:t>
      </w:r>
      <w:r>
        <w:t>,</w:t>
      </w:r>
      <w:r w:rsidRPr="000B65E8">
        <w:t xml:space="preserve"> and Amended </w:t>
      </w:r>
      <w:r w:rsidRPr="00B8697A">
        <w:rPr>
          <w:rStyle w:val="Outline2"/>
          <w:spacing w:val="-3"/>
        </w:rPr>
        <w:t xml:space="preserve">Demand-Side Management </w:t>
      </w:r>
      <w:r>
        <w:rPr>
          <w:rStyle w:val="Outline2"/>
          <w:spacing w:val="-3"/>
        </w:rPr>
        <w:t>Plan</w:t>
      </w:r>
      <w:r w:rsidRPr="00B8697A">
        <w:rPr>
          <w:rStyle w:val="Outline2"/>
          <w:spacing w:val="-3"/>
        </w:rPr>
        <w:t xml:space="preserve"> (“DSM Application”)</w:t>
      </w:r>
      <w:r>
        <w:rPr>
          <w:rStyle w:val="Outline2"/>
          <w:spacing w:val="-3"/>
        </w:rPr>
        <w:t xml:space="preserve"> Docket No. 56003.</w:t>
      </w:r>
    </w:p>
    <w:p w14:paraId="3E2AE31D" w14:textId="77777777" w:rsidR="003461C9" w:rsidRPr="00B71652" w:rsidRDefault="003461C9" w:rsidP="003461C9">
      <w:pPr>
        <w:widowControl w:val="0"/>
        <w:tabs>
          <w:tab w:val="left" w:pos="-720"/>
        </w:tabs>
        <w:suppressAutoHyphens/>
        <w:autoSpaceDE w:val="0"/>
        <w:autoSpaceDN w:val="0"/>
        <w:adjustRightInd w:val="0"/>
        <w:spacing w:afterLines="160" w:after="384" w:line="36" w:lineRule="atLeast"/>
        <w:jc w:val="center"/>
        <w:rPr>
          <w:spacing w:val="-3"/>
        </w:rPr>
      </w:pPr>
      <w:r>
        <w:rPr>
          <w:b/>
          <w:spacing w:val="-3"/>
        </w:rPr>
        <w:t>J</w:t>
      </w:r>
      <w:r w:rsidRPr="00B71652">
        <w:rPr>
          <w:b/>
          <w:spacing w:val="-3"/>
        </w:rPr>
        <w:t>URISDICTION AND AUTHORITY</w:t>
      </w:r>
    </w:p>
    <w:p w14:paraId="0E57B00C" w14:textId="77777777" w:rsidR="003461C9" w:rsidRPr="00B71652" w:rsidRDefault="003461C9" w:rsidP="003461C9">
      <w:pPr>
        <w:spacing w:afterLines="160" w:after="384" w:line="36" w:lineRule="atLeast"/>
        <w:ind w:firstLine="720"/>
        <w:jc w:val="both"/>
        <w:rPr>
          <w:spacing w:val="-3"/>
        </w:rPr>
      </w:pPr>
      <w:r w:rsidRPr="00B71652">
        <w:rPr>
          <w:spacing w:val="-3"/>
        </w:rPr>
        <w:t xml:space="preserve">Georgia Power is a public electric utility serving retail customers within the State of Georgia.  Georgia Power is one of the retail operating companies of which the Southern Company system is comprised. This Commission has jurisdiction over Georgia Power’s IRP and DSM Application pursuant to O.C.G.A. § 46-2-20, 46-2-21, 46-2-23 generally, and the IRP Act in particular. </w:t>
      </w:r>
    </w:p>
    <w:p w14:paraId="55096E09" w14:textId="77777777" w:rsidR="003461C9" w:rsidRPr="00B71652" w:rsidRDefault="003461C9" w:rsidP="003461C9">
      <w:pPr>
        <w:spacing w:afterLines="160" w:after="384" w:line="36" w:lineRule="atLeast"/>
        <w:ind w:firstLine="720"/>
        <w:jc w:val="both"/>
        <w:rPr>
          <w:spacing w:val="-3"/>
        </w:rPr>
      </w:pPr>
      <w:r w:rsidRPr="00B71652">
        <w:rPr>
          <w:spacing w:val="-3"/>
        </w:rPr>
        <w:t>The IRP Act requires the Company to file an Integrated Resource Plan at least every three years.</w:t>
      </w:r>
      <w:r w:rsidRPr="00B71652">
        <w:rPr>
          <w:spacing w:val="-3"/>
          <w:vertAlign w:val="superscript"/>
        </w:rPr>
        <w:footnoteReference w:id="1"/>
      </w:r>
      <w:r w:rsidRPr="00B71652">
        <w:rPr>
          <w:spacing w:val="-3"/>
        </w:rPr>
        <w:t xml:space="preserve">   A “plan” is defined in the Act as an Integrated Resource Plan that contains the utility’s electric demand and energy forecast for at least a 20-year period; program for meeting the requirements shown in its forecast in an economical and reliable manner; the analysis of all capacity resource options, including both demand-side and supply-side options; and the assumptions used and the conclusions </w:t>
      </w:r>
      <w:r w:rsidRPr="00B71652">
        <w:rPr>
          <w:spacing w:val="-3"/>
        </w:rPr>
        <w:lastRenderedPageBreak/>
        <w:t>reached with respect to the effect of each capacity resource option on the future cost and reliability of electric service. The Plan also must:</w:t>
      </w:r>
    </w:p>
    <w:p w14:paraId="65CF3984" w14:textId="77777777" w:rsidR="003461C9" w:rsidRPr="00B71652" w:rsidRDefault="003461C9" w:rsidP="003461C9">
      <w:pPr>
        <w:spacing w:afterLines="160" w:after="384" w:line="36" w:lineRule="atLeast"/>
        <w:ind w:left="1440" w:right="720" w:hanging="720"/>
        <w:jc w:val="both"/>
        <w:rPr>
          <w:spacing w:val="-3"/>
        </w:rPr>
      </w:pPr>
      <w:r w:rsidRPr="00B71652">
        <w:rPr>
          <w:spacing w:val="-3"/>
        </w:rPr>
        <w:t xml:space="preserve">(A) </w:t>
      </w:r>
      <w:r w:rsidRPr="00B71652">
        <w:rPr>
          <w:spacing w:val="-3"/>
        </w:rPr>
        <w:tab/>
        <w:t>Contain the size and type of facilities which are expected to be owned or operated in whole or in part by such utility and the construction of which is expected to commence during the ensuing ten years or such longer period as the Commission deems necessary and shall identify all existing facilities intended to be removed from service during such period or upon completion of such construction;</w:t>
      </w:r>
    </w:p>
    <w:p w14:paraId="59DE6C85" w14:textId="77777777" w:rsidR="003461C9" w:rsidRPr="00B71652" w:rsidRDefault="003461C9" w:rsidP="003461C9">
      <w:pPr>
        <w:spacing w:afterLines="160" w:after="384" w:line="36" w:lineRule="atLeast"/>
        <w:ind w:left="1440" w:right="720" w:hanging="720"/>
        <w:jc w:val="both"/>
        <w:rPr>
          <w:spacing w:val="-3"/>
        </w:rPr>
      </w:pPr>
      <w:r w:rsidRPr="00B71652">
        <w:rPr>
          <w:spacing w:val="-3"/>
        </w:rPr>
        <w:t>(B)</w:t>
      </w:r>
      <w:r w:rsidRPr="00B71652">
        <w:rPr>
          <w:spacing w:val="-3"/>
        </w:rPr>
        <w:tab/>
        <w:t>Contain practical alternatives to the fuel type and method of generation of the proposed electric generating facilities and set forth in detail the reasons for selecting the fuel type and method of generation;</w:t>
      </w:r>
    </w:p>
    <w:p w14:paraId="44F615EA" w14:textId="77777777" w:rsidR="003461C9" w:rsidRPr="00B71652" w:rsidRDefault="003461C9" w:rsidP="003461C9">
      <w:pPr>
        <w:spacing w:afterLines="160" w:after="384" w:line="36" w:lineRule="atLeast"/>
        <w:ind w:left="1440" w:right="720" w:hanging="720"/>
        <w:jc w:val="both"/>
        <w:rPr>
          <w:spacing w:val="-3"/>
        </w:rPr>
      </w:pPr>
      <w:r w:rsidRPr="00B71652">
        <w:rPr>
          <w:spacing w:val="-3"/>
        </w:rPr>
        <w:t>(C)</w:t>
      </w:r>
      <w:r w:rsidRPr="00B71652">
        <w:rPr>
          <w:spacing w:val="-3"/>
        </w:rPr>
        <w:tab/>
        <w:t>Contain a statement of the estimated impact of proposed and alternative generating plants on the environment and the means by which potential adverse impacts will be avoided or minimized;</w:t>
      </w:r>
    </w:p>
    <w:p w14:paraId="2FB3858E" w14:textId="77777777" w:rsidR="003461C9" w:rsidRPr="00B71652" w:rsidRDefault="003461C9" w:rsidP="003461C9">
      <w:pPr>
        <w:spacing w:afterLines="160" w:after="384" w:line="36" w:lineRule="atLeast"/>
        <w:ind w:left="1440" w:right="720" w:hanging="720"/>
        <w:jc w:val="both"/>
        <w:rPr>
          <w:spacing w:val="-3"/>
        </w:rPr>
      </w:pPr>
      <w:r w:rsidRPr="00B71652">
        <w:rPr>
          <w:spacing w:val="-3"/>
        </w:rPr>
        <w:t>(D)</w:t>
      </w:r>
      <w:r w:rsidRPr="00B71652">
        <w:rPr>
          <w:spacing w:val="-3"/>
        </w:rPr>
        <w:tab/>
        <w:t>Indicate, in detail, the projected demand for electric energy for a 20-year period and the basis for determining the projected demand;</w:t>
      </w:r>
    </w:p>
    <w:p w14:paraId="1517605F" w14:textId="77777777" w:rsidR="003461C9" w:rsidRPr="00B71652" w:rsidRDefault="003461C9" w:rsidP="003461C9">
      <w:pPr>
        <w:spacing w:afterLines="160" w:after="384" w:line="36" w:lineRule="atLeast"/>
        <w:ind w:left="1440" w:right="720" w:hanging="720"/>
        <w:jc w:val="both"/>
        <w:rPr>
          <w:spacing w:val="-3"/>
        </w:rPr>
      </w:pPr>
      <w:r w:rsidRPr="00B71652">
        <w:rPr>
          <w:spacing w:val="-3"/>
        </w:rPr>
        <w:t>(E)</w:t>
      </w:r>
      <w:r w:rsidRPr="00B71652">
        <w:rPr>
          <w:spacing w:val="-3"/>
        </w:rPr>
        <w:tab/>
        <w:t>Describe the utility's relationship to other utilities in regional associations, power pools, and networks;</w:t>
      </w:r>
    </w:p>
    <w:p w14:paraId="3CD8D070" w14:textId="77777777" w:rsidR="003461C9" w:rsidRPr="00B71652" w:rsidRDefault="003461C9" w:rsidP="003461C9">
      <w:pPr>
        <w:spacing w:afterLines="160" w:after="384" w:line="36" w:lineRule="atLeast"/>
        <w:ind w:left="1440" w:right="720" w:hanging="720"/>
        <w:jc w:val="both"/>
        <w:rPr>
          <w:spacing w:val="-3"/>
        </w:rPr>
      </w:pPr>
      <w:r w:rsidRPr="00B71652">
        <w:rPr>
          <w:spacing w:val="-3"/>
        </w:rPr>
        <w:t>(F)</w:t>
      </w:r>
      <w:r w:rsidRPr="00B71652">
        <w:rPr>
          <w:spacing w:val="-3"/>
        </w:rPr>
        <w:tab/>
        <w:t>Identify and describe all major research projects and programs which will continue or commence in the succeeding three years and set forth the reasons for selecting specific areas of research;</w:t>
      </w:r>
    </w:p>
    <w:p w14:paraId="64C12DCE" w14:textId="77777777" w:rsidR="003461C9" w:rsidRPr="00B71652" w:rsidRDefault="003461C9" w:rsidP="003461C9">
      <w:pPr>
        <w:spacing w:afterLines="160" w:after="384" w:line="36" w:lineRule="atLeast"/>
        <w:ind w:left="1440" w:right="720" w:hanging="720"/>
        <w:jc w:val="both"/>
        <w:rPr>
          <w:spacing w:val="-3"/>
        </w:rPr>
      </w:pPr>
      <w:r w:rsidRPr="00B71652">
        <w:rPr>
          <w:spacing w:val="-3"/>
        </w:rPr>
        <w:t>(G)</w:t>
      </w:r>
      <w:r w:rsidRPr="00B71652">
        <w:rPr>
          <w:spacing w:val="-3"/>
        </w:rPr>
        <w:tab/>
        <w:t>Identify and describe existing and planned programs and policies to discourage inefficient and excessive power use; and</w:t>
      </w:r>
    </w:p>
    <w:p w14:paraId="62071EDC" w14:textId="77777777" w:rsidR="003461C9" w:rsidRPr="00B71652" w:rsidRDefault="003461C9" w:rsidP="003461C9">
      <w:pPr>
        <w:spacing w:afterLines="160" w:after="384" w:line="36" w:lineRule="atLeast"/>
        <w:ind w:left="1440" w:right="720" w:hanging="720"/>
        <w:jc w:val="both"/>
        <w:rPr>
          <w:spacing w:val="-3"/>
        </w:rPr>
      </w:pPr>
      <w:r w:rsidRPr="00B71652">
        <w:rPr>
          <w:spacing w:val="-3"/>
        </w:rPr>
        <w:t>(H)</w:t>
      </w:r>
      <w:r w:rsidRPr="00B71652">
        <w:rPr>
          <w:spacing w:val="-3"/>
        </w:rPr>
        <w:tab/>
        <w:t>Provide any other information as may be required by the Commission.</w:t>
      </w:r>
      <w:r w:rsidRPr="00B71652">
        <w:rPr>
          <w:spacing w:val="-3"/>
          <w:vertAlign w:val="superscript"/>
        </w:rPr>
        <w:footnoteReference w:id="2"/>
      </w:r>
    </w:p>
    <w:p w14:paraId="4637D4C2" w14:textId="77777777" w:rsidR="003461C9" w:rsidRDefault="003461C9" w:rsidP="003461C9">
      <w:pPr>
        <w:spacing w:afterLines="160" w:after="384" w:line="36" w:lineRule="atLeast"/>
        <w:jc w:val="both"/>
        <w:rPr>
          <w:spacing w:val="-3"/>
        </w:rPr>
      </w:pPr>
      <w:r>
        <w:rPr>
          <w:spacing w:val="-3"/>
        </w:rPr>
        <w:t>Pursuant to the IRP Act, the Commission has promulgated rules that further detail the information that the Company is required to include in its Plan.</w:t>
      </w:r>
      <w:r w:rsidRPr="00A57515">
        <w:rPr>
          <w:rStyle w:val="FootnoteReference"/>
          <w:rFonts w:ascii="Times New Roman" w:hAnsi="Times New Roman"/>
          <w:spacing w:val="-3"/>
          <w:sz w:val="24"/>
        </w:rPr>
        <w:footnoteReference w:id="3"/>
      </w:r>
      <w:r>
        <w:rPr>
          <w:spacing w:val="-3"/>
        </w:rPr>
        <w:t xml:space="preserve">  </w:t>
      </w:r>
    </w:p>
    <w:p w14:paraId="66E9F376" w14:textId="77777777" w:rsidR="003461C9" w:rsidRPr="00B71652" w:rsidRDefault="003461C9" w:rsidP="003461C9">
      <w:pPr>
        <w:spacing w:afterLines="160" w:after="384" w:line="36" w:lineRule="atLeast"/>
        <w:ind w:firstLine="720"/>
        <w:jc w:val="both"/>
        <w:rPr>
          <w:spacing w:val="-3"/>
        </w:rPr>
      </w:pPr>
      <w:r w:rsidRPr="00B71652">
        <w:rPr>
          <w:spacing w:val="-3"/>
        </w:rPr>
        <w:t xml:space="preserve">The Commission is required under O.C.G.A. § 46-3A-2 to make determinations as to the adequacy of the IRP and to ensure that the utility’s Plan has appropriately addressed numerous </w:t>
      </w:r>
      <w:r w:rsidRPr="00B71652">
        <w:rPr>
          <w:spacing w:val="-3"/>
        </w:rPr>
        <w:lastRenderedPageBreak/>
        <w:t xml:space="preserve">matters. </w:t>
      </w:r>
      <w:r>
        <w:rPr>
          <w:spacing w:val="-3"/>
        </w:rPr>
        <w:t>For instance, t</w:t>
      </w:r>
      <w:r w:rsidRPr="00B71652">
        <w:rPr>
          <w:spacing w:val="-3"/>
        </w:rPr>
        <w:t>he</w:t>
      </w:r>
      <w:r>
        <w:rPr>
          <w:spacing w:val="-3"/>
        </w:rPr>
        <w:t xml:space="preserve"> Commission</w:t>
      </w:r>
      <w:r w:rsidRPr="00B71652">
        <w:rPr>
          <w:spacing w:val="-3"/>
        </w:rPr>
        <w:t xml:space="preserve"> must determin</w:t>
      </w:r>
      <w:r>
        <w:rPr>
          <w:spacing w:val="-3"/>
        </w:rPr>
        <w:t>e</w:t>
      </w:r>
      <w:r w:rsidRPr="00B71652">
        <w:rPr>
          <w:spacing w:val="-3"/>
        </w:rPr>
        <w:t xml:space="preserve"> </w:t>
      </w:r>
      <w:r>
        <w:rPr>
          <w:spacing w:val="-3"/>
        </w:rPr>
        <w:t xml:space="preserve">whether </w:t>
      </w:r>
      <w:r w:rsidRPr="00B71652">
        <w:rPr>
          <w:spacing w:val="-3"/>
        </w:rPr>
        <w:t>the forecast requirements contained in the Plan are based on substantially accurate data and an adequate method of forecasting.</w:t>
      </w:r>
      <w:r w:rsidRPr="00B71652">
        <w:rPr>
          <w:spacing w:val="-3"/>
          <w:vertAlign w:val="superscript"/>
        </w:rPr>
        <w:footnoteReference w:id="4"/>
      </w:r>
      <w:r w:rsidRPr="00B71652">
        <w:rPr>
          <w:spacing w:val="-3"/>
        </w:rPr>
        <w:t xml:space="preserve">  The Commission must also </w:t>
      </w:r>
      <w:r>
        <w:rPr>
          <w:spacing w:val="-3"/>
        </w:rPr>
        <w:t xml:space="preserve">make a </w:t>
      </w:r>
      <w:r w:rsidRPr="00B71652">
        <w:rPr>
          <w:spacing w:val="-3"/>
        </w:rPr>
        <w:t>find</w:t>
      </w:r>
      <w:r>
        <w:rPr>
          <w:spacing w:val="-3"/>
        </w:rPr>
        <w:t>ing as to whether</w:t>
      </w:r>
      <w:r w:rsidRPr="00B71652">
        <w:rPr>
          <w:spacing w:val="-3"/>
        </w:rPr>
        <w:t xml:space="preserve"> the Plan identifies and considers any present and projected reductions in the demand for energy that may result from measures to improve energy efficiency in the industrial, commercial, residential, and energy-producing sectors of the state.</w:t>
      </w:r>
      <w:r w:rsidRPr="00B71652">
        <w:rPr>
          <w:spacing w:val="-3"/>
          <w:vertAlign w:val="superscript"/>
        </w:rPr>
        <w:footnoteReference w:id="5"/>
      </w:r>
    </w:p>
    <w:p w14:paraId="382DDFAB" w14:textId="77777777" w:rsidR="003461C9" w:rsidRPr="00B71652" w:rsidRDefault="003461C9" w:rsidP="003461C9">
      <w:pPr>
        <w:spacing w:afterLines="160" w:after="384" w:line="36" w:lineRule="atLeast"/>
        <w:ind w:firstLine="720"/>
        <w:jc w:val="both"/>
        <w:rPr>
          <w:spacing w:val="-3"/>
        </w:rPr>
      </w:pPr>
      <w:r w:rsidRPr="00B71652">
        <w:rPr>
          <w:spacing w:val="-3"/>
        </w:rPr>
        <w:t>Further, the Commission must determine whether the Plan adequately demonstrates the economic, environmental, and other benefits to the state and to customers of the utilities, associated with the following possible measures and sources of supply:</w:t>
      </w:r>
    </w:p>
    <w:p w14:paraId="52EA68E1" w14:textId="77777777" w:rsidR="003461C9" w:rsidRPr="00B71652" w:rsidRDefault="003461C9" w:rsidP="003461C9">
      <w:pPr>
        <w:spacing w:afterLines="160" w:after="384" w:line="36" w:lineRule="atLeast"/>
        <w:ind w:left="1980" w:hanging="540"/>
        <w:jc w:val="both"/>
        <w:rPr>
          <w:spacing w:val="-3"/>
        </w:rPr>
      </w:pPr>
      <w:r w:rsidRPr="00B71652">
        <w:rPr>
          <w:spacing w:val="-3"/>
        </w:rPr>
        <w:t>(A)</w:t>
      </w:r>
      <w:r w:rsidRPr="00B71652">
        <w:rPr>
          <w:spacing w:val="-3"/>
        </w:rPr>
        <w:tab/>
        <w:t>Improvements in energy efficiency;</w:t>
      </w:r>
    </w:p>
    <w:p w14:paraId="05C65DB4" w14:textId="77777777" w:rsidR="003461C9" w:rsidRPr="00B71652" w:rsidRDefault="003461C9" w:rsidP="003461C9">
      <w:pPr>
        <w:spacing w:afterLines="160" w:after="384" w:line="36" w:lineRule="atLeast"/>
        <w:ind w:left="1980" w:hanging="540"/>
        <w:jc w:val="both"/>
        <w:rPr>
          <w:spacing w:val="-3"/>
        </w:rPr>
      </w:pPr>
      <w:r w:rsidRPr="00B71652">
        <w:rPr>
          <w:spacing w:val="-3"/>
        </w:rPr>
        <w:t>(B)</w:t>
      </w:r>
      <w:r w:rsidRPr="00B71652">
        <w:rPr>
          <w:spacing w:val="-3"/>
        </w:rPr>
        <w:tab/>
        <w:t>Pooling of power;</w:t>
      </w:r>
    </w:p>
    <w:p w14:paraId="26056D54" w14:textId="77777777" w:rsidR="003461C9" w:rsidRPr="00B71652" w:rsidRDefault="003461C9" w:rsidP="003461C9">
      <w:pPr>
        <w:spacing w:afterLines="160" w:after="384" w:line="36" w:lineRule="atLeast"/>
        <w:ind w:left="1980" w:hanging="540"/>
        <w:jc w:val="both"/>
        <w:rPr>
          <w:spacing w:val="-3"/>
        </w:rPr>
      </w:pPr>
      <w:r w:rsidRPr="00B71652">
        <w:rPr>
          <w:spacing w:val="-3"/>
        </w:rPr>
        <w:t>(C)</w:t>
      </w:r>
      <w:r w:rsidRPr="00B71652">
        <w:rPr>
          <w:spacing w:val="-3"/>
        </w:rPr>
        <w:tab/>
        <w:t>Purchases of power from neighboring states;</w:t>
      </w:r>
    </w:p>
    <w:p w14:paraId="393FE610" w14:textId="77777777" w:rsidR="003461C9" w:rsidRPr="00B71652" w:rsidRDefault="003461C9" w:rsidP="003461C9">
      <w:pPr>
        <w:spacing w:afterLines="160" w:after="384" w:line="36" w:lineRule="atLeast"/>
        <w:ind w:left="1980" w:hanging="540"/>
        <w:jc w:val="both"/>
        <w:rPr>
          <w:spacing w:val="-3"/>
        </w:rPr>
      </w:pPr>
      <w:r w:rsidRPr="00B71652">
        <w:rPr>
          <w:spacing w:val="-3"/>
        </w:rPr>
        <w:t>(D)</w:t>
      </w:r>
      <w:r w:rsidRPr="00B71652">
        <w:rPr>
          <w:spacing w:val="-3"/>
        </w:rPr>
        <w:tab/>
        <w:t>Facilities that operate on alternative sources of energy;</w:t>
      </w:r>
      <w:r w:rsidRPr="00B71652">
        <w:rPr>
          <w:spacing w:val="-3"/>
        </w:rPr>
        <w:tab/>
      </w:r>
      <w:r w:rsidRPr="00B71652">
        <w:rPr>
          <w:spacing w:val="-3"/>
        </w:rPr>
        <w:tab/>
      </w:r>
      <w:r w:rsidRPr="00B71652">
        <w:rPr>
          <w:spacing w:val="-3"/>
        </w:rPr>
        <w:tab/>
      </w:r>
    </w:p>
    <w:p w14:paraId="6369D6A4" w14:textId="77777777" w:rsidR="003461C9" w:rsidRPr="00B71652" w:rsidRDefault="003461C9" w:rsidP="003461C9">
      <w:pPr>
        <w:spacing w:afterLines="160" w:after="384" w:line="36" w:lineRule="atLeast"/>
        <w:ind w:left="1980" w:hanging="540"/>
        <w:jc w:val="both"/>
        <w:rPr>
          <w:spacing w:val="-3"/>
        </w:rPr>
      </w:pPr>
      <w:r w:rsidRPr="00B71652">
        <w:rPr>
          <w:spacing w:val="-3"/>
        </w:rPr>
        <w:t>(E)</w:t>
      </w:r>
      <w:r w:rsidRPr="00B71652">
        <w:rPr>
          <w:spacing w:val="-3"/>
        </w:rPr>
        <w:tab/>
        <w:t>Facilities that operate on the principle of cogeneration or hydro-generation; and</w:t>
      </w:r>
    </w:p>
    <w:p w14:paraId="6E5C41D1" w14:textId="77777777" w:rsidR="003461C9" w:rsidRPr="00B71652" w:rsidRDefault="003461C9" w:rsidP="003461C9">
      <w:pPr>
        <w:spacing w:afterLines="160" w:after="384" w:line="36" w:lineRule="atLeast"/>
        <w:ind w:left="1980" w:hanging="540"/>
        <w:jc w:val="both"/>
      </w:pPr>
      <w:r w:rsidRPr="00B71652">
        <w:rPr>
          <w:spacing w:val="-3"/>
        </w:rPr>
        <w:t>(F)</w:t>
      </w:r>
      <w:r w:rsidRPr="00B71652">
        <w:rPr>
          <w:spacing w:val="-3"/>
        </w:rPr>
        <w:tab/>
        <w:t>Other generation facilities and demand-side options.</w:t>
      </w:r>
      <w:r w:rsidRPr="00B71652">
        <w:rPr>
          <w:spacing w:val="-3"/>
          <w:vertAlign w:val="superscript"/>
        </w:rPr>
        <w:footnoteReference w:id="6"/>
      </w:r>
      <w:r w:rsidRPr="00B71652">
        <w:tab/>
      </w:r>
    </w:p>
    <w:p w14:paraId="6455F2DF" w14:textId="77777777" w:rsidR="003461C9" w:rsidRPr="00B71652" w:rsidRDefault="003461C9" w:rsidP="003461C9">
      <w:pPr>
        <w:spacing w:afterLines="160" w:after="384" w:line="36" w:lineRule="atLeast"/>
        <w:ind w:firstLine="720"/>
        <w:jc w:val="both"/>
      </w:pPr>
      <w:r w:rsidRPr="00B71652">
        <w:t>After hearings have been conducted on a Plan, the Commission may approve the IRP; approve it subject to stated conditions; approve it with modifications; approve it in part and reject it in part; reject the plan as filed; or provide an alternate plan, upon determining that this is in the public interest.</w:t>
      </w:r>
      <w:r w:rsidRPr="00B71652">
        <w:rPr>
          <w:vertAlign w:val="superscript"/>
        </w:rPr>
        <w:footnoteReference w:id="7"/>
      </w:r>
    </w:p>
    <w:p w14:paraId="50535045" w14:textId="77777777" w:rsidR="003461C9" w:rsidRPr="005D6310" w:rsidRDefault="003461C9" w:rsidP="003461C9">
      <w:pPr>
        <w:spacing w:afterLines="160" w:after="384" w:line="36" w:lineRule="atLeast"/>
        <w:ind w:firstLine="720"/>
        <w:jc w:val="both"/>
      </w:pPr>
      <w:r w:rsidRPr="00B71652">
        <w:t>An electric utility is entitled to recover the approved or actual cost, whichever is less, of any certificated demand-side capacity option in rates, along with an additional sum.</w:t>
      </w:r>
      <w:r w:rsidRPr="00B71652">
        <w:rPr>
          <w:sz w:val="20"/>
          <w:vertAlign w:val="superscript"/>
        </w:rPr>
        <w:footnoteReference w:id="8"/>
      </w:r>
      <w:r w:rsidRPr="00B71652">
        <w:t xml:space="preserve">  In determining the additional sum, the Commission “shall consider lost revenues, if any, changed risks, and an equitable sharing of benefits between the utility and its retail customer.”</w:t>
      </w:r>
      <w:r w:rsidRPr="00B71652">
        <w:rPr>
          <w:sz w:val="20"/>
          <w:vertAlign w:val="superscript"/>
        </w:rPr>
        <w:footnoteReference w:id="9"/>
      </w:r>
    </w:p>
    <w:p w14:paraId="22DC2B9E" w14:textId="77777777" w:rsidR="00A6708D" w:rsidRDefault="00A6708D" w:rsidP="003461C9">
      <w:pPr>
        <w:tabs>
          <w:tab w:val="left" w:pos="-720"/>
        </w:tabs>
        <w:suppressAutoHyphens/>
        <w:spacing w:afterLines="160" w:after="384" w:line="36" w:lineRule="atLeast"/>
        <w:jc w:val="center"/>
        <w:rPr>
          <w:b/>
          <w:spacing w:val="-3"/>
        </w:rPr>
      </w:pPr>
    </w:p>
    <w:p w14:paraId="273B3931" w14:textId="75784AD8" w:rsidR="003461C9" w:rsidRDefault="003461C9" w:rsidP="003461C9">
      <w:pPr>
        <w:tabs>
          <w:tab w:val="left" w:pos="-720"/>
        </w:tabs>
        <w:suppressAutoHyphens/>
        <w:spacing w:afterLines="160" w:after="384" w:line="36" w:lineRule="atLeast"/>
        <w:jc w:val="center"/>
        <w:rPr>
          <w:spacing w:val="-3"/>
        </w:rPr>
      </w:pPr>
      <w:r>
        <w:rPr>
          <w:b/>
          <w:spacing w:val="-3"/>
        </w:rPr>
        <w:lastRenderedPageBreak/>
        <w:fldChar w:fldCharType="begin"/>
      </w:r>
      <w:r>
        <w:rPr>
          <w:b/>
          <w:spacing w:val="-3"/>
        </w:rPr>
        <w:instrText xml:space="preserve">PRIVATE </w:instrText>
      </w:r>
      <w:r>
        <w:rPr>
          <w:b/>
          <w:spacing w:val="-3"/>
        </w:rPr>
        <w:fldChar w:fldCharType="end"/>
      </w:r>
      <w:r>
        <w:rPr>
          <w:b/>
          <w:spacing w:val="-3"/>
        </w:rPr>
        <w:fldChar w:fldCharType="begin"/>
      </w:r>
      <w:r>
        <w:rPr>
          <w:b/>
          <w:spacing w:val="-3"/>
        </w:rPr>
        <w:instrText xml:space="preserve">seq level0 \h \r0 </w:instrText>
      </w:r>
      <w:r>
        <w:rPr>
          <w:b/>
          <w:spacing w:val="-3"/>
        </w:rPr>
        <w:fldChar w:fldCharType="end"/>
      </w:r>
      <w:r>
        <w:rPr>
          <w:b/>
          <w:spacing w:val="-3"/>
        </w:rPr>
        <w:fldChar w:fldCharType="begin"/>
      </w:r>
      <w:r>
        <w:rPr>
          <w:b/>
          <w:spacing w:val="-3"/>
        </w:rPr>
        <w:instrText xml:space="preserve">seq level1 \h \r0 </w:instrText>
      </w:r>
      <w:r>
        <w:rPr>
          <w:b/>
          <w:spacing w:val="-3"/>
        </w:rPr>
        <w:fldChar w:fldCharType="end"/>
      </w:r>
      <w:r>
        <w:rPr>
          <w:b/>
          <w:spacing w:val="-3"/>
        </w:rPr>
        <w:fldChar w:fldCharType="begin"/>
      </w:r>
      <w:r>
        <w:rPr>
          <w:b/>
          <w:spacing w:val="-3"/>
        </w:rPr>
        <w:instrText xml:space="preserve">seq level2 \h \r0 </w:instrText>
      </w:r>
      <w:r>
        <w:rPr>
          <w:b/>
          <w:spacing w:val="-3"/>
        </w:rPr>
        <w:fldChar w:fldCharType="end"/>
      </w:r>
      <w:r>
        <w:rPr>
          <w:b/>
          <w:spacing w:val="-3"/>
        </w:rPr>
        <w:fldChar w:fldCharType="begin"/>
      </w:r>
      <w:r>
        <w:rPr>
          <w:b/>
          <w:spacing w:val="-3"/>
        </w:rPr>
        <w:instrText xml:space="preserve">seq level3 \h \r0 </w:instrText>
      </w:r>
      <w:r>
        <w:rPr>
          <w:b/>
          <w:spacing w:val="-3"/>
        </w:rPr>
        <w:fldChar w:fldCharType="end"/>
      </w:r>
      <w:r>
        <w:rPr>
          <w:b/>
          <w:spacing w:val="-3"/>
        </w:rPr>
        <w:fldChar w:fldCharType="begin"/>
      </w:r>
      <w:r>
        <w:rPr>
          <w:b/>
          <w:spacing w:val="-3"/>
        </w:rPr>
        <w:instrText xml:space="preserve">seq level4 \h \r0 </w:instrText>
      </w:r>
      <w:r>
        <w:rPr>
          <w:b/>
          <w:spacing w:val="-3"/>
        </w:rPr>
        <w:fldChar w:fldCharType="end"/>
      </w:r>
      <w:r>
        <w:rPr>
          <w:b/>
          <w:spacing w:val="-3"/>
        </w:rPr>
        <w:fldChar w:fldCharType="begin"/>
      </w:r>
      <w:r>
        <w:rPr>
          <w:b/>
          <w:spacing w:val="-3"/>
        </w:rPr>
        <w:instrText xml:space="preserve">seq level5 \h \r0 </w:instrText>
      </w:r>
      <w:r>
        <w:rPr>
          <w:b/>
          <w:spacing w:val="-3"/>
        </w:rPr>
        <w:fldChar w:fldCharType="end"/>
      </w:r>
      <w:r>
        <w:rPr>
          <w:b/>
          <w:spacing w:val="-3"/>
        </w:rPr>
        <w:fldChar w:fldCharType="begin"/>
      </w:r>
      <w:r>
        <w:rPr>
          <w:b/>
          <w:spacing w:val="-3"/>
        </w:rPr>
        <w:instrText xml:space="preserve">seq level6 \h \r0 </w:instrText>
      </w:r>
      <w:r>
        <w:rPr>
          <w:b/>
          <w:spacing w:val="-3"/>
        </w:rPr>
        <w:fldChar w:fldCharType="end"/>
      </w:r>
      <w:r>
        <w:rPr>
          <w:b/>
          <w:spacing w:val="-3"/>
        </w:rPr>
        <w:fldChar w:fldCharType="begin"/>
      </w:r>
      <w:r>
        <w:rPr>
          <w:b/>
          <w:spacing w:val="-3"/>
        </w:rPr>
        <w:instrText xml:space="preserve">seq level7 \h \r0 </w:instrText>
      </w:r>
      <w:r>
        <w:rPr>
          <w:b/>
          <w:spacing w:val="-3"/>
        </w:rPr>
        <w:fldChar w:fldCharType="end"/>
      </w:r>
      <w:r>
        <w:rPr>
          <w:b/>
          <w:spacing w:val="-3"/>
        </w:rPr>
        <w:t>BACKGROUND AND STATEMENT OF PROCEEDINGS</w:t>
      </w:r>
      <w:r>
        <w:rPr>
          <w:b/>
          <w:spacing w:val="-3"/>
        </w:rPr>
        <w:fldChar w:fldCharType="begin"/>
      </w:r>
      <w:r>
        <w:rPr>
          <w:b/>
          <w:spacing w:val="-3"/>
        </w:rPr>
        <w:instrText xml:space="preserve">seq level0 \h \r0 </w:instrText>
      </w:r>
      <w:r>
        <w:rPr>
          <w:b/>
          <w:spacing w:val="-3"/>
        </w:rPr>
        <w:fldChar w:fldCharType="end"/>
      </w:r>
      <w:r>
        <w:rPr>
          <w:b/>
          <w:spacing w:val="-3"/>
        </w:rPr>
        <w:fldChar w:fldCharType="begin"/>
      </w:r>
      <w:r>
        <w:rPr>
          <w:b/>
          <w:spacing w:val="-3"/>
        </w:rPr>
        <w:instrText xml:space="preserve">seq level1 \h \r0 </w:instrText>
      </w:r>
      <w:r>
        <w:rPr>
          <w:b/>
          <w:spacing w:val="-3"/>
        </w:rPr>
        <w:fldChar w:fldCharType="end"/>
      </w:r>
      <w:r>
        <w:rPr>
          <w:b/>
          <w:spacing w:val="-3"/>
        </w:rPr>
        <w:fldChar w:fldCharType="begin"/>
      </w:r>
      <w:r>
        <w:rPr>
          <w:b/>
          <w:spacing w:val="-3"/>
        </w:rPr>
        <w:instrText xml:space="preserve">seq level2 \h \r0 </w:instrText>
      </w:r>
      <w:r>
        <w:rPr>
          <w:b/>
          <w:spacing w:val="-3"/>
        </w:rPr>
        <w:fldChar w:fldCharType="end"/>
      </w:r>
      <w:r>
        <w:rPr>
          <w:b/>
          <w:spacing w:val="-3"/>
        </w:rPr>
        <w:fldChar w:fldCharType="begin"/>
      </w:r>
      <w:r>
        <w:rPr>
          <w:b/>
          <w:spacing w:val="-3"/>
        </w:rPr>
        <w:instrText xml:space="preserve">seq level3 \h \r0 </w:instrText>
      </w:r>
      <w:r>
        <w:rPr>
          <w:b/>
          <w:spacing w:val="-3"/>
        </w:rPr>
        <w:fldChar w:fldCharType="end"/>
      </w:r>
      <w:r>
        <w:rPr>
          <w:b/>
          <w:spacing w:val="-3"/>
        </w:rPr>
        <w:fldChar w:fldCharType="begin"/>
      </w:r>
      <w:r>
        <w:rPr>
          <w:b/>
          <w:spacing w:val="-3"/>
        </w:rPr>
        <w:instrText xml:space="preserve">seq level4 \h \r0 </w:instrText>
      </w:r>
      <w:r>
        <w:rPr>
          <w:b/>
          <w:spacing w:val="-3"/>
        </w:rPr>
        <w:fldChar w:fldCharType="end"/>
      </w:r>
      <w:r>
        <w:rPr>
          <w:b/>
          <w:spacing w:val="-3"/>
        </w:rPr>
        <w:fldChar w:fldCharType="begin"/>
      </w:r>
      <w:r>
        <w:rPr>
          <w:b/>
          <w:spacing w:val="-3"/>
        </w:rPr>
        <w:instrText xml:space="preserve">seq level5 \h \r0 </w:instrText>
      </w:r>
      <w:r>
        <w:rPr>
          <w:b/>
          <w:spacing w:val="-3"/>
        </w:rPr>
        <w:fldChar w:fldCharType="end"/>
      </w:r>
      <w:r>
        <w:rPr>
          <w:b/>
          <w:spacing w:val="-3"/>
        </w:rPr>
        <w:fldChar w:fldCharType="begin"/>
      </w:r>
      <w:r>
        <w:rPr>
          <w:b/>
          <w:spacing w:val="-3"/>
        </w:rPr>
        <w:instrText xml:space="preserve">seq level6 \h \r0 </w:instrText>
      </w:r>
      <w:r>
        <w:rPr>
          <w:b/>
          <w:spacing w:val="-3"/>
        </w:rPr>
        <w:fldChar w:fldCharType="end"/>
      </w:r>
      <w:r>
        <w:rPr>
          <w:b/>
          <w:spacing w:val="-3"/>
        </w:rPr>
        <w:fldChar w:fldCharType="begin"/>
      </w:r>
      <w:r>
        <w:rPr>
          <w:b/>
          <w:spacing w:val="-3"/>
        </w:rPr>
        <w:instrText xml:space="preserve">seq level7 \h \r0 </w:instrText>
      </w:r>
      <w:r>
        <w:rPr>
          <w:b/>
          <w:spacing w:val="-3"/>
        </w:rPr>
        <w:fldChar w:fldCharType="end"/>
      </w:r>
      <w:r>
        <w:rPr>
          <w:b/>
          <w:spacing w:val="-3"/>
        </w:rPr>
        <w:fldChar w:fldCharType="begin"/>
      </w:r>
      <w:r>
        <w:rPr>
          <w:b/>
          <w:spacing w:val="-3"/>
        </w:rPr>
        <w:instrText>tc  \l 1 "</w:instrText>
      </w:r>
      <w:r>
        <w:rPr>
          <w:b/>
          <w:spacing w:val="-3"/>
        </w:rPr>
        <w:fldChar w:fldCharType="begin"/>
      </w:r>
      <w:r>
        <w:rPr>
          <w:b/>
          <w:spacing w:val="-3"/>
        </w:rPr>
        <w:instrText xml:space="preserve">seq level0 \h \r0 </w:instrText>
      </w:r>
      <w:r>
        <w:rPr>
          <w:b/>
          <w:spacing w:val="-3"/>
        </w:rPr>
        <w:fldChar w:fldCharType="end"/>
      </w:r>
      <w:r>
        <w:rPr>
          <w:b/>
          <w:spacing w:val="-3"/>
        </w:rPr>
        <w:fldChar w:fldCharType="begin"/>
      </w:r>
      <w:r>
        <w:rPr>
          <w:b/>
          <w:spacing w:val="-3"/>
        </w:rPr>
        <w:instrText xml:space="preserve">seq level1 \h \r0 </w:instrText>
      </w:r>
      <w:r>
        <w:rPr>
          <w:b/>
          <w:spacing w:val="-3"/>
        </w:rPr>
        <w:fldChar w:fldCharType="end"/>
      </w:r>
      <w:r>
        <w:rPr>
          <w:b/>
          <w:spacing w:val="-3"/>
        </w:rPr>
        <w:fldChar w:fldCharType="begin"/>
      </w:r>
      <w:r>
        <w:rPr>
          <w:b/>
          <w:spacing w:val="-3"/>
        </w:rPr>
        <w:instrText xml:space="preserve">seq level2 \h \r0 </w:instrText>
      </w:r>
      <w:r>
        <w:rPr>
          <w:b/>
          <w:spacing w:val="-3"/>
        </w:rPr>
        <w:fldChar w:fldCharType="end"/>
      </w:r>
      <w:r>
        <w:rPr>
          <w:b/>
          <w:spacing w:val="-3"/>
        </w:rPr>
        <w:fldChar w:fldCharType="begin"/>
      </w:r>
      <w:r>
        <w:rPr>
          <w:b/>
          <w:spacing w:val="-3"/>
        </w:rPr>
        <w:instrText xml:space="preserve">seq level3 \h \r0 </w:instrText>
      </w:r>
      <w:r>
        <w:rPr>
          <w:b/>
          <w:spacing w:val="-3"/>
        </w:rPr>
        <w:fldChar w:fldCharType="end"/>
      </w:r>
      <w:r>
        <w:rPr>
          <w:b/>
          <w:spacing w:val="-3"/>
        </w:rPr>
        <w:fldChar w:fldCharType="begin"/>
      </w:r>
      <w:r>
        <w:rPr>
          <w:b/>
          <w:spacing w:val="-3"/>
        </w:rPr>
        <w:instrText xml:space="preserve">seq level4 \h \r0 </w:instrText>
      </w:r>
      <w:r>
        <w:rPr>
          <w:b/>
          <w:spacing w:val="-3"/>
        </w:rPr>
        <w:fldChar w:fldCharType="end"/>
      </w:r>
      <w:r>
        <w:rPr>
          <w:b/>
          <w:spacing w:val="-3"/>
        </w:rPr>
        <w:fldChar w:fldCharType="begin"/>
      </w:r>
      <w:r>
        <w:rPr>
          <w:b/>
          <w:spacing w:val="-3"/>
        </w:rPr>
        <w:instrText xml:space="preserve">seq level5 \h \r0 </w:instrText>
      </w:r>
      <w:r>
        <w:rPr>
          <w:b/>
          <w:spacing w:val="-3"/>
        </w:rPr>
        <w:fldChar w:fldCharType="end"/>
      </w:r>
      <w:r>
        <w:rPr>
          <w:b/>
          <w:spacing w:val="-3"/>
        </w:rPr>
        <w:fldChar w:fldCharType="begin"/>
      </w:r>
      <w:r>
        <w:rPr>
          <w:b/>
          <w:spacing w:val="-3"/>
        </w:rPr>
        <w:instrText xml:space="preserve">seq level6 \h \r0 </w:instrText>
      </w:r>
      <w:r>
        <w:rPr>
          <w:b/>
          <w:spacing w:val="-3"/>
        </w:rPr>
        <w:fldChar w:fldCharType="end"/>
      </w:r>
      <w:r>
        <w:rPr>
          <w:b/>
          <w:spacing w:val="-3"/>
        </w:rPr>
        <w:fldChar w:fldCharType="begin"/>
      </w:r>
      <w:r>
        <w:rPr>
          <w:b/>
          <w:spacing w:val="-3"/>
        </w:rPr>
        <w:instrText xml:space="preserve">seq level7 \h \r0 </w:instrText>
      </w:r>
      <w:r>
        <w:rPr>
          <w:b/>
          <w:spacing w:val="-3"/>
        </w:rPr>
        <w:fldChar w:fldCharType="end"/>
      </w:r>
      <w:r>
        <w:rPr>
          <w:b/>
          <w:spacing w:val="-3"/>
        </w:rPr>
        <w:fldChar w:fldCharType="begin"/>
      </w:r>
      <w:r>
        <w:rPr>
          <w:b/>
          <w:spacing w:val="-3"/>
        </w:rPr>
        <w:instrText>seq level0 \r1 \*ROMAN</w:instrText>
      </w:r>
      <w:r>
        <w:rPr>
          <w:b/>
          <w:spacing w:val="-3"/>
        </w:rPr>
        <w:fldChar w:fldCharType="separate"/>
      </w:r>
      <w:r>
        <w:rPr>
          <w:b/>
          <w:noProof/>
          <w:spacing w:val="-3"/>
        </w:rPr>
        <w:instrText>I</w:instrText>
      </w:r>
      <w:r>
        <w:rPr>
          <w:b/>
          <w:spacing w:val="-3"/>
        </w:rPr>
        <w:fldChar w:fldCharType="end"/>
      </w:r>
      <w:r>
        <w:rPr>
          <w:b/>
          <w:spacing w:val="-3"/>
        </w:rPr>
        <w:instrText>. STATEMENT OF PROCEEDINGS"</w:instrText>
      </w:r>
      <w:r>
        <w:rPr>
          <w:b/>
          <w:spacing w:val="-3"/>
        </w:rPr>
        <w:fldChar w:fldCharType="end"/>
      </w:r>
    </w:p>
    <w:p w14:paraId="260DC347" w14:textId="77777777" w:rsidR="003461C9" w:rsidRPr="008151B1" w:rsidRDefault="003461C9" w:rsidP="003461C9">
      <w:pPr>
        <w:tabs>
          <w:tab w:val="left" w:pos="-720"/>
        </w:tabs>
        <w:suppressAutoHyphens/>
        <w:spacing w:afterLines="160" w:after="384" w:line="36" w:lineRule="atLeast"/>
        <w:jc w:val="both"/>
      </w:pPr>
      <w:r>
        <w:rPr>
          <w:spacing w:val="-3"/>
        </w:rPr>
        <w:tab/>
      </w:r>
      <w:r>
        <w:t xml:space="preserve">On January 28, 2025, the Commission issued its Procedural and Scheduling Order in both dockets setting forth the dates for filing of testimony and briefs, as well as the dates for the hearings in this matter. </w:t>
      </w:r>
      <w:r w:rsidRPr="00B8697A">
        <w:rPr>
          <w:rStyle w:val="Outline2"/>
          <w:snapToGrid w:val="0"/>
          <w:spacing w:val="-3"/>
        </w:rPr>
        <w:t xml:space="preserve">These proceedings were declared to be contested cases as the term is defined in O.C.G.A. </w:t>
      </w:r>
      <w:r w:rsidRPr="00B8697A">
        <w:rPr>
          <w:rStyle w:val="Outline2"/>
          <w:spacing w:val="-3"/>
        </w:rPr>
        <w:t>§</w:t>
      </w:r>
      <w:r w:rsidRPr="00B8697A">
        <w:rPr>
          <w:rStyle w:val="Outline2"/>
          <w:snapToGrid w:val="0"/>
          <w:spacing w:val="-3"/>
        </w:rPr>
        <w:t xml:space="preserve"> 50-13-13 and were also held to encompass complex litigation pursuant to O.C.G.A. </w:t>
      </w:r>
      <w:r w:rsidRPr="00B8697A">
        <w:rPr>
          <w:rStyle w:val="Outline2"/>
          <w:spacing w:val="-3"/>
        </w:rPr>
        <w:t>§</w:t>
      </w:r>
      <w:r w:rsidRPr="00B8697A">
        <w:rPr>
          <w:rStyle w:val="Outline2"/>
          <w:snapToGrid w:val="0"/>
          <w:spacing w:val="-3"/>
        </w:rPr>
        <w:t xml:space="preserve"> 9-11-33(a).  </w:t>
      </w:r>
      <w:r w:rsidRPr="008151B1">
        <w:t xml:space="preserve">The two proceedings were assigned Docket Numbers </w:t>
      </w:r>
      <w:r>
        <w:t>56002 and 56003</w:t>
      </w:r>
      <w:r w:rsidRPr="008151B1">
        <w:t>, respectively, and combined for purposes of administrative efficiency and convenience.</w:t>
      </w:r>
    </w:p>
    <w:p w14:paraId="7909304A" w14:textId="77777777" w:rsidR="003461C9" w:rsidRDefault="003461C9" w:rsidP="003461C9">
      <w:pPr>
        <w:spacing w:afterLines="160" w:after="384" w:line="36" w:lineRule="atLeast"/>
        <w:ind w:firstLine="720"/>
        <w:jc w:val="both"/>
        <w:rPr>
          <w:rStyle w:val="Outline2"/>
          <w:spacing w:val="-3"/>
        </w:rPr>
      </w:pPr>
      <w:r>
        <w:rPr>
          <w:rStyle w:val="Outline2"/>
          <w:spacing w:val="-3"/>
        </w:rPr>
        <w:t>Pursuant to</w:t>
      </w:r>
      <w:r w:rsidRPr="00B8697A">
        <w:rPr>
          <w:rStyle w:val="Outline2"/>
          <w:spacing w:val="-3"/>
        </w:rPr>
        <w:t xml:space="preserve"> O.C.G.A. § 46-3A-5(c), the Commission established </w:t>
      </w:r>
      <w:r>
        <w:rPr>
          <w:rStyle w:val="Outline2"/>
          <w:spacing w:val="-3"/>
        </w:rPr>
        <w:t xml:space="preserve">the </w:t>
      </w:r>
      <w:r w:rsidRPr="00B8697A">
        <w:rPr>
          <w:rStyle w:val="Outline2"/>
          <w:spacing w:val="-3"/>
        </w:rPr>
        <w:t>fee for review of the IRP within sixty days of the filing of the applications.  On March 1</w:t>
      </w:r>
      <w:r>
        <w:rPr>
          <w:rStyle w:val="Outline2"/>
          <w:spacing w:val="-3"/>
        </w:rPr>
        <w:t>8</w:t>
      </w:r>
      <w:r w:rsidRPr="00B8697A">
        <w:rPr>
          <w:rStyle w:val="Outline2"/>
          <w:spacing w:val="-3"/>
        </w:rPr>
        <w:t>, 20</w:t>
      </w:r>
      <w:r>
        <w:rPr>
          <w:rStyle w:val="Outline2"/>
          <w:spacing w:val="-3"/>
        </w:rPr>
        <w:t>25,</w:t>
      </w:r>
      <w:r w:rsidRPr="00B8697A">
        <w:rPr>
          <w:rStyle w:val="Outline2"/>
          <w:spacing w:val="-3"/>
        </w:rPr>
        <w:t xml:space="preserve"> the Commission concluded that</w:t>
      </w:r>
      <w:r>
        <w:rPr>
          <w:rStyle w:val="Outline2"/>
          <w:spacing w:val="-3"/>
        </w:rPr>
        <w:t xml:space="preserve"> </w:t>
      </w:r>
      <w:r>
        <w:rPr>
          <w:rFonts w:eastAsia="Arial"/>
          <w:color w:val="000000"/>
        </w:rPr>
        <w:t xml:space="preserve">nine </w:t>
      </w:r>
      <w:r w:rsidRPr="00372BC2">
        <w:rPr>
          <w:rFonts w:eastAsia="Arial"/>
          <w:color w:val="000000"/>
        </w:rPr>
        <w:t xml:space="preserve">hundred </w:t>
      </w:r>
      <w:r>
        <w:rPr>
          <w:rFonts w:eastAsia="Arial"/>
          <w:color w:val="000000"/>
        </w:rPr>
        <w:t>seventy-six</w:t>
      </w:r>
      <w:r w:rsidRPr="00372BC2">
        <w:rPr>
          <w:rFonts w:eastAsia="Arial"/>
          <w:color w:val="000000"/>
        </w:rPr>
        <w:t xml:space="preserve"> thousand </w:t>
      </w:r>
      <w:r>
        <w:rPr>
          <w:rFonts w:eastAsia="Arial"/>
          <w:color w:val="000000"/>
        </w:rPr>
        <w:t>one</w:t>
      </w:r>
      <w:r w:rsidRPr="00372BC2">
        <w:rPr>
          <w:rFonts w:eastAsia="Arial"/>
          <w:color w:val="000000"/>
        </w:rPr>
        <w:t xml:space="preserve"> hundred </w:t>
      </w:r>
      <w:r>
        <w:rPr>
          <w:rFonts w:eastAsia="Arial"/>
          <w:color w:val="000000"/>
        </w:rPr>
        <w:t>fifty</w:t>
      </w:r>
      <w:r w:rsidRPr="00372BC2">
        <w:rPr>
          <w:rFonts w:eastAsia="Arial"/>
          <w:color w:val="000000"/>
        </w:rPr>
        <w:t xml:space="preserve"> dollars ($</w:t>
      </w:r>
      <w:r>
        <w:rPr>
          <w:rFonts w:eastAsia="Arial"/>
          <w:color w:val="000000"/>
        </w:rPr>
        <w:t>976</w:t>
      </w:r>
      <w:r w:rsidRPr="00372BC2">
        <w:rPr>
          <w:rFonts w:eastAsia="Arial"/>
          <w:color w:val="000000"/>
        </w:rPr>
        <w:t>,</w:t>
      </w:r>
      <w:r>
        <w:rPr>
          <w:rFonts w:eastAsia="Arial"/>
          <w:color w:val="000000"/>
        </w:rPr>
        <w:t>150</w:t>
      </w:r>
      <w:r w:rsidRPr="00372BC2">
        <w:rPr>
          <w:rFonts w:eastAsia="Arial"/>
          <w:color w:val="000000"/>
        </w:rPr>
        <w:t>.00)</w:t>
      </w:r>
      <w:r w:rsidRPr="00372BC2">
        <w:t xml:space="preserve"> was</w:t>
      </w:r>
      <w:r w:rsidRPr="00372BC2">
        <w:rPr>
          <w:rStyle w:val="Outline2"/>
          <w:spacing w:val="-3"/>
        </w:rPr>
        <w:t xml:space="preserve"> the appropriate fee for</w:t>
      </w:r>
      <w:r>
        <w:rPr>
          <w:rStyle w:val="Outline2"/>
          <w:spacing w:val="-3"/>
        </w:rPr>
        <w:t xml:space="preserve"> review and analysis of </w:t>
      </w:r>
      <w:r w:rsidRPr="00372BC2">
        <w:rPr>
          <w:rStyle w:val="Outline2"/>
          <w:spacing w:val="-3"/>
        </w:rPr>
        <w:t xml:space="preserve">the Company’s </w:t>
      </w:r>
      <w:r>
        <w:rPr>
          <w:rStyle w:val="Outline2"/>
          <w:spacing w:val="-3"/>
        </w:rPr>
        <w:t>filing.</w:t>
      </w:r>
      <w:r w:rsidRPr="00B8697A">
        <w:rPr>
          <w:rStyle w:val="Outline2"/>
          <w:spacing w:val="-3"/>
        </w:rPr>
        <w:t xml:space="preserve"> </w:t>
      </w:r>
    </w:p>
    <w:p w14:paraId="708E7B3E" w14:textId="77777777" w:rsidR="003461C9" w:rsidRDefault="003461C9" w:rsidP="003461C9">
      <w:pPr>
        <w:spacing w:afterLines="160" w:after="384" w:line="36" w:lineRule="atLeast"/>
        <w:ind w:firstLine="720"/>
        <w:jc w:val="both"/>
      </w:pPr>
      <w:r>
        <w:t xml:space="preserve">The Commission held three rounds of hearings in accordance with the Procedural and Scheduling Order.  On March 25-28, 2028, the Commission heard direct testimony of Georgia Power’s three panels of witnesses: (1) Jeffery R. Grubb, J. Randy Hubbert, M. Brandon Looney, Michael B. Robinson, and Francisco Valle; and (2) Dr. Ross Beppler, Carley Goff, and A. Wilson Mallard; and (3) Jennifer McNelly and Robert Mitchell III. </w:t>
      </w:r>
    </w:p>
    <w:p w14:paraId="251AFD2D" w14:textId="77777777" w:rsidR="003461C9" w:rsidRPr="00796812" w:rsidRDefault="003461C9" w:rsidP="003461C9">
      <w:pPr>
        <w:spacing w:afterLines="160" w:after="384" w:line="36" w:lineRule="atLeast"/>
        <w:ind w:firstLine="720"/>
        <w:jc w:val="both"/>
      </w:pPr>
      <w:r>
        <w:t xml:space="preserve">The Commission conducted hearings on the direct cases of the Public Interest Advocacy Staff (“PIA Staff”) and intervening parties in both dockets on May 27-30, 2025. The PIA Staff </w:t>
      </w:r>
      <w:r w:rsidRPr="00796812">
        <w:t xml:space="preserve">sponsored the following witness panels:  </w:t>
      </w:r>
    </w:p>
    <w:p w14:paraId="176F605F" w14:textId="77777777" w:rsidR="003461C9" w:rsidRDefault="003461C9" w:rsidP="003461C9">
      <w:pPr>
        <w:pStyle w:val="ListParagraph"/>
        <w:numPr>
          <w:ilvl w:val="0"/>
          <w:numId w:val="11"/>
        </w:numPr>
        <w:spacing w:afterLines="160" w:after="384" w:line="36" w:lineRule="atLeast"/>
        <w:jc w:val="both"/>
        <w:rPr>
          <w:rFonts w:ascii="Times New Roman" w:hAnsi="Times New Roman" w:cs="Times New Roman"/>
          <w:sz w:val="24"/>
          <w:szCs w:val="24"/>
        </w:rPr>
      </w:pPr>
      <w:r>
        <w:rPr>
          <w:rFonts w:ascii="Times New Roman" w:hAnsi="Times New Roman" w:cs="Times New Roman"/>
          <w:sz w:val="24"/>
          <w:szCs w:val="24"/>
        </w:rPr>
        <w:t>Robert Trokey, Dylan Drugan, and Karan A. Pol</w:t>
      </w:r>
      <w:r w:rsidRPr="00796812">
        <w:rPr>
          <w:rFonts w:ascii="Times New Roman" w:hAnsi="Times New Roman" w:cs="Times New Roman"/>
          <w:sz w:val="24"/>
          <w:szCs w:val="24"/>
        </w:rPr>
        <w:t xml:space="preserve">; </w:t>
      </w:r>
    </w:p>
    <w:p w14:paraId="26D0D8C2" w14:textId="77777777" w:rsidR="003461C9" w:rsidRPr="00796812" w:rsidRDefault="003461C9" w:rsidP="003461C9">
      <w:pPr>
        <w:pStyle w:val="ListParagraph"/>
        <w:numPr>
          <w:ilvl w:val="0"/>
          <w:numId w:val="11"/>
        </w:numPr>
        <w:spacing w:afterLines="160" w:after="384" w:line="36" w:lineRule="atLeast"/>
        <w:jc w:val="both"/>
        <w:rPr>
          <w:rFonts w:ascii="Times New Roman" w:hAnsi="Times New Roman" w:cs="Times New Roman"/>
          <w:sz w:val="24"/>
          <w:szCs w:val="24"/>
        </w:rPr>
      </w:pPr>
      <w:r w:rsidRPr="00796812">
        <w:rPr>
          <w:rFonts w:ascii="Times New Roman" w:hAnsi="Times New Roman" w:cs="Times New Roman"/>
          <w:sz w:val="24"/>
          <w:szCs w:val="24"/>
        </w:rPr>
        <w:t xml:space="preserve">Philip Hayet, Tom Newsome, </w:t>
      </w:r>
      <w:r>
        <w:rPr>
          <w:rFonts w:ascii="Times New Roman" w:hAnsi="Times New Roman" w:cs="Times New Roman"/>
          <w:sz w:val="24"/>
          <w:szCs w:val="24"/>
        </w:rPr>
        <w:t>Anthony Sandonato</w:t>
      </w:r>
      <w:r w:rsidRPr="00796812">
        <w:rPr>
          <w:rFonts w:ascii="Times New Roman" w:hAnsi="Times New Roman" w:cs="Times New Roman"/>
          <w:sz w:val="24"/>
          <w:szCs w:val="24"/>
        </w:rPr>
        <w:t xml:space="preserve"> and Leah Wellborn</w:t>
      </w:r>
      <w:r>
        <w:rPr>
          <w:rFonts w:ascii="Times New Roman" w:hAnsi="Times New Roman" w:cs="Times New Roman"/>
          <w:sz w:val="24"/>
          <w:szCs w:val="24"/>
        </w:rPr>
        <w:t>;</w:t>
      </w:r>
      <w:r w:rsidRPr="00796812">
        <w:rPr>
          <w:rFonts w:ascii="Times New Roman" w:hAnsi="Times New Roman" w:cs="Times New Roman"/>
          <w:sz w:val="24"/>
          <w:szCs w:val="24"/>
        </w:rPr>
        <w:t xml:space="preserve"> </w:t>
      </w:r>
    </w:p>
    <w:p w14:paraId="35183F74" w14:textId="77777777" w:rsidR="003461C9" w:rsidRPr="00796812" w:rsidRDefault="003461C9" w:rsidP="003461C9">
      <w:pPr>
        <w:pStyle w:val="ListParagraph"/>
        <w:numPr>
          <w:ilvl w:val="0"/>
          <w:numId w:val="11"/>
        </w:numPr>
        <w:spacing w:afterLines="160" w:after="384" w:line="36" w:lineRule="atLeast"/>
        <w:jc w:val="both"/>
        <w:rPr>
          <w:rFonts w:ascii="Times New Roman" w:hAnsi="Times New Roman" w:cs="Times New Roman"/>
          <w:sz w:val="24"/>
          <w:szCs w:val="24"/>
        </w:rPr>
      </w:pPr>
      <w:r>
        <w:rPr>
          <w:rFonts w:ascii="Times New Roman" w:hAnsi="Times New Roman" w:cs="Times New Roman"/>
          <w:sz w:val="24"/>
          <w:szCs w:val="24"/>
        </w:rPr>
        <w:t>Douglas A. Smith, Sasikumar Kannan, and Michael S. Goggin</w:t>
      </w:r>
      <w:r w:rsidRPr="00796812">
        <w:rPr>
          <w:rFonts w:ascii="Times New Roman" w:hAnsi="Times New Roman" w:cs="Times New Roman"/>
          <w:sz w:val="24"/>
          <w:szCs w:val="24"/>
        </w:rPr>
        <w:t xml:space="preserve">; </w:t>
      </w:r>
    </w:p>
    <w:p w14:paraId="7E4708B9" w14:textId="77777777" w:rsidR="003461C9" w:rsidRPr="00796812" w:rsidRDefault="003461C9" w:rsidP="003461C9">
      <w:pPr>
        <w:pStyle w:val="ListParagraph"/>
        <w:numPr>
          <w:ilvl w:val="0"/>
          <w:numId w:val="11"/>
        </w:numPr>
        <w:spacing w:afterLines="160" w:after="384" w:line="36" w:lineRule="atLeast"/>
        <w:jc w:val="both"/>
        <w:rPr>
          <w:rFonts w:ascii="Times New Roman" w:hAnsi="Times New Roman" w:cs="Times New Roman"/>
          <w:sz w:val="24"/>
          <w:szCs w:val="24"/>
        </w:rPr>
      </w:pPr>
      <w:r>
        <w:rPr>
          <w:rFonts w:ascii="Times New Roman" w:hAnsi="Times New Roman" w:cs="Times New Roman"/>
          <w:sz w:val="24"/>
          <w:szCs w:val="24"/>
        </w:rPr>
        <w:t>Ralph C. Smith and Jason R. Forsyth;</w:t>
      </w:r>
      <w:r w:rsidRPr="00796812">
        <w:rPr>
          <w:rFonts w:ascii="Times New Roman" w:hAnsi="Times New Roman" w:cs="Times New Roman"/>
          <w:sz w:val="24"/>
          <w:szCs w:val="24"/>
        </w:rPr>
        <w:t xml:space="preserve"> </w:t>
      </w:r>
    </w:p>
    <w:p w14:paraId="06269B45" w14:textId="77777777" w:rsidR="003461C9" w:rsidRPr="00796812" w:rsidRDefault="003461C9" w:rsidP="003461C9">
      <w:pPr>
        <w:pStyle w:val="ListParagraph"/>
        <w:numPr>
          <w:ilvl w:val="0"/>
          <w:numId w:val="11"/>
        </w:numPr>
        <w:spacing w:afterLines="160" w:after="384" w:line="36" w:lineRule="atLeast"/>
        <w:jc w:val="both"/>
        <w:rPr>
          <w:rFonts w:ascii="Times New Roman" w:hAnsi="Times New Roman" w:cs="Times New Roman"/>
          <w:sz w:val="24"/>
          <w:szCs w:val="24"/>
        </w:rPr>
      </w:pPr>
      <w:r>
        <w:rPr>
          <w:rFonts w:ascii="Times New Roman" w:hAnsi="Times New Roman" w:cs="Times New Roman"/>
          <w:sz w:val="24"/>
          <w:szCs w:val="24"/>
        </w:rPr>
        <w:t>Robert Stephens;</w:t>
      </w:r>
      <w:r w:rsidRPr="00796812">
        <w:rPr>
          <w:rFonts w:ascii="Times New Roman" w:hAnsi="Times New Roman" w:cs="Times New Roman"/>
          <w:sz w:val="24"/>
          <w:szCs w:val="24"/>
        </w:rPr>
        <w:t xml:space="preserve"> and </w:t>
      </w:r>
    </w:p>
    <w:p w14:paraId="121F5580" w14:textId="77777777" w:rsidR="003461C9" w:rsidRPr="00263CBB" w:rsidRDefault="003461C9" w:rsidP="003461C9">
      <w:pPr>
        <w:pStyle w:val="ListParagraph"/>
        <w:numPr>
          <w:ilvl w:val="0"/>
          <w:numId w:val="11"/>
        </w:numPr>
        <w:spacing w:afterLines="160" w:after="384" w:line="36" w:lineRule="atLeast"/>
        <w:jc w:val="both"/>
        <w:rPr>
          <w:rFonts w:ascii="Times New Roman" w:hAnsi="Times New Roman" w:cs="Times New Roman"/>
          <w:sz w:val="24"/>
          <w:szCs w:val="24"/>
        </w:rPr>
      </w:pPr>
      <w:r w:rsidRPr="00796812">
        <w:rPr>
          <w:rFonts w:ascii="Times New Roman" w:hAnsi="Times New Roman" w:cs="Times New Roman"/>
          <w:sz w:val="24"/>
          <w:szCs w:val="24"/>
        </w:rPr>
        <w:t>Jamie Barber, Nick Cooper, and Richard F. Spellman.</w:t>
      </w:r>
    </w:p>
    <w:p w14:paraId="571FC227" w14:textId="77777777" w:rsidR="003461C9" w:rsidRPr="00515C84" w:rsidRDefault="003461C9" w:rsidP="003461C9">
      <w:pPr>
        <w:spacing w:line="36" w:lineRule="atLeast"/>
      </w:pPr>
      <w:r w:rsidRPr="00515C84">
        <w:t>The following witnesses and witness panels were presented by intervening parties:</w:t>
      </w:r>
    </w:p>
    <w:p w14:paraId="786823E9"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Advanced Power Alliance – panel of Jeff Clark, Andy White, and Ryan Sanders;</w:t>
      </w:r>
    </w:p>
    <w:p w14:paraId="4E36A85D"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Capital Good Fund – Russ Bates;</w:t>
      </w:r>
    </w:p>
    <w:p w14:paraId="21E5E868"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Clean Energy Buyers Association – panel of Priya Barua, R. Brent Alderfer, and Ted Thomas;</w:t>
      </w:r>
    </w:p>
    <w:p w14:paraId="0C11917C"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Georgia Center for Energy Solutions, Inc. – Peter Hubbard;</w:t>
      </w:r>
    </w:p>
    <w:p w14:paraId="19070243"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Georgia Coalition of Local Governments – panel of David A. Nifong and Blake F. Richetta;</w:t>
      </w:r>
    </w:p>
    <w:p w14:paraId="3CEE915E"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Georgia Conservation Voters Education Fund – Dr. Maria Roumpani;</w:t>
      </w:r>
    </w:p>
    <w:p w14:paraId="274B9280"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lastRenderedPageBreak/>
        <w:t>Georgia Interfaith Power &amp; Light and Southface Energy Institute, Inc. – panel of Chelsea Hotaling, Anjali Patel, and Stacy Sherwood;</w:t>
      </w:r>
    </w:p>
    <w:p w14:paraId="193FF9B1"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Georgia Solar Energy Association, Inc.- panel of Olivia Amyette, Daniel Pertwee, and Adam Hoyt;</w:t>
      </w:r>
    </w:p>
    <w:p w14:paraId="465AAFD3"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Georgia Solar Energy Industries Association, Inc. – Ani Backa, Tully Blalock, and Jonathan Roberts;</w:t>
      </w:r>
    </w:p>
    <w:p w14:paraId="20181828"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Natural Resources Defense Council, Southern Alliance for Clean Energy, and Sierra Club – panel of Derek Stenclik, Matthew Richwine, and AJ Goulding;</w:t>
      </w:r>
    </w:p>
    <w:p w14:paraId="57637C97"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Southern Renewable Energy Association – Alejandro Palomino</w:t>
      </w:r>
    </w:p>
    <w:p w14:paraId="1EAF8054"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Vote Solar and Georgia WAND Education Fund, Inc – Yunus Kinkhabwala;</w:t>
      </w:r>
    </w:p>
    <w:p w14:paraId="4DDAD754"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Walmart – Lisa V. Perry.</w:t>
      </w:r>
    </w:p>
    <w:p w14:paraId="5F838FEC" w14:textId="77777777" w:rsidR="003461C9" w:rsidRPr="005303F3" w:rsidRDefault="003461C9" w:rsidP="003461C9">
      <w:pPr>
        <w:pStyle w:val="ListParagraph"/>
        <w:spacing w:line="36" w:lineRule="atLeast"/>
        <w:rPr>
          <w:rFonts w:ascii="Times New Roman" w:hAnsi="Times New Roman" w:cs="Times New Roman"/>
          <w:sz w:val="24"/>
          <w:szCs w:val="24"/>
        </w:rPr>
      </w:pPr>
    </w:p>
    <w:p w14:paraId="55354BD7" w14:textId="77777777" w:rsidR="003461C9" w:rsidRPr="005303F3" w:rsidRDefault="003461C9" w:rsidP="003461C9">
      <w:pPr>
        <w:spacing w:line="36" w:lineRule="atLeast"/>
      </w:pPr>
      <w:r w:rsidRPr="005303F3">
        <w:t>The following parties intervened but did not sponsor testimony:</w:t>
      </w:r>
    </w:p>
    <w:p w14:paraId="78AB61A6"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Americans for Affordable Clean Energy;</w:t>
      </w:r>
    </w:p>
    <w:p w14:paraId="61CE28BF"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Fermata Energy;</w:t>
      </w:r>
    </w:p>
    <w:p w14:paraId="3CFE0293"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Georgia Association of Manufacturers;</w:t>
      </w:r>
    </w:p>
    <w:p w14:paraId="77B59D69" w14:textId="77777777" w:rsidR="003461C9" w:rsidRPr="005303F3" w:rsidRDefault="003461C9" w:rsidP="003461C9">
      <w:pPr>
        <w:pStyle w:val="ListParagraph"/>
        <w:numPr>
          <w:ilvl w:val="0"/>
          <w:numId w:val="27"/>
        </w:numPr>
        <w:spacing w:line="36" w:lineRule="atLeast"/>
        <w:rPr>
          <w:rFonts w:ascii="Times New Roman" w:hAnsi="Times New Roman" w:cs="Times New Roman"/>
          <w:sz w:val="24"/>
          <w:szCs w:val="24"/>
        </w:rPr>
      </w:pPr>
      <w:r w:rsidRPr="005303F3">
        <w:rPr>
          <w:rFonts w:ascii="Times New Roman" w:hAnsi="Times New Roman" w:cs="Times New Roman"/>
          <w:sz w:val="24"/>
          <w:szCs w:val="24"/>
        </w:rPr>
        <w:t>Georgia Watch;</w:t>
      </w:r>
    </w:p>
    <w:p w14:paraId="0D64C773" w14:textId="77777777" w:rsidR="003461C9" w:rsidRPr="005303F3" w:rsidRDefault="003461C9" w:rsidP="003461C9">
      <w:pPr>
        <w:pStyle w:val="ListParagraph"/>
        <w:numPr>
          <w:ilvl w:val="0"/>
          <w:numId w:val="27"/>
        </w:numPr>
        <w:spacing w:line="36" w:lineRule="atLeast"/>
        <w:jc w:val="both"/>
        <w:rPr>
          <w:rFonts w:ascii="Times New Roman" w:hAnsi="Times New Roman" w:cs="Times New Roman"/>
          <w:sz w:val="24"/>
          <w:szCs w:val="24"/>
        </w:rPr>
      </w:pPr>
      <w:r w:rsidRPr="005303F3">
        <w:rPr>
          <w:rFonts w:ascii="Times New Roman" w:hAnsi="Times New Roman" w:cs="Times New Roman"/>
          <w:sz w:val="24"/>
          <w:szCs w:val="24"/>
        </w:rPr>
        <w:t>Metropolitan Atlanta Rapid Transit Authority;</w:t>
      </w:r>
    </w:p>
    <w:p w14:paraId="6E443575" w14:textId="77777777" w:rsidR="003461C9" w:rsidRPr="005303F3" w:rsidRDefault="003461C9" w:rsidP="003461C9">
      <w:pPr>
        <w:pStyle w:val="ListParagraph"/>
        <w:numPr>
          <w:ilvl w:val="0"/>
          <w:numId w:val="27"/>
        </w:numPr>
        <w:spacing w:line="36" w:lineRule="atLeast"/>
        <w:jc w:val="both"/>
        <w:rPr>
          <w:rFonts w:ascii="Times New Roman" w:hAnsi="Times New Roman" w:cs="Times New Roman"/>
          <w:sz w:val="24"/>
          <w:szCs w:val="24"/>
        </w:rPr>
      </w:pPr>
      <w:r w:rsidRPr="005303F3">
        <w:rPr>
          <w:rFonts w:ascii="Times New Roman" w:hAnsi="Times New Roman" w:cs="Times New Roman"/>
          <w:sz w:val="24"/>
          <w:szCs w:val="24"/>
        </w:rPr>
        <w:t>Microsoft Corporation.</w:t>
      </w:r>
    </w:p>
    <w:p w14:paraId="49C3A990" w14:textId="77777777" w:rsidR="003461C9" w:rsidRPr="005303F3" w:rsidRDefault="003461C9" w:rsidP="003461C9">
      <w:pPr>
        <w:pStyle w:val="ListParagraph"/>
        <w:numPr>
          <w:ilvl w:val="0"/>
          <w:numId w:val="27"/>
        </w:numPr>
        <w:spacing w:line="36" w:lineRule="atLeast"/>
        <w:jc w:val="both"/>
        <w:rPr>
          <w:rFonts w:ascii="Times New Roman" w:hAnsi="Times New Roman" w:cs="Times New Roman"/>
          <w:sz w:val="24"/>
          <w:szCs w:val="24"/>
        </w:rPr>
      </w:pPr>
      <w:r w:rsidRPr="005303F3">
        <w:rPr>
          <w:rFonts w:ascii="Times New Roman" w:hAnsi="Times New Roman" w:cs="Times New Roman"/>
          <w:sz w:val="24"/>
          <w:szCs w:val="24"/>
        </w:rPr>
        <w:t>Resource Supply Management;</w:t>
      </w:r>
    </w:p>
    <w:p w14:paraId="724CCE0E" w14:textId="77777777" w:rsidR="003461C9" w:rsidRPr="005303F3" w:rsidRDefault="003461C9" w:rsidP="003461C9">
      <w:pPr>
        <w:pStyle w:val="ListParagraph"/>
        <w:numPr>
          <w:ilvl w:val="0"/>
          <w:numId w:val="27"/>
        </w:numPr>
        <w:spacing w:line="36" w:lineRule="atLeast"/>
        <w:jc w:val="both"/>
        <w:rPr>
          <w:rFonts w:ascii="Times New Roman" w:hAnsi="Times New Roman" w:cs="Times New Roman"/>
          <w:sz w:val="24"/>
          <w:szCs w:val="24"/>
        </w:rPr>
      </w:pPr>
      <w:r w:rsidRPr="005303F3">
        <w:rPr>
          <w:rFonts w:ascii="Times New Roman" w:hAnsi="Times New Roman" w:cs="Times New Roman"/>
          <w:sz w:val="24"/>
          <w:szCs w:val="24"/>
        </w:rPr>
        <w:t>The United States Department of Defense and All Other Federal Executive Agencies.</w:t>
      </w:r>
    </w:p>
    <w:p w14:paraId="0789D9A3" w14:textId="77777777" w:rsidR="003461C9" w:rsidRDefault="003461C9" w:rsidP="003461C9">
      <w:pPr>
        <w:widowControl w:val="0"/>
        <w:suppressAutoHyphens/>
        <w:autoSpaceDE w:val="0"/>
        <w:autoSpaceDN w:val="0"/>
        <w:adjustRightInd w:val="0"/>
        <w:spacing w:after="160" w:line="36" w:lineRule="atLeast"/>
        <w:ind w:left="720"/>
        <w:jc w:val="both"/>
      </w:pPr>
    </w:p>
    <w:p w14:paraId="4E6F0114" w14:textId="77777777" w:rsidR="003461C9" w:rsidRPr="005303F3" w:rsidRDefault="003461C9" w:rsidP="003461C9">
      <w:pPr>
        <w:widowControl w:val="0"/>
        <w:tabs>
          <w:tab w:val="left" w:pos="-720"/>
        </w:tabs>
        <w:suppressAutoHyphens/>
        <w:autoSpaceDE w:val="0"/>
        <w:autoSpaceDN w:val="0"/>
        <w:adjustRightInd w:val="0"/>
        <w:spacing w:after="160"/>
        <w:jc w:val="both"/>
      </w:pPr>
      <w:r>
        <w:tab/>
      </w:r>
      <w:r w:rsidRPr="005303F3">
        <w:t xml:space="preserve">On June </w:t>
      </w:r>
      <w:r>
        <w:t>9</w:t>
      </w:r>
      <w:r w:rsidRPr="005303F3">
        <w:t>, 202</w:t>
      </w:r>
      <w:r>
        <w:t>5</w:t>
      </w:r>
      <w:r w:rsidRPr="005303F3">
        <w:t xml:space="preserve">, Georgia Power filed its rebuttal testimony, which consisted of the </w:t>
      </w:r>
    </w:p>
    <w:p w14:paraId="13894551" w14:textId="77777777" w:rsidR="003461C9" w:rsidRPr="005303F3" w:rsidRDefault="003461C9" w:rsidP="003461C9">
      <w:pPr>
        <w:widowControl w:val="0"/>
        <w:suppressAutoHyphens/>
        <w:autoSpaceDE w:val="0"/>
        <w:autoSpaceDN w:val="0"/>
        <w:adjustRightInd w:val="0"/>
        <w:spacing w:after="160"/>
        <w:jc w:val="both"/>
      </w:pPr>
      <w:r w:rsidRPr="005303F3">
        <w:t>following witnesses and witness panels</w:t>
      </w:r>
      <w:r>
        <w:t>:</w:t>
      </w:r>
      <w:r w:rsidRPr="005303F3">
        <w:t xml:space="preserve">  </w:t>
      </w:r>
    </w:p>
    <w:p w14:paraId="1435013B" w14:textId="77777777" w:rsidR="003461C9" w:rsidRPr="005303F3" w:rsidRDefault="003461C9" w:rsidP="003461C9">
      <w:pPr>
        <w:pStyle w:val="ListParagraph"/>
        <w:widowControl w:val="0"/>
        <w:numPr>
          <w:ilvl w:val="0"/>
          <w:numId w:val="10"/>
        </w:numPr>
        <w:tabs>
          <w:tab w:val="left" w:pos="-720"/>
        </w:tabs>
        <w:suppressAutoHyphens/>
        <w:autoSpaceDE w:val="0"/>
        <w:autoSpaceDN w:val="0"/>
        <w:adjustRightInd w:val="0"/>
        <w:spacing w:line="36" w:lineRule="atLeast"/>
        <w:jc w:val="both"/>
        <w:rPr>
          <w:rFonts w:ascii="Times New Roman" w:hAnsi="Times New Roman" w:cs="Times New Roman"/>
          <w:sz w:val="24"/>
          <w:szCs w:val="24"/>
        </w:rPr>
      </w:pPr>
      <w:r w:rsidRPr="005303F3">
        <w:rPr>
          <w:rFonts w:ascii="Times New Roman" w:hAnsi="Times New Roman" w:cs="Times New Roman"/>
          <w:sz w:val="24"/>
          <w:szCs w:val="24"/>
        </w:rPr>
        <w:t>Jeffery R. Grubb, J. Randy Hubbert, M. Brandon Looney, Michael B. Robinson, and Francisco Valle</w:t>
      </w:r>
    </w:p>
    <w:p w14:paraId="507CEEE1" w14:textId="77777777" w:rsidR="003461C9" w:rsidRPr="005303F3" w:rsidRDefault="003461C9" w:rsidP="003461C9">
      <w:pPr>
        <w:pStyle w:val="ListParagraph"/>
        <w:widowControl w:val="0"/>
        <w:numPr>
          <w:ilvl w:val="0"/>
          <w:numId w:val="10"/>
        </w:numPr>
        <w:suppressAutoHyphens/>
        <w:autoSpaceDE w:val="0"/>
        <w:autoSpaceDN w:val="0"/>
        <w:adjustRightInd w:val="0"/>
        <w:spacing w:line="36" w:lineRule="atLeast"/>
        <w:jc w:val="both"/>
        <w:rPr>
          <w:rFonts w:ascii="Times New Roman" w:hAnsi="Times New Roman" w:cs="Times New Roman"/>
          <w:b/>
          <w:sz w:val="24"/>
          <w:szCs w:val="24"/>
        </w:rPr>
      </w:pPr>
      <w:r w:rsidRPr="005303F3">
        <w:rPr>
          <w:rFonts w:ascii="Times New Roman" w:hAnsi="Times New Roman" w:cs="Times New Roman"/>
          <w:sz w:val="24"/>
          <w:szCs w:val="24"/>
        </w:rPr>
        <w:t xml:space="preserve">Dr. Ross Beppler, Carley Goff, and A. Wilson </w:t>
      </w:r>
      <w:r w:rsidRPr="509E9B02">
        <w:rPr>
          <w:rFonts w:ascii="Times New Roman" w:hAnsi="Times New Roman" w:cs="Times New Roman"/>
          <w:sz w:val="24"/>
          <w:szCs w:val="24"/>
        </w:rPr>
        <w:t>Mallard</w:t>
      </w:r>
    </w:p>
    <w:p w14:paraId="63E4FB4A" w14:textId="793A0888" w:rsidR="003461C9" w:rsidRDefault="003461C9" w:rsidP="003461C9">
      <w:pPr>
        <w:widowControl w:val="0"/>
        <w:spacing w:line="36" w:lineRule="atLeast"/>
        <w:jc w:val="both"/>
      </w:pPr>
      <w:r w:rsidRPr="6E489847">
        <w:t>Hearings on the Company’s rebuttal testimony were held on June 23-24, 202</w:t>
      </w:r>
      <w:r w:rsidR="00117AC4">
        <w:t>.</w:t>
      </w:r>
      <w:r w:rsidRPr="6E489847">
        <w:t>5</w:t>
      </w:r>
    </w:p>
    <w:p w14:paraId="62891FA5" w14:textId="77777777" w:rsidR="003461C9" w:rsidRDefault="003461C9" w:rsidP="003461C9">
      <w:pPr>
        <w:widowControl w:val="0"/>
        <w:spacing w:line="36" w:lineRule="atLeast"/>
        <w:jc w:val="both"/>
      </w:pPr>
    </w:p>
    <w:p w14:paraId="418FEE02" w14:textId="77777777" w:rsidR="003461C9" w:rsidRDefault="003461C9" w:rsidP="003461C9">
      <w:pPr>
        <w:widowControl w:val="0"/>
        <w:spacing w:line="36" w:lineRule="atLeast"/>
        <w:jc w:val="both"/>
        <w:rPr>
          <w:b/>
          <w:bCs/>
        </w:rPr>
      </w:pPr>
    </w:p>
    <w:p w14:paraId="6191D462" w14:textId="77777777" w:rsidR="00A6708D" w:rsidRDefault="00A6708D" w:rsidP="003461C9">
      <w:pPr>
        <w:widowControl w:val="0"/>
        <w:spacing w:line="36" w:lineRule="atLeast"/>
        <w:jc w:val="both"/>
        <w:rPr>
          <w:b/>
          <w:bCs/>
        </w:rPr>
      </w:pPr>
    </w:p>
    <w:p w14:paraId="2EDB53EF" w14:textId="77777777" w:rsidR="00A6708D" w:rsidRDefault="00A6708D" w:rsidP="003461C9">
      <w:pPr>
        <w:widowControl w:val="0"/>
        <w:spacing w:line="36" w:lineRule="atLeast"/>
        <w:jc w:val="both"/>
        <w:rPr>
          <w:b/>
          <w:bCs/>
        </w:rPr>
      </w:pPr>
    </w:p>
    <w:p w14:paraId="74E47D06" w14:textId="77777777" w:rsidR="00A6708D" w:rsidRPr="00263CBB" w:rsidRDefault="00A6708D" w:rsidP="003461C9">
      <w:pPr>
        <w:widowControl w:val="0"/>
        <w:spacing w:line="36" w:lineRule="atLeast"/>
        <w:jc w:val="both"/>
        <w:rPr>
          <w:b/>
          <w:bCs/>
        </w:rPr>
      </w:pPr>
    </w:p>
    <w:p w14:paraId="49AAA03D" w14:textId="77777777" w:rsidR="003461C9" w:rsidRDefault="003461C9" w:rsidP="003461C9">
      <w:pPr>
        <w:keepNext/>
        <w:spacing w:after="120" w:line="36" w:lineRule="atLeast"/>
        <w:ind w:left="1440" w:firstLine="720"/>
        <w:rPr>
          <w:b/>
        </w:rPr>
      </w:pPr>
      <w:r>
        <w:rPr>
          <w:b/>
        </w:rPr>
        <w:lastRenderedPageBreak/>
        <w:t>FINDINGS OF FACT AND CONCLUSIONS OF LAW</w:t>
      </w:r>
    </w:p>
    <w:p w14:paraId="31D21203" w14:textId="77777777" w:rsidR="003461C9" w:rsidRPr="0004751F" w:rsidRDefault="003461C9" w:rsidP="003461C9">
      <w:pPr>
        <w:keepNext/>
        <w:spacing w:after="120" w:line="36" w:lineRule="atLeast"/>
        <w:jc w:val="center"/>
        <w:rPr>
          <w:rFonts w:eastAsia="Calibri"/>
          <w:b/>
        </w:rPr>
      </w:pPr>
      <w:r w:rsidRPr="00F47986">
        <w:rPr>
          <w:b/>
        </w:rPr>
        <w:t>1.</w:t>
      </w:r>
    </w:p>
    <w:p w14:paraId="6309CC5D" w14:textId="6F7F00DF" w:rsidR="003461C9" w:rsidRDefault="003461C9" w:rsidP="003461C9">
      <w:pPr>
        <w:pStyle w:val="ListParagraph"/>
        <w:keepNext/>
        <w:spacing w:after="0" w:line="36" w:lineRule="atLeast"/>
        <w:ind w:left="0" w:firstLine="720"/>
        <w:jc w:val="both"/>
        <w:rPr>
          <w:rFonts w:ascii="Times New Roman" w:hAnsi="Times New Roman"/>
          <w:sz w:val="24"/>
          <w:szCs w:val="24"/>
        </w:rPr>
      </w:pPr>
      <w:r w:rsidRPr="00BA6669">
        <w:rPr>
          <w:rFonts w:ascii="Times New Roman" w:hAnsi="Times New Roman"/>
          <w:sz w:val="24"/>
          <w:szCs w:val="24"/>
        </w:rPr>
        <w:t xml:space="preserve">The </w:t>
      </w:r>
      <w:r>
        <w:rPr>
          <w:rFonts w:ascii="Times New Roman" w:hAnsi="Times New Roman"/>
          <w:sz w:val="24"/>
          <w:szCs w:val="24"/>
        </w:rPr>
        <w:t>Commission finds and concludes that the 2</w:t>
      </w:r>
      <w:r w:rsidRPr="00BA6669">
        <w:rPr>
          <w:rFonts w:ascii="Times New Roman" w:hAnsi="Times New Roman"/>
          <w:sz w:val="24"/>
          <w:szCs w:val="24"/>
        </w:rPr>
        <w:t>02</w:t>
      </w:r>
      <w:r>
        <w:rPr>
          <w:rFonts w:ascii="Times New Roman" w:hAnsi="Times New Roman"/>
          <w:sz w:val="24"/>
          <w:szCs w:val="24"/>
        </w:rPr>
        <w:t>5</w:t>
      </w:r>
      <w:r w:rsidRPr="00BA6669">
        <w:rPr>
          <w:rFonts w:ascii="Times New Roman" w:hAnsi="Times New Roman"/>
          <w:sz w:val="24"/>
          <w:szCs w:val="24"/>
        </w:rPr>
        <w:t xml:space="preserve"> IRP </w:t>
      </w:r>
      <w:r>
        <w:rPr>
          <w:rFonts w:ascii="Times New Roman" w:hAnsi="Times New Roman"/>
          <w:sz w:val="24"/>
          <w:szCs w:val="24"/>
        </w:rPr>
        <w:t xml:space="preserve">adequately meets the requirements of O.C.G.A. § 46-3A-2, and the Commission’s Integrate Resource Planning Resource Rules 515-3-4-.01 </w:t>
      </w:r>
      <w:r>
        <w:rPr>
          <w:rFonts w:ascii="Times New Roman" w:hAnsi="Times New Roman"/>
          <w:i/>
          <w:iCs/>
          <w:sz w:val="24"/>
          <w:szCs w:val="24"/>
        </w:rPr>
        <w:t>et seq</w:t>
      </w:r>
      <w:r w:rsidR="0040233C">
        <w:rPr>
          <w:rFonts w:ascii="Times New Roman" w:hAnsi="Times New Roman"/>
          <w:i/>
          <w:iCs/>
          <w:sz w:val="24"/>
          <w:szCs w:val="24"/>
        </w:rPr>
        <w:t>.,</w:t>
      </w:r>
      <w:r>
        <w:rPr>
          <w:rFonts w:ascii="Times New Roman" w:hAnsi="Times New Roman"/>
          <w:i/>
          <w:iCs/>
          <w:sz w:val="24"/>
          <w:szCs w:val="24"/>
        </w:rPr>
        <w:t xml:space="preserve"> </w:t>
      </w:r>
      <w:r>
        <w:rPr>
          <w:rFonts w:ascii="Times New Roman" w:hAnsi="Times New Roman"/>
          <w:sz w:val="24"/>
          <w:szCs w:val="24"/>
        </w:rPr>
        <w:t>except as set forth below:</w:t>
      </w:r>
    </w:p>
    <w:p w14:paraId="09F1EC5F" w14:textId="77777777" w:rsidR="003461C9" w:rsidRPr="00C3244F" w:rsidRDefault="003461C9" w:rsidP="003461C9">
      <w:pPr>
        <w:pStyle w:val="ListParagraph"/>
        <w:keepNext/>
        <w:spacing w:after="0" w:line="36" w:lineRule="atLeast"/>
        <w:ind w:left="0" w:firstLine="720"/>
        <w:jc w:val="both"/>
        <w:rPr>
          <w:rFonts w:ascii="Times New Roman" w:hAnsi="Times New Roman"/>
          <w:sz w:val="24"/>
          <w:szCs w:val="24"/>
        </w:rPr>
      </w:pPr>
    </w:p>
    <w:p w14:paraId="2105B129" w14:textId="77777777" w:rsidR="003461C9" w:rsidRPr="00F47986" w:rsidRDefault="003461C9" w:rsidP="003461C9">
      <w:pPr>
        <w:spacing w:line="36" w:lineRule="atLeast"/>
        <w:jc w:val="center"/>
        <w:rPr>
          <w:b/>
          <w:bCs/>
        </w:rPr>
      </w:pPr>
      <w:r>
        <w:rPr>
          <w:b/>
          <w:bCs/>
        </w:rPr>
        <w:t>2</w:t>
      </w:r>
      <w:r w:rsidRPr="00F47986">
        <w:rPr>
          <w:b/>
          <w:bCs/>
        </w:rPr>
        <w:t>.</w:t>
      </w:r>
    </w:p>
    <w:p w14:paraId="726A31A8" w14:textId="77777777" w:rsidR="003461C9" w:rsidRPr="003C3E4A" w:rsidRDefault="003461C9" w:rsidP="003461C9">
      <w:pPr>
        <w:spacing w:line="36" w:lineRule="atLeast"/>
        <w:jc w:val="both"/>
      </w:pPr>
    </w:p>
    <w:p w14:paraId="6EFFE9F9" w14:textId="77777777" w:rsidR="003461C9" w:rsidRDefault="003461C9" w:rsidP="003461C9">
      <w:pPr>
        <w:pStyle w:val="Answers"/>
        <w:tabs>
          <w:tab w:val="clear" w:pos="660"/>
          <w:tab w:val="left" w:pos="720"/>
        </w:tabs>
        <w:spacing w:line="36" w:lineRule="atLeast"/>
        <w:ind w:left="0" w:firstLine="0"/>
      </w:pPr>
      <w:r>
        <w:tab/>
        <w:t>The Commission finds that the method employed by the Company to adjust its organic load forecast to account for projected large load projects,</w:t>
      </w:r>
      <w:r>
        <w:rPr>
          <w:rStyle w:val="FootnoteReference"/>
        </w:rPr>
        <w:footnoteReference w:id="10"/>
      </w:r>
      <w:r>
        <w:t xml:space="preserve"> does not adequately forecast projected load for those customers. While the Company’s B2025 load forecast uses a generally reasonable forecasting approach and methodology for both the organic load forecast and the large load forecast, given the limitations in currently available historical data for emerging data center projects, there are significant flaws in the Company’s “Load Realization Model” (LRM) described in Section 7 of Volume 1 of the technical appendices of the IRP as filed.</w:t>
      </w:r>
    </w:p>
    <w:p w14:paraId="6ABFDDAE" w14:textId="77777777" w:rsidR="003461C9" w:rsidRDefault="003461C9" w:rsidP="003461C9">
      <w:pPr>
        <w:pStyle w:val="Answers"/>
        <w:tabs>
          <w:tab w:val="clear" w:pos="660"/>
          <w:tab w:val="left" w:pos="720"/>
        </w:tabs>
        <w:spacing w:line="36" w:lineRule="atLeast"/>
        <w:ind w:left="0" w:firstLine="0"/>
      </w:pPr>
      <w:r>
        <w:t xml:space="preserve"> </w:t>
      </w:r>
    </w:p>
    <w:p w14:paraId="5DA84F86" w14:textId="77777777" w:rsidR="003461C9" w:rsidRDefault="003461C9" w:rsidP="003461C9">
      <w:pPr>
        <w:pStyle w:val="Answers"/>
        <w:tabs>
          <w:tab w:val="clear" w:pos="660"/>
          <w:tab w:val="left" w:pos="720"/>
        </w:tabs>
        <w:spacing w:line="36" w:lineRule="atLeast"/>
        <w:ind w:left="0" w:firstLine="0"/>
      </w:pPr>
      <w:r>
        <w:tab/>
        <w:t>In their pre-filed testimony, pages 5-6, Staff witnesses Robert Trokey, Dylan Drugan, and Karan Pol testified as follows:</w:t>
      </w:r>
    </w:p>
    <w:p w14:paraId="1CFFB66D" w14:textId="77777777" w:rsidR="003461C9" w:rsidRDefault="003461C9" w:rsidP="003461C9">
      <w:pPr>
        <w:pStyle w:val="Answers"/>
        <w:tabs>
          <w:tab w:val="clear" w:pos="660"/>
          <w:tab w:val="left" w:pos="720"/>
        </w:tabs>
        <w:spacing w:line="36" w:lineRule="atLeast"/>
        <w:ind w:left="0" w:firstLine="0"/>
      </w:pPr>
    </w:p>
    <w:p w14:paraId="190638E9" w14:textId="77777777" w:rsidR="003461C9" w:rsidRDefault="003461C9" w:rsidP="003461C9">
      <w:pPr>
        <w:pStyle w:val="Answers"/>
        <w:numPr>
          <w:ilvl w:val="0"/>
          <w:numId w:val="22"/>
        </w:numPr>
        <w:tabs>
          <w:tab w:val="clear" w:pos="660"/>
          <w:tab w:val="left" w:pos="720"/>
        </w:tabs>
        <w:spacing w:line="36" w:lineRule="atLeast"/>
      </w:pPr>
      <w:r>
        <w:t>Since the 2023 IRP Update, the Company has identified a significant rate of project removals and net load reductions in its large load pipeline.</w:t>
      </w:r>
    </w:p>
    <w:p w14:paraId="1EC1F6CC" w14:textId="77777777" w:rsidR="003461C9" w:rsidRDefault="003461C9" w:rsidP="003461C9">
      <w:pPr>
        <w:pStyle w:val="Answers"/>
        <w:tabs>
          <w:tab w:val="clear" w:pos="660"/>
          <w:tab w:val="left" w:pos="720"/>
        </w:tabs>
        <w:spacing w:line="36" w:lineRule="atLeast"/>
        <w:ind w:left="1440"/>
      </w:pPr>
    </w:p>
    <w:p w14:paraId="1225B3C6" w14:textId="77777777" w:rsidR="003461C9" w:rsidRDefault="003461C9" w:rsidP="003461C9">
      <w:pPr>
        <w:pStyle w:val="Answers"/>
        <w:numPr>
          <w:ilvl w:val="0"/>
          <w:numId w:val="19"/>
        </w:numPr>
        <w:tabs>
          <w:tab w:val="clear" w:pos="660"/>
          <w:tab w:val="left" w:pos="720"/>
        </w:tabs>
        <w:spacing w:line="36" w:lineRule="atLeast"/>
      </w:pPr>
      <w:r>
        <w:t>Since the 2023 IRP Update, the Company’s near-term large load forecast has consistently reduced growth expectations.</w:t>
      </w:r>
    </w:p>
    <w:p w14:paraId="4B6E673B" w14:textId="77777777" w:rsidR="003461C9" w:rsidRDefault="003461C9" w:rsidP="003461C9">
      <w:pPr>
        <w:pStyle w:val="Answers"/>
        <w:tabs>
          <w:tab w:val="clear" w:pos="660"/>
          <w:tab w:val="left" w:pos="720"/>
        </w:tabs>
        <w:spacing w:line="36" w:lineRule="atLeast"/>
        <w:ind w:left="1449"/>
      </w:pPr>
    </w:p>
    <w:p w14:paraId="657B1407" w14:textId="77777777" w:rsidR="003461C9" w:rsidRDefault="003461C9" w:rsidP="003461C9">
      <w:pPr>
        <w:pStyle w:val="Answers"/>
        <w:numPr>
          <w:ilvl w:val="0"/>
          <w:numId w:val="19"/>
        </w:numPr>
        <w:tabs>
          <w:tab w:val="clear" w:pos="660"/>
          <w:tab w:val="left" w:pos="720"/>
        </w:tabs>
        <w:spacing w:line="36" w:lineRule="atLeast"/>
      </w:pPr>
      <w:r>
        <w:t>Project removals and net load reductions are concentrated amongst data center projects, particularly those in the Technical Review stage.</w:t>
      </w:r>
    </w:p>
    <w:p w14:paraId="3DBC4954" w14:textId="77777777" w:rsidR="003461C9" w:rsidRDefault="003461C9" w:rsidP="003461C9">
      <w:pPr>
        <w:pStyle w:val="Answers"/>
        <w:tabs>
          <w:tab w:val="clear" w:pos="660"/>
          <w:tab w:val="left" w:pos="720"/>
        </w:tabs>
        <w:spacing w:line="36" w:lineRule="atLeast"/>
        <w:ind w:left="1449"/>
      </w:pPr>
    </w:p>
    <w:p w14:paraId="7B55EDDC" w14:textId="77777777" w:rsidR="003461C9" w:rsidRDefault="003461C9" w:rsidP="003461C9">
      <w:pPr>
        <w:pStyle w:val="Answers"/>
        <w:numPr>
          <w:ilvl w:val="0"/>
          <w:numId w:val="19"/>
        </w:numPr>
        <w:tabs>
          <w:tab w:val="clear" w:pos="660"/>
          <w:tab w:val="left" w:pos="720"/>
        </w:tabs>
        <w:spacing w:line="36" w:lineRule="atLeast"/>
      </w:pPr>
      <w:r>
        <w:t>Approximately 54% of the large load pipeline as of Q2 2024 is represented by data center projects in the Technical Review Stage, based on 2037 announced load.</w:t>
      </w:r>
    </w:p>
    <w:p w14:paraId="2A9302AA" w14:textId="77777777" w:rsidR="003461C9" w:rsidRDefault="003461C9" w:rsidP="003461C9">
      <w:pPr>
        <w:pStyle w:val="Answers"/>
        <w:tabs>
          <w:tab w:val="clear" w:pos="660"/>
          <w:tab w:val="left" w:pos="720"/>
        </w:tabs>
        <w:spacing w:line="36" w:lineRule="atLeast"/>
        <w:ind w:left="1449"/>
      </w:pPr>
    </w:p>
    <w:p w14:paraId="64DA0368" w14:textId="77777777" w:rsidR="003461C9" w:rsidRDefault="003461C9" w:rsidP="003461C9">
      <w:pPr>
        <w:pStyle w:val="Answers"/>
        <w:numPr>
          <w:ilvl w:val="0"/>
          <w:numId w:val="19"/>
        </w:numPr>
        <w:tabs>
          <w:tab w:val="clear" w:pos="660"/>
          <w:tab w:val="left" w:pos="720"/>
        </w:tabs>
        <w:spacing w:line="36" w:lineRule="atLeast"/>
      </w:pPr>
      <w:r>
        <w:t>The Company’s Budget 2025 Load Realization Model (“LRM”), which is the basis for the large load forecast, continues to add new data center projects, increasing the proportion of the large load pipeline represented by data centers.</w:t>
      </w:r>
    </w:p>
    <w:p w14:paraId="1AC189D8" w14:textId="77777777" w:rsidR="003461C9" w:rsidRDefault="003461C9" w:rsidP="003461C9">
      <w:pPr>
        <w:pStyle w:val="Answers"/>
        <w:tabs>
          <w:tab w:val="clear" w:pos="660"/>
          <w:tab w:val="left" w:pos="720"/>
        </w:tabs>
        <w:spacing w:line="36" w:lineRule="atLeast"/>
        <w:ind w:left="1449"/>
      </w:pPr>
    </w:p>
    <w:p w14:paraId="0DD1EDE0" w14:textId="77777777" w:rsidR="003461C9" w:rsidRDefault="003461C9" w:rsidP="003461C9">
      <w:pPr>
        <w:pStyle w:val="Answers"/>
        <w:numPr>
          <w:ilvl w:val="0"/>
          <w:numId w:val="19"/>
        </w:numPr>
        <w:tabs>
          <w:tab w:val="clear" w:pos="660"/>
          <w:tab w:val="left" w:pos="720"/>
        </w:tabs>
        <w:spacing w:line="36" w:lineRule="atLeast"/>
      </w:pPr>
      <w:r>
        <w:t>The B2025 LRM continues to assume that data center and crypto currency projects will materialize at a rate higher than other industry segments without sufficient justification.</w:t>
      </w:r>
    </w:p>
    <w:p w14:paraId="499F6C03" w14:textId="77777777" w:rsidR="003461C9" w:rsidRDefault="003461C9" w:rsidP="003461C9">
      <w:pPr>
        <w:pStyle w:val="Answers"/>
        <w:tabs>
          <w:tab w:val="clear" w:pos="660"/>
          <w:tab w:val="left" w:pos="720"/>
        </w:tabs>
        <w:spacing w:line="36" w:lineRule="atLeast"/>
        <w:ind w:left="1449"/>
      </w:pPr>
    </w:p>
    <w:p w14:paraId="03FF8D6E" w14:textId="77777777" w:rsidR="003461C9" w:rsidRDefault="003461C9" w:rsidP="003461C9">
      <w:pPr>
        <w:pStyle w:val="Answers"/>
        <w:numPr>
          <w:ilvl w:val="0"/>
          <w:numId w:val="19"/>
        </w:numPr>
        <w:tabs>
          <w:tab w:val="clear" w:pos="660"/>
          <w:tab w:val="left" w:pos="720"/>
        </w:tabs>
        <w:spacing w:line="36" w:lineRule="atLeast"/>
      </w:pPr>
      <w:r>
        <w:lastRenderedPageBreak/>
        <w:t>The B2025 LRM unreasonably biases the materialization of data center projects, potentially leading to overestimation in the large load forecast.</w:t>
      </w:r>
    </w:p>
    <w:p w14:paraId="7DE15C5F" w14:textId="77777777" w:rsidR="003461C9" w:rsidRDefault="003461C9" w:rsidP="003461C9">
      <w:pPr>
        <w:pStyle w:val="Answers"/>
        <w:tabs>
          <w:tab w:val="clear" w:pos="660"/>
          <w:tab w:val="left" w:pos="720"/>
        </w:tabs>
        <w:spacing w:line="36" w:lineRule="atLeast"/>
        <w:ind w:left="1449"/>
      </w:pPr>
    </w:p>
    <w:p w14:paraId="49A1972E" w14:textId="77777777" w:rsidR="003461C9" w:rsidRDefault="003461C9" w:rsidP="003461C9">
      <w:pPr>
        <w:pStyle w:val="Answers"/>
        <w:numPr>
          <w:ilvl w:val="0"/>
          <w:numId w:val="19"/>
        </w:numPr>
        <w:tabs>
          <w:tab w:val="clear" w:pos="660"/>
          <w:tab w:val="left" w:pos="720"/>
        </w:tabs>
        <w:spacing w:line="36" w:lineRule="atLeast"/>
      </w:pPr>
      <w:r>
        <w:t xml:space="preserve">The B2025 LRM does not consider seasonal variation in project operations which may lead to an overestimation of peak load in the Winter season. </w:t>
      </w:r>
    </w:p>
    <w:p w14:paraId="5731A47D" w14:textId="77777777" w:rsidR="003461C9" w:rsidRDefault="003461C9" w:rsidP="003461C9">
      <w:pPr>
        <w:pStyle w:val="Answers"/>
        <w:tabs>
          <w:tab w:val="clear" w:pos="660"/>
          <w:tab w:val="left" w:pos="720"/>
        </w:tabs>
        <w:spacing w:line="36" w:lineRule="atLeast"/>
        <w:ind w:left="1449"/>
      </w:pPr>
    </w:p>
    <w:p w14:paraId="26803504" w14:textId="77777777" w:rsidR="003461C9" w:rsidRDefault="003461C9" w:rsidP="003461C9">
      <w:pPr>
        <w:pStyle w:val="Answers"/>
        <w:numPr>
          <w:ilvl w:val="0"/>
          <w:numId w:val="19"/>
        </w:numPr>
        <w:tabs>
          <w:tab w:val="clear" w:pos="660"/>
          <w:tab w:val="left" w:pos="720"/>
        </w:tabs>
        <w:spacing w:line="36" w:lineRule="atLeast"/>
      </w:pPr>
      <w:r>
        <w:t>The Company’s Project Success assumptions are subjectively set for each project, introducing the potential for further bias.</w:t>
      </w:r>
    </w:p>
    <w:p w14:paraId="1F7E999F" w14:textId="77777777" w:rsidR="003461C9" w:rsidRDefault="003461C9" w:rsidP="003461C9">
      <w:pPr>
        <w:pStyle w:val="Answers"/>
        <w:tabs>
          <w:tab w:val="clear" w:pos="660"/>
          <w:tab w:val="left" w:pos="720"/>
        </w:tabs>
        <w:spacing w:line="36" w:lineRule="atLeast"/>
        <w:ind w:left="1449"/>
      </w:pPr>
    </w:p>
    <w:p w14:paraId="56D820F5" w14:textId="77777777" w:rsidR="003461C9" w:rsidRDefault="003461C9" w:rsidP="003461C9">
      <w:pPr>
        <w:pStyle w:val="Answers"/>
        <w:numPr>
          <w:ilvl w:val="0"/>
          <w:numId w:val="19"/>
        </w:numPr>
        <w:tabs>
          <w:tab w:val="clear" w:pos="660"/>
          <w:tab w:val="left" w:pos="720"/>
        </w:tabs>
        <w:spacing w:line="36" w:lineRule="atLeast"/>
      </w:pPr>
      <w:r>
        <w:t>The Company has not updated the underlying assumptions of the B2025 LRM. As such, the B2025 LRM does not account for any of the trends identified in these conclusions.</w:t>
      </w:r>
    </w:p>
    <w:p w14:paraId="3C7539AF" w14:textId="77777777" w:rsidR="003461C9" w:rsidRDefault="003461C9" w:rsidP="003461C9">
      <w:pPr>
        <w:pStyle w:val="Answers"/>
        <w:tabs>
          <w:tab w:val="clear" w:pos="660"/>
          <w:tab w:val="left" w:pos="720"/>
        </w:tabs>
        <w:spacing w:line="36" w:lineRule="atLeast"/>
        <w:ind w:left="1449"/>
      </w:pPr>
    </w:p>
    <w:p w14:paraId="7832D0E1" w14:textId="77777777" w:rsidR="003461C9" w:rsidRDefault="003461C9" w:rsidP="003461C9">
      <w:pPr>
        <w:pStyle w:val="Answers"/>
        <w:numPr>
          <w:ilvl w:val="0"/>
          <w:numId w:val="19"/>
        </w:numPr>
        <w:tabs>
          <w:tab w:val="clear" w:pos="660"/>
          <w:tab w:val="left" w:pos="720"/>
        </w:tabs>
        <w:spacing w:line="36" w:lineRule="atLeast"/>
      </w:pPr>
      <w:r>
        <w:t>The Company has not outlined a plan to update the assumptions in the LRM.</w:t>
      </w:r>
    </w:p>
    <w:p w14:paraId="50842D91" w14:textId="77777777" w:rsidR="003461C9" w:rsidRDefault="003461C9" w:rsidP="003461C9">
      <w:pPr>
        <w:pStyle w:val="Answers"/>
        <w:tabs>
          <w:tab w:val="clear" w:pos="660"/>
          <w:tab w:val="left" w:pos="720"/>
        </w:tabs>
        <w:spacing w:line="36" w:lineRule="atLeast"/>
        <w:ind w:left="1449"/>
      </w:pPr>
    </w:p>
    <w:p w14:paraId="79D4E7D1" w14:textId="4E9810C4" w:rsidR="003461C9" w:rsidRDefault="003461C9" w:rsidP="003461C9">
      <w:pPr>
        <w:autoSpaceDE w:val="0"/>
        <w:autoSpaceDN w:val="0"/>
        <w:adjustRightInd w:val="0"/>
        <w:spacing w:line="36" w:lineRule="atLeast"/>
        <w:ind w:firstLine="720"/>
        <w:jc w:val="both"/>
      </w:pPr>
      <w:r>
        <w:t>Based on these flaws in the LRM</w:t>
      </w:r>
      <w:r w:rsidR="00506A11">
        <w:t>,</w:t>
      </w:r>
      <w:r>
        <w:t xml:space="preserve"> Staff has recommended that the Load Realization Model be modified by setting load materialization assumptions uniformly for all industry segments at the range specified on p. 98, line 12 of the Trokey-Drugan-Pol testimony, decreasing the load materialization assumptions for data center and cryptocurrency projects by 20%/25%/15%. The Commission finds that this adjustment is reasonable and necessary to adequately and accurately forecast adjustments to the Company’s organic load forecast in order to account for large load customers.</w:t>
      </w:r>
    </w:p>
    <w:p w14:paraId="77CE3C73" w14:textId="77777777" w:rsidR="003461C9" w:rsidRDefault="003461C9" w:rsidP="003461C9">
      <w:pPr>
        <w:autoSpaceDE w:val="0"/>
        <w:autoSpaceDN w:val="0"/>
        <w:adjustRightInd w:val="0"/>
        <w:spacing w:line="36" w:lineRule="atLeast"/>
        <w:jc w:val="both"/>
      </w:pPr>
    </w:p>
    <w:p w14:paraId="3DF20DF9" w14:textId="77777777" w:rsidR="003461C9" w:rsidRPr="005B2EC7" w:rsidRDefault="003461C9" w:rsidP="003461C9">
      <w:pPr>
        <w:autoSpaceDE w:val="0"/>
        <w:autoSpaceDN w:val="0"/>
        <w:adjustRightInd w:val="0"/>
        <w:spacing w:line="36" w:lineRule="atLeast"/>
        <w:jc w:val="center"/>
        <w:rPr>
          <w:b/>
          <w:bCs/>
        </w:rPr>
      </w:pPr>
      <w:r w:rsidRPr="0D9C5F87">
        <w:rPr>
          <w:b/>
          <w:bCs/>
        </w:rPr>
        <w:t>3.</w:t>
      </w:r>
    </w:p>
    <w:p w14:paraId="0A0EEF97" w14:textId="77777777" w:rsidR="003461C9" w:rsidRDefault="003461C9" w:rsidP="003461C9">
      <w:pPr>
        <w:spacing w:line="36" w:lineRule="atLeast"/>
        <w:jc w:val="center"/>
        <w:rPr>
          <w:b/>
          <w:bCs/>
        </w:rPr>
      </w:pPr>
    </w:p>
    <w:p w14:paraId="7A0A1712" w14:textId="77777777" w:rsidR="003461C9" w:rsidRDefault="003461C9" w:rsidP="003461C9">
      <w:pPr>
        <w:spacing w:line="36" w:lineRule="atLeast"/>
        <w:ind w:firstLine="720"/>
        <w:jc w:val="both"/>
        <w:rPr>
          <w:rFonts w:eastAsia="Times New Roman"/>
        </w:rPr>
      </w:pPr>
      <w:r w:rsidRPr="0D9C5F87">
        <w:rPr>
          <w:rFonts w:eastAsia="Times New Roman"/>
        </w:rPr>
        <w:t>The Commission finds that the Company’s requested winter Target Reserve Margin “TRM”) of 26% is overstated for the following four reasons, identified by PIA staff witnesses Tom Newsome, Philip Hayet, Anthony Sondonato, and Leah Wellborn on pages 22-25 of their direct testimony:</w:t>
      </w:r>
    </w:p>
    <w:p w14:paraId="7023F59D" w14:textId="77777777" w:rsidR="003461C9" w:rsidRDefault="003461C9" w:rsidP="003461C9">
      <w:pPr>
        <w:spacing w:line="36" w:lineRule="atLeast"/>
        <w:ind w:firstLine="720"/>
        <w:jc w:val="both"/>
        <w:rPr>
          <w:rFonts w:eastAsia="Times New Roman"/>
        </w:rPr>
      </w:pPr>
    </w:p>
    <w:p w14:paraId="2E926D6A" w14:textId="77777777" w:rsidR="003461C9" w:rsidRPr="002840B0" w:rsidRDefault="003461C9" w:rsidP="003461C9">
      <w:pPr>
        <w:pStyle w:val="Answers"/>
        <w:numPr>
          <w:ilvl w:val="0"/>
          <w:numId w:val="32"/>
        </w:numPr>
        <w:spacing w:line="36" w:lineRule="atLeast"/>
      </w:pPr>
      <w:r w:rsidRPr="002840B0">
        <w:t xml:space="preserve">Load Forecast Error (“LFE”) Distribution: This issue can be summarized by the fact that the Company’s LFE methodology significantly increased the LFE adjustment factors, which in turn increased the TRM under both the EORM calculation and the LOLE calculation. The LFE distribution is a probability distribution that was developed by the Company to adjust the 2028 load forecast for assumed forecast errors, either understatement or overstatement of the forecast. The Company’s determination of the LFE distribution was overstated because the 2025 Reserve Margin Study included both statistical model errors produced by its load forecasting equations and economic driver forecast errors (for example, Gross Domestic Product (“GDP”)). In addition, the Company did not adjust the economic uncertainty values to reflect the fact that there is not a one-for-one relationship between load and macro-economic drivers, such as Gross Domestic Product (”GDP”). The Company’s LFE methodology significantly increased the LFE adjustment factors, which in turn increased the TRM under both the EORM calculation and the LOLE calculation. </w:t>
      </w:r>
    </w:p>
    <w:p w14:paraId="427C4C35" w14:textId="77777777" w:rsidR="003461C9" w:rsidRDefault="003461C9" w:rsidP="003461C9">
      <w:pPr>
        <w:pStyle w:val="Answers"/>
        <w:spacing w:line="36" w:lineRule="atLeast"/>
      </w:pPr>
    </w:p>
    <w:p w14:paraId="358458C8" w14:textId="77777777" w:rsidR="003461C9" w:rsidRPr="0088484C" w:rsidRDefault="003461C9" w:rsidP="003461C9">
      <w:pPr>
        <w:pStyle w:val="Answers"/>
        <w:numPr>
          <w:ilvl w:val="0"/>
          <w:numId w:val="32"/>
        </w:numPr>
        <w:spacing w:line="36" w:lineRule="atLeast"/>
      </w:pPr>
      <w:r w:rsidRPr="0088484C">
        <w:t>Data Center Load Sensitivity to Weather and Forecasted Load Growth: The Company’s data center load assumptions contributed to an overstatement of the Company’s winter TRM. The overstatement stemmed from the weather modeling approach the Company used to adjust the base year load forecast. The same weather adjustments were applied to the entirety of the load forecast even though large data center loads are much less weather sensitive and should have received a different (lower) adjustment to accurately reflect their impact on the system in the winter.</w:t>
      </w:r>
    </w:p>
    <w:p w14:paraId="314ECE18" w14:textId="77777777" w:rsidR="003461C9" w:rsidRDefault="003461C9" w:rsidP="003461C9">
      <w:pPr>
        <w:pStyle w:val="Answers"/>
        <w:spacing w:line="36" w:lineRule="atLeast"/>
      </w:pPr>
    </w:p>
    <w:p w14:paraId="3745359A" w14:textId="77777777" w:rsidR="003461C9" w:rsidRPr="00080F36" w:rsidRDefault="003461C9" w:rsidP="003461C9">
      <w:pPr>
        <w:pStyle w:val="Answers"/>
        <w:numPr>
          <w:ilvl w:val="0"/>
          <w:numId w:val="32"/>
        </w:numPr>
        <w:spacing w:line="36" w:lineRule="atLeast"/>
        <w:rPr>
          <w:rFonts w:cs="Times New Roman"/>
        </w:rPr>
      </w:pPr>
      <w:r w:rsidRPr="002840B0">
        <w:t xml:space="preserve">Cold Weather Data Training Model: The Company’s SERVM modeling approach adjusted the 2028 base-year weather normalized </w:t>
      </w:r>
      <w:r w:rsidRPr="00080F36">
        <w:rPr>
          <w:rFonts w:cs="Times New Roman"/>
        </w:rPr>
        <w:t xml:space="preserve">load forecast for each of the 50 weather year histories. However, as explained in Staff’s testimony, the statistical regression models (so-called “training models”) used by the Company only used data from 2018 to 2022l; a period that contains little history of extremely low temperatures. Applying training models developed on data of relatively mild temperatures to fifty years of historical data that includes extremely low temperatures may lead to an overstatement of weather adjusted loads for certain extremely low temperature conditions, which affected the Company’s LOLE and TRM figures. </w:t>
      </w:r>
    </w:p>
    <w:p w14:paraId="75262856" w14:textId="77777777" w:rsidR="003461C9" w:rsidRPr="00080F36" w:rsidRDefault="003461C9" w:rsidP="003461C9">
      <w:pPr>
        <w:pStyle w:val="Answers"/>
        <w:spacing w:line="36" w:lineRule="atLeast"/>
        <w:rPr>
          <w:rFonts w:cs="Times New Roman"/>
        </w:rPr>
      </w:pPr>
    </w:p>
    <w:p w14:paraId="53E671D0" w14:textId="77777777" w:rsidR="003461C9" w:rsidRPr="00080F36" w:rsidRDefault="003461C9" w:rsidP="003461C9">
      <w:pPr>
        <w:pStyle w:val="Answers"/>
        <w:numPr>
          <w:ilvl w:val="0"/>
          <w:numId w:val="32"/>
        </w:numPr>
        <w:spacing w:line="36" w:lineRule="atLeast"/>
        <w:rPr>
          <w:rFonts w:cs="Times New Roman"/>
        </w:rPr>
      </w:pPr>
      <w:r w:rsidRPr="00080F36">
        <w:rPr>
          <w:rFonts w:cs="Times New Roman"/>
        </w:rPr>
        <w:t>Model Sensitivity and Single Cold Weather Month: Staff is concerned by the magnitude of the impact that just a couple of months of extremely low temperatures had on the overall LOLE and winter TRM, which reinforced Staff’s concern that the system 26% winter TRM was overstated. As shown in Staff’s testimony, simply removing the effects of the weather that occurred in a single month of 1985 resulted in a 2.5% reduction in the winter TRM.</w:t>
      </w:r>
    </w:p>
    <w:p w14:paraId="4AA91B18" w14:textId="77777777" w:rsidR="003461C9" w:rsidRPr="00080F36" w:rsidRDefault="003461C9" w:rsidP="003461C9">
      <w:pPr>
        <w:pStyle w:val="Answers"/>
        <w:spacing w:line="36" w:lineRule="atLeast"/>
        <w:rPr>
          <w:rFonts w:cs="Times New Roman"/>
        </w:rPr>
      </w:pPr>
    </w:p>
    <w:p w14:paraId="54813C16" w14:textId="77777777" w:rsidR="003461C9" w:rsidRPr="00080F36" w:rsidRDefault="003461C9" w:rsidP="003461C9">
      <w:pPr>
        <w:spacing w:line="36" w:lineRule="atLeast"/>
        <w:jc w:val="both"/>
      </w:pPr>
      <w:r w:rsidRPr="00080F36">
        <w:rPr>
          <w:rFonts w:eastAsia="Times New Roman"/>
        </w:rPr>
        <w:tab/>
        <w:t>For the above reasons, the Commission authorizes the Company to use a winter TRM of 24.5% and a summer TRM of 20% for resource planning purposes. Setting the Reserve Margin at this level is conservative and would provide necessary reliability for the Southern Company system and would not burden customers with excess costs.</w:t>
      </w:r>
    </w:p>
    <w:p w14:paraId="7CEB060F" w14:textId="77777777" w:rsidR="003461C9" w:rsidRPr="00080F36" w:rsidRDefault="003461C9" w:rsidP="003461C9">
      <w:pPr>
        <w:jc w:val="both"/>
        <w:rPr>
          <w:rFonts w:eastAsia="Times New Roman"/>
        </w:rPr>
      </w:pPr>
    </w:p>
    <w:p w14:paraId="5F546722" w14:textId="77777777" w:rsidR="003461C9" w:rsidRPr="00080F36" w:rsidRDefault="003461C9" w:rsidP="003461C9">
      <w:pPr>
        <w:keepNext/>
        <w:autoSpaceDE w:val="0"/>
        <w:autoSpaceDN w:val="0"/>
        <w:adjustRightInd w:val="0"/>
        <w:jc w:val="center"/>
        <w:rPr>
          <w:b/>
          <w:bCs/>
        </w:rPr>
      </w:pPr>
      <w:r w:rsidRPr="00080F36">
        <w:rPr>
          <w:b/>
          <w:bCs/>
        </w:rPr>
        <w:t>4.</w:t>
      </w:r>
    </w:p>
    <w:p w14:paraId="44055C97" w14:textId="77777777" w:rsidR="003461C9" w:rsidRPr="00080F36" w:rsidRDefault="003461C9" w:rsidP="003461C9">
      <w:pPr>
        <w:pStyle w:val="ListParagraph"/>
        <w:keepNext/>
        <w:spacing w:line="240" w:lineRule="auto"/>
        <w:ind w:left="0" w:firstLine="720"/>
        <w:jc w:val="both"/>
        <w:rPr>
          <w:rFonts w:ascii="Times New Roman" w:hAnsi="Times New Roman" w:cs="Times New Roman"/>
          <w:sz w:val="24"/>
          <w:szCs w:val="24"/>
        </w:rPr>
      </w:pPr>
    </w:p>
    <w:p w14:paraId="1CBDF382" w14:textId="77777777" w:rsidR="003461C9" w:rsidRPr="00080F36" w:rsidRDefault="003461C9" w:rsidP="003461C9">
      <w:pPr>
        <w:pStyle w:val="ListParagraph"/>
        <w:keepNext/>
        <w:spacing w:line="240" w:lineRule="auto"/>
        <w:ind w:left="0" w:firstLine="720"/>
        <w:jc w:val="both"/>
        <w:rPr>
          <w:rFonts w:ascii="Times New Roman" w:hAnsi="Times New Roman" w:cs="Times New Roman"/>
          <w:sz w:val="24"/>
          <w:szCs w:val="24"/>
        </w:rPr>
      </w:pPr>
      <w:r w:rsidRPr="00080F36">
        <w:rPr>
          <w:rFonts w:ascii="Times New Roman" w:hAnsi="Times New Roman" w:cs="Times New Roman"/>
          <w:sz w:val="24"/>
          <w:szCs w:val="24"/>
        </w:rPr>
        <w:t>Georgia Power uses “Area Max” scenarios to assess whether the transmission system can accommodate the full simultaneous output of all generators within a defined region. While this method supports firm deliverability and ensures that generation is not “trapped” in constrained areas, it also reflects extreme, infrequent system conditions that may never occur in practice.</w:t>
      </w:r>
      <w:r w:rsidRPr="00080F36">
        <w:rPr>
          <w:rStyle w:val="FootnoteReference"/>
          <w:rFonts w:ascii="Times New Roman" w:hAnsi="Times New Roman"/>
          <w:sz w:val="24"/>
          <w:szCs w:val="24"/>
        </w:rPr>
        <w:footnoteReference w:id="11"/>
      </w:r>
    </w:p>
    <w:p w14:paraId="3E339639" w14:textId="77777777" w:rsidR="003461C9" w:rsidRPr="00080F36" w:rsidRDefault="003461C9" w:rsidP="003461C9">
      <w:pPr>
        <w:jc w:val="center"/>
        <w:rPr>
          <w:b/>
          <w:bCs/>
        </w:rPr>
      </w:pPr>
      <w:r w:rsidRPr="00080F36">
        <w:rPr>
          <w:b/>
          <w:bCs/>
        </w:rPr>
        <w:t>5.</w:t>
      </w:r>
    </w:p>
    <w:p w14:paraId="5C16D3EF" w14:textId="77777777" w:rsidR="003461C9" w:rsidRPr="00080F36" w:rsidRDefault="003461C9" w:rsidP="003461C9">
      <w:pPr>
        <w:ind w:firstLine="720"/>
        <w:jc w:val="both"/>
      </w:pPr>
      <w:r w:rsidRPr="00080F36">
        <w:t>The Commission finds that the Economic Dispatch (“ED”) analysis used by Georgia Power for transmission planning is not security-constrained, potentially overstating transmission congestion and infrastructure needs.</w:t>
      </w:r>
      <w:r w:rsidRPr="00080F36">
        <w:rPr>
          <w:rStyle w:val="FootnoteReference"/>
          <w:rFonts w:ascii="Times New Roman" w:hAnsi="Times New Roman"/>
          <w:sz w:val="24"/>
        </w:rPr>
        <w:footnoteReference w:id="12"/>
      </w:r>
    </w:p>
    <w:p w14:paraId="72CD5FBF" w14:textId="77777777" w:rsidR="003461C9" w:rsidRPr="00080F36" w:rsidRDefault="003461C9" w:rsidP="003461C9">
      <w:pPr>
        <w:jc w:val="center"/>
        <w:rPr>
          <w:b/>
          <w:bCs/>
        </w:rPr>
      </w:pPr>
      <w:r w:rsidRPr="00080F36">
        <w:rPr>
          <w:b/>
          <w:bCs/>
        </w:rPr>
        <w:t>6.</w:t>
      </w:r>
    </w:p>
    <w:p w14:paraId="4BDF201E" w14:textId="77777777" w:rsidR="003461C9" w:rsidRPr="00080F36" w:rsidRDefault="003461C9" w:rsidP="003461C9">
      <w:pPr>
        <w:ind w:firstLine="720"/>
      </w:pPr>
      <w:r w:rsidRPr="00080F36">
        <w:lastRenderedPageBreak/>
        <w:t xml:space="preserve">The </w:t>
      </w:r>
      <w:r>
        <w:t>Commission</w:t>
      </w:r>
      <w:r w:rsidRPr="00080F36">
        <w:t xml:space="preserve"> finds that Grid Enhancing Technologies (“GETs”) like DLR, flow control devices, and topology optimization are proven, mature technologies widely used across the U.S. and internationally to boost capacity and defer traditional upgrades.</w:t>
      </w:r>
      <w:r w:rsidRPr="00080F36">
        <w:rPr>
          <w:rStyle w:val="FootnoteReference"/>
          <w:rFonts w:ascii="Times New Roman" w:hAnsi="Times New Roman"/>
          <w:sz w:val="24"/>
        </w:rPr>
        <w:footnoteReference w:id="13"/>
      </w:r>
    </w:p>
    <w:p w14:paraId="49DFF0F2" w14:textId="77777777" w:rsidR="003461C9" w:rsidRPr="00080F36" w:rsidRDefault="003461C9" w:rsidP="003461C9">
      <w:pPr>
        <w:ind w:firstLine="720"/>
      </w:pPr>
    </w:p>
    <w:p w14:paraId="2F2B49C9" w14:textId="77777777" w:rsidR="003461C9" w:rsidRPr="00080F36" w:rsidRDefault="003461C9" w:rsidP="003461C9">
      <w:pPr>
        <w:jc w:val="center"/>
        <w:rPr>
          <w:b/>
          <w:bCs/>
        </w:rPr>
      </w:pPr>
      <w:r w:rsidRPr="2655FAF5">
        <w:rPr>
          <w:b/>
          <w:bCs/>
        </w:rPr>
        <w:t>7</w:t>
      </w:r>
      <w:r w:rsidRPr="00080F36">
        <w:rPr>
          <w:b/>
          <w:bCs/>
        </w:rPr>
        <w:t>.</w:t>
      </w:r>
    </w:p>
    <w:p w14:paraId="2ABA5DA4" w14:textId="77777777" w:rsidR="003461C9" w:rsidRPr="00080F36" w:rsidRDefault="003461C9" w:rsidP="003461C9">
      <w:pPr>
        <w:jc w:val="center"/>
        <w:rPr>
          <w:b/>
          <w:bCs/>
        </w:rPr>
      </w:pPr>
    </w:p>
    <w:p w14:paraId="4AA72A34" w14:textId="77777777" w:rsidR="003461C9" w:rsidRPr="00080F36" w:rsidRDefault="003461C9" w:rsidP="003461C9">
      <w:pPr>
        <w:ind w:firstLine="720"/>
      </w:pPr>
      <w:r w:rsidRPr="00080F36">
        <w:t>Non-wires alternatives such as Storage as Transmission-Only Assets (SATOAs), distributed generation, and demand-side solutions have not been routinely assessed in Georgia Power’s IRP transmission planning.</w:t>
      </w:r>
      <w:r w:rsidRPr="00080F36">
        <w:rPr>
          <w:rStyle w:val="FootnoteReference"/>
          <w:rFonts w:ascii="Times New Roman" w:hAnsi="Times New Roman"/>
          <w:sz w:val="24"/>
        </w:rPr>
        <w:footnoteReference w:id="14"/>
      </w:r>
    </w:p>
    <w:p w14:paraId="0A0AEDA0" w14:textId="77777777" w:rsidR="003461C9" w:rsidRPr="00080F36" w:rsidRDefault="003461C9" w:rsidP="003461C9">
      <w:pPr>
        <w:jc w:val="center"/>
        <w:rPr>
          <w:b/>
          <w:bCs/>
        </w:rPr>
      </w:pPr>
      <w:r w:rsidRPr="53DBF9A6">
        <w:rPr>
          <w:b/>
          <w:bCs/>
        </w:rPr>
        <w:t>8</w:t>
      </w:r>
      <w:r w:rsidRPr="00080F36">
        <w:rPr>
          <w:b/>
          <w:bCs/>
        </w:rPr>
        <w:t>.</w:t>
      </w:r>
    </w:p>
    <w:p w14:paraId="604AD9B5" w14:textId="77777777" w:rsidR="003461C9" w:rsidRPr="00080F36" w:rsidRDefault="003461C9" w:rsidP="003461C9">
      <w:pPr>
        <w:jc w:val="center"/>
        <w:rPr>
          <w:b/>
          <w:bCs/>
        </w:rPr>
      </w:pPr>
    </w:p>
    <w:p w14:paraId="328ED2A4" w14:textId="77777777" w:rsidR="003461C9" w:rsidRPr="00080F36" w:rsidRDefault="003461C9" w:rsidP="003461C9">
      <w:pPr>
        <w:pStyle w:val="ListParagraph"/>
        <w:spacing w:line="240" w:lineRule="auto"/>
        <w:ind w:left="0" w:firstLine="720"/>
        <w:jc w:val="both"/>
      </w:pPr>
      <w:r w:rsidRPr="00080F36">
        <w:rPr>
          <w:rFonts w:ascii="Times New Roman" w:hAnsi="Times New Roman" w:cs="Times New Roman"/>
          <w:sz w:val="24"/>
          <w:szCs w:val="24"/>
        </w:rPr>
        <w:t>While Georgia Power has incorporated GETs into some project evaluations, there is no consistent indication that these technologies are systematically screened across all voltage levels or project types, including higher-voltage, load-driven infrastructure. Planning documentation does not reflect a transparent methodology for determining where and when GETs are preferred over traditional upgrades.</w:t>
      </w:r>
      <w:r w:rsidRPr="00080F36">
        <w:rPr>
          <w:rStyle w:val="FootnoteReference"/>
          <w:rFonts w:ascii="Times New Roman" w:hAnsi="Times New Roman"/>
          <w:sz w:val="24"/>
          <w:szCs w:val="24"/>
        </w:rPr>
        <w:footnoteReference w:id="15"/>
      </w:r>
    </w:p>
    <w:p w14:paraId="2C33A7E9" w14:textId="77777777" w:rsidR="003461C9" w:rsidRDefault="003461C9" w:rsidP="003461C9">
      <w:pPr>
        <w:spacing w:after="160" w:line="257" w:lineRule="auto"/>
        <w:jc w:val="center"/>
        <w:rPr>
          <w:rFonts w:eastAsia="Times New Roman"/>
          <w:b/>
          <w:bCs/>
        </w:rPr>
      </w:pPr>
      <w:r w:rsidRPr="53DBF9A6">
        <w:rPr>
          <w:rFonts w:eastAsia="Times New Roman"/>
          <w:b/>
          <w:bCs/>
        </w:rPr>
        <w:t>9</w:t>
      </w:r>
      <w:r w:rsidRPr="2D7BE459">
        <w:rPr>
          <w:rFonts w:eastAsia="Times New Roman"/>
          <w:b/>
          <w:bCs/>
        </w:rPr>
        <w:t>.</w:t>
      </w:r>
    </w:p>
    <w:p w14:paraId="54BD5050" w14:textId="77777777" w:rsidR="003461C9" w:rsidRDefault="003461C9" w:rsidP="003461C9">
      <w:pPr>
        <w:spacing w:after="160" w:line="257" w:lineRule="auto"/>
        <w:ind w:firstLine="720"/>
        <w:jc w:val="both"/>
        <w:rPr>
          <w:rFonts w:eastAsia="Times New Roman"/>
        </w:rPr>
      </w:pPr>
      <w:r w:rsidRPr="2D7BE459">
        <w:rPr>
          <w:rFonts w:eastAsia="Times New Roman"/>
        </w:rPr>
        <w:t xml:space="preserve">The Commission finds and concludes that the Company shall consider improvements to the Renewable Integration Study (“RIS”) methodology to more accurately reflect the flexibility of the system and its ability to address solar variability. The Commission concludes that the Company has not demonstrated that the RIS provides a reasonable estimation of costs incurred by the system due to the variability of solar. Furthermore, the Company’s RIS methodology is not designed to quantify actual costs incurred by the Company due to the presence of solar resources and artificially models a system that is less flexible than the Company’s actual system. The result is that the RIS is likely overestimating the cost of integrating solar resources into the system, and that future improvements to the methodology could produce more reasonable results.  </w:t>
      </w:r>
    </w:p>
    <w:p w14:paraId="7DBEEF84" w14:textId="77777777" w:rsidR="003461C9" w:rsidRDefault="003461C9" w:rsidP="003461C9">
      <w:pPr>
        <w:spacing w:after="160" w:line="257" w:lineRule="auto"/>
        <w:jc w:val="center"/>
        <w:rPr>
          <w:rFonts w:eastAsia="Times New Roman"/>
          <w:b/>
          <w:bCs/>
        </w:rPr>
      </w:pPr>
      <w:r w:rsidRPr="53DBF9A6">
        <w:rPr>
          <w:rFonts w:eastAsia="Times New Roman"/>
          <w:b/>
          <w:bCs/>
        </w:rPr>
        <w:t>10</w:t>
      </w:r>
      <w:r w:rsidRPr="2D7BE459">
        <w:rPr>
          <w:rFonts w:eastAsia="Times New Roman"/>
          <w:b/>
          <w:bCs/>
        </w:rPr>
        <w:t>.</w:t>
      </w:r>
    </w:p>
    <w:p w14:paraId="20F78EB8" w14:textId="77777777" w:rsidR="003461C9" w:rsidRDefault="003461C9" w:rsidP="003461C9">
      <w:pPr>
        <w:spacing w:after="160" w:line="257" w:lineRule="auto"/>
        <w:ind w:firstLine="720"/>
        <w:jc w:val="both"/>
        <w:rPr>
          <w:rFonts w:eastAsia="Times New Roman"/>
        </w:rPr>
      </w:pPr>
      <w:r w:rsidRPr="2D7BE459">
        <w:rPr>
          <w:rFonts w:eastAsia="Times New Roman"/>
        </w:rPr>
        <w:t>The Commission finds and concludes that the Company shall finalize the next RIS far enough in advance of the 2028 IRP so that the results can be used in the Resource Mix Study. The Integration Cost used by the Company in the 2025 IRP capacity expansion modeling was based on the analysis from the 2021 RIS, rather than the updated RIS conducted in 2024, because the 2024 study was not completed in time for use in the Resource Mix Study. Because there were some significant changes in the SERVM cases between 2021 and 2024, the use of outdated results could potentially have an impact on the final values used in the IRP. The Company shall complete its analysis such that an updated RIS can be completed prior to commencement of the Resource Mix Study in order that the latest results can be incorporated into the Company’s planning process.</w:t>
      </w:r>
    </w:p>
    <w:p w14:paraId="542AF4BF" w14:textId="77777777" w:rsidR="003461C9" w:rsidRDefault="003461C9" w:rsidP="003461C9">
      <w:pPr>
        <w:spacing w:after="160" w:line="257" w:lineRule="auto"/>
        <w:jc w:val="center"/>
        <w:rPr>
          <w:rFonts w:eastAsia="Times New Roman"/>
          <w:b/>
          <w:bCs/>
        </w:rPr>
      </w:pPr>
      <w:r w:rsidRPr="53DBF9A6">
        <w:rPr>
          <w:rFonts w:eastAsia="Times New Roman"/>
          <w:b/>
          <w:bCs/>
        </w:rPr>
        <w:lastRenderedPageBreak/>
        <w:t>11</w:t>
      </w:r>
      <w:r w:rsidRPr="2D7BE459">
        <w:rPr>
          <w:rFonts w:eastAsia="Times New Roman"/>
          <w:b/>
          <w:bCs/>
        </w:rPr>
        <w:t>.</w:t>
      </w:r>
    </w:p>
    <w:p w14:paraId="0EFC1D4E" w14:textId="77777777" w:rsidR="003461C9" w:rsidRDefault="003461C9" w:rsidP="003461C9">
      <w:pPr>
        <w:spacing w:after="160" w:line="257" w:lineRule="auto"/>
        <w:ind w:firstLine="720"/>
        <w:jc w:val="both"/>
        <w:rPr>
          <w:rFonts w:eastAsia="Times New Roman"/>
        </w:rPr>
      </w:pPr>
      <w:r w:rsidRPr="2D7BE459">
        <w:rPr>
          <w:rFonts w:eastAsia="Times New Roman"/>
        </w:rPr>
        <w:t>The Commission finds and concludes that the Company shall engage with Staff prior to the next Renewable Request for Proposals (“RFP”) to determine how the specific Integration Costs and Flex Credits will be determined using the results of the 2024 RIS. There are several significant uncertainties about how the Company will determine the specific values of existing or committed solar and BESS resources for future RFPs, and what the implications of those values will be on the Integration Cost and Flex Credit values. The Company shall engage with Staff well in advance of the next renewable RFP to establish the assumptions and procedures used in updating the Integration Cost and Flex Credit values before they are used in future renewable RFP evaluations.</w:t>
      </w:r>
    </w:p>
    <w:p w14:paraId="78FCEB9C" w14:textId="77777777" w:rsidR="003461C9" w:rsidRDefault="003461C9" w:rsidP="003461C9">
      <w:pPr>
        <w:spacing w:after="160" w:line="257" w:lineRule="auto"/>
        <w:jc w:val="center"/>
        <w:rPr>
          <w:rFonts w:eastAsia="Times New Roman"/>
          <w:b/>
          <w:bCs/>
        </w:rPr>
      </w:pPr>
      <w:r w:rsidRPr="53DBF9A6">
        <w:rPr>
          <w:rFonts w:eastAsia="Times New Roman"/>
          <w:b/>
          <w:bCs/>
        </w:rPr>
        <w:t>12</w:t>
      </w:r>
      <w:r w:rsidRPr="2D7BE459">
        <w:rPr>
          <w:rFonts w:eastAsia="Times New Roman"/>
          <w:b/>
          <w:bCs/>
        </w:rPr>
        <w:t>.</w:t>
      </w:r>
    </w:p>
    <w:p w14:paraId="19E7BB4E" w14:textId="77777777" w:rsidR="003461C9" w:rsidRDefault="003461C9" w:rsidP="003461C9">
      <w:pPr>
        <w:spacing w:after="160" w:line="257" w:lineRule="auto"/>
        <w:jc w:val="both"/>
        <w:rPr>
          <w:rFonts w:eastAsia="Times New Roman"/>
        </w:rPr>
      </w:pPr>
      <w:r w:rsidRPr="2D7BE459">
        <w:rPr>
          <w:rFonts w:eastAsia="Times New Roman"/>
        </w:rPr>
        <w:t>The Commission finds and concludes that requiring Georgia Power to continue to calculate Renewable Energy Credit (“REC”) prices from third-party data and extrapolating that value using a compound annual growth rate calculation is reasonable and appropriate. In the 2025 IRP, the Company formalized a REC component, which was approved as part of the stipulation between the Company and Staff in the 2022 IRP Order Adopting Stipulation. If the Company seeks to change the methodology in the future, it should collaborate with Staff regarding a replacement methodology.</w:t>
      </w:r>
    </w:p>
    <w:p w14:paraId="6A096E15" w14:textId="77777777" w:rsidR="003461C9" w:rsidRDefault="003461C9" w:rsidP="003461C9">
      <w:pPr>
        <w:spacing w:after="160" w:line="257" w:lineRule="auto"/>
        <w:jc w:val="center"/>
        <w:rPr>
          <w:rFonts w:eastAsia="Times New Roman"/>
          <w:b/>
          <w:bCs/>
        </w:rPr>
      </w:pPr>
      <w:r w:rsidRPr="53DBF9A6">
        <w:rPr>
          <w:rFonts w:eastAsia="Times New Roman"/>
          <w:b/>
          <w:bCs/>
        </w:rPr>
        <w:t>13</w:t>
      </w:r>
      <w:r w:rsidRPr="2D7BE459">
        <w:rPr>
          <w:rFonts w:eastAsia="Times New Roman"/>
          <w:b/>
          <w:bCs/>
        </w:rPr>
        <w:t>.</w:t>
      </w:r>
    </w:p>
    <w:p w14:paraId="06D1182A" w14:textId="77777777" w:rsidR="003461C9" w:rsidRDefault="003461C9" w:rsidP="003461C9">
      <w:pPr>
        <w:spacing w:after="160" w:line="257" w:lineRule="auto"/>
        <w:jc w:val="both"/>
        <w:rPr>
          <w:rFonts w:eastAsia="Times New Roman"/>
        </w:rPr>
      </w:pPr>
      <w:r w:rsidRPr="2D7BE459">
        <w:rPr>
          <w:rFonts w:eastAsia="Times New Roman"/>
        </w:rPr>
        <w:t>The Commission finds and concludes that the Company’s request to replace the Deferred Transmission Investment component of the RCB Framework with a Locational Transmission Value component is reasonable and appropriate. The Deferred Transmission Investment component applies only to DG resources and represents the potential for these resources to reduce the demand placed on the transmission system and defer or avoid otherwise needed transmission investments. The proposed Locational Transmission Value component identifies the effect of location-specific solar development on transmission upgrade need and timing over four zones (North GA, Metro GA, Central GA, and South GA).</w:t>
      </w:r>
    </w:p>
    <w:p w14:paraId="1E98B264" w14:textId="77777777" w:rsidR="003461C9" w:rsidRDefault="003461C9" w:rsidP="003461C9">
      <w:pPr>
        <w:spacing w:after="160" w:line="257" w:lineRule="auto"/>
        <w:jc w:val="center"/>
        <w:rPr>
          <w:rFonts w:eastAsia="Times New Roman"/>
          <w:b/>
          <w:bCs/>
        </w:rPr>
      </w:pPr>
      <w:r w:rsidRPr="53DBF9A6">
        <w:rPr>
          <w:rFonts w:eastAsia="Times New Roman"/>
          <w:b/>
          <w:bCs/>
        </w:rPr>
        <w:t>14</w:t>
      </w:r>
      <w:r w:rsidRPr="2D7BE459">
        <w:rPr>
          <w:rFonts w:eastAsia="Times New Roman"/>
          <w:b/>
          <w:bCs/>
        </w:rPr>
        <w:t>.</w:t>
      </w:r>
    </w:p>
    <w:p w14:paraId="63006378" w14:textId="77777777" w:rsidR="003461C9" w:rsidRDefault="003461C9" w:rsidP="003461C9">
      <w:pPr>
        <w:spacing w:after="160" w:line="257" w:lineRule="auto"/>
        <w:jc w:val="both"/>
        <w:rPr>
          <w:rFonts w:eastAsia="Times New Roman"/>
        </w:rPr>
      </w:pPr>
      <w:r w:rsidRPr="2D7BE459">
        <w:rPr>
          <w:rFonts w:eastAsia="Times New Roman"/>
        </w:rPr>
        <w:t>The Commission finds and concludes that Georgia Power shall update its expansion modeling of new solar tracking resources to reflect the Company’s Effective Load Carrying Capability (“ELCC”) calculations. ELCC studies are used to determine the capacity value of various resources. The Company uses the results of its ELCC study as an input into their analysis regarding the accredited capacity value of renewable resources and BESS. The Company conducted a new analysis in 2024 to determine the ELCC of resources to be evaluated in the 2025 IRP for solar, wind, and BESS. In the Aurora modeling for the 2025 IRP, the Company assumed no capacity value for these resources during the planning horizon, although the Company’s ELCC calculations showed that even in winter, the next 3,000 MW of tracking solar facilities has a 5% ELCC value.</w:t>
      </w:r>
    </w:p>
    <w:p w14:paraId="20F4D4D4" w14:textId="77777777" w:rsidR="003461C9" w:rsidRDefault="003461C9" w:rsidP="003461C9">
      <w:pPr>
        <w:spacing w:after="160" w:line="257" w:lineRule="auto"/>
        <w:jc w:val="center"/>
        <w:rPr>
          <w:rFonts w:eastAsia="Times New Roman"/>
          <w:b/>
          <w:bCs/>
        </w:rPr>
      </w:pPr>
      <w:r w:rsidRPr="53DBF9A6">
        <w:rPr>
          <w:rFonts w:eastAsia="Times New Roman"/>
          <w:b/>
          <w:bCs/>
        </w:rPr>
        <w:t>15</w:t>
      </w:r>
      <w:r w:rsidRPr="2D7BE459">
        <w:rPr>
          <w:rFonts w:eastAsia="Times New Roman"/>
          <w:b/>
          <w:bCs/>
        </w:rPr>
        <w:t>.</w:t>
      </w:r>
    </w:p>
    <w:p w14:paraId="6B958182" w14:textId="77777777" w:rsidR="003461C9" w:rsidRDefault="003461C9" w:rsidP="003461C9">
      <w:pPr>
        <w:spacing w:after="160" w:line="257" w:lineRule="auto"/>
        <w:jc w:val="both"/>
        <w:rPr>
          <w:rFonts w:eastAsia="Times New Roman"/>
        </w:rPr>
      </w:pPr>
      <w:r w:rsidRPr="2D7BE459">
        <w:rPr>
          <w:rFonts w:eastAsia="Times New Roman"/>
        </w:rPr>
        <w:lastRenderedPageBreak/>
        <w:t>The Commission finds and concludes that the Company’s request to continue the implementation and integration of a Distributed Energy Resource Management System (“DERMS”) with the Company’s real-time operations platforms is reasonable and appropriate. In the 2022 IRP, the Commission approved an initial plan for Georgia Power to develop DERMS and in the 2022 Rate Case, the Commission approved a limited budget for initial activities for the development of a DERMS. The Company has conducted a DERMS request for information in 2023 and an RFP for a DERMS vendor in 2024. The enhanced control of DERs through DERMS will support grid reliability and expand potential use cases for DERs that can be reflected in customer program incentive valuations. DERMS will provide a platform for optimizing utilization of DERs as adoption increases. By investing in the infrastructure now, Georgia Power will be able to better manage and deploy resources to their best use as they come online, rather than waiting to develop programs after a certain threshold is met. The Company’s budgeted incremental spending for DERMS for the remainder of 2025 through 2028, which was not already approved by the Commission in the 2022 Rate Case is reasonable and shall be approved. The Company shall make an annual filing which will provide the current status of the DERMS implementation as well as the amount of budget that has been spent to date.</w:t>
      </w:r>
    </w:p>
    <w:p w14:paraId="619656C7" w14:textId="77777777" w:rsidR="003461C9" w:rsidRDefault="003461C9" w:rsidP="003461C9">
      <w:pPr>
        <w:spacing w:after="160" w:line="257" w:lineRule="auto"/>
        <w:jc w:val="center"/>
        <w:rPr>
          <w:rFonts w:eastAsia="Times New Roman"/>
          <w:b/>
          <w:bCs/>
        </w:rPr>
      </w:pPr>
      <w:r w:rsidRPr="53DBF9A6">
        <w:rPr>
          <w:rFonts w:eastAsia="Times New Roman"/>
          <w:b/>
          <w:bCs/>
        </w:rPr>
        <w:t>16</w:t>
      </w:r>
      <w:r w:rsidRPr="2D7BE459">
        <w:rPr>
          <w:rFonts w:eastAsia="Times New Roman"/>
          <w:b/>
          <w:bCs/>
        </w:rPr>
        <w:t>.</w:t>
      </w:r>
    </w:p>
    <w:p w14:paraId="5F8C088D" w14:textId="77777777" w:rsidR="003461C9" w:rsidRDefault="003461C9" w:rsidP="003461C9">
      <w:pPr>
        <w:spacing w:after="160" w:line="257" w:lineRule="auto"/>
        <w:jc w:val="both"/>
        <w:rPr>
          <w:rFonts w:eastAsia="Times New Roman"/>
        </w:rPr>
      </w:pPr>
      <w:r w:rsidRPr="2D7BE459">
        <w:rPr>
          <w:rFonts w:eastAsia="Times New Roman"/>
        </w:rPr>
        <w:t>The Commission finds that it is reasonable and appropriate that any unfilled megawatts (“MW”) from the current Distributed Generation (“DG”) and Utility Scale RFPs roll forward on an ongoing basis to subsequent respective RFPs. In recent DG and utility scale RFPs, the Commission approved unfilled MW from prior solicitations to be rolled over to future RFPs. Also, the Commission finds it in the public interest to allow any unfilled MW from future DG and Utility Scale renewable RFPs to roll forward on an ongoing basis to subsequent respective RFPs. This policy ensures that the renewable capacity that has been approved will be procured.</w:t>
      </w:r>
    </w:p>
    <w:p w14:paraId="1A30F785" w14:textId="77777777" w:rsidR="003461C9" w:rsidRDefault="003461C9" w:rsidP="003461C9">
      <w:pPr>
        <w:spacing w:after="160" w:line="257" w:lineRule="auto"/>
        <w:jc w:val="center"/>
        <w:rPr>
          <w:rFonts w:eastAsia="Times New Roman"/>
          <w:b/>
          <w:bCs/>
        </w:rPr>
      </w:pPr>
      <w:r w:rsidRPr="53DBF9A6">
        <w:rPr>
          <w:rFonts w:eastAsia="Times New Roman"/>
          <w:b/>
          <w:bCs/>
        </w:rPr>
        <w:t>17</w:t>
      </w:r>
      <w:r w:rsidRPr="2D7BE459">
        <w:rPr>
          <w:rFonts w:eastAsia="Times New Roman"/>
          <w:b/>
          <w:bCs/>
        </w:rPr>
        <w:t>.</w:t>
      </w:r>
    </w:p>
    <w:p w14:paraId="63946B2D" w14:textId="77777777" w:rsidR="003461C9" w:rsidRDefault="003461C9" w:rsidP="003461C9">
      <w:pPr>
        <w:spacing w:after="160" w:line="257" w:lineRule="auto"/>
        <w:jc w:val="both"/>
        <w:rPr>
          <w:rFonts w:eastAsia="Times New Roman"/>
        </w:rPr>
      </w:pPr>
      <w:r w:rsidRPr="2D7BE459">
        <w:rPr>
          <w:rFonts w:eastAsia="Times New Roman"/>
        </w:rPr>
        <w:t xml:space="preserve">The Commission finds and concludes that the Company’s requested modifications to the utility scale procurement process are reasonable and appropriate since changes are necessary to procure enough renewable energy to meet customers’ demands. Regarding Flexible Commercial Operation Dates (“CODs”), Staff, the Company, and the IE shall meet and collaboratively work to determine what changes, if any, will be needed to the Utility Scale RFP evaluation. </w:t>
      </w:r>
    </w:p>
    <w:p w14:paraId="4FE09096" w14:textId="77777777" w:rsidR="003461C9" w:rsidRDefault="003461C9" w:rsidP="003461C9">
      <w:pPr>
        <w:spacing w:after="160" w:line="257" w:lineRule="auto"/>
        <w:jc w:val="center"/>
        <w:rPr>
          <w:rFonts w:eastAsia="Times New Roman"/>
          <w:b/>
          <w:bCs/>
        </w:rPr>
      </w:pPr>
      <w:r w:rsidRPr="53DBF9A6">
        <w:rPr>
          <w:rFonts w:eastAsia="Times New Roman"/>
          <w:b/>
          <w:bCs/>
        </w:rPr>
        <w:t>18</w:t>
      </w:r>
      <w:r w:rsidRPr="2D7BE459">
        <w:rPr>
          <w:rFonts w:eastAsia="Times New Roman"/>
          <w:b/>
          <w:bCs/>
        </w:rPr>
        <w:t>.</w:t>
      </w:r>
    </w:p>
    <w:p w14:paraId="7517B244" w14:textId="77777777" w:rsidR="003461C9" w:rsidRDefault="003461C9" w:rsidP="003461C9">
      <w:pPr>
        <w:spacing w:after="160" w:line="257" w:lineRule="auto"/>
        <w:jc w:val="both"/>
        <w:rPr>
          <w:rFonts w:eastAsia="Times New Roman"/>
        </w:rPr>
      </w:pPr>
      <w:r w:rsidRPr="2D7BE459">
        <w:rPr>
          <w:rFonts w:eastAsia="Times New Roman"/>
        </w:rPr>
        <w:t xml:space="preserve">The Commission finds and concludes it is reasonable and appropriate to approve the Company’s request to procure 1,000 MW of utility scale renewable projects for all customers and up to an additional 3,000 MW to satisfy customer subscriptions. The Commission finds and concludes that Staff, the IE, and the Company shall meet and work to resolve any concerns related to the evaluation of bids with flexible CODs. During the Direct Hearing, Company Witness Mallard confirmed that this might be an issue that will need to be resolved if flexible CODs are approved by the Commission (Tr. at 878). Additionally, Georgia Power requested to allow bidders to provide </w:t>
      </w:r>
      <w:r w:rsidRPr="2D7BE459">
        <w:rPr>
          <w:rFonts w:eastAsia="Times New Roman"/>
        </w:rPr>
        <w:lastRenderedPageBreak/>
        <w:t>flexible CODs and the use of a multi-phase approach which would include the procurement of customer identified resources. Phase I would include a “buy down” process whereby projects that were not selected as part of the short list but were part of the competitive tier, will be able to buydown their bid price to meet the average total net benefit of the selected short list portfolio. After completion of Phase I and if customer subscription demand still has not been met, the Company proposes to initiate Phase II. Phase II will allow new projects to be submitted at prices that meet or exceed the average total net benefit of the initial short list. During this phase, customer identified resources would also be allowed to be submitted on behalf of potential CARES subscribers at prices and terms that protect non-participating customers. The Commission finds that the requirement that projects meet or exceed the average total net benefit will provide protection to customers.</w:t>
      </w:r>
    </w:p>
    <w:p w14:paraId="291ECA7F" w14:textId="77777777" w:rsidR="003461C9" w:rsidRDefault="003461C9" w:rsidP="003461C9">
      <w:pPr>
        <w:spacing w:after="160" w:line="276" w:lineRule="auto"/>
        <w:jc w:val="center"/>
        <w:rPr>
          <w:rFonts w:eastAsia="Times New Roman"/>
          <w:b/>
          <w:bCs/>
        </w:rPr>
      </w:pPr>
      <w:r w:rsidRPr="53DBF9A6">
        <w:rPr>
          <w:rFonts w:eastAsia="Times New Roman"/>
          <w:b/>
          <w:bCs/>
        </w:rPr>
        <w:t>19</w:t>
      </w:r>
      <w:r w:rsidRPr="2D7BE459">
        <w:rPr>
          <w:rFonts w:eastAsia="Times New Roman"/>
          <w:b/>
          <w:bCs/>
        </w:rPr>
        <w:t>.</w:t>
      </w:r>
    </w:p>
    <w:p w14:paraId="1D4B4447" w14:textId="77777777" w:rsidR="003461C9" w:rsidRDefault="003461C9" w:rsidP="003461C9">
      <w:pPr>
        <w:spacing w:after="160" w:line="257" w:lineRule="auto"/>
        <w:jc w:val="both"/>
        <w:rPr>
          <w:rFonts w:eastAsia="Times New Roman"/>
        </w:rPr>
      </w:pPr>
      <w:r w:rsidRPr="2D7BE459">
        <w:rPr>
          <w:rFonts w:eastAsia="Times New Roman"/>
        </w:rPr>
        <w:t xml:space="preserve">The Commission finds and concludes the Company’s requested modifications to the DG procurement process </w:t>
      </w:r>
      <w:r w:rsidRPr="77D5FA64">
        <w:rPr>
          <w:rFonts w:eastAsia="Times New Roman"/>
        </w:rPr>
        <w:t>are</w:t>
      </w:r>
      <w:r w:rsidRPr="2D7BE459">
        <w:rPr>
          <w:rFonts w:eastAsia="Times New Roman"/>
        </w:rPr>
        <w:t xml:space="preserve"> reasonable and appropriate. This finding includes Georgia Power’s request to allow flexible DG resources to participate in future RFPs, with additional information to be provided to Staff explaining how the requirement that the project be visible and controlled through DERMS could impact future flexible DG bid prices.</w:t>
      </w:r>
      <w:r w:rsidRPr="2D7BE459">
        <w:rPr>
          <w:rFonts w:ascii="Calibri" w:eastAsia="Calibri" w:hAnsi="Calibri" w:cs="Calibri"/>
          <w:sz w:val="22"/>
          <w:szCs w:val="22"/>
        </w:rPr>
        <w:t xml:space="preserve"> </w:t>
      </w:r>
      <w:r w:rsidRPr="2D7BE459">
        <w:rPr>
          <w:rFonts w:eastAsia="Times New Roman"/>
        </w:rPr>
        <w:t>The Company has indicated that they are still in the process of determining requirements and cost estimates to bidders that would enable DERMS integration with DG RFP solar projects. As required, and supported by Staff, for the DG procurement process, the requirement that bids for Phases I and II must meet the average of the total net benefit of the selected portfolio is a protection for retail customers.</w:t>
      </w:r>
    </w:p>
    <w:p w14:paraId="6B871EF9" w14:textId="77777777" w:rsidR="003461C9" w:rsidRDefault="003461C9" w:rsidP="003461C9">
      <w:pPr>
        <w:spacing w:after="160" w:line="257" w:lineRule="auto"/>
        <w:jc w:val="center"/>
        <w:rPr>
          <w:rFonts w:eastAsia="Times New Roman"/>
          <w:b/>
          <w:bCs/>
        </w:rPr>
      </w:pPr>
      <w:r w:rsidRPr="53DBF9A6">
        <w:rPr>
          <w:rFonts w:eastAsia="Times New Roman"/>
          <w:b/>
          <w:bCs/>
        </w:rPr>
        <w:t>20</w:t>
      </w:r>
      <w:r w:rsidRPr="2D7BE459">
        <w:rPr>
          <w:rFonts w:eastAsia="Times New Roman"/>
          <w:b/>
          <w:bCs/>
        </w:rPr>
        <w:t>.</w:t>
      </w:r>
    </w:p>
    <w:p w14:paraId="39BC25BA" w14:textId="77777777" w:rsidR="003461C9" w:rsidRDefault="003461C9" w:rsidP="003461C9">
      <w:pPr>
        <w:spacing w:after="240"/>
        <w:jc w:val="both"/>
        <w:rPr>
          <w:rFonts w:eastAsia="Times New Roman"/>
        </w:rPr>
      </w:pPr>
      <w:r w:rsidRPr="2D7BE459">
        <w:rPr>
          <w:rFonts w:eastAsia="Times New Roman"/>
        </w:rPr>
        <w:t>The Commission finds and concludes that it is reasonable and appropriate to approve the Company’s request to procure 100 MW of DG resources, including unfilled MW from the 2024 DG RFP, with or without renewable-charged or grid-charged storage facilities, through two RFPs. These RFPs will be implemented in the multi-phase approach as described in the Company’s IRP filing, including customer identified resources, to assist in procuring resources needed to meet customer subscription demand.</w:t>
      </w:r>
    </w:p>
    <w:p w14:paraId="02002060" w14:textId="77777777" w:rsidR="003461C9" w:rsidRDefault="003461C9" w:rsidP="003461C9">
      <w:pPr>
        <w:spacing w:after="160" w:line="257" w:lineRule="auto"/>
        <w:jc w:val="center"/>
        <w:rPr>
          <w:rFonts w:eastAsia="Times New Roman"/>
          <w:b/>
          <w:bCs/>
        </w:rPr>
      </w:pPr>
      <w:r w:rsidRPr="53DBF9A6">
        <w:rPr>
          <w:rFonts w:eastAsia="Times New Roman"/>
          <w:b/>
          <w:bCs/>
        </w:rPr>
        <w:t>21</w:t>
      </w:r>
      <w:r w:rsidRPr="2D7BE459">
        <w:rPr>
          <w:rFonts w:eastAsia="Times New Roman"/>
          <w:b/>
          <w:bCs/>
        </w:rPr>
        <w:t>.</w:t>
      </w:r>
    </w:p>
    <w:p w14:paraId="59E6A125" w14:textId="77777777" w:rsidR="003461C9" w:rsidRDefault="003461C9" w:rsidP="003461C9">
      <w:pPr>
        <w:spacing w:after="160" w:line="257" w:lineRule="auto"/>
        <w:jc w:val="both"/>
        <w:rPr>
          <w:rFonts w:eastAsia="Times New Roman"/>
        </w:rPr>
      </w:pPr>
      <w:r w:rsidRPr="2D7BE459">
        <w:rPr>
          <w:rFonts w:eastAsia="Times New Roman"/>
        </w:rPr>
        <w:t>The Commission finds and concludes that it is reasonable and appropriate to use a locational transmission value in future DG RFP evaluations. By analyzing incremental DG solar in the four zones separately, the Company will be better able to identify the effect of location-specific solar development on transmission upgrade need and timing. These results will allow the Company to calculate a benefit or cost for each DG resource bid into the RFP which will be dependent on the zone.</w:t>
      </w:r>
    </w:p>
    <w:p w14:paraId="7FC0F0F7" w14:textId="77777777" w:rsidR="003461C9" w:rsidRDefault="003461C9" w:rsidP="003461C9">
      <w:pPr>
        <w:spacing w:after="160" w:line="257" w:lineRule="auto"/>
        <w:jc w:val="center"/>
        <w:rPr>
          <w:rFonts w:eastAsia="Times New Roman"/>
          <w:b/>
          <w:bCs/>
        </w:rPr>
      </w:pPr>
      <w:r w:rsidRPr="53DBF9A6">
        <w:rPr>
          <w:rFonts w:eastAsia="Times New Roman"/>
          <w:b/>
          <w:bCs/>
        </w:rPr>
        <w:t>22</w:t>
      </w:r>
      <w:r w:rsidRPr="2D7BE459">
        <w:rPr>
          <w:rFonts w:eastAsia="Times New Roman"/>
          <w:b/>
          <w:bCs/>
        </w:rPr>
        <w:t>.</w:t>
      </w:r>
    </w:p>
    <w:p w14:paraId="27E9337C" w14:textId="77777777" w:rsidR="003461C9" w:rsidRDefault="003461C9" w:rsidP="003461C9">
      <w:pPr>
        <w:spacing w:after="160" w:line="257" w:lineRule="auto"/>
        <w:jc w:val="both"/>
        <w:rPr>
          <w:rFonts w:eastAsia="Times New Roman"/>
        </w:rPr>
      </w:pPr>
      <w:r w:rsidRPr="2D7BE459">
        <w:rPr>
          <w:rFonts w:eastAsia="Times New Roman"/>
        </w:rPr>
        <w:lastRenderedPageBreak/>
        <w:t xml:space="preserve">The Commission finds that it is appropriate to approve the Company’s proposed modifications to the Customer-Connected Solar Program (“CCSP”) which are necessary in order to fully subscribe the MW allotment for this program. The modifications to the eligible minimum and maximum project sizes to 250 kW and 6 MW and allowing new customers in addition to existing customers to participate will help increase participation in the program in order for it to be fully subscribed. </w:t>
      </w:r>
    </w:p>
    <w:p w14:paraId="3868EA59" w14:textId="77777777" w:rsidR="003461C9" w:rsidRDefault="003461C9" w:rsidP="003461C9">
      <w:pPr>
        <w:spacing w:after="160" w:line="257" w:lineRule="auto"/>
        <w:jc w:val="center"/>
        <w:rPr>
          <w:rFonts w:eastAsia="Times New Roman"/>
          <w:b/>
          <w:bCs/>
        </w:rPr>
      </w:pPr>
      <w:r w:rsidRPr="53DBF9A6">
        <w:rPr>
          <w:rFonts w:eastAsia="Times New Roman"/>
          <w:b/>
          <w:bCs/>
        </w:rPr>
        <w:t>23</w:t>
      </w:r>
      <w:r w:rsidRPr="2D7BE459">
        <w:rPr>
          <w:rFonts w:eastAsia="Times New Roman"/>
          <w:b/>
          <w:bCs/>
        </w:rPr>
        <w:t>.</w:t>
      </w:r>
    </w:p>
    <w:p w14:paraId="2BF32B0E" w14:textId="77777777" w:rsidR="003461C9" w:rsidRDefault="003461C9" w:rsidP="003461C9">
      <w:pPr>
        <w:spacing w:after="160" w:line="257" w:lineRule="auto"/>
        <w:jc w:val="both"/>
        <w:rPr>
          <w:rFonts w:eastAsia="Times New Roman"/>
        </w:rPr>
      </w:pPr>
      <w:r w:rsidRPr="2D7BE459">
        <w:rPr>
          <w:rFonts w:eastAsia="Times New Roman"/>
        </w:rPr>
        <w:t xml:space="preserve">The Commission finds and concludes that the Customer-Sited Solar Plus Storage Pilot Program, conceptually, should be approved. The Company’s request to not allow customers to participate in the Pilot Program if they are receiving service on the “R” or “GS” rates should be denied as approximately 80% of residential customers that currently have solar and/or BESS at their premises are on the R rate. This requirement would limit participation in the Pilot Program. The Commission finds that there are still items that need further discussion and finalization prior to implementation of the pilot program such as how potential participants in the pilot program will be made aware of the remaining capacity for each pilot program option and formalizing the process regarding how the Company will request to increase the targets before the pilot program becomes fully subscribed. These issues should be discussed and formalized, and the Company is required to hold additional meetings with Staff and interested parties once an implementation partner has been selected.   </w:t>
      </w:r>
    </w:p>
    <w:p w14:paraId="2AC77FF2" w14:textId="77777777" w:rsidR="003461C9" w:rsidRDefault="003461C9" w:rsidP="003461C9">
      <w:pPr>
        <w:spacing w:after="160" w:line="257" w:lineRule="auto"/>
        <w:jc w:val="center"/>
        <w:rPr>
          <w:rFonts w:eastAsia="Times New Roman"/>
          <w:b/>
          <w:bCs/>
        </w:rPr>
      </w:pPr>
      <w:r w:rsidRPr="24A7911D">
        <w:rPr>
          <w:rFonts w:eastAsia="Times New Roman"/>
          <w:b/>
          <w:bCs/>
        </w:rPr>
        <w:t>24</w:t>
      </w:r>
      <w:r w:rsidRPr="2D7BE459">
        <w:rPr>
          <w:rFonts w:eastAsia="Times New Roman"/>
          <w:b/>
          <w:bCs/>
        </w:rPr>
        <w:t>.</w:t>
      </w:r>
    </w:p>
    <w:p w14:paraId="428421CF" w14:textId="77777777" w:rsidR="003461C9" w:rsidRDefault="003461C9" w:rsidP="003461C9">
      <w:pPr>
        <w:spacing w:after="160" w:line="257" w:lineRule="auto"/>
        <w:jc w:val="both"/>
        <w:rPr>
          <w:rFonts w:eastAsia="Times New Roman"/>
        </w:rPr>
      </w:pPr>
      <w:r w:rsidRPr="2D7BE459">
        <w:rPr>
          <w:rFonts w:eastAsia="Times New Roman"/>
        </w:rPr>
        <w:t xml:space="preserve">The Commission finds and concludes that the proposed enhancements to the CARES Utility Scale Subscription Program are approved. Customer demand for RECs through subscription mechanisms such as CARES has outpaced the available supply due to the growth of new and existing customers with sustainability goals. At the same time, the Company’s recent Utility Scale RFPs have not been successful at meeting the procurement targets. These changes proposed by the Company were due to feedback from customers and developers in order to provide flexibility and optionality for customers to increase the chances of procuring additional renewable resources The inclusion of Phase II of CARES, if customer demand for CARES subscriptions exceeds the amount of MW procured through Phase I or if customers choose to participate through a customer identified resource procurement, will improve the current CARES subscription program. The requirement that projects participating in Phase II must result in a total net benefit at or above the total net benefit of the selected short list portfolio will protect other Georgia Power customers. </w:t>
      </w:r>
    </w:p>
    <w:p w14:paraId="6211D332" w14:textId="77777777" w:rsidR="003461C9" w:rsidRDefault="003461C9" w:rsidP="003461C9">
      <w:pPr>
        <w:spacing w:after="160" w:line="276" w:lineRule="auto"/>
        <w:jc w:val="center"/>
        <w:rPr>
          <w:rFonts w:eastAsia="Times New Roman"/>
          <w:b/>
          <w:bCs/>
        </w:rPr>
      </w:pPr>
      <w:r w:rsidRPr="24A7911D">
        <w:rPr>
          <w:rFonts w:eastAsia="Times New Roman"/>
          <w:b/>
          <w:bCs/>
        </w:rPr>
        <w:t>25</w:t>
      </w:r>
      <w:r w:rsidRPr="2D7BE459">
        <w:rPr>
          <w:rFonts w:eastAsia="Times New Roman"/>
          <w:b/>
          <w:bCs/>
        </w:rPr>
        <w:t>.</w:t>
      </w:r>
    </w:p>
    <w:p w14:paraId="60E00C90" w14:textId="77777777" w:rsidR="003461C9" w:rsidRDefault="003461C9" w:rsidP="003461C9">
      <w:pPr>
        <w:spacing w:after="160" w:line="257" w:lineRule="auto"/>
        <w:jc w:val="both"/>
        <w:rPr>
          <w:rFonts w:eastAsia="Times New Roman"/>
        </w:rPr>
      </w:pPr>
      <w:r w:rsidRPr="2D7BE459">
        <w:rPr>
          <w:rFonts w:eastAsia="Times New Roman"/>
        </w:rPr>
        <w:t xml:space="preserve">The Commission finds and concludes that adding the DG Subscription Community Solar Program is beneficial as another program option for customers. Both residential customers and eligible C&amp;I customers, who otherwise would not be able to participate in the CARES Utility Scale Subscription Program, will be able to participate and provide customers with more options to subscribe to carbon-free resources, while adding flexibility and optionality to the RFP process for both bidders </w:t>
      </w:r>
      <w:r w:rsidRPr="2D7BE459">
        <w:rPr>
          <w:rFonts w:eastAsia="Times New Roman"/>
        </w:rPr>
        <w:lastRenderedPageBreak/>
        <w:t>and subscribers. The Commission finds that the Company shall make quarterly filings which will provide the current level of DG Community Solar Program subscriptions, by month.</w:t>
      </w:r>
    </w:p>
    <w:p w14:paraId="0E4EE3A1" w14:textId="77777777" w:rsidR="003461C9" w:rsidRDefault="003461C9" w:rsidP="003461C9">
      <w:pPr>
        <w:spacing w:after="160" w:line="257" w:lineRule="auto"/>
        <w:jc w:val="center"/>
        <w:rPr>
          <w:rFonts w:eastAsia="Times New Roman"/>
          <w:b/>
          <w:bCs/>
        </w:rPr>
      </w:pPr>
      <w:r w:rsidRPr="24A7911D">
        <w:rPr>
          <w:rFonts w:eastAsia="Times New Roman"/>
          <w:b/>
          <w:bCs/>
        </w:rPr>
        <w:t>26</w:t>
      </w:r>
      <w:r w:rsidRPr="2D7BE459">
        <w:rPr>
          <w:rFonts w:eastAsia="Times New Roman"/>
          <w:b/>
          <w:bCs/>
        </w:rPr>
        <w:t>.</w:t>
      </w:r>
    </w:p>
    <w:p w14:paraId="037F5FDF" w14:textId="77777777" w:rsidR="003461C9" w:rsidRDefault="003461C9" w:rsidP="003461C9">
      <w:pPr>
        <w:spacing w:after="240"/>
        <w:jc w:val="both"/>
        <w:rPr>
          <w:rFonts w:eastAsia="Times New Roman"/>
        </w:rPr>
      </w:pPr>
      <w:r w:rsidRPr="2D7BE459">
        <w:rPr>
          <w:rFonts w:eastAsia="Times New Roman"/>
        </w:rPr>
        <w:t>The Commission finds and concludes that the Large Customer Owned Resiliency (“LCOR”) Program and the proposed term modification for the Distributed Energy Resource (“DER”) Customer-Owned (“DCO”) Program shall be approved. The LCOR Program creates a new large C&amp;I customer-owned option that is not available in the current DER programs. This new resiliency option will restrict the customer’s DER from pushing back to the grid which changes the way such DER is interconnected. Rather than being a supply-side option, the program will operate as a demand-side program, such that the customer’s DER is behind the meter and reduces the customer's load. The modification to the DCO program term up to 15 years would provide more certainty to customers.</w:t>
      </w:r>
    </w:p>
    <w:p w14:paraId="488DB352" w14:textId="77777777" w:rsidR="003461C9" w:rsidRDefault="003461C9" w:rsidP="003461C9">
      <w:pPr>
        <w:spacing w:after="160" w:line="257" w:lineRule="auto"/>
        <w:jc w:val="center"/>
        <w:rPr>
          <w:rFonts w:eastAsia="Times New Roman"/>
          <w:b/>
          <w:bCs/>
        </w:rPr>
      </w:pPr>
      <w:r w:rsidRPr="24A7911D">
        <w:rPr>
          <w:rFonts w:eastAsia="Times New Roman"/>
          <w:b/>
          <w:bCs/>
        </w:rPr>
        <w:t>27</w:t>
      </w:r>
      <w:r w:rsidRPr="2D7BE459">
        <w:rPr>
          <w:rFonts w:eastAsia="Times New Roman"/>
          <w:b/>
          <w:bCs/>
        </w:rPr>
        <w:t>.</w:t>
      </w:r>
    </w:p>
    <w:p w14:paraId="7F252B4D" w14:textId="77777777" w:rsidR="003461C9" w:rsidRDefault="003461C9" w:rsidP="003461C9">
      <w:pPr>
        <w:spacing w:after="160" w:line="257" w:lineRule="auto"/>
        <w:jc w:val="both"/>
        <w:rPr>
          <w:rFonts w:eastAsia="Times New Roman"/>
        </w:rPr>
      </w:pPr>
      <w:r w:rsidRPr="2D7BE459">
        <w:rPr>
          <w:rFonts w:eastAsia="Times New Roman"/>
        </w:rPr>
        <w:t>The Commission finds that it is reasonable and appropriate</w:t>
      </w:r>
      <w:r w:rsidRPr="2D7BE459">
        <w:rPr>
          <w:rFonts w:eastAsia="Times New Roman"/>
          <w:sz w:val="22"/>
          <w:szCs w:val="22"/>
        </w:rPr>
        <w:t xml:space="preserve"> for </w:t>
      </w:r>
      <w:r w:rsidRPr="2D7BE459">
        <w:rPr>
          <w:rFonts w:eastAsia="Times New Roman"/>
        </w:rPr>
        <w:t xml:space="preserve">Georgia Power to receive an additional sum of $3.00/kilowatt (“kW”)-year for its proposed renewable procurements and programs in this IRP as it appropriately balances the interests of the Company and customers. </w:t>
      </w:r>
    </w:p>
    <w:p w14:paraId="4FFB12FF" w14:textId="77777777" w:rsidR="003461C9" w:rsidRDefault="003461C9" w:rsidP="003461C9">
      <w:pPr>
        <w:spacing w:after="160" w:line="257" w:lineRule="auto"/>
        <w:ind w:left="720" w:hanging="720"/>
        <w:jc w:val="center"/>
        <w:rPr>
          <w:rFonts w:eastAsia="Times New Roman"/>
          <w:b/>
          <w:bCs/>
        </w:rPr>
      </w:pPr>
      <w:r w:rsidRPr="24A7911D">
        <w:rPr>
          <w:rFonts w:eastAsia="Times New Roman"/>
          <w:b/>
          <w:bCs/>
        </w:rPr>
        <w:t>28</w:t>
      </w:r>
      <w:r w:rsidRPr="2D7BE459">
        <w:rPr>
          <w:rFonts w:eastAsia="Times New Roman"/>
          <w:b/>
          <w:bCs/>
        </w:rPr>
        <w:t>.</w:t>
      </w:r>
    </w:p>
    <w:p w14:paraId="6E149B5F" w14:textId="77777777" w:rsidR="003461C9" w:rsidRDefault="003461C9" w:rsidP="003461C9">
      <w:pPr>
        <w:spacing w:after="160" w:line="257" w:lineRule="auto"/>
        <w:jc w:val="both"/>
        <w:rPr>
          <w:rFonts w:eastAsia="Times New Roman"/>
        </w:rPr>
      </w:pPr>
      <w:r w:rsidRPr="2D7BE459">
        <w:rPr>
          <w:rFonts w:eastAsia="Times New Roman"/>
        </w:rPr>
        <w:t>The Commission finds and concludes that the Company’s Electric Transportation Vehicle-to-Everything (“V2X”) Pilot Project should be approved.</w:t>
      </w:r>
      <w:r w:rsidRPr="2D7BE459">
        <w:rPr>
          <w:rFonts w:ascii="Calibri" w:eastAsia="Calibri" w:hAnsi="Calibri" w:cs="Calibri"/>
          <w:sz w:val="22"/>
          <w:szCs w:val="22"/>
        </w:rPr>
        <w:t xml:space="preserve"> </w:t>
      </w:r>
      <w:r w:rsidRPr="2D7BE459">
        <w:rPr>
          <w:rFonts w:eastAsia="Times New Roman"/>
        </w:rPr>
        <w:t>This pilot will study the transfer of energy stored in underutilized batteries to buildings, houses, and the grid and will include the evaluation of V2X technology starting with a pilot with public school systems, to install up to 10 chargers.</w:t>
      </w:r>
    </w:p>
    <w:p w14:paraId="27998A71" w14:textId="77777777" w:rsidR="003461C9" w:rsidRPr="00080F36" w:rsidRDefault="003461C9" w:rsidP="003461C9">
      <w:pPr>
        <w:spacing w:after="160" w:line="257" w:lineRule="auto"/>
        <w:jc w:val="center"/>
        <w:rPr>
          <w:rFonts w:eastAsia="Times New Roman"/>
          <w:b/>
        </w:rPr>
      </w:pPr>
      <w:r w:rsidRPr="24A7911D">
        <w:rPr>
          <w:rFonts w:eastAsia="Times New Roman"/>
          <w:b/>
          <w:bCs/>
        </w:rPr>
        <w:t>29</w:t>
      </w:r>
      <w:r w:rsidRPr="00080F36">
        <w:rPr>
          <w:rFonts w:eastAsia="Times New Roman"/>
          <w:b/>
          <w:bCs/>
        </w:rPr>
        <w:t>.</w:t>
      </w:r>
    </w:p>
    <w:p w14:paraId="4860DF80" w14:textId="6F59AAAE" w:rsidR="003461C9" w:rsidRPr="00080F36" w:rsidRDefault="003461C9" w:rsidP="003461C9">
      <w:pPr>
        <w:spacing w:after="160" w:line="257" w:lineRule="auto"/>
        <w:jc w:val="both"/>
        <w:rPr>
          <w:rFonts w:eastAsia="Times New Roman"/>
        </w:rPr>
      </w:pPr>
      <w:r w:rsidRPr="00080F36">
        <w:rPr>
          <w:rFonts w:eastAsia="Times New Roman"/>
        </w:rPr>
        <w:t>The Commission finds and concludes that Georgia Power’s DSM Certification is a reasonable and appropriate plan for energy efficiency and should be approved as amended by</w:t>
      </w:r>
      <w:r w:rsidR="002C246F">
        <w:rPr>
          <w:rFonts w:eastAsia="Times New Roman"/>
        </w:rPr>
        <w:t xml:space="preserve"> </w:t>
      </w:r>
      <w:r w:rsidRPr="00080F36">
        <w:rPr>
          <w:rFonts w:eastAsia="Times New Roman"/>
        </w:rPr>
        <w:t>PIA Staff and outlined in Staff’s Recommended Case.</w:t>
      </w:r>
    </w:p>
    <w:p w14:paraId="476B1228" w14:textId="77777777" w:rsidR="003461C9" w:rsidRPr="00080F36" w:rsidRDefault="003461C9" w:rsidP="003461C9">
      <w:pPr>
        <w:spacing w:after="160" w:line="257" w:lineRule="auto"/>
        <w:jc w:val="both"/>
        <w:rPr>
          <w:rFonts w:eastAsia="Times New Roman"/>
        </w:rPr>
      </w:pPr>
    </w:p>
    <w:p w14:paraId="71A46E82" w14:textId="77777777" w:rsidR="003461C9" w:rsidRPr="00080F36" w:rsidRDefault="003461C9" w:rsidP="003461C9">
      <w:pPr>
        <w:spacing w:after="160" w:line="257" w:lineRule="auto"/>
        <w:jc w:val="center"/>
        <w:rPr>
          <w:rFonts w:eastAsia="Times New Roman"/>
          <w:b/>
        </w:rPr>
      </w:pPr>
      <w:r w:rsidRPr="4E401BD9">
        <w:rPr>
          <w:rFonts w:eastAsia="Times New Roman"/>
          <w:b/>
          <w:bCs/>
        </w:rPr>
        <w:t>30</w:t>
      </w:r>
      <w:r w:rsidRPr="00080F36">
        <w:rPr>
          <w:rFonts w:eastAsia="Times New Roman"/>
          <w:b/>
          <w:bCs/>
        </w:rPr>
        <w:t>.</w:t>
      </w:r>
    </w:p>
    <w:p w14:paraId="4C30533B" w14:textId="77777777" w:rsidR="003461C9" w:rsidRPr="00080F36" w:rsidRDefault="003461C9" w:rsidP="003461C9">
      <w:pPr>
        <w:spacing w:after="160"/>
        <w:jc w:val="both"/>
      </w:pPr>
      <w:r w:rsidRPr="00080F36">
        <w:rPr>
          <w:rFonts w:eastAsia="Times New Roman"/>
        </w:rPr>
        <w:t>The Commission finds that it is reasonable and appropriate to include an additional sensitivity in Georgia Power’s 2028 IRP development and resource optimization process. For this additional sensitivity case, DSM resources, including demand response and energy efficiency, will be allowed to compete head-to-head with supply-side options in Georgia Power’s IRP model as  selectable resources. This change will allow all parties participating in the 2028 IRP to better understand what and how much DSM resources the Aurora model selects to optimize the overall system. The Commission concludes that this additional scenario will provide the necessary information to determine the appropriate amount of DSM that would provide the least cost resource plan.</w:t>
      </w:r>
    </w:p>
    <w:p w14:paraId="74F5EEC0" w14:textId="77777777" w:rsidR="003461C9" w:rsidRPr="00080F36" w:rsidRDefault="003461C9" w:rsidP="003461C9">
      <w:pPr>
        <w:spacing w:after="160" w:line="257" w:lineRule="auto"/>
        <w:jc w:val="both"/>
      </w:pPr>
      <w:r w:rsidRPr="00080F36">
        <w:rPr>
          <w:rFonts w:eastAsia="Times New Roman"/>
        </w:rPr>
        <w:lastRenderedPageBreak/>
        <w:t>The Commission further finds that in order to implement this change, the DSM Program Planning Process shall be revised in the following manner:</w:t>
      </w:r>
    </w:p>
    <w:p w14:paraId="19D5204E" w14:textId="77777777" w:rsidR="003461C9" w:rsidRDefault="003461C9" w:rsidP="003461C9">
      <w:pPr>
        <w:pStyle w:val="ListParagraph"/>
        <w:numPr>
          <w:ilvl w:val="1"/>
          <w:numId w:val="29"/>
        </w:numPr>
        <w:spacing w:after="0" w:line="257" w:lineRule="auto"/>
        <w:ind w:right="1440"/>
        <w:jc w:val="both"/>
        <w:rPr>
          <w:rFonts w:ascii="Calibri" w:eastAsia="Calibri" w:hAnsi="Calibri" w:cs="Calibri"/>
        </w:rPr>
      </w:pPr>
      <w:r w:rsidRPr="00080F36">
        <w:rPr>
          <w:rFonts w:ascii="Times New Roman" w:eastAsia="Times New Roman" w:hAnsi="Times New Roman" w:cs="Times New Roman"/>
          <w:sz w:val="24"/>
          <w:szCs w:val="24"/>
        </w:rPr>
        <w:t>Step 8 in the DSM Program Planning Process will be revised to state: “The Company will also produce an additional sensitivity in its 2028 IRP development and resource optimization process, where DSM is allowed to compete head-to-head with supply-side options</w:t>
      </w:r>
      <w:r w:rsidRPr="15DC86CD">
        <w:rPr>
          <w:rFonts w:ascii="Times New Roman" w:eastAsia="Times New Roman" w:hAnsi="Times New Roman" w:cs="Times New Roman"/>
          <w:sz w:val="24"/>
          <w:szCs w:val="24"/>
        </w:rPr>
        <w:t xml:space="preserve"> in the Company’s IRP model as a selectable resource. This sensitivity will be called the Integrated DSM Change Case.”</w:t>
      </w:r>
      <w:r w:rsidRPr="15DC86CD">
        <w:rPr>
          <w:rFonts w:ascii="Calibri" w:eastAsia="Calibri" w:hAnsi="Calibri" w:cs="Calibri"/>
        </w:rPr>
        <w:t xml:space="preserve"> </w:t>
      </w:r>
    </w:p>
    <w:p w14:paraId="20452130" w14:textId="77777777" w:rsidR="003461C9" w:rsidRDefault="003461C9" w:rsidP="003461C9">
      <w:pPr>
        <w:spacing w:after="160" w:line="257" w:lineRule="auto"/>
        <w:ind w:left="1440" w:right="1440"/>
        <w:jc w:val="both"/>
      </w:pPr>
      <w:r w:rsidRPr="15DC86CD">
        <w:rPr>
          <w:rFonts w:eastAsia="Times New Roman"/>
        </w:rPr>
        <w:t xml:space="preserve"> </w:t>
      </w:r>
    </w:p>
    <w:p w14:paraId="1716E18B" w14:textId="77777777" w:rsidR="003461C9" w:rsidRDefault="003461C9" w:rsidP="003461C9">
      <w:pPr>
        <w:pStyle w:val="ListParagraph"/>
        <w:numPr>
          <w:ilvl w:val="1"/>
          <w:numId w:val="29"/>
        </w:numPr>
        <w:spacing w:after="0" w:line="257" w:lineRule="auto"/>
        <w:ind w:right="1440"/>
        <w:jc w:val="both"/>
        <w:rPr>
          <w:rFonts w:ascii="Times New Roman" w:eastAsia="Times New Roman" w:hAnsi="Times New Roman" w:cs="Times New Roman"/>
          <w:sz w:val="24"/>
          <w:szCs w:val="24"/>
        </w:rPr>
      </w:pPr>
      <w:r w:rsidRPr="15DC86CD">
        <w:rPr>
          <w:rFonts w:ascii="Times New Roman" w:eastAsia="Times New Roman" w:hAnsi="Times New Roman" w:cs="Times New Roman"/>
          <w:sz w:val="24"/>
          <w:szCs w:val="24"/>
        </w:rPr>
        <w:t xml:space="preserve">Step 9 in the DSM Program Planning Process will be revised to state: “The Company will use the difference in costs between the base case and the Proposed DSM change case configuration to determine the avoided generation cost impact of the DSM measures in the Proposed DSM change case. As the final step, the cost effectiveness tests mentioned in item 6 (above) will be calculated based on the inputs and adjustments from the system tools. Revenue impacts will be based on current rates and escalations based on the Company‘s financial projections adjusted for the DSM cost impacts. The avoided generation costs from the system tools and the avoided Transmission and Distribution (“T&amp;D”) revenue requirements as estimated by PRICEM will be used to calculate the benefits of the RIM, TRC and Program Administrator test for the Proposed DSM change case. The projected deadline for including new programs in the system planning process is October 1, 2027.” </w:t>
      </w:r>
    </w:p>
    <w:p w14:paraId="63D74053" w14:textId="77777777" w:rsidR="003461C9" w:rsidRDefault="003461C9" w:rsidP="003461C9">
      <w:pPr>
        <w:pStyle w:val="ListParagraph"/>
        <w:spacing w:after="0" w:line="257" w:lineRule="auto"/>
        <w:ind w:left="1440" w:right="1440"/>
        <w:jc w:val="both"/>
        <w:rPr>
          <w:rFonts w:ascii="Times New Roman" w:eastAsia="Times New Roman" w:hAnsi="Times New Roman" w:cs="Times New Roman"/>
          <w:sz w:val="24"/>
          <w:szCs w:val="24"/>
        </w:rPr>
      </w:pPr>
    </w:p>
    <w:p w14:paraId="53CB9E25" w14:textId="77777777" w:rsidR="003461C9" w:rsidRDefault="003461C9" w:rsidP="003461C9">
      <w:pPr>
        <w:spacing w:after="160" w:line="257" w:lineRule="auto"/>
        <w:jc w:val="center"/>
        <w:rPr>
          <w:rFonts w:eastAsia="Times New Roman"/>
          <w:b/>
        </w:rPr>
      </w:pPr>
      <w:r w:rsidRPr="4E401BD9">
        <w:rPr>
          <w:rFonts w:eastAsia="Times New Roman"/>
          <w:b/>
          <w:bCs/>
        </w:rPr>
        <w:t>31</w:t>
      </w:r>
      <w:r w:rsidRPr="15DC86CD">
        <w:rPr>
          <w:rFonts w:eastAsia="Times New Roman"/>
          <w:b/>
          <w:bCs/>
        </w:rPr>
        <w:t>.</w:t>
      </w:r>
    </w:p>
    <w:p w14:paraId="457EE428" w14:textId="77777777" w:rsidR="003461C9" w:rsidRDefault="003461C9" w:rsidP="003461C9">
      <w:pPr>
        <w:spacing w:after="160" w:line="257" w:lineRule="auto"/>
        <w:jc w:val="both"/>
        <w:rPr>
          <w:rFonts w:eastAsia="Times New Roman"/>
        </w:rPr>
      </w:pPr>
      <w:r w:rsidRPr="15DC86CD">
        <w:rPr>
          <w:rFonts w:eastAsia="Times New Roman"/>
        </w:rPr>
        <w:t>The Commission finds and concludes that the Demand Side Management Working Group (“DSMWG”) shall continue in its current form and be involved in the development of future DSM programs in the same manner it has operated in past IRP cycles.</w:t>
      </w:r>
      <w:r w:rsidRPr="359B9E61">
        <w:rPr>
          <w:rFonts w:eastAsia="Times New Roman"/>
        </w:rPr>
        <w:t>The DSMWG serves an important role in assisting the Company in the development of its energy efficiency programs and helps ensure that current and pertinent information is being considered by the Company</w:t>
      </w:r>
      <w:r w:rsidRPr="559E692B">
        <w:rPr>
          <w:rFonts w:eastAsia="Times New Roman"/>
        </w:rPr>
        <w:t>.</w:t>
      </w:r>
    </w:p>
    <w:p w14:paraId="3003AFE5" w14:textId="77777777" w:rsidR="003461C9" w:rsidRDefault="003461C9" w:rsidP="003461C9">
      <w:pPr>
        <w:spacing w:after="160" w:line="257" w:lineRule="auto"/>
        <w:jc w:val="center"/>
        <w:rPr>
          <w:rFonts w:eastAsia="Times New Roman"/>
          <w:b/>
        </w:rPr>
      </w:pPr>
      <w:r w:rsidRPr="4E401BD9">
        <w:rPr>
          <w:rFonts w:eastAsia="Times New Roman"/>
          <w:b/>
          <w:bCs/>
        </w:rPr>
        <w:t>32</w:t>
      </w:r>
      <w:r w:rsidRPr="15DC86CD">
        <w:rPr>
          <w:rFonts w:eastAsia="Times New Roman"/>
          <w:b/>
          <w:bCs/>
        </w:rPr>
        <w:t>.</w:t>
      </w:r>
    </w:p>
    <w:p w14:paraId="285D2635" w14:textId="77777777" w:rsidR="00673B36" w:rsidRDefault="003461C9" w:rsidP="00673B36">
      <w:pPr>
        <w:spacing w:after="160" w:line="276" w:lineRule="auto"/>
        <w:jc w:val="both"/>
        <w:rPr>
          <w:rFonts w:eastAsia="Times New Roman"/>
        </w:rPr>
      </w:pPr>
      <w:r w:rsidRPr="15DC86CD">
        <w:rPr>
          <w:rFonts w:eastAsia="Times New Roman"/>
        </w:rPr>
        <w:t xml:space="preserve">The Commission finds and concludes that Geogia Power’s requests for decertification of the Refrigerator Recycling Plus, Residential Specialty Lighting, and Commercial Behavioral programs, approval of Georgia Power’s waiver request for Commission Rule 515-3-4-.04(4)(a)3 for the Residential Home Energy Improvement, Residential Energy Assistance for Savings and Efficiency, and Residential HopeWorks programs, and approval of the amended certificates for the Residential Behavioral, Residential Demand Response, Residential Home Energy </w:t>
      </w:r>
      <w:r w:rsidRPr="15DC86CD">
        <w:rPr>
          <w:rFonts w:eastAsia="Times New Roman"/>
        </w:rPr>
        <w:lastRenderedPageBreak/>
        <w:t xml:space="preserve">Improvement, Residential Energy Assistance for Savings and Efficiency, Residential HopeWorks, Commercial Custom, Commercial Prescriptive, and Small Commercial Direct Install programs is the reasonable and appropriate method to administer the DSM programs. Georgia Power’s proposed Residential Products Program will not be certified. Georgia Power’s waiver request for the Residential Home Energy Improvement, Residential Energy Assistance for Savings and Efficiency, and Residential HopeWorks programs allows for the programs to continue without the burden of passing the economic screening.. </w:t>
      </w:r>
      <w:r w:rsidRPr="6D0C36C1">
        <w:rPr>
          <w:rFonts w:eastAsia="Times New Roman"/>
        </w:rPr>
        <w:t>While the economic screening of the programs may not show benefits to customers in the near term, the programs have demonstrated verified savings and high customer satisfaction in previous years</w:t>
      </w:r>
      <w:r w:rsidRPr="18778F04">
        <w:rPr>
          <w:rFonts w:eastAsia="Times New Roman"/>
        </w:rPr>
        <w:t>.</w:t>
      </w:r>
      <w:r w:rsidRPr="6D0C36C1">
        <w:rPr>
          <w:rFonts w:eastAsia="Times New Roman"/>
        </w:rPr>
        <w:t xml:space="preserve"> </w:t>
      </w:r>
      <w:r w:rsidRPr="15DC86CD">
        <w:rPr>
          <w:rFonts w:eastAsia="Times New Roman"/>
        </w:rPr>
        <w:t xml:space="preserve">Therefore, it is appropriate to grant a </w:t>
      </w:r>
      <w:r w:rsidRPr="74E87F2F">
        <w:rPr>
          <w:rFonts w:eastAsia="Times New Roman"/>
        </w:rPr>
        <w:t>rule waiver</w:t>
      </w:r>
      <w:r w:rsidRPr="15DC86CD">
        <w:rPr>
          <w:rFonts w:eastAsia="Times New Roman"/>
        </w:rPr>
        <w:t xml:space="preserve"> </w:t>
      </w:r>
      <w:r w:rsidRPr="3E292E05">
        <w:rPr>
          <w:rFonts w:eastAsia="Times New Roman"/>
        </w:rPr>
        <w:t>in order to</w:t>
      </w:r>
      <w:r w:rsidRPr="15DC86CD">
        <w:rPr>
          <w:rFonts w:eastAsia="Times New Roman"/>
        </w:rPr>
        <w:t xml:space="preserve"> continue these programs. All amended certificates </w:t>
      </w:r>
      <w:r w:rsidRPr="4B28B1CB">
        <w:rPr>
          <w:rFonts w:eastAsia="Times New Roman"/>
        </w:rPr>
        <w:t xml:space="preserve">include </w:t>
      </w:r>
      <w:r w:rsidRPr="092CE5A1">
        <w:rPr>
          <w:rFonts w:eastAsia="Times New Roman"/>
        </w:rPr>
        <w:t>program economic</w:t>
      </w:r>
      <w:r w:rsidRPr="44154E43">
        <w:rPr>
          <w:rFonts w:eastAsia="Times New Roman"/>
        </w:rPr>
        <w:t xml:space="preserve"> updates </w:t>
      </w:r>
      <w:r w:rsidRPr="38798949">
        <w:rPr>
          <w:rFonts w:eastAsia="Times New Roman"/>
        </w:rPr>
        <w:t>and</w:t>
      </w:r>
      <w:r w:rsidRPr="385D3CE3">
        <w:rPr>
          <w:rFonts w:eastAsia="Times New Roman"/>
        </w:rPr>
        <w:t>/</w:t>
      </w:r>
      <w:r w:rsidRPr="05061706">
        <w:rPr>
          <w:rFonts w:eastAsia="Times New Roman"/>
        </w:rPr>
        <w:t>or</w:t>
      </w:r>
      <w:r w:rsidRPr="38798949">
        <w:rPr>
          <w:rFonts w:eastAsia="Times New Roman"/>
        </w:rPr>
        <w:t xml:space="preserve"> other program </w:t>
      </w:r>
      <w:r w:rsidRPr="467D8AD9">
        <w:rPr>
          <w:rFonts w:eastAsia="Times New Roman"/>
        </w:rPr>
        <w:t>design changes</w:t>
      </w:r>
      <w:r w:rsidRPr="23EE9DF0">
        <w:rPr>
          <w:rFonts w:eastAsia="Times New Roman"/>
        </w:rPr>
        <w:t>.</w:t>
      </w:r>
    </w:p>
    <w:p w14:paraId="187FA41C" w14:textId="4B76D1D8" w:rsidR="003461C9" w:rsidRDefault="003461C9" w:rsidP="00673B36">
      <w:pPr>
        <w:spacing w:after="160" w:line="276" w:lineRule="auto"/>
        <w:jc w:val="center"/>
        <w:rPr>
          <w:rFonts w:eastAsia="Times New Roman"/>
          <w:b/>
        </w:rPr>
      </w:pPr>
      <w:r w:rsidRPr="4E401BD9">
        <w:rPr>
          <w:rFonts w:eastAsia="Times New Roman"/>
          <w:b/>
          <w:bCs/>
        </w:rPr>
        <w:t>33</w:t>
      </w:r>
      <w:r w:rsidRPr="15DC86CD">
        <w:rPr>
          <w:rFonts w:eastAsia="Times New Roman"/>
          <w:b/>
          <w:bCs/>
        </w:rPr>
        <w:t>.</w:t>
      </w:r>
    </w:p>
    <w:p w14:paraId="73C77752" w14:textId="77777777" w:rsidR="003461C9" w:rsidRDefault="003461C9" w:rsidP="003461C9">
      <w:pPr>
        <w:spacing w:after="160" w:line="257" w:lineRule="auto"/>
        <w:jc w:val="both"/>
      </w:pPr>
      <w:r w:rsidRPr="15DC86CD">
        <w:rPr>
          <w:rFonts w:eastAsia="Times New Roman"/>
        </w:rPr>
        <w:t>The Commission finds and concludes that continuing the Automated Benchmarking Tool (“ABT”) for the 2026-2028 program cycle as approved in the past two IRPs will provide benefits to customers at a preapproved cost of no more than $600,000. The ABT provides a service to building owners that is otherwise unavailable and allows the building owner to better understand and manage the energy usage in their buildings.</w:t>
      </w:r>
    </w:p>
    <w:p w14:paraId="46398AFC" w14:textId="77777777" w:rsidR="003461C9" w:rsidRDefault="003461C9" w:rsidP="003461C9">
      <w:pPr>
        <w:spacing w:after="160" w:line="257" w:lineRule="auto"/>
        <w:jc w:val="center"/>
        <w:rPr>
          <w:rFonts w:eastAsia="Times New Roman"/>
          <w:b/>
        </w:rPr>
      </w:pPr>
      <w:r w:rsidRPr="4E401BD9">
        <w:rPr>
          <w:rFonts w:eastAsia="Times New Roman"/>
          <w:b/>
          <w:bCs/>
        </w:rPr>
        <w:t>34</w:t>
      </w:r>
      <w:r w:rsidRPr="15DC86CD">
        <w:rPr>
          <w:rFonts w:eastAsia="Times New Roman"/>
          <w:b/>
          <w:bCs/>
        </w:rPr>
        <w:t>.</w:t>
      </w:r>
    </w:p>
    <w:p w14:paraId="2895CBAD" w14:textId="77777777" w:rsidR="003461C9" w:rsidRDefault="003461C9" w:rsidP="003461C9">
      <w:pPr>
        <w:spacing w:after="240"/>
        <w:jc w:val="both"/>
        <w:rPr>
          <w:rFonts w:eastAsia="Times New Roman"/>
        </w:rPr>
      </w:pPr>
      <w:r w:rsidRPr="15DC86CD">
        <w:rPr>
          <w:rFonts w:eastAsia="Times New Roman"/>
        </w:rPr>
        <w:t xml:space="preserve">The Commission finds and concludes that Georgia Power will implement Staff’s Recommended Case for the 2026 through 2028 IRP cycle. Staff’s Recommended Case energy savings targets in Staff Exhibit_BCS-9 of the Direct Testimony of Jamie Barber, Nick Cooper, and Richard F. Spellman shall be approved. </w:t>
      </w:r>
      <w:r w:rsidRPr="3EFDDD71">
        <w:rPr>
          <w:rFonts w:eastAsia="Times New Roman"/>
        </w:rPr>
        <w:t>In the development of Staff’s Recommended Case, Staff conducted a thorough review of all the Cases modeled and presented by the Company in its filings. Staff designed a Case that seeks to increase the energy and demand savings goals outlined in the Company’s Proposed Capacity and Affordability Case while being mindful of past DSM program performance and approved budgets. Staff’s Recommended Case consists of five Residential programs and three Commercial programs</w:t>
      </w:r>
      <w:r w:rsidRPr="10FA9050">
        <w:rPr>
          <w:rFonts w:eastAsia="Times New Roman"/>
        </w:rPr>
        <w:t>.</w:t>
      </w:r>
      <w:r>
        <w:rPr>
          <w:rFonts w:eastAsia="Times New Roman"/>
        </w:rPr>
        <w:t xml:space="preserve"> </w:t>
      </w:r>
    </w:p>
    <w:p w14:paraId="15B3756E" w14:textId="77777777" w:rsidR="003461C9" w:rsidRDefault="003461C9" w:rsidP="003461C9">
      <w:pPr>
        <w:spacing w:after="240"/>
        <w:jc w:val="both"/>
        <w:rPr>
          <w:rFonts w:eastAsia="Times New Roman"/>
        </w:rPr>
      </w:pPr>
      <w:r w:rsidRPr="64A9397A">
        <w:rPr>
          <w:rFonts w:eastAsia="Times New Roman"/>
        </w:rPr>
        <w:t xml:space="preserve">For Staff’s Recommended Case, the MWh savings are increased for the Residential programs by 44.1 GWh per year and 149.7 GWh per year for Commercial programs in comparison to the Company’s Proposed Capacity and Affordability Case. </w:t>
      </w:r>
    </w:p>
    <w:p w14:paraId="20ACBEAD" w14:textId="77777777" w:rsidR="003461C9" w:rsidRDefault="003461C9" w:rsidP="003461C9">
      <w:pPr>
        <w:spacing w:after="160" w:line="257" w:lineRule="auto"/>
        <w:jc w:val="center"/>
        <w:rPr>
          <w:rFonts w:eastAsia="Times New Roman"/>
          <w:b/>
        </w:rPr>
      </w:pPr>
      <w:r w:rsidRPr="4E401BD9">
        <w:rPr>
          <w:rFonts w:eastAsia="Times New Roman"/>
          <w:b/>
          <w:bCs/>
        </w:rPr>
        <w:t>35</w:t>
      </w:r>
      <w:r w:rsidRPr="15DC86CD">
        <w:rPr>
          <w:rFonts w:eastAsia="Times New Roman"/>
          <w:b/>
          <w:bCs/>
        </w:rPr>
        <w:t>.</w:t>
      </w:r>
    </w:p>
    <w:p w14:paraId="1E1BB1CA" w14:textId="77777777" w:rsidR="003461C9" w:rsidRDefault="003461C9" w:rsidP="003461C9">
      <w:pPr>
        <w:spacing w:after="160" w:line="257" w:lineRule="auto"/>
        <w:jc w:val="both"/>
        <w:rPr>
          <w:rFonts w:eastAsia="Times New Roman"/>
        </w:rPr>
      </w:pPr>
      <w:r w:rsidRPr="15DC86CD">
        <w:rPr>
          <w:rFonts w:eastAsia="Times New Roman"/>
        </w:rPr>
        <w:t>Staff’s Recommended Case program and other DSM related activities budgets as provided in Staff Exhibit_BCS-10 of the Direct Testimony of Jamie Barber, Nick Cooper, and Richard F. Spellman shall be approved.</w:t>
      </w:r>
      <w:r w:rsidRPr="375764E6">
        <w:rPr>
          <w:rFonts w:eastAsia="Times New Roman"/>
        </w:rPr>
        <w:t xml:space="preserve"> </w:t>
      </w:r>
      <w:r w:rsidRPr="009A2103">
        <w:rPr>
          <w:rFonts w:eastAsia="Times New Roman"/>
        </w:rPr>
        <w:t xml:space="preserve"> In the development of the budgets for Staff’s Recommended Case, Staff conducted a thorough review of the budgets of all Cases modeled and presented, as well as the Company’s historical spending. Regarding the incentive portion of Staff’s Recommended budget, Staff reduced the incentive budgets for most programs based on a rigorous analysis of the </w:t>
      </w:r>
      <w:r w:rsidRPr="009A2103">
        <w:rPr>
          <w:rFonts w:eastAsia="Times New Roman"/>
        </w:rPr>
        <w:lastRenderedPageBreak/>
        <w:t>Company’s historical and approved DSM spending and kWh savings. Staff adjusted the non-incentive costs by program and category, including Administration, Marketing, and Implementation, to reflect whether the DSM Program was growing or contracting in comparison to the Company’s Capacity and Affordability Case. Staff’s proposed non-incentive budgets have a much lower cost per first-year kWh saved than the non-incentive budgets proposed in the Company’s Proposed Case and the Company’s Capacity and Affordability Case. Staff’s Recommended Case budget also includes increased costs due to inflation and increases in energy savings targets, as compared to the 2023 to 2025 program cycle.</w:t>
      </w:r>
      <w:r w:rsidRPr="061FC895">
        <w:rPr>
          <w:rFonts w:eastAsia="Times New Roman"/>
        </w:rPr>
        <w:t xml:space="preserve"> Staff’s Recommended Case costs $0.275 per first-year kWh saved compared to $0.387 per first-year kWh saved for the Company’s Capacity and Affordability Case. </w:t>
      </w:r>
    </w:p>
    <w:p w14:paraId="27805C0A" w14:textId="77777777" w:rsidR="003461C9" w:rsidRDefault="003461C9" w:rsidP="003461C9">
      <w:pPr>
        <w:spacing w:after="160" w:line="257" w:lineRule="auto"/>
        <w:jc w:val="center"/>
      </w:pPr>
      <w:r w:rsidRPr="4E401BD9">
        <w:rPr>
          <w:rFonts w:eastAsia="Times New Roman"/>
          <w:b/>
          <w:bCs/>
        </w:rPr>
        <w:t>36</w:t>
      </w:r>
      <w:r w:rsidRPr="15DC86CD">
        <w:rPr>
          <w:rFonts w:eastAsia="Times New Roman"/>
          <w:b/>
          <w:bCs/>
        </w:rPr>
        <w:t>.</w:t>
      </w:r>
    </w:p>
    <w:p w14:paraId="0257B451" w14:textId="77777777" w:rsidR="003461C9" w:rsidRDefault="003461C9" w:rsidP="003461C9">
      <w:pPr>
        <w:spacing w:after="160" w:line="257" w:lineRule="auto"/>
        <w:jc w:val="both"/>
        <w:rPr>
          <w:rFonts w:eastAsia="Times New Roman"/>
        </w:rPr>
      </w:pPr>
      <w:r w:rsidRPr="15DC86CD">
        <w:rPr>
          <w:rFonts w:eastAsia="Times New Roman"/>
        </w:rPr>
        <w:t xml:space="preserve">The Commission finds that it is reasonable and appropriate to continue the educational feature of the Demand Side Plan. </w:t>
      </w:r>
      <w:r w:rsidRPr="39880146">
        <w:rPr>
          <w:rFonts w:eastAsia="Times New Roman"/>
        </w:rPr>
        <w:t xml:space="preserve">The Learning Power program began in July 2011 and is an energy efficiency education program for students in grades K-12. In the 2016 IRP and DSM Certification Final Order, an annual budget of $3 million was approved. In the 2019 IRP and DSM Certification Final Order, the annual budget for the Learning Power program was increased to $4 million. </w:t>
      </w:r>
      <w:r w:rsidRPr="15DC86CD">
        <w:rPr>
          <w:rFonts w:eastAsia="Times New Roman"/>
        </w:rPr>
        <w:t xml:space="preserve">Therefore, the Commission concludes that the education initiative, Learning Power, will continue with a $4 million annual budget for 2026-2028.  </w:t>
      </w:r>
    </w:p>
    <w:p w14:paraId="79AD423E" w14:textId="77777777" w:rsidR="003461C9" w:rsidRDefault="003461C9" w:rsidP="003461C9">
      <w:pPr>
        <w:spacing w:after="160" w:line="257" w:lineRule="auto"/>
        <w:ind w:left="720" w:hanging="720"/>
        <w:jc w:val="center"/>
      </w:pPr>
      <w:r w:rsidRPr="4E401BD9">
        <w:rPr>
          <w:rFonts w:eastAsia="Times New Roman"/>
          <w:b/>
          <w:bCs/>
        </w:rPr>
        <w:t>37</w:t>
      </w:r>
      <w:r w:rsidRPr="15DC86CD">
        <w:rPr>
          <w:rFonts w:eastAsia="Times New Roman"/>
          <w:b/>
          <w:bCs/>
        </w:rPr>
        <w:t>.</w:t>
      </w:r>
    </w:p>
    <w:p w14:paraId="06D334EC" w14:textId="77777777" w:rsidR="003461C9" w:rsidRDefault="003461C9" w:rsidP="003461C9">
      <w:pPr>
        <w:spacing w:after="160" w:line="257" w:lineRule="auto"/>
        <w:jc w:val="both"/>
      </w:pPr>
      <w:r w:rsidRPr="15DC86CD">
        <w:rPr>
          <w:rFonts w:eastAsia="Times New Roman"/>
        </w:rPr>
        <w:t>The Commission finds and concludes that the annual Residential and Commercial Energy Efficiency Consumer Awareness budgets of $4.5 million and $1.1 million, respectively for the period of 2026-2028 is appropriate. These amounts are the same as approved in the 2022 IRP and will allow the outreach spending to remain at its current level.</w:t>
      </w:r>
    </w:p>
    <w:p w14:paraId="6FA1F79B" w14:textId="77777777" w:rsidR="003461C9" w:rsidRDefault="003461C9" w:rsidP="003461C9">
      <w:pPr>
        <w:spacing w:after="160" w:line="257" w:lineRule="auto"/>
        <w:ind w:left="720" w:hanging="720"/>
        <w:jc w:val="center"/>
      </w:pPr>
      <w:r w:rsidRPr="4E401BD9">
        <w:rPr>
          <w:rFonts w:eastAsia="Times New Roman"/>
          <w:b/>
          <w:bCs/>
        </w:rPr>
        <w:t>38</w:t>
      </w:r>
      <w:r w:rsidRPr="15DC86CD">
        <w:rPr>
          <w:rFonts w:eastAsia="Times New Roman"/>
          <w:b/>
          <w:bCs/>
        </w:rPr>
        <w:t>.</w:t>
      </w:r>
    </w:p>
    <w:p w14:paraId="33A4E627" w14:textId="77777777" w:rsidR="003461C9" w:rsidRDefault="003461C9" w:rsidP="003461C9">
      <w:pPr>
        <w:spacing w:after="160" w:line="257" w:lineRule="auto"/>
        <w:jc w:val="both"/>
      </w:pPr>
      <w:r w:rsidRPr="15DC86CD">
        <w:rPr>
          <w:rFonts w:eastAsia="Times New Roman"/>
        </w:rPr>
        <w:t>The Commission finds and concludes that the DSM pilot budget shall be $3 million per year. This amount shall be split evenly between the Residential and Commercial classes. The Commission further finds that Georgia Power shall seek Staff’s input regarding any proposed pilots before they are implemented and throughout the pilot.</w:t>
      </w:r>
    </w:p>
    <w:p w14:paraId="581E2EEC" w14:textId="77777777" w:rsidR="003461C9" w:rsidRDefault="003461C9" w:rsidP="003461C9">
      <w:pPr>
        <w:spacing w:after="160" w:line="257" w:lineRule="auto"/>
        <w:jc w:val="center"/>
      </w:pPr>
      <w:r w:rsidRPr="4E401BD9">
        <w:rPr>
          <w:rFonts w:eastAsia="Times New Roman"/>
          <w:b/>
          <w:bCs/>
        </w:rPr>
        <w:t>39</w:t>
      </w:r>
      <w:r w:rsidRPr="15DC86CD">
        <w:rPr>
          <w:rFonts w:eastAsia="Times New Roman"/>
          <w:b/>
          <w:bCs/>
        </w:rPr>
        <w:t>.</w:t>
      </w:r>
    </w:p>
    <w:p w14:paraId="18FAFBE3" w14:textId="77777777" w:rsidR="003461C9" w:rsidRDefault="003461C9" w:rsidP="003461C9">
      <w:pPr>
        <w:spacing w:after="160" w:line="257" w:lineRule="auto"/>
        <w:jc w:val="both"/>
      </w:pPr>
      <w:r w:rsidRPr="15DC86CD">
        <w:rPr>
          <w:rFonts w:eastAsia="Times New Roman"/>
        </w:rPr>
        <w:t xml:space="preserve">The Commission finds and concludes that the currently approved methodology for the DSM additional sum mechanism shall continue at 9.5% of shared savings except for Residential income-qualified programs. The Commission further finds that the additional sum shall continue to be based on net energy savings rather than gross energy savings. For residential income-qualified programs, the additional sum will be based on $.02 per first-year kilowatt hour (“kWh”) saved, based on net savings. This methodology balances the benefits of the DSM programs between customers and Georgia Power while providing an appropriate incentive for the Company to continue offering certain Residential Programs. </w:t>
      </w:r>
    </w:p>
    <w:p w14:paraId="6F9DF95F" w14:textId="77777777" w:rsidR="003461C9" w:rsidRDefault="003461C9" w:rsidP="003461C9">
      <w:pPr>
        <w:spacing w:after="160" w:line="257" w:lineRule="auto"/>
        <w:ind w:left="720" w:hanging="720"/>
        <w:jc w:val="center"/>
        <w:rPr>
          <w:rFonts w:eastAsia="Times New Roman"/>
          <w:b/>
        </w:rPr>
      </w:pPr>
      <w:r w:rsidRPr="2655FAF5">
        <w:rPr>
          <w:rFonts w:eastAsia="Times New Roman"/>
          <w:b/>
          <w:bCs/>
        </w:rPr>
        <w:lastRenderedPageBreak/>
        <w:t>40</w:t>
      </w:r>
      <w:r w:rsidRPr="15DC86CD">
        <w:rPr>
          <w:rFonts w:eastAsia="Times New Roman"/>
          <w:b/>
          <w:bCs/>
        </w:rPr>
        <w:t>.</w:t>
      </w:r>
    </w:p>
    <w:p w14:paraId="1A749D69" w14:textId="188F97D2" w:rsidR="003461C9" w:rsidRDefault="003461C9" w:rsidP="003461C9">
      <w:pPr>
        <w:spacing w:after="160" w:line="257" w:lineRule="auto"/>
        <w:jc w:val="both"/>
      </w:pPr>
      <w:r w:rsidRPr="15DC86CD">
        <w:rPr>
          <w:rFonts w:eastAsia="Times New Roman"/>
        </w:rPr>
        <w:t xml:space="preserve">The Commission finds and concludes that once Georgia Power selects program implementers and program plans are developed, that these plans shall be provided to PIA Staff for review and input prior to the implementation of the corresponding programs. </w:t>
      </w:r>
      <w:r w:rsidRPr="1688BE37">
        <w:rPr>
          <w:rFonts w:eastAsia="Times New Roman"/>
        </w:rPr>
        <w:t xml:space="preserve">The Commission finds </w:t>
      </w:r>
      <w:r w:rsidRPr="71433937">
        <w:rPr>
          <w:rFonts w:eastAsia="Times New Roman"/>
        </w:rPr>
        <w:t>that</w:t>
      </w:r>
      <w:r w:rsidR="00673B36">
        <w:rPr>
          <w:rFonts w:eastAsia="Times New Roman"/>
        </w:rPr>
        <w:t xml:space="preserve"> </w:t>
      </w:r>
      <w:r w:rsidRPr="71433937">
        <w:rPr>
          <w:rFonts w:eastAsia="Times New Roman"/>
        </w:rPr>
        <w:t>it</w:t>
      </w:r>
      <w:r w:rsidRPr="15DC86CD">
        <w:rPr>
          <w:rFonts w:eastAsia="Times New Roman"/>
        </w:rPr>
        <w:t xml:space="preserve"> is appropriate that PIA Staff has the opportunity to review these plans prior to the implementation of the respective DSM Program. The Commission further finds that Georgia Power shall provide PIA Staff with at least 15 days of review of the Final Program Plans.</w:t>
      </w:r>
    </w:p>
    <w:p w14:paraId="06C78E34" w14:textId="77777777" w:rsidR="003461C9" w:rsidRDefault="003461C9" w:rsidP="003461C9">
      <w:pPr>
        <w:spacing w:after="160" w:line="257" w:lineRule="auto"/>
        <w:ind w:left="720" w:hanging="720"/>
        <w:jc w:val="center"/>
        <w:rPr>
          <w:rFonts w:eastAsia="Times New Roman"/>
          <w:b/>
        </w:rPr>
      </w:pPr>
      <w:r w:rsidRPr="2655FAF5">
        <w:rPr>
          <w:rFonts w:eastAsia="Times New Roman"/>
          <w:b/>
          <w:bCs/>
        </w:rPr>
        <w:t>41</w:t>
      </w:r>
      <w:r w:rsidRPr="15DC86CD">
        <w:rPr>
          <w:rFonts w:eastAsia="Times New Roman"/>
          <w:b/>
          <w:bCs/>
        </w:rPr>
        <w:t>.</w:t>
      </w:r>
    </w:p>
    <w:p w14:paraId="30A71830" w14:textId="37D107DD" w:rsidR="003461C9" w:rsidRDefault="003461C9" w:rsidP="003461C9">
      <w:pPr>
        <w:spacing w:after="160" w:line="257" w:lineRule="auto"/>
        <w:jc w:val="both"/>
        <w:rPr>
          <w:rFonts w:eastAsia="Times New Roman"/>
        </w:rPr>
      </w:pPr>
      <w:r w:rsidRPr="15DC86CD">
        <w:rPr>
          <w:rFonts w:eastAsia="Times New Roman"/>
        </w:rPr>
        <w:t xml:space="preserve">The Commission finds and concludes that the current DSM true-up process shall continue, including not allowing the rollover of unspent annual budget dollars or unrealized savings targets. Additional details of actual incentive and non-incentive costs compared with budgeted costs for each program will be provided in the true-up filing. </w:t>
      </w:r>
      <w:r w:rsidRPr="3A328AF7">
        <w:rPr>
          <w:rFonts w:eastAsia="Times New Roman"/>
        </w:rPr>
        <w:t xml:space="preserve">The Commission finds </w:t>
      </w:r>
      <w:r w:rsidRPr="0B6E06C6">
        <w:rPr>
          <w:rFonts w:eastAsia="Times New Roman"/>
        </w:rPr>
        <w:t>that</w:t>
      </w:r>
      <w:r w:rsidRPr="4521AC72">
        <w:rPr>
          <w:rFonts w:eastAsia="Times New Roman"/>
        </w:rPr>
        <w:t xml:space="preserve"> </w:t>
      </w:r>
      <w:r w:rsidRPr="15DC86CD">
        <w:rPr>
          <w:rFonts w:eastAsia="Times New Roman"/>
        </w:rPr>
        <w:t>the True-up filing</w:t>
      </w:r>
      <w:r w:rsidRPr="7E64B8AF">
        <w:rPr>
          <w:rFonts w:eastAsia="Times New Roman"/>
        </w:rPr>
        <w:t xml:space="preserve">, </w:t>
      </w:r>
      <w:r w:rsidRPr="2AF9BD2F">
        <w:rPr>
          <w:rFonts w:eastAsia="Times New Roman"/>
        </w:rPr>
        <w:t xml:space="preserve">in </w:t>
      </w:r>
      <w:r w:rsidRPr="34143FF4">
        <w:rPr>
          <w:rFonts w:eastAsia="Times New Roman"/>
        </w:rPr>
        <w:t>202</w:t>
      </w:r>
      <w:r w:rsidR="00A26EB7">
        <w:rPr>
          <w:rFonts w:eastAsia="Times New Roman"/>
        </w:rPr>
        <w:t>8</w:t>
      </w:r>
      <w:r w:rsidRPr="2AF9BD2F">
        <w:rPr>
          <w:rFonts w:eastAsia="Times New Roman"/>
        </w:rPr>
        <w:t>,</w:t>
      </w:r>
      <w:r w:rsidRPr="15DC86CD">
        <w:rPr>
          <w:rFonts w:eastAsia="Times New Roman"/>
        </w:rPr>
        <w:t xml:space="preserve"> will include details for non-incentive costs including the categories of Administration, Delivery (Implementation) and Marketing. </w:t>
      </w:r>
      <w:r w:rsidRPr="68361EED">
        <w:rPr>
          <w:rFonts w:eastAsia="Times New Roman"/>
        </w:rPr>
        <w:t xml:space="preserve">This information will assist Staff to better understand specific program spending and be able to track these key program metrics.  </w:t>
      </w:r>
      <w:r w:rsidRPr="0A50EB23">
        <w:rPr>
          <w:rFonts w:eastAsia="Times New Roman"/>
        </w:rPr>
        <w:t>The</w:t>
      </w:r>
      <w:r w:rsidRPr="15DC86CD">
        <w:rPr>
          <w:rFonts w:eastAsia="Times New Roman"/>
        </w:rPr>
        <w:t xml:space="preserve"> true-up process has been successful for several years and provides protection for customers that any unspent budget dollars will be refunded.</w:t>
      </w:r>
    </w:p>
    <w:p w14:paraId="1557C53A" w14:textId="77777777" w:rsidR="003461C9" w:rsidRDefault="003461C9" w:rsidP="003461C9">
      <w:pPr>
        <w:spacing w:after="160" w:line="257" w:lineRule="auto"/>
        <w:jc w:val="center"/>
        <w:rPr>
          <w:rFonts w:eastAsia="Times New Roman"/>
          <w:b/>
        </w:rPr>
      </w:pPr>
      <w:r w:rsidRPr="2655FAF5">
        <w:rPr>
          <w:rFonts w:eastAsia="Times New Roman"/>
          <w:b/>
          <w:bCs/>
        </w:rPr>
        <w:t>42</w:t>
      </w:r>
      <w:r w:rsidRPr="15DC86CD">
        <w:rPr>
          <w:rFonts w:eastAsia="Times New Roman"/>
          <w:b/>
          <w:bCs/>
        </w:rPr>
        <w:t>.</w:t>
      </w:r>
    </w:p>
    <w:p w14:paraId="6336091A" w14:textId="77777777" w:rsidR="003461C9" w:rsidRDefault="003461C9" w:rsidP="003461C9">
      <w:pPr>
        <w:spacing w:after="160" w:line="257" w:lineRule="auto"/>
        <w:jc w:val="both"/>
        <w:rPr>
          <w:rFonts w:eastAsia="Times New Roman"/>
        </w:rPr>
      </w:pPr>
      <w:r w:rsidRPr="15DC86CD">
        <w:rPr>
          <w:rFonts w:eastAsia="Times New Roman"/>
        </w:rPr>
        <w:t xml:space="preserve">The Commission finds and concludes that the three-year program </w:t>
      </w:r>
      <w:r w:rsidRPr="15472CF3">
        <w:rPr>
          <w:rFonts w:eastAsia="Times New Roman"/>
        </w:rPr>
        <w:t>Evaluation Measurement and Verification (“</w:t>
      </w:r>
      <w:r w:rsidRPr="15DC86CD">
        <w:rPr>
          <w:rFonts w:eastAsia="Times New Roman"/>
        </w:rPr>
        <w:t>EM&amp;V</w:t>
      </w:r>
      <w:r w:rsidRPr="15472CF3">
        <w:rPr>
          <w:rFonts w:eastAsia="Times New Roman"/>
        </w:rPr>
        <w:t>”)</w:t>
      </w:r>
      <w:r w:rsidRPr="15DC86CD">
        <w:rPr>
          <w:rFonts w:eastAsia="Times New Roman"/>
        </w:rPr>
        <w:t xml:space="preserve"> cycle shall continue from 2026-2028. The EM&amp;V process provides Staff and Georgia Power valuable feedback for all programs. The timeline for research, filing of reports, and implementation of results the reports allows for proper oversight of the programs and provides sufficient time to determine what, if any, adjustments need to be made to the programs for the next program cycle. </w:t>
      </w:r>
    </w:p>
    <w:p w14:paraId="2B080BC7" w14:textId="77777777" w:rsidR="003461C9" w:rsidRDefault="003461C9" w:rsidP="003461C9">
      <w:pPr>
        <w:spacing w:after="160" w:line="257" w:lineRule="auto"/>
        <w:ind w:left="720" w:hanging="720"/>
        <w:jc w:val="center"/>
        <w:rPr>
          <w:rFonts w:eastAsia="Times New Roman"/>
          <w:b/>
        </w:rPr>
      </w:pPr>
      <w:r w:rsidRPr="2655FAF5">
        <w:rPr>
          <w:rFonts w:eastAsia="Times New Roman"/>
          <w:b/>
          <w:bCs/>
        </w:rPr>
        <w:t>43</w:t>
      </w:r>
      <w:r w:rsidRPr="15DC86CD">
        <w:rPr>
          <w:rFonts w:eastAsia="Times New Roman"/>
          <w:b/>
          <w:bCs/>
        </w:rPr>
        <w:t>.</w:t>
      </w:r>
    </w:p>
    <w:p w14:paraId="6EB8A942" w14:textId="77777777" w:rsidR="003461C9" w:rsidRDefault="003461C9" w:rsidP="003461C9">
      <w:pPr>
        <w:spacing w:after="160" w:line="257" w:lineRule="auto"/>
        <w:jc w:val="both"/>
      </w:pPr>
      <w:r w:rsidRPr="15DC86CD">
        <w:rPr>
          <w:rFonts w:eastAsia="Times New Roman"/>
        </w:rPr>
        <w:t>The Commission finds and concludes that the 2024 EM&amp;V results shall be used as recommended by the independent program evaluators.</w:t>
      </w:r>
    </w:p>
    <w:p w14:paraId="3D422C42" w14:textId="77777777" w:rsidR="003461C9" w:rsidRDefault="003461C9" w:rsidP="003461C9">
      <w:pPr>
        <w:spacing w:after="160" w:line="257" w:lineRule="auto"/>
        <w:jc w:val="center"/>
        <w:rPr>
          <w:rFonts w:eastAsia="Times New Roman"/>
          <w:b/>
        </w:rPr>
      </w:pPr>
      <w:r w:rsidRPr="2655FAF5">
        <w:rPr>
          <w:rFonts w:eastAsia="Times New Roman"/>
          <w:b/>
          <w:bCs/>
        </w:rPr>
        <w:t>44</w:t>
      </w:r>
      <w:r w:rsidRPr="15DC86CD">
        <w:rPr>
          <w:rFonts w:eastAsia="Times New Roman"/>
          <w:b/>
          <w:bCs/>
        </w:rPr>
        <w:t>.</w:t>
      </w:r>
    </w:p>
    <w:p w14:paraId="2EA8AD61" w14:textId="77777777" w:rsidR="003461C9" w:rsidRDefault="003461C9" w:rsidP="003461C9">
      <w:pPr>
        <w:spacing w:after="160" w:line="257" w:lineRule="auto"/>
        <w:jc w:val="both"/>
      </w:pPr>
      <w:r w:rsidRPr="15DC86CD">
        <w:rPr>
          <w:rFonts w:eastAsia="Times New Roman"/>
        </w:rPr>
        <w:t xml:space="preserve">The Commission finds and concludes that Georgia Power shall evaluate income-qualified savings in a manner consistent with the remainder of the Residential sector to confirm whether assuming a 100% Net-To-Gross (“NTG”) ratio for income-qualified programs is appropriate. It is not appropriate to assume a 100% NTG without a rigorous evaluation. </w:t>
      </w:r>
    </w:p>
    <w:p w14:paraId="18102E12" w14:textId="77777777" w:rsidR="003461C9" w:rsidRDefault="003461C9" w:rsidP="003461C9">
      <w:pPr>
        <w:spacing w:after="160" w:line="257" w:lineRule="auto"/>
        <w:ind w:left="720" w:hanging="720"/>
        <w:jc w:val="center"/>
        <w:rPr>
          <w:rFonts w:eastAsia="Times New Roman"/>
          <w:b/>
        </w:rPr>
      </w:pPr>
      <w:r w:rsidRPr="2655FAF5">
        <w:rPr>
          <w:rFonts w:eastAsia="Times New Roman"/>
          <w:b/>
          <w:bCs/>
        </w:rPr>
        <w:t>45</w:t>
      </w:r>
      <w:r w:rsidRPr="15DC86CD">
        <w:rPr>
          <w:rFonts w:eastAsia="Times New Roman"/>
          <w:b/>
          <w:bCs/>
        </w:rPr>
        <w:t>.</w:t>
      </w:r>
    </w:p>
    <w:p w14:paraId="3FC4151F" w14:textId="77777777" w:rsidR="003461C9" w:rsidRDefault="003461C9" w:rsidP="003461C9">
      <w:pPr>
        <w:spacing w:after="160" w:line="257" w:lineRule="auto"/>
        <w:jc w:val="both"/>
      </w:pPr>
      <w:r w:rsidRPr="15DC86CD">
        <w:rPr>
          <w:rFonts w:eastAsia="Times New Roman"/>
        </w:rPr>
        <w:t xml:space="preserve">The Commission finds and concludes that the current policy to implement the EM&amp;V results in the first year of the next IRP cycle will continue by using the 2024 EM&amp;V results as the basis for </w:t>
      </w:r>
      <w:r w:rsidRPr="15DC86CD">
        <w:rPr>
          <w:rFonts w:eastAsia="Times New Roman"/>
        </w:rPr>
        <w:lastRenderedPageBreak/>
        <w:t xml:space="preserve">DSM measures and program savings for the 2026-2028 cycle. Georgia Power </w:t>
      </w:r>
      <w:r w:rsidRPr="70A4031C">
        <w:rPr>
          <w:rFonts w:eastAsia="Times New Roman"/>
        </w:rPr>
        <w:t>shall</w:t>
      </w:r>
      <w:r w:rsidRPr="15DC86CD">
        <w:rPr>
          <w:rFonts w:eastAsia="Times New Roman"/>
        </w:rPr>
        <w:t xml:space="preserve"> implement new EM&amp;V results in the first year of the next IRP cycle in 2029.</w:t>
      </w:r>
    </w:p>
    <w:p w14:paraId="606B2305" w14:textId="77777777" w:rsidR="003461C9" w:rsidRDefault="003461C9" w:rsidP="003461C9">
      <w:pPr>
        <w:spacing w:after="160" w:line="257" w:lineRule="auto"/>
        <w:jc w:val="center"/>
        <w:rPr>
          <w:rFonts w:eastAsia="Times New Roman"/>
          <w:b/>
        </w:rPr>
      </w:pPr>
      <w:r w:rsidRPr="2655FAF5">
        <w:rPr>
          <w:rFonts w:eastAsia="Times New Roman"/>
          <w:b/>
          <w:bCs/>
        </w:rPr>
        <w:t>46</w:t>
      </w:r>
      <w:r w:rsidRPr="15DC86CD">
        <w:rPr>
          <w:rFonts w:eastAsia="Times New Roman"/>
          <w:b/>
          <w:bCs/>
        </w:rPr>
        <w:t>.</w:t>
      </w:r>
    </w:p>
    <w:p w14:paraId="092B7214" w14:textId="77777777" w:rsidR="003461C9" w:rsidRDefault="003461C9" w:rsidP="003461C9">
      <w:pPr>
        <w:spacing w:after="240"/>
        <w:jc w:val="both"/>
      </w:pPr>
      <w:r w:rsidRPr="15DC86CD">
        <w:rPr>
          <w:rFonts w:eastAsia="Times New Roman"/>
        </w:rPr>
        <w:t>The Commission finds and concludes that if EM&amp;V findings or results show errors with reporting of program or measure kWh and kW savings or costs during the program cycle, such errors will be immediately corrected for the reporting of results in the next program cycle. This provision will ensure programs are administrated appropriately and provide proper accounting of all savings.</w:t>
      </w:r>
    </w:p>
    <w:p w14:paraId="62C41506" w14:textId="77777777" w:rsidR="003461C9" w:rsidRDefault="003461C9" w:rsidP="003461C9">
      <w:pPr>
        <w:spacing w:after="160" w:line="257" w:lineRule="auto"/>
        <w:jc w:val="center"/>
        <w:rPr>
          <w:rFonts w:eastAsia="Times New Roman"/>
          <w:b/>
        </w:rPr>
      </w:pPr>
      <w:r w:rsidRPr="2655FAF5">
        <w:rPr>
          <w:rFonts w:eastAsia="Times New Roman"/>
          <w:b/>
          <w:bCs/>
        </w:rPr>
        <w:t>47</w:t>
      </w:r>
      <w:r w:rsidRPr="15DC86CD">
        <w:rPr>
          <w:rFonts w:eastAsia="Times New Roman"/>
          <w:b/>
          <w:bCs/>
        </w:rPr>
        <w:t>.</w:t>
      </w:r>
    </w:p>
    <w:p w14:paraId="17676405" w14:textId="77777777" w:rsidR="003461C9" w:rsidRDefault="003461C9" w:rsidP="003461C9">
      <w:pPr>
        <w:jc w:val="both"/>
      </w:pPr>
      <w:r w:rsidRPr="15DC86CD">
        <w:rPr>
          <w:rFonts w:eastAsia="Times New Roman"/>
        </w:rPr>
        <w:t xml:space="preserve">The Commission finds and concludes that Georgia Power will use the NTG ratios from the 2024 EM&amp;V report for the 2026-2028 program cycle as referenced in Staff Exhibit STF-BCS-13. </w:t>
      </w:r>
    </w:p>
    <w:p w14:paraId="7474C950" w14:textId="77777777" w:rsidR="003461C9" w:rsidRDefault="003461C9" w:rsidP="003461C9">
      <w:pPr>
        <w:spacing w:after="160" w:line="257" w:lineRule="auto"/>
      </w:pPr>
      <w:r w:rsidRPr="15DC86CD">
        <w:rPr>
          <w:rFonts w:eastAsia="Times New Roman"/>
          <w:b/>
          <w:bCs/>
        </w:rPr>
        <w:t xml:space="preserve"> </w:t>
      </w:r>
    </w:p>
    <w:p w14:paraId="3F5BF66D" w14:textId="77777777" w:rsidR="003461C9" w:rsidRDefault="003461C9" w:rsidP="003461C9">
      <w:pPr>
        <w:spacing w:after="160" w:line="257" w:lineRule="auto"/>
        <w:jc w:val="center"/>
      </w:pPr>
      <w:r w:rsidRPr="2655FAF5">
        <w:rPr>
          <w:rFonts w:eastAsia="Times New Roman"/>
          <w:b/>
          <w:bCs/>
        </w:rPr>
        <w:t>48</w:t>
      </w:r>
      <w:r w:rsidRPr="15DC86CD">
        <w:rPr>
          <w:rFonts w:eastAsia="Times New Roman"/>
          <w:b/>
          <w:bCs/>
        </w:rPr>
        <w:t>.</w:t>
      </w:r>
    </w:p>
    <w:p w14:paraId="460990E2" w14:textId="77777777" w:rsidR="003461C9" w:rsidRDefault="003461C9" w:rsidP="003461C9">
      <w:pPr>
        <w:spacing w:after="160" w:line="257" w:lineRule="auto"/>
        <w:jc w:val="both"/>
      </w:pPr>
      <w:r w:rsidRPr="15DC86CD">
        <w:rPr>
          <w:rFonts w:eastAsia="Times New Roman"/>
        </w:rPr>
        <w:t>The Commission finds and concludes that the current Commission policy that requires Georgia Power to provide detailed evaluation plans for each of the approved DSM programs within 90 days of the selection of the Program Implementers for each of the certified programs shall continue. The Commission further finds that Staff will work with Georgia Power to extend the 90 days on an as needed basis as it has in prior cycles. This extension if needed will allow Georgia Power the additional time that it needs to complete the detailed evaluation plans in the event that the selection of the Program Implementer is delayed.</w:t>
      </w:r>
    </w:p>
    <w:p w14:paraId="78080D68" w14:textId="77777777" w:rsidR="003461C9" w:rsidRDefault="003461C9" w:rsidP="003461C9">
      <w:pPr>
        <w:spacing w:after="160" w:line="257" w:lineRule="auto"/>
        <w:jc w:val="center"/>
        <w:rPr>
          <w:rFonts w:eastAsia="Times New Roman"/>
          <w:b/>
        </w:rPr>
      </w:pPr>
      <w:r w:rsidRPr="2655FAF5">
        <w:rPr>
          <w:rFonts w:eastAsia="Times New Roman"/>
          <w:b/>
          <w:bCs/>
        </w:rPr>
        <w:t>49</w:t>
      </w:r>
      <w:r w:rsidRPr="15DC86CD">
        <w:rPr>
          <w:rFonts w:eastAsia="Times New Roman"/>
          <w:b/>
          <w:bCs/>
        </w:rPr>
        <w:t>.</w:t>
      </w:r>
    </w:p>
    <w:p w14:paraId="67F750C8" w14:textId="77777777" w:rsidR="003461C9" w:rsidRDefault="003461C9" w:rsidP="003461C9">
      <w:pPr>
        <w:jc w:val="both"/>
        <w:rPr>
          <w:rFonts w:eastAsia="Times New Roman"/>
          <w:color w:val="D13438"/>
        </w:rPr>
      </w:pPr>
      <w:r w:rsidRPr="15DC86CD">
        <w:rPr>
          <w:rFonts w:eastAsia="Times New Roman"/>
        </w:rPr>
        <w:t>The Commission finds and concludes that</w:t>
      </w:r>
      <w:r w:rsidRPr="15DC86CD">
        <w:rPr>
          <w:rFonts w:eastAsia="Times New Roman"/>
          <w:color w:val="000000" w:themeColor="text1"/>
        </w:rPr>
        <w:t xml:space="preserve"> Georgia Power will include an assessment of potential demand savings from demand response measures in the potential study that will be filed in January 2027. The cost of this additional assessment will be recovered through the DSM rider after review and approval by Commission Staff. Georgia Power will work with Staff on input regarding the scope of this study prior to issuance of a request for proposals for both studies.</w:t>
      </w:r>
    </w:p>
    <w:p w14:paraId="15E2E831" w14:textId="77777777" w:rsidR="003461C9" w:rsidRDefault="003461C9" w:rsidP="003461C9">
      <w:pPr>
        <w:rPr>
          <w:b/>
          <w:bCs/>
        </w:rPr>
      </w:pPr>
    </w:p>
    <w:p w14:paraId="3CF269FB" w14:textId="77777777" w:rsidR="003461C9" w:rsidRPr="007C3C4D" w:rsidRDefault="003461C9" w:rsidP="003461C9">
      <w:pPr>
        <w:ind w:left="720"/>
        <w:jc w:val="center"/>
        <w:rPr>
          <w:b/>
        </w:rPr>
      </w:pPr>
    </w:p>
    <w:p w14:paraId="3AD89548" w14:textId="77777777" w:rsidR="003461C9" w:rsidRDefault="003461C9" w:rsidP="003461C9">
      <w:pPr>
        <w:spacing w:line="360" w:lineRule="auto"/>
        <w:jc w:val="center"/>
        <w:rPr>
          <w:b/>
        </w:rPr>
      </w:pPr>
      <w:r w:rsidRPr="007C3C4D">
        <w:rPr>
          <w:b/>
        </w:rPr>
        <w:t>ORDERING PARAGRAPHS</w:t>
      </w:r>
    </w:p>
    <w:p w14:paraId="21E3AF7E" w14:textId="77777777" w:rsidR="003461C9" w:rsidRDefault="003461C9" w:rsidP="003461C9">
      <w:pPr>
        <w:spacing w:line="360" w:lineRule="auto"/>
        <w:jc w:val="both"/>
        <w:rPr>
          <w:b/>
        </w:rPr>
      </w:pPr>
    </w:p>
    <w:p w14:paraId="36D0416D" w14:textId="77777777" w:rsidR="003461C9" w:rsidRPr="003E06AA" w:rsidRDefault="003461C9" w:rsidP="003461C9">
      <w:pPr>
        <w:spacing w:line="360" w:lineRule="auto"/>
        <w:jc w:val="both"/>
      </w:pPr>
      <w:r>
        <w:rPr>
          <w:b/>
        </w:rPr>
        <w:tab/>
      </w:r>
      <w:r w:rsidRPr="007C3C4D">
        <w:rPr>
          <w:b/>
        </w:rPr>
        <w:t>WHEREFORE, IT IS ORDERED,</w:t>
      </w:r>
      <w:r>
        <w:t xml:space="preserve"> that the Integrated Resource Plan filed by the Company is approved except as set </w:t>
      </w:r>
      <w:r w:rsidRPr="003E06AA">
        <w:t>forth below:</w:t>
      </w:r>
    </w:p>
    <w:p w14:paraId="6E6AC577" w14:textId="77777777" w:rsidR="003461C9" w:rsidRPr="003E06AA" w:rsidRDefault="003461C9" w:rsidP="003461C9">
      <w:pPr>
        <w:spacing w:line="360" w:lineRule="auto"/>
        <w:jc w:val="both"/>
      </w:pPr>
    </w:p>
    <w:p w14:paraId="11266264" w14:textId="6C5D7930" w:rsidR="003461C9" w:rsidRDefault="003461C9" w:rsidP="003461C9">
      <w:pPr>
        <w:pStyle w:val="Answers"/>
        <w:numPr>
          <w:ilvl w:val="0"/>
          <w:numId w:val="23"/>
        </w:numPr>
        <w:tabs>
          <w:tab w:val="clear" w:pos="660"/>
          <w:tab w:val="left" w:pos="720"/>
        </w:tabs>
      </w:pPr>
      <w:r w:rsidRPr="004572C6">
        <w:rPr>
          <w:rFonts w:cs="Times New Roman"/>
        </w:rPr>
        <w:t>The Company’s “LRM” adjustment to the load forecast for large load customers is hereby modified by setting load materialization assumptions uniformly for all industry segments</w:t>
      </w:r>
      <w:r w:rsidRPr="72D92716">
        <w:rPr>
          <w:rFonts w:cs="Times New Roman"/>
        </w:rPr>
        <w:t>,</w:t>
      </w:r>
      <w:r w:rsidRPr="004572C6">
        <w:rPr>
          <w:rFonts w:cs="Times New Roman"/>
        </w:rPr>
        <w:t xml:space="preserve"> </w:t>
      </w:r>
      <w:r w:rsidRPr="6938726F">
        <w:rPr>
          <w:rFonts w:cs="Times New Roman"/>
        </w:rPr>
        <w:lastRenderedPageBreak/>
        <w:t>as set forth on pp. 80-85 (Section VIII) of the pre</w:t>
      </w:r>
      <w:r w:rsidR="00C34F64">
        <w:rPr>
          <w:rFonts w:cs="Times New Roman"/>
        </w:rPr>
        <w:t>-</w:t>
      </w:r>
      <w:r w:rsidRPr="6938726F">
        <w:rPr>
          <w:rFonts w:cs="Times New Roman"/>
        </w:rPr>
        <w:t xml:space="preserve">filed testimony </w:t>
      </w:r>
      <w:r w:rsidR="00C34F64">
        <w:rPr>
          <w:rFonts w:cs="Times New Roman"/>
        </w:rPr>
        <w:t>of</w:t>
      </w:r>
      <w:r w:rsidRPr="6938726F">
        <w:rPr>
          <w:rFonts w:cs="Times New Roman"/>
        </w:rPr>
        <w:t xml:space="preserve"> Staff witnesses Trokey, </w:t>
      </w:r>
      <w:r w:rsidRPr="0E791735">
        <w:rPr>
          <w:rFonts w:cs="Times New Roman"/>
        </w:rPr>
        <w:t xml:space="preserve">Drugan, and </w:t>
      </w:r>
      <w:r w:rsidRPr="644B9340">
        <w:rPr>
          <w:rFonts w:cs="Times New Roman"/>
        </w:rPr>
        <w:t>Pol</w:t>
      </w:r>
      <w:r w:rsidRPr="1D7BFB4D">
        <w:rPr>
          <w:rFonts w:cs="Times New Roman"/>
        </w:rPr>
        <w:t>.</w:t>
      </w:r>
    </w:p>
    <w:p w14:paraId="0899490F" w14:textId="77777777" w:rsidR="003461C9" w:rsidRDefault="003461C9" w:rsidP="003461C9">
      <w:pPr>
        <w:pStyle w:val="Answers"/>
        <w:numPr>
          <w:ilvl w:val="0"/>
          <w:numId w:val="23"/>
        </w:numPr>
        <w:tabs>
          <w:tab w:val="clear" w:pos="660"/>
          <w:tab w:val="left" w:pos="720"/>
        </w:tabs>
      </w:pPr>
      <w:r>
        <w:t xml:space="preserve">Pursuant to Rule 515-3-4-.06(3)(a)6, the Company shall </w:t>
      </w:r>
      <w:r w:rsidRPr="00F13551">
        <w:t xml:space="preserve">file a report to the Commission in this docket outlining how the Company will evaluate </w:t>
      </w:r>
      <w:r>
        <w:t xml:space="preserve">and incorporate into the current LRM </w:t>
      </w:r>
      <w:r w:rsidRPr="00F13551">
        <w:t>the data produced from all prior LRM vintages as well as the quarterly large load development reports filed in Docket 55378.</w:t>
      </w:r>
    </w:p>
    <w:p w14:paraId="7B9476CC" w14:textId="77777777" w:rsidR="003461C9" w:rsidRDefault="003461C9" w:rsidP="003461C9">
      <w:pPr>
        <w:pStyle w:val="Answers"/>
        <w:numPr>
          <w:ilvl w:val="0"/>
          <w:numId w:val="23"/>
        </w:numPr>
        <w:tabs>
          <w:tab w:val="clear" w:pos="660"/>
          <w:tab w:val="left" w:pos="720"/>
        </w:tabs>
      </w:pPr>
      <w:r>
        <w:t>The Company shall s</w:t>
      </w:r>
      <w:r w:rsidRPr="003D78D6">
        <w:t>ubmit an amendment to the 2025 IRP with an updated load forecast if seasonal peak load materializes at an error rate of 8% or greater. The error rate shall be defined as the absolute value of the difference between forecasted seasonal peak load and actual seasonal peak load, relative to forecasted seasonal peak load</w:t>
      </w:r>
      <w:r w:rsidRPr="00DA03F0">
        <w:t>.</w:t>
      </w:r>
    </w:p>
    <w:p w14:paraId="099E72B7" w14:textId="77777777" w:rsidR="003461C9" w:rsidRDefault="003461C9" w:rsidP="003461C9">
      <w:pPr>
        <w:pStyle w:val="Answers"/>
        <w:numPr>
          <w:ilvl w:val="0"/>
          <w:numId w:val="23"/>
        </w:numPr>
        <w:tabs>
          <w:tab w:val="clear" w:pos="660"/>
          <w:tab w:val="left" w:pos="720"/>
        </w:tabs>
      </w:pPr>
      <w:r>
        <w:t>The Company shall v</w:t>
      </w:r>
      <w:r w:rsidRPr="004E7EB6">
        <w:t xml:space="preserve">alidate the factors that led to the significant residual errors and high MAPE in 13 the ST Residual Customer Growth model. </w:t>
      </w:r>
    </w:p>
    <w:p w14:paraId="1EA37AAC" w14:textId="77777777" w:rsidR="003461C9" w:rsidRDefault="003461C9" w:rsidP="003461C9">
      <w:pPr>
        <w:pStyle w:val="Answers"/>
        <w:numPr>
          <w:ilvl w:val="0"/>
          <w:numId w:val="23"/>
        </w:numPr>
        <w:tabs>
          <w:tab w:val="clear" w:pos="660"/>
          <w:tab w:val="left" w:pos="720"/>
        </w:tabs>
      </w:pPr>
      <w:r>
        <w:t>The Company shall v</w:t>
      </w:r>
      <w:r w:rsidRPr="004E7EB6">
        <w:t>alidate the factors that led to significant residual errors and high MAPE in the ST 16 Commercial Customer Growth model. If necessary, these issues should be 17 addressed in future forecast vintages.</w:t>
      </w:r>
    </w:p>
    <w:p w14:paraId="00A5E810" w14:textId="77777777" w:rsidR="003461C9" w:rsidRDefault="003461C9" w:rsidP="003461C9">
      <w:pPr>
        <w:pStyle w:val="Answers"/>
        <w:numPr>
          <w:ilvl w:val="0"/>
          <w:numId w:val="23"/>
        </w:numPr>
        <w:tabs>
          <w:tab w:val="clear" w:pos="660"/>
          <w:tab w:val="left" w:pos="720"/>
        </w:tabs>
      </w:pPr>
      <w:r>
        <w:t>The Company shall e</w:t>
      </w:r>
      <w:r w:rsidRPr="004E7EB6">
        <w:t xml:space="preserve">xamine, explain, and justify the magnitude of the pre-adjustment calibration between the ST Commercial Sales forecast and the LT Commercial Sales forecast. The justification </w:t>
      </w:r>
      <w:r>
        <w:t>shall</w:t>
      </w:r>
      <w:r w:rsidRPr="004E7EB6">
        <w:t xml:space="preserve"> include a quantitative demonstration of the calibration process as well as a comparison to the magnitude of historical calibrations.</w:t>
      </w:r>
    </w:p>
    <w:p w14:paraId="77C45D8A" w14:textId="77777777" w:rsidR="003461C9" w:rsidRDefault="003461C9" w:rsidP="003461C9">
      <w:pPr>
        <w:pStyle w:val="Answers"/>
        <w:numPr>
          <w:ilvl w:val="0"/>
          <w:numId w:val="23"/>
        </w:numPr>
        <w:tabs>
          <w:tab w:val="clear" w:pos="660"/>
          <w:tab w:val="left" w:pos="720"/>
        </w:tabs>
      </w:pPr>
      <w:r>
        <w:t>The Company shall p</w:t>
      </w:r>
      <w:r w:rsidRPr="004E7EB6">
        <w:t xml:space="preserve">rovide a plan for how </w:t>
      </w:r>
      <w:r>
        <w:t>it</w:t>
      </w:r>
      <w:r w:rsidRPr="004E7EB6">
        <w:t xml:space="preserve"> will use the quarterly large load economic development reports</w:t>
      </w:r>
      <w:r>
        <w:t xml:space="preserve"> described below </w:t>
      </w:r>
      <w:r w:rsidRPr="004E7EB6">
        <w:t xml:space="preserve">and any other relevant data to improve and refine the underlying assumptions of the LRM. This plan </w:t>
      </w:r>
      <w:r>
        <w:t>shall</w:t>
      </w:r>
      <w:r w:rsidRPr="004E7EB6">
        <w:t xml:space="preserve"> be submitted </w:t>
      </w:r>
      <w:r>
        <w:t xml:space="preserve">within ninety days of the </w:t>
      </w:r>
      <w:r>
        <w:lastRenderedPageBreak/>
        <w:t>date of this order</w:t>
      </w:r>
      <w:r w:rsidRPr="004E7EB6">
        <w:t xml:space="preserve"> to ensure that the Company can refine its data tracking and analysis of customers in the large load pipeline. The plan </w:t>
      </w:r>
      <w:r>
        <w:t>shall</w:t>
      </w:r>
      <w:r w:rsidRPr="004E7EB6">
        <w:t xml:space="preserve"> describe a revision an</w:t>
      </w:r>
      <w:r>
        <w:t xml:space="preserve">d </w:t>
      </w:r>
      <w:r w:rsidRPr="004E7EB6">
        <w:t>validation process that is repeated on a quarterly basis, in line with the quarterly large load economic development reports.</w:t>
      </w:r>
    </w:p>
    <w:p w14:paraId="43456C06" w14:textId="77777777" w:rsidR="003461C9" w:rsidRDefault="003461C9" w:rsidP="003461C9">
      <w:pPr>
        <w:pStyle w:val="Answers"/>
        <w:numPr>
          <w:ilvl w:val="0"/>
          <w:numId w:val="23"/>
        </w:numPr>
        <w:tabs>
          <w:tab w:val="clear" w:pos="660"/>
          <w:tab w:val="left" w:pos="720"/>
        </w:tabs>
      </w:pPr>
      <w:r>
        <w:t xml:space="preserve"> The Company shall continue providing quarterly large load economic development reports, in the format specified in Attachment A of the Stipulation approved by the Commission on April 26, 2024 in Docket No. 55378, through the Commission’s decision on Georgia Power’s 2028 Integrated Resource Plan (“2028 IRP”). In addition to the data currently provided in the quarterly reports, the Company shall provide the following additional information:</w:t>
      </w:r>
    </w:p>
    <w:p w14:paraId="594DEEFB" w14:textId="77777777" w:rsidR="003461C9" w:rsidRDefault="003461C9" w:rsidP="003461C9">
      <w:pPr>
        <w:pStyle w:val="Answers"/>
        <w:numPr>
          <w:ilvl w:val="0"/>
          <w:numId w:val="24"/>
        </w:numPr>
        <w:tabs>
          <w:tab w:val="clear" w:pos="660"/>
          <w:tab w:val="left" w:pos="720"/>
        </w:tabs>
      </w:pPr>
      <w:r w:rsidRPr="004E7EB6">
        <w:t xml:space="preserve">The quarter in which </w:t>
      </w:r>
      <w:r>
        <w:t>each</w:t>
      </w:r>
      <w:r w:rsidRPr="004E7EB6">
        <w:t xml:space="preserve"> project entered the large load pipeline,</w:t>
      </w:r>
    </w:p>
    <w:p w14:paraId="1DD5F3FE" w14:textId="77777777" w:rsidR="003461C9" w:rsidRDefault="003461C9" w:rsidP="003461C9">
      <w:pPr>
        <w:pStyle w:val="Answers"/>
        <w:numPr>
          <w:ilvl w:val="0"/>
          <w:numId w:val="24"/>
        </w:numPr>
        <w:tabs>
          <w:tab w:val="clear" w:pos="660"/>
          <w:tab w:val="left" w:pos="720"/>
        </w:tabs>
      </w:pPr>
      <w:r w:rsidRPr="004E7EB6">
        <w:t xml:space="preserve">The announced load of </w:t>
      </w:r>
      <w:r>
        <w:t>each</w:t>
      </w:r>
      <w:r w:rsidRPr="004E7EB6">
        <w:t xml:space="preserve"> project when it first entered the large load pipeline, </w:t>
      </w:r>
    </w:p>
    <w:p w14:paraId="33FE24D3" w14:textId="77777777" w:rsidR="003461C9" w:rsidRDefault="003461C9" w:rsidP="003461C9">
      <w:pPr>
        <w:pStyle w:val="Answers"/>
        <w:numPr>
          <w:ilvl w:val="0"/>
          <w:numId w:val="24"/>
        </w:numPr>
        <w:tabs>
          <w:tab w:val="clear" w:pos="660"/>
          <w:tab w:val="left" w:pos="720"/>
        </w:tabs>
      </w:pPr>
      <w:r w:rsidRPr="004E7EB6">
        <w:t xml:space="preserve">Whether the customer is considering sites outside of Georgia, and  </w:t>
      </w:r>
    </w:p>
    <w:p w14:paraId="37D78C6B" w14:textId="77777777" w:rsidR="003461C9" w:rsidRDefault="003461C9" w:rsidP="003461C9">
      <w:pPr>
        <w:pStyle w:val="Answers"/>
        <w:numPr>
          <w:ilvl w:val="0"/>
          <w:numId w:val="24"/>
        </w:numPr>
        <w:tabs>
          <w:tab w:val="clear" w:pos="660"/>
          <w:tab w:val="left" w:pos="720"/>
        </w:tabs>
      </w:pPr>
      <w:r w:rsidRPr="004E7EB6">
        <w:t>A description and quantification of financial commitments provided by each large load</w:t>
      </w:r>
      <w:r>
        <w:t xml:space="preserve"> </w:t>
      </w:r>
      <w:r w:rsidRPr="004E7EB6">
        <w:t xml:space="preserve">customer. </w:t>
      </w:r>
    </w:p>
    <w:p w14:paraId="6332AF93" w14:textId="77777777" w:rsidR="003461C9" w:rsidRDefault="003461C9" w:rsidP="003461C9">
      <w:pPr>
        <w:pStyle w:val="Answers"/>
        <w:numPr>
          <w:ilvl w:val="0"/>
          <w:numId w:val="23"/>
        </w:numPr>
        <w:tabs>
          <w:tab w:val="clear" w:pos="660"/>
          <w:tab w:val="left" w:pos="1440"/>
        </w:tabs>
      </w:pPr>
      <w:r>
        <w:t>The Company shall f</w:t>
      </w:r>
      <w:r w:rsidRPr="004E7EB6">
        <w:t xml:space="preserve">ile a report </w:t>
      </w:r>
      <w:r>
        <w:t>on or before April 17, 2026</w:t>
      </w:r>
      <w:r w:rsidRPr="004E7EB6">
        <w:t>, explaining how the new tariffs and contract structure</w:t>
      </w:r>
      <w:r>
        <w:t xml:space="preserve"> authorized by the Commission in its April 17, 2025 Order in Docket No. 44280,</w:t>
      </w:r>
      <w:r w:rsidRPr="004E7EB6">
        <w:t xml:space="preserve"> have impacted</w:t>
      </w:r>
      <w:r>
        <w:t xml:space="preserve"> </w:t>
      </w:r>
      <w:r w:rsidRPr="004E7EB6">
        <w:t>the large load forecast and the large load pipeline</w:t>
      </w:r>
      <w:r>
        <w:t xml:space="preserve"> described in the LRM</w:t>
      </w:r>
      <w:r w:rsidRPr="004E7EB6">
        <w:t xml:space="preserve">. The results of this report </w:t>
      </w:r>
      <w:r>
        <w:t>shall</w:t>
      </w:r>
      <w:r w:rsidRPr="004E7EB6">
        <w:t xml:space="preserve"> be used to adjust the Load Realization Model accordingly.</w:t>
      </w:r>
    </w:p>
    <w:p w14:paraId="2A8677EA" w14:textId="77777777" w:rsidR="003461C9" w:rsidRDefault="003461C9" w:rsidP="003461C9">
      <w:pPr>
        <w:pStyle w:val="Answers"/>
        <w:numPr>
          <w:ilvl w:val="0"/>
          <w:numId w:val="23"/>
        </w:numPr>
        <w:tabs>
          <w:tab w:val="clear" w:pos="660"/>
          <w:tab w:val="left" w:pos="1440"/>
        </w:tabs>
      </w:pPr>
      <w:r w:rsidRPr="004E7EB6">
        <w:t xml:space="preserve">Pursuant to Rules 515-3-4-.03(3)(d) and 515-3-4-.06(3)(c), </w:t>
      </w:r>
      <w:r>
        <w:t xml:space="preserve">The Company shall </w:t>
      </w:r>
      <w:r w:rsidRPr="004E7EB6">
        <w:t xml:space="preserve">provide model parameter and related summary statistics in a similar format to the 2025 IRP filing </w:t>
      </w:r>
      <w:r>
        <w:lastRenderedPageBreak/>
        <w:t>f</w:t>
      </w:r>
      <w:r w:rsidRPr="004E7EB6">
        <w:t>or all statistical and econometric models, including but not limited to the hourly regression models used in the Peak Forecast model</w:t>
      </w:r>
      <w:r>
        <w:t>.</w:t>
      </w:r>
    </w:p>
    <w:p w14:paraId="03B319DD" w14:textId="77777777" w:rsidR="003461C9" w:rsidRDefault="003461C9" w:rsidP="003461C9">
      <w:pPr>
        <w:pStyle w:val="Answers"/>
        <w:numPr>
          <w:ilvl w:val="0"/>
          <w:numId w:val="23"/>
        </w:numPr>
        <w:tabs>
          <w:tab w:val="clear" w:pos="660"/>
          <w:tab w:val="left" w:pos="1440"/>
        </w:tabs>
      </w:pPr>
      <w:r w:rsidRPr="004E7EB6">
        <w:t xml:space="preserve"> Pursuant to Rule 515-3-4-.06(3)(a)6, </w:t>
      </w:r>
      <w:r>
        <w:t xml:space="preserve">the Company shall </w:t>
      </w:r>
      <w:r w:rsidRPr="004E7EB6">
        <w:t>develop sensitivities to the Load Realization Model that test variation in underlying assumptions (Project Success, Ramp-Up</w:t>
      </w:r>
      <w:r>
        <w:t>,</w:t>
      </w:r>
      <w:r w:rsidRPr="004E7EB6">
        <w:t xml:space="preserve"> Delay, and Load Materialization).</w:t>
      </w:r>
    </w:p>
    <w:p w14:paraId="08F3DC33" w14:textId="77777777" w:rsidR="003461C9" w:rsidRDefault="003461C9" w:rsidP="003461C9">
      <w:pPr>
        <w:pStyle w:val="Answers"/>
        <w:numPr>
          <w:ilvl w:val="0"/>
          <w:numId w:val="23"/>
        </w:numPr>
        <w:tabs>
          <w:tab w:val="clear" w:pos="660"/>
          <w:tab w:val="left" w:pos="1440"/>
        </w:tabs>
      </w:pPr>
      <w:r>
        <w:t>The Company’s request to</w:t>
      </w:r>
      <w:r w:rsidRPr="005050A1">
        <w:t xml:space="preserve"> the upgrade at Plant Hatch Units 1-2 </w:t>
      </w:r>
      <w:r>
        <w:t>shall be delayed two years after the completion of the Company’s</w:t>
      </w:r>
      <w:r w:rsidRPr="005050A1">
        <w:t xml:space="preserve"> Vogtle 1-2 upgrades. </w:t>
      </w:r>
      <w:r>
        <w:t>The Company’s</w:t>
      </w:r>
      <w:r w:rsidRPr="005050A1">
        <w:t xml:space="preserve"> cost recovery for these projects </w:t>
      </w:r>
      <w:r>
        <w:t xml:space="preserve">shall be limited </w:t>
      </w:r>
      <w:r w:rsidRPr="005050A1">
        <w:t>to the projected cost estimates on an approved $/kW basis.</w:t>
      </w:r>
    </w:p>
    <w:p w14:paraId="0E534AC0" w14:textId="77777777" w:rsidR="003461C9" w:rsidRDefault="003461C9" w:rsidP="003461C9">
      <w:pPr>
        <w:pStyle w:val="Answers"/>
        <w:numPr>
          <w:ilvl w:val="0"/>
          <w:numId w:val="23"/>
        </w:numPr>
        <w:tabs>
          <w:tab w:val="clear" w:pos="660"/>
          <w:tab w:val="left" w:pos="1440"/>
        </w:tabs>
      </w:pPr>
      <w:r>
        <w:t xml:space="preserve">The </w:t>
      </w:r>
      <w:r w:rsidRPr="00446CE8">
        <w:t>Company’s proposed hydro modernization request,</w:t>
      </w:r>
      <w:r>
        <w:t xml:space="preserve"> as described in Section 8.5 of the Company’s IRP Main document is rejected,</w:t>
      </w:r>
      <w:r w:rsidRPr="00446CE8">
        <w:t xml:space="preserve"> as it is too broad in both cost and scope. </w:t>
      </w:r>
      <w:r>
        <w:t>The</w:t>
      </w:r>
      <w:r w:rsidRPr="00446CE8">
        <w:t xml:space="preserve"> Company </w:t>
      </w:r>
      <w:r>
        <w:t xml:space="preserve">shall </w:t>
      </w:r>
      <w:r w:rsidRPr="00446CE8">
        <w:t xml:space="preserve">be allowed to spend up to $100 million on preliminary investigation and engineering through 2027 on the most economic hydro units remaining to be modernized. </w:t>
      </w:r>
    </w:p>
    <w:p w14:paraId="2C676066" w14:textId="77777777" w:rsidR="003461C9" w:rsidRDefault="003461C9" w:rsidP="003461C9">
      <w:pPr>
        <w:pStyle w:val="Answers"/>
        <w:numPr>
          <w:ilvl w:val="0"/>
          <w:numId w:val="23"/>
        </w:numPr>
        <w:tabs>
          <w:tab w:val="clear" w:pos="660"/>
          <w:tab w:val="left" w:pos="1440"/>
        </w:tabs>
        <w:spacing w:line="360" w:lineRule="auto"/>
        <w:rPr>
          <w:rFonts w:cs="Times New Roman"/>
        </w:rPr>
      </w:pPr>
      <w:r w:rsidRPr="7AD4C9EF">
        <w:rPr>
          <w:rFonts w:cs="Times New Roman"/>
        </w:rPr>
        <w:t>The Company will meet semi-annually with PIA Staff to provide updates on the Strategic Transmission Projects identified in Table 11.3 of the 2025 IRP to improve power transfer from South Georgia to North Georgia, prepare the transmission system for generation fleet transitions, and maintain System reliability. The Company will continue to identify alternative solutions considered for each project and the associated costs and benefits of the alternatives. The Company will continue to investigate and consider the use of emerging grid technologies as described in Technical Appendix Volume 3 of the 2025 IRP.</w:t>
      </w:r>
    </w:p>
    <w:p w14:paraId="14E9E8D2" w14:textId="77777777" w:rsidR="003461C9" w:rsidRDefault="003461C9" w:rsidP="003461C9">
      <w:pPr>
        <w:pStyle w:val="ListParagraph"/>
        <w:numPr>
          <w:ilvl w:val="0"/>
          <w:numId w:val="23"/>
        </w:numPr>
        <w:spacing w:after="0" w:line="480" w:lineRule="auto"/>
        <w:rPr>
          <w:rFonts w:ascii="Times New Roman" w:eastAsia="Times New Roman" w:hAnsi="Times New Roman" w:cs="Times New Roman"/>
        </w:rPr>
      </w:pPr>
      <w:r w:rsidRPr="7AD4C9EF">
        <w:rPr>
          <w:rFonts w:ascii="Times New Roman" w:eastAsia="Times New Roman" w:hAnsi="Times New Roman" w:cs="Times New Roman"/>
          <w:sz w:val="24"/>
          <w:szCs w:val="24"/>
        </w:rPr>
        <w:t xml:space="preserve"> </w:t>
      </w:r>
      <w:r w:rsidRPr="55697CE0">
        <w:rPr>
          <w:rFonts w:ascii="Times New Roman" w:eastAsia="Times New Roman" w:hAnsi="Times New Roman" w:cs="Times New Roman"/>
          <w:sz w:val="24"/>
          <w:szCs w:val="24"/>
        </w:rPr>
        <w:t>Staff’s</w:t>
      </w:r>
      <w:r w:rsidRPr="7AD4C9EF">
        <w:rPr>
          <w:rFonts w:ascii="Times New Roman" w:eastAsia="Times New Roman" w:hAnsi="Times New Roman" w:cs="Times New Roman"/>
          <w:sz w:val="24"/>
          <w:szCs w:val="24"/>
        </w:rPr>
        <w:t xml:space="preserve"> transmission recommendations will be adopted as follows: </w:t>
      </w:r>
    </w:p>
    <w:p w14:paraId="6C9589DE" w14:textId="77777777" w:rsidR="003461C9" w:rsidRDefault="003461C9" w:rsidP="003461C9">
      <w:pPr>
        <w:pStyle w:val="ListParagraph"/>
        <w:numPr>
          <w:ilvl w:val="1"/>
          <w:numId w:val="23"/>
        </w:numPr>
        <w:spacing w:after="0" w:line="480" w:lineRule="auto"/>
        <w:jc w:val="both"/>
        <w:rPr>
          <w:rFonts w:ascii="Times New Roman" w:eastAsia="Times New Roman" w:hAnsi="Times New Roman" w:cs="Times New Roman"/>
        </w:rPr>
      </w:pPr>
      <w:r w:rsidRPr="7AD4C9EF">
        <w:rPr>
          <w:rFonts w:ascii="Times New Roman" w:eastAsia="Times New Roman" w:hAnsi="Times New Roman" w:cs="Times New Roman"/>
          <w:sz w:val="24"/>
          <w:szCs w:val="24"/>
        </w:rPr>
        <w:t xml:space="preserve">Georgia Power shall adopt a formal process to evaluate Grid Enhancing Technologies (“GETs”) as potential solutions for all major Georgia Power </w:t>
      </w:r>
      <w:r w:rsidRPr="7AD4C9EF">
        <w:rPr>
          <w:rFonts w:ascii="Times New Roman" w:eastAsia="Times New Roman" w:hAnsi="Times New Roman" w:cs="Times New Roman"/>
          <w:sz w:val="24"/>
          <w:szCs w:val="24"/>
        </w:rPr>
        <w:lastRenderedPageBreak/>
        <w:t>transmission projects and will include in the 2028 IRP a report on the planning assumptions, criteria, and outcomes associated with its GETs evaluations.</w:t>
      </w:r>
    </w:p>
    <w:p w14:paraId="3FD6F1B9" w14:textId="77777777" w:rsidR="003461C9" w:rsidRDefault="003461C9" w:rsidP="003461C9">
      <w:pPr>
        <w:pStyle w:val="ListParagraph"/>
        <w:numPr>
          <w:ilvl w:val="1"/>
          <w:numId w:val="23"/>
        </w:numPr>
        <w:spacing w:after="0" w:line="480" w:lineRule="auto"/>
        <w:jc w:val="both"/>
        <w:rPr>
          <w:rFonts w:ascii="Times New Roman" w:eastAsia="Times New Roman" w:hAnsi="Times New Roman" w:cs="Times New Roman"/>
        </w:rPr>
      </w:pPr>
      <w:r w:rsidRPr="7AD4C9EF">
        <w:rPr>
          <w:rFonts w:ascii="Times New Roman" w:eastAsia="Times New Roman" w:hAnsi="Times New Roman" w:cs="Times New Roman"/>
          <w:sz w:val="24"/>
          <w:szCs w:val="24"/>
        </w:rPr>
        <w:t xml:space="preserve">Georgia Power will continue to incorporate Non-Wires Alternatives screening into its standard project development process. If future BESS applications, configurations, and operations demonstrate that BESS can be deployed reliably and economically as transmission solutions, Georgia Power will continue to consider this technology as a solution. </w:t>
      </w:r>
    </w:p>
    <w:p w14:paraId="34042B96" w14:textId="77777777" w:rsidR="003461C9" w:rsidRPr="003E06AA" w:rsidRDefault="003461C9" w:rsidP="003461C9">
      <w:pPr>
        <w:pStyle w:val="ListParagraph"/>
        <w:numPr>
          <w:ilvl w:val="1"/>
          <w:numId w:val="23"/>
        </w:numPr>
        <w:spacing w:after="0" w:line="480" w:lineRule="auto"/>
        <w:jc w:val="both"/>
        <w:rPr>
          <w:rFonts w:ascii="Times New Roman" w:eastAsia="Times New Roman" w:hAnsi="Times New Roman" w:cs="Times New Roman"/>
        </w:rPr>
      </w:pPr>
      <w:r w:rsidRPr="7AD4C9EF">
        <w:rPr>
          <w:rFonts w:ascii="Times New Roman" w:eastAsia="Times New Roman" w:hAnsi="Times New Roman" w:cs="Times New Roman"/>
          <w:sz w:val="24"/>
          <w:szCs w:val="24"/>
        </w:rPr>
        <w:t>As part of its 2028 IRP transmission plan, Georgia Power will formally evaluate the economic costs and benefits of opportunities to expand transmission ties with neighboring utilities, including but not limited to, South Carolina utilities, Florida utilities and TVA.</w:t>
      </w:r>
    </w:p>
    <w:p w14:paraId="1F08EA1E" w14:textId="77777777" w:rsidR="003461C9" w:rsidRDefault="003461C9" w:rsidP="003461C9">
      <w:pPr>
        <w:spacing w:line="360" w:lineRule="auto"/>
        <w:jc w:val="both"/>
      </w:pPr>
    </w:p>
    <w:p w14:paraId="340A4575" w14:textId="77777777" w:rsidR="003461C9" w:rsidRDefault="003461C9" w:rsidP="003461C9">
      <w:pPr>
        <w:spacing w:line="360" w:lineRule="auto"/>
        <w:ind w:firstLine="720"/>
        <w:jc w:val="both"/>
      </w:pPr>
      <w:r>
        <w:rPr>
          <w:b/>
        </w:rPr>
        <w:t xml:space="preserve">ORDERED FURTHER, </w:t>
      </w:r>
      <w:r>
        <w:t>all findings, conclusions, and decisions contained within the preceding sections of this Order are hereby adopted as findings of fact, conclusions of law, and decisions of regulatory policy of this Commission.</w:t>
      </w:r>
    </w:p>
    <w:p w14:paraId="09177B10" w14:textId="77777777" w:rsidR="003461C9" w:rsidRPr="007C3C4D" w:rsidRDefault="003461C9" w:rsidP="003461C9">
      <w:pPr>
        <w:spacing w:line="360" w:lineRule="auto"/>
        <w:ind w:firstLine="720"/>
        <w:jc w:val="both"/>
      </w:pPr>
    </w:p>
    <w:p w14:paraId="64D8DB51" w14:textId="77777777" w:rsidR="003461C9" w:rsidRDefault="003461C9" w:rsidP="003461C9">
      <w:pPr>
        <w:spacing w:line="360" w:lineRule="auto"/>
        <w:jc w:val="both"/>
      </w:pPr>
      <w:r w:rsidRPr="007C3C4D">
        <w:tab/>
      </w:r>
      <w:r w:rsidRPr="007C3C4D">
        <w:rPr>
          <w:b/>
        </w:rPr>
        <w:t>ORDERED FURTHER,</w:t>
      </w:r>
      <w:r w:rsidRPr="007C3C4D">
        <w:t xml:space="preserve"> that a motion for reconsideration, rehearing, oral argument, or any other motion shall not stay the effective date of this Order, unless otherwise ordered by the Commission.</w:t>
      </w:r>
    </w:p>
    <w:p w14:paraId="6E62AFB4" w14:textId="77777777" w:rsidR="003461C9" w:rsidRPr="007C3C4D" w:rsidRDefault="003461C9" w:rsidP="003461C9">
      <w:pPr>
        <w:spacing w:line="360" w:lineRule="auto"/>
        <w:jc w:val="both"/>
      </w:pPr>
    </w:p>
    <w:p w14:paraId="5AFB8134" w14:textId="77777777" w:rsidR="003461C9" w:rsidRPr="007C3C4D" w:rsidRDefault="003461C9" w:rsidP="003461C9">
      <w:pPr>
        <w:spacing w:line="360" w:lineRule="auto"/>
        <w:jc w:val="both"/>
      </w:pPr>
      <w:r w:rsidRPr="007C3C4D">
        <w:tab/>
      </w:r>
      <w:r w:rsidRPr="007C3C4D">
        <w:rPr>
          <w:b/>
        </w:rPr>
        <w:t>ORDERED FURTHER,</w:t>
      </w:r>
      <w:r w:rsidRPr="007C3C4D">
        <w:t xml:space="preserve"> that jurisdiction over this matter is expressly retained for the purpose of entering such further Order(s) as this Commission may deem just and proper.</w:t>
      </w:r>
    </w:p>
    <w:p w14:paraId="7D98889F" w14:textId="77777777" w:rsidR="003461C9" w:rsidRDefault="003461C9" w:rsidP="003461C9">
      <w:pPr>
        <w:tabs>
          <w:tab w:val="left" w:pos="0"/>
        </w:tabs>
        <w:spacing w:line="276" w:lineRule="auto"/>
        <w:jc w:val="both"/>
      </w:pPr>
    </w:p>
    <w:p w14:paraId="5FBE28B5" w14:textId="77777777" w:rsidR="003461C9" w:rsidRDefault="003461C9" w:rsidP="003461C9">
      <w:pPr>
        <w:tabs>
          <w:tab w:val="left" w:pos="0"/>
        </w:tabs>
        <w:spacing w:line="276" w:lineRule="auto"/>
        <w:jc w:val="both"/>
      </w:pPr>
    </w:p>
    <w:p w14:paraId="6D141067" w14:textId="77777777" w:rsidR="000E0B16" w:rsidRDefault="000E0B16" w:rsidP="003461C9">
      <w:pPr>
        <w:tabs>
          <w:tab w:val="left" w:pos="0"/>
        </w:tabs>
        <w:spacing w:line="276" w:lineRule="auto"/>
        <w:jc w:val="both"/>
      </w:pPr>
    </w:p>
    <w:p w14:paraId="0EC34846" w14:textId="77777777" w:rsidR="000E0B16" w:rsidRDefault="000E0B16" w:rsidP="003461C9">
      <w:pPr>
        <w:tabs>
          <w:tab w:val="left" w:pos="0"/>
        </w:tabs>
        <w:spacing w:line="276" w:lineRule="auto"/>
        <w:jc w:val="both"/>
      </w:pPr>
    </w:p>
    <w:p w14:paraId="1D2C85CB" w14:textId="77777777" w:rsidR="003461C9" w:rsidRPr="007C3C4D" w:rsidRDefault="003461C9" w:rsidP="003461C9">
      <w:pPr>
        <w:tabs>
          <w:tab w:val="left" w:pos="0"/>
        </w:tabs>
        <w:spacing w:line="276" w:lineRule="auto"/>
        <w:jc w:val="both"/>
      </w:pPr>
      <w:r w:rsidRPr="007C3C4D">
        <w:lastRenderedPageBreak/>
        <w:tab/>
        <w:t>The above by action of the Commission in Administrative Session on the</w:t>
      </w:r>
      <w:r>
        <w:t xml:space="preserve"> ____ </w:t>
      </w:r>
      <w:r w:rsidRPr="007C3C4D">
        <w:t>of July 20</w:t>
      </w:r>
      <w:r>
        <w:t>25</w:t>
      </w:r>
      <w:r w:rsidRPr="007C3C4D">
        <w:t>.</w:t>
      </w:r>
    </w:p>
    <w:p w14:paraId="50156EA6" w14:textId="77777777" w:rsidR="003461C9" w:rsidRPr="007C3C4D" w:rsidRDefault="003461C9" w:rsidP="003461C9">
      <w:pPr>
        <w:tabs>
          <w:tab w:val="left" w:pos="0"/>
        </w:tabs>
        <w:spacing w:line="276" w:lineRule="auto"/>
        <w:jc w:val="both"/>
      </w:pPr>
    </w:p>
    <w:p w14:paraId="6142AF18" w14:textId="77777777" w:rsidR="003461C9" w:rsidRPr="007C3C4D" w:rsidRDefault="003461C9" w:rsidP="003461C9">
      <w:pPr>
        <w:tabs>
          <w:tab w:val="left" w:pos="0"/>
        </w:tabs>
        <w:jc w:val="both"/>
        <w:rPr>
          <w:b/>
        </w:rPr>
      </w:pPr>
    </w:p>
    <w:p w14:paraId="56440EEC" w14:textId="77777777" w:rsidR="003461C9" w:rsidRPr="007C3C4D" w:rsidRDefault="003461C9" w:rsidP="003461C9">
      <w:pPr>
        <w:tabs>
          <w:tab w:val="left" w:pos="0"/>
        </w:tabs>
        <w:jc w:val="both"/>
      </w:pPr>
    </w:p>
    <w:p w14:paraId="0BFD6075" w14:textId="77777777" w:rsidR="003461C9" w:rsidRPr="007C3C4D" w:rsidRDefault="003461C9" w:rsidP="003461C9">
      <w:pPr>
        <w:tabs>
          <w:tab w:val="left" w:pos="0"/>
        </w:tabs>
        <w:jc w:val="both"/>
        <w:rPr>
          <w:b/>
        </w:rPr>
      </w:pPr>
    </w:p>
    <w:p w14:paraId="126A317D" w14:textId="77777777" w:rsidR="003461C9" w:rsidRPr="007C3C4D" w:rsidRDefault="003461C9" w:rsidP="003461C9">
      <w:pPr>
        <w:tabs>
          <w:tab w:val="left" w:pos="0"/>
        </w:tabs>
        <w:jc w:val="both"/>
      </w:pPr>
      <w:r w:rsidRPr="007C3C4D">
        <w:t>________________________</w:t>
      </w:r>
      <w:r w:rsidRPr="007C3C4D">
        <w:tab/>
      </w:r>
      <w:r w:rsidRPr="007C3C4D">
        <w:tab/>
      </w:r>
      <w:r w:rsidRPr="007C3C4D">
        <w:tab/>
        <w:t>________________________</w:t>
      </w:r>
    </w:p>
    <w:p w14:paraId="0EF938BE" w14:textId="77777777" w:rsidR="003461C9" w:rsidRPr="00F47986" w:rsidRDefault="003461C9" w:rsidP="003461C9">
      <w:pPr>
        <w:tabs>
          <w:tab w:val="left" w:pos="0"/>
        </w:tabs>
        <w:jc w:val="both"/>
        <w:rPr>
          <w:caps/>
        </w:rPr>
      </w:pPr>
      <w:r w:rsidRPr="00F47986">
        <w:rPr>
          <w:caps/>
        </w:rPr>
        <w:t>Sallie Tanner</w:t>
      </w:r>
      <w:r w:rsidRPr="00F47986">
        <w:rPr>
          <w:caps/>
        </w:rPr>
        <w:tab/>
      </w:r>
      <w:r w:rsidRPr="00F47986">
        <w:rPr>
          <w:caps/>
        </w:rPr>
        <w:tab/>
      </w:r>
      <w:r w:rsidRPr="00F47986">
        <w:rPr>
          <w:caps/>
        </w:rPr>
        <w:tab/>
      </w:r>
      <w:r w:rsidRPr="00F47986">
        <w:rPr>
          <w:caps/>
        </w:rPr>
        <w:tab/>
      </w:r>
      <w:r w:rsidRPr="00F47986">
        <w:rPr>
          <w:caps/>
        </w:rPr>
        <w:tab/>
      </w:r>
      <w:r>
        <w:rPr>
          <w:caps/>
        </w:rPr>
        <w:t>jason shaw</w:t>
      </w:r>
      <w:r w:rsidRPr="00F47986">
        <w:rPr>
          <w:caps/>
        </w:rPr>
        <w:t xml:space="preserve"> </w:t>
      </w:r>
    </w:p>
    <w:p w14:paraId="0A028A92" w14:textId="77777777" w:rsidR="003461C9" w:rsidRPr="00F47986" w:rsidRDefault="003461C9" w:rsidP="003461C9">
      <w:pPr>
        <w:tabs>
          <w:tab w:val="left" w:pos="0"/>
        </w:tabs>
        <w:jc w:val="both"/>
        <w:rPr>
          <w:caps/>
        </w:rPr>
      </w:pPr>
      <w:r w:rsidRPr="00F47986">
        <w:rPr>
          <w:caps/>
        </w:rPr>
        <w:t>Executive Secretary</w:t>
      </w:r>
      <w:r w:rsidRPr="00F47986">
        <w:rPr>
          <w:caps/>
        </w:rPr>
        <w:tab/>
      </w:r>
      <w:r w:rsidRPr="00F47986">
        <w:rPr>
          <w:caps/>
        </w:rPr>
        <w:tab/>
      </w:r>
      <w:r w:rsidRPr="00F47986">
        <w:rPr>
          <w:caps/>
        </w:rPr>
        <w:tab/>
      </w:r>
      <w:r w:rsidRPr="00F47986">
        <w:rPr>
          <w:caps/>
        </w:rPr>
        <w:tab/>
        <w:t>Chairman</w:t>
      </w:r>
    </w:p>
    <w:p w14:paraId="1E8AC9B3" w14:textId="77777777" w:rsidR="003461C9" w:rsidRDefault="003461C9" w:rsidP="003461C9">
      <w:pPr>
        <w:tabs>
          <w:tab w:val="left" w:pos="0"/>
        </w:tabs>
        <w:jc w:val="both"/>
        <w:rPr>
          <w:caps/>
        </w:rPr>
      </w:pPr>
    </w:p>
    <w:p w14:paraId="4D689684" w14:textId="77777777" w:rsidR="003461C9" w:rsidRPr="00F47986" w:rsidRDefault="003461C9" w:rsidP="003461C9">
      <w:pPr>
        <w:tabs>
          <w:tab w:val="left" w:pos="0"/>
        </w:tabs>
        <w:jc w:val="both"/>
        <w:rPr>
          <w:caps/>
        </w:rPr>
      </w:pPr>
    </w:p>
    <w:p w14:paraId="40633286" w14:textId="77777777" w:rsidR="003461C9" w:rsidRPr="00F47986" w:rsidRDefault="003461C9" w:rsidP="003461C9">
      <w:pPr>
        <w:tabs>
          <w:tab w:val="left" w:pos="0"/>
        </w:tabs>
        <w:jc w:val="both"/>
        <w:rPr>
          <w:caps/>
        </w:rPr>
      </w:pPr>
      <w:r w:rsidRPr="00F47986">
        <w:rPr>
          <w:caps/>
        </w:rPr>
        <w:t>________________________</w:t>
      </w:r>
      <w:r w:rsidRPr="00F47986">
        <w:rPr>
          <w:caps/>
        </w:rPr>
        <w:tab/>
      </w:r>
      <w:r w:rsidRPr="00F47986">
        <w:rPr>
          <w:caps/>
        </w:rPr>
        <w:tab/>
      </w:r>
      <w:r w:rsidRPr="00F47986">
        <w:rPr>
          <w:caps/>
        </w:rPr>
        <w:tab/>
        <w:t>_________________________</w:t>
      </w:r>
    </w:p>
    <w:p w14:paraId="38962016" w14:textId="77777777" w:rsidR="003461C9" w:rsidRPr="00F47986" w:rsidRDefault="003461C9" w:rsidP="003461C9">
      <w:pPr>
        <w:tabs>
          <w:tab w:val="left" w:pos="0"/>
        </w:tabs>
        <w:jc w:val="both"/>
        <w:rPr>
          <w:caps/>
        </w:rPr>
      </w:pPr>
      <w:r w:rsidRPr="00F47986">
        <w:rPr>
          <w:caps/>
        </w:rPr>
        <w:t>Date</w:t>
      </w:r>
      <w:r w:rsidRPr="00F47986">
        <w:rPr>
          <w:caps/>
        </w:rPr>
        <w:tab/>
      </w:r>
      <w:r w:rsidRPr="00F47986">
        <w:rPr>
          <w:caps/>
        </w:rPr>
        <w:tab/>
      </w:r>
      <w:r w:rsidRPr="00F47986">
        <w:rPr>
          <w:caps/>
        </w:rPr>
        <w:tab/>
      </w:r>
      <w:r w:rsidRPr="00F47986">
        <w:rPr>
          <w:caps/>
        </w:rPr>
        <w:tab/>
      </w:r>
      <w:r w:rsidRPr="00F47986">
        <w:rPr>
          <w:caps/>
        </w:rPr>
        <w:tab/>
      </w:r>
      <w:r w:rsidRPr="00F47986">
        <w:rPr>
          <w:caps/>
        </w:rPr>
        <w:tab/>
      </w:r>
      <w:r w:rsidRPr="00F47986">
        <w:rPr>
          <w:caps/>
        </w:rPr>
        <w:tab/>
        <w:t>Date</w:t>
      </w:r>
    </w:p>
    <w:p w14:paraId="7259CAEC" w14:textId="77777777" w:rsidR="003461C9" w:rsidRDefault="003461C9" w:rsidP="003461C9">
      <w:pPr>
        <w:spacing w:line="276" w:lineRule="auto"/>
      </w:pPr>
    </w:p>
    <w:p w14:paraId="1CAFB2A2" w14:textId="77777777" w:rsidR="0054334E" w:rsidRPr="0054334E" w:rsidRDefault="0054334E" w:rsidP="00024203">
      <w:pPr>
        <w:jc w:val="center"/>
        <w:rPr>
          <w:b/>
          <w:bCs/>
          <w:sz w:val="40"/>
          <w:szCs w:val="40"/>
        </w:rPr>
      </w:pPr>
    </w:p>
    <w:sectPr w:rsidR="0054334E" w:rsidRPr="0054334E" w:rsidSect="000460B8">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C91E9" w14:textId="77777777" w:rsidR="00B61483" w:rsidRDefault="00B61483" w:rsidP="00B71652">
      <w:r>
        <w:separator/>
      </w:r>
    </w:p>
  </w:endnote>
  <w:endnote w:type="continuationSeparator" w:id="0">
    <w:p w14:paraId="3641CDC9" w14:textId="77777777" w:rsidR="00B61483" w:rsidRDefault="00B61483" w:rsidP="00B71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7629658"/>
      <w:docPartObj>
        <w:docPartGallery w:val="Page Numbers (Bottom of Page)"/>
        <w:docPartUnique/>
      </w:docPartObj>
    </w:sdtPr>
    <w:sdtEndPr>
      <w:rPr>
        <w:noProof/>
      </w:rPr>
    </w:sdtEndPr>
    <w:sdtContent>
      <w:p w14:paraId="6FF29027" w14:textId="14D13A87" w:rsidR="006518FB" w:rsidRDefault="006518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FE5852" w14:textId="77777777" w:rsidR="007E3AD5" w:rsidRPr="00F50C0C" w:rsidRDefault="007E3AD5">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7A2C5" w14:textId="6CDA7798" w:rsidR="006B7D2E" w:rsidRDefault="006B7D2E" w:rsidP="006B7D2E">
    <w:pPr>
      <w:pStyle w:val="Footer"/>
      <w:tabs>
        <w:tab w:val="clear" w:pos="4680"/>
        <w:tab w:val="clear" w:pos="9360"/>
        <w:tab w:val="left" w:pos="5899"/>
      </w:tabs>
    </w:pPr>
    <w:r>
      <w:tab/>
    </w:r>
  </w:p>
  <w:p w14:paraId="786C2253" w14:textId="77777777" w:rsidR="006B7D2E" w:rsidRPr="00F50C0C" w:rsidRDefault="006B7D2E">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BAB8F" w14:textId="77777777" w:rsidR="006B7D2E" w:rsidRDefault="006B7D2E" w:rsidP="006B7D2E">
    <w:pPr>
      <w:pStyle w:val="Footer"/>
      <w:jc w:val="center"/>
      <w:rPr>
        <w:sz w:val="22"/>
        <w:szCs w:val="22"/>
      </w:rPr>
    </w:pPr>
    <w:r w:rsidRPr="00F50C0C">
      <w:rPr>
        <w:sz w:val="22"/>
        <w:szCs w:val="22"/>
      </w:rPr>
      <w:t xml:space="preserve">Docket Nos. </w:t>
    </w:r>
    <w:r>
      <w:rPr>
        <w:sz w:val="22"/>
        <w:szCs w:val="22"/>
      </w:rPr>
      <w:t>56002</w:t>
    </w:r>
    <w:r w:rsidRPr="00F50C0C">
      <w:rPr>
        <w:sz w:val="22"/>
        <w:szCs w:val="22"/>
      </w:rPr>
      <w:t xml:space="preserve"> and </w:t>
    </w:r>
    <w:r>
      <w:rPr>
        <w:sz w:val="22"/>
        <w:szCs w:val="22"/>
      </w:rPr>
      <w:t>56003</w:t>
    </w:r>
  </w:p>
  <w:p w14:paraId="50116F08" w14:textId="77777777" w:rsidR="006B7D2E" w:rsidRPr="00F50C0C" w:rsidRDefault="006B7D2E" w:rsidP="006B7D2E">
    <w:pPr>
      <w:pStyle w:val="Footer"/>
      <w:jc w:val="center"/>
      <w:rPr>
        <w:sz w:val="22"/>
        <w:szCs w:val="22"/>
      </w:rPr>
    </w:pPr>
    <w:r w:rsidRPr="2D7BE459">
      <w:rPr>
        <w:sz w:val="22"/>
        <w:szCs w:val="22"/>
      </w:rPr>
      <w:t xml:space="preserve">PIA Staff’s </w:t>
    </w:r>
    <w:r w:rsidRPr="48F73891">
      <w:rPr>
        <w:sz w:val="22"/>
        <w:szCs w:val="22"/>
      </w:rPr>
      <w:t>Proposed</w:t>
    </w:r>
    <w:r>
      <w:rPr>
        <w:sz w:val="22"/>
        <w:szCs w:val="22"/>
      </w:rPr>
      <w:t xml:space="preserve"> Order</w:t>
    </w:r>
  </w:p>
  <w:p w14:paraId="47DD56D4" w14:textId="62BA80A6" w:rsidR="006B7D2E" w:rsidRPr="00F50C0C" w:rsidRDefault="006B7D2E" w:rsidP="006B7D2E">
    <w:pPr>
      <w:pStyle w:val="Footer"/>
      <w:jc w:val="center"/>
      <w:rPr>
        <w:noProof/>
        <w:sz w:val="22"/>
        <w:szCs w:val="22"/>
      </w:rPr>
    </w:pPr>
    <w:r>
      <w:rPr>
        <w:noProof/>
        <w:sz w:val="22"/>
        <w:szCs w:val="22"/>
      </w:rPr>
      <w:t xml:space="preserve">Page </w:t>
    </w:r>
    <w:r w:rsidRPr="000C6043">
      <w:rPr>
        <w:noProof/>
        <w:sz w:val="22"/>
        <w:szCs w:val="22"/>
      </w:rPr>
      <w:fldChar w:fldCharType="begin"/>
    </w:r>
    <w:r w:rsidRPr="000C6043">
      <w:rPr>
        <w:noProof/>
        <w:sz w:val="22"/>
        <w:szCs w:val="22"/>
      </w:rPr>
      <w:instrText xml:space="preserve"> PAGE   \* MERGEFORMAT </w:instrText>
    </w:r>
    <w:r w:rsidRPr="000C6043">
      <w:rPr>
        <w:noProof/>
        <w:sz w:val="22"/>
        <w:szCs w:val="22"/>
      </w:rPr>
      <w:fldChar w:fldCharType="separate"/>
    </w:r>
    <w:r>
      <w:rPr>
        <w:noProof/>
        <w:sz w:val="22"/>
        <w:szCs w:val="22"/>
      </w:rPr>
      <w:t>4</w:t>
    </w:r>
    <w:r w:rsidRPr="000C6043">
      <w:rPr>
        <w:noProof/>
        <w:sz w:val="22"/>
        <w:szCs w:val="22"/>
      </w:rPr>
      <w:fldChar w:fldCharType="end"/>
    </w:r>
    <w:r>
      <w:rPr>
        <w:noProof/>
        <w:sz w:val="22"/>
        <w:szCs w:val="22"/>
      </w:rPr>
      <w:t xml:space="preserve"> of 2</w:t>
    </w:r>
    <w:r w:rsidR="00C105A4">
      <w:rPr>
        <w:noProof/>
        <w:sz w:val="22"/>
        <w:szCs w:val="22"/>
      </w:rPr>
      <w:t>7</w:t>
    </w:r>
    <w:r>
      <w:rPr>
        <w:noProof/>
        <w:sz w:val="22"/>
        <w:szCs w:val="22"/>
      </w:rPr>
      <w:t xml:space="preserve"> </w:t>
    </w:r>
  </w:p>
  <w:p w14:paraId="298E82BD" w14:textId="77777777" w:rsidR="006B7D2E" w:rsidRDefault="006B7D2E" w:rsidP="006B7D2E">
    <w:pPr>
      <w:pStyle w:val="Footer"/>
      <w:tabs>
        <w:tab w:val="clear" w:pos="4680"/>
        <w:tab w:val="clear" w:pos="9360"/>
        <w:tab w:val="left" w:pos="5899"/>
      </w:tabs>
    </w:pPr>
    <w:r>
      <w:tab/>
    </w:r>
  </w:p>
  <w:p w14:paraId="5B3A441B" w14:textId="77777777" w:rsidR="006B7D2E" w:rsidRPr="00F50C0C" w:rsidRDefault="006B7D2E">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8FBB5" w14:textId="77777777" w:rsidR="00B61483" w:rsidRDefault="00B61483" w:rsidP="00B71652">
      <w:r>
        <w:separator/>
      </w:r>
    </w:p>
  </w:footnote>
  <w:footnote w:type="continuationSeparator" w:id="0">
    <w:p w14:paraId="72305599" w14:textId="77777777" w:rsidR="00B61483" w:rsidRDefault="00B61483" w:rsidP="00B71652">
      <w:r>
        <w:continuationSeparator/>
      </w:r>
    </w:p>
  </w:footnote>
  <w:footnote w:id="1">
    <w:p w14:paraId="79CAC541" w14:textId="77777777" w:rsidR="003461C9" w:rsidRDefault="003461C9" w:rsidP="003461C9">
      <w:pPr>
        <w:pStyle w:val="FootnoteText"/>
        <w:jc w:val="both"/>
      </w:pPr>
      <w:r>
        <w:rPr>
          <w:rStyle w:val="FootnoteReference"/>
          <w:rFonts w:ascii="Arial" w:hAnsi="Arial" w:cs="Arial"/>
        </w:rPr>
        <w:footnoteRef/>
      </w:r>
      <w:r>
        <w:rPr>
          <w:rFonts w:ascii="Arial" w:hAnsi="Arial" w:cs="Arial"/>
        </w:rPr>
        <w:t xml:space="preserve"> </w:t>
      </w:r>
      <w:r w:rsidRPr="001C2F6B">
        <w:rPr>
          <w:rFonts w:ascii="Times New Roman" w:hAnsi="Times New Roman"/>
        </w:rPr>
        <w:t xml:space="preserve">O.C.G.A. </w:t>
      </w:r>
      <w:r w:rsidRPr="001C2F6B">
        <w:rPr>
          <w:rStyle w:val="Outline2"/>
          <w:rFonts w:ascii="Times New Roman" w:hAnsi="Times New Roman"/>
          <w:spacing w:val="-3"/>
        </w:rPr>
        <w:t>§</w:t>
      </w:r>
      <w:r w:rsidRPr="001C2F6B">
        <w:rPr>
          <w:rFonts w:ascii="Times New Roman" w:hAnsi="Times New Roman"/>
        </w:rPr>
        <w:t xml:space="preserve"> 46-3A-2.</w:t>
      </w:r>
    </w:p>
  </w:footnote>
  <w:footnote w:id="2">
    <w:p w14:paraId="72FE42D3" w14:textId="77777777" w:rsidR="003461C9" w:rsidRDefault="003461C9" w:rsidP="003461C9">
      <w:pPr>
        <w:pStyle w:val="FootnoteText"/>
        <w:jc w:val="both"/>
      </w:pPr>
      <w:r w:rsidRPr="001C2F6B">
        <w:rPr>
          <w:rStyle w:val="FootnoteReference"/>
          <w:rFonts w:ascii="Times New Roman" w:hAnsi="Times New Roman"/>
        </w:rPr>
        <w:footnoteRef/>
      </w:r>
      <w:r w:rsidRPr="001C2F6B">
        <w:rPr>
          <w:rFonts w:ascii="Times New Roman" w:hAnsi="Times New Roman"/>
        </w:rPr>
        <w:t xml:space="preserve"> O.C.G.A. § 46-3A-1(7).</w:t>
      </w:r>
    </w:p>
  </w:footnote>
  <w:footnote w:id="3">
    <w:p w14:paraId="1F568E5E" w14:textId="77777777" w:rsidR="003461C9" w:rsidRDefault="003461C9" w:rsidP="003461C9">
      <w:pPr>
        <w:contextualSpacing/>
        <w:jc w:val="both"/>
      </w:pPr>
      <w:r>
        <w:rPr>
          <w:rStyle w:val="FootnoteReference"/>
        </w:rPr>
        <w:footnoteRef/>
      </w:r>
      <w:r>
        <w:t xml:space="preserve"> </w:t>
      </w:r>
      <w:r w:rsidRPr="00A57515">
        <w:rPr>
          <w:i/>
          <w:spacing w:val="-3"/>
          <w:sz w:val="20"/>
          <w:szCs w:val="20"/>
        </w:rPr>
        <w:t xml:space="preserve">See </w:t>
      </w:r>
      <w:r w:rsidRPr="00A57515">
        <w:rPr>
          <w:smallCaps/>
          <w:sz w:val="20"/>
          <w:szCs w:val="20"/>
        </w:rPr>
        <w:t>G</w:t>
      </w:r>
      <w:bookmarkStart w:id="0" w:name="_BA_Cite_06EBEF_000226"/>
      <w:bookmarkEnd w:id="0"/>
      <w:r w:rsidRPr="00A57515">
        <w:rPr>
          <w:smallCaps/>
          <w:sz w:val="20"/>
          <w:szCs w:val="20"/>
        </w:rPr>
        <w:t>a. Comp. R. and Regs.</w:t>
      </w:r>
      <w:r w:rsidRPr="00A57515">
        <w:rPr>
          <w:sz w:val="20"/>
          <w:szCs w:val="20"/>
        </w:rPr>
        <w:t xml:space="preserve"> </w:t>
      </w:r>
      <w:r>
        <w:rPr>
          <w:sz w:val="20"/>
          <w:szCs w:val="20"/>
        </w:rPr>
        <w:t xml:space="preserve">(“Commission Rule”) </w:t>
      </w:r>
      <w:r w:rsidRPr="00A57515">
        <w:rPr>
          <w:sz w:val="20"/>
          <w:szCs w:val="20"/>
        </w:rPr>
        <w:t>515-3-4-.01 through .12.</w:t>
      </w:r>
      <w:r w:rsidRPr="00A57515">
        <w:rPr>
          <w:spacing w:val="-3"/>
          <w:sz w:val="20"/>
          <w:szCs w:val="20"/>
        </w:rPr>
        <w:t xml:space="preserve">  </w:t>
      </w:r>
    </w:p>
  </w:footnote>
  <w:footnote w:id="4">
    <w:p w14:paraId="56A06D69" w14:textId="77777777" w:rsidR="003461C9" w:rsidRDefault="003461C9" w:rsidP="003461C9">
      <w:pPr>
        <w:pStyle w:val="FootnoteText"/>
        <w:contextualSpacing/>
        <w:jc w:val="both"/>
      </w:pPr>
      <w:r w:rsidRPr="001C2F6B">
        <w:rPr>
          <w:rStyle w:val="FootnoteReference"/>
          <w:rFonts w:ascii="Times New Roman" w:hAnsi="Times New Roman"/>
        </w:rPr>
        <w:footnoteRef/>
      </w:r>
      <w:r w:rsidRPr="001C2F6B">
        <w:rPr>
          <w:rFonts w:ascii="Times New Roman" w:hAnsi="Times New Roman"/>
        </w:rPr>
        <w:t xml:space="preserve"> O.C.G.A. § 46-3A-2(b)(1).</w:t>
      </w:r>
    </w:p>
  </w:footnote>
  <w:footnote w:id="5">
    <w:p w14:paraId="63923700" w14:textId="77777777" w:rsidR="003461C9" w:rsidRDefault="003461C9" w:rsidP="003461C9">
      <w:pPr>
        <w:pStyle w:val="FootnoteText"/>
        <w:jc w:val="both"/>
      </w:pPr>
      <w:r w:rsidRPr="001C2F6B">
        <w:rPr>
          <w:rStyle w:val="FootnoteReference"/>
          <w:rFonts w:ascii="Times New Roman" w:hAnsi="Times New Roman"/>
        </w:rPr>
        <w:footnoteRef/>
      </w:r>
      <w:r w:rsidRPr="001C2F6B">
        <w:rPr>
          <w:rFonts w:ascii="Times New Roman" w:hAnsi="Times New Roman"/>
        </w:rPr>
        <w:t xml:space="preserve"> O.C.G.A. § 46-3A-2(b)(2).</w:t>
      </w:r>
    </w:p>
  </w:footnote>
  <w:footnote w:id="6">
    <w:p w14:paraId="7B54DD61" w14:textId="77777777" w:rsidR="003461C9" w:rsidRDefault="003461C9" w:rsidP="003461C9">
      <w:pPr>
        <w:pStyle w:val="FootnoteText"/>
        <w:jc w:val="both"/>
      </w:pPr>
      <w:r w:rsidRPr="001C2F6B">
        <w:rPr>
          <w:rStyle w:val="FootnoteReference"/>
          <w:rFonts w:ascii="Times New Roman" w:hAnsi="Times New Roman"/>
        </w:rPr>
        <w:footnoteRef/>
      </w:r>
      <w:r w:rsidRPr="001C2F6B">
        <w:rPr>
          <w:rFonts w:ascii="Times New Roman" w:hAnsi="Times New Roman"/>
        </w:rPr>
        <w:t xml:space="preserve"> O.C.G.A. § 46-3A-2 (b)(3).</w:t>
      </w:r>
    </w:p>
  </w:footnote>
  <w:footnote w:id="7">
    <w:p w14:paraId="01BDBF0A" w14:textId="77777777" w:rsidR="003461C9" w:rsidRDefault="003461C9" w:rsidP="003461C9">
      <w:pPr>
        <w:pStyle w:val="FootnoteText"/>
        <w:jc w:val="both"/>
      </w:pPr>
      <w:r w:rsidRPr="001C2F6B">
        <w:rPr>
          <w:rStyle w:val="FootnoteReference"/>
          <w:rFonts w:ascii="Times New Roman" w:hAnsi="Times New Roman"/>
        </w:rPr>
        <w:footnoteRef/>
      </w:r>
      <w:r w:rsidRPr="001C2F6B">
        <w:rPr>
          <w:rFonts w:ascii="Times New Roman" w:hAnsi="Times New Roman"/>
        </w:rPr>
        <w:t xml:space="preserve"> </w:t>
      </w:r>
      <w:r>
        <w:rPr>
          <w:rFonts w:ascii="Times New Roman" w:hAnsi="Times New Roman"/>
        </w:rPr>
        <w:t>Commission</w:t>
      </w:r>
      <w:r w:rsidRPr="001C2F6B">
        <w:rPr>
          <w:rFonts w:ascii="Times New Roman" w:hAnsi="Times New Roman"/>
        </w:rPr>
        <w:t xml:space="preserve"> Rule 515-3-4-.01(2).</w:t>
      </w:r>
    </w:p>
  </w:footnote>
  <w:footnote w:id="8">
    <w:p w14:paraId="67568C37" w14:textId="77777777" w:rsidR="003461C9" w:rsidRPr="00BF7B1B" w:rsidRDefault="003461C9" w:rsidP="003461C9">
      <w:pPr>
        <w:pStyle w:val="FootnoteText"/>
        <w:rPr>
          <w:rFonts w:ascii="Times New Roman" w:hAnsi="Times New Roman"/>
        </w:rPr>
      </w:pPr>
      <w:r>
        <w:rPr>
          <w:rStyle w:val="FootnoteReference"/>
        </w:rPr>
        <w:footnoteRef/>
      </w:r>
      <w:r>
        <w:t xml:space="preserve"> </w:t>
      </w:r>
      <w:r w:rsidRPr="001C2F6B">
        <w:rPr>
          <w:rFonts w:ascii="Times New Roman" w:hAnsi="Times New Roman"/>
        </w:rPr>
        <w:t>O.C.G.A. § 46-3A-9</w:t>
      </w:r>
    </w:p>
  </w:footnote>
  <w:footnote w:id="9">
    <w:p w14:paraId="7E4E12EA" w14:textId="77777777" w:rsidR="003461C9" w:rsidRDefault="003461C9" w:rsidP="003461C9">
      <w:pPr>
        <w:pStyle w:val="FootnoteText"/>
      </w:pPr>
      <w:r>
        <w:rPr>
          <w:rStyle w:val="FootnoteReference"/>
        </w:rPr>
        <w:footnoteRef/>
      </w:r>
      <w:r>
        <w:t xml:space="preserve"> </w:t>
      </w:r>
      <w:r>
        <w:rPr>
          <w:rFonts w:ascii="Times New Roman" w:hAnsi="Times New Roman"/>
          <w:i/>
        </w:rPr>
        <w:t>Id.</w:t>
      </w:r>
    </w:p>
  </w:footnote>
  <w:footnote w:id="10">
    <w:p w14:paraId="1438924C" w14:textId="77777777" w:rsidR="003461C9" w:rsidRDefault="003461C9" w:rsidP="003461C9">
      <w:pPr>
        <w:pStyle w:val="FootnoteText"/>
      </w:pPr>
      <w:r>
        <w:rPr>
          <w:rStyle w:val="FootnoteReference"/>
        </w:rPr>
        <w:footnoteRef/>
      </w:r>
      <w:r>
        <w:t xml:space="preserve"> </w:t>
      </w:r>
      <w:r w:rsidRPr="0088089C">
        <w:rPr>
          <w:rFonts w:ascii="Times New Roman" w:hAnsi="Times New Roman"/>
        </w:rPr>
        <w:t>Large load projects are defined by the Company as customers who have requested service or otherwise communicated proposals to the Company to receive service from the Company for 100 Megawatts of more of electric service</w:t>
      </w:r>
    </w:p>
  </w:footnote>
  <w:footnote w:id="11">
    <w:p w14:paraId="595127AD" w14:textId="77777777" w:rsidR="003461C9" w:rsidRPr="00FC0DED" w:rsidRDefault="003461C9" w:rsidP="003461C9">
      <w:pPr>
        <w:pStyle w:val="FootnoteText"/>
        <w:tabs>
          <w:tab w:val="left" w:pos="2505"/>
        </w:tabs>
        <w:rPr>
          <w:rFonts w:ascii="Times New Roman" w:hAnsi="Times New Roman"/>
        </w:rPr>
      </w:pPr>
      <w:r w:rsidRPr="00FC0DED">
        <w:rPr>
          <w:rStyle w:val="FootnoteReference"/>
          <w:rFonts w:ascii="Times New Roman" w:hAnsi="Times New Roman"/>
        </w:rPr>
        <w:footnoteRef/>
      </w:r>
      <w:r w:rsidRPr="00FC0DED">
        <w:rPr>
          <w:rFonts w:ascii="Times New Roman" w:hAnsi="Times New Roman"/>
        </w:rPr>
        <w:t xml:space="preserve"> </w:t>
      </w:r>
      <w:r w:rsidRPr="00D95C40">
        <w:rPr>
          <w:rFonts w:ascii="Times New Roman" w:hAnsi="Times New Roman"/>
          <w:u w:val="single"/>
        </w:rPr>
        <w:t>See</w:t>
      </w:r>
      <w:r>
        <w:rPr>
          <w:rFonts w:ascii="Times New Roman" w:hAnsi="Times New Roman"/>
        </w:rPr>
        <w:t xml:space="preserve"> Direct Testimony and Exhibits of Douglas A. Smith and Sasikumar Kannan, page 4, lines 2-6.</w:t>
      </w:r>
    </w:p>
  </w:footnote>
  <w:footnote w:id="12">
    <w:p w14:paraId="196C0F49" w14:textId="77777777" w:rsidR="003461C9" w:rsidRPr="000F5776" w:rsidRDefault="003461C9" w:rsidP="003461C9">
      <w:pPr>
        <w:pStyle w:val="FootnoteText"/>
        <w:tabs>
          <w:tab w:val="left" w:pos="2505"/>
        </w:tabs>
        <w:rPr>
          <w:rFonts w:ascii="Times New Roman" w:hAnsi="Times New Roman"/>
        </w:rPr>
      </w:pPr>
      <w:r>
        <w:rPr>
          <w:rStyle w:val="FootnoteReference"/>
        </w:rPr>
        <w:footnoteRef/>
      </w:r>
      <w:r>
        <w:rPr>
          <w:rFonts w:ascii="Times New Roman" w:hAnsi="Times New Roman"/>
          <w:u w:val="single"/>
        </w:rPr>
        <w:t xml:space="preserve"> </w:t>
      </w:r>
      <w:r w:rsidRPr="00D95C40">
        <w:rPr>
          <w:rFonts w:ascii="Times New Roman" w:hAnsi="Times New Roman"/>
          <w:u w:val="single"/>
        </w:rPr>
        <w:t>See</w:t>
      </w:r>
      <w:r>
        <w:rPr>
          <w:rFonts w:ascii="Times New Roman" w:hAnsi="Times New Roman"/>
        </w:rPr>
        <w:t xml:space="preserve"> Direct Testimony and Exhibits of Douglas A. Smith and Sasikumar Kannan, page 4, lines 16-18.</w:t>
      </w:r>
    </w:p>
  </w:footnote>
  <w:footnote w:id="13">
    <w:p w14:paraId="61932B86" w14:textId="77777777" w:rsidR="003461C9" w:rsidRPr="001B0C6E" w:rsidRDefault="003461C9" w:rsidP="003461C9">
      <w:pPr>
        <w:pStyle w:val="FootnoteText"/>
        <w:tabs>
          <w:tab w:val="left" w:pos="2505"/>
        </w:tabs>
        <w:rPr>
          <w:rFonts w:ascii="Times New Roman" w:hAnsi="Times New Roman"/>
        </w:rPr>
      </w:pPr>
      <w:r w:rsidRPr="000F5776">
        <w:rPr>
          <w:rStyle w:val="FootnoteReference"/>
          <w:rFonts w:ascii="Times New Roman" w:hAnsi="Times New Roman"/>
        </w:rPr>
        <w:footnoteRef/>
      </w:r>
      <w:r w:rsidRPr="000F5776">
        <w:rPr>
          <w:rFonts w:ascii="Times New Roman" w:hAnsi="Times New Roman"/>
        </w:rPr>
        <w:t xml:space="preserve"> </w:t>
      </w:r>
      <w:r w:rsidRPr="00D95C40">
        <w:rPr>
          <w:rFonts w:ascii="Times New Roman" w:hAnsi="Times New Roman"/>
          <w:u w:val="single"/>
        </w:rPr>
        <w:t>See</w:t>
      </w:r>
      <w:r>
        <w:rPr>
          <w:rFonts w:ascii="Times New Roman" w:hAnsi="Times New Roman"/>
        </w:rPr>
        <w:t xml:space="preserve"> Direct Testimony and Exhibits of Douglas A. Smith and Sasikumar Kannan, page 5, lines 9-12.</w:t>
      </w:r>
    </w:p>
  </w:footnote>
  <w:footnote w:id="14">
    <w:p w14:paraId="65F9A2DF" w14:textId="77777777" w:rsidR="003461C9" w:rsidRDefault="003461C9" w:rsidP="003461C9">
      <w:pPr>
        <w:pStyle w:val="FootnoteText"/>
      </w:pPr>
      <w:r>
        <w:rPr>
          <w:rStyle w:val="FootnoteReference"/>
        </w:rPr>
        <w:footnoteRef/>
      </w:r>
      <w:r>
        <w:t xml:space="preserve"> </w:t>
      </w:r>
      <w:r w:rsidRPr="00D95C40">
        <w:rPr>
          <w:rFonts w:ascii="Times New Roman" w:hAnsi="Times New Roman"/>
          <w:u w:val="single"/>
        </w:rPr>
        <w:t>See</w:t>
      </w:r>
      <w:r>
        <w:rPr>
          <w:rFonts w:ascii="Times New Roman" w:hAnsi="Times New Roman"/>
        </w:rPr>
        <w:t xml:space="preserve"> Direct Testimony and Exhibits of Douglas A. Smith and Sasikumar Kannan, page 5, lines 20-22.</w:t>
      </w:r>
    </w:p>
  </w:footnote>
  <w:footnote w:id="15">
    <w:p w14:paraId="34EA3422" w14:textId="77777777" w:rsidR="003461C9" w:rsidRDefault="003461C9" w:rsidP="003461C9">
      <w:pPr>
        <w:pStyle w:val="FootnoteText"/>
        <w:tabs>
          <w:tab w:val="left" w:pos="1575"/>
        </w:tabs>
      </w:pPr>
      <w:r>
        <w:rPr>
          <w:rStyle w:val="FootnoteReference"/>
        </w:rPr>
        <w:footnoteRef/>
      </w:r>
      <w:r>
        <w:t xml:space="preserve"> </w:t>
      </w:r>
      <w:r w:rsidRPr="00D95C40">
        <w:rPr>
          <w:rFonts w:ascii="Times New Roman" w:hAnsi="Times New Roman"/>
          <w:u w:val="single"/>
        </w:rPr>
        <w:t>See</w:t>
      </w:r>
      <w:r>
        <w:rPr>
          <w:rFonts w:ascii="Times New Roman" w:hAnsi="Times New Roman"/>
        </w:rPr>
        <w:t xml:space="preserve"> Direct Testimony and Exhibits of Douglas A. Smith and Sasikumar Kannan, pages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34302" w14:textId="6FF30787" w:rsidR="007A0173" w:rsidRDefault="007A0173">
    <w:pPr>
      <w:pStyle w:val="Header"/>
      <w:jc w:val="center"/>
    </w:pPr>
  </w:p>
  <w:p w14:paraId="7245194C" w14:textId="77777777" w:rsidR="00832C8E" w:rsidRDefault="00832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50A4"/>
    <w:multiLevelType w:val="multilevel"/>
    <w:tmpl w:val="C46AB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70EF"/>
    <w:multiLevelType w:val="hybridMultilevel"/>
    <w:tmpl w:val="B798C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101918"/>
    <w:multiLevelType w:val="hybridMultilevel"/>
    <w:tmpl w:val="7C74E1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5D4B8F"/>
    <w:multiLevelType w:val="hybridMultilevel"/>
    <w:tmpl w:val="CE96D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B05B53"/>
    <w:multiLevelType w:val="hybridMultilevel"/>
    <w:tmpl w:val="8B62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F3540"/>
    <w:multiLevelType w:val="hybridMultilevel"/>
    <w:tmpl w:val="31DC0DC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6" w15:restartNumberingAfterBreak="0">
    <w:nsid w:val="22695888"/>
    <w:multiLevelType w:val="hybridMultilevel"/>
    <w:tmpl w:val="F40AE25C"/>
    <w:lvl w:ilvl="0" w:tplc="B1324E0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248F3BE4"/>
    <w:multiLevelType w:val="hybridMultilevel"/>
    <w:tmpl w:val="3E8CFA0E"/>
    <w:lvl w:ilvl="0" w:tplc="938E19C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F38E5"/>
    <w:multiLevelType w:val="hybridMultilevel"/>
    <w:tmpl w:val="C23C23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E12209"/>
    <w:multiLevelType w:val="hybridMultilevel"/>
    <w:tmpl w:val="82D4A1D4"/>
    <w:lvl w:ilvl="0" w:tplc="AFB0951A">
      <w:start w:val="1"/>
      <w:numFmt w:val="decimal"/>
      <w:lvlText w:val="%1."/>
      <w:lvlJc w:val="left"/>
      <w:pPr>
        <w:ind w:left="360" w:hanging="360"/>
      </w:pPr>
    </w:lvl>
    <w:lvl w:ilvl="1" w:tplc="6E74DCB6">
      <w:start w:val="1"/>
      <w:numFmt w:val="lowerLetter"/>
      <w:lvlText w:val="%2."/>
      <w:lvlJc w:val="left"/>
      <w:pPr>
        <w:ind w:left="1080" w:hanging="360"/>
      </w:pPr>
    </w:lvl>
    <w:lvl w:ilvl="2" w:tplc="CD0E4A68">
      <w:start w:val="1"/>
      <w:numFmt w:val="lowerRoman"/>
      <w:lvlText w:val="%3."/>
      <w:lvlJc w:val="right"/>
      <w:pPr>
        <w:ind w:left="1800" w:hanging="180"/>
      </w:pPr>
    </w:lvl>
    <w:lvl w:ilvl="3" w:tplc="051A26EA">
      <w:start w:val="1"/>
      <w:numFmt w:val="decimal"/>
      <w:lvlText w:val="%4."/>
      <w:lvlJc w:val="left"/>
      <w:pPr>
        <w:ind w:left="2520" w:hanging="360"/>
      </w:pPr>
    </w:lvl>
    <w:lvl w:ilvl="4" w:tplc="5B2886D6">
      <w:start w:val="1"/>
      <w:numFmt w:val="lowerLetter"/>
      <w:lvlText w:val="%5."/>
      <w:lvlJc w:val="left"/>
      <w:pPr>
        <w:ind w:left="3240" w:hanging="360"/>
      </w:pPr>
    </w:lvl>
    <w:lvl w:ilvl="5" w:tplc="58F4E4D6">
      <w:start w:val="1"/>
      <w:numFmt w:val="lowerRoman"/>
      <w:lvlText w:val="%6."/>
      <w:lvlJc w:val="right"/>
      <w:pPr>
        <w:ind w:left="3960" w:hanging="180"/>
      </w:pPr>
    </w:lvl>
    <w:lvl w:ilvl="6" w:tplc="6ACED11C">
      <w:start w:val="1"/>
      <w:numFmt w:val="decimal"/>
      <w:lvlText w:val="%7."/>
      <w:lvlJc w:val="left"/>
      <w:pPr>
        <w:ind w:left="4680" w:hanging="360"/>
      </w:pPr>
    </w:lvl>
    <w:lvl w:ilvl="7" w:tplc="D55E1E08">
      <w:start w:val="1"/>
      <w:numFmt w:val="lowerLetter"/>
      <w:lvlText w:val="%8."/>
      <w:lvlJc w:val="left"/>
      <w:pPr>
        <w:ind w:left="5400" w:hanging="360"/>
      </w:pPr>
    </w:lvl>
    <w:lvl w:ilvl="8" w:tplc="8AF685B0">
      <w:start w:val="1"/>
      <w:numFmt w:val="lowerRoman"/>
      <w:lvlText w:val="%9."/>
      <w:lvlJc w:val="right"/>
      <w:pPr>
        <w:ind w:left="6120" w:hanging="180"/>
      </w:pPr>
    </w:lvl>
  </w:abstractNum>
  <w:abstractNum w:abstractNumId="10" w15:restartNumberingAfterBreak="0">
    <w:nsid w:val="2BEA711F"/>
    <w:multiLevelType w:val="hybridMultilevel"/>
    <w:tmpl w:val="1336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404719"/>
    <w:multiLevelType w:val="hybridMultilevel"/>
    <w:tmpl w:val="E214D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D8AB1"/>
    <w:multiLevelType w:val="hybridMultilevel"/>
    <w:tmpl w:val="BFDE4DC4"/>
    <w:lvl w:ilvl="0" w:tplc="B2BEA3B6">
      <w:start w:val="1"/>
      <w:numFmt w:val="decimal"/>
      <w:lvlText w:val="%1."/>
      <w:lvlJc w:val="left"/>
      <w:pPr>
        <w:ind w:left="720" w:hanging="360"/>
      </w:pPr>
    </w:lvl>
    <w:lvl w:ilvl="1" w:tplc="014E45A8">
      <w:start w:val="1"/>
      <w:numFmt w:val="lowerLetter"/>
      <w:lvlText w:val="%2."/>
      <w:lvlJc w:val="left"/>
      <w:pPr>
        <w:ind w:left="1440" w:hanging="360"/>
      </w:pPr>
    </w:lvl>
    <w:lvl w:ilvl="2" w:tplc="C9A44242">
      <w:start w:val="1"/>
      <w:numFmt w:val="lowerRoman"/>
      <w:lvlText w:val="%3."/>
      <w:lvlJc w:val="right"/>
      <w:pPr>
        <w:ind w:left="2160" w:hanging="180"/>
      </w:pPr>
    </w:lvl>
    <w:lvl w:ilvl="3" w:tplc="4704F326">
      <w:start w:val="1"/>
      <w:numFmt w:val="decimal"/>
      <w:lvlText w:val="%4."/>
      <w:lvlJc w:val="left"/>
      <w:pPr>
        <w:ind w:left="2880" w:hanging="360"/>
      </w:pPr>
    </w:lvl>
    <w:lvl w:ilvl="4" w:tplc="7C08C8B2">
      <w:start w:val="1"/>
      <w:numFmt w:val="lowerLetter"/>
      <w:lvlText w:val="%5."/>
      <w:lvlJc w:val="left"/>
      <w:pPr>
        <w:ind w:left="3600" w:hanging="360"/>
      </w:pPr>
    </w:lvl>
    <w:lvl w:ilvl="5" w:tplc="F0CC4188">
      <w:start w:val="1"/>
      <w:numFmt w:val="lowerRoman"/>
      <w:lvlText w:val="%6."/>
      <w:lvlJc w:val="right"/>
      <w:pPr>
        <w:ind w:left="4320" w:hanging="180"/>
      </w:pPr>
    </w:lvl>
    <w:lvl w:ilvl="6" w:tplc="61BC093E">
      <w:start w:val="1"/>
      <w:numFmt w:val="decimal"/>
      <w:lvlText w:val="%7."/>
      <w:lvlJc w:val="left"/>
      <w:pPr>
        <w:ind w:left="5040" w:hanging="360"/>
      </w:pPr>
    </w:lvl>
    <w:lvl w:ilvl="7" w:tplc="D494AA5E">
      <w:start w:val="1"/>
      <w:numFmt w:val="lowerLetter"/>
      <w:lvlText w:val="%8."/>
      <w:lvlJc w:val="left"/>
      <w:pPr>
        <w:ind w:left="5760" w:hanging="360"/>
      </w:pPr>
    </w:lvl>
    <w:lvl w:ilvl="8" w:tplc="5FB4111C">
      <w:start w:val="1"/>
      <w:numFmt w:val="lowerRoman"/>
      <w:lvlText w:val="%9."/>
      <w:lvlJc w:val="right"/>
      <w:pPr>
        <w:ind w:left="6480" w:hanging="180"/>
      </w:pPr>
    </w:lvl>
  </w:abstractNum>
  <w:abstractNum w:abstractNumId="13" w15:restartNumberingAfterBreak="0">
    <w:nsid w:val="38B236FB"/>
    <w:multiLevelType w:val="hybridMultilevel"/>
    <w:tmpl w:val="FF588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742B59"/>
    <w:multiLevelType w:val="hybridMultilevel"/>
    <w:tmpl w:val="1FD6AB08"/>
    <w:lvl w:ilvl="0" w:tplc="FFFFFFFF">
      <w:start w:val="1"/>
      <w:numFmt w:val="decimal"/>
      <w:lvlText w:val="%1(4)"/>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36775E5"/>
    <w:multiLevelType w:val="hybridMultilevel"/>
    <w:tmpl w:val="472E2432"/>
    <w:lvl w:ilvl="0" w:tplc="FA760A1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F21E2"/>
    <w:multiLevelType w:val="hybridMultilevel"/>
    <w:tmpl w:val="3EC8F2DC"/>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7" w15:restartNumberingAfterBreak="0">
    <w:nsid w:val="48814CAA"/>
    <w:multiLevelType w:val="hybridMultilevel"/>
    <w:tmpl w:val="54C0D1A6"/>
    <w:lvl w:ilvl="0" w:tplc="3214A07C">
      <w:start w:val="1"/>
      <w:numFmt w:val="upperRoman"/>
      <w:pStyle w:val="TOCHead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E6E59"/>
    <w:multiLevelType w:val="hybridMultilevel"/>
    <w:tmpl w:val="F1448766"/>
    <w:lvl w:ilvl="0" w:tplc="3A60C41C">
      <w:start w:val="1"/>
      <w:numFmt w:val="decimal"/>
      <w:lvlText w:val="%1."/>
      <w:lvlJc w:val="left"/>
      <w:pPr>
        <w:ind w:left="126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5A32413"/>
    <w:multiLevelType w:val="multilevel"/>
    <w:tmpl w:val="08F01ED8"/>
    <w:lvl w:ilvl="0">
      <w:start w:val="1"/>
      <w:numFmt w:val="none"/>
      <w:pStyle w:val="Answer1"/>
      <w:lvlText w:val="A.%1"/>
      <w:lvlJc w:val="left"/>
      <w:pPr>
        <w:tabs>
          <w:tab w:val="num" w:pos="270"/>
        </w:tabs>
        <w:ind w:left="27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1">
      <w:start w:val="1"/>
      <w:numFmt w:val="none"/>
      <w:pStyle w:val="Answer2"/>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2">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3">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4">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5">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6">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7">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lvl w:ilvl="8">
      <w:start w:val="1"/>
      <w:numFmt w:val="none"/>
      <w:suff w:val="nothing"/>
      <w:lvlText w:val=""/>
      <w:lvlJc w:val="left"/>
      <w:pPr>
        <w:tabs>
          <w:tab w:val="num" w:pos="0"/>
        </w:tabs>
        <w:ind w:left="0" w:firstLine="0"/>
      </w:pPr>
      <w:rPr>
        <w:rFonts w:ascii="Times New Roman" w:hAnsi="Times New Roman" w:cs="Times New Roman"/>
        <w:b w:val="0"/>
        <w:i w:val="0"/>
        <w:caps w:val="0"/>
        <w:strike w:val="0"/>
        <w:dstrike w:val="0"/>
        <w:vanish w:val="0"/>
        <w:webHidden w:val="0"/>
        <w:sz w:val="24"/>
        <w:u w:val="none"/>
        <w:effect w:val="none"/>
        <w:vertAlign w:val="baseline"/>
        <w:specVanish w:val="0"/>
      </w:rPr>
    </w:lvl>
  </w:abstractNum>
  <w:abstractNum w:abstractNumId="20" w15:restartNumberingAfterBreak="0">
    <w:nsid w:val="56B05953"/>
    <w:multiLevelType w:val="hybridMultilevel"/>
    <w:tmpl w:val="0AEA113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1" w15:restartNumberingAfterBreak="0">
    <w:nsid w:val="63A32C1F"/>
    <w:multiLevelType w:val="hybridMultilevel"/>
    <w:tmpl w:val="B706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B5C66"/>
    <w:multiLevelType w:val="hybridMultilevel"/>
    <w:tmpl w:val="E7740858"/>
    <w:lvl w:ilvl="0" w:tplc="BC3CF650">
      <w:start w:val="1"/>
      <w:numFmt w:val="decimal"/>
      <w:lvlText w:val="%1."/>
      <w:lvlJc w:val="left"/>
      <w:pPr>
        <w:ind w:left="720" w:hanging="720"/>
      </w:pPr>
      <w:rPr>
        <w:rFonts w:hint="default"/>
      </w:rPr>
    </w:lvl>
    <w:lvl w:ilvl="1" w:tplc="FA760A10">
      <w:start w:val="1"/>
      <w:numFmt w:val="lowerLetter"/>
      <w:lvlText w:val="%2."/>
      <w:lvlJc w:val="left"/>
      <w:pPr>
        <w:ind w:left="1440" w:hanging="360"/>
      </w:pPr>
    </w:lvl>
    <w:lvl w:ilvl="2" w:tplc="49B40D9E" w:tentative="1">
      <w:start w:val="1"/>
      <w:numFmt w:val="lowerRoman"/>
      <w:lvlText w:val="%3."/>
      <w:lvlJc w:val="right"/>
      <w:pPr>
        <w:ind w:left="2160" w:hanging="180"/>
      </w:pPr>
    </w:lvl>
    <w:lvl w:ilvl="3" w:tplc="A2B69E98" w:tentative="1">
      <w:start w:val="1"/>
      <w:numFmt w:val="decimal"/>
      <w:lvlText w:val="%4."/>
      <w:lvlJc w:val="left"/>
      <w:pPr>
        <w:ind w:left="2880" w:hanging="360"/>
      </w:pPr>
    </w:lvl>
    <w:lvl w:ilvl="4" w:tplc="DBA28B5A" w:tentative="1">
      <w:start w:val="1"/>
      <w:numFmt w:val="lowerLetter"/>
      <w:lvlText w:val="%5."/>
      <w:lvlJc w:val="left"/>
      <w:pPr>
        <w:ind w:left="3600" w:hanging="360"/>
      </w:pPr>
    </w:lvl>
    <w:lvl w:ilvl="5" w:tplc="784C9908" w:tentative="1">
      <w:start w:val="1"/>
      <w:numFmt w:val="lowerRoman"/>
      <w:lvlText w:val="%6."/>
      <w:lvlJc w:val="right"/>
      <w:pPr>
        <w:ind w:left="4320" w:hanging="180"/>
      </w:pPr>
    </w:lvl>
    <w:lvl w:ilvl="6" w:tplc="4394D860" w:tentative="1">
      <w:start w:val="1"/>
      <w:numFmt w:val="decimal"/>
      <w:lvlText w:val="%7."/>
      <w:lvlJc w:val="left"/>
      <w:pPr>
        <w:ind w:left="5040" w:hanging="360"/>
      </w:pPr>
    </w:lvl>
    <w:lvl w:ilvl="7" w:tplc="94365AB2" w:tentative="1">
      <w:start w:val="1"/>
      <w:numFmt w:val="lowerLetter"/>
      <w:lvlText w:val="%8."/>
      <w:lvlJc w:val="left"/>
      <w:pPr>
        <w:ind w:left="5760" w:hanging="360"/>
      </w:pPr>
    </w:lvl>
    <w:lvl w:ilvl="8" w:tplc="F0FC7798" w:tentative="1">
      <w:start w:val="1"/>
      <w:numFmt w:val="lowerRoman"/>
      <w:lvlText w:val="%9."/>
      <w:lvlJc w:val="right"/>
      <w:pPr>
        <w:ind w:left="6480" w:hanging="180"/>
      </w:pPr>
    </w:lvl>
  </w:abstractNum>
  <w:abstractNum w:abstractNumId="23" w15:restartNumberingAfterBreak="0">
    <w:nsid w:val="693E3E2A"/>
    <w:multiLevelType w:val="hybridMultilevel"/>
    <w:tmpl w:val="75C2E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9D31A7"/>
    <w:multiLevelType w:val="hybridMultilevel"/>
    <w:tmpl w:val="F574E97A"/>
    <w:lvl w:ilvl="0" w:tplc="9DB0D5F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3E35C0"/>
    <w:multiLevelType w:val="hybridMultilevel"/>
    <w:tmpl w:val="4B9C0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4FC8E2"/>
    <w:multiLevelType w:val="hybridMultilevel"/>
    <w:tmpl w:val="1FD6AB08"/>
    <w:lvl w:ilvl="0" w:tplc="C936BE9A">
      <w:start w:val="1"/>
      <w:numFmt w:val="decimal"/>
      <w:lvlText w:val="%1(4)"/>
      <w:lvlJc w:val="left"/>
      <w:pPr>
        <w:ind w:left="720" w:hanging="360"/>
      </w:pPr>
      <w:rPr>
        <w:rFonts w:hint="default"/>
      </w:rPr>
    </w:lvl>
    <w:lvl w:ilvl="1" w:tplc="723A988A">
      <w:start w:val="1"/>
      <w:numFmt w:val="lowerLetter"/>
      <w:lvlText w:val="%2."/>
      <w:lvlJc w:val="left"/>
      <w:pPr>
        <w:ind w:left="1440" w:hanging="360"/>
      </w:pPr>
    </w:lvl>
    <w:lvl w:ilvl="2" w:tplc="6A246B48">
      <w:start w:val="1"/>
      <w:numFmt w:val="lowerRoman"/>
      <w:lvlText w:val="%3."/>
      <w:lvlJc w:val="right"/>
      <w:pPr>
        <w:ind w:left="2160" w:hanging="180"/>
      </w:pPr>
    </w:lvl>
    <w:lvl w:ilvl="3" w:tplc="0420B97C">
      <w:start w:val="1"/>
      <w:numFmt w:val="decimal"/>
      <w:lvlText w:val="%4."/>
      <w:lvlJc w:val="left"/>
      <w:pPr>
        <w:ind w:left="2880" w:hanging="360"/>
      </w:pPr>
    </w:lvl>
    <w:lvl w:ilvl="4" w:tplc="55D07C76">
      <w:start w:val="1"/>
      <w:numFmt w:val="lowerLetter"/>
      <w:lvlText w:val="%5."/>
      <w:lvlJc w:val="left"/>
      <w:pPr>
        <w:ind w:left="3600" w:hanging="360"/>
      </w:pPr>
    </w:lvl>
    <w:lvl w:ilvl="5" w:tplc="20106D04">
      <w:start w:val="1"/>
      <w:numFmt w:val="lowerRoman"/>
      <w:lvlText w:val="%6."/>
      <w:lvlJc w:val="right"/>
      <w:pPr>
        <w:ind w:left="4320" w:hanging="180"/>
      </w:pPr>
    </w:lvl>
    <w:lvl w:ilvl="6" w:tplc="A87E6FF6">
      <w:start w:val="1"/>
      <w:numFmt w:val="decimal"/>
      <w:lvlText w:val="%7."/>
      <w:lvlJc w:val="left"/>
      <w:pPr>
        <w:ind w:left="5040" w:hanging="360"/>
      </w:pPr>
    </w:lvl>
    <w:lvl w:ilvl="7" w:tplc="979CB166">
      <w:start w:val="1"/>
      <w:numFmt w:val="lowerLetter"/>
      <w:lvlText w:val="%8."/>
      <w:lvlJc w:val="left"/>
      <w:pPr>
        <w:ind w:left="5760" w:hanging="360"/>
      </w:pPr>
    </w:lvl>
    <w:lvl w:ilvl="8" w:tplc="09382AE2">
      <w:start w:val="1"/>
      <w:numFmt w:val="lowerRoman"/>
      <w:lvlText w:val="%9."/>
      <w:lvlJc w:val="right"/>
      <w:pPr>
        <w:ind w:left="6480" w:hanging="180"/>
      </w:pPr>
    </w:lvl>
  </w:abstractNum>
  <w:abstractNum w:abstractNumId="27" w15:restartNumberingAfterBreak="0">
    <w:nsid w:val="6F3218C9"/>
    <w:multiLevelType w:val="hybridMultilevel"/>
    <w:tmpl w:val="7D885CF8"/>
    <w:lvl w:ilvl="0" w:tplc="FFFFFFFF">
      <w:start w:val="1"/>
      <w:numFmt w:val="decimal"/>
      <w:lvlText w:val="%1."/>
      <w:lvlJc w:val="left"/>
      <w:pPr>
        <w:ind w:left="1500" w:hanging="360"/>
      </w:pPr>
    </w:lvl>
    <w:lvl w:ilvl="1" w:tplc="FFFFFFFF">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28" w15:restartNumberingAfterBreak="0">
    <w:nsid w:val="73AE301D"/>
    <w:multiLevelType w:val="hybridMultilevel"/>
    <w:tmpl w:val="F87EB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5633834"/>
    <w:multiLevelType w:val="hybridMultilevel"/>
    <w:tmpl w:val="FE6E610A"/>
    <w:lvl w:ilvl="0" w:tplc="513E46D2">
      <w:start w:val="1"/>
      <w:numFmt w:val="decimal"/>
      <w:lvlText w:val="%1."/>
      <w:lvlJc w:val="left"/>
      <w:pPr>
        <w:ind w:left="720" w:hanging="360"/>
      </w:pPr>
      <w:rPr>
        <w:rFonts w:ascii="Times New Roman" w:hAnsi="Times New Roman" w:cs="Times New Roman" w:hint="default"/>
      </w:rPr>
    </w:lvl>
    <w:lvl w:ilvl="1" w:tplc="3604CA40">
      <w:start w:val="1"/>
      <w:numFmt w:val="lowerLetter"/>
      <w:lvlText w:val="%2."/>
      <w:lvlJc w:val="left"/>
      <w:pPr>
        <w:ind w:left="1440" w:hanging="360"/>
      </w:pPr>
    </w:lvl>
    <w:lvl w:ilvl="2" w:tplc="73783D70" w:tentative="1">
      <w:start w:val="1"/>
      <w:numFmt w:val="lowerRoman"/>
      <w:lvlText w:val="%3."/>
      <w:lvlJc w:val="right"/>
      <w:pPr>
        <w:ind w:left="2160" w:hanging="180"/>
      </w:pPr>
    </w:lvl>
    <w:lvl w:ilvl="3" w:tplc="4D3ED88E" w:tentative="1">
      <w:start w:val="1"/>
      <w:numFmt w:val="decimal"/>
      <w:lvlText w:val="%4."/>
      <w:lvlJc w:val="left"/>
      <w:pPr>
        <w:ind w:left="2880" w:hanging="360"/>
      </w:pPr>
    </w:lvl>
    <w:lvl w:ilvl="4" w:tplc="5044D72A" w:tentative="1">
      <w:start w:val="1"/>
      <w:numFmt w:val="lowerLetter"/>
      <w:lvlText w:val="%5."/>
      <w:lvlJc w:val="left"/>
      <w:pPr>
        <w:ind w:left="3600" w:hanging="360"/>
      </w:pPr>
    </w:lvl>
    <w:lvl w:ilvl="5" w:tplc="F314DB2A" w:tentative="1">
      <w:start w:val="1"/>
      <w:numFmt w:val="lowerRoman"/>
      <w:lvlText w:val="%6."/>
      <w:lvlJc w:val="right"/>
      <w:pPr>
        <w:ind w:left="4320" w:hanging="180"/>
      </w:pPr>
    </w:lvl>
    <w:lvl w:ilvl="6" w:tplc="87DEE19E" w:tentative="1">
      <w:start w:val="1"/>
      <w:numFmt w:val="decimal"/>
      <w:lvlText w:val="%7."/>
      <w:lvlJc w:val="left"/>
      <w:pPr>
        <w:ind w:left="5040" w:hanging="360"/>
      </w:pPr>
    </w:lvl>
    <w:lvl w:ilvl="7" w:tplc="ECEA6FA6" w:tentative="1">
      <w:start w:val="1"/>
      <w:numFmt w:val="lowerLetter"/>
      <w:lvlText w:val="%8."/>
      <w:lvlJc w:val="left"/>
      <w:pPr>
        <w:ind w:left="5760" w:hanging="360"/>
      </w:pPr>
    </w:lvl>
    <w:lvl w:ilvl="8" w:tplc="CFF0B11E" w:tentative="1">
      <w:start w:val="1"/>
      <w:numFmt w:val="lowerRoman"/>
      <w:lvlText w:val="%9."/>
      <w:lvlJc w:val="right"/>
      <w:pPr>
        <w:ind w:left="6480" w:hanging="180"/>
      </w:pPr>
    </w:lvl>
  </w:abstractNum>
  <w:abstractNum w:abstractNumId="30" w15:restartNumberingAfterBreak="0">
    <w:nsid w:val="7E9E3C46"/>
    <w:multiLevelType w:val="hybridMultilevel"/>
    <w:tmpl w:val="6B38A5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4846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846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3984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0703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88694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5395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90973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68542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5255178">
    <w:abstractNumId w:val="2"/>
  </w:num>
  <w:num w:numId="10" w16cid:durableId="1136724451">
    <w:abstractNumId w:val="10"/>
  </w:num>
  <w:num w:numId="11" w16cid:durableId="1866870895">
    <w:abstractNumId w:val="28"/>
  </w:num>
  <w:num w:numId="12" w16cid:durableId="822311657">
    <w:abstractNumId w:val="1"/>
  </w:num>
  <w:num w:numId="13" w16cid:durableId="1756317792">
    <w:abstractNumId w:val="21"/>
  </w:num>
  <w:num w:numId="14" w16cid:durableId="1998143725">
    <w:abstractNumId w:val="29"/>
  </w:num>
  <w:num w:numId="15" w16cid:durableId="754865344">
    <w:abstractNumId w:val="22"/>
  </w:num>
  <w:num w:numId="16" w16cid:durableId="1513454887">
    <w:abstractNumId w:val="15"/>
  </w:num>
  <w:num w:numId="17" w16cid:durableId="1192649239">
    <w:abstractNumId w:val="17"/>
  </w:num>
  <w:num w:numId="18" w16cid:durableId="566452705">
    <w:abstractNumId w:val="16"/>
  </w:num>
  <w:num w:numId="19" w16cid:durableId="1465655783">
    <w:abstractNumId w:val="20"/>
  </w:num>
  <w:num w:numId="20" w16cid:durableId="856237188">
    <w:abstractNumId w:val="5"/>
  </w:num>
  <w:num w:numId="21" w16cid:durableId="2084522432">
    <w:abstractNumId w:val="27"/>
  </w:num>
  <w:num w:numId="22" w16cid:durableId="1975287303">
    <w:abstractNumId w:val="13"/>
  </w:num>
  <w:num w:numId="23" w16cid:durableId="2004621848">
    <w:abstractNumId w:val="30"/>
  </w:num>
  <w:num w:numId="24" w16cid:durableId="1734770577">
    <w:abstractNumId w:val="8"/>
  </w:num>
  <w:num w:numId="25" w16cid:durableId="1156995237">
    <w:abstractNumId w:val="24"/>
  </w:num>
  <w:num w:numId="26" w16cid:durableId="1003900601">
    <w:abstractNumId w:val="6"/>
  </w:num>
  <w:num w:numId="27" w16cid:durableId="1105155442">
    <w:abstractNumId w:val="7"/>
  </w:num>
  <w:num w:numId="28" w16cid:durableId="276451487">
    <w:abstractNumId w:val="26"/>
  </w:num>
  <w:num w:numId="29" w16cid:durableId="2132236274">
    <w:abstractNumId w:val="12"/>
  </w:num>
  <w:num w:numId="30" w16cid:durableId="1071151390">
    <w:abstractNumId w:val="14"/>
  </w:num>
  <w:num w:numId="31" w16cid:durableId="693699033">
    <w:abstractNumId w:val="4"/>
  </w:num>
  <w:num w:numId="32" w16cid:durableId="6389235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32"/>
    <w:rsid w:val="00001481"/>
    <w:rsid w:val="00005017"/>
    <w:rsid w:val="000056C4"/>
    <w:rsid w:val="00010FBF"/>
    <w:rsid w:val="0001347E"/>
    <w:rsid w:val="0001693D"/>
    <w:rsid w:val="00020D7B"/>
    <w:rsid w:val="00020F30"/>
    <w:rsid w:val="000219EE"/>
    <w:rsid w:val="00024203"/>
    <w:rsid w:val="00027B80"/>
    <w:rsid w:val="0003001D"/>
    <w:rsid w:val="0003278F"/>
    <w:rsid w:val="0003551C"/>
    <w:rsid w:val="00035CB1"/>
    <w:rsid w:val="00042F34"/>
    <w:rsid w:val="00045637"/>
    <w:rsid w:val="000460B8"/>
    <w:rsid w:val="00046799"/>
    <w:rsid w:val="0004751F"/>
    <w:rsid w:val="00053DBF"/>
    <w:rsid w:val="000566D0"/>
    <w:rsid w:val="000568F7"/>
    <w:rsid w:val="0005693A"/>
    <w:rsid w:val="000573FC"/>
    <w:rsid w:val="00061A02"/>
    <w:rsid w:val="00063167"/>
    <w:rsid w:val="00072170"/>
    <w:rsid w:val="00072341"/>
    <w:rsid w:val="000737EE"/>
    <w:rsid w:val="0007509F"/>
    <w:rsid w:val="00077563"/>
    <w:rsid w:val="00080A7D"/>
    <w:rsid w:val="00081C88"/>
    <w:rsid w:val="000820CE"/>
    <w:rsid w:val="0008780A"/>
    <w:rsid w:val="000907F7"/>
    <w:rsid w:val="00091793"/>
    <w:rsid w:val="00093963"/>
    <w:rsid w:val="00094C4D"/>
    <w:rsid w:val="00096A1B"/>
    <w:rsid w:val="000A0B68"/>
    <w:rsid w:val="000A15BF"/>
    <w:rsid w:val="000A1BAD"/>
    <w:rsid w:val="000A4915"/>
    <w:rsid w:val="000A5672"/>
    <w:rsid w:val="000B2CF5"/>
    <w:rsid w:val="000B3838"/>
    <w:rsid w:val="000B5CF4"/>
    <w:rsid w:val="000B65E8"/>
    <w:rsid w:val="000C022C"/>
    <w:rsid w:val="000C355C"/>
    <w:rsid w:val="000C550A"/>
    <w:rsid w:val="000C5FC9"/>
    <w:rsid w:val="000C6043"/>
    <w:rsid w:val="000C6B7E"/>
    <w:rsid w:val="000D0EED"/>
    <w:rsid w:val="000D428A"/>
    <w:rsid w:val="000E0B16"/>
    <w:rsid w:val="000E7FC1"/>
    <w:rsid w:val="000F0B9F"/>
    <w:rsid w:val="000F0D0B"/>
    <w:rsid w:val="000F1405"/>
    <w:rsid w:val="000F19A8"/>
    <w:rsid w:val="000F484E"/>
    <w:rsid w:val="000F49A2"/>
    <w:rsid w:val="000F5776"/>
    <w:rsid w:val="001155ED"/>
    <w:rsid w:val="00117AC4"/>
    <w:rsid w:val="00117B06"/>
    <w:rsid w:val="0012177E"/>
    <w:rsid w:val="001268A4"/>
    <w:rsid w:val="00132F01"/>
    <w:rsid w:val="001447C4"/>
    <w:rsid w:val="00150F93"/>
    <w:rsid w:val="00152E65"/>
    <w:rsid w:val="0015587F"/>
    <w:rsid w:val="00155AF8"/>
    <w:rsid w:val="00156C0D"/>
    <w:rsid w:val="00161F73"/>
    <w:rsid w:val="001628B5"/>
    <w:rsid w:val="00163EC2"/>
    <w:rsid w:val="00165597"/>
    <w:rsid w:val="00171B74"/>
    <w:rsid w:val="001779B9"/>
    <w:rsid w:val="001779E5"/>
    <w:rsid w:val="00184C18"/>
    <w:rsid w:val="00186D07"/>
    <w:rsid w:val="00187F8A"/>
    <w:rsid w:val="00190BD9"/>
    <w:rsid w:val="001943FE"/>
    <w:rsid w:val="00196DDC"/>
    <w:rsid w:val="001A03C2"/>
    <w:rsid w:val="001A68AD"/>
    <w:rsid w:val="001A7766"/>
    <w:rsid w:val="001B0C6E"/>
    <w:rsid w:val="001B10AD"/>
    <w:rsid w:val="001B4E2C"/>
    <w:rsid w:val="001B5500"/>
    <w:rsid w:val="001B5EB0"/>
    <w:rsid w:val="001B5EF2"/>
    <w:rsid w:val="001B62DE"/>
    <w:rsid w:val="001C1C9A"/>
    <w:rsid w:val="001C4DEA"/>
    <w:rsid w:val="001E03BC"/>
    <w:rsid w:val="001E0BA3"/>
    <w:rsid w:val="001E0C26"/>
    <w:rsid w:val="001E42FE"/>
    <w:rsid w:val="001E4CFE"/>
    <w:rsid w:val="001F15F2"/>
    <w:rsid w:val="001F18BB"/>
    <w:rsid w:val="001F253E"/>
    <w:rsid w:val="001F26F1"/>
    <w:rsid w:val="002010AB"/>
    <w:rsid w:val="00201683"/>
    <w:rsid w:val="0020684E"/>
    <w:rsid w:val="0021042F"/>
    <w:rsid w:val="002154A2"/>
    <w:rsid w:val="00227079"/>
    <w:rsid w:val="00227968"/>
    <w:rsid w:val="00227DF8"/>
    <w:rsid w:val="002551FC"/>
    <w:rsid w:val="002559B9"/>
    <w:rsid w:val="00257112"/>
    <w:rsid w:val="00262C8B"/>
    <w:rsid w:val="00267C68"/>
    <w:rsid w:val="002833AB"/>
    <w:rsid w:val="00284B46"/>
    <w:rsid w:val="00290682"/>
    <w:rsid w:val="002924D3"/>
    <w:rsid w:val="00292FEC"/>
    <w:rsid w:val="00295C53"/>
    <w:rsid w:val="00296362"/>
    <w:rsid w:val="002A49EA"/>
    <w:rsid w:val="002A4BEE"/>
    <w:rsid w:val="002A552E"/>
    <w:rsid w:val="002B0E32"/>
    <w:rsid w:val="002B18A9"/>
    <w:rsid w:val="002B5505"/>
    <w:rsid w:val="002B563A"/>
    <w:rsid w:val="002B78F2"/>
    <w:rsid w:val="002C246F"/>
    <w:rsid w:val="002C26A3"/>
    <w:rsid w:val="002C4C2F"/>
    <w:rsid w:val="002D041D"/>
    <w:rsid w:val="002D1966"/>
    <w:rsid w:val="002D271C"/>
    <w:rsid w:val="002D28D3"/>
    <w:rsid w:val="002D64C5"/>
    <w:rsid w:val="002D732A"/>
    <w:rsid w:val="002E0B60"/>
    <w:rsid w:val="002E10C5"/>
    <w:rsid w:val="002E2B69"/>
    <w:rsid w:val="002E5526"/>
    <w:rsid w:val="002F09B2"/>
    <w:rsid w:val="002F1214"/>
    <w:rsid w:val="002F4D09"/>
    <w:rsid w:val="00302D84"/>
    <w:rsid w:val="003033B4"/>
    <w:rsid w:val="00306939"/>
    <w:rsid w:val="00307213"/>
    <w:rsid w:val="0031180F"/>
    <w:rsid w:val="00317978"/>
    <w:rsid w:val="00320457"/>
    <w:rsid w:val="003278A0"/>
    <w:rsid w:val="0033065D"/>
    <w:rsid w:val="00332DFE"/>
    <w:rsid w:val="003335D0"/>
    <w:rsid w:val="00334195"/>
    <w:rsid w:val="00336B33"/>
    <w:rsid w:val="00340F00"/>
    <w:rsid w:val="0034580D"/>
    <w:rsid w:val="003461C9"/>
    <w:rsid w:val="0035011B"/>
    <w:rsid w:val="003516FE"/>
    <w:rsid w:val="00352009"/>
    <w:rsid w:val="00355BD2"/>
    <w:rsid w:val="00355FAC"/>
    <w:rsid w:val="00356301"/>
    <w:rsid w:val="003574E9"/>
    <w:rsid w:val="00364AA2"/>
    <w:rsid w:val="00372BC2"/>
    <w:rsid w:val="00375453"/>
    <w:rsid w:val="00377C18"/>
    <w:rsid w:val="00380334"/>
    <w:rsid w:val="00385B4B"/>
    <w:rsid w:val="00386D90"/>
    <w:rsid w:val="00390FD0"/>
    <w:rsid w:val="00396EAA"/>
    <w:rsid w:val="003A5465"/>
    <w:rsid w:val="003B11B2"/>
    <w:rsid w:val="003B23EF"/>
    <w:rsid w:val="003B50A6"/>
    <w:rsid w:val="003C1D4F"/>
    <w:rsid w:val="003C3E4A"/>
    <w:rsid w:val="003C5886"/>
    <w:rsid w:val="003C5DF8"/>
    <w:rsid w:val="003D0FAA"/>
    <w:rsid w:val="003D3071"/>
    <w:rsid w:val="003D6E1B"/>
    <w:rsid w:val="003D78D6"/>
    <w:rsid w:val="003D7AC9"/>
    <w:rsid w:val="003E06AA"/>
    <w:rsid w:val="003E179A"/>
    <w:rsid w:val="003E2200"/>
    <w:rsid w:val="003E45A2"/>
    <w:rsid w:val="003E4BFE"/>
    <w:rsid w:val="003E568F"/>
    <w:rsid w:val="003F177E"/>
    <w:rsid w:val="003F1D22"/>
    <w:rsid w:val="003F3F6A"/>
    <w:rsid w:val="003F71C4"/>
    <w:rsid w:val="0040128C"/>
    <w:rsid w:val="0040233C"/>
    <w:rsid w:val="004037B8"/>
    <w:rsid w:val="00412C22"/>
    <w:rsid w:val="00414EF2"/>
    <w:rsid w:val="00420FA5"/>
    <w:rsid w:val="00423176"/>
    <w:rsid w:val="00423210"/>
    <w:rsid w:val="0042431B"/>
    <w:rsid w:val="00426AA9"/>
    <w:rsid w:val="00427CFC"/>
    <w:rsid w:val="00430520"/>
    <w:rsid w:val="00432446"/>
    <w:rsid w:val="00436893"/>
    <w:rsid w:val="00436D46"/>
    <w:rsid w:val="004376BA"/>
    <w:rsid w:val="004423AB"/>
    <w:rsid w:val="0044257F"/>
    <w:rsid w:val="00446CE8"/>
    <w:rsid w:val="0045139D"/>
    <w:rsid w:val="00451981"/>
    <w:rsid w:val="00452600"/>
    <w:rsid w:val="00452BEA"/>
    <w:rsid w:val="00454350"/>
    <w:rsid w:val="00454D36"/>
    <w:rsid w:val="00455695"/>
    <w:rsid w:val="004572C6"/>
    <w:rsid w:val="00464B75"/>
    <w:rsid w:val="00467977"/>
    <w:rsid w:val="0047262A"/>
    <w:rsid w:val="00472F2E"/>
    <w:rsid w:val="004767B4"/>
    <w:rsid w:val="00482D48"/>
    <w:rsid w:val="00487330"/>
    <w:rsid w:val="004A06E1"/>
    <w:rsid w:val="004A1A1E"/>
    <w:rsid w:val="004A1DF3"/>
    <w:rsid w:val="004A3517"/>
    <w:rsid w:val="004A7B11"/>
    <w:rsid w:val="004B2C72"/>
    <w:rsid w:val="004B2EA6"/>
    <w:rsid w:val="004B362E"/>
    <w:rsid w:val="004B4525"/>
    <w:rsid w:val="004B739F"/>
    <w:rsid w:val="004B79FE"/>
    <w:rsid w:val="004C2E9D"/>
    <w:rsid w:val="004C4A8A"/>
    <w:rsid w:val="004C604E"/>
    <w:rsid w:val="004D6ADB"/>
    <w:rsid w:val="004E0159"/>
    <w:rsid w:val="004E1932"/>
    <w:rsid w:val="004E2C59"/>
    <w:rsid w:val="004E413E"/>
    <w:rsid w:val="004E42E6"/>
    <w:rsid w:val="004E4510"/>
    <w:rsid w:val="004E62DF"/>
    <w:rsid w:val="004E7EB6"/>
    <w:rsid w:val="004F02C9"/>
    <w:rsid w:val="004F09C3"/>
    <w:rsid w:val="004F1B49"/>
    <w:rsid w:val="004F6B8E"/>
    <w:rsid w:val="004F73A2"/>
    <w:rsid w:val="005003A5"/>
    <w:rsid w:val="00502D35"/>
    <w:rsid w:val="00503C2C"/>
    <w:rsid w:val="005050A1"/>
    <w:rsid w:val="00506A11"/>
    <w:rsid w:val="00506D5E"/>
    <w:rsid w:val="00507DFC"/>
    <w:rsid w:val="005119B9"/>
    <w:rsid w:val="00513B6A"/>
    <w:rsid w:val="0051498C"/>
    <w:rsid w:val="00515DC7"/>
    <w:rsid w:val="005201B6"/>
    <w:rsid w:val="00521FEF"/>
    <w:rsid w:val="005225C9"/>
    <w:rsid w:val="005303F3"/>
    <w:rsid w:val="005318F9"/>
    <w:rsid w:val="0053397B"/>
    <w:rsid w:val="00536BA3"/>
    <w:rsid w:val="00540B59"/>
    <w:rsid w:val="00540C58"/>
    <w:rsid w:val="0054334E"/>
    <w:rsid w:val="00544262"/>
    <w:rsid w:val="00544AB1"/>
    <w:rsid w:val="00557BE9"/>
    <w:rsid w:val="0056071C"/>
    <w:rsid w:val="00560B65"/>
    <w:rsid w:val="00562410"/>
    <w:rsid w:val="00562C73"/>
    <w:rsid w:val="00565821"/>
    <w:rsid w:val="00566D6A"/>
    <w:rsid w:val="00572098"/>
    <w:rsid w:val="005742DC"/>
    <w:rsid w:val="0057781C"/>
    <w:rsid w:val="00580586"/>
    <w:rsid w:val="00581793"/>
    <w:rsid w:val="00583521"/>
    <w:rsid w:val="00585491"/>
    <w:rsid w:val="00585F23"/>
    <w:rsid w:val="00587F76"/>
    <w:rsid w:val="00590A42"/>
    <w:rsid w:val="00593919"/>
    <w:rsid w:val="005A0A1F"/>
    <w:rsid w:val="005A0ADA"/>
    <w:rsid w:val="005A1337"/>
    <w:rsid w:val="005A2F54"/>
    <w:rsid w:val="005A325F"/>
    <w:rsid w:val="005A39CE"/>
    <w:rsid w:val="005A4DDC"/>
    <w:rsid w:val="005A5CC0"/>
    <w:rsid w:val="005B2EC7"/>
    <w:rsid w:val="005B574C"/>
    <w:rsid w:val="005B5B03"/>
    <w:rsid w:val="005B5CE1"/>
    <w:rsid w:val="005B72BE"/>
    <w:rsid w:val="005C0B8D"/>
    <w:rsid w:val="005C2D1D"/>
    <w:rsid w:val="005C2F48"/>
    <w:rsid w:val="005C5679"/>
    <w:rsid w:val="005D0625"/>
    <w:rsid w:val="005D0686"/>
    <w:rsid w:val="005D097D"/>
    <w:rsid w:val="005D4FFD"/>
    <w:rsid w:val="005D567A"/>
    <w:rsid w:val="005E0E60"/>
    <w:rsid w:val="005E17F5"/>
    <w:rsid w:val="005E20B6"/>
    <w:rsid w:val="005E6A2E"/>
    <w:rsid w:val="005F63C0"/>
    <w:rsid w:val="006047CD"/>
    <w:rsid w:val="00605481"/>
    <w:rsid w:val="0061208B"/>
    <w:rsid w:val="00613E3D"/>
    <w:rsid w:val="0061521B"/>
    <w:rsid w:val="00616930"/>
    <w:rsid w:val="00623D15"/>
    <w:rsid w:val="00630437"/>
    <w:rsid w:val="00640DDD"/>
    <w:rsid w:val="006441B2"/>
    <w:rsid w:val="00644215"/>
    <w:rsid w:val="006518FB"/>
    <w:rsid w:val="00653B12"/>
    <w:rsid w:val="00662400"/>
    <w:rsid w:val="006676E3"/>
    <w:rsid w:val="00667894"/>
    <w:rsid w:val="00670FEE"/>
    <w:rsid w:val="006717F0"/>
    <w:rsid w:val="00673B36"/>
    <w:rsid w:val="00674E0E"/>
    <w:rsid w:val="0067506D"/>
    <w:rsid w:val="00677209"/>
    <w:rsid w:val="006805AF"/>
    <w:rsid w:val="00681022"/>
    <w:rsid w:val="00685A2F"/>
    <w:rsid w:val="00687CC5"/>
    <w:rsid w:val="0069021B"/>
    <w:rsid w:val="00690FCB"/>
    <w:rsid w:val="00691220"/>
    <w:rsid w:val="006921D9"/>
    <w:rsid w:val="00693387"/>
    <w:rsid w:val="0069574F"/>
    <w:rsid w:val="00696C0B"/>
    <w:rsid w:val="006A31F3"/>
    <w:rsid w:val="006A7577"/>
    <w:rsid w:val="006B3251"/>
    <w:rsid w:val="006B4A98"/>
    <w:rsid w:val="006B7D2E"/>
    <w:rsid w:val="006C13C1"/>
    <w:rsid w:val="006D02AA"/>
    <w:rsid w:val="006D447F"/>
    <w:rsid w:val="006D6549"/>
    <w:rsid w:val="006D6626"/>
    <w:rsid w:val="006E4044"/>
    <w:rsid w:val="006E49B5"/>
    <w:rsid w:val="006E5A84"/>
    <w:rsid w:val="006E6BE6"/>
    <w:rsid w:val="006F14B4"/>
    <w:rsid w:val="006F6C24"/>
    <w:rsid w:val="006F7159"/>
    <w:rsid w:val="00701BDC"/>
    <w:rsid w:val="0070219B"/>
    <w:rsid w:val="00705342"/>
    <w:rsid w:val="00706EFC"/>
    <w:rsid w:val="00711CF9"/>
    <w:rsid w:val="00714D2C"/>
    <w:rsid w:val="00721817"/>
    <w:rsid w:val="00721856"/>
    <w:rsid w:val="00723678"/>
    <w:rsid w:val="00724AF4"/>
    <w:rsid w:val="00726DD2"/>
    <w:rsid w:val="00730558"/>
    <w:rsid w:val="00733CF7"/>
    <w:rsid w:val="00735092"/>
    <w:rsid w:val="007424A2"/>
    <w:rsid w:val="007469AC"/>
    <w:rsid w:val="00747C3D"/>
    <w:rsid w:val="007504F4"/>
    <w:rsid w:val="0075113E"/>
    <w:rsid w:val="007619FF"/>
    <w:rsid w:val="0076654F"/>
    <w:rsid w:val="007700E0"/>
    <w:rsid w:val="007718A3"/>
    <w:rsid w:val="00772659"/>
    <w:rsid w:val="0078120C"/>
    <w:rsid w:val="0078284B"/>
    <w:rsid w:val="007829F8"/>
    <w:rsid w:val="00782DC7"/>
    <w:rsid w:val="007854EA"/>
    <w:rsid w:val="00792B5F"/>
    <w:rsid w:val="00792FF0"/>
    <w:rsid w:val="00796812"/>
    <w:rsid w:val="00797E75"/>
    <w:rsid w:val="007A0173"/>
    <w:rsid w:val="007A3B56"/>
    <w:rsid w:val="007A4B63"/>
    <w:rsid w:val="007A56CB"/>
    <w:rsid w:val="007A65D0"/>
    <w:rsid w:val="007B1B76"/>
    <w:rsid w:val="007B336B"/>
    <w:rsid w:val="007B58BD"/>
    <w:rsid w:val="007B5B4C"/>
    <w:rsid w:val="007B5D6F"/>
    <w:rsid w:val="007B7276"/>
    <w:rsid w:val="007C261E"/>
    <w:rsid w:val="007C3C4D"/>
    <w:rsid w:val="007D042C"/>
    <w:rsid w:val="007D11C5"/>
    <w:rsid w:val="007D30B3"/>
    <w:rsid w:val="007D43B0"/>
    <w:rsid w:val="007D65D9"/>
    <w:rsid w:val="007E27F3"/>
    <w:rsid w:val="007E2E3C"/>
    <w:rsid w:val="007E3AD5"/>
    <w:rsid w:val="007F0CE0"/>
    <w:rsid w:val="007F3E64"/>
    <w:rsid w:val="007F6FFD"/>
    <w:rsid w:val="007F711A"/>
    <w:rsid w:val="007F7F26"/>
    <w:rsid w:val="00801B8D"/>
    <w:rsid w:val="008028E0"/>
    <w:rsid w:val="00802936"/>
    <w:rsid w:val="008054AC"/>
    <w:rsid w:val="00806AB9"/>
    <w:rsid w:val="00807864"/>
    <w:rsid w:val="00810F88"/>
    <w:rsid w:val="0081133E"/>
    <w:rsid w:val="00812920"/>
    <w:rsid w:val="00814982"/>
    <w:rsid w:val="00817049"/>
    <w:rsid w:val="00817AAA"/>
    <w:rsid w:val="00817EF6"/>
    <w:rsid w:val="0082207F"/>
    <w:rsid w:val="008225A5"/>
    <w:rsid w:val="0082337F"/>
    <w:rsid w:val="00825EB3"/>
    <w:rsid w:val="008309C1"/>
    <w:rsid w:val="00831DA2"/>
    <w:rsid w:val="00832C8E"/>
    <w:rsid w:val="00834C4B"/>
    <w:rsid w:val="00840855"/>
    <w:rsid w:val="00840C73"/>
    <w:rsid w:val="008451DE"/>
    <w:rsid w:val="0084702C"/>
    <w:rsid w:val="00847209"/>
    <w:rsid w:val="0085232A"/>
    <w:rsid w:val="00852EA9"/>
    <w:rsid w:val="0085517B"/>
    <w:rsid w:val="0085736E"/>
    <w:rsid w:val="00860A43"/>
    <w:rsid w:val="00860F39"/>
    <w:rsid w:val="00864B5D"/>
    <w:rsid w:val="00865207"/>
    <w:rsid w:val="008656EC"/>
    <w:rsid w:val="008701A9"/>
    <w:rsid w:val="00873B10"/>
    <w:rsid w:val="00875C2F"/>
    <w:rsid w:val="00875E3C"/>
    <w:rsid w:val="008768BF"/>
    <w:rsid w:val="008768C3"/>
    <w:rsid w:val="008769EF"/>
    <w:rsid w:val="008801EA"/>
    <w:rsid w:val="0088089C"/>
    <w:rsid w:val="00893C4A"/>
    <w:rsid w:val="008A2CB6"/>
    <w:rsid w:val="008B2C3D"/>
    <w:rsid w:val="008B3368"/>
    <w:rsid w:val="008B3F10"/>
    <w:rsid w:val="008B7891"/>
    <w:rsid w:val="008C1AA8"/>
    <w:rsid w:val="008C213E"/>
    <w:rsid w:val="008D16E9"/>
    <w:rsid w:val="008D3CAD"/>
    <w:rsid w:val="008D58E7"/>
    <w:rsid w:val="008D6198"/>
    <w:rsid w:val="008D7A11"/>
    <w:rsid w:val="008E1928"/>
    <w:rsid w:val="008E1B4D"/>
    <w:rsid w:val="008E2911"/>
    <w:rsid w:val="008E58AF"/>
    <w:rsid w:val="008E6EA0"/>
    <w:rsid w:val="008E70E8"/>
    <w:rsid w:val="008F0976"/>
    <w:rsid w:val="008F152A"/>
    <w:rsid w:val="008F2D89"/>
    <w:rsid w:val="008F3B06"/>
    <w:rsid w:val="008F58B4"/>
    <w:rsid w:val="008F5984"/>
    <w:rsid w:val="00901222"/>
    <w:rsid w:val="009023D5"/>
    <w:rsid w:val="00906AA6"/>
    <w:rsid w:val="009205D2"/>
    <w:rsid w:val="00930071"/>
    <w:rsid w:val="00930215"/>
    <w:rsid w:val="00930967"/>
    <w:rsid w:val="009361D8"/>
    <w:rsid w:val="00937539"/>
    <w:rsid w:val="00941B54"/>
    <w:rsid w:val="00942085"/>
    <w:rsid w:val="00943127"/>
    <w:rsid w:val="00943C1B"/>
    <w:rsid w:val="00945A3A"/>
    <w:rsid w:val="00954960"/>
    <w:rsid w:val="009606C2"/>
    <w:rsid w:val="00962F42"/>
    <w:rsid w:val="00963DC2"/>
    <w:rsid w:val="00965EEC"/>
    <w:rsid w:val="009726EE"/>
    <w:rsid w:val="00973844"/>
    <w:rsid w:val="0097713A"/>
    <w:rsid w:val="00980304"/>
    <w:rsid w:val="00990379"/>
    <w:rsid w:val="00994525"/>
    <w:rsid w:val="00995F2F"/>
    <w:rsid w:val="009A2C13"/>
    <w:rsid w:val="009A4460"/>
    <w:rsid w:val="009B098C"/>
    <w:rsid w:val="009B3E3F"/>
    <w:rsid w:val="009B5F1F"/>
    <w:rsid w:val="009B6E0E"/>
    <w:rsid w:val="009B7AEC"/>
    <w:rsid w:val="009C1C6D"/>
    <w:rsid w:val="009C27A5"/>
    <w:rsid w:val="009C2D5A"/>
    <w:rsid w:val="009C3D7E"/>
    <w:rsid w:val="009C75A8"/>
    <w:rsid w:val="009D23B1"/>
    <w:rsid w:val="009D2BC8"/>
    <w:rsid w:val="009D3677"/>
    <w:rsid w:val="009D5BC3"/>
    <w:rsid w:val="009D6D45"/>
    <w:rsid w:val="009E0FBC"/>
    <w:rsid w:val="009E7611"/>
    <w:rsid w:val="009F08C8"/>
    <w:rsid w:val="009F17C4"/>
    <w:rsid w:val="009F4148"/>
    <w:rsid w:val="009F4773"/>
    <w:rsid w:val="009F51FA"/>
    <w:rsid w:val="00A016C5"/>
    <w:rsid w:val="00A04962"/>
    <w:rsid w:val="00A05EF4"/>
    <w:rsid w:val="00A065B0"/>
    <w:rsid w:val="00A06978"/>
    <w:rsid w:val="00A07787"/>
    <w:rsid w:val="00A078E2"/>
    <w:rsid w:val="00A11046"/>
    <w:rsid w:val="00A14807"/>
    <w:rsid w:val="00A220D3"/>
    <w:rsid w:val="00A2628E"/>
    <w:rsid w:val="00A26EB7"/>
    <w:rsid w:val="00A3118B"/>
    <w:rsid w:val="00A34D14"/>
    <w:rsid w:val="00A353B1"/>
    <w:rsid w:val="00A353F8"/>
    <w:rsid w:val="00A40651"/>
    <w:rsid w:val="00A446C4"/>
    <w:rsid w:val="00A52D1B"/>
    <w:rsid w:val="00A53136"/>
    <w:rsid w:val="00A5419A"/>
    <w:rsid w:val="00A55BC9"/>
    <w:rsid w:val="00A55C68"/>
    <w:rsid w:val="00A5646B"/>
    <w:rsid w:val="00A57515"/>
    <w:rsid w:val="00A5763A"/>
    <w:rsid w:val="00A61D00"/>
    <w:rsid w:val="00A61FF1"/>
    <w:rsid w:val="00A62CB1"/>
    <w:rsid w:val="00A65958"/>
    <w:rsid w:val="00A66F79"/>
    <w:rsid w:val="00A6708D"/>
    <w:rsid w:val="00A678DB"/>
    <w:rsid w:val="00A67F01"/>
    <w:rsid w:val="00A7408D"/>
    <w:rsid w:val="00A74E95"/>
    <w:rsid w:val="00A75F85"/>
    <w:rsid w:val="00A76AF3"/>
    <w:rsid w:val="00A8051C"/>
    <w:rsid w:val="00A8165E"/>
    <w:rsid w:val="00A8337D"/>
    <w:rsid w:val="00A838AB"/>
    <w:rsid w:val="00A8547F"/>
    <w:rsid w:val="00A86DA4"/>
    <w:rsid w:val="00A879F1"/>
    <w:rsid w:val="00A92A73"/>
    <w:rsid w:val="00A93A3E"/>
    <w:rsid w:val="00A975FD"/>
    <w:rsid w:val="00AA27E6"/>
    <w:rsid w:val="00AA66A8"/>
    <w:rsid w:val="00AB150F"/>
    <w:rsid w:val="00AB38C6"/>
    <w:rsid w:val="00AB671C"/>
    <w:rsid w:val="00AC3170"/>
    <w:rsid w:val="00AC4D54"/>
    <w:rsid w:val="00AC6195"/>
    <w:rsid w:val="00AC7B65"/>
    <w:rsid w:val="00AD335F"/>
    <w:rsid w:val="00AD652D"/>
    <w:rsid w:val="00AE0408"/>
    <w:rsid w:val="00AE41E1"/>
    <w:rsid w:val="00AE4ED3"/>
    <w:rsid w:val="00AF07E6"/>
    <w:rsid w:val="00AF7473"/>
    <w:rsid w:val="00B0183F"/>
    <w:rsid w:val="00B02BFB"/>
    <w:rsid w:val="00B06510"/>
    <w:rsid w:val="00B10F42"/>
    <w:rsid w:val="00B134BF"/>
    <w:rsid w:val="00B14569"/>
    <w:rsid w:val="00B16AFF"/>
    <w:rsid w:val="00B1725F"/>
    <w:rsid w:val="00B176F8"/>
    <w:rsid w:val="00B26DEB"/>
    <w:rsid w:val="00B31E4F"/>
    <w:rsid w:val="00B33738"/>
    <w:rsid w:val="00B33838"/>
    <w:rsid w:val="00B34D4E"/>
    <w:rsid w:val="00B354A1"/>
    <w:rsid w:val="00B3619A"/>
    <w:rsid w:val="00B3766D"/>
    <w:rsid w:val="00B37E4B"/>
    <w:rsid w:val="00B43B75"/>
    <w:rsid w:val="00B47255"/>
    <w:rsid w:val="00B57F9D"/>
    <w:rsid w:val="00B604C9"/>
    <w:rsid w:val="00B61483"/>
    <w:rsid w:val="00B62887"/>
    <w:rsid w:val="00B642B2"/>
    <w:rsid w:val="00B66D75"/>
    <w:rsid w:val="00B71652"/>
    <w:rsid w:val="00B75253"/>
    <w:rsid w:val="00B752F3"/>
    <w:rsid w:val="00B757BD"/>
    <w:rsid w:val="00B80720"/>
    <w:rsid w:val="00B81149"/>
    <w:rsid w:val="00B8315E"/>
    <w:rsid w:val="00B84263"/>
    <w:rsid w:val="00B85CB0"/>
    <w:rsid w:val="00B8697A"/>
    <w:rsid w:val="00B87554"/>
    <w:rsid w:val="00B9059C"/>
    <w:rsid w:val="00B90885"/>
    <w:rsid w:val="00B9325B"/>
    <w:rsid w:val="00BA0AE9"/>
    <w:rsid w:val="00BA787B"/>
    <w:rsid w:val="00BB3B56"/>
    <w:rsid w:val="00BB5C81"/>
    <w:rsid w:val="00BD2200"/>
    <w:rsid w:val="00BD30E1"/>
    <w:rsid w:val="00BD502B"/>
    <w:rsid w:val="00BD540C"/>
    <w:rsid w:val="00BD5B45"/>
    <w:rsid w:val="00BD7690"/>
    <w:rsid w:val="00BD7D56"/>
    <w:rsid w:val="00BE4970"/>
    <w:rsid w:val="00BE5907"/>
    <w:rsid w:val="00BE6125"/>
    <w:rsid w:val="00BF2AC0"/>
    <w:rsid w:val="00BF3442"/>
    <w:rsid w:val="00BF38D2"/>
    <w:rsid w:val="00BF4535"/>
    <w:rsid w:val="00BF6736"/>
    <w:rsid w:val="00BF683B"/>
    <w:rsid w:val="00BF70E6"/>
    <w:rsid w:val="00C004A6"/>
    <w:rsid w:val="00C0316E"/>
    <w:rsid w:val="00C07585"/>
    <w:rsid w:val="00C105A4"/>
    <w:rsid w:val="00C11514"/>
    <w:rsid w:val="00C13281"/>
    <w:rsid w:val="00C21A28"/>
    <w:rsid w:val="00C2667B"/>
    <w:rsid w:val="00C347D8"/>
    <w:rsid w:val="00C34F64"/>
    <w:rsid w:val="00C407CD"/>
    <w:rsid w:val="00C40E34"/>
    <w:rsid w:val="00C42C69"/>
    <w:rsid w:val="00C47031"/>
    <w:rsid w:val="00C52AB3"/>
    <w:rsid w:val="00C532B1"/>
    <w:rsid w:val="00C57AC6"/>
    <w:rsid w:val="00C621B7"/>
    <w:rsid w:val="00C65BAF"/>
    <w:rsid w:val="00C71EB7"/>
    <w:rsid w:val="00C7351A"/>
    <w:rsid w:val="00C761FF"/>
    <w:rsid w:val="00C76359"/>
    <w:rsid w:val="00C76C93"/>
    <w:rsid w:val="00C827CD"/>
    <w:rsid w:val="00C84E23"/>
    <w:rsid w:val="00C9035F"/>
    <w:rsid w:val="00C919D2"/>
    <w:rsid w:val="00C9278D"/>
    <w:rsid w:val="00C95859"/>
    <w:rsid w:val="00C95ECB"/>
    <w:rsid w:val="00CA5510"/>
    <w:rsid w:val="00CB0358"/>
    <w:rsid w:val="00CB4F8E"/>
    <w:rsid w:val="00CB62FE"/>
    <w:rsid w:val="00CC1DA3"/>
    <w:rsid w:val="00CC35EC"/>
    <w:rsid w:val="00CC4976"/>
    <w:rsid w:val="00CC4A95"/>
    <w:rsid w:val="00CD05A0"/>
    <w:rsid w:val="00CD4F9E"/>
    <w:rsid w:val="00CE1DD6"/>
    <w:rsid w:val="00CF1F1B"/>
    <w:rsid w:val="00CF3EDF"/>
    <w:rsid w:val="00CF4C29"/>
    <w:rsid w:val="00D0004D"/>
    <w:rsid w:val="00D01089"/>
    <w:rsid w:val="00D012BF"/>
    <w:rsid w:val="00D06901"/>
    <w:rsid w:val="00D07392"/>
    <w:rsid w:val="00D128BD"/>
    <w:rsid w:val="00D14762"/>
    <w:rsid w:val="00D162AD"/>
    <w:rsid w:val="00D22787"/>
    <w:rsid w:val="00D23812"/>
    <w:rsid w:val="00D26803"/>
    <w:rsid w:val="00D40C35"/>
    <w:rsid w:val="00D41885"/>
    <w:rsid w:val="00D4317A"/>
    <w:rsid w:val="00D43ABD"/>
    <w:rsid w:val="00D44815"/>
    <w:rsid w:val="00D65EBF"/>
    <w:rsid w:val="00D736DD"/>
    <w:rsid w:val="00D7709F"/>
    <w:rsid w:val="00D77B72"/>
    <w:rsid w:val="00D81CDA"/>
    <w:rsid w:val="00D8562D"/>
    <w:rsid w:val="00D90C3A"/>
    <w:rsid w:val="00D937B5"/>
    <w:rsid w:val="00D95C40"/>
    <w:rsid w:val="00DA07D8"/>
    <w:rsid w:val="00DA0998"/>
    <w:rsid w:val="00DA13D0"/>
    <w:rsid w:val="00DA3A32"/>
    <w:rsid w:val="00DB2673"/>
    <w:rsid w:val="00DB31D7"/>
    <w:rsid w:val="00DB3C75"/>
    <w:rsid w:val="00DB4522"/>
    <w:rsid w:val="00DB4AE2"/>
    <w:rsid w:val="00DC1968"/>
    <w:rsid w:val="00DC62BC"/>
    <w:rsid w:val="00DC73E3"/>
    <w:rsid w:val="00DD462C"/>
    <w:rsid w:val="00DD4A93"/>
    <w:rsid w:val="00DD5A60"/>
    <w:rsid w:val="00DE2F65"/>
    <w:rsid w:val="00DE32C1"/>
    <w:rsid w:val="00DE5A33"/>
    <w:rsid w:val="00DF1B11"/>
    <w:rsid w:val="00DF7532"/>
    <w:rsid w:val="00DF756D"/>
    <w:rsid w:val="00E02571"/>
    <w:rsid w:val="00E1048A"/>
    <w:rsid w:val="00E12908"/>
    <w:rsid w:val="00E12B64"/>
    <w:rsid w:val="00E1427D"/>
    <w:rsid w:val="00E16A66"/>
    <w:rsid w:val="00E16AB7"/>
    <w:rsid w:val="00E22310"/>
    <w:rsid w:val="00E227E9"/>
    <w:rsid w:val="00E25FBD"/>
    <w:rsid w:val="00E2672C"/>
    <w:rsid w:val="00E26D00"/>
    <w:rsid w:val="00E26E4F"/>
    <w:rsid w:val="00E27E7D"/>
    <w:rsid w:val="00E30FEF"/>
    <w:rsid w:val="00E34E16"/>
    <w:rsid w:val="00E35030"/>
    <w:rsid w:val="00E35C0F"/>
    <w:rsid w:val="00E368BC"/>
    <w:rsid w:val="00E377A7"/>
    <w:rsid w:val="00E40D8A"/>
    <w:rsid w:val="00E41B37"/>
    <w:rsid w:val="00E44363"/>
    <w:rsid w:val="00E4521E"/>
    <w:rsid w:val="00E45C1B"/>
    <w:rsid w:val="00E55834"/>
    <w:rsid w:val="00E60A29"/>
    <w:rsid w:val="00E70C90"/>
    <w:rsid w:val="00E71903"/>
    <w:rsid w:val="00E73EA9"/>
    <w:rsid w:val="00E77709"/>
    <w:rsid w:val="00E81498"/>
    <w:rsid w:val="00E8494E"/>
    <w:rsid w:val="00E94DCA"/>
    <w:rsid w:val="00E96999"/>
    <w:rsid w:val="00EA0ECF"/>
    <w:rsid w:val="00EB08BA"/>
    <w:rsid w:val="00EB1D2C"/>
    <w:rsid w:val="00EB1E1E"/>
    <w:rsid w:val="00EB2919"/>
    <w:rsid w:val="00EB3C33"/>
    <w:rsid w:val="00EB79F5"/>
    <w:rsid w:val="00EC269D"/>
    <w:rsid w:val="00EC3011"/>
    <w:rsid w:val="00ED5FC6"/>
    <w:rsid w:val="00EE217F"/>
    <w:rsid w:val="00EE45BA"/>
    <w:rsid w:val="00EE6563"/>
    <w:rsid w:val="00EE6573"/>
    <w:rsid w:val="00EF3E2C"/>
    <w:rsid w:val="00EF4D62"/>
    <w:rsid w:val="00EF78DB"/>
    <w:rsid w:val="00F014D3"/>
    <w:rsid w:val="00F01F89"/>
    <w:rsid w:val="00F0537D"/>
    <w:rsid w:val="00F066AD"/>
    <w:rsid w:val="00F07BD4"/>
    <w:rsid w:val="00F1126B"/>
    <w:rsid w:val="00F1645F"/>
    <w:rsid w:val="00F21101"/>
    <w:rsid w:val="00F306D3"/>
    <w:rsid w:val="00F31E4B"/>
    <w:rsid w:val="00F32B94"/>
    <w:rsid w:val="00F32FCF"/>
    <w:rsid w:val="00F41A49"/>
    <w:rsid w:val="00F44103"/>
    <w:rsid w:val="00F44C06"/>
    <w:rsid w:val="00F45FFB"/>
    <w:rsid w:val="00F46928"/>
    <w:rsid w:val="00F47986"/>
    <w:rsid w:val="00F50C0C"/>
    <w:rsid w:val="00F51242"/>
    <w:rsid w:val="00F5618F"/>
    <w:rsid w:val="00F6166C"/>
    <w:rsid w:val="00F63320"/>
    <w:rsid w:val="00F65A3A"/>
    <w:rsid w:val="00F65EC4"/>
    <w:rsid w:val="00F674E0"/>
    <w:rsid w:val="00F84151"/>
    <w:rsid w:val="00F860A1"/>
    <w:rsid w:val="00F87BC3"/>
    <w:rsid w:val="00F90D57"/>
    <w:rsid w:val="00F90F59"/>
    <w:rsid w:val="00F9368F"/>
    <w:rsid w:val="00F96B0E"/>
    <w:rsid w:val="00F97363"/>
    <w:rsid w:val="00FA43CC"/>
    <w:rsid w:val="00FA5CB7"/>
    <w:rsid w:val="00FA67E2"/>
    <w:rsid w:val="00FB1C6C"/>
    <w:rsid w:val="00FB787E"/>
    <w:rsid w:val="00FB7A50"/>
    <w:rsid w:val="00FC0113"/>
    <w:rsid w:val="00FC014A"/>
    <w:rsid w:val="00FC0DED"/>
    <w:rsid w:val="00FC1FFB"/>
    <w:rsid w:val="00FC42DE"/>
    <w:rsid w:val="00FC63B0"/>
    <w:rsid w:val="00FC74C0"/>
    <w:rsid w:val="00FD67B5"/>
    <w:rsid w:val="00FD7D51"/>
    <w:rsid w:val="00FE3806"/>
    <w:rsid w:val="00FE489F"/>
    <w:rsid w:val="00FE54E6"/>
    <w:rsid w:val="00FF2403"/>
    <w:rsid w:val="00FF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633B7"/>
  <w15:chartTrackingRefBased/>
  <w15:docId w15:val="{51E0C627-DDBE-4D47-BDEC-8BFCADB9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1C5"/>
    <w:pPr>
      <w:spacing w:after="0" w:line="240" w:lineRule="auto"/>
    </w:pPr>
  </w:style>
  <w:style w:type="paragraph" w:styleId="Heading1">
    <w:name w:val="heading 1"/>
    <w:basedOn w:val="Normal"/>
    <w:next w:val="Normal"/>
    <w:link w:val="Heading1Char"/>
    <w:uiPriority w:val="9"/>
    <w:qFormat/>
    <w:rsid w:val="008E1B4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EMI Footnote Text"/>
    <w:basedOn w:val="Normal"/>
    <w:link w:val="FootnoteTextChar"/>
    <w:uiPriority w:val="99"/>
    <w:unhideWhenUsed/>
    <w:qFormat/>
    <w:rsid w:val="00B71652"/>
    <w:rPr>
      <w:rFonts w:ascii="Courier New" w:hAnsi="Courier New"/>
      <w:sz w:val="20"/>
    </w:rPr>
  </w:style>
  <w:style w:type="character" w:customStyle="1" w:styleId="FootnoteTextChar">
    <w:name w:val="Footnote Text Char"/>
    <w:aliases w:val="EMI Footnote Text Char"/>
    <w:basedOn w:val="DefaultParagraphFont"/>
    <w:link w:val="FootnoteText"/>
    <w:uiPriority w:val="99"/>
    <w:semiHidden/>
    <w:rsid w:val="00B71652"/>
    <w:rPr>
      <w:rFonts w:ascii="Courier New" w:eastAsia="Times New Roman" w:hAnsi="Courier New" w:cs="Times New Roman"/>
      <w:sz w:val="20"/>
      <w:szCs w:val="20"/>
    </w:rPr>
  </w:style>
  <w:style w:type="character" w:styleId="FootnoteReference">
    <w:name w:val="footnote reference"/>
    <w:aliases w:val="o"/>
    <w:uiPriority w:val="99"/>
    <w:qFormat/>
    <w:rsid w:val="00B71652"/>
    <w:rPr>
      <w:rFonts w:ascii="Courier New" w:hAnsi="Courier New" w:cs="Times New Roman"/>
      <w:sz w:val="20"/>
      <w:vertAlign w:val="superscript"/>
    </w:rPr>
  </w:style>
  <w:style w:type="character" w:customStyle="1" w:styleId="Outline2">
    <w:name w:val="Outline 2"/>
    <w:rsid w:val="00B71652"/>
    <w:rPr>
      <w:rFonts w:cs="Times New Roman"/>
    </w:rPr>
  </w:style>
  <w:style w:type="paragraph" w:styleId="BalloonText">
    <w:name w:val="Balloon Text"/>
    <w:basedOn w:val="Normal"/>
    <w:link w:val="BalloonTextChar"/>
    <w:uiPriority w:val="99"/>
    <w:semiHidden/>
    <w:unhideWhenUsed/>
    <w:rsid w:val="004E4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510"/>
    <w:rPr>
      <w:rFonts w:ascii="Segoe UI" w:eastAsia="Times New Roman" w:hAnsi="Segoe UI" w:cs="Segoe UI"/>
      <w:sz w:val="18"/>
      <w:szCs w:val="18"/>
    </w:rPr>
  </w:style>
  <w:style w:type="character" w:styleId="Hyperlink">
    <w:name w:val="Hyperlink"/>
    <w:basedOn w:val="DefaultParagraphFont"/>
    <w:uiPriority w:val="99"/>
    <w:unhideWhenUsed/>
    <w:rsid w:val="00390FD0"/>
    <w:rPr>
      <w:color w:val="0563C1" w:themeColor="hyperlink"/>
      <w:u w:val="single"/>
    </w:rPr>
  </w:style>
  <w:style w:type="character" w:customStyle="1" w:styleId="UnresolvedMention1">
    <w:name w:val="Unresolved Mention1"/>
    <w:basedOn w:val="DefaultParagraphFont"/>
    <w:uiPriority w:val="99"/>
    <w:semiHidden/>
    <w:unhideWhenUsed/>
    <w:rsid w:val="00390FD0"/>
    <w:rPr>
      <w:color w:val="605E5C"/>
      <w:shd w:val="clear" w:color="auto" w:fill="E1DFDD"/>
    </w:rPr>
  </w:style>
  <w:style w:type="paragraph" w:styleId="Header">
    <w:name w:val="header"/>
    <w:basedOn w:val="Normal"/>
    <w:link w:val="HeaderChar"/>
    <w:uiPriority w:val="99"/>
    <w:unhideWhenUsed/>
    <w:rsid w:val="009606C2"/>
    <w:pPr>
      <w:tabs>
        <w:tab w:val="center" w:pos="4680"/>
        <w:tab w:val="right" w:pos="9360"/>
      </w:tabs>
    </w:pPr>
  </w:style>
  <w:style w:type="character" w:customStyle="1" w:styleId="HeaderChar">
    <w:name w:val="Header Char"/>
    <w:basedOn w:val="DefaultParagraphFont"/>
    <w:link w:val="Header"/>
    <w:uiPriority w:val="99"/>
    <w:rsid w:val="009606C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606C2"/>
    <w:pPr>
      <w:tabs>
        <w:tab w:val="center" w:pos="4680"/>
        <w:tab w:val="right" w:pos="9360"/>
      </w:tabs>
    </w:pPr>
  </w:style>
  <w:style w:type="character" w:customStyle="1" w:styleId="FooterChar">
    <w:name w:val="Footer Char"/>
    <w:basedOn w:val="DefaultParagraphFont"/>
    <w:link w:val="Footer"/>
    <w:uiPriority w:val="99"/>
    <w:rsid w:val="009606C2"/>
    <w:rPr>
      <w:rFonts w:ascii="Times New Roman" w:eastAsia="Times New Roman" w:hAnsi="Times New Roman" w:cs="Times New Roman"/>
      <w:sz w:val="24"/>
      <w:szCs w:val="20"/>
    </w:rPr>
  </w:style>
  <w:style w:type="paragraph" w:styleId="BodyText">
    <w:name w:val="Body Text"/>
    <w:basedOn w:val="Normal"/>
    <w:link w:val="BodyTextChar"/>
    <w:semiHidden/>
    <w:unhideWhenUsed/>
    <w:rsid w:val="00C47031"/>
    <w:pPr>
      <w:spacing w:after="240" w:line="240" w:lineRule="atLeast"/>
      <w:ind w:firstLine="360"/>
      <w:jc w:val="both"/>
    </w:pPr>
    <w:rPr>
      <w:rFonts w:ascii="Garamond" w:hAnsi="Garamond"/>
      <w:sz w:val="22"/>
    </w:rPr>
  </w:style>
  <w:style w:type="character" w:customStyle="1" w:styleId="BodyTextChar">
    <w:name w:val="Body Text Char"/>
    <w:basedOn w:val="DefaultParagraphFont"/>
    <w:link w:val="BodyText"/>
    <w:semiHidden/>
    <w:rsid w:val="00C47031"/>
    <w:rPr>
      <w:rFonts w:ascii="Garamond" w:eastAsia="Times New Roman" w:hAnsi="Garamond" w:cs="Times New Roman"/>
      <w:szCs w:val="20"/>
    </w:rPr>
  </w:style>
  <w:style w:type="paragraph" w:customStyle="1" w:styleId="MessageHeaderLast">
    <w:name w:val="Message Header Last"/>
    <w:basedOn w:val="MessageHeader"/>
    <w:next w:val="BodyText"/>
    <w:rsid w:val="00C47031"/>
    <w:pPr>
      <w:keepLines/>
      <w:pBdr>
        <w:top w:val="none" w:sz="0" w:space="0" w:color="auto"/>
        <w:left w:val="none" w:sz="0" w:space="0" w:color="auto"/>
        <w:bottom w:val="single" w:sz="6" w:space="18" w:color="808080"/>
        <w:right w:val="none" w:sz="0" w:space="0" w:color="auto"/>
      </w:pBdr>
      <w:shd w:val="clear" w:color="auto" w:fill="auto"/>
      <w:spacing w:after="360" w:line="240" w:lineRule="atLeast"/>
    </w:pPr>
    <w:rPr>
      <w:rFonts w:ascii="Garamond" w:eastAsia="Times New Roman" w:hAnsi="Garamond" w:cs="Times New Roman"/>
      <w:caps/>
      <w:sz w:val="18"/>
      <w:szCs w:val="20"/>
    </w:rPr>
  </w:style>
  <w:style w:type="paragraph" w:customStyle="1" w:styleId="Default">
    <w:name w:val="Default"/>
    <w:rsid w:val="00C47031"/>
    <w:pPr>
      <w:autoSpaceDE w:val="0"/>
      <w:autoSpaceDN w:val="0"/>
      <w:adjustRightInd w:val="0"/>
      <w:spacing w:after="0" w:line="240" w:lineRule="auto"/>
    </w:pPr>
    <w:rPr>
      <w:rFonts w:eastAsia="Calibri"/>
      <w:color w:val="000000"/>
    </w:rPr>
  </w:style>
  <w:style w:type="paragraph" w:styleId="MessageHeader">
    <w:name w:val="Message Header"/>
    <w:basedOn w:val="Normal"/>
    <w:link w:val="MessageHeaderChar"/>
    <w:uiPriority w:val="99"/>
    <w:semiHidden/>
    <w:unhideWhenUsed/>
    <w:rsid w:val="00C4703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47031"/>
    <w:rPr>
      <w:rFonts w:asciiTheme="majorHAnsi" w:eastAsiaTheme="majorEastAsia" w:hAnsiTheme="majorHAnsi" w:cstheme="majorBidi"/>
      <w:sz w:val="24"/>
      <w:szCs w:val="24"/>
      <w:shd w:val="pct20" w:color="auto" w:fill="auto"/>
    </w:rPr>
  </w:style>
  <w:style w:type="paragraph" w:styleId="ListParagraph">
    <w:name w:val="List Paragraph"/>
    <w:basedOn w:val="Normal"/>
    <w:link w:val="ListParagraphChar"/>
    <w:uiPriority w:val="34"/>
    <w:qFormat/>
    <w:rsid w:val="002E0B60"/>
    <w:pPr>
      <w:spacing w:after="160" w:line="256" w:lineRule="auto"/>
      <w:ind w:left="720"/>
      <w:contextualSpacing/>
    </w:pPr>
    <w:rPr>
      <w:rFonts w:asciiTheme="minorHAnsi" w:hAnsiTheme="minorHAnsi" w:cstheme="minorBidi"/>
      <w:sz w:val="22"/>
      <w:szCs w:val="22"/>
    </w:rPr>
  </w:style>
  <w:style w:type="paragraph" w:customStyle="1" w:styleId="xmsonormal">
    <w:name w:val="x_msonormal"/>
    <w:basedOn w:val="Normal"/>
    <w:rsid w:val="00817EF6"/>
    <w:pPr>
      <w:spacing w:before="100" w:beforeAutospacing="1" w:after="100" w:afterAutospacing="1"/>
    </w:pPr>
  </w:style>
  <w:style w:type="paragraph" w:customStyle="1" w:styleId="Answer1">
    <w:name w:val="Answer 1"/>
    <w:basedOn w:val="Normal"/>
    <w:next w:val="BodyText"/>
    <w:rsid w:val="00817EF6"/>
    <w:pPr>
      <w:numPr>
        <w:numId w:val="2"/>
      </w:numPr>
      <w:spacing w:before="240" w:after="240" w:line="480" w:lineRule="auto"/>
      <w:outlineLvl w:val="0"/>
    </w:pPr>
  </w:style>
  <w:style w:type="paragraph" w:customStyle="1" w:styleId="Answer2">
    <w:name w:val="Answer 2"/>
    <w:basedOn w:val="Normal"/>
    <w:next w:val="BodyText"/>
    <w:rsid w:val="00817EF6"/>
    <w:pPr>
      <w:numPr>
        <w:ilvl w:val="1"/>
        <w:numId w:val="2"/>
      </w:numPr>
      <w:spacing w:after="240" w:line="480" w:lineRule="auto"/>
      <w:jc w:val="both"/>
      <w:outlineLvl w:val="1"/>
    </w:pPr>
    <w:rPr>
      <w:rFonts w:eastAsia="MS Mincho"/>
    </w:rPr>
  </w:style>
  <w:style w:type="paragraph" w:styleId="BodyTextIndent3">
    <w:name w:val="Body Text Indent 3"/>
    <w:basedOn w:val="Normal"/>
    <w:link w:val="BodyTextIndent3Char"/>
    <w:uiPriority w:val="99"/>
    <w:semiHidden/>
    <w:unhideWhenUsed/>
    <w:rsid w:val="0016559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65597"/>
    <w:rPr>
      <w:rFonts w:ascii="Times New Roman" w:eastAsia="Times New Roman" w:hAnsi="Times New Roman" w:cs="Times New Roman"/>
      <w:sz w:val="16"/>
      <w:szCs w:val="16"/>
    </w:rPr>
  </w:style>
  <w:style w:type="character" w:styleId="CommentReference">
    <w:name w:val="annotation reference"/>
    <w:basedOn w:val="DefaultParagraphFont"/>
    <w:uiPriority w:val="99"/>
    <w:unhideWhenUsed/>
    <w:rsid w:val="009B7AEC"/>
    <w:rPr>
      <w:sz w:val="16"/>
      <w:szCs w:val="16"/>
    </w:rPr>
  </w:style>
  <w:style w:type="paragraph" w:styleId="CommentText">
    <w:name w:val="annotation text"/>
    <w:basedOn w:val="Normal"/>
    <w:link w:val="CommentTextChar"/>
    <w:uiPriority w:val="99"/>
    <w:unhideWhenUsed/>
    <w:rsid w:val="009B7AEC"/>
    <w:rPr>
      <w:sz w:val="20"/>
      <w:szCs w:val="20"/>
    </w:rPr>
  </w:style>
  <w:style w:type="character" w:customStyle="1" w:styleId="CommentTextChar">
    <w:name w:val="Comment Text Char"/>
    <w:basedOn w:val="DefaultParagraphFont"/>
    <w:link w:val="CommentText"/>
    <w:uiPriority w:val="99"/>
    <w:rsid w:val="009B7AEC"/>
    <w:rPr>
      <w:sz w:val="20"/>
      <w:szCs w:val="20"/>
    </w:rPr>
  </w:style>
  <w:style w:type="paragraph" w:styleId="CommentSubject">
    <w:name w:val="annotation subject"/>
    <w:basedOn w:val="CommentText"/>
    <w:next w:val="CommentText"/>
    <w:link w:val="CommentSubjectChar"/>
    <w:uiPriority w:val="99"/>
    <w:semiHidden/>
    <w:unhideWhenUsed/>
    <w:rsid w:val="009B7AEC"/>
    <w:rPr>
      <w:b/>
      <w:bCs/>
    </w:rPr>
  </w:style>
  <w:style w:type="character" w:customStyle="1" w:styleId="CommentSubjectChar">
    <w:name w:val="Comment Subject Char"/>
    <w:basedOn w:val="CommentTextChar"/>
    <w:link w:val="CommentSubject"/>
    <w:uiPriority w:val="99"/>
    <w:semiHidden/>
    <w:rsid w:val="009B7AEC"/>
    <w:rPr>
      <w:b/>
      <w:bCs/>
      <w:sz w:val="20"/>
      <w:szCs w:val="20"/>
    </w:rPr>
  </w:style>
  <w:style w:type="paragraph" w:styleId="Revision">
    <w:name w:val="Revision"/>
    <w:hidden/>
    <w:uiPriority w:val="99"/>
    <w:semiHidden/>
    <w:rsid w:val="00A14807"/>
    <w:pPr>
      <w:spacing w:after="0" w:line="240" w:lineRule="auto"/>
    </w:pPr>
  </w:style>
  <w:style w:type="character" w:customStyle="1" w:styleId="ListParagraphChar">
    <w:name w:val="List Paragraph Char"/>
    <w:link w:val="ListParagraph"/>
    <w:uiPriority w:val="34"/>
    <w:rsid w:val="00094C4D"/>
    <w:rPr>
      <w:rFonts w:asciiTheme="minorHAnsi" w:hAnsiTheme="minorHAnsi" w:cstheme="minorBidi"/>
      <w:sz w:val="22"/>
      <w:szCs w:val="22"/>
    </w:rPr>
  </w:style>
  <w:style w:type="paragraph" w:customStyle="1" w:styleId="Answers">
    <w:name w:val="Answers"/>
    <w:basedOn w:val="Normal"/>
    <w:link w:val="AnswersChar"/>
    <w:qFormat/>
    <w:rsid w:val="00094C4D"/>
    <w:pPr>
      <w:tabs>
        <w:tab w:val="left" w:pos="660"/>
      </w:tabs>
      <w:spacing w:line="480" w:lineRule="auto"/>
      <w:ind w:left="720" w:hanging="720"/>
      <w:jc w:val="both"/>
    </w:pPr>
    <w:rPr>
      <w:rFonts w:eastAsia="Times New Roman" w:cs="Calibri"/>
    </w:rPr>
  </w:style>
  <w:style w:type="character" w:customStyle="1" w:styleId="AnswersChar">
    <w:name w:val="Answers Char"/>
    <w:basedOn w:val="DefaultParagraphFont"/>
    <w:link w:val="Answers"/>
    <w:rsid w:val="00094C4D"/>
    <w:rPr>
      <w:rFonts w:eastAsia="Times New Roman" w:cs="Calibri"/>
    </w:rPr>
  </w:style>
  <w:style w:type="character" w:customStyle="1" w:styleId="cf01">
    <w:name w:val="cf01"/>
    <w:basedOn w:val="DefaultParagraphFont"/>
    <w:rsid w:val="00E73EA9"/>
    <w:rPr>
      <w:rFonts w:ascii="Segoe UI" w:hAnsi="Segoe UI" w:cs="Segoe UI" w:hint="default"/>
      <w:sz w:val="18"/>
      <w:szCs w:val="18"/>
    </w:rPr>
  </w:style>
  <w:style w:type="character" w:customStyle="1" w:styleId="FootnoteTextChar2">
    <w:name w:val="Footnote Text Char2"/>
    <w:aliases w:val="EMI Footnote Text Char1"/>
    <w:uiPriority w:val="99"/>
    <w:qFormat/>
    <w:locked/>
    <w:rsid w:val="008E1B4D"/>
    <w:rPr>
      <w:rFonts w:ascii="Calibri" w:eastAsia="Calibri" w:hAnsi="Calibri" w:cs="Times New Roman"/>
      <w:sz w:val="20"/>
      <w:szCs w:val="20"/>
    </w:rPr>
  </w:style>
  <w:style w:type="paragraph" w:customStyle="1" w:styleId="Question">
    <w:name w:val="Question"/>
    <w:basedOn w:val="Normal"/>
    <w:qFormat/>
    <w:rsid w:val="008E1B4D"/>
    <w:pPr>
      <w:autoSpaceDE w:val="0"/>
      <w:autoSpaceDN w:val="0"/>
      <w:adjustRightInd w:val="0"/>
      <w:spacing w:before="480" w:line="480" w:lineRule="auto"/>
      <w:ind w:left="720" w:hanging="720"/>
      <w:jc w:val="both"/>
    </w:pPr>
    <w:rPr>
      <w:b/>
      <w:caps/>
    </w:rPr>
  </w:style>
  <w:style w:type="character" w:customStyle="1" w:styleId="Heading1Char">
    <w:name w:val="Heading 1 Char"/>
    <w:basedOn w:val="DefaultParagraphFont"/>
    <w:link w:val="Heading1"/>
    <w:uiPriority w:val="9"/>
    <w:rsid w:val="008E1B4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E1B4D"/>
    <w:pPr>
      <w:numPr>
        <w:numId w:val="17"/>
      </w:numPr>
      <w:spacing w:line="259" w:lineRule="auto"/>
      <w:outlineLvl w:val="9"/>
    </w:pPr>
    <w:rPr>
      <w:rFonts w:ascii="Calibri Light" w:eastAsia="Times New Roman" w:hAnsi="Calibri Light" w:cs="Times New Roman"/>
      <w:color w:val="2E74B5"/>
      <w:szCs w:val="24"/>
    </w:rPr>
  </w:style>
  <w:style w:type="character" w:styleId="UnresolvedMention">
    <w:name w:val="Unresolved Mention"/>
    <w:basedOn w:val="DefaultParagraphFont"/>
    <w:uiPriority w:val="99"/>
    <w:semiHidden/>
    <w:unhideWhenUsed/>
    <w:rsid w:val="00BF683B"/>
    <w:rPr>
      <w:color w:val="605E5C"/>
      <w:shd w:val="clear" w:color="auto" w:fill="E1DFDD"/>
    </w:rPr>
  </w:style>
  <w:style w:type="table" w:styleId="TableGrid">
    <w:name w:val="Table Grid"/>
    <w:basedOn w:val="TableNormal"/>
    <w:uiPriority w:val="59"/>
    <w:rsid w:val="003461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12448">
      <w:bodyDiv w:val="1"/>
      <w:marLeft w:val="0"/>
      <w:marRight w:val="0"/>
      <w:marTop w:val="0"/>
      <w:marBottom w:val="0"/>
      <w:divBdr>
        <w:top w:val="none" w:sz="0" w:space="0" w:color="auto"/>
        <w:left w:val="none" w:sz="0" w:space="0" w:color="auto"/>
        <w:bottom w:val="none" w:sz="0" w:space="0" w:color="auto"/>
        <w:right w:val="none" w:sz="0" w:space="0" w:color="auto"/>
      </w:divBdr>
    </w:div>
    <w:div w:id="431635262">
      <w:bodyDiv w:val="1"/>
      <w:marLeft w:val="0"/>
      <w:marRight w:val="0"/>
      <w:marTop w:val="0"/>
      <w:marBottom w:val="0"/>
      <w:divBdr>
        <w:top w:val="none" w:sz="0" w:space="0" w:color="auto"/>
        <w:left w:val="none" w:sz="0" w:space="0" w:color="auto"/>
        <w:bottom w:val="none" w:sz="0" w:space="0" w:color="auto"/>
        <w:right w:val="none" w:sz="0" w:space="0" w:color="auto"/>
      </w:divBdr>
    </w:div>
    <w:div w:id="507326453">
      <w:bodyDiv w:val="1"/>
      <w:marLeft w:val="0"/>
      <w:marRight w:val="0"/>
      <w:marTop w:val="0"/>
      <w:marBottom w:val="0"/>
      <w:divBdr>
        <w:top w:val="none" w:sz="0" w:space="0" w:color="auto"/>
        <w:left w:val="none" w:sz="0" w:space="0" w:color="auto"/>
        <w:bottom w:val="none" w:sz="0" w:space="0" w:color="auto"/>
        <w:right w:val="none" w:sz="0" w:space="0" w:color="auto"/>
      </w:divBdr>
    </w:div>
    <w:div w:id="547113595">
      <w:bodyDiv w:val="1"/>
      <w:marLeft w:val="0"/>
      <w:marRight w:val="0"/>
      <w:marTop w:val="0"/>
      <w:marBottom w:val="0"/>
      <w:divBdr>
        <w:top w:val="none" w:sz="0" w:space="0" w:color="auto"/>
        <w:left w:val="none" w:sz="0" w:space="0" w:color="auto"/>
        <w:bottom w:val="none" w:sz="0" w:space="0" w:color="auto"/>
        <w:right w:val="none" w:sz="0" w:space="0" w:color="auto"/>
      </w:divBdr>
      <w:divsChild>
        <w:div w:id="325792773">
          <w:marLeft w:val="0"/>
          <w:marRight w:val="0"/>
          <w:marTop w:val="0"/>
          <w:marBottom w:val="0"/>
          <w:divBdr>
            <w:top w:val="none" w:sz="0" w:space="0" w:color="auto"/>
            <w:left w:val="none" w:sz="0" w:space="0" w:color="auto"/>
            <w:bottom w:val="none" w:sz="0" w:space="0" w:color="auto"/>
            <w:right w:val="none" w:sz="0" w:space="0" w:color="auto"/>
          </w:divBdr>
        </w:div>
        <w:div w:id="1314719233">
          <w:marLeft w:val="0"/>
          <w:marRight w:val="0"/>
          <w:marTop w:val="0"/>
          <w:marBottom w:val="0"/>
          <w:divBdr>
            <w:top w:val="none" w:sz="0" w:space="0" w:color="auto"/>
            <w:left w:val="none" w:sz="0" w:space="0" w:color="auto"/>
            <w:bottom w:val="none" w:sz="0" w:space="0" w:color="auto"/>
            <w:right w:val="none" w:sz="0" w:space="0" w:color="auto"/>
          </w:divBdr>
        </w:div>
        <w:div w:id="1735467084">
          <w:marLeft w:val="0"/>
          <w:marRight w:val="0"/>
          <w:marTop w:val="0"/>
          <w:marBottom w:val="0"/>
          <w:divBdr>
            <w:top w:val="none" w:sz="0" w:space="0" w:color="auto"/>
            <w:left w:val="none" w:sz="0" w:space="0" w:color="auto"/>
            <w:bottom w:val="none" w:sz="0" w:space="0" w:color="auto"/>
            <w:right w:val="none" w:sz="0" w:space="0" w:color="auto"/>
          </w:divBdr>
        </w:div>
      </w:divsChild>
    </w:div>
    <w:div w:id="928003270">
      <w:bodyDiv w:val="1"/>
      <w:marLeft w:val="0"/>
      <w:marRight w:val="0"/>
      <w:marTop w:val="0"/>
      <w:marBottom w:val="0"/>
      <w:divBdr>
        <w:top w:val="none" w:sz="0" w:space="0" w:color="auto"/>
        <w:left w:val="none" w:sz="0" w:space="0" w:color="auto"/>
        <w:bottom w:val="none" w:sz="0" w:space="0" w:color="auto"/>
        <w:right w:val="none" w:sz="0" w:space="0" w:color="auto"/>
      </w:divBdr>
    </w:div>
    <w:div w:id="1042900281">
      <w:bodyDiv w:val="1"/>
      <w:marLeft w:val="0"/>
      <w:marRight w:val="0"/>
      <w:marTop w:val="0"/>
      <w:marBottom w:val="0"/>
      <w:divBdr>
        <w:top w:val="none" w:sz="0" w:space="0" w:color="auto"/>
        <w:left w:val="none" w:sz="0" w:space="0" w:color="auto"/>
        <w:bottom w:val="none" w:sz="0" w:space="0" w:color="auto"/>
        <w:right w:val="none" w:sz="0" w:space="0" w:color="auto"/>
      </w:divBdr>
    </w:div>
    <w:div w:id="1199050644">
      <w:bodyDiv w:val="1"/>
      <w:marLeft w:val="0"/>
      <w:marRight w:val="0"/>
      <w:marTop w:val="0"/>
      <w:marBottom w:val="0"/>
      <w:divBdr>
        <w:top w:val="none" w:sz="0" w:space="0" w:color="auto"/>
        <w:left w:val="none" w:sz="0" w:space="0" w:color="auto"/>
        <w:bottom w:val="none" w:sz="0" w:space="0" w:color="auto"/>
        <w:right w:val="none" w:sz="0" w:space="0" w:color="auto"/>
      </w:divBdr>
      <w:divsChild>
        <w:div w:id="2119986037">
          <w:marLeft w:val="0"/>
          <w:marRight w:val="0"/>
          <w:marTop w:val="0"/>
          <w:marBottom w:val="0"/>
          <w:divBdr>
            <w:top w:val="none" w:sz="0" w:space="0" w:color="auto"/>
            <w:left w:val="none" w:sz="0" w:space="0" w:color="auto"/>
            <w:bottom w:val="none" w:sz="0" w:space="0" w:color="auto"/>
            <w:right w:val="none" w:sz="0" w:space="0" w:color="auto"/>
          </w:divBdr>
        </w:div>
        <w:div w:id="196431525">
          <w:marLeft w:val="0"/>
          <w:marRight w:val="0"/>
          <w:marTop w:val="0"/>
          <w:marBottom w:val="0"/>
          <w:divBdr>
            <w:top w:val="none" w:sz="0" w:space="0" w:color="auto"/>
            <w:left w:val="none" w:sz="0" w:space="0" w:color="auto"/>
            <w:bottom w:val="none" w:sz="0" w:space="0" w:color="auto"/>
            <w:right w:val="none" w:sz="0" w:space="0" w:color="auto"/>
          </w:divBdr>
        </w:div>
        <w:div w:id="829715919">
          <w:marLeft w:val="0"/>
          <w:marRight w:val="0"/>
          <w:marTop w:val="0"/>
          <w:marBottom w:val="0"/>
          <w:divBdr>
            <w:top w:val="none" w:sz="0" w:space="0" w:color="auto"/>
            <w:left w:val="none" w:sz="0" w:space="0" w:color="auto"/>
            <w:bottom w:val="none" w:sz="0" w:space="0" w:color="auto"/>
            <w:right w:val="none" w:sz="0" w:space="0" w:color="auto"/>
          </w:divBdr>
        </w:div>
        <w:div w:id="866216875">
          <w:marLeft w:val="0"/>
          <w:marRight w:val="0"/>
          <w:marTop w:val="0"/>
          <w:marBottom w:val="0"/>
          <w:divBdr>
            <w:top w:val="none" w:sz="0" w:space="0" w:color="auto"/>
            <w:left w:val="none" w:sz="0" w:space="0" w:color="auto"/>
            <w:bottom w:val="none" w:sz="0" w:space="0" w:color="auto"/>
            <w:right w:val="none" w:sz="0" w:space="0" w:color="auto"/>
          </w:divBdr>
        </w:div>
        <w:div w:id="651100916">
          <w:marLeft w:val="0"/>
          <w:marRight w:val="0"/>
          <w:marTop w:val="0"/>
          <w:marBottom w:val="0"/>
          <w:divBdr>
            <w:top w:val="none" w:sz="0" w:space="0" w:color="auto"/>
            <w:left w:val="none" w:sz="0" w:space="0" w:color="auto"/>
            <w:bottom w:val="none" w:sz="0" w:space="0" w:color="auto"/>
            <w:right w:val="none" w:sz="0" w:space="0" w:color="auto"/>
          </w:divBdr>
        </w:div>
      </w:divsChild>
    </w:div>
    <w:div w:id="1203595968">
      <w:bodyDiv w:val="1"/>
      <w:marLeft w:val="0"/>
      <w:marRight w:val="0"/>
      <w:marTop w:val="0"/>
      <w:marBottom w:val="0"/>
      <w:divBdr>
        <w:top w:val="none" w:sz="0" w:space="0" w:color="auto"/>
        <w:left w:val="none" w:sz="0" w:space="0" w:color="auto"/>
        <w:bottom w:val="none" w:sz="0" w:space="0" w:color="auto"/>
        <w:right w:val="none" w:sz="0" w:space="0" w:color="auto"/>
      </w:divBdr>
    </w:div>
    <w:div w:id="1246571373">
      <w:bodyDiv w:val="1"/>
      <w:marLeft w:val="0"/>
      <w:marRight w:val="0"/>
      <w:marTop w:val="0"/>
      <w:marBottom w:val="0"/>
      <w:divBdr>
        <w:top w:val="none" w:sz="0" w:space="0" w:color="auto"/>
        <w:left w:val="none" w:sz="0" w:space="0" w:color="auto"/>
        <w:bottom w:val="none" w:sz="0" w:space="0" w:color="auto"/>
        <w:right w:val="none" w:sz="0" w:space="0" w:color="auto"/>
      </w:divBdr>
      <w:divsChild>
        <w:div w:id="816075054">
          <w:marLeft w:val="0"/>
          <w:marRight w:val="0"/>
          <w:marTop w:val="0"/>
          <w:marBottom w:val="0"/>
          <w:divBdr>
            <w:top w:val="none" w:sz="0" w:space="0" w:color="auto"/>
            <w:left w:val="none" w:sz="0" w:space="0" w:color="auto"/>
            <w:bottom w:val="none" w:sz="0" w:space="0" w:color="auto"/>
            <w:right w:val="none" w:sz="0" w:space="0" w:color="auto"/>
          </w:divBdr>
        </w:div>
        <w:div w:id="1961719928">
          <w:marLeft w:val="0"/>
          <w:marRight w:val="0"/>
          <w:marTop w:val="0"/>
          <w:marBottom w:val="0"/>
          <w:divBdr>
            <w:top w:val="none" w:sz="0" w:space="0" w:color="auto"/>
            <w:left w:val="none" w:sz="0" w:space="0" w:color="auto"/>
            <w:bottom w:val="none" w:sz="0" w:space="0" w:color="auto"/>
            <w:right w:val="none" w:sz="0" w:space="0" w:color="auto"/>
          </w:divBdr>
        </w:div>
        <w:div w:id="1270745954">
          <w:marLeft w:val="0"/>
          <w:marRight w:val="0"/>
          <w:marTop w:val="0"/>
          <w:marBottom w:val="0"/>
          <w:divBdr>
            <w:top w:val="none" w:sz="0" w:space="0" w:color="auto"/>
            <w:left w:val="none" w:sz="0" w:space="0" w:color="auto"/>
            <w:bottom w:val="none" w:sz="0" w:space="0" w:color="auto"/>
            <w:right w:val="none" w:sz="0" w:space="0" w:color="auto"/>
          </w:divBdr>
        </w:div>
        <w:div w:id="1004434806">
          <w:marLeft w:val="0"/>
          <w:marRight w:val="0"/>
          <w:marTop w:val="0"/>
          <w:marBottom w:val="0"/>
          <w:divBdr>
            <w:top w:val="none" w:sz="0" w:space="0" w:color="auto"/>
            <w:left w:val="none" w:sz="0" w:space="0" w:color="auto"/>
            <w:bottom w:val="none" w:sz="0" w:space="0" w:color="auto"/>
            <w:right w:val="none" w:sz="0" w:space="0" w:color="auto"/>
          </w:divBdr>
        </w:div>
        <w:div w:id="1598830374">
          <w:marLeft w:val="0"/>
          <w:marRight w:val="0"/>
          <w:marTop w:val="0"/>
          <w:marBottom w:val="0"/>
          <w:divBdr>
            <w:top w:val="none" w:sz="0" w:space="0" w:color="auto"/>
            <w:left w:val="none" w:sz="0" w:space="0" w:color="auto"/>
            <w:bottom w:val="none" w:sz="0" w:space="0" w:color="auto"/>
            <w:right w:val="none" w:sz="0" w:space="0" w:color="auto"/>
          </w:divBdr>
        </w:div>
      </w:divsChild>
    </w:div>
    <w:div w:id="1259215664">
      <w:bodyDiv w:val="1"/>
      <w:marLeft w:val="0"/>
      <w:marRight w:val="0"/>
      <w:marTop w:val="0"/>
      <w:marBottom w:val="0"/>
      <w:divBdr>
        <w:top w:val="none" w:sz="0" w:space="0" w:color="auto"/>
        <w:left w:val="none" w:sz="0" w:space="0" w:color="auto"/>
        <w:bottom w:val="none" w:sz="0" w:space="0" w:color="auto"/>
        <w:right w:val="none" w:sz="0" w:space="0" w:color="auto"/>
      </w:divBdr>
    </w:div>
    <w:div w:id="1321273572">
      <w:bodyDiv w:val="1"/>
      <w:marLeft w:val="0"/>
      <w:marRight w:val="0"/>
      <w:marTop w:val="0"/>
      <w:marBottom w:val="0"/>
      <w:divBdr>
        <w:top w:val="none" w:sz="0" w:space="0" w:color="auto"/>
        <w:left w:val="none" w:sz="0" w:space="0" w:color="auto"/>
        <w:bottom w:val="none" w:sz="0" w:space="0" w:color="auto"/>
        <w:right w:val="none" w:sz="0" w:space="0" w:color="auto"/>
      </w:divBdr>
    </w:div>
    <w:div w:id="1836991209">
      <w:bodyDiv w:val="1"/>
      <w:marLeft w:val="0"/>
      <w:marRight w:val="0"/>
      <w:marTop w:val="0"/>
      <w:marBottom w:val="0"/>
      <w:divBdr>
        <w:top w:val="none" w:sz="0" w:space="0" w:color="auto"/>
        <w:left w:val="none" w:sz="0" w:space="0" w:color="auto"/>
        <w:bottom w:val="none" w:sz="0" w:space="0" w:color="auto"/>
        <w:right w:val="none" w:sz="0" w:space="0" w:color="auto"/>
      </w:divBdr>
    </w:div>
    <w:div w:id="1836992011">
      <w:bodyDiv w:val="1"/>
      <w:marLeft w:val="0"/>
      <w:marRight w:val="0"/>
      <w:marTop w:val="0"/>
      <w:marBottom w:val="0"/>
      <w:divBdr>
        <w:top w:val="none" w:sz="0" w:space="0" w:color="auto"/>
        <w:left w:val="none" w:sz="0" w:space="0" w:color="auto"/>
        <w:bottom w:val="none" w:sz="0" w:space="0" w:color="auto"/>
        <w:right w:val="none" w:sz="0" w:space="0" w:color="auto"/>
      </w:divBdr>
    </w:div>
    <w:div w:id="1846894535">
      <w:bodyDiv w:val="1"/>
      <w:marLeft w:val="0"/>
      <w:marRight w:val="0"/>
      <w:marTop w:val="0"/>
      <w:marBottom w:val="0"/>
      <w:divBdr>
        <w:top w:val="none" w:sz="0" w:space="0" w:color="auto"/>
        <w:left w:val="none" w:sz="0" w:space="0" w:color="auto"/>
        <w:bottom w:val="none" w:sz="0" w:space="0" w:color="auto"/>
        <w:right w:val="none" w:sz="0" w:space="0" w:color="auto"/>
      </w:divBdr>
    </w:div>
    <w:div w:id="1910843673">
      <w:bodyDiv w:val="1"/>
      <w:marLeft w:val="0"/>
      <w:marRight w:val="0"/>
      <w:marTop w:val="0"/>
      <w:marBottom w:val="0"/>
      <w:divBdr>
        <w:top w:val="none" w:sz="0" w:space="0" w:color="auto"/>
        <w:left w:val="none" w:sz="0" w:space="0" w:color="auto"/>
        <w:bottom w:val="none" w:sz="0" w:space="0" w:color="auto"/>
        <w:right w:val="none" w:sz="0" w:space="0" w:color="auto"/>
      </w:divBdr>
    </w:div>
    <w:div w:id="1931504762">
      <w:bodyDiv w:val="1"/>
      <w:marLeft w:val="0"/>
      <w:marRight w:val="0"/>
      <w:marTop w:val="0"/>
      <w:marBottom w:val="0"/>
      <w:divBdr>
        <w:top w:val="none" w:sz="0" w:space="0" w:color="auto"/>
        <w:left w:val="none" w:sz="0" w:space="0" w:color="auto"/>
        <w:bottom w:val="none" w:sz="0" w:space="0" w:color="auto"/>
        <w:right w:val="none" w:sz="0" w:space="0" w:color="auto"/>
      </w:divBdr>
    </w:div>
    <w:div w:id="1960336252">
      <w:bodyDiv w:val="1"/>
      <w:marLeft w:val="0"/>
      <w:marRight w:val="0"/>
      <w:marTop w:val="0"/>
      <w:marBottom w:val="0"/>
      <w:divBdr>
        <w:top w:val="none" w:sz="0" w:space="0" w:color="auto"/>
        <w:left w:val="none" w:sz="0" w:space="0" w:color="auto"/>
        <w:bottom w:val="none" w:sz="0" w:space="0" w:color="auto"/>
        <w:right w:val="none" w:sz="0" w:space="0" w:color="auto"/>
      </w:divBdr>
    </w:div>
    <w:div w:id="2018581607">
      <w:bodyDiv w:val="1"/>
      <w:marLeft w:val="0"/>
      <w:marRight w:val="0"/>
      <w:marTop w:val="0"/>
      <w:marBottom w:val="0"/>
      <w:divBdr>
        <w:top w:val="none" w:sz="0" w:space="0" w:color="auto"/>
        <w:left w:val="none" w:sz="0" w:space="0" w:color="auto"/>
        <w:bottom w:val="none" w:sz="0" w:space="0" w:color="auto"/>
        <w:right w:val="none" w:sz="0" w:space="0" w:color="auto"/>
      </w:divBdr>
      <w:divsChild>
        <w:div w:id="1815874241">
          <w:marLeft w:val="0"/>
          <w:marRight w:val="0"/>
          <w:marTop w:val="0"/>
          <w:marBottom w:val="0"/>
          <w:divBdr>
            <w:top w:val="none" w:sz="0" w:space="0" w:color="auto"/>
            <w:left w:val="none" w:sz="0" w:space="0" w:color="auto"/>
            <w:bottom w:val="none" w:sz="0" w:space="0" w:color="auto"/>
            <w:right w:val="none" w:sz="0" w:space="0" w:color="auto"/>
          </w:divBdr>
        </w:div>
        <w:div w:id="499544609">
          <w:marLeft w:val="0"/>
          <w:marRight w:val="0"/>
          <w:marTop w:val="0"/>
          <w:marBottom w:val="0"/>
          <w:divBdr>
            <w:top w:val="none" w:sz="0" w:space="0" w:color="auto"/>
            <w:left w:val="none" w:sz="0" w:space="0" w:color="auto"/>
            <w:bottom w:val="none" w:sz="0" w:space="0" w:color="auto"/>
            <w:right w:val="none" w:sz="0" w:space="0" w:color="auto"/>
          </w:divBdr>
        </w:div>
        <w:div w:id="2047829031">
          <w:marLeft w:val="0"/>
          <w:marRight w:val="0"/>
          <w:marTop w:val="0"/>
          <w:marBottom w:val="0"/>
          <w:divBdr>
            <w:top w:val="none" w:sz="0" w:space="0" w:color="auto"/>
            <w:left w:val="none" w:sz="0" w:space="0" w:color="auto"/>
            <w:bottom w:val="none" w:sz="0" w:space="0" w:color="auto"/>
            <w:right w:val="none" w:sz="0" w:space="0" w:color="auto"/>
          </w:divBdr>
        </w:div>
        <w:div w:id="1622689259">
          <w:marLeft w:val="0"/>
          <w:marRight w:val="0"/>
          <w:marTop w:val="0"/>
          <w:marBottom w:val="0"/>
          <w:divBdr>
            <w:top w:val="none" w:sz="0" w:space="0" w:color="auto"/>
            <w:left w:val="none" w:sz="0" w:space="0" w:color="auto"/>
            <w:bottom w:val="none" w:sz="0" w:space="0" w:color="auto"/>
            <w:right w:val="none" w:sz="0" w:space="0" w:color="auto"/>
          </w:divBdr>
        </w:div>
      </w:divsChild>
    </w:div>
    <w:div w:id="210642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F30ED-FB10-475A-9622-76413614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9017</Words>
  <Characters>51403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Gibson</dc:creator>
  <cp:keywords/>
  <dc:description/>
  <cp:lastModifiedBy>Justin Pawluk</cp:lastModifiedBy>
  <cp:revision>14</cp:revision>
  <cp:lastPrinted>2022-07-07T19:26:00Z</cp:lastPrinted>
  <dcterms:created xsi:type="dcterms:W3CDTF">2025-07-03T17:22:00Z</dcterms:created>
  <dcterms:modified xsi:type="dcterms:W3CDTF">2025-07-03T17:53:00Z</dcterms:modified>
</cp:coreProperties>
</file>