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055C0E" w14:textId="77777777" w:rsidR="00A54CB9" w:rsidRPr="00892649" w:rsidRDefault="00A54CB9" w:rsidP="00A54CB9">
      <w:pPr>
        <w:spacing w:line="240" w:lineRule="auto"/>
        <w:ind w:left="0" w:firstLine="0"/>
        <w:contextualSpacing w:val="0"/>
        <w:jc w:val="center"/>
        <w:rPr>
          <w:rFonts w:cs="Times New Roman"/>
          <w:b/>
          <w:sz w:val="24"/>
          <w:szCs w:val="24"/>
        </w:rPr>
      </w:pPr>
      <w:r w:rsidRPr="00892649">
        <w:rPr>
          <w:rFonts w:cs="Times New Roman"/>
          <w:b/>
          <w:sz w:val="24"/>
          <w:szCs w:val="24"/>
        </w:rPr>
        <w:t>BEFORE THE PUBLIC SERVICE COMMISSION</w:t>
      </w:r>
    </w:p>
    <w:p w14:paraId="11A951E4" w14:textId="77777777" w:rsidR="00A54CB9" w:rsidRPr="00892649" w:rsidRDefault="00A54CB9" w:rsidP="00A54CB9">
      <w:pPr>
        <w:spacing w:line="240" w:lineRule="auto"/>
        <w:ind w:left="0" w:firstLine="0"/>
        <w:contextualSpacing w:val="0"/>
        <w:jc w:val="center"/>
        <w:rPr>
          <w:rFonts w:cs="Times New Roman"/>
          <w:b/>
          <w:sz w:val="24"/>
          <w:szCs w:val="24"/>
        </w:rPr>
      </w:pPr>
    </w:p>
    <w:p w14:paraId="27B75246" w14:textId="77777777" w:rsidR="00A54CB9" w:rsidRPr="00892649" w:rsidRDefault="00A54CB9" w:rsidP="00A54CB9">
      <w:pPr>
        <w:spacing w:line="240" w:lineRule="auto"/>
        <w:ind w:left="0" w:firstLine="0"/>
        <w:contextualSpacing w:val="0"/>
        <w:jc w:val="center"/>
        <w:rPr>
          <w:rFonts w:cs="Times New Roman"/>
          <w:b/>
          <w:sz w:val="24"/>
          <w:szCs w:val="24"/>
        </w:rPr>
      </w:pPr>
      <w:r w:rsidRPr="00892649">
        <w:rPr>
          <w:rFonts w:cs="Times New Roman"/>
          <w:b/>
          <w:sz w:val="24"/>
          <w:szCs w:val="24"/>
        </w:rPr>
        <w:t>STATE OF GEORGIA</w:t>
      </w:r>
    </w:p>
    <w:p w14:paraId="3EDC14FB" w14:textId="77777777" w:rsidR="00A54CB9" w:rsidRPr="00892649" w:rsidRDefault="00A54CB9" w:rsidP="00A54CB9">
      <w:pPr>
        <w:spacing w:line="240" w:lineRule="auto"/>
        <w:ind w:left="0" w:firstLine="0"/>
        <w:contextualSpacing w:val="0"/>
        <w:jc w:val="center"/>
        <w:rPr>
          <w:rFonts w:cs="Times New Roman"/>
          <w:sz w:val="24"/>
          <w:szCs w:val="24"/>
        </w:rPr>
      </w:pPr>
    </w:p>
    <w:tbl>
      <w:tblPr>
        <w:tblW w:w="9360" w:type="dxa"/>
        <w:tblBorders>
          <w:top w:val="nil"/>
          <w:left w:val="nil"/>
          <w:bottom w:val="nil"/>
          <w:right w:val="nil"/>
          <w:insideH w:val="nil"/>
          <w:insideV w:val="nil"/>
        </w:tblBorders>
        <w:tblLayout w:type="fixed"/>
        <w:tblLook w:val="0600" w:firstRow="0" w:lastRow="0" w:firstColumn="0" w:lastColumn="0" w:noHBand="1" w:noVBand="1"/>
      </w:tblPr>
      <w:tblGrid>
        <w:gridCol w:w="4614"/>
        <w:gridCol w:w="1028"/>
        <w:gridCol w:w="3718"/>
      </w:tblGrid>
      <w:tr w:rsidR="00A54CB9" w:rsidRPr="00892649" w14:paraId="2638A7BC" w14:textId="77777777" w:rsidTr="00E51672">
        <w:trPr>
          <w:trHeight w:val="3170"/>
        </w:trPr>
        <w:tc>
          <w:tcPr>
            <w:tcW w:w="4613" w:type="dxa"/>
            <w:tcBorders>
              <w:top w:val="nil"/>
              <w:left w:val="nil"/>
              <w:bottom w:val="single" w:sz="8" w:space="0" w:color="000000"/>
              <w:right w:val="nil"/>
            </w:tcBorders>
            <w:tcMar>
              <w:top w:w="100" w:type="dxa"/>
              <w:left w:w="100" w:type="dxa"/>
              <w:bottom w:w="100" w:type="dxa"/>
              <w:right w:w="100" w:type="dxa"/>
            </w:tcMar>
          </w:tcPr>
          <w:p w14:paraId="1C1DBAF3" w14:textId="77777777" w:rsidR="00A54CB9" w:rsidRDefault="00A54CB9" w:rsidP="00E51672">
            <w:pPr>
              <w:spacing w:line="240" w:lineRule="auto"/>
              <w:ind w:left="140" w:right="140" w:firstLine="0"/>
              <w:contextualSpacing w:val="0"/>
              <w:rPr>
                <w:rFonts w:eastAsia="Times New Roman" w:cs="Times New Roman"/>
                <w:b/>
                <w:sz w:val="24"/>
                <w:szCs w:val="24"/>
              </w:rPr>
            </w:pPr>
          </w:p>
          <w:p w14:paraId="3B99C6FB" w14:textId="77777777" w:rsidR="00A54CB9" w:rsidRDefault="00A54CB9" w:rsidP="00E51672">
            <w:pPr>
              <w:spacing w:line="240" w:lineRule="auto"/>
              <w:ind w:left="140" w:right="140" w:firstLine="0"/>
              <w:contextualSpacing w:val="0"/>
              <w:rPr>
                <w:rFonts w:eastAsia="Times New Roman" w:cs="Times New Roman"/>
                <w:b/>
                <w:sz w:val="24"/>
                <w:szCs w:val="24"/>
              </w:rPr>
            </w:pPr>
          </w:p>
          <w:p w14:paraId="157368B2" w14:textId="77777777" w:rsidR="00A54CB9" w:rsidRPr="00892649" w:rsidRDefault="00A54CB9" w:rsidP="00E51672">
            <w:pPr>
              <w:spacing w:line="240" w:lineRule="auto"/>
              <w:ind w:left="140" w:right="140" w:firstLine="0"/>
              <w:contextualSpacing w:val="0"/>
              <w:rPr>
                <w:rFonts w:eastAsia="Times New Roman" w:cs="Times New Roman"/>
                <w:b/>
                <w:color w:val="0B0A0E"/>
                <w:sz w:val="24"/>
                <w:szCs w:val="24"/>
              </w:rPr>
            </w:pPr>
            <w:r w:rsidRPr="00892649">
              <w:rPr>
                <w:rFonts w:eastAsia="Times New Roman" w:cs="Times New Roman"/>
                <w:b/>
                <w:sz w:val="24"/>
                <w:szCs w:val="24"/>
              </w:rPr>
              <w:t xml:space="preserve">In Re: </w:t>
            </w:r>
            <w:r w:rsidRPr="00892649">
              <w:rPr>
                <w:rFonts w:eastAsia="Times New Roman" w:cs="Times New Roman"/>
                <w:b/>
                <w:color w:val="0B0A0E"/>
                <w:sz w:val="24"/>
                <w:szCs w:val="24"/>
              </w:rPr>
              <w:t>Georgia Power Company’s</w:t>
            </w:r>
          </w:p>
          <w:p w14:paraId="07844285" w14:textId="1F078844" w:rsidR="00A54CB9" w:rsidRPr="00892649" w:rsidRDefault="00A54CB9" w:rsidP="00E51672">
            <w:pPr>
              <w:spacing w:line="240" w:lineRule="auto"/>
              <w:ind w:left="140" w:right="140" w:firstLine="0"/>
              <w:contextualSpacing w:val="0"/>
              <w:rPr>
                <w:rFonts w:eastAsia="Times New Roman" w:cs="Times New Roman"/>
                <w:b/>
                <w:color w:val="0B0A0E"/>
                <w:sz w:val="24"/>
                <w:szCs w:val="24"/>
              </w:rPr>
            </w:pPr>
            <w:r>
              <w:rPr>
                <w:rFonts w:eastAsia="Times New Roman" w:cs="Times New Roman"/>
                <w:b/>
                <w:color w:val="0B0A0E"/>
                <w:sz w:val="24"/>
                <w:szCs w:val="24"/>
              </w:rPr>
              <w:t>2025 Integrated Resource Plan</w:t>
            </w:r>
          </w:p>
          <w:p w14:paraId="77F89139" w14:textId="77777777" w:rsidR="00A54CB9" w:rsidRPr="00892649" w:rsidRDefault="00A54CB9" w:rsidP="00E51672">
            <w:pPr>
              <w:spacing w:line="240" w:lineRule="auto"/>
              <w:ind w:left="140" w:right="140" w:firstLine="0"/>
              <w:contextualSpacing w:val="0"/>
              <w:rPr>
                <w:rFonts w:eastAsia="Times New Roman" w:cs="Times New Roman"/>
                <w:b/>
                <w:sz w:val="24"/>
                <w:szCs w:val="24"/>
              </w:rPr>
            </w:pPr>
            <w:r w:rsidRPr="00892649">
              <w:rPr>
                <w:rFonts w:eastAsia="Times New Roman" w:cs="Times New Roman"/>
                <w:b/>
                <w:sz w:val="24"/>
                <w:szCs w:val="24"/>
              </w:rPr>
              <w:t xml:space="preserve"> </w:t>
            </w:r>
          </w:p>
          <w:p w14:paraId="72D73542" w14:textId="77777777" w:rsidR="002B03AD" w:rsidRDefault="002B03AD" w:rsidP="002B03AD">
            <w:pPr>
              <w:spacing w:line="240" w:lineRule="auto"/>
              <w:ind w:left="140" w:right="140" w:firstLine="0"/>
              <w:contextualSpacing w:val="0"/>
              <w:rPr>
                <w:rFonts w:eastAsia="Times New Roman" w:cs="Times New Roman"/>
                <w:b/>
                <w:color w:val="0B0A0E"/>
                <w:sz w:val="24"/>
                <w:szCs w:val="24"/>
              </w:rPr>
            </w:pPr>
            <w:r>
              <w:rPr>
                <w:rFonts w:eastAsia="Times New Roman" w:cs="Times New Roman"/>
                <w:b/>
                <w:color w:val="0B0A0E"/>
                <w:sz w:val="24"/>
                <w:szCs w:val="24"/>
              </w:rPr>
              <w:t>and</w:t>
            </w:r>
          </w:p>
          <w:p w14:paraId="6FD1ED67" w14:textId="77777777" w:rsidR="002B03AD" w:rsidRDefault="002B03AD" w:rsidP="002B03AD">
            <w:pPr>
              <w:spacing w:line="240" w:lineRule="auto"/>
              <w:ind w:left="140" w:right="140" w:firstLine="0"/>
              <w:contextualSpacing w:val="0"/>
              <w:rPr>
                <w:rFonts w:eastAsia="Times New Roman" w:cs="Times New Roman"/>
                <w:b/>
                <w:color w:val="0B0A0E"/>
                <w:sz w:val="24"/>
                <w:szCs w:val="24"/>
              </w:rPr>
            </w:pPr>
          </w:p>
          <w:p w14:paraId="15E83EA8" w14:textId="23B1FE66" w:rsidR="002B03AD" w:rsidRPr="00892649" w:rsidRDefault="002B03AD" w:rsidP="002B03AD">
            <w:pPr>
              <w:spacing w:line="240" w:lineRule="auto"/>
              <w:ind w:left="140" w:right="140" w:firstLine="0"/>
              <w:contextualSpacing w:val="0"/>
              <w:rPr>
                <w:rFonts w:eastAsia="Times New Roman" w:cs="Times New Roman"/>
                <w:b/>
                <w:color w:val="0B0A0E"/>
                <w:sz w:val="24"/>
                <w:szCs w:val="24"/>
              </w:rPr>
            </w:pPr>
            <w:r>
              <w:rPr>
                <w:rFonts w:eastAsia="Times New Roman" w:cs="Times New Roman"/>
                <w:b/>
                <w:color w:val="0B0A0E"/>
                <w:sz w:val="24"/>
                <w:szCs w:val="24"/>
              </w:rPr>
              <w:t>Georgia Power Company’s 2025 Application for the Certification, Decertification, and Amended Demand-Side Management Plan</w:t>
            </w:r>
          </w:p>
        </w:tc>
        <w:tc>
          <w:tcPr>
            <w:tcW w:w="1028" w:type="dxa"/>
            <w:tcBorders>
              <w:top w:val="nil"/>
              <w:left w:val="nil"/>
              <w:bottom w:val="single" w:sz="8" w:space="0" w:color="000000"/>
              <w:right w:val="nil"/>
            </w:tcBorders>
            <w:tcMar>
              <w:top w:w="100" w:type="dxa"/>
              <w:left w:w="100" w:type="dxa"/>
              <w:bottom w:w="100" w:type="dxa"/>
              <w:right w:w="100" w:type="dxa"/>
            </w:tcMar>
          </w:tcPr>
          <w:p w14:paraId="09B86BC1" w14:textId="77777777" w:rsidR="00A54CB9" w:rsidRPr="00892649" w:rsidRDefault="00A54CB9" w:rsidP="00E51672">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w:t>
            </w:r>
          </w:p>
          <w:p w14:paraId="030A91DA" w14:textId="77777777" w:rsidR="00A54CB9" w:rsidRPr="00892649" w:rsidRDefault="00A54CB9" w:rsidP="00E51672">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w:t>
            </w:r>
          </w:p>
          <w:p w14:paraId="4789F74A" w14:textId="77777777" w:rsidR="00A54CB9" w:rsidRPr="00892649" w:rsidRDefault="00A54CB9" w:rsidP="00E51672">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w:t>
            </w:r>
          </w:p>
          <w:p w14:paraId="12E0BA57" w14:textId="77777777" w:rsidR="00A54CB9" w:rsidRPr="00892649" w:rsidRDefault="00A54CB9" w:rsidP="00E51672">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w:t>
            </w:r>
          </w:p>
          <w:p w14:paraId="525947AA" w14:textId="77777777" w:rsidR="00A54CB9" w:rsidRPr="00892649" w:rsidRDefault="00A54CB9" w:rsidP="00E51672">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w:t>
            </w:r>
          </w:p>
          <w:p w14:paraId="19207644" w14:textId="77777777" w:rsidR="00A54CB9" w:rsidRDefault="002B03AD" w:rsidP="00E51672">
            <w:pPr>
              <w:spacing w:line="240" w:lineRule="auto"/>
              <w:ind w:left="140" w:right="140" w:firstLine="0"/>
              <w:contextualSpacing w:val="0"/>
              <w:rPr>
                <w:rFonts w:eastAsia="Times New Roman" w:cs="Times New Roman"/>
                <w:sz w:val="24"/>
                <w:szCs w:val="24"/>
              </w:rPr>
            </w:pPr>
            <w:r>
              <w:rPr>
                <w:rFonts w:eastAsia="Times New Roman" w:cs="Times New Roman"/>
                <w:sz w:val="24"/>
                <w:szCs w:val="24"/>
              </w:rPr>
              <w:t>)</w:t>
            </w:r>
          </w:p>
          <w:p w14:paraId="0F8C8A5E" w14:textId="77777777" w:rsidR="002B03AD" w:rsidRDefault="002B03AD" w:rsidP="00E51672">
            <w:pPr>
              <w:spacing w:line="240" w:lineRule="auto"/>
              <w:ind w:left="140" w:right="140" w:firstLine="0"/>
              <w:contextualSpacing w:val="0"/>
              <w:rPr>
                <w:rFonts w:eastAsia="Times New Roman" w:cs="Times New Roman"/>
                <w:sz w:val="24"/>
                <w:szCs w:val="24"/>
              </w:rPr>
            </w:pPr>
            <w:r>
              <w:rPr>
                <w:rFonts w:eastAsia="Times New Roman" w:cs="Times New Roman"/>
                <w:sz w:val="24"/>
                <w:szCs w:val="24"/>
              </w:rPr>
              <w:t>)</w:t>
            </w:r>
          </w:p>
          <w:p w14:paraId="66400F3F" w14:textId="77777777" w:rsidR="002B03AD" w:rsidRDefault="002B03AD" w:rsidP="00E51672">
            <w:pPr>
              <w:spacing w:line="240" w:lineRule="auto"/>
              <w:ind w:left="140" w:right="140" w:firstLine="0"/>
              <w:contextualSpacing w:val="0"/>
              <w:rPr>
                <w:rFonts w:eastAsia="Times New Roman" w:cs="Times New Roman"/>
                <w:sz w:val="24"/>
                <w:szCs w:val="24"/>
              </w:rPr>
            </w:pPr>
            <w:r>
              <w:rPr>
                <w:rFonts w:eastAsia="Times New Roman" w:cs="Times New Roman"/>
                <w:sz w:val="24"/>
                <w:szCs w:val="24"/>
              </w:rPr>
              <w:t>)</w:t>
            </w:r>
          </w:p>
          <w:p w14:paraId="2C6F69A1" w14:textId="77777777" w:rsidR="002B03AD" w:rsidRDefault="002B03AD" w:rsidP="00E51672">
            <w:pPr>
              <w:spacing w:line="240" w:lineRule="auto"/>
              <w:ind w:left="140" w:right="140" w:firstLine="0"/>
              <w:contextualSpacing w:val="0"/>
              <w:rPr>
                <w:rFonts w:eastAsia="Times New Roman" w:cs="Times New Roman"/>
                <w:sz w:val="24"/>
                <w:szCs w:val="24"/>
              </w:rPr>
            </w:pPr>
            <w:r>
              <w:rPr>
                <w:rFonts w:eastAsia="Times New Roman" w:cs="Times New Roman"/>
                <w:sz w:val="24"/>
                <w:szCs w:val="24"/>
              </w:rPr>
              <w:t>)</w:t>
            </w:r>
          </w:p>
          <w:p w14:paraId="7E639748" w14:textId="77777777" w:rsidR="002B03AD" w:rsidRDefault="002B03AD" w:rsidP="00E51672">
            <w:pPr>
              <w:spacing w:line="240" w:lineRule="auto"/>
              <w:ind w:left="140" w:right="140" w:firstLine="0"/>
              <w:contextualSpacing w:val="0"/>
              <w:rPr>
                <w:rFonts w:eastAsia="Times New Roman" w:cs="Times New Roman"/>
                <w:sz w:val="24"/>
                <w:szCs w:val="24"/>
              </w:rPr>
            </w:pPr>
            <w:r>
              <w:rPr>
                <w:rFonts w:eastAsia="Times New Roman" w:cs="Times New Roman"/>
                <w:sz w:val="24"/>
                <w:szCs w:val="24"/>
              </w:rPr>
              <w:t>)</w:t>
            </w:r>
          </w:p>
          <w:p w14:paraId="6CC3F629" w14:textId="77777777" w:rsidR="002B03AD" w:rsidRDefault="002B03AD" w:rsidP="00E51672">
            <w:pPr>
              <w:spacing w:line="240" w:lineRule="auto"/>
              <w:ind w:left="140" w:right="140" w:firstLine="0"/>
              <w:contextualSpacing w:val="0"/>
              <w:rPr>
                <w:rFonts w:eastAsia="Times New Roman" w:cs="Times New Roman"/>
                <w:sz w:val="24"/>
                <w:szCs w:val="24"/>
              </w:rPr>
            </w:pPr>
            <w:r>
              <w:rPr>
                <w:rFonts w:eastAsia="Times New Roman" w:cs="Times New Roman"/>
                <w:sz w:val="24"/>
                <w:szCs w:val="24"/>
              </w:rPr>
              <w:t>)</w:t>
            </w:r>
          </w:p>
          <w:p w14:paraId="60122079" w14:textId="77777777" w:rsidR="002B03AD" w:rsidRDefault="002B03AD" w:rsidP="00E51672">
            <w:pPr>
              <w:spacing w:line="240" w:lineRule="auto"/>
              <w:ind w:left="140" w:right="140" w:firstLine="0"/>
              <w:contextualSpacing w:val="0"/>
              <w:rPr>
                <w:rFonts w:eastAsia="Times New Roman" w:cs="Times New Roman"/>
                <w:sz w:val="24"/>
                <w:szCs w:val="24"/>
              </w:rPr>
            </w:pPr>
          </w:p>
          <w:p w14:paraId="461F171B" w14:textId="4DAF9A45" w:rsidR="002B03AD" w:rsidRPr="00892649" w:rsidRDefault="002B03AD" w:rsidP="00E51672">
            <w:pPr>
              <w:spacing w:line="240" w:lineRule="auto"/>
              <w:ind w:left="140" w:right="140" w:firstLine="0"/>
              <w:contextualSpacing w:val="0"/>
              <w:rPr>
                <w:rFonts w:eastAsia="Times New Roman" w:cs="Times New Roman"/>
                <w:sz w:val="24"/>
                <w:szCs w:val="24"/>
              </w:rPr>
            </w:pPr>
          </w:p>
        </w:tc>
        <w:tc>
          <w:tcPr>
            <w:tcW w:w="3717" w:type="dxa"/>
            <w:tcBorders>
              <w:top w:val="nil"/>
              <w:left w:val="nil"/>
              <w:bottom w:val="single" w:sz="8" w:space="0" w:color="000000"/>
              <w:right w:val="nil"/>
            </w:tcBorders>
            <w:tcMar>
              <w:top w:w="100" w:type="dxa"/>
              <w:left w:w="100" w:type="dxa"/>
              <w:bottom w:w="100" w:type="dxa"/>
              <w:right w:w="100" w:type="dxa"/>
            </w:tcMar>
          </w:tcPr>
          <w:p w14:paraId="31C63230" w14:textId="77777777" w:rsidR="00A54CB9" w:rsidRPr="00892649" w:rsidRDefault="00A54CB9" w:rsidP="00E51672">
            <w:pPr>
              <w:spacing w:line="240" w:lineRule="auto"/>
              <w:ind w:left="140" w:right="140" w:firstLine="0"/>
              <w:contextualSpacing w:val="0"/>
              <w:jc w:val="center"/>
              <w:rPr>
                <w:rFonts w:eastAsia="Times New Roman" w:cs="Times New Roman"/>
                <w:b/>
                <w:sz w:val="24"/>
                <w:szCs w:val="24"/>
              </w:rPr>
            </w:pPr>
            <w:r w:rsidRPr="00892649">
              <w:rPr>
                <w:rFonts w:eastAsia="Times New Roman" w:cs="Times New Roman"/>
                <w:b/>
                <w:sz w:val="24"/>
                <w:szCs w:val="24"/>
              </w:rPr>
              <w:t xml:space="preserve"> </w:t>
            </w:r>
          </w:p>
          <w:p w14:paraId="1B802AF0" w14:textId="77777777" w:rsidR="00A54CB9" w:rsidRDefault="00A54CB9" w:rsidP="00E51672">
            <w:pPr>
              <w:spacing w:line="240" w:lineRule="auto"/>
              <w:ind w:left="140" w:right="140" w:firstLine="0"/>
              <w:contextualSpacing w:val="0"/>
              <w:rPr>
                <w:rFonts w:eastAsia="Times New Roman" w:cs="Times New Roman"/>
                <w:b/>
                <w:sz w:val="24"/>
                <w:szCs w:val="24"/>
              </w:rPr>
            </w:pPr>
          </w:p>
          <w:p w14:paraId="1EFC0850" w14:textId="1BB2C20D" w:rsidR="00A54CB9" w:rsidRPr="00892649" w:rsidRDefault="00A54CB9" w:rsidP="00E51672">
            <w:pPr>
              <w:spacing w:line="240" w:lineRule="auto"/>
              <w:ind w:left="140" w:right="140" w:firstLine="0"/>
              <w:contextualSpacing w:val="0"/>
              <w:rPr>
                <w:rFonts w:eastAsia="Times New Roman" w:cs="Times New Roman"/>
                <w:b/>
                <w:sz w:val="24"/>
                <w:szCs w:val="24"/>
              </w:rPr>
            </w:pPr>
            <w:r w:rsidRPr="00892649">
              <w:rPr>
                <w:rFonts w:eastAsia="Times New Roman" w:cs="Times New Roman"/>
                <w:b/>
                <w:sz w:val="24"/>
                <w:szCs w:val="24"/>
              </w:rPr>
              <w:t>Docket No</w:t>
            </w:r>
            <w:r w:rsidR="00CE09B0">
              <w:rPr>
                <w:rFonts w:eastAsia="Times New Roman" w:cs="Times New Roman"/>
                <w:b/>
                <w:sz w:val="24"/>
                <w:szCs w:val="24"/>
              </w:rPr>
              <w:t>s</w:t>
            </w:r>
            <w:r w:rsidRPr="00892649">
              <w:rPr>
                <w:rFonts w:eastAsia="Times New Roman" w:cs="Times New Roman"/>
                <w:b/>
                <w:sz w:val="24"/>
                <w:szCs w:val="24"/>
              </w:rPr>
              <w:t xml:space="preserve">. </w:t>
            </w:r>
            <w:r>
              <w:rPr>
                <w:rFonts w:eastAsia="Times New Roman" w:cs="Times New Roman"/>
                <w:b/>
                <w:sz w:val="24"/>
                <w:szCs w:val="24"/>
              </w:rPr>
              <w:t>56002</w:t>
            </w:r>
          </w:p>
          <w:p w14:paraId="45D7B7B5" w14:textId="77777777" w:rsidR="00A54CB9" w:rsidRPr="00892649" w:rsidRDefault="00A54CB9" w:rsidP="00E51672">
            <w:pPr>
              <w:spacing w:line="240" w:lineRule="auto"/>
              <w:ind w:left="140" w:right="140" w:firstLine="0"/>
              <w:contextualSpacing w:val="0"/>
              <w:rPr>
                <w:rFonts w:eastAsia="Times New Roman" w:cs="Times New Roman"/>
                <w:sz w:val="24"/>
                <w:szCs w:val="24"/>
              </w:rPr>
            </w:pPr>
            <w:r w:rsidRPr="00892649">
              <w:rPr>
                <w:rFonts w:eastAsia="Times New Roman" w:cs="Times New Roman"/>
                <w:sz w:val="24"/>
                <w:szCs w:val="24"/>
              </w:rPr>
              <w:t xml:space="preserve"> </w:t>
            </w:r>
          </w:p>
          <w:p w14:paraId="7FAF8200" w14:textId="77777777" w:rsidR="00A54CB9" w:rsidRPr="00892649" w:rsidRDefault="00A54CB9" w:rsidP="00E51672">
            <w:pPr>
              <w:spacing w:line="240" w:lineRule="auto"/>
              <w:ind w:left="140" w:right="140" w:firstLine="0"/>
              <w:contextualSpacing w:val="0"/>
              <w:rPr>
                <w:rFonts w:eastAsia="Times New Roman" w:cs="Times New Roman"/>
                <w:b/>
                <w:sz w:val="24"/>
                <w:szCs w:val="24"/>
              </w:rPr>
            </w:pPr>
            <w:r w:rsidRPr="00892649">
              <w:rPr>
                <w:rFonts w:eastAsia="Times New Roman" w:cs="Times New Roman"/>
                <w:b/>
                <w:sz w:val="24"/>
                <w:szCs w:val="24"/>
              </w:rPr>
              <w:t xml:space="preserve"> </w:t>
            </w:r>
          </w:p>
          <w:p w14:paraId="0B1B45BF" w14:textId="77777777" w:rsidR="00A54CB9" w:rsidRPr="00892649" w:rsidRDefault="00A54CB9" w:rsidP="00E51672">
            <w:pPr>
              <w:spacing w:line="240" w:lineRule="auto"/>
              <w:ind w:left="140" w:right="140" w:firstLine="0"/>
              <w:contextualSpacing w:val="0"/>
              <w:rPr>
                <w:rFonts w:eastAsia="Times New Roman" w:cs="Times New Roman"/>
                <w:b/>
                <w:sz w:val="24"/>
                <w:szCs w:val="24"/>
              </w:rPr>
            </w:pPr>
            <w:r w:rsidRPr="00892649">
              <w:rPr>
                <w:rFonts w:eastAsia="Times New Roman" w:cs="Times New Roman"/>
                <w:b/>
                <w:sz w:val="24"/>
                <w:szCs w:val="24"/>
              </w:rPr>
              <w:t xml:space="preserve"> </w:t>
            </w:r>
          </w:p>
          <w:p w14:paraId="304F5AB9" w14:textId="77777777" w:rsidR="00A54CB9" w:rsidRPr="00892649" w:rsidRDefault="00A54CB9" w:rsidP="00E51672">
            <w:pPr>
              <w:spacing w:line="240" w:lineRule="auto"/>
              <w:ind w:left="0" w:right="140" w:firstLine="0"/>
              <w:contextualSpacing w:val="0"/>
              <w:rPr>
                <w:rFonts w:eastAsia="Times New Roman" w:cs="Times New Roman"/>
                <w:b/>
                <w:sz w:val="24"/>
                <w:szCs w:val="24"/>
              </w:rPr>
            </w:pPr>
          </w:p>
          <w:p w14:paraId="6F5836BB" w14:textId="7C5937FE" w:rsidR="00A54CB9" w:rsidRPr="002B03AD" w:rsidRDefault="00A54CB9" w:rsidP="00E51672">
            <w:pPr>
              <w:spacing w:line="240" w:lineRule="auto"/>
              <w:ind w:left="140" w:right="140" w:firstLine="0"/>
              <w:contextualSpacing w:val="0"/>
              <w:rPr>
                <w:rFonts w:eastAsia="Times New Roman" w:cs="Times New Roman"/>
                <w:b/>
                <w:bCs/>
                <w:sz w:val="24"/>
                <w:szCs w:val="24"/>
              </w:rPr>
            </w:pPr>
            <w:r w:rsidRPr="00892649">
              <w:rPr>
                <w:rFonts w:eastAsia="Times New Roman" w:cs="Times New Roman"/>
                <w:sz w:val="24"/>
                <w:szCs w:val="24"/>
              </w:rPr>
              <w:t xml:space="preserve"> </w:t>
            </w:r>
            <w:r w:rsidR="002B03AD" w:rsidRPr="002B03AD">
              <w:rPr>
                <w:rFonts w:eastAsia="Times New Roman" w:cs="Times New Roman"/>
                <w:b/>
                <w:bCs/>
                <w:sz w:val="24"/>
                <w:szCs w:val="24"/>
              </w:rPr>
              <w:t>Docket No. 56003</w:t>
            </w:r>
          </w:p>
        </w:tc>
      </w:tr>
    </w:tbl>
    <w:p w14:paraId="66879E40" w14:textId="77777777" w:rsidR="00A54CB9" w:rsidRPr="00892649" w:rsidRDefault="00A54CB9" w:rsidP="00A54CB9">
      <w:pPr>
        <w:spacing w:line="240" w:lineRule="auto"/>
        <w:ind w:left="0" w:firstLine="0"/>
        <w:contextualSpacing w:val="0"/>
        <w:rPr>
          <w:rFonts w:eastAsia="Times New Roman" w:cs="Times New Roman"/>
          <w:b/>
          <w:sz w:val="24"/>
          <w:szCs w:val="24"/>
        </w:rPr>
      </w:pPr>
      <w:r w:rsidRPr="00892649">
        <w:rPr>
          <w:rFonts w:eastAsia="Times New Roman" w:cs="Times New Roman"/>
          <w:b/>
          <w:sz w:val="24"/>
          <w:szCs w:val="24"/>
        </w:rPr>
        <w:t xml:space="preserve"> </w:t>
      </w:r>
    </w:p>
    <w:p w14:paraId="7BCEFDF9" w14:textId="77777777" w:rsidR="00A54CB9" w:rsidRPr="00892649" w:rsidRDefault="00A54CB9" w:rsidP="00A54CB9">
      <w:pPr>
        <w:spacing w:line="240" w:lineRule="auto"/>
        <w:ind w:left="0" w:firstLine="0"/>
        <w:contextualSpacing w:val="0"/>
        <w:rPr>
          <w:rFonts w:eastAsia="Times New Roman" w:cs="Times New Roman"/>
          <w:sz w:val="24"/>
          <w:szCs w:val="24"/>
        </w:rPr>
      </w:pPr>
    </w:p>
    <w:p w14:paraId="3DF11643" w14:textId="77777777" w:rsidR="00A54CB9" w:rsidRDefault="00A54CB9" w:rsidP="00A54CB9">
      <w:pPr>
        <w:spacing w:line="240" w:lineRule="auto"/>
        <w:ind w:left="0" w:firstLine="0"/>
        <w:contextualSpacing w:val="0"/>
        <w:jc w:val="both"/>
        <w:rPr>
          <w:rFonts w:cs="Times New Roman"/>
          <w:sz w:val="24"/>
          <w:szCs w:val="24"/>
        </w:rPr>
      </w:pPr>
    </w:p>
    <w:p w14:paraId="64EFE027" w14:textId="77777777" w:rsidR="00A54CB9" w:rsidRPr="00892649" w:rsidRDefault="00A54CB9" w:rsidP="00A54CB9">
      <w:pPr>
        <w:spacing w:line="240" w:lineRule="auto"/>
        <w:ind w:left="0" w:firstLine="0"/>
        <w:contextualSpacing w:val="0"/>
        <w:jc w:val="both"/>
        <w:rPr>
          <w:rFonts w:cs="Times New Roman"/>
          <w:sz w:val="24"/>
          <w:szCs w:val="24"/>
        </w:rPr>
      </w:pPr>
    </w:p>
    <w:p w14:paraId="617733DF" w14:textId="77777777" w:rsidR="00A54CB9" w:rsidRDefault="00A54CB9" w:rsidP="00A54CB9">
      <w:pPr>
        <w:spacing w:line="240" w:lineRule="auto"/>
        <w:ind w:left="0" w:firstLine="0"/>
        <w:jc w:val="center"/>
        <w:rPr>
          <w:rFonts w:cs="Times New Roman"/>
          <w:b/>
          <w:sz w:val="24"/>
          <w:szCs w:val="24"/>
        </w:rPr>
      </w:pPr>
      <w:r>
        <w:rPr>
          <w:rFonts w:cs="Times New Roman"/>
          <w:b/>
          <w:sz w:val="24"/>
          <w:szCs w:val="24"/>
        </w:rPr>
        <w:t xml:space="preserve">DIRECT </w:t>
      </w:r>
      <w:r w:rsidRPr="00892649">
        <w:rPr>
          <w:rFonts w:cs="Times New Roman"/>
          <w:b/>
          <w:sz w:val="24"/>
          <w:szCs w:val="24"/>
        </w:rPr>
        <w:t xml:space="preserve">TESTIMONY OF </w:t>
      </w:r>
    </w:p>
    <w:p w14:paraId="350DEDF2" w14:textId="5ED9B0D7" w:rsidR="00A54CB9" w:rsidRPr="00892649" w:rsidRDefault="00A54CB9" w:rsidP="00A54CB9">
      <w:pPr>
        <w:spacing w:line="240" w:lineRule="auto"/>
        <w:ind w:left="0" w:firstLine="0"/>
        <w:jc w:val="center"/>
        <w:rPr>
          <w:rFonts w:cs="Times New Roman"/>
          <w:b/>
          <w:sz w:val="24"/>
          <w:szCs w:val="24"/>
        </w:rPr>
      </w:pPr>
      <w:r>
        <w:rPr>
          <w:rFonts w:cs="Times New Roman"/>
          <w:b/>
          <w:sz w:val="24"/>
          <w:szCs w:val="24"/>
        </w:rPr>
        <w:t>YUNUS KINKHABWALA</w:t>
      </w:r>
    </w:p>
    <w:p w14:paraId="726E2105" w14:textId="77777777" w:rsidR="00A54CB9" w:rsidRPr="00892649" w:rsidRDefault="00A54CB9" w:rsidP="00A54CB9">
      <w:pPr>
        <w:spacing w:line="240" w:lineRule="auto"/>
        <w:ind w:left="0" w:firstLine="0"/>
        <w:jc w:val="center"/>
        <w:rPr>
          <w:rFonts w:cs="Times New Roman"/>
          <w:sz w:val="24"/>
          <w:szCs w:val="24"/>
        </w:rPr>
      </w:pPr>
      <w:r w:rsidRPr="00892649">
        <w:rPr>
          <w:rFonts w:cs="Times New Roman"/>
          <w:sz w:val="24"/>
          <w:szCs w:val="24"/>
        </w:rPr>
        <w:t>_____________________</w:t>
      </w:r>
    </w:p>
    <w:p w14:paraId="05F5C14B" w14:textId="77777777" w:rsidR="00A54CB9" w:rsidRDefault="00A54CB9" w:rsidP="00A54CB9">
      <w:pPr>
        <w:spacing w:line="240" w:lineRule="auto"/>
        <w:ind w:left="0" w:firstLine="0"/>
        <w:jc w:val="center"/>
        <w:rPr>
          <w:rFonts w:cs="Times New Roman"/>
          <w:sz w:val="24"/>
          <w:szCs w:val="24"/>
        </w:rPr>
      </w:pPr>
    </w:p>
    <w:p w14:paraId="4005131E" w14:textId="606209F6" w:rsidR="00A54CB9" w:rsidRDefault="00A54CB9" w:rsidP="00A54CB9">
      <w:pPr>
        <w:spacing w:line="240" w:lineRule="auto"/>
        <w:ind w:left="0" w:firstLine="0"/>
        <w:jc w:val="center"/>
        <w:rPr>
          <w:rFonts w:cs="Times New Roman"/>
          <w:sz w:val="24"/>
          <w:szCs w:val="24"/>
        </w:rPr>
      </w:pPr>
      <w:r>
        <w:rPr>
          <w:rFonts w:cs="Times New Roman"/>
          <w:sz w:val="24"/>
          <w:szCs w:val="24"/>
        </w:rPr>
        <w:t xml:space="preserve">Presented on behalf </w:t>
      </w:r>
    </w:p>
    <w:p w14:paraId="32C2B042" w14:textId="5C31BEE9" w:rsidR="00A54CB9" w:rsidRDefault="00A54CB9" w:rsidP="00A54CB9">
      <w:pPr>
        <w:spacing w:line="240" w:lineRule="auto"/>
        <w:ind w:left="0" w:firstLine="0"/>
        <w:jc w:val="center"/>
        <w:rPr>
          <w:rFonts w:cs="Times New Roman"/>
          <w:sz w:val="24"/>
          <w:szCs w:val="24"/>
        </w:rPr>
      </w:pPr>
      <w:r>
        <w:rPr>
          <w:rFonts w:cs="Times New Roman"/>
          <w:sz w:val="24"/>
          <w:szCs w:val="24"/>
        </w:rPr>
        <w:t xml:space="preserve">of the Georgia WAND and Vote Solar </w:t>
      </w:r>
    </w:p>
    <w:p w14:paraId="71F096CF" w14:textId="77777777" w:rsidR="00A54CB9" w:rsidRPr="00892649" w:rsidRDefault="00A54CB9" w:rsidP="00A54CB9">
      <w:pPr>
        <w:spacing w:line="240" w:lineRule="auto"/>
        <w:ind w:left="0" w:firstLine="0"/>
        <w:jc w:val="center"/>
        <w:rPr>
          <w:rFonts w:cs="Times New Roman"/>
          <w:sz w:val="24"/>
          <w:szCs w:val="24"/>
        </w:rPr>
      </w:pPr>
    </w:p>
    <w:p w14:paraId="35D6844D" w14:textId="5AE9582B" w:rsidR="00A54CB9" w:rsidRDefault="00A54CB9" w:rsidP="00A54CB9">
      <w:pPr>
        <w:jc w:val="center"/>
        <w:rPr>
          <w:rFonts w:cs="Times New Roman"/>
          <w:sz w:val="24"/>
          <w:szCs w:val="24"/>
        </w:rPr>
      </w:pPr>
      <w:r>
        <w:rPr>
          <w:rFonts w:cs="Times New Roman"/>
          <w:sz w:val="24"/>
          <w:szCs w:val="24"/>
        </w:rPr>
        <w:t>May 2, 2025</w:t>
      </w:r>
    </w:p>
    <w:p w14:paraId="6372B4FA" w14:textId="4295D075" w:rsidR="00BF57BB" w:rsidRDefault="00BF57BB">
      <w:pPr>
        <w:spacing w:after="160" w:line="278" w:lineRule="auto"/>
        <w:ind w:left="0" w:firstLine="0"/>
        <w:contextualSpacing w:val="0"/>
        <w:rPr>
          <w:rFonts w:cs="Times New Roman"/>
          <w:sz w:val="24"/>
          <w:szCs w:val="24"/>
        </w:rPr>
      </w:pPr>
      <w:r>
        <w:rPr>
          <w:rFonts w:cs="Times New Roman"/>
          <w:sz w:val="24"/>
          <w:szCs w:val="24"/>
        </w:rPr>
        <w:br w:type="page"/>
      </w:r>
    </w:p>
    <w:sdt>
      <w:sdtPr>
        <w:rPr>
          <w:rFonts w:ascii="Times New Roman" w:eastAsiaTheme="minorHAnsi" w:hAnsi="Times New Roman" w:cstheme="minorBidi"/>
          <w:color w:val="auto"/>
          <w:sz w:val="23"/>
          <w:szCs w:val="22"/>
        </w:rPr>
        <w:id w:val="-650678500"/>
        <w:docPartObj>
          <w:docPartGallery w:val="Table of Contents"/>
          <w:docPartUnique/>
        </w:docPartObj>
      </w:sdtPr>
      <w:sdtEndPr>
        <w:rPr>
          <w:b/>
          <w:bCs/>
          <w:noProof/>
        </w:rPr>
      </w:sdtEndPr>
      <w:sdtContent>
        <w:p w14:paraId="0578D26A" w14:textId="1B8F8989" w:rsidR="00BF57BB" w:rsidRPr="00BF57BB" w:rsidRDefault="00BF57BB" w:rsidP="00BF57BB">
          <w:pPr>
            <w:pStyle w:val="TOCHeading"/>
            <w:jc w:val="center"/>
            <w:rPr>
              <w:rFonts w:ascii="Times New Roman" w:hAnsi="Times New Roman" w:cs="Times New Roman"/>
              <w:color w:val="auto"/>
            </w:rPr>
          </w:pPr>
          <w:r w:rsidRPr="00BF57BB">
            <w:rPr>
              <w:rFonts w:ascii="Times New Roman" w:hAnsi="Times New Roman" w:cs="Times New Roman"/>
              <w:color w:val="auto"/>
            </w:rPr>
            <w:t>Table of Contents</w:t>
          </w:r>
        </w:p>
        <w:p w14:paraId="221C17B5" w14:textId="39CA5718" w:rsidR="00BF57BB" w:rsidRDefault="00BF57BB">
          <w:pPr>
            <w:pStyle w:val="TOC1"/>
            <w:tabs>
              <w:tab w:val="right" w:leader="dot" w:pos="9350"/>
            </w:tabs>
            <w:rPr>
              <w:rFonts w:asciiTheme="minorHAnsi" w:eastAsiaTheme="minorEastAsia" w:hAnsiTheme="minorHAnsi"/>
              <w:noProof/>
              <w:kern w:val="2"/>
              <w:sz w:val="24"/>
              <w:szCs w:val="24"/>
              <w14:ligatures w14:val="standardContextual"/>
            </w:rPr>
          </w:pPr>
          <w:r>
            <w:fldChar w:fldCharType="begin"/>
          </w:r>
          <w:r>
            <w:instrText xml:space="preserve"> TOC \o "1-3" \h \z \u </w:instrText>
          </w:r>
          <w:r>
            <w:fldChar w:fldCharType="separate"/>
          </w:r>
          <w:hyperlink w:anchor="_Toc197081172" w:history="1">
            <w:r w:rsidRPr="00873DA1">
              <w:rPr>
                <w:rStyle w:val="Hyperlink"/>
                <w:caps/>
                <w:noProof/>
              </w:rPr>
              <w:t>I.</w:t>
            </w:r>
            <w:r>
              <w:rPr>
                <w:rFonts w:asciiTheme="minorHAnsi" w:eastAsiaTheme="minorEastAsia" w:hAnsiTheme="minorHAnsi"/>
                <w:noProof/>
                <w:kern w:val="2"/>
                <w:sz w:val="24"/>
                <w:szCs w:val="24"/>
                <w14:ligatures w14:val="standardContextual"/>
              </w:rPr>
              <w:tab/>
            </w:r>
            <w:r w:rsidRPr="00873DA1">
              <w:rPr>
                <w:rStyle w:val="Hyperlink"/>
                <w:caps/>
                <w:noProof/>
              </w:rPr>
              <w:t>Introduction and Qualifications</w:t>
            </w:r>
            <w:r>
              <w:rPr>
                <w:noProof/>
                <w:webHidden/>
              </w:rPr>
              <w:tab/>
            </w:r>
            <w:r>
              <w:rPr>
                <w:noProof/>
                <w:webHidden/>
              </w:rPr>
              <w:fldChar w:fldCharType="begin"/>
            </w:r>
            <w:r>
              <w:rPr>
                <w:noProof/>
                <w:webHidden/>
              </w:rPr>
              <w:instrText xml:space="preserve"> PAGEREF _Toc197081172 \h </w:instrText>
            </w:r>
            <w:r>
              <w:rPr>
                <w:noProof/>
                <w:webHidden/>
              </w:rPr>
            </w:r>
            <w:r>
              <w:rPr>
                <w:noProof/>
                <w:webHidden/>
              </w:rPr>
              <w:fldChar w:fldCharType="separate"/>
            </w:r>
            <w:r w:rsidR="00AE1AFB">
              <w:rPr>
                <w:noProof/>
                <w:webHidden/>
              </w:rPr>
              <w:t>1</w:t>
            </w:r>
            <w:r>
              <w:rPr>
                <w:noProof/>
                <w:webHidden/>
              </w:rPr>
              <w:fldChar w:fldCharType="end"/>
            </w:r>
          </w:hyperlink>
        </w:p>
        <w:p w14:paraId="2AC650ED" w14:textId="7C2F1047" w:rsidR="00BF57BB" w:rsidRDefault="00BF57BB">
          <w:pPr>
            <w:pStyle w:val="TOC1"/>
            <w:tabs>
              <w:tab w:val="right" w:leader="dot" w:pos="9350"/>
            </w:tabs>
            <w:rPr>
              <w:rFonts w:asciiTheme="minorHAnsi" w:eastAsiaTheme="minorEastAsia" w:hAnsiTheme="minorHAnsi"/>
              <w:noProof/>
              <w:kern w:val="2"/>
              <w:sz w:val="24"/>
              <w:szCs w:val="24"/>
              <w14:ligatures w14:val="standardContextual"/>
            </w:rPr>
          </w:pPr>
          <w:hyperlink w:anchor="_Toc197081173" w:history="1">
            <w:r w:rsidRPr="00873DA1">
              <w:rPr>
                <w:rStyle w:val="Hyperlink"/>
                <w:caps/>
                <w:noProof/>
              </w:rPr>
              <w:t>II.</w:t>
            </w:r>
            <w:r>
              <w:rPr>
                <w:rFonts w:asciiTheme="minorHAnsi" w:eastAsiaTheme="minorEastAsia" w:hAnsiTheme="minorHAnsi"/>
                <w:noProof/>
                <w:kern w:val="2"/>
                <w:sz w:val="24"/>
                <w:szCs w:val="24"/>
                <w14:ligatures w14:val="standardContextual"/>
              </w:rPr>
              <w:tab/>
            </w:r>
            <w:r w:rsidRPr="00873DA1">
              <w:rPr>
                <w:rStyle w:val="Hyperlink"/>
                <w:caps/>
                <w:noProof/>
              </w:rPr>
              <w:t>METHODOLOGY</w:t>
            </w:r>
            <w:r>
              <w:rPr>
                <w:noProof/>
                <w:webHidden/>
              </w:rPr>
              <w:tab/>
            </w:r>
            <w:r>
              <w:rPr>
                <w:noProof/>
                <w:webHidden/>
              </w:rPr>
              <w:fldChar w:fldCharType="begin"/>
            </w:r>
            <w:r>
              <w:rPr>
                <w:noProof/>
                <w:webHidden/>
              </w:rPr>
              <w:instrText xml:space="preserve"> PAGEREF _Toc197081173 \h </w:instrText>
            </w:r>
            <w:r>
              <w:rPr>
                <w:noProof/>
                <w:webHidden/>
              </w:rPr>
            </w:r>
            <w:r>
              <w:rPr>
                <w:noProof/>
                <w:webHidden/>
              </w:rPr>
              <w:fldChar w:fldCharType="separate"/>
            </w:r>
            <w:r w:rsidR="00AE1AFB">
              <w:rPr>
                <w:noProof/>
                <w:webHidden/>
              </w:rPr>
              <w:t>4</w:t>
            </w:r>
            <w:r>
              <w:rPr>
                <w:noProof/>
                <w:webHidden/>
              </w:rPr>
              <w:fldChar w:fldCharType="end"/>
            </w:r>
          </w:hyperlink>
        </w:p>
        <w:p w14:paraId="151B5A3C" w14:textId="219433DB" w:rsidR="00BF57BB" w:rsidRDefault="00BF57BB">
          <w:pPr>
            <w:pStyle w:val="TOC1"/>
            <w:tabs>
              <w:tab w:val="right" w:leader="dot" w:pos="9350"/>
            </w:tabs>
            <w:rPr>
              <w:rFonts w:asciiTheme="minorHAnsi" w:eastAsiaTheme="minorEastAsia" w:hAnsiTheme="minorHAnsi"/>
              <w:noProof/>
              <w:kern w:val="2"/>
              <w:sz w:val="24"/>
              <w:szCs w:val="24"/>
              <w14:ligatures w14:val="standardContextual"/>
            </w:rPr>
          </w:pPr>
          <w:hyperlink w:anchor="_Toc197081174" w:history="1">
            <w:r w:rsidRPr="00873DA1">
              <w:rPr>
                <w:rStyle w:val="Hyperlink"/>
                <w:caps/>
                <w:noProof/>
              </w:rPr>
              <w:t>III.</w:t>
            </w:r>
            <w:r>
              <w:rPr>
                <w:rFonts w:asciiTheme="minorHAnsi" w:eastAsiaTheme="minorEastAsia" w:hAnsiTheme="minorHAnsi"/>
                <w:noProof/>
                <w:kern w:val="2"/>
                <w:sz w:val="24"/>
                <w:szCs w:val="24"/>
                <w14:ligatures w14:val="standardContextual"/>
              </w:rPr>
              <w:tab/>
            </w:r>
            <w:r w:rsidRPr="00873DA1">
              <w:rPr>
                <w:rStyle w:val="Hyperlink"/>
                <w:caps/>
                <w:noProof/>
              </w:rPr>
              <w:t>LANDSCAPE OF ENERGY AFFORDABILITY FOR gEORGIA POWER CUSTOMERS</w:t>
            </w:r>
            <w:r>
              <w:rPr>
                <w:noProof/>
                <w:webHidden/>
              </w:rPr>
              <w:tab/>
            </w:r>
            <w:r>
              <w:rPr>
                <w:noProof/>
                <w:webHidden/>
              </w:rPr>
              <w:fldChar w:fldCharType="begin"/>
            </w:r>
            <w:r>
              <w:rPr>
                <w:noProof/>
                <w:webHidden/>
              </w:rPr>
              <w:instrText xml:space="preserve"> PAGEREF _Toc197081174 \h </w:instrText>
            </w:r>
            <w:r>
              <w:rPr>
                <w:noProof/>
                <w:webHidden/>
              </w:rPr>
            </w:r>
            <w:r>
              <w:rPr>
                <w:noProof/>
                <w:webHidden/>
              </w:rPr>
              <w:fldChar w:fldCharType="separate"/>
            </w:r>
            <w:r w:rsidR="00AE1AFB">
              <w:rPr>
                <w:noProof/>
                <w:webHidden/>
              </w:rPr>
              <w:t>6</w:t>
            </w:r>
            <w:r>
              <w:rPr>
                <w:noProof/>
                <w:webHidden/>
              </w:rPr>
              <w:fldChar w:fldCharType="end"/>
            </w:r>
          </w:hyperlink>
        </w:p>
        <w:p w14:paraId="556163DF" w14:textId="1301C84B" w:rsidR="00BF57BB" w:rsidRDefault="00BF57BB">
          <w:pPr>
            <w:pStyle w:val="TOC1"/>
            <w:tabs>
              <w:tab w:val="right" w:leader="dot" w:pos="9350"/>
            </w:tabs>
            <w:rPr>
              <w:rFonts w:asciiTheme="minorHAnsi" w:eastAsiaTheme="minorEastAsia" w:hAnsiTheme="minorHAnsi"/>
              <w:noProof/>
              <w:kern w:val="2"/>
              <w:sz w:val="24"/>
              <w:szCs w:val="24"/>
              <w14:ligatures w14:val="standardContextual"/>
            </w:rPr>
          </w:pPr>
          <w:hyperlink w:anchor="_Toc197081175" w:history="1">
            <w:r w:rsidRPr="00873DA1">
              <w:rPr>
                <w:rStyle w:val="Hyperlink"/>
                <w:caps/>
                <w:noProof/>
              </w:rPr>
              <w:t>IV.</w:t>
            </w:r>
            <w:r>
              <w:rPr>
                <w:rFonts w:asciiTheme="minorHAnsi" w:eastAsiaTheme="minorEastAsia" w:hAnsiTheme="minorHAnsi"/>
                <w:noProof/>
                <w:kern w:val="2"/>
                <w:sz w:val="24"/>
                <w:szCs w:val="24"/>
                <w14:ligatures w14:val="standardContextual"/>
              </w:rPr>
              <w:tab/>
            </w:r>
            <w:r w:rsidRPr="00873DA1">
              <w:rPr>
                <w:rStyle w:val="Hyperlink"/>
                <w:caps/>
                <w:noProof/>
              </w:rPr>
              <w:t>reducing the affordability gap and meeting energy needs through targeted energy investments</w:t>
            </w:r>
            <w:r>
              <w:rPr>
                <w:noProof/>
                <w:webHidden/>
              </w:rPr>
              <w:tab/>
            </w:r>
            <w:r>
              <w:rPr>
                <w:noProof/>
                <w:webHidden/>
              </w:rPr>
              <w:fldChar w:fldCharType="begin"/>
            </w:r>
            <w:r>
              <w:rPr>
                <w:noProof/>
                <w:webHidden/>
              </w:rPr>
              <w:instrText xml:space="preserve"> PAGEREF _Toc197081175 \h </w:instrText>
            </w:r>
            <w:r>
              <w:rPr>
                <w:noProof/>
                <w:webHidden/>
              </w:rPr>
            </w:r>
            <w:r>
              <w:rPr>
                <w:noProof/>
                <w:webHidden/>
              </w:rPr>
              <w:fldChar w:fldCharType="separate"/>
            </w:r>
            <w:r w:rsidR="00AE1AFB">
              <w:rPr>
                <w:noProof/>
                <w:webHidden/>
              </w:rPr>
              <w:t>13</w:t>
            </w:r>
            <w:r>
              <w:rPr>
                <w:noProof/>
                <w:webHidden/>
              </w:rPr>
              <w:fldChar w:fldCharType="end"/>
            </w:r>
          </w:hyperlink>
        </w:p>
        <w:p w14:paraId="072CCE28" w14:textId="14414512" w:rsidR="00BF57BB" w:rsidRDefault="00BF57BB">
          <w:r>
            <w:fldChar w:fldCharType="end"/>
          </w:r>
        </w:p>
      </w:sdtContent>
    </w:sdt>
    <w:p w14:paraId="086AF917" w14:textId="04D4E32D" w:rsidR="00BF57BB" w:rsidRDefault="00BF57BB">
      <w:pPr>
        <w:spacing w:after="160" w:line="278" w:lineRule="auto"/>
        <w:ind w:left="0" w:firstLine="0"/>
        <w:contextualSpacing w:val="0"/>
        <w:rPr>
          <w:rFonts w:cs="Times New Roman"/>
          <w:sz w:val="24"/>
          <w:szCs w:val="24"/>
        </w:rPr>
      </w:pPr>
      <w:r>
        <w:rPr>
          <w:rFonts w:cs="Times New Roman"/>
          <w:sz w:val="24"/>
          <w:szCs w:val="24"/>
        </w:rPr>
        <w:br w:type="page"/>
      </w:r>
    </w:p>
    <w:p w14:paraId="761BDC02" w14:textId="1B2AA07D" w:rsidR="00BF57BB" w:rsidRPr="00BD5250" w:rsidRDefault="00BF57BB" w:rsidP="00A54CB9">
      <w:pPr>
        <w:jc w:val="center"/>
        <w:rPr>
          <w:rFonts w:cs="Times New Roman"/>
          <w:sz w:val="32"/>
          <w:szCs w:val="32"/>
        </w:rPr>
      </w:pPr>
      <w:r w:rsidRPr="00BD5250">
        <w:rPr>
          <w:rFonts w:cs="Times New Roman"/>
          <w:sz w:val="32"/>
          <w:szCs w:val="32"/>
        </w:rPr>
        <w:lastRenderedPageBreak/>
        <w:t>List of Tables and Figures</w:t>
      </w:r>
    </w:p>
    <w:p w14:paraId="508A7DD6" w14:textId="104F271C" w:rsidR="00BF57BB" w:rsidRPr="00BD5250" w:rsidRDefault="00BF57BB" w:rsidP="00BD5250">
      <w:pPr>
        <w:ind w:left="0" w:firstLine="0"/>
        <w:rPr>
          <w:rFonts w:cs="Times New Roman"/>
          <w:sz w:val="22"/>
        </w:rPr>
      </w:pPr>
      <w:r w:rsidRPr="00BD5250">
        <w:rPr>
          <w:rFonts w:cs="Times New Roman"/>
          <w:sz w:val="22"/>
        </w:rPr>
        <w:t>Figure 1</w:t>
      </w:r>
      <w:r w:rsidR="00BD5250">
        <w:rPr>
          <w:rFonts w:cs="Times New Roman"/>
          <w:sz w:val="22"/>
        </w:rPr>
        <w:t xml:space="preserve"> -</w:t>
      </w:r>
      <w:r w:rsidRPr="00BD5250">
        <w:rPr>
          <w:rFonts w:cs="Times New Roman"/>
          <w:sz w:val="22"/>
        </w:rPr>
        <w:t xml:space="preserve"> Number of households segmented by federal poverty level and energy cost burden brackets</w:t>
      </w:r>
      <w:r w:rsidR="00BD5250">
        <w:rPr>
          <w:rFonts w:cs="Times New Roman"/>
          <w:sz w:val="22"/>
        </w:rPr>
        <w:t xml:space="preserve"> …7</w:t>
      </w:r>
    </w:p>
    <w:p w14:paraId="39F10CA0" w14:textId="479C172B" w:rsidR="00BF57BB" w:rsidRPr="00BD5250" w:rsidRDefault="00BD5250" w:rsidP="00BD5250">
      <w:pPr>
        <w:ind w:left="0" w:firstLine="0"/>
        <w:rPr>
          <w:rFonts w:cs="Times New Roman"/>
          <w:sz w:val="22"/>
        </w:rPr>
      </w:pPr>
      <w:r w:rsidRPr="00BD5250">
        <w:rPr>
          <w:rFonts w:cs="Times New Roman"/>
          <w:sz w:val="22"/>
        </w:rPr>
        <w:t>Figure 2</w:t>
      </w:r>
      <w:r>
        <w:rPr>
          <w:rFonts w:cs="Times New Roman"/>
          <w:sz w:val="22"/>
        </w:rPr>
        <w:t xml:space="preserve"> -</w:t>
      </w:r>
      <w:r w:rsidRPr="00BD5250">
        <w:rPr>
          <w:rFonts w:cs="Times New Roman"/>
          <w:sz w:val="22"/>
        </w:rPr>
        <w:t xml:space="preserve"> Cumulative affordability gap for households within federal poverty level brackets</w:t>
      </w:r>
      <w:r>
        <w:rPr>
          <w:rFonts w:cs="Times New Roman"/>
          <w:sz w:val="22"/>
        </w:rPr>
        <w:t xml:space="preserve"> ……...……</w:t>
      </w:r>
      <w:r w:rsidRPr="00BD5250">
        <w:rPr>
          <w:rFonts w:cs="Times New Roman"/>
          <w:sz w:val="10"/>
          <w:szCs w:val="10"/>
        </w:rPr>
        <w:t xml:space="preserve"> </w:t>
      </w:r>
      <w:r>
        <w:rPr>
          <w:rFonts w:cs="Times New Roman"/>
          <w:sz w:val="22"/>
        </w:rPr>
        <w:t>8</w:t>
      </w:r>
    </w:p>
    <w:p w14:paraId="73F401D6" w14:textId="398BB09D" w:rsidR="00A54CB9" w:rsidRPr="00BD5250" w:rsidRDefault="00BD5250" w:rsidP="00BD5250">
      <w:pPr>
        <w:ind w:left="0" w:firstLine="0"/>
        <w:rPr>
          <w:rFonts w:cs="Times New Roman"/>
          <w:sz w:val="22"/>
        </w:rPr>
      </w:pPr>
      <w:r w:rsidRPr="00BD5250">
        <w:rPr>
          <w:rFonts w:cs="Times New Roman"/>
          <w:sz w:val="22"/>
        </w:rPr>
        <w:t>Figure 3</w:t>
      </w:r>
      <w:r>
        <w:rPr>
          <w:rFonts w:cs="Times New Roman"/>
          <w:sz w:val="22"/>
        </w:rPr>
        <w:t xml:space="preserve"> -</w:t>
      </w:r>
      <w:r w:rsidRPr="00BD5250">
        <w:rPr>
          <w:rFonts w:cs="Times New Roman"/>
          <w:sz w:val="22"/>
        </w:rPr>
        <w:t xml:space="preserve"> Total home energy costs broken down by end use (colors) and energy source</w:t>
      </w:r>
      <w:r>
        <w:rPr>
          <w:rFonts w:cs="Times New Roman"/>
          <w:sz w:val="22"/>
        </w:rPr>
        <w:t xml:space="preserve"> ………………...</w:t>
      </w:r>
      <w:r w:rsidRPr="00BD5250">
        <w:rPr>
          <w:rFonts w:cs="Times New Roman"/>
          <w:sz w:val="10"/>
          <w:szCs w:val="10"/>
        </w:rPr>
        <w:t xml:space="preserve"> </w:t>
      </w:r>
      <w:r>
        <w:rPr>
          <w:rFonts w:cs="Times New Roman"/>
          <w:sz w:val="22"/>
        </w:rPr>
        <w:t>9</w:t>
      </w:r>
    </w:p>
    <w:p w14:paraId="73BC9522" w14:textId="19E20421" w:rsidR="00BD5250" w:rsidRPr="00BD5250" w:rsidRDefault="00BD5250" w:rsidP="00BD5250">
      <w:pPr>
        <w:ind w:left="0" w:firstLine="0"/>
        <w:rPr>
          <w:rFonts w:cs="Times New Roman"/>
          <w:sz w:val="22"/>
        </w:rPr>
      </w:pPr>
      <w:r w:rsidRPr="00BD5250">
        <w:rPr>
          <w:rFonts w:cs="Times New Roman"/>
          <w:sz w:val="22"/>
        </w:rPr>
        <w:t>Figure 4</w:t>
      </w:r>
      <w:r>
        <w:rPr>
          <w:rFonts w:cs="Times New Roman"/>
          <w:sz w:val="22"/>
        </w:rPr>
        <w:t xml:space="preserve"> -</w:t>
      </w:r>
      <w:r w:rsidRPr="00BD5250">
        <w:rPr>
          <w:rFonts w:cs="Times New Roman"/>
          <w:sz w:val="22"/>
        </w:rPr>
        <w:t xml:space="preserve"> Geographic affordability trends for Georgia Power customers at census tract scale</w:t>
      </w:r>
      <w:r>
        <w:rPr>
          <w:rFonts w:cs="Times New Roman"/>
          <w:sz w:val="22"/>
        </w:rPr>
        <w:t xml:space="preserve"> </w:t>
      </w:r>
      <w:r w:rsidRPr="00BD5250">
        <w:rPr>
          <w:rFonts w:cs="Times New Roman"/>
          <w:sz w:val="6"/>
          <w:szCs w:val="6"/>
        </w:rPr>
        <w:t xml:space="preserve"> </w:t>
      </w:r>
      <w:r>
        <w:rPr>
          <w:rFonts w:cs="Times New Roman"/>
          <w:sz w:val="22"/>
        </w:rPr>
        <w:t>..………..</w:t>
      </w:r>
      <w:r w:rsidRPr="00BD5250">
        <w:rPr>
          <w:rFonts w:cs="Times New Roman"/>
          <w:sz w:val="18"/>
          <w:szCs w:val="18"/>
        </w:rPr>
        <w:t xml:space="preserve"> </w:t>
      </w:r>
      <w:r>
        <w:rPr>
          <w:rFonts w:cs="Times New Roman"/>
          <w:sz w:val="2"/>
          <w:szCs w:val="2"/>
        </w:rPr>
        <w:t xml:space="preserve"> </w:t>
      </w:r>
      <w:r>
        <w:rPr>
          <w:rFonts w:cs="Times New Roman"/>
          <w:sz w:val="22"/>
        </w:rPr>
        <w:t>11</w:t>
      </w:r>
    </w:p>
    <w:p w14:paraId="4DF1FBA9" w14:textId="11FDF966" w:rsidR="00BD5250" w:rsidRPr="00BD5250" w:rsidRDefault="00BD5250" w:rsidP="00BD5250">
      <w:pPr>
        <w:ind w:left="0" w:firstLine="0"/>
        <w:rPr>
          <w:rFonts w:cs="Times New Roman"/>
          <w:sz w:val="22"/>
        </w:rPr>
      </w:pPr>
      <w:r w:rsidRPr="00BD5250">
        <w:rPr>
          <w:rFonts w:cs="Times New Roman"/>
          <w:sz w:val="22"/>
        </w:rPr>
        <w:t>Figure 5</w:t>
      </w:r>
      <w:r>
        <w:rPr>
          <w:rFonts w:cs="Times New Roman"/>
          <w:sz w:val="22"/>
        </w:rPr>
        <w:t xml:space="preserve"> -</w:t>
      </w:r>
      <w:r w:rsidRPr="00BD5250">
        <w:rPr>
          <w:rFonts w:cs="Times New Roman"/>
          <w:sz w:val="22"/>
        </w:rPr>
        <w:t xml:space="preserve"> Geographic affordability trends for Georgia Power customers in the Atlanta region</w:t>
      </w:r>
      <w:r>
        <w:rPr>
          <w:rFonts w:cs="Times New Roman"/>
          <w:sz w:val="22"/>
        </w:rPr>
        <w:t xml:space="preserve"> …………12</w:t>
      </w:r>
    </w:p>
    <w:p w14:paraId="553E3129" w14:textId="37C6ED9C" w:rsidR="00BD5250" w:rsidRPr="00BD5250" w:rsidRDefault="00BD5250" w:rsidP="00BD5250">
      <w:pPr>
        <w:ind w:left="0" w:firstLine="0"/>
        <w:rPr>
          <w:rFonts w:cs="Times New Roman"/>
          <w:sz w:val="22"/>
        </w:rPr>
      </w:pPr>
      <w:r w:rsidRPr="00BD5250">
        <w:rPr>
          <w:rFonts w:cs="Times New Roman"/>
          <w:sz w:val="22"/>
        </w:rPr>
        <w:t>Figure 6</w:t>
      </w:r>
      <w:r>
        <w:rPr>
          <w:rFonts w:cs="Times New Roman"/>
          <w:sz w:val="22"/>
        </w:rPr>
        <w:t xml:space="preserve"> -</w:t>
      </w:r>
      <w:r w:rsidRPr="00BD5250">
        <w:rPr>
          <w:rFonts w:cs="Times New Roman"/>
          <w:sz w:val="22"/>
        </w:rPr>
        <w:t xml:space="preserve"> Distribution of heating bill changes after heat pump conversion</w:t>
      </w:r>
      <w:r>
        <w:rPr>
          <w:rFonts w:cs="Times New Roman"/>
          <w:sz w:val="22"/>
        </w:rPr>
        <w:t xml:space="preserve"> ……………………………...14</w:t>
      </w:r>
    </w:p>
    <w:p w14:paraId="156B55EF" w14:textId="77777777" w:rsidR="00A54CB9" w:rsidRDefault="00A54CB9" w:rsidP="00A54CB9">
      <w:pPr>
        <w:pStyle w:val="Heading1"/>
        <w:ind w:left="0" w:firstLine="0"/>
        <w:rPr>
          <w:rFonts w:cs="Times New Roman"/>
          <w:sz w:val="24"/>
          <w:szCs w:val="24"/>
        </w:rPr>
      </w:pPr>
      <w:bookmarkStart w:id="0" w:name="_Toc503452488"/>
      <w:bookmarkStart w:id="1" w:name="_Toc45725984"/>
      <w:bookmarkStart w:id="2" w:name="_Toc117162239"/>
    </w:p>
    <w:p w14:paraId="29D586F5" w14:textId="77777777" w:rsidR="00A54CB9" w:rsidRDefault="00A54CB9" w:rsidP="00A54CB9">
      <w:pPr>
        <w:pStyle w:val="Heading1"/>
        <w:ind w:left="0" w:firstLine="0"/>
        <w:rPr>
          <w:rFonts w:cs="Times New Roman"/>
          <w:sz w:val="24"/>
          <w:szCs w:val="24"/>
        </w:rPr>
      </w:pPr>
    </w:p>
    <w:p w14:paraId="06B16A87" w14:textId="77777777" w:rsidR="00A54CB9" w:rsidRDefault="00A54CB9">
      <w:pPr>
        <w:spacing w:after="160" w:line="278" w:lineRule="auto"/>
        <w:ind w:left="0" w:firstLine="0"/>
        <w:contextualSpacing w:val="0"/>
        <w:rPr>
          <w:rFonts w:asciiTheme="majorHAnsi" w:eastAsiaTheme="majorEastAsia" w:hAnsiTheme="majorHAnsi" w:cs="Times New Roman"/>
          <w:color w:val="2F5496" w:themeColor="accent1" w:themeShade="BF"/>
          <w:sz w:val="24"/>
          <w:szCs w:val="24"/>
        </w:rPr>
      </w:pPr>
      <w:r>
        <w:rPr>
          <w:rFonts w:cs="Times New Roman"/>
          <w:sz w:val="24"/>
          <w:szCs w:val="24"/>
        </w:rPr>
        <w:br w:type="page"/>
      </w:r>
    </w:p>
    <w:p w14:paraId="25690FE7" w14:textId="77777777" w:rsidR="00A54CB9" w:rsidRDefault="00A54CB9" w:rsidP="00A54CB9">
      <w:pPr>
        <w:pStyle w:val="Heading1"/>
        <w:numPr>
          <w:ilvl w:val="0"/>
          <w:numId w:val="9"/>
        </w:numPr>
        <w:spacing w:before="240" w:after="0"/>
        <w:ind w:left="792" w:hanging="432"/>
        <w:rPr>
          <w:rFonts w:ascii="Times New Roman" w:hAnsi="Times New Roman"/>
          <w:caps/>
          <w:color w:val="auto"/>
          <w:sz w:val="23"/>
          <w:szCs w:val="32"/>
          <w:u w:val="single"/>
        </w:rPr>
        <w:sectPr w:rsidR="00A54CB9">
          <w:footerReference w:type="default" r:id="rId8"/>
          <w:pgSz w:w="12240" w:h="15840"/>
          <w:pgMar w:top="1440" w:right="1440" w:bottom="1440" w:left="1440" w:header="720" w:footer="720" w:gutter="0"/>
          <w:cols w:space="720"/>
          <w:docGrid w:linePitch="360"/>
        </w:sectPr>
      </w:pPr>
    </w:p>
    <w:p w14:paraId="2ABC2034" w14:textId="24010869" w:rsidR="00A54CB9" w:rsidRPr="00A54CB9" w:rsidRDefault="00A54CB9" w:rsidP="00A54CB9">
      <w:pPr>
        <w:pStyle w:val="Heading1"/>
        <w:numPr>
          <w:ilvl w:val="0"/>
          <w:numId w:val="9"/>
        </w:numPr>
        <w:spacing w:before="240" w:after="0"/>
        <w:rPr>
          <w:rFonts w:ascii="Times New Roman" w:hAnsi="Times New Roman"/>
          <w:caps/>
          <w:color w:val="auto"/>
          <w:sz w:val="23"/>
          <w:szCs w:val="32"/>
          <w:u w:val="single"/>
        </w:rPr>
      </w:pPr>
      <w:bookmarkStart w:id="3" w:name="_Toc197081172"/>
      <w:r w:rsidRPr="00A54CB9">
        <w:rPr>
          <w:rFonts w:ascii="Times New Roman" w:hAnsi="Times New Roman"/>
          <w:caps/>
          <w:color w:val="auto"/>
          <w:sz w:val="23"/>
          <w:szCs w:val="32"/>
          <w:u w:val="single"/>
        </w:rPr>
        <w:lastRenderedPageBreak/>
        <w:t>Introduction and Qualifications</w:t>
      </w:r>
      <w:bookmarkEnd w:id="0"/>
      <w:bookmarkEnd w:id="1"/>
      <w:bookmarkEnd w:id="2"/>
      <w:bookmarkEnd w:id="3"/>
    </w:p>
    <w:p w14:paraId="0E2C27F6" w14:textId="111E88C0" w:rsidR="00A54CB9" w:rsidRDefault="00A54CB9" w:rsidP="00A54CB9">
      <w:pPr>
        <w:pStyle w:val="Question"/>
        <w:numPr>
          <w:ilvl w:val="0"/>
          <w:numId w:val="10"/>
        </w:numPr>
        <w:ind w:left="1080" w:hanging="720"/>
        <w:contextualSpacing w:val="0"/>
      </w:pPr>
      <w:bookmarkStart w:id="4" w:name="_Hlk197073175"/>
      <w:r>
        <w:t xml:space="preserve"> </w:t>
      </w:r>
      <w:r w:rsidRPr="00A703D2">
        <w:t>Please state for the record your name, position, and business address.</w:t>
      </w:r>
      <w:bookmarkEnd w:id="4"/>
    </w:p>
    <w:p w14:paraId="7733F106" w14:textId="5C6C4A2A" w:rsidR="00A54CB9" w:rsidRPr="00A54CB9" w:rsidRDefault="00A54CB9" w:rsidP="00A54CB9">
      <w:pPr>
        <w:pStyle w:val="ListParagraph"/>
        <w:numPr>
          <w:ilvl w:val="0"/>
          <w:numId w:val="11"/>
        </w:numPr>
        <w:ind w:left="1080" w:hanging="720"/>
        <w:contextualSpacing w:val="0"/>
        <w:jc w:val="both"/>
        <w:rPr>
          <w:rFonts w:eastAsia="Times New Roman" w:cs="Times New Roman"/>
          <w:sz w:val="24"/>
          <w:szCs w:val="24"/>
        </w:rPr>
      </w:pPr>
      <w:r w:rsidRPr="00A54CB9">
        <w:rPr>
          <w:rFonts w:eastAsia="Times New Roman" w:cs="Times New Roman"/>
          <w:color w:val="000000"/>
          <w:sz w:val="24"/>
          <w:szCs w:val="24"/>
        </w:rPr>
        <w:t xml:space="preserve">My name is Yunus Kinkhabwala, PhD. </w:t>
      </w:r>
      <w:r>
        <w:rPr>
          <w:rFonts w:eastAsia="Times New Roman" w:cs="Times New Roman"/>
          <w:color w:val="000000"/>
          <w:sz w:val="24"/>
          <w:szCs w:val="24"/>
        </w:rPr>
        <w:t xml:space="preserve">I am a Senior Scientist at PSE Healthy Energy. </w:t>
      </w:r>
      <w:r w:rsidRPr="00A54CB9">
        <w:rPr>
          <w:rFonts w:eastAsia="Times New Roman" w:cs="Times New Roman"/>
          <w:color w:val="000000"/>
          <w:sz w:val="24"/>
          <w:szCs w:val="24"/>
        </w:rPr>
        <w:t>My business address is 1440 Broadway, Suite 750, Oakland, California, 94612.</w:t>
      </w:r>
    </w:p>
    <w:p w14:paraId="470AA50B" w14:textId="77777777" w:rsidR="00A54CB9" w:rsidRDefault="00A54CB9" w:rsidP="00A54CB9">
      <w:pPr>
        <w:pStyle w:val="Question"/>
        <w:numPr>
          <w:ilvl w:val="0"/>
          <w:numId w:val="10"/>
        </w:numPr>
        <w:ind w:left="1080" w:hanging="720"/>
        <w:contextualSpacing w:val="0"/>
      </w:pPr>
      <w:r>
        <w:rPr>
          <w:rFonts w:eastAsia="Times New Roman" w:cs="Times New Roman"/>
          <w:b w:val="0"/>
          <w:bCs/>
          <w:color w:val="000000"/>
          <w:sz w:val="24"/>
          <w:szCs w:val="24"/>
        </w:rPr>
        <w:t xml:space="preserve"> </w:t>
      </w:r>
      <w:r>
        <w:t>On whose behalf are you submitting this direct testimony?</w:t>
      </w:r>
    </w:p>
    <w:p w14:paraId="2A196F75" w14:textId="77777777" w:rsidR="00A54CB9" w:rsidRPr="00A54CB9" w:rsidRDefault="00A54CB9" w:rsidP="00A54CB9">
      <w:pPr>
        <w:pStyle w:val="ListParagraph"/>
        <w:numPr>
          <w:ilvl w:val="0"/>
          <w:numId w:val="11"/>
        </w:numPr>
        <w:ind w:left="1080" w:hanging="720"/>
        <w:contextualSpacing w:val="0"/>
        <w:jc w:val="both"/>
        <w:rPr>
          <w:rFonts w:eastAsia="Times New Roman" w:cs="Times New Roman"/>
          <w:sz w:val="24"/>
          <w:szCs w:val="24"/>
        </w:rPr>
      </w:pPr>
      <w:r w:rsidRPr="00A54CB9">
        <w:rPr>
          <w:rFonts w:eastAsia="Times New Roman" w:cs="Times New Roman"/>
          <w:color w:val="000000"/>
          <w:sz w:val="24"/>
          <w:szCs w:val="24"/>
        </w:rPr>
        <w:t>I am submitting this testimony on behalf of Georgia WAND and Vote Solar.</w:t>
      </w:r>
    </w:p>
    <w:p w14:paraId="11C0C1FE" w14:textId="0F6E37C0" w:rsidR="00A54CB9" w:rsidRPr="00A54CB9" w:rsidRDefault="00A54CB9" w:rsidP="00C52729">
      <w:pPr>
        <w:pStyle w:val="Question"/>
        <w:numPr>
          <w:ilvl w:val="0"/>
          <w:numId w:val="10"/>
        </w:numPr>
        <w:ind w:left="1080" w:hanging="720"/>
        <w:contextualSpacing w:val="0"/>
        <w:jc w:val="both"/>
        <w:rPr>
          <w:rFonts w:eastAsia="Times New Roman" w:cs="Times New Roman"/>
          <w:sz w:val="24"/>
          <w:szCs w:val="24"/>
        </w:rPr>
      </w:pPr>
      <w:r>
        <w:t>Please summarize your qualifications, experience, and education.</w:t>
      </w:r>
    </w:p>
    <w:p w14:paraId="65C42346" w14:textId="754BB28B" w:rsidR="00A54CB9" w:rsidRPr="00BD5250" w:rsidRDefault="00A54CB9" w:rsidP="00A54CB9">
      <w:pPr>
        <w:pStyle w:val="ListParagraph"/>
        <w:numPr>
          <w:ilvl w:val="0"/>
          <w:numId w:val="11"/>
        </w:numPr>
        <w:ind w:left="1080" w:hanging="720"/>
        <w:contextualSpacing w:val="0"/>
        <w:jc w:val="both"/>
        <w:rPr>
          <w:rFonts w:eastAsia="Times New Roman" w:cs="Times New Roman"/>
          <w:sz w:val="24"/>
          <w:szCs w:val="24"/>
        </w:rPr>
      </w:pPr>
      <w:r w:rsidRPr="00A54CB9">
        <w:rPr>
          <w:rFonts w:eastAsia="Times New Roman" w:cs="Times New Roman"/>
          <w:color w:val="000000"/>
          <w:sz w:val="24"/>
          <w:szCs w:val="24"/>
        </w:rPr>
        <w:t xml:space="preserve">My work at PSE Healthy Energy involves analysis on energy transition pathways that maximize health, affordability, </w:t>
      </w:r>
      <w:r w:rsidR="00C601D4">
        <w:rPr>
          <w:rFonts w:eastAsia="Times New Roman" w:cs="Times New Roman"/>
          <w:color w:val="000000"/>
          <w:sz w:val="24"/>
          <w:szCs w:val="24"/>
        </w:rPr>
        <w:t>accessibility</w:t>
      </w:r>
      <w:r w:rsidRPr="00A54CB9">
        <w:rPr>
          <w:rFonts w:eastAsia="Times New Roman" w:cs="Times New Roman"/>
          <w:color w:val="000000"/>
          <w:sz w:val="24"/>
          <w:szCs w:val="24"/>
        </w:rPr>
        <w:t>, and environmental benefits. My main research focus</w:t>
      </w:r>
      <w:r w:rsidR="00126428">
        <w:rPr>
          <w:rFonts w:eastAsia="Times New Roman" w:cs="Times New Roman"/>
          <w:color w:val="000000"/>
          <w:sz w:val="24"/>
          <w:szCs w:val="24"/>
        </w:rPr>
        <w:t xml:space="preserve"> areas include: </w:t>
      </w:r>
      <w:r w:rsidR="00126428" w:rsidRPr="00A54CB9">
        <w:rPr>
          <w:rFonts w:eastAsia="Times New Roman" w:cs="Times New Roman"/>
          <w:color w:val="000000"/>
          <w:sz w:val="24"/>
          <w:szCs w:val="24"/>
        </w:rPr>
        <w:t>integrated resource modeling</w:t>
      </w:r>
      <w:r w:rsidR="00126428">
        <w:rPr>
          <w:rFonts w:eastAsia="Times New Roman" w:cs="Times New Roman"/>
          <w:color w:val="000000"/>
          <w:sz w:val="24"/>
          <w:szCs w:val="24"/>
        </w:rPr>
        <w:t>,</w:t>
      </w:r>
      <w:r w:rsidR="00126428" w:rsidRPr="00A54CB9">
        <w:rPr>
          <w:rFonts w:eastAsia="Times New Roman" w:cs="Times New Roman"/>
          <w:color w:val="000000"/>
          <w:sz w:val="24"/>
          <w:szCs w:val="24"/>
        </w:rPr>
        <w:t xml:space="preserve"> </w:t>
      </w:r>
      <w:r w:rsidRPr="00A54CB9">
        <w:rPr>
          <w:rFonts w:eastAsia="Times New Roman" w:cs="Times New Roman"/>
          <w:color w:val="000000"/>
          <w:sz w:val="24"/>
          <w:szCs w:val="24"/>
        </w:rPr>
        <w:t>air quality</w:t>
      </w:r>
      <w:r w:rsidRPr="00BD5250">
        <w:rPr>
          <w:rFonts w:eastAsia="Times New Roman" w:cs="Times New Roman"/>
          <w:color w:val="000000"/>
          <w:sz w:val="24"/>
          <w:szCs w:val="24"/>
        </w:rPr>
        <w:t xml:space="preserve">, </w:t>
      </w:r>
      <w:r w:rsidR="00126428" w:rsidRPr="00BD5250">
        <w:rPr>
          <w:rFonts w:eastAsia="Times New Roman" w:cs="Times New Roman"/>
          <w:color w:val="000000"/>
          <w:sz w:val="24"/>
          <w:szCs w:val="24"/>
        </w:rPr>
        <w:t xml:space="preserve">fair and affordable energy access, and </w:t>
      </w:r>
      <w:r w:rsidRPr="00BD5250">
        <w:rPr>
          <w:rFonts w:eastAsia="Times New Roman" w:cs="Times New Roman"/>
          <w:color w:val="000000"/>
          <w:sz w:val="24"/>
          <w:szCs w:val="24"/>
        </w:rPr>
        <w:t>energy efficiency</w:t>
      </w:r>
      <w:r w:rsidR="00126428" w:rsidRPr="00BD5250">
        <w:rPr>
          <w:rFonts w:eastAsia="Times New Roman" w:cs="Times New Roman"/>
          <w:color w:val="000000"/>
          <w:sz w:val="24"/>
          <w:szCs w:val="24"/>
        </w:rPr>
        <w:t>.</w:t>
      </w:r>
    </w:p>
    <w:p w14:paraId="2517D791" w14:textId="0F04325F" w:rsidR="00A1299E" w:rsidRPr="009D4380" w:rsidRDefault="00A1299E" w:rsidP="009D4380">
      <w:pPr>
        <w:pStyle w:val="Question"/>
        <w:numPr>
          <w:ilvl w:val="0"/>
          <w:numId w:val="10"/>
        </w:numPr>
        <w:ind w:left="1080" w:hanging="720"/>
        <w:contextualSpacing w:val="0"/>
        <w:jc w:val="both"/>
        <w:rPr>
          <w:rFonts w:eastAsia="Times New Roman" w:cs="Times New Roman"/>
          <w:sz w:val="24"/>
          <w:szCs w:val="24"/>
        </w:rPr>
      </w:pPr>
      <w:r>
        <w:t>What is the purpose of your testimony?</w:t>
      </w:r>
    </w:p>
    <w:p w14:paraId="1BC0DD80" w14:textId="77777777" w:rsidR="00A1299E" w:rsidRPr="00A1299E" w:rsidRDefault="00A54CB9" w:rsidP="00A1299E">
      <w:pPr>
        <w:pStyle w:val="ListParagraph"/>
        <w:numPr>
          <w:ilvl w:val="0"/>
          <w:numId w:val="11"/>
        </w:numPr>
        <w:ind w:left="1080" w:hanging="720"/>
        <w:contextualSpacing w:val="0"/>
        <w:jc w:val="both"/>
        <w:rPr>
          <w:rFonts w:eastAsia="Times New Roman" w:cs="Times New Roman"/>
          <w:sz w:val="24"/>
          <w:szCs w:val="24"/>
        </w:rPr>
      </w:pPr>
      <w:r w:rsidRPr="00A1299E">
        <w:rPr>
          <w:rFonts w:eastAsia="Times New Roman" w:cs="Times New Roman"/>
          <w:color w:val="000000"/>
          <w:sz w:val="24"/>
          <w:szCs w:val="24"/>
        </w:rPr>
        <w:t>The purpose of my testimony is to quantify the affordability impacts of residential energy bills with a focus on customers that cannot afford their current bills. Specifically, my goal is to: </w:t>
      </w:r>
    </w:p>
    <w:p w14:paraId="1B06EC13" w14:textId="77777777" w:rsidR="00A1299E" w:rsidRPr="00A1299E" w:rsidRDefault="00A54CB9" w:rsidP="00A1299E">
      <w:pPr>
        <w:pStyle w:val="ListParagraph"/>
        <w:numPr>
          <w:ilvl w:val="2"/>
          <w:numId w:val="11"/>
        </w:numPr>
        <w:contextualSpacing w:val="0"/>
        <w:jc w:val="both"/>
        <w:rPr>
          <w:rFonts w:eastAsia="Times New Roman" w:cs="Times New Roman"/>
          <w:sz w:val="24"/>
          <w:szCs w:val="24"/>
        </w:rPr>
      </w:pPr>
      <w:r w:rsidRPr="00A1299E">
        <w:rPr>
          <w:rFonts w:eastAsia="Times New Roman" w:cs="Times New Roman"/>
          <w:color w:val="000000"/>
          <w:sz w:val="24"/>
          <w:szCs w:val="24"/>
        </w:rPr>
        <w:t>Evaluate trends in home energy costs and affordability statistics across different socioeconomic and demographic segments of customers for Georgia Power.</w:t>
      </w:r>
    </w:p>
    <w:p w14:paraId="535C9F22" w14:textId="77777777" w:rsidR="00A1299E" w:rsidRPr="00A1299E" w:rsidRDefault="00A54CB9" w:rsidP="00A1299E">
      <w:pPr>
        <w:pStyle w:val="ListParagraph"/>
        <w:numPr>
          <w:ilvl w:val="2"/>
          <w:numId w:val="11"/>
        </w:numPr>
        <w:contextualSpacing w:val="0"/>
        <w:jc w:val="both"/>
        <w:rPr>
          <w:rFonts w:eastAsia="Times New Roman" w:cs="Times New Roman"/>
          <w:sz w:val="24"/>
          <w:szCs w:val="24"/>
        </w:rPr>
      </w:pPr>
      <w:r w:rsidRPr="00A1299E">
        <w:rPr>
          <w:rFonts w:eastAsia="Times New Roman" w:cs="Times New Roman"/>
          <w:color w:val="000000"/>
          <w:sz w:val="24"/>
          <w:szCs w:val="24"/>
        </w:rPr>
        <w:t xml:space="preserve">Define and calculate the </w:t>
      </w:r>
      <w:r w:rsidRPr="00A1299E">
        <w:rPr>
          <w:rFonts w:eastAsia="Times New Roman" w:cs="Times New Roman"/>
          <w:i/>
          <w:iCs/>
          <w:color w:val="000000"/>
          <w:sz w:val="24"/>
          <w:szCs w:val="24"/>
        </w:rPr>
        <w:t>energy affordability gap</w:t>
      </w:r>
      <w:r w:rsidRPr="00A1299E">
        <w:rPr>
          <w:rFonts w:eastAsia="Times New Roman" w:cs="Times New Roman"/>
          <w:color w:val="000000"/>
          <w:sz w:val="24"/>
          <w:szCs w:val="24"/>
        </w:rPr>
        <w:t>— the total dollar amount of annual bill assistance needed to bring all households down to affordability thresholds.</w:t>
      </w:r>
    </w:p>
    <w:p w14:paraId="0D244A9A" w14:textId="7965D9AC" w:rsidR="00A54CB9" w:rsidRPr="00A1299E" w:rsidRDefault="00A54CB9" w:rsidP="00A1299E">
      <w:pPr>
        <w:pStyle w:val="ListParagraph"/>
        <w:numPr>
          <w:ilvl w:val="2"/>
          <w:numId w:val="11"/>
        </w:numPr>
        <w:contextualSpacing w:val="0"/>
        <w:jc w:val="both"/>
        <w:rPr>
          <w:rFonts w:eastAsia="Times New Roman" w:cs="Times New Roman"/>
          <w:sz w:val="24"/>
          <w:szCs w:val="24"/>
        </w:rPr>
      </w:pPr>
      <w:r w:rsidRPr="00A1299E">
        <w:rPr>
          <w:rFonts w:eastAsia="Times New Roman" w:cs="Times New Roman"/>
          <w:color w:val="000000"/>
          <w:sz w:val="24"/>
          <w:szCs w:val="24"/>
        </w:rPr>
        <w:t>Evaluate the potential of demand-side resources to improve affordability and meet power needs.</w:t>
      </w:r>
    </w:p>
    <w:p w14:paraId="444EA826" w14:textId="79E11E9D" w:rsidR="00A54CB9" w:rsidRPr="00A1299E" w:rsidRDefault="00A1299E" w:rsidP="00A1299E">
      <w:pPr>
        <w:pStyle w:val="Question"/>
        <w:numPr>
          <w:ilvl w:val="0"/>
          <w:numId w:val="10"/>
        </w:numPr>
        <w:ind w:left="1080" w:hanging="720"/>
        <w:contextualSpacing w:val="0"/>
        <w:jc w:val="both"/>
        <w:rPr>
          <w:rFonts w:eastAsia="Times New Roman" w:cs="Times New Roman"/>
          <w:sz w:val="24"/>
          <w:szCs w:val="24"/>
        </w:rPr>
      </w:pPr>
      <w:r>
        <w:t>How does your testimony relate to Georgia Power’s testimony?</w:t>
      </w:r>
    </w:p>
    <w:p w14:paraId="1895881C" w14:textId="472B0AF7" w:rsidR="00A54CB9" w:rsidRPr="00A1299E" w:rsidRDefault="00A1299E" w:rsidP="00A1299E">
      <w:pPr>
        <w:pStyle w:val="ListParagraph"/>
        <w:numPr>
          <w:ilvl w:val="0"/>
          <w:numId w:val="11"/>
        </w:numPr>
        <w:ind w:left="1080" w:hanging="720"/>
        <w:contextualSpacing w:val="0"/>
        <w:jc w:val="both"/>
        <w:rPr>
          <w:rFonts w:eastAsia="Times New Roman" w:cs="Times New Roman"/>
          <w:sz w:val="24"/>
          <w:szCs w:val="24"/>
        </w:rPr>
      </w:pPr>
      <w:r>
        <w:rPr>
          <w:rFonts w:eastAsia="Times New Roman" w:cs="Times New Roman"/>
          <w:color w:val="000000"/>
          <w:sz w:val="24"/>
          <w:szCs w:val="24"/>
        </w:rPr>
        <w:t xml:space="preserve">Resource </w:t>
      </w:r>
      <w:r w:rsidR="00A54CB9" w:rsidRPr="00A1299E">
        <w:rPr>
          <w:rFonts w:eastAsia="Times New Roman" w:cs="Times New Roman"/>
          <w:color w:val="000000"/>
          <w:sz w:val="24"/>
          <w:szCs w:val="24"/>
        </w:rPr>
        <w:t xml:space="preserve">planning has multiple aims including providing reliable power and minimizing emissions and health damaging pollutants. These aims are balanced with choosing the cost-effective blends of resources to minimize the financial burden on Georgia Power customers through rates. However, customers have additional options </w:t>
      </w:r>
      <w:r w:rsidR="00A54CB9" w:rsidRPr="00A1299E">
        <w:rPr>
          <w:rFonts w:eastAsia="Times New Roman" w:cs="Times New Roman"/>
          <w:color w:val="000000"/>
          <w:sz w:val="24"/>
          <w:szCs w:val="24"/>
        </w:rPr>
        <w:lastRenderedPageBreak/>
        <w:t xml:space="preserve">beyond lower rates to reduce their bills including efficiency, </w:t>
      </w:r>
      <w:proofErr w:type="spellStart"/>
      <w:r w:rsidR="00A54CB9" w:rsidRPr="00A1299E">
        <w:rPr>
          <w:rFonts w:eastAsia="Times New Roman" w:cs="Times New Roman"/>
          <w:color w:val="000000"/>
          <w:sz w:val="24"/>
          <w:szCs w:val="24"/>
        </w:rPr>
        <w:t>self generation</w:t>
      </w:r>
      <w:proofErr w:type="spellEnd"/>
      <w:r w:rsidR="00A54CB9" w:rsidRPr="00A1299E">
        <w:rPr>
          <w:rFonts w:eastAsia="Times New Roman" w:cs="Times New Roman"/>
          <w:color w:val="000000"/>
          <w:sz w:val="24"/>
          <w:szCs w:val="24"/>
        </w:rPr>
        <w:t>, time-of-use plans, fuel switching, electrification, and demand response incentives. Importantly, all of these options also influence the portfolio of resources as they reduce or shift demand. If adopted by low-income customers, these bill reducing measures can lower the financial strain on public services as well. As such, integrated resource plans should consider these strategic resources to improve affordability in addition to the traditional approach of choosing the most economical blend of utility-owned generation resources.  </w:t>
      </w:r>
    </w:p>
    <w:p w14:paraId="4A0E99E3" w14:textId="1270CC79" w:rsidR="00A1299E" w:rsidRPr="00A1299E" w:rsidRDefault="00A1299E" w:rsidP="00A1299E">
      <w:pPr>
        <w:pStyle w:val="Question"/>
        <w:numPr>
          <w:ilvl w:val="0"/>
          <w:numId w:val="10"/>
        </w:numPr>
        <w:ind w:left="1080" w:hanging="720"/>
        <w:contextualSpacing w:val="0"/>
        <w:jc w:val="both"/>
        <w:rPr>
          <w:rFonts w:eastAsia="Times New Roman" w:cs="Times New Roman"/>
          <w:sz w:val="24"/>
          <w:szCs w:val="24"/>
        </w:rPr>
      </w:pPr>
      <w:r>
        <w:t>Can you summarize key points from your testimony?</w:t>
      </w:r>
    </w:p>
    <w:p w14:paraId="1DA3D76D" w14:textId="5EFEC5B3" w:rsidR="00A1299E" w:rsidRPr="00A1299E" w:rsidRDefault="00A54CB9" w:rsidP="00A1299E">
      <w:pPr>
        <w:pStyle w:val="ListParagraph"/>
        <w:numPr>
          <w:ilvl w:val="0"/>
          <w:numId w:val="11"/>
        </w:numPr>
        <w:ind w:left="1080" w:hanging="720"/>
        <w:contextualSpacing w:val="0"/>
        <w:jc w:val="both"/>
        <w:rPr>
          <w:rFonts w:eastAsia="Times New Roman" w:cs="Times New Roman"/>
          <w:sz w:val="24"/>
          <w:szCs w:val="24"/>
        </w:rPr>
      </w:pPr>
      <w:r w:rsidRPr="00A1299E">
        <w:rPr>
          <w:rFonts w:eastAsia="Times New Roman" w:cs="Times New Roman"/>
          <w:color w:val="000000"/>
          <w:sz w:val="24"/>
          <w:szCs w:val="24"/>
        </w:rPr>
        <w:t>Yes. </w:t>
      </w:r>
      <w:r w:rsidR="00A1299E">
        <w:rPr>
          <w:rFonts w:eastAsia="Times New Roman" w:cs="Times New Roman"/>
          <w:color w:val="000000"/>
          <w:sz w:val="24"/>
          <w:szCs w:val="24"/>
        </w:rPr>
        <w:t>Three key points include:</w:t>
      </w:r>
    </w:p>
    <w:p w14:paraId="05746F9E" w14:textId="77777777" w:rsidR="00A1299E" w:rsidRPr="00A1299E" w:rsidRDefault="00A54CB9" w:rsidP="00A1299E">
      <w:pPr>
        <w:pStyle w:val="ListParagraph"/>
        <w:numPr>
          <w:ilvl w:val="0"/>
          <w:numId w:val="13"/>
        </w:numPr>
        <w:contextualSpacing w:val="0"/>
        <w:jc w:val="both"/>
        <w:rPr>
          <w:rFonts w:eastAsia="Times New Roman" w:cs="Times New Roman"/>
          <w:sz w:val="24"/>
          <w:szCs w:val="24"/>
        </w:rPr>
      </w:pPr>
      <w:r w:rsidRPr="00A1299E">
        <w:rPr>
          <w:rFonts w:eastAsia="Times New Roman" w:cs="Times New Roman"/>
          <w:color w:val="000000"/>
          <w:sz w:val="24"/>
          <w:szCs w:val="24"/>
        </w:rPr>
        <w:t>Roughly a quarter of Georgia Power’s residential customers (620,000) are energy cost burdened, which means they pay more than six percent of their income for home energy needs. The affordability gap estimates that $540 million annually of the revenue collected from these households is unaffordable and must be covered in one form or another such as through bill assistance financed from other ratepayers or taxpayers. </w:t>
      </w:r>
    </w:p>
    <w:p w14:paraId="0212D554" w14:textId="77777777" w:rsidR="00A1299E" w:rsidRPr="00A1299E" w:rsidRDefault="00A54CB9" w:rsidP="00A1299E">
      <w:pPr>
        <w:pStyle w:val="ListParagraph"/>
        <w:numPr>
          <w:ilvl w:val="0"/>
          <w:numId w:val="13"/>
        </w:numPr>
        <w:contextualSpacing w:val="0"/>
        <w:jc w:val="both"/>
        <w:rPr>
          <w:rFonts w:eastAsia="Times New Roman" w:cs="Times New Roman"/>
          <w:sz w:val="24"/>
          <w:szCs w:val="24"/>
        </w:rPr>
      </w:pPr>
      <w:r w:rsidRPr="00A1299E">
        <w:rPr>
          <w:rFonts w:eastAsia="Times New Roman" w:cs="Times New Roman"/>
          <w:color w:val="000000"/>
          <w:sz w:val="24"/>
          <w:szCs w:val="24"/>
        </w:rPr>
        <w:t xml:space="preserve">The further development of demand-side strategy is an exciting and welcome one for Georgia Power. Strategic demand-side resources can bring down bills and meet energy goals simultaneously. These include community solar, efficiency and weatherization, heat pump adoption, customer sited solar and storage, and more. However, the scale of these efforts </w:t>
      </w:r>
      <w:proofErr w:type="gramStart"/>
      <w:r w:rsidRPr="00A1299E">
        <w:rPr>
          <w:rFonts w:eastAsia="Times New Roman" w:cs="Times New Roman"/>
          <w:color w:val="000000"/>
          <w:sz w:val="24"/>
          <w:szCs w:val="24"/>
        </w:rPr>
        <w:t>are</w:t>
      </w:r>
      <w:proofErr w:type="gramEnd"/>
      <w:r w:rsidRPr="00A1299E">
        <w:rPr>
          <w:rFonts w:eastAsia="Times New Roman" w:cs="Times New Roman"/>
          <w:color w:val="000000"/>
          <w:sz w:val="24"/>
          <w:szCs w:val="24"/>
        </w:rPr>
        <w:t xml:space="preserve"> smaller than they need to be. Given the large growth in demand, these efforts should be more ambitious and integrated with supply-side planning as they will simultaneously make the adoption of renewables more sustainable and reduce the impact of bills on the most vulnerable households.</w:t>
      </w:r>
    </w:p>
    <w:p w14:paraId="077ED98C" w14:textId="43B47B24" w:rsidR="00495704" w:rsidRPr="00554C87" w:rsidRDefault="00A54CB9" w:rsidP="00554C87">
      <w:pPr>
        <w:pStyle w:val="ListParagraph"/>
        <w:numPr>
          <w:ilvl w:val="0"/>
          <w:numId w:val="13"/>
        </w:numPr>
        <w:contextualSpacing w:val="0"/>
        <w:jc w:val="both"/>
        <w:rPr>
          <w:rFonts w:eastAsia="Times New Roman" w:cs="Times New Roman"/>
          <w:sz w:val="24"/>
          <w:szCs w:val="24"/>
        </w:rPr>
      </w:pPr>
      <w:r w:rsidRPr="00A1299E">
        <w:rPr>
          <w:rFonts w:eastAsia="Times New Roman" w:cs="Times New Roman"/>
          <w:color w:val="000000"/>
          <w:sz w:val="24"/>
          <w:szCs w:val="24"/>
        </w:rPr>
        <w:t xml:space="preserve">Standard cost tests are used by Georgia Power to evaluate the cost effectiveness of efficiency programs. These are useful, but they can also be misleading. One component cost </w:t>
      </w:r>
      <w:proofErr w:type="gramStart"/>
      <w:r w:rsidRPr="00A1299E">
        <w:rPr>
          <w:rFonts w:eastAsia="Times New Roman" w:cs="Times New Roman"/>
          <w:color w:val="000000"/>
          <w:sz w:val="24"/>
          <w:szCs w:val="24"/>
        </w:rPr>
        <w:t>tests</w:t>
      </w:r>
      <w:proofErr w:type="gramEnd"/>
      <w:r w:rsidRPr="00A1299E">
        <w:rPr>
          <w:rFonts w:eastAsia="Times New Roman" w:cs="Times New Roman"/>
          <w:color w:val="000000"/>
          <w:sz w:val="24"/>
          <w:szCs w:val="24"/>
        </w:rPr>
        <w:t xml:space="preserve"> as performed by Georgia Power fail to capture is the additional </w:t>
      </w:r>
      <w:r w:rsidRPr="00A1299E">
        <w:rPr>
          <w:rFonts w:eastAsia="Times New Roman" w:cs="Times New Roman"/>
          <w:color w:val="000000"/>
          <w:sz w:val="24"/>
          <w:szCs w:val="24"/>
        </w:rPr>
        <w:lastRenderedPageBreak/>
        <w:t>benefit of bill reduction interventions when applied to customers that cannot afford their bills and are likely to fall into arrearage or even have their power shut off. For many, demand-side solutions have the ability to lastingly reduce customer’s bills, which is more cost effective and sustainable than using bill assistance to pay for unnecessarily high bills.</w:t>
      </w:r>
      <w:r w:rsidR="00495704" w:rsidRPr="00554C87">
        <w:rPr>
          <w:caps/>
          <w:szCs w:val="32"/>
          <w:u w:val="single"/>
        </w:rPr>
        <w:br w:type="page"/>
      </w:r>
    </w:p>
    <w:p w14:paraId="0FAE2E2E" w14:textId="245C6441" w:rsidR="00A1299E" w:rsidRDefault="00A1299E" w:rsidP="00A1299E">
      <w:pPr>
        <w:pStyle w:val="Heading1"/>
        <w:numPr>
          <w:ilvl w:val="0"/>
          <w:numId w:val="9"/>
        </w:numPr>
        <w:spacing w:before="240" w:after="0"/>
        <w:rPr>
          <w:rFonts w:ascii="Times New Roman" w:hAnsi="Times New Roman"/>
          <w:caps/>
          <w:color w:val="auto"/>
          <w:sz w:val="23"/>
          <w:szCs w:val="32"/>
          <w:u w:val="single"/>
        </w:rPr>
      </w:pPr>
      <w:bookmarkStart w:id="5" w:name="_Toc197081173"/>
      <w:r>
        <w:rPr>
          <w:rFonts w:ascii="Times New Roman" w:hAnsi="Times New Roman"/>
          <w:caps/>
          <w:color w:val="auto"/>
          <w:sz w:val="23"/>
          <w:szCs w:val="32"/>
          <w:u w:val="single"/>
        </w:rPr>
        <w:lastRenderedPageBreak/>
        <w:t>METHODOLOGY</w:t>
      </w:r>
      <w:bookmarkEnd w:id="5"/>
    </w:p>
    <w:p w14:paraId="2EB6F8E4" w14:textId="5B302AE5" w:rsidR="00A1299E" w:rsidRPr="00A1299E" w:rsidRDefault="00A1299E" w:rsidP="00A1299E">
      <w:pPr>
        <w:pStyle w:val="Question"/>
        <w:numPr>
          <w:ilvl w:val="0"/>
          <w:numId w:val="10"/>
        </w:numPr>
        <w:ind w:left="1080" w:hanging="720"/>
        <w:contextualSpacing w:val="0"/>
        <w:jc w:val="both"/>
        <w:rPr>
          <w:rFonts w:eastAsia="Times New Roman" w:cs="Times New Roman"/>
          <w:sz w:val="24"/>
          <w:szCs w:val="24"/>
        </w:rPr>
      </w:pPr>
      <w:r>
        <w:t>How do you estimate residential energy costs for households served by Georgia Power?</w:t>
      </w:r>
    </w:p>
    <w:p w14:paraId="703014CB" w14:textId="77777777" w:rsidR="00A1299E" w:rsidRPr="00A1299E" w:rsidRDefault="00A54CB9" w:rsidP="00A1299E">
      <w:pPr>
        <w:pStyle w:val="ListParagraph"/>
        <w:numPr>
          <w:ilvl w:val="0"/>
          <w:numId w:val="11"/>
        </w:numPr>
        <w:ind w:left="1080" w:hanging="720"/>
        <w:contextualSpacing w:val="0"/>
        <w:jc w:val="both"/>
        <w:rPr>
          <w:rFonts w:eastAsia="Times New Roman" w:cs="Times New Roman"/>
          <w:sz w:val="24"/>
          <w:szCs w:val="24"/>
        </w:rPr>
      </w:pPr>
      <w:r w:rsidRPr="00A1299E">
        <w:rPr>
          <w:rFonts w:eastAsia="Times New Roman" w:cs="Times New Roman"/>
          <w:color w:val="000000"/>
          <w:sz w:val="24"/>
          <w:szCs w:val="24"/>
        </w:rPr>
        <w:t>Estimating household home energy bills is complicated for multiple reasons. First, actual customer billing data is not accessible due to privacy concerns. We therefore rely on modeling and multiple sources of survey data to estimate energy usage. Second, Georgia Power customers use a variety of fuels to operate their homes, and so all fuel use should be considered to understand their impacts on household budgets. For example, one household might use electricity to heat their home while another uses natural gas. Considering electricity alone would be misleading as it would exclude gas bills which are used to achieve the same objective of a warm home throughout the winter. </w:t>
      </w:r>
    </w:p>
    <w:p w14:paraId="39C140C8" w14:textId="77777777" w:rsidR="00A1299E" w:rsidRDefault="00A54CB9" w:rsidP="002E7471">
      <w:pPr>
        <w:pStyle w:val="ListParagraph"/>
        <w:ind w:left="1080" w:firstLine="360"/>
        <w:contextualSpacing w:val="0"/>
        <w:jc w:val="both"/>
        <w:rPr>
          <w:rFonts w:eastAsia="Times New Roman" w:cs="Times New Roman"/>
          <w:color w:val="000000"/>
          <w:sz w:val="24"/>
          <w:szCs w:val="24"/>
        </w:rPr>
      </w:pPr>
      <w:r w:rsidRPr="00A1299E">
        <w:rPr>
          <w:rFonts w:eastAsia="Times New Roman" w:cs="Times New Roman"/>
          <w:color w:val="000000"/>
          <w:sz w:val="24"/>
          <w:szCs w:val="24"/>
        </w:rPr>
        <w:t>Energy cost burden is typically calculated by dividing a household’s annual total energy bills by its gross income to obtain the fraction of income spent on residential energy needs. PSE Healthy Energy has developed a regression model based on a variety of geographic, demographic, housing-related, and climate variables to generate a simulated portfolio of energy use for all residential buildings and households within the Company’s territory. </w:t>
      </w:r>
    </w:p>
    <w:p w14:paraId="4E24E690" w14:textId="7D86B6B2" w:rsidR="00A1299E" w:rsidRDefault="00A54CB9" w:rsidP="002E7471">
      <w:pPr>
        <w:pStyle w:val="ListParagraph"/>
        <w:ind w:left="1080" w:firstLine="360"/>
        <w:contextualSpacing w:val="0"/>
        <w:jc w:val="both"/>
        <w:rPr>
          <w:rFonts w:eastAsia="Times New Roman" w:cs="Times New Roman"/>
          <w:color w:val="000000"/>
          <w:sz w:val="24"/>
          <w:szCs w:val="24"/>
        </w:rPr>
      </w:pPr>
      <w:r w:rsidRPr="00A54CB9">
        <w:rPr>
          <w:rFonts w:eastAsia="Times New Roman" w:cs="Times New Roman"/>
          <w:color w:val="000000"/>
          <w:sz w:val="24"/>
          <w:szCs w:val="24"/>
        </w:rPr>
        <w:t>Our model builds on previously developed method</w:t>
      </w:r>
      <w:r w:rsidR="00495704">
        <w:rPr>
          <w:rFonts w:eastAsia="Times New Roman" w:cs="Times New Roman"/>
          <w:color w:val="000000"/>
          <w:sz w:val="24"/>
          <w:szCs w:val="24"/>
        </w:rPr>
        <w:t>s</w:t>
      </w:r>
      <w:r w:rsidR="00495704">
        <w:rPr>
          <w:rStyle w:val="FootnoteReference"/>
          <w:rFonts w:eastAsia="Times New Roman" w:cs="Times New Roman"/>
          <w:color w:val="000000"/>
          <w:sz w:val="24"/>
          <w:szCs w:val="24"/>
        </w:rPr>
        <w:footnoteReference w:id="1"/>
      </w:r>
      <w:r w:rsidR="00495704" w:rsidRPr="00495704">
        <w:rPr>
          <w:rFonts w:eastAsia="Times New Roman" w:cs="Times New Roman"/>
          <w:color w:val="000000"/>
          <w:sz w:val="24"/>
          <w:szCs w:val="24"/>
          <w:vertAlign w:val="superscript"/>
        </w:rPr>
        <w:t>,</w:t>
      </w:r>
      <w:r w:rsidR="00495704">
        <w:rPr>
          <w:rStyle w:val="FootnoteReference"/>
          <w:rFonts w:eastAsia="Times New Roman" w:cs="Times New Roman"/>
          <w:color w:val="000000"/>
          <w:sz w:val="24"/>
          <w:szCs w:val="24"/>
        </w:rPr>
        <w:footnoteReference w:id="2"/>
      </w:r>
      <w:r w:rsidR="00495704">
        <w:rPr>
          <w:rFonts w:eastAsia="Times New Roman" w:cs="Times New Roman"/>
          <w:color w:val="000000"/>
          <w:sz w:val="24"/>
          <w:szCs w:val="24"/>
        </w:rPr>
        <w:t xml:space="preserve"> </w:t>
      </w:r>
      <w:r w:rsidRPr="00A54CB9">
        <w:rPr>
          <w:rFonts w:eastAsia="Times New Roman" w:cs="Times New Roman"/>
          <w:color w:val="000000"/>
          <w:sz w:val="24"/>
          <w:szCs w:val="24"/>
        </w:rPr>
        <w:t>and includes the most commonly used residential energy fuels in Georgia: natural gas, electricity, propane, fuel oil, and wood. Predictive variables were extracted from the U.S. Energy Information Administration’s 2020 Residential Energy Consumption Survey (RECS)</w:t>
      </w:r>
      <w:r w:rsidR="00F72DA0">
        <w:rPr>
          <w:rStyle w:val="FootnoteReference"/>
          <w:rFonts w:eastAsia="Times New Roman" w:cs="Times New Roman"/>
          <w:color w:val="000000"/>
          <w:sz w:val="24"/>
          <w:szCs w:val="24"/>
        </w:rPr>
        <w:footnoteReference w:id="3"/>
      </w:r>
      <w:r w:rsidRPr="00A54CB9">
        <w:rPr>
          <w:rFonts w:eastAsia="Times New Roman" w:cs="Times New Roman"/>
          <w:color w:val="000000"/>
          <w:sz w:val="24"/>
          <w:szCs w:val="24"/>
        </w:rPr>
        <w:t xml:space="preserve"> </w:t>
      </w:r>
      <w:r w:rsidRPr="00A54CB9">
        <w:rPr>
          <w:rFonts w:eastAsia="Times New Roman" w:cs="Times New Roman"/>
          <w:color w:val="000000"/>
          <w:sz w:val="24"/>
          <w:szCs w:val="24"/>
        </w:rPr>
        <w:lastRenderedPageBreak/>
        <w:t>and matched with household-level data by census tract from the U.S. Census Bureau’s 2017-2021 American Community Survey (ACS). Using the modeled energy consumption dataset, we can generate the most accurate and fine-grained estimates of household energy bills to date. All dollar values published here correspond to the year 2023 and rate estimates were estimated using reported sales and revenue from the year 2023 reported on EIA form 861.</w:t>
      </w:r>
    </w:p>
    <w:p w14:paraId="5744AE57" w14:textId="06358466" w:rsidR="00A54CB9" w:rsidRDefault="00A54CB9" w:rsidP="002E7471">
      <w:pPr>
        <w:pStyle w:val="ListParagraph"/>
        <w:ind w:left="1080" w:firstLine="360"/>
        <w:contextualSpacing w:val="0"/>
        <w:jc w:val="both"/>
        <w:rPr>
          <w:rFonts w:eastAsia="Times New Roman" w:cs="Times New Roman"/>
          <w:color w:val="000000"/>
          <w:sz w:val="24"/>
          <w:szCs w:val="24"/>
        </w:rPr>
      </w:pPr>
      <w:r w:rsidRPr="00A54CB9">
        <w:rPr>
          <w:rFonts w:eastAsia="Times New Roman" w:cs="Times New Roman"/>
          <w:color w:val="000000"/>
          <w:sz w:val="24"/>
          <w:szCs w:val="24"/>
        </w:rPr>
        <w:t>We note that in the analysis below, we look at combined energy cost burdens, inclusive of both electricity and other residential fuel costs. This allows for a fair comparison between fully electrified households and those with mixed use of electricity and other fuels. Along with including the most commonly used residential energy fuels, the analysis also includes the most common residential end uses: space heating, space cooling, water heating, and major appliances.</w:t>
      </w:r>
    </w:p>
    <w:p w14:paraId="13893207" w14:textId="77777777" w:rsidR="00554C87" w:rsidRDefault="00554C87">
      <w:pPr>
        <w:spacing w:after="160" w:line="278" w:lineRule="auto"/>
        <w:ind w:left="0" w:firstLine="0"/>
        <w:contextualSpacing w:val="0"/>
        <w:rPr>
          <w:rFonts w:eastAsiaTheme="majorEastAsia" w:cstheme="majorBidi"/>
          <w:caps/>
          <w:szCs w:val="32"/>
          <w:u w:val="single"/>
        </w:rPr>
      </w:pPr>
      <w:bookmarkStart w:id="6" w:name="_Toc197081174"/>
      <w:r>
        <w:rPr>
          <w:caps/>
          <w:szCs w:val="32"/>
          <w:u w:val="single"/>
        </w:rPr>
        <w:br w:type="page"/>
      </w:r>
    </w:p>
    <w:p w14:paraId="4EA7EF53" w14:textId="65589CEE" w:rsidR="00A1299E" w:rsidRPr="00A54CB9" w:rsidRDefault="00A1299E" w:rsidP="00A1299E">
      <w:pPr>
        <w:pStyle w:val="Heading1"/>
        <w:numPr>
          <w:ilvl w:val="0"/>
          <w:numId w:val="9"/>
        </w:numPr>
        <w:spacing w:before="240" w:after="0"/>
        <w:rPr>
          <w:rFonts w:ascii="Times New Roman" w:hAnsi="Times New Roman"/>
          <w:caps/>
          <w:color w:val="auto"/>
          <w:sz w:val="23"/>
          <w:szCs w:val="32"/>
          <w:u w:val="single"/>
        </w:rPr>
      </w:pPr>
      <w:r>
        <w:rPr>
          <w:rFonts w:ascii="Times New Roman" w:hAnsi="Times New Roman"/>
          <w:caps/>
          <w:color w:val="auto"/>
          <w:sz w:val="23"/>
          <w:szCs w:val="32"/>
          <w:u w:val="single"/>
        </w:rPr>
        <w:lastRenderedPageBreak/>
        <w:t>LANDSCAPE OF ENERGY AFFORDABILITY FOR gEORGIA POWER CUSTOMERS</w:t>
      </w:r>
      <w:bookmarkEnd w:id="6"/>
    </w:p>
    <w:p w14:paraId="5EFEAA99" w14:textId="429EDC32" w:rsidR="00A1299E" w:rsidRPr="00A1299E" w:rsidRDefault="00A1299E" w:rsidP="00A1299E">
      <w:pPr>
        <w:pStyle w:val="Question"/>
        <w:numPr>
          <w:ilvl w:val="0"/>
          <w:numId w:val="10"/>
        </w:numPr>
        <w:ind w:left="1080" w:hanging="720"/>
        <w:contextualSpacing w:val="0"/>
        <w:jc w:val="both"/>
        <w:rPr>
          <w:rFonts w:eastAsia="Times New Roman" w:cs="Times New Roman"/>
          <w:sz w:val="24"/>
          <w:szCs w:val="24"/>
        </w:rPr>
      </w:pPr>
      <w:r>
        <w:t>What is the purpose of this section?</w:t>
      </w:r>
    </w:p>
    <w:p w14:paraId="66B40530" w14:textId="24A207C2" w:rsidR="00A54CB9" w:rsidRPr="00A1299E" w:rsidRDefault="00A54CB9" w:rsidP="00A1299E">
      <w:pPr>
        <w:pStyle w:val="ListParagraph"/>
        <w:numPr>
          <w:ilvl w:val="0"/>
          <w:numId w:val="11"/>
        </w:numPr>
        <w:ind w:left="1080" w:hanging="720"/>
        <w:contextualSpacing w:val="0"/>
        <w:jc w:val="both"/>
        <w:rPr>
          <w:rFonts w:eastAsia="Times New Roman" w:cs="Times New Roman"/>
          <w:sz w:val="24"/>
          <w:szCs w:val="24"/>
        </w:rPr>
      </w:pPr>
      <w:r w:rsidRPr="00A1299E">
        <w:rPr>
          <w:rFonts w:eastAsia="Times New Roman" w:cs="Times New Roman"/>
          <w:color w:val="000000"/>
          <w:sz w:val="24"/>
          <w:szCs w:val="24"/>
        </w:rPr>
        <w:t>Here, we identify key statistics that quantify the extent of the financial burden experienced by households with a focus on the costs that fall on customers that cannot afford them.</w:t>
      </w:r>
    </w:p>
    <w:p w14:paraId="23380065" w14:textId="1600AD0A" w:rsidR="00A54CB9" w:rsidRPr="009D4380" w:rsidRDefault="009D4380" w:rsidP="009D4380">
      <w:pPr>
        <w:pStyle w:val="Question"/>
        <w:numPr>
          <w:ilvl w:val="0"/>
          <w:numId w:val="10"/>
        </w:numPr>
        <w:ind w:left="1080" w:hanging="720"/>
        <w:contextualSpacing w:val="0"/>
        <w:jc w:val="both"/>
        <w:rPr>
          <w:rFonts w:eastAsia="Times New Roman" w:cs="Times New Roman"/>
          <w:sz w:val="24"/>
          <w:szCs w:val="24"/>
        </w:rPr>
      </w:pPr>
      <w:r>
        <w:t>Why is energy affordability important?</w:t>
      </w:r>
    </w:p>
    <w:p w14:paraId="3673E321" w14:textId="467F28B5" w:rsidR="00A54CB9" w:rsidRPr="00A1299E" w:rsidRDefault="00A54CB9" w:rsidP="00A1299E">
      <w:pPr>
        <w:pStyle w:val="ListParagraph"/>
        <w:numPr>
          <w:ilvl w:val="0"/>
          <w:numId w:val="11"/>
        </w:numPr>
        <w:ind w:left="1080" w:hanging="720"/>
        <w:contextualSpacing w:val="0"/>
        <w:jc w:val="both"/>
        <w:rPr>
          <w:rFonts w:eastAsia="Times New Roman" w:cs="Times New Roman"/>
          <w:sz w:val="24"/>
          <w:szCs w:val="24"/>
        </w:rPr>
      </w:pPr>
      <w:r w:rsidRPr="00A1299E">
        <w:rPr>
          <w:rFonts w:eastAsia="Times New Roman" w:cs="Times New Roman"/>
          <w:color w:val="000000"/>
          <w:sz w:val="24"/>
          <w:szCs w:val="24"/>
        </w:rPr>
        <w:t>Energy bills strain households in a variety of aspects. For example, they lead to unsafe energy use such as using kitchen stoves for heating, increase the risk of eviction and homelessness, keep homes at uncomfortable or unsafe temperatures, and result in the forgoing of other essential expenses such as medical care. However, energy bills can be reduced in a cost</w:t>
      </w:r>
      <w:r w:rsidR="00F72DA0">
        <w:rPr>
          <w:rFonts w:eastAsia="Times New Roman" w:cs="Times New Roman"/>
          <w:color w:val="000000"/>
          <w:sz w:val="24"/>
          <w:szCs w:val="24"/>
        </w:rPr>
        <w:t>-</w:t>
      </w:r>
      <w:r w:rsidRPr="00A1299E">
        <w:rPr>
          <w:rFonts w:eastAsia="Times New Roman" w:cs="Times New Roman"/>
          <w:color w:val="000000"/>
          <w:sz w:val="24"/>
          <w:szCs w:val="24"/>
        </w:rPr>
        <w:t>effective manner for many low-to-moderate income (LMI) households.</w:t>
      </w:r>
    </w:p>
    <w:p w14:paraId="627BD476" w14:textId="57EE7A58" w:rsidR="009D4380" w:rsidRPr="009D4380" w:rsidRDefault="009D4380" w:rsidP="009D4380">
      <w:pPr>
        <w:pStyle w:val="Question"/>
        <w:numPr>
          <w:ilvl w:val="0"/>
          <w:numId w:val="10"/>
        </w:numPr>
        <w:ind w:left="1080" w:hanging="720"/>
        <w:contextualSpacing w:val="0"/>
        <w:jc w:val="both"/>
        <w:rPr>
          <w:rFonts w:eastAsia="Times New Roman" w:cs="Times New Roman"/>
          <w:sz w:val="24"/>
          <w:szCs w:val="24"/>
        </w:rPr>
      </w:pPr>
      <w:r>
        <w:t>What happens to customers who are unable to afford their bills?</w:t>
      </w:r>
    </w:p>
    <w:p w14:paraId="429002B8" w14:textId="197839F7" w:rsidR="00A54CB9" w:rsidRPr="009D4380" w:rsidRDefault="00A54CB9" w:rsidP="00A1299E">
      <w:pPr>
        <w:pStyle w:val="ListParagraph"/>
        <w:numPr>
          <w:ilvl w:val="0"/>
          <w:numId w:val="11"/>
        </w:numPr>
        <w:ind w:left="1080" w:hanging="720"/>
        <w:contextualSpacing w:val="0"/>
        <w:jc w:val="both"/>
        <w:rPr>
          <w:rFonts w:eastAsia="Times New Roman" w:cs="Times New Roman"/>
          <w:sz w:val="24"/>
          <w:szCs w:val="24"/>
        </w:rPr>
      </w:pPr>
      <w:r w:rsidRPr="00A1299E">
        <w:rPr>
          <w:rFonts w:eastAsia="Times New Roman" w:cs="Times New Roman"/>
          <w:color w:val="000000"/>
          <w:sz w:val="24"/>
          <w:szCs w:val="24"/>
        </w:rPr>
        <w:t>According to a recent report “[d]</w:t>
      </w:r>
      <w:proofErr w:type="spellStart"/>
      <w:r w:rsidRPr="00A1299E">
        <w:rPr>
          <w:rFonts w:eastAsia="Times New Roman" w:cs="Times New Roman"/>
          <w:color w:val="000000"/>
          <w:sz w:val="24"/>
          <w:szCs w:val="24"/>
        </w:rPr>
        <w:t>uring</w:t>
      </w:r>
      <w:proofErr w:type="spellEnd"/>
      <w:r w:rsidRPr="00A1299E">
        <w:rPr>
          <w:rFonts w:eastAsia="Times New Roman" w:cs="Times New Roman"/>
          <w:color w:val="000000"/>
          <w:sz w:val="24"/>
          <w:szCs w:val="24"/>
        </w:rPr>
        <w:t xml:space="preserve"> 2024, approximately 184,000 residential customers were disconnected with nearly 137,000 (74%) of those customers paying to restore their service – often the same or next day.”</w:t>
      </w:r>
      <w:r w:rsidR="00F72DA0">
        <w:rPr>
          <w:rStyle w:val="FootnoteReference"/>
          <w:rFonts w:eastAsia="Times New Roman" w:cs="Times New Roman"/>
          <w:color w:val="000000"/>
          <w:sz w:val="24"/>
          <w:szCs w:val="24"/>
        </w:rPr>
        <w:footnoteReference w:id="4"/>
      </w:r>
      <w:r w:rsidRPr="00A1299E">
        <w:rPr>
          <w:rFonts w:eastAsia="Times New Roman" w:cs="Times New Roman"/>
          <w:color w:val="000000"/>
          <w:sz w:val="24"/>
          <w:szCs w:val="24"/>
        </w:rPr>
        <w:t xml:space="preserve"> This shutoff rate of nearly 8 percent of all residential customers clearly indicates an affordability crisis exists for Georgia Power customers. Moreover, these shutoffs are deeply disruptive to households with negative consequences to their health and well-being.</w:t>
      </w:r>
      <w:r w:rsidR="00F72DA0">
        <w:rPr>
          <w:rStyle w:val="FootnoteReference"/>
          <w:rFonts w:eastAsia="Times New Roman" w:cs="Times New Roman"/>
          <w:color w:val="000000"/>
          <w:sz w:val="24"/>
          <w:szCs w:val="24"/>
        </w:rPr>
        <w:footnoteReference w:id="5"/>
      </w:r>
      <w:r w:rsidRPr="00A1299E">
        <w:rPr>
          <w:rFonts w:eastAsia="Times New Roman" w:cs="Times New Roman"/>
          <w:color w:val="000000"/>
          <w:sz w:val="24"/>
          <w:szCs w:val="24"/>
        </w:rPr>
        <w:t xml:space="preserve"> During a shutoff, homes cannot keep safe indoor temperatures and refrigerated food and medications can spoil, resulting in costly waste for already financially stressed households. To restore power, </w:t>
      </w:r>
      <w:r w:rsidRPr="00A1299E">
        <w:rPr>
          <w:rFonts w:eastAsia="Times New Roman" w:cs="Times New Roman"/>
          <w:color w:val="000000"/>
          <w:sz w:val="24"/>
          <w:szCs w:val="24"/>
        </w:rPr>
        <w:lastRenderedPageBreak/>
        <w:t>households often need to redirect funds from other essentials costs including health thus forgoing necessities that can cause even more costly burdens later.</w:t>
      </w:r>
    </w:p>
    <w:p w14:paraId="5A37E266" w14:textId="453CCF33" w:rsidR="009D4380" w:rsidRPr="009D4380" w:rsidRDefault="009D4380" w:rsidP="009D4380">
      <w:pPr>
        <w:pStyle w:val="Question"/>
        <w:numPr>
          <w:ilvl w:val="0"/>
          <w:numId w:val="10"/>
        </w:numPr>
        <w:ind w:left="1080" w:hanging="720"/>
        <w:contextualSpacing w:val="0"/>
        <w:jc w:val="both"/>
        <w:rPr>
          <w:rFonts w:eastAsia="Times New Roman" w:cs="Times New Roman"/>
          <w:sz w:val="24"/>
          <w:szCs w:val="24"/>
        </w:rPr>
      </w:pPr>
      <w:r>
        <w:t>What is the overall current state of energy affordability for Georgia Power Company’s residential customers?</w:t>
      </w:r>
    </w:p>
    <w:p w14:paraId="50D75C37" w14:textId="41A4A859" w:rsidR="009D4380" w:rsidRPr="009D4380" w:rsidRDefault="00A54CB9" w:rsidP="009D4380">
      <w:pPr>
        <w:pStyle w:val="ListParagraph"/>
        <w:numPr>
          <w:ilvl w:val="0"/>
          <w:numId w:val="11"/>
        </w:numPr>
        <w:spacing w:after="480"/>
        <w:ind w:left="1080" w:hanging="720"/>
        <w:contextualSpacing w:val="0"/>
        <w:jc w:val="both"/>
        <w:rPr>
          <w:rFonts w:eastAsia="Times New Roman" w:cs="Times New Roman"/>
          <w:sz w:val="24"/>
          <w:szCs w:val="24"/>
        </w:rPr>
      </w:pPr>
      <w:r w:rsidRPr="00A1299E">
        <w:rPr>
          <w:rFonts w:eastAsia="Times New Roman" w:cs="Times New Roman"/>
          <w:color w:val="000000"/>
          <w:sz w:val="24"/>
          <w:szCs w:val="24"/>
        </w:rPr>
        <w:t>Approximately one quarter of the roughly 2.4 million households in 2023, 620,000, are energy cost burdened, meaning that they spent over six percent of their annual gross income on their energy bills. Six percent is a threshold that is generally considered high although other thresholds have been used as well.</w:t>
      </w:r>
      <w:r w:rsidR="00F72DA0">
        <w:rPr>
          <w:rStyle w:val="FootnoteReference"/>
          <w:rFonts w:eastAsia="Times New Roman" w:cs="Times New Roman"/>
          <w:color w:val="000000"/>
          <w:sz w:val="24"/>
          <w:szCs w:val="24"/>
        </w:rPr>
        <w:footnoteReference w:id="6"/>
      </w:r>
      <w:r w:rsidRPr="00A1299E">
        <w:rPr>
          <w:rFonts w:eastAsia="Times New Roman" w:cs="Times New Roman"/>
          <w:color w:val="000000"/>
          <w:sz w:val="24"/>
          <w:szCs w:val="24"/>
        </w:rPr>
        <w:t xml:space="preserve"> Nearly all of these households, 90 percent, have incomes lower than twice the federal poverty level. </w:t>
      </w:r>
    </w:p>
    <w:p w14:paraId="413605A1" w14:textId="77777777" w:rsidR="00A54CB9" w:rsidRPr="00A54CB9" w:rsidRDefault="00A54CB9" w:rsidP="00A54CB9">
      <w:pPr>
        <w:spacing w:line="240" w:lineRule="auto"/>
        <w:ind w:left="0" w:firstLine="0"/>
        <w:contextualSpacing w:val="0"/>
        <w:jc w:val="center"/>
        <w:rPr>
          <w:rFonts w:eastAsia="Times New Roman" w:cs="Times New Roman"/>
          <w:sz w:val="24"/>
          <w:szCs w:val="24"/>
        </w:rPr>
      </w:pPr>
      <w:r w:rsidRPr="00A54CB9">
        <w:rPr>
          <w:rFonts w:ascii="Arial" w:eastAsia="Times New Roman" w:hAnsi="Arial" w:cs="Arial"/>
          <w:noProof/>
          <w:color w:val="000000"/>
          <w:sz w:val="22"/>
          <w:bdr w:val="none" w:sz="0" w:space="0" w:color="auto" w:frame="1"/>
        </w:rPr>
        <w:drawing>
          <wp:inline distT="0" distB="0" distL="0" distR="0" wp14:anchorId="17C12D93" wp14:editId="7BB93D80">
            <wp:extent cx="5410200" cy="2466975"/>
            <wp:effectExtent l="0" t="0" r="0" b="9525"/>
            <wp:docPr id="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10200" cy="2466975"/>
                    </a:xfrm>
                    <a:prstGeom prst="rect">
                      <a:avLst/>
                    </a:prstGeom>
                    <a:noFill/>
                    <a:ln>
                      <a:noFill/>
                    </a:ln>
                  </pic:spPr>
                </pic:pic>
              </a:graphicData>
            </a:graphic>
          </wp:inline>
        </w:drawing>
      </w:r>
    </w:p>
    <w:p w14:paraId="5082BD2A" w14:textId="77777777" w:rsidR="00A54CB9" w:rsidRPr="00A54CB9" w:rsidRDefault="00A54CB9" w:rsidP="002E7471">
      <w:pPr>
        <w:spacing w:before="240"/>
        <w:ind w:firstLine="0"/>
        <w:contextualSpacing w:val="0"/>
        <w:jc w:val="both"/>
        <w:rPr>
          <w:rFonts w:eastAsia="Times New Roman" w:cs="Times New Roman"/>
          <w:sz w:val="24"/>
          <w:szCs w:val="24"/>
        </w:rPr>
      </w:pPr>
      <w:r w:rsidRPr="00A54CB9">
        <w:rPr>
          <w:rFonts w:eastAsia="Times New Roman" w:cs="Times New Roman"/>
          <w:b/>
          <w:bCs/>
          <w:color w:val="000000"/>
          <w:sz w:val="24"/>
          <w:szCs w:val="24"/>
        </w:rPr>
        <w:t>Figure 1</w:t>
      </w:r>
      <w:r w:rsidRPr="00A54CB9">
        <w:rPr>
          <w:rFonts w:eastAsia="Times New Roman" w:cs="Times New Roman"/>
          <w:color w:val="000000"/>
          <w:sz w:val="24"/>
          <w:szCs w:val="24"/>
        </w:rPr>
        <w:t>: Number of households segmented by federal poverty level and energy cost burden brackets</w:t>
      </w:r>
    </w:p>
    <w:p w14:paraId="429FDFA1" w14:textId="32C58AC6" w:rsidR="00A54CB9" w:rsidRPr="00A54CB9" w:rsidRDefault="00A54CB9" w:rsidP="002E7471">
      <w:pPr>
        <w:ind w:firstLine="360"/>
        <w:contextualSpacing w:val="0"/>
        <w:jc w:val="both"/>
        <w:rPr>
          <w:rFonts w:eastAsia="Times New Roman" w:cs="Times New Roman"/>
          <w:sz w:val="24"/>
          <w:szCs w:val="24"/>
        </w:rPr>
      </w:pPr>
      <w:r w:rsidRPr="00A54CB9">
        <w:rPr>
          <w:rFonts w:eastAsia="Times New Roman" w:cs="Times New Roman"/>
          <w:color w:val="000000"/>
          <w:sz w:val="24"/>
          <w:szCs w:val="24"/>
        </w:rPr>
        <w:t>The financial toll of these unaffordable bills is substantial. One financial statistic is known as the affordability gap</w:t>
      </w:r>
      <w:r w:rsidR="00F72DA0">
        <w:rPr>
          <w:rStyle w:val="FootnoteReference"/>
          <w:rFonts w:eastAsia="Times New Roman" w:cs="Times New Roman"/>
          <w:color w:val="000000"/>
          <w:sz w:val="24"/>
          <w:szCs w:val="24"/>
        </w:rPr>
        <w:footnoteReference w:id="7"/>
      </w:r>
      <w:r w:rsidRPr="00A54CB9">
        <w:rPr>
          <w:rFonts w:eastAsia="Times New Roman" w:cs="Times New Roman"/>
          <w:color w:val="000000"/>
          <w:sz w:val="24"/>
          <w:szCs w:val="24"/>
        </w:rPr>
        <w:t xml:space="preserve"> which measures the dollar value of energy costs that are </w:t>
      </w:r>
      <w:r w:rsidRPr="00A54CB9">
        <w:rPr>
          <w:rFonts w:eastAsia="Times New Roman" w:cs="Times New Roman"/>
          <w:color w:val="000000"/>
          <w:sz w:val="24"/>
          <w:szCs w:val="24"/>
        </w:rPr>
        <w:lastRenderedPageBreak/>
        <w:t xml:space="preserve">greater than six percent of income that comes to $540 million annually for Georgia Power customers. Another way to describe the affordability gap is through the example of bill assistance. A program that sets a cap on energy spending of six percent of any household’s income and pays the rest through bill assistance, sometimes referred to as a percent of income plan, would need $540 million annually. The breakdown of the gap by federal poverty level brackets is shown in </w:t>
      </w:r>
      <w:r w:rsidRPr="00A54CB9">
        <w:rPr>
          <w:rFonts w:eastAsia="Times New Roman" w:cs="Times New Roman"/>
          <w:b/>
          <w:bCs/>
          <w:color w:val="000000"/>
          <w:sz w:val="24"/>
          <w:szCs w:val="24"/>
        </w:rPr>
        <w:t>Figure 2. </w:t>
      </w:r>
    </w:p>
    <w:p w14:paraId="0A53087F" w14:textId="77777777" w:rsidR="00A54CB9" w:rsidRPr="00A54CB9" w:rsidRDefault="00A54CB9" w:rsidP="002E7471">
      <w:pPr>
        <w:ind w:firstLine="360"/>
        <w:contextualSpacing w:val="0"/>
        <w:jc w:val="both"/>
        <w:rPr>
          <w:rFonts w:eastAsia="Times New Roman" w:cs="Times New Roman"/>
          <w:sz w:val="24"/>
          <w:szCs w:val="24"/>
        </w:rPr>
      </w:pPr>
      <w:r w:rsidRPr="00A54CB9">
        <w:rPr>
          <w:rFonts w:eastAsia="Times New Roman" w:cs="Times New Roman"/>
          <w:color w:val="000000"/>
          <w:sz w:val="24"/>
          <w:szCs w:val="24"/>
        </w:rPr>
        <w:t>We note, however, that six percent is a lower threshold as many households are further strained by other non-discretionary expenses that are not captured by this data, and so this affordability gap is likely a conservative estimate. We note that this sum does not account for Georgia Power’s income-qualified discount of $33.50/month. We account for this separately as it represents one method for paying for this affordability gap and because we do not have data for the full enrollment in this program.</w:t>
      </w:r>
    </w:p>
    <w:p w14:paraId="2E799DEB" w14:textId="77777777" w:rsidR="00A54CB9" w:rsidRPr="00A54CB9" w:rsidRDefault="00A54CB9" w:rsidP="00A54CB9">
      <w:pPr>
        <w:spacing w:line="240" w:lineRule="auto"/>
        <w:ind w:left="0" w:firstLine="0"/>
        <w:contextualSpacing w:val="0"/>
        <w:jc w:val="center"/>
        <w:rPr>
          <w:rFonts w:eastAsia="Times New Roman" w:cs="Times New Roman"/>
          <w:sz w:val="24"/>
          <w:szCs w:val="24"/>
        </w:rPr>
      </w:pPr>
      <w:r w:rsidRPr="00A54CB9">
        <w:rPr>
          <w:rFonts w:ascii="Arial" w:eastAsia="Times New Roman" w:hAnsi="Arial" w:cs="Arial"/>
          <w:noProof/>
          <w:color w:val="000000"/>
          <w:sz w:val="22"/>
          <w:bdr w:val="none" w:sz="0" w:space="0" w:color="auto" w:frame="1"/>
        </w:rPr>
        <w:drawing>
          <wp:inline distT="0" distB="0" distL="0" distR="0" wp14:anchorId="78C01437" wp14:editId="6962D3AD">
            <wp:extent cx="4800600" cy="2390775"/>
            <wp:effectExtent l="0" t="0" r="0" b="9525"/>
            <wp:docPr id="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00600" cy="2390775"/>
                    </a:xfrm>
                    <a:prstGeom prst="rect">
                      <a:avLst/>
                    </a:prstGeom>
                    <a:noFill/>
                    <a:ln>
                      <a:noFill/>
                    </a:ln>
                  </pic:spPr>
                </pic:pic>
              </a:graphicData>
            </a:graphic>
          </wp:inline>
        </w:drawing>
      </w:r>
    </w:p>
    <w:p w14:paraId="0AAC198A" w14:textId="77777777" w:rsidR="00A54CB9" w:rsidRPr="00A54CB9" w:rsidRDefault="00A54CB9" w:rsidP="009D4380">
      <w:pPr>
        <w:spacing w:before="240"/>
        <w:ind w:firstLine="0"/>
        <w:contextualSpacing w:val="0"/>
        <w:jc w:val="both"/>
        <w:rPr>
          <w:rFonts w:eastAsia="Times New Roman" w:cs="Times New Roman"/>
          <w:sz w:val="24"/>
          <w:szCs w:val="24"/>
        </w:rPr>
      </w:pPr>
      <w:r w:rsidRPr="00A54CB9">
        <w:rPr>
          <w:rFonts w:eastAsia="Times New Roman" w:cs="Times New Roman"/>
          <w:b/>
          <w:bCs/>
          <w:color w:val="000000"/>
          <w:sz w:val="24"/>
          <w:szCs w:val="24"/>
        </w:rPr>
        <w:t xml:space="preserve">Figure 2: </w:t>
      </w:r>
      <w:r w:rsidRPr="00A54CB9">
        <w:rPr>
          <w:rFonts w:eastAsia="Times New Roman" w:cs="Times New Roman"/>
          <w:color w:val="000000"/>
          <w:sz w:val="24"/>
          <w:szCs w:val="24"/>
        </w:rPr>
        <w:t>Cumulative affordability gap for households within federal poverty level brackets.</w:t>
      </w:r>
    </w:p>
    <w:p w14:paraId="792BF356" w14:textId="5948ECE3" w:rsidR="009D4380" w:rsidRPr="009D4380" w:rsidRDefault="009D4380" w:rsidP="009D4380">
      <w:pPr>
        <w:pStyle w:val="Question"/>
        <w:numPr>
          <w:ilvl w:val="0"/>
          <w:numId w:val="10"/>
        </w:numPr>
        <w:ind w:left="1080" w:hanging="720"/>
        <w:contextualSpacing w:val="0"/>
        <w:jc w:val="both"/>
        <w:rPr>
          <w:rFonts w:eastAsia="Times New Roman" w:cs="Times New Roman"/>
          <w:sz w:val="24"/>
          <w:szCs w:val="24"/>
        </w:rPr>
      </w:pPr>
      <w:r>
        <w:t>What are energy bills spent on?</w:t>
      </w:r>
    </w:p>
    <w:p w14:paraId="7D922EDB" w14:textId="5E3628A6" w:rsidR="00F72DA0" w:rsidRPr="00F72DA0" w:rsidRDefault="00A54CB9" w:rsidP="00F72DA0">
      <w:pPr>
        <w:pStyle w:val="ListParagraph"/>
        <w:numPr>
          <w:ilvl w:val="0"/>
          <w:numId w:val="11"/>
        </w:numPr>
        <w:ind w:left="1080" w:hanging="720"/>
        <w:contextualSpacing w:val="0"/>
        <w:jc w:val="both"/>
        <w:rPr>
          <w:rFonts w:eastAsia="Times New Roman" w:cs="Times New Roman"/>
          <w:color w:val="000000"/>
          <w:sz w:val="24"/>
          <w:szCs w:val="24"/>
        </w:rPr>
      </w:pPr>
      <w:r w:rsidRPr="00A1299E">
        <w:rPr>
          <w:rFonts w:eastAsia="Times New Roman" w:cs="Times New Roman"/>
          <w:color w:val="000000"/>
          <w:sz w:val="24"/>
          <w:szCs w:val="24"/>
        </w:rPr>
        <w:t xml:space="preserve">The vast majority of spending for energy is for electricity, as seen in Figure 3. Nearly half of energy bills (47%) are for space heating and space cooling in nearly equal parts ($1.3 billion and $1.15 billion total). As such, sealing the envelope of homes and </w:t>
      </w:r>
      <w:r w:rsidRPr="00A1299E">
        <w:rPr>
          <w:rFonts w:eastAsia="Times New Roman" w:cs="Times New Roman"/>
          <w:color w:val="000000"/>
          <w:sz w:val="24"/>
          <w:szCs w:val="24"/>
        </w:rPr>
        <w:lastRenderedPageBreak/>
        <w:t>improving the efficiency of heating and cooling systems, in most cases at the same time with modern heat pumps, is a major bill reduction strategy given their large gains in efficiency. Water heating is the next largest end use and also a key appliance to retrofit given recent advances with heat pump water heaters and the potential for load shifting with water heaters.</w:t>
      </w:r>
      <w:r w:rsidR="00A40D4F">
        <w:rPr>
          <w:rFonts w:eastAsia="Times New Roman" w:cs="Times New Roman"/>
          <w:color w:val="000000"/>
          <w:sz w:val="24"/>
          <w:szCs w:val="24"/>
        </w:rPr>
        <w:t xml:space="preserve"> </w:t>
      </w:r>
    </w:p>
    <w:p w14:paraId="27639788" w14:textId="77777777" w:rsidR="00A40D4F" w:rsidRDefault="00A40D4F" w:rsidP="00F72DA0">
      <w:pPr>
        <w:pStyle w:val="ListParagraph"/>
        <w:ind w:left="1080" w:firstLine="0"/>
        <w:contextualSpacing w:val="0"/>
        <w:jc w:val="both"/>
        <w:rPr>
          <w:rFonts w:eastAsia="Times New Roman" w:cs="Times New Roman"/>
          <w:color w:val="000000"/>
          <w:sz w:val="24"/>
          <w:szCs w:val="24"/>
        </w:rPr>
      </w:pPr>
    </w:p>
    <w:p w14:paraId="60DA74BB" w14:textId="77777777" w:rsidR="00F72DA0" w:rsidRDefault="00F72DA0" w:rsidP="00F72DA0">
      <w:pPr>
        <w:pStyle w:val="ListParagraph"/>
        <w:ind w:left="1080" w:firstLine="0"/>
        <w:contextualSpacing w:val="0"/>
        <w:jc w:val="both"/>
        <w:rPr>
          <w:rFonts w:eastAsia="Times New Roman" w:cs="Times New Roman"/>
          <w:color w:val="000000"/>
          <w:sz w:val="24"/>
          <w:szCs w:val="24"/>
        </w:rPr>
      </w:pPr>
    </w:p>
    <w:p w14:paraId="3130F7BD" w14:textId="77777777" w:rsidR="00F72DA0" w:rsidRDefault="00F72DA0" w:rsidP="00F72DA0">
      <w:pPr>
        <w:pStyle w:val="ListParagraph"/>
        <w:ind w:left="1080" w:firstLine="0"/>
        <w:contextualSpacing w:val="0"/>
        <w:jc w:val="both"/>
        <w:rPr>
          <w:rFonts w:eastAsia="Times New Roman" w:cs="Times New Roman"/>
          <w:color w:val="000000"/>
          <w:sz w:val="24"/>
          <w:szCs w:val="24"/>
        </w:rPr>
      </w:pPr>
    </w:p>
    <w:p w14:paraId="51F1DCC7" w14:textId="77777777" w:rsidR="00F72DA0" w:rsidRDefault="00F72DA0" w:rsidP="00F72DA0">
      <w:pPr>
        <w:pStyle w:val="ListParagraph"/>
        <w:ind w:left="1080" w:firstLine="0"/>
        <w:contextualSpacing w:val="0"/>
        <w:jc w:val="both"/>
        <w:rPr>
          <w:rFonts w:eastAsia="Times New Roman" w:cs="Times New Roman"/>
          <w:color w:val="000000"/>
          <w:sz w:val="24"/>
          <w:szCs w:val="24"/>
        </w:rPr>
      </w:pPr>
    </w:p>
    <w:p w14:paraId="11B3BCD5" w14:textId="77777777" w:rsidR="00F72DA0" w:rsidRPr="00F72DA0" w:rsidRDefault="00F72DA0" w:rsidP="00F72DA0">
      <w:pPr>
        <w:pStyle w:val="ListParagraph"/>
        <w:ind w:left="1080" w:firstLine="0"/>
        <w:contextualSpacing w:val="0"/>
        <w:jc w:val="both"/>
        <w:rPr>
          <w:rFonts w:eastAsia="Times New Roman" w:cs="Times New Roman"/>
          <w:color w:val="000000"/>
          <w:sz w:val="24"/>
          <w:szCs w:val="24"/>
        </w:rPr>
      </w:pPr>
    </w:p>
    <w:p w14:paraId="61E67F46" w14:textId="77777777" w:rsidR="00A40D4F" w:rsidRDefault="00A40D4F" w:rsidP="00A40D4F">
      <w:pPr>
        <w:pStyle w:val="ListParagraph"/>
        <w:ind w:left="1080" w:firstLine="0"/>
        <w:contextualSpacing w:val="0"/>
        <w:jc w:val="both"/>
        <w:rPr>
          <w:rFonts w:eastAsia="Times New Roman" w:cs="Times New Roman"/>
          <w:color w:val="000000"/>
          <w:sz w:val="24"/>
          <w:szCs w:val="24"/>
        </w:rPr>
      </w:pPr>
    </w:p>
    <w:p w14:paraId="7B7177B7" w14:textId="77777777" w:rsidR="00A40D4F" w:rsidRDefault="00A40D4F" w:rsidP="00A40D4F">
      <w:pPr>
        <w:pStyle w:val="ListParagraph"/>
        <w:ind w:left="1080" w:firstLine="0"/>
        <w:contextualSpacing w:val="0"/>
        <w:jc w:val="both"/>
        <w:rPr>
          <w:rFonts w:eastAsia="Times New Roman" w:cs="Times New Roman"/>
          <w:color w:val="000000"/>
          <w:sz w:val="24"/>
          <w:szCs w:val="24"/>
        </w:rPr>
      </w:pPr>
    </w:p>
    <w:p w14:paraId="444ED342" w14:textId="77777777" w:rsidR="00A40D4F" w:rsidRDefault="00A40D4F" w:rsidP="00A40D4F">
      <w:pPr>
        <w:pStyle w:val="ListParagraph"/>
        <w:ind w:left="1080" w:firstLine="0"/>
        <w:contextualSpacing w:val="0"/>
        <w:jc w:val="both"/>
        <w:rPr>
          <w:rFonts w:eastAsia="Times New Roman" w:cs="Times New Roman"/>
          <w:color w:val="000000"/>
          <w:sz w:val="24"/>
          <w:szCs w:val="24"/>
        </w:rPr>
      </w:pPr>
    </w:p>
    <w:p w14:paraId="29E1C53A" w14:textId="77777777" w:rsidR="00A40D4F" w:rsidRPr="009D4380" w:rsidRDefault="00A40D4F" w:rsidP="00A40D4F">
      <w:pPr>
        <w:pStyle w:val="ListParagraph"/>
        <w:ind w:left="1080" w:firstLine="0"/>
        <w:contextualSpacing w:val="0"/>
        <w:jc w:val="both"/>
        <w:rPr>
          <w:rFonts w:eastAsia="Times New Roman" w:cs="Times New Roman"/>
          <w:sz w:val="24"/>
          <w:szCs w:val="24"/>
        </w:rPr>
      </w:pPr>
    </w:p>
    <w:p w14:paraId="214AEE22" w14:textId="0947389B" w:rsidR="009D4380" w:rsidRPr="009D4380" w:rsidRDefault="009D4380" w:rsidP="009D4380">
      <w:pPr>
        <w:pStyle w:val="ListParagraph"/>
        <w:ind w:left="1080" w:firstLine="0"/>
        <w:contextualSpacing w:val="0"/>
        <w:jc w:val="both"/>
        <w:rPr>
          <w:rFonts w:eastAsia="Times New Roman" w:cs="Times New Roman"/>
          <w:sz w:val="24"/>
          <w:szCs w:val="24"/>
        </w:rPr>
      </w:pPr>
      <w:r w:rsidRPr="00A54CB9">
        <w:rPr>
          <w:rFonts w:ascii="Arial" w:eastAsia="Times New Roman" w:hAnsi="Arial" w:cs="Arial"/>
          <w:noProof/>
          <w:color w:val="000000"/>
          <w:sz w:val="22"/>
          <w:bdr w:val="none" w:sz="0" w:space="0" w:color="auto" w:frame="1"/>
        </w:rPr>
        <w:drawing>
          <wp:anchor distT="0" distB="0" distL="114300" distR="114300" simplePos="0" relativeHeight="251658240" behindDoc="0" locked="0" layoutInCell="1" allowOverlap="1" wp14:anchorId="0C534EC7" wp14:editId="6CB55300">
            <wp:simplePos x="0" y="0"/>
            <wp:positionH relativeFrom="column">
              <wp:posOffset>685800</wp:posOffset>
            </wp:positionH>
            <wp:positionV relativeFrom="paragraph">
              <wp:posOffset>-2667000</wp:posOffset>
            </wp:positionV>
            <wp:extent cx="4400550" cy="2905125"/>
            <wp:effectExtent l="0" t="0" r="0" b="9525"/>
            <wp:wrapNone/>
            <wp:docPr id="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00550" cy="2905125"/>
                    </a:xfrm>
                    <a:prstGeom prst="rect">
                      <a:avLst/>
                    </a:prstGeom>
                    <a:noFill/>
                    <a:ln>
                      <a:noFill/>
                    </a:ln>
                  </pic:spPr>
                </pic:pic>
              </a:graphicData>
            </a:graphic>
          </wp:anchor>
        </w:drawing>
      </w:r>
    </w:p>
    <w:p w14:paraId="6E9FD0C9" w14:textId="77777777" w:rsidR="009D4380" w:rsidRDefault="00A54CB9" w:rsidP="009D4380">
      <w:pPr>
        <w:pStyle w:val="ListParagraph"/>
        <w:ind w:left="1080" w:firstLine="0"/>
        <w:contextualSpacing w:val="0"/>
        <w:jc w:val="both"/>
        <w:rPr>
          <w:rFonts w:eastAsia="Times New Roman" w:cs="Times New Roman"/>
          <w:color w:val="000000"/>
          <w:sz w:val="24"/>
          <w:szCs w:val="24"/>
        </w:rPr>
      </w:pPr>
      <w:r w:rsidRPr="009D4380">
        <w:rPr>
          <w:rFonts w:eastAsia="Times New Roman" w:cs="Times New Roman"/>
          <w:b/>
          <w:bCs/>
          <w:color w:val="000000"/>
          <w:sz w:val="24"/>
          <w:szCs w:val="24"/>
        </w:rPr>
        <w:t xml:space="preserve">Figure 3: </w:t>
      </w:r>
      <w:r w:rsidRPr="009D4380">
        <w:rPr>
          <w:rFonts w:eastAsia="Times New Roman" w:cs="Times New Roman"/>
          <w:color w:val="000000"/>
          <w:sz w:val="24"/>
          <w:szCs w:val="24"/>
        </w:rPr>
        <w:t>Total home energy costs broken down by end use (colors) and energy source.</w:t>
      </w:r>
    </w:p>
    <w:p w14:paraId="61B2D26A" w14:textId="0F23E1F3" w:rsidR="00A54CB9" w:rsidRPr="009D4380" w:rsidRDefault="00A54CB9" w:rsidP="00BD5250">
      <w:pPr>
        <w:pStyle w:val="ListParagraph"/>
        <w:ind w:left="1080" w:firstLine="360"/>
        <w:contextualSpacing w:val="0"/>
        <w:jc w:val="both"/>
        <w:rPr>
          <w:rFonts w:eastAsia="Times New Roman" w:cs="Times New Roman"/>
          <w:sz w:val="24"/>
          <w:szCs w:val="24"/>
        </w:rPr>
      </w:pPr>
      <w:r w:rsidRPr="00A54CB9">
        <w:rPr>
          <w:rFonts w:eastAsia="Times New Roman" w:cs="Times New Roman"/>
          <w:color w:val="000000"/>
          <w:sz w:val="24"/>
          <w:szCs w:val="24"/>
        </w:rPr>
        <w:t>We note that energy costs for transportation are outside the scope of this testimony. However, with the growth of affordable electric vehicles, the reduction in annual costs to charge an EV compared to fueling an internal combustion engine makes a substantial impact on household budgets. Moreover, the charging of EVs is highly flexible and can result in greater reductions in transportation costs if a utility provides financial incentives to charge when energy is abundant.</w:t>
      </w:r>
    </w:p>
    <w:p w14:paraId="348C3344" w14:textId="34D3D931" w:rsidR="009D4380" w:rsidRPr="009D4380" w:rsidRDefault="009D4380" w:rsidP="009D4380">
      <w:pPr>
        <w:pStyle w:val="Question"/>
        <w:numPr>
          <w:ilvl w:val="0"/>
          <w:numId w:val="10"/>
        </w:numPr>
        <w:ind w:left="1080" w:hanging="720"/>
        <w:contextualSpacing w:val="0"/>
        <w:jc w:val="both"/>
        <w:rPr>
          <w:rFonts w:eastAsia="Times New Roman" w:cs="Times New Roman"/>
          <w:sz w:val="24"/>
          <w:szCs w:val="24"/>
        </w:rPr>
      </w:pPr>
      <w:r>
        <w:t>Is there sufficient bill assistance available from existing programs?</w:t>
      </w:r>
    </w:p>
    <w:p w14:paraId="22072704" w14:textId="4EEE08B1" w:rsidR="00953C5C" w:rsidRPr="00A1299E" w:rsidRDefault="00A54CB9" w:rsidP="00953C5C">
      <w:pPr>
        <w:pStyle w:val="ListParagraph"/>
        <w:numPr>
          <w:ilvl w:val="0"/>
          <w:numId w:val="11"/>
        </w:numPr>
        <w:ind w:left="1080" w:hanging="720"/>
        <w:contextualSpacing w:val="0"/>
        <w:jc w:val="both"/>
        <w:rPr>
          <w:rFonts w:eastAsia="Times New Roman" w:cs="Times New Roman"/>
          <w:sz w:val="24"/>
          <w:szCs w:val="24"/>
        </w:rPr>
      </w:pPr>
      <w:r w:rsidRPr="00A1299E">
        <w:rPr>
          <w:rFonts w:eastAsia="Times New Roman" w:cs="Times New Roman"/>
          <w:color w:val="000000"/>
          <w:sz w:val="24"/>
          <w:szCs w:val="24"/>
        </w:rPr>
        <w:t xml:space="preserve">No. </w:t>
      </w:r>
      <w:r w:rsidR="00953C5C" w:rsidRPr="00A1299E">
        <w:rPr>
          <w:rFonts w:eastAsia="Times New Roman" w:cs="Times New Roman"/>
          <w:color w:val="000000"/>
          <w:sz w:val="24"/>
          <w:szCs w:val="24"/>
        </w:rPr>
        <w:t xml:space="preserve">This affordability gap estimates an annual sum that must be paid, whether it is through bill assistance, increased investments in demand side LMI bill reduction, or through accounts going into arrears carried by the rest of ratepayers. While bill assistance crucially provides direct financial support to make bills more affordable, </w:t>
      </w:r>
      <w:r w:rsidR="00953C5C" w:rsidRPr="00A1299E">
        <w:rPr>
          <w:rFonts w:eastAsia="Times New Roman" w:cs="Times New Roman"/>
          <w:color w:val="000000"/>
          <w:sz w:val="24"/>
          <w:szCs w:val="24"/>
        </w:rPr>
        <w:lastRenderedPageBreak/>
        <w:t>current programs cannot cover the entire affordability gap. First, Georgia Power offers $33.50 per month as an income-qualified discount for qualified households, which can substantially decrease the affordability gap. However, not everyone who is cost burdened qualifies for this discount. Only a small subset of households that are energy cost burdened qualify for this discount.</w:t>
      </w:r>
      <w:r w:rsidR="00F72DA0">
        <w:rPr>
          <w:rStyle w:val="FootnoteReference"/>
          <w:rFonts w:eastAsia="Times New Roman" w:cs="Times New Roman"/>
          <w:color w:val="000000"/>
          <w:sz w:val="24"/>
          <w:szCs w:val="24"/>
        </w:rPr>
        <w:footnoteReference w:id="8"/>
      </w:r>
      <w:r w:rsidR="00953C5C" w:rsidRPr="00A1299E">
        <w:rPr>
          <w:rFonts w:eastAsia="Times New Roman" w:cs="Times New Roman"/>
          <w:color w:val="000000"/>
          <w:sz w:val="24"/>
          <w:szCs w:val="24"/>
        </w:rPr>
        <w:t> </w:t>
      </w:r>
    </w:p>
    <w:p w14:paraId="077097DA" w14:textId="69DDAEDD" w:rsidR="00953C5C" w:rsidRPr="00A1299E" w:rsidRDefault="00953C5C" w:rsidP="002E7471">
      <w:pPr>
        <w:pStyle w:val="ListParagraph"/>
        <w:ind w:left="1080" w:firstLine="360"/>
        <w:contextualSpacing w:val="0"/>
        <w:jc w:val="both"/>
        <w:rPr>
          <w:rFonts w:eastAsia="Times New Roman" w:cs="Times New Roman"/>
          <w:color w:val="000000"/>
          <w:sz w:val="24"/>
          <w:szCs w:val="24"/>
        </w:rPr>
      </w:pPr>
      <w:r w:rsidRPr="00A1299E">
        <w:rPr>
          <w:rFonts w:eastAsia="Times New Roman" w:cs="Times New Roman"/>
          <w:color w:val="000000"/>
          <w:sz w:val="24"/>
          <w:szCs w:val="24"/>
        </w:rPr>
        <w:t>Outside of this discount, multiple state and federal programs provide energy bills assistance for low-income customers. The largest source of funding to our knowledge is the federal Low-Income Home Energy Assistance Program (LIHEAP), which distributed roughly $83 million for heating and cooling assistance for FY 2025.</w:t>
      </w:r>
      <w:r w:rsidR="00F72DA0">
        <w:rPr>
          <w:rStyle w:val="FootnoteReference"/>
          <w:rFonts w:eastAsia="Times New Roman" w:cs="Times New Roman"/>
          <w:color w:val="000000"/>
          <w:sz w:val="24"/>
          <w:szCs w:val="24"/>
        </w:rPr>
        <w:footnoteReference w:id="9"/>
      </w:r>
      <w:r w:rsidRPr="00A1299E">
        <w:rPr>
          <w:rFonts w:eastAsia="Times New Roman" w:cs="Times New Roman"/>
          <w:color w:val="000000"/>
          <w:sz w:val="24"/>
          <w:szCs w:val="24"/>
        </w:rPr>
        <w:t xml:space="preserve"> We note this sum can only cover 15 percent of the entire affordability gap</w:t>
      </w:r>
    </w:p>
    <w:p w14:paraId="4B3F2D31" w14:textId="3709FE32" w:rsidR="00953C5C" w:rsidRPr="00A40D4F" w:rsidRDefault="00A40D4F" w:rsidP="00A40D4F">
      <w:pPr>
        <w:pStyle w:val="Question"/>
        <w:numPr>
          <w:ilvl w:val="0"/>
          <w:numId w:val="10"/>
        </w:numPr>
        <w:ind w:left="1080" w:hanging="720"/>
        <w:contextualSpacing w:val="0"/>
        <w:jc w:val="both"/>
        <w:rPr>
          <w:rFonts w:eastAsia="Times New Roman" w:cs="Times New Roman"/>
          <w:sz w:val="24"/>
          <w:szCs w:val="24"/>
        </w:rPr>
      </w:pPr>
      <w:r>
        <w:t>What are the geographic trends in energy affordability?</w:t>
      </w:r>
    </w:p>
    <w:p w14:paraId="57C4A19C" w14:textId="766D4252" w:rsidR="00A54CB9" w:rsidRPr="00953C5C" w:rsidRDefault="00A54CB9" w:rsidP="00953C5C">
      <w:pPr>
        <w:pStyle w:val="ListParagraph"/>
        <w:numPr>
          <w:ilvl w:val="0"/>
          <w:numId w:val="11"/>
        </w:numPr>
        <w:ind w:left="1080" w:hanging="720"/>
        <w:contextualSpacing w:val="0"/>
        <w:jc w:val="both"/>
        <w:rPr>
          <w:rFonts w:eastAsia="Times New Roman" w:cs="Times New Roman"/>
          <w:sz w:val="24"/>
          <w:szCs w:val="24"/>
        </w:rPr>
      </w:pPr>
      <w:r w:rsidRPr="00953C5C">
        <w:rPr>
          <w:rFonts w:eastAsia="Times New Roman" w:cs="Times New Roman"/>
          <w:color w:val="000000"/>
          <w:sz w:val="24"/>
          <w:szCs w:val="24"/>
        </w:rPr>
        <w:t xml:space="preserve">In </w:t>
      </w:r>
      <w:r w:rsidRPr="00953C5C">
        <w:rPr>
          <w:rFonts w:eastAsia="Times New Roman" w:cs="Times New Roman"/>
          <w:b/>
          <w:bCs/>
          <w:color w:val="000000"/>
          <w:sz w:val="24"/>
          <w:szCs w:val="24"/>
        </w:rPr>
        <w:t>Figure 4</w:t>
      </w:r>
      <w:r w:rsidRPr="00953C5C">
        <w:rPr>
          <w:rFonts w:eastAsia="Times New Roman" w:cs="Times New Roman"/>
          <w:color w:val="000000"/>
          <w:sz w:val="24"/>
          <w:szCs w:val="24"/>
        </w:rPr>
        <w:t xml:space="preserve">, we map affordability statistics across Georgia at the census tract scale. While costs are lower in the south, incomes are also lower so that communities with very high typical costs burdens are found throughout the territory. The same figures are zoomed in for the Atlanta region in </w:t>
      </w:r>
      <w:r w:rsidRPr="00953C5C">
        <w:rPr>
          <w:rFonts w:eastAsia="Times New Roman" w:cs="Times New Roman"/>
          <w:b/>
          <w:bCs/>
          <w:color w:val="000000"/>
          <w:sz w:val="24"/>
          <w:szCs w:val="24"/>
        </w:rPr>
        <w:t>Figure 5</w:t>
      </w:r>
      <w:r w:rsidRPr="00953C5C">
        <w:rPr>
          <w:rFonts w:eastAsia="Times New Roman" w:cs="Times New Roman"/>
          <w:color w:val="000000"/>
          <w:sz w:val="24"/>
          <w:szCs w:val="24"/>
        </w:rPr>
        <w:t>, where roughly half of the customers live. This figure highlights that much of the affordability burden is found concentrated in certain communities in the Atlanta region.  In these more urban areas, cost burdened households more often rent their homes and live in multifamily housing units. Outside of Atlanta, cost burdens are more often found in single family homes. We further note that certain segments are typically more burdened. For example, households in mobile homes represent 6 percent of the total, but 12 percent of the total gap. As such, programs targeting these households in these homes can be effective for improved affordability.</w:t>
      </w:r>
    </w:p>
    <w:p w14:paraId="2D78B45E" w14:textId="77777777" w:rsidR="00A54CB9" w:rsidRPr="00A54CB9" w:rsidRDefault="00A54CB9" w:rsidP="00F72DA0">
      <w:pPr>
        <w:spacing w:line="480" w:lineRule="auto"/>
        <w:ind w:left="0" w:firstLine="0"/>
        <w:contextualSpacing w:val="0"/>
        <w:jc w:val="center"/>
        <w:rPr>
          <w:rFonts w:eastAsia="Times New Roman" w:cs="Times New Roman"/>
          <w:sz w:val="24"/>
          <w:szCs w:val="24"/>
        </w:rPr>
      </w:pPr>
      <w:r w:rsidRPr="00A54CB9">
        <w:rPr>
          <w:rFonts w:eastAsia="Times New Roman" w:cs="Times New Roman"/>
          <w:noProof/>
          <w:color w:val="000000"/>
          <w:sz w:val="24"/>
          <w:szCs w:val="24"/>
          <w:bdr w:val="none" w:sz="0" w:space="0" w:color="auto" w:frame="1"/>
        </w:rPr>
        <w:lastRenderedPageBreak/>
        <w:drawing>
          <wp:inline distT="0" distB="0" distL="0" distR="0" wp14:anchorId="6079DBAB" wp14:editId="31E22533">
            <wp:extent cx="5125281" cy="4591050"/>
            <wp:effectExtent l="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29108" cy="4594478"/>
                    </a:xfrm>
                    <a:prstGeom prst="rect">
                      <a:avLst/>
                    </a:prstGeom>
                    <a:noFill/>
                    <a:ln>
                      <a:noFill/>
                    </a:ln>
                  </pic:spPr>
                </pic:pic>
              </a:graphicData>
            </a:graphic>
          </wp:inline>
        </w:drawing>
      </w:r>
    </w:p>
    <w:p w14:paraId="0AAC33B2" w14:textId="77777777" w:rsidR="00A54CB9" w:rsidRPr="00A54CB9" w:rsidRDefault="00A54CB9" w:rsidP="00F72DA0">
      <w:pPr>
        <w:spacing w:line="480" w:lineRule="auto"/>
        <w:ind w:left="1080" w:firstLine="0"/>
        <w:contextualSpacing w:val="0"/>
        <w:jc w:val="both"/>
        <w:rPr>
          <w:rFonts w:eastAsia="Times New Roman" w:cs="Times New Roman"/>
          <w:sz w:val="24"/>
          <w:szCs w:val="24"/>
        </w:rPr>
      </w:pPr>
      <w:bookmarkStart w:id="7" w:name="_Hlk197081701"/>
      <w:r w:rsidRPr="00A54CB9">
        <w:rPr>
          <w:rFonts w:eastAsia="Times New Roman" w:cs="Times New Roman"/>
          <w:b/>
          <w:bCs/>
          <w:color w:val="000000"/>
          <w:sz w:val="24"/>
          <w:szCs w:val="24"/>
        </w:rPr>
        <w:t xml:space="preserve">Figure 4: </w:t>
      </w:r>
      <w:r w:rsidRPr="00A54CB9">
        <w:rPr>
          <w:rFonts w:eastAsia="Times New Roman" w:cs="Times New Roman"/>
          <w:color w:val="000000"/>
          <w:sz w:val="24"/>
          <w:szCs w:val="24"/>
        </w:rPr>
        <w:t>Geographic affordability trends for Georgia Power customers at census tract scale.</w:t>
      </w:r>
    </w:p>
    <w:bookmarkEnd w:id="7"/>
    <w:p w14:paraId="0B47FA53" w14:textId="77777777" w:rsidR="00A54CB9" w:rsidRPr="00A54CB9" w:rsidRDefault="00A54CB9" w:rsidP="00F72DA0">
      <w:pPr>
        <w:spacing w:line="480" w:lineRule="auto"/>
        <w:ind w:left="0" w:firstLine="0"/>
        <w:contextualSpacing w:val="0"/>
        <w:jc w:val="center"/>
        <w:rPr>
          <w:rFonts w:eastAsia="Times New Roman" w:cs="Times New Roman"/>
          <w:sz w:val="24"/>
          <w:szCs w:val="24"/>
        </w:rPr>
      </w:pPr>
      <w:r w:rsidRPr="00A54CB9">
        <w:rPr>
          <w:rFonts w:eastAsia="Times New Roman" w:cs="Times New Roman"/>
          <w:noProof/>
          <w:color w:val="000000"/>
          <w:sz w:val="24"/>
          <w:szCs w:val="24"/>
          <w:bdr w:val="none" w:sz="0" w:space="0" w:color="auto" w:frame="1"/>
        </w:rPr>
        <w:lastRenderedPageBreak/>
        <w:drawing>
          <wp:inline distT="0" distB="0" distL="0" distR="0" wp14:anchorId="4DB0A6AC" wp14:editId="098441EF">
            <wp:extent cx="4813185" cy="4305300"/>
            <wp:effectExtent l="0" t="0" r="6985" b="0"/>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20913" cy="4312212"/>
                    </a:xfrm>
                    <a:prstGeom prst="rect">
                      <a:avLst/>
                    </a:prstGeom>
                    <a:noFill/>
                    <a:ln>
                      <a:noFill/>
                    </a:ln>
                  </pic:spPr>
                </pic:pic>
              </a:graphicData>
            </a:graphic>
          </wp:inline>
        </w:drawing>
      </w:r>
    </w:p>
    <w:p w14:paraId="04D84F2D" w14:textId="1B216F07" w:rsidR="00F72DA0" w:rsidRPr="00F72DA0" w:rsidRDefault="00A54CB9" w:rsidP="00F72DA0">
      <w:pPr>
        <w:ind w:left="1080" w:firstLine="0"/>
        <w:contextualSpacing w:val="0"/>
        <w:jc w:val="both"/>
        <w:rPr>
          <w:rFonts w:eastAsia="Times New Roman" w:cs="Times New Roman"/>
          <w:sz w:val="24"/>
          <w:szCs w:val="24"/>
        </w:rPr>
      </w:pPr>
      <w:r w:rsidRPr="00A54CB9">
        <w:rPr>
          <w:rFonts w:eastAsia="Times New Roman" w:cs="Times New Roman"/>
          <w:b/>
          <w:bCs/>
          <w:color w:val="000000"/>
          <w:sz w:val="24"/>
          <w:szCs w:val="24"/>
        </w:rPr>
        <w:t xml:space="preserve">Figure 5: </w:t>
      </w:r>
      <w:r w:rsidRPr="00A54CB9">
        <w:rPr>
          <w:rFonts w:eastAsia="Times New Roman" w:cs="Times New Roman"/>
          <w:color w:val="000000"/>
          <w:sz w:val="24"/>
          <w:szCs w:val="24"/>
        </w:rPr>
        <w:t>Geographic affordability trends for Georgia Power customers in the Atlanta region at census tract scale. Black outlines are county borders.</w:t>
      </w:r>
      <w:r w:rsidR="00F72DA0">
        <w:rPr>
          <w:caps/>
          <w:szCs w:val="32"/>
          <w:u w:val="single"/>
        </w:rPr>
        <w:br w:type="page"/>
      </w:r>
    </w:p>
    <w:p w14:paraId="58FB2B63" w14:textId="2C0632D1" w:rsidR="00953C5C" w:rsidRPr="00495704" w:rsidRDefault="00A40D4F" w:rsidP="00495704">
      <w:pPr>
        <w:pStyle w:val="Heading1"/>
        <w:numPr>
          <w:ilvl w:val="0"/>
          <w:numId w:val="9"/>
        </w:numPr>
        <w:spacing w:before="240" w:after="0"/>
        <w:rPr>
          <w:rFonts w:ascii="Times New Roman" w:hAnsi="Times New Roman"/>
          <w:caps/>
          <w:color w:val="auto"/>
          <w:sz w:val="23"/>
          <w:szCs w:val="32"/>
          <w:u w:val="single"/>
        </w:rPr>
      </w:pPr>
      <w:bookmarkStart w:id="8" w:name="_Toc197081175"/>
      <w:r>
        <w:rPr>
          <w:rFonts w:ascii="Times New Roman" w:hAnsi="Times New Roman"/>
          <w:caps/>
          <w:color w:val="auto"/>
          <w:sz w:val="23"/>
          <w:szCs w:val="32"/>
          <w:u w:val="single"/>
        </w:rPr>
        <w:lastRenderedPageBreak/>
        <w:t>reducing the affordability gap and meeting energy needs through targeted energy investments</w:t>
      </w:r>
      <w:bookmarkEnd w:id="8"/>
    </w:p>
    <w:p w14:paraId="35348026" w14:textId="6176DDC6" w:rsidR="00A54CB9" w:rsidRPr="00A40D4F" w:rsidRDefault="00A40D4F" w:rsidP="00A40D4F">
      <w:pPr>
        <w:pStyle w:val="Question"/>
        <w:numPr>
          <w:ilvl w:val="0"/>
          <w:numId w:val="10"/>
        </w:numPr>
        <w:ind w:left="1080" w:hanging="720"/>
        <w:contextualSpacing w:val="0"/>
        <w:jc w:val="both"/>
        <w:rPr>
          <w:rFonts w:eastAsia="Times New Roman" w:cs="Times New Roman"/>
          <w:sz w:val="24"/>
          <w:szCs w:val="24"/>
        </w:rPr>
      </w:pPr>
      <w:r>
        <w:t>How does affordability impact resource planning?</w:t>
      </w:r>
    </w:p>
    <w:p w14:paraId="3B5EDD8D" w14:textId="48B3E60F" w:rsidR="00A54CB9" w:rsidRPr="00953C5C" w:rsidRDefault="00A54CB9" w:rsidP="00953C5C">
      <w:pPr>
        <w:pStyle w:val="ListParagraph"/>
        <w:numPr>
          <w:ilvl w:val="0"/>
          <w:numId w:val="11"/>
        </w:numPr>
        <w:ind w:left="1080" w:hanging="720"/>
        <w:contextualSpacing w:val="0"/>
        <w:jc w:val="both"/>
        <w:rPr>
          <w:rFonts w:eastAsia="Times New Roman" w:cs="Times New Roman"/>
          <w:sz w:val="24"/>
          <w:szCs w:val="24"/>
        </w:rPr>
      </w:pPr>
      <w:r w:rsidRPr="00953C5C">
        <w:rPr>
          <w:rFonts w:eastAsia="Times New Roman" w:cs="Times New Roman"/>
          <w:color w:val="000000"/>
          <w:sz w:val="24"/>
          <w:szCs w:val="24"/>
        </w:rPr>
        <w:t xml:space="preserve">Currently, resource planning is conducted separately from discussions of how revenue is collected. However, this </w:t>
      </w:r>
      <w:proofErr w:type="gramStart"/>
      <w:r w:rsidRPr="00953C5C">
        <w:rPr>
          <w:rFonts w:eastAsia="Times New Roman" w:cs="Times New Roman"/>
          <w:color w:val="000000"/>
          <w:sz w:val="24"/>
          <w:szCs w:val="24"/>
        </w:rPr>
        <w:t>disconnect</w:t>
      </w:r>
      <w:proofErr w:type="gramEnd"/>
      <w:r w:rsidRPr="00953C5C">
        <w:rPr>
          <w:rFonts w:eastAsia="Times New Roman" w:cs="Times New Roman"/>
          <w:color w:val="000000"/>
          <w:sz w:val="24"/>
          <w:szCs w:val="24"/>
        </w:rPr>
        <w:t xml:space="preserve"> </w:t>
      </w:r>
      <w:proofErr w:type="gramStart"/>
      <w:r w:rsidRPr="00953C5C">
        <w:rPr>
          <w:rFonts w:eastAsia="Times New Roman" w:cs="Times New Roman"/>
          <w:color w:val="000000"/>
          <w:sz w:val="24"/>
          <w:szCs w:val="24"/>
        </w:rPr>
        <w:t>misses</w:t>
      </w:r>
      <w:proofErr w:type="gramEnd"/>
      <w:r w:rsidRPr="00953C5C">
        <w:rPr>
          <w:rFonts w:eastAsia="Times New Roman" w:cs="Times New Roman"/>
          <w:color w:val="000000"/>
          <w:sz w:val="24"/>
          <w:szCs w:val="24"/>
        </w:rPr>
        <w:t xml:space="preserve"> opportunities to identify strategies that can simultaneously improve affordability and meet energy needs. This is because resources that directly impact customer bills are typically owned, at least in part, by customers and excluded from these resource plans. In the following questions, we identify how energy and affordability can be improved through certain programs.</w:t>
      </w:r>
    </w:p>
    <w:p w14:paraId="76567800" w14:textId="6957752B" w:rsidR="00495704" w:rsidRPr="00A40D4F" w:rsidRDefault="00495704" w:rsidP="00495704">
      <w:pPr>
        <w:pStyle w:val="Question"/>
        <w:numPr>
          <w:ilvl w:val="0"/>
          <w:numId w:val="10"/>
        </w:numPr>
        <w:ind w:left="1080" w:hanging="720"/>
        <w:contextualSpacing w:val="0"/>
        <w:jc w:val="both"/>
        <w:rPr>
          <w:rFonts w:eastAsia="Times New Roman" w:cs="Times New Roman"/>
          <w:sz w:val="24"/>
          <w:szCs w:val="24"/>
        </w:rPr>
      </w:pPr>
      <w:r>
        <w:t xml:space="preserve">How does your testimony relate to demand-side resource cost tests? </w:t>
      </w:r>
    </w:p>
    <w:p w14:paraId="0C1A024E" w14:textId="2F6BE423" w:rsidR="00A54CB9" w:rsidRPr="00495704" w:rsidRDefault="00A54CB9" w:rsidP="00953C5C">
      <w:pPr>
        <w:pStyle w:val="ListParagraph"/>
        <w:numPr>
          <w:ilvl w:val="0"/>
          <w:numId w:val="11"/>
        </w:numPr>
        <w:ind w:left="1080" w:hanging="720"/>
        <w:contextualSpacing w:val="0"/>
        <w:jc w:val="both"/>
        <w:rPr>
          <w:rFonts w:eastAsia="Times New Roman" w:cs="Times New Roman"/>
          <w:sz w:val="24"/>
          <w:szCs w:val="24"/>
        </w:rPr>
      </w:pPr>
      <w:r w:rsidRPr="00953C5C">
        <w:rPr>
          <w:rFonts w:eastAsia="Times New Roman" w:cs="Times New Roman"/>
          <w:color w:val="000000"/>
          <w:sz w:val="24"/>
          <w:szCs w:val="24"/>
        </w:rPr>
        <w:t>There are multiple resource cost tests that Georgia Power estimates. However, the only results shown in the IRP itself are the Total Resource Cost (TRC) test and the Rate Impact Measure (RIM) test. The TRC ignores bill impacts and solely considers technology costs while the RIM test treats bill savings as a negative as it decreases revenue instead of a positive as adopters pay less. Neither test accurately captures the advantage of bill savings to customers adopting bill savings measures. Nor do they capture the benefits of demand-side programs that both help meet energy needs and reduce bills for the quarter of customers that do not have enough to pay their bills in the first place.</w:t>
      </w:r>
    </w:p>
    <w:p w14:paraId="0F2178DF" w14:textId="6EFCFDFD" w:rsidR="00495704" w:rsidRPr="00495704" w:rsidRDefault="00495704" w:rsidP="00495704">
      <w:pPr>
        <w:pStyle w:val="Question"/>
        <w:numPr>
          <w:ilvl w:val="0"/>
          <w:numId w:val="10"/>
        </w:numPr>
        <w:ind w:left="1080" w:hanging="720"/>
        <w:contextualSpacing w:val="0"/>
        <w:jc w:val="both"/>
        <w:rPr>
          <w:rFonts w:eastAsia="Times New Roman" w:cs="Times New Roman"/>
          <w:sz w:val="24"/>
          <w:szCs w:val="24"/>
        </w:rPr>
      </w:pPr>
      <w:r>
        <w:t xml:space="preserve">How can space heat pumps help address affordability and energy concerns? </w:t>
      </w:r>
    </w:p>
    <w:p w14:paraId="018ED4FC" w14:textId="34F616F3" w:rsidR="00953C5C" w:rsidRPr="00953C5C" w:rsidRDefault="00A54CB9" w:rsidP="00953C5C">
      <w:pPr>
        <w:pStyle w:val="ListParagraph"/>
        <w:numPr>
          <w:ilvl w:val="0"/>
          <w:numId w:val="11"/>
        </w:numPr>
        <w:ind w:left="1080" w:hanging="720"/>
        <w:contextualSpacing w:val="0"/>
        <w:jc w:val="both"/>
        <w:rPr>
          <w:rFonts w:eastAsia="Times New Roman" w:cs="Times New Roman"/>
          <w:sz w:val="24"/>
          <w:szCs w:val="24"/>
        </w:rPr>
      </w:pPr>
      <w:r w:rsidRPr="00953C5C">
        <w:rPr>
          <w:rFonts w:eastAsia="Times New Roman" w:cs="Times New Roman"/>
          <w:color w:val="000000"/>
          <w:sz w:val="24"/>
          <w:szCs w:val="24"/>
        </w:rPr>
        <w:t xml:space="preserve">As shown in </w:t>
      </w:r>
      <w:r w:rsidRPr="00953C5C">
        <w:rPr>
          <w:rFonts w:eastAsia="Times New Roman" w:cs="Times New Roman"/>
          <w:b/>
          <w:bCs/>
          <w:color w:val="000000"/>
          <w:sz w:val="24"/>
          <w:szCs w:val="24"/>
        </w:rPr>
        <w:t>Figure 3</w:t>
      </w:r>
      <w:r w:rsidRPr="00953C5C">
        <w:rPr>
          <w:rFonts w:eastAsia="Times New Roman" w:cs="Times New Roman"/>
          <w:color w:val="000000"/>
          <w:sz w:val="24"/>
          <w:szCs w:val="24"/>
        </w:rPr>
        <w:t xml:space="preserve">, nearly half of energy bills come from space heating and cooling. Georgia is already a leader in adoption of space heat pump technology, due in large part because it is economical. However, there are many that still use resistive heating or propane to heat their homes. These are disproportionately low-income households who lack the capital to make these improvements or do not own their own homes even when they pay for themselves through reduced energy bills. For example, using </w:t>
      </w:r>
      <w:r w:rsidRPr="00953C5C">
        <w:rPr>
          <w:rFonts w:eastAsia="Times New Roman" w:cs="Times New Roman"/>
          <w:color w:val="000000"/>
          <w:sz w:val="24"/>
          <w:szCs w:val="24"/>
        </w:rPr>
        <w:lastRenderedPageBreak/>
        <w:t>Residential Energy Consumption survey data collected through 2020,</w:t>
      </w:r>
      <w:r w:rsidR="00F72DA0">
        <w:rPr>
          <w:rStyle w:val="FootnoteReference"/>
          <w:rFonts w:eastAsia="Times New Roman" w:cs="Times New Roman"/>
          <w:color w:val="000000"/>
          <w:sz w:val="24"/>
          <w:szCs w:val="24"/>
        </w:rPr>
        <w:footnoteReference w:id="10"/>
      </w:r>
      <w:r w:rsidRPr="00953C5C">
        <w:rPr>
          <w:rFonts w:eastAsia="Times New Roman" w:cs="Times New Roman"/>
          <w:color w:val="000000"/>
          <w:sz w:val="24"/>
          <w:szCs w:val="24"/>
        </w:rPr>
        <w:t xml:space="preserve"> we find a disparity for those who use efficient heat pumps between higher and lower income households. Specifically, for just households that use electricity for heating, 44% of those with incomes greater than twice the federal poverty level households used heat pumps, while that number drops to 35% for households with incomes less than twice the federal poverty level. While both of these numbers are certainly higher now, these disparities may still remain. </w:t>
      </w:r>
    </w:p>
    <w:p w14:paraId="0AD00AF6" w14:textId="4D864AF5" w:rsidR="00A54CB9" w:rsidRPr="00953C5C" w:rsidRDefault="00A54CB9" w:rsidP="002E7471">
      <w:pPr>
        <w:pStyle w:val="ListParagraph"/>
        <w:ind w:left="1080" w:firstLine="360"/>
        <w:contextualSpacing w:val="0"/>
        <w:jc w:val="both"/>
        <w:rPr>
          <w:rFonts w:eastAsia="Times New Roman" w:cs="Times New Roman"/>
          <w:sz w:val="24"/>
          <w:szCs w:val="24"/>
        </w:rPr>
      </w:pPr>
      <w:r w:rsidRPr="00953C5C">
        <w:rPr>
          <w:rFonts w:eastAsia="Times New Roman" w:cs="Times New Roman"/>
          <w:color w:val="000000"/>
          <w:sz w:val="24"/>
          <w:szCs w:val="24"/>
        </w:rPr>
        <w:t>The penetration of heat pumps matters because they can provide large bills savings as shown in</w:t>
      </w:r>
      <w:r w:rsidR="00953C5C" w:rsidRPr="00953C5C">
        <w:rPr>
          <w:rFonts w:eastAsia="Times New Roman" w:cs="Times New Roman"/>
          <w:color w:val="000000"/>
          <w:sz w:val="24"/>
          <w:szCs w:val="24"/>
        </w:rPr>
        <w:t xml:space="preserve"> </w:t>
      </w:r>
      <w:r w:rsidRPr="00953C5C">
        <w:rPr>
          <w:rFonts w:eastAsia="Times New Roman" w:cs="Times New Roman"/>
          <w:b/>
          <w:bCs/>
          <w:color w:val="000000"/>
          <w:sz w:val="24"/>
          <w:szCs w:val="24"/>
        </w:rPr>
        <w:t>Figure 6</w:t>
      </w:r>
      <w:r w:rsidRPr="00953C5C">
        <w:rPr>
          <w:rFonts w:eastAsia="Times New Roman" w:cs="Times New Roman"/>
          <w:color w:val="000000"/>
          <w:sz w:val="24"/>
          <w:szCs w:val="24"/>
        </w:rPr>
        <w:t>. Currently, Georgia Power offers up to $1,000 in rebates for space heat pumps and further incentives from the Inflation Reduction Act through the Home Electrification and Appliance Rebates (HEAR) offer up to $8000 for income eligible households.</w:t>
      </w:r>
      <w:r w:rsidR="00F72DA0">
        <w:rPr>
          <w:rStyle w:val="FootnoteReference"/>
          <w:rFonts w:eastAsia="Times New Roman" w:cs="Times New Roman"/>
          <w:color w:val="000000"/>
          <w:sz w:val="24"/>
          <w:szCs w:val="24"/>
        </w:rPr>
        <w:footnoteReference w:id="11"/>
      </w:r>
    </w:p>
    <w:p w14:paraId="652DF8C6" w14:textId="3D41E1D1" w:rsidR="00A54CB9" w:rsidRPr="00A54CB9" w:rsidRDefault="00A54CB9" w:rsidP="00495704">
      <w:pPr>
        <w:spacing w:line="240" w:lineRule="auto"/>
        <w:ind w:left="0" w:firstLine="0"/>
        <w:contextualSpacing w:val="0"/>
        <w:jc w:val="center"/>
        <w:rPr>
          <w:rFonts w:eastAsia="Times New Roman" w:cs="Times New Roman"/>
          <w:sz w:val="24"/>
          <w:szCs w:val="24"/>
        </w:rPr>
      </w:pPr>
      <w:r w:rsidRPr="00A54CB9">
        <w:rPr>
          <w:rFonts w:ascii="Arial" w:eastAsia="Times New Roman" w:hAnsi="Arial" w:cs="Arial"/>
          <w:noProof/>
          <w:color w:val="000000"/>
          <w:sz w:val="22"/>
          <w:bdr w:val="none" w:sz="0" w:space="0" w:color="auto" w:frame="1"/>
        </w:rPr>
        <w:drawing>
          <wp:inline distT="0" distB="0" distL="0" distR="0" wp14:anchorId="770DC43D" wp14:editId="662E3D89">
            <wp:extent cx="4762500" cy="2847975"/>
            <wp:effectExtent l="0" t="0" r="0" b="9525"/>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62500" cy="2847975"/>
                    </a:xfrm>
                    <a:prstGeom prst="rect">
                      <a:avLst/>
                    </a:prstGeom>
                    <a:noFill/>
                    <a:ln>
                      <a:noFill/>
                    </a:ln>
                  </pic:spPr>
                </pic:pic>
              </a:graphicData>
            </a:graphic>
          </wp:inline>
        </w:drawing>
      </w:r>
    </w:p>
    <w:p w14:paraId="1F0A9434" w14:textId="77777777" w:rsidR="00495704" w:rsidRDefault="00A54CB9" w:rsidP="00495704">
      <w:pPr>
        <w:ind w:left="1080" w:firstLine="0"/>
        <w:contextualSpacing w:val="0"/>
        <w:jc w:val="both"/>
        <w:rPr>
          <w:rFonts w:eastAsia="Times New Roman" w:cs="Times New Roman"/>
          <w:sz w:val="24"/>
          <w:szCs w:val="24"/>
        </w:rPr>
      </w:pPr>
      <w:r w:rsidRPr="00A54CB9">
        <w:rPr>
          <w:rFonts w:eastAsia="Times New Roman" w:cs="Times New Roman"/>
          <w:b/>
          <w:bCs/>
          <w:color w:val="000000"/>
          <w:sz w:val="24"/>
          <w:szCs w:val="24"/>
        </w:rPr>
        <w:t xml:space="preserve">Figure 6: </w:t>
      </w:r>
      <w:r w:rsidRPr="00A54CB9">
        <w:rPr>
          <w:rFonts w:eastAsia="Times New Roman" w:cs="Times New Roman"/>
          <w:color w:val="000000"/>
          <w:sz w:val="24"/>
          <w:szCs w:val="24"/>
        </w:rPr>
        <w:t>Distribution of heating bill changes after heat pump conversion. Negative values represent savings. This does not include additional savings from upgrades to existing cooling systems. </w:t>
      </w:r>
    </w:p>
    <w:p w14:paraId="341CCE22" w14:textId="219CFFB5" w:rsidR="00A54CB9" w:rsidRDefault="00A54CB9" w:rsidP="00495704">
      <w:pPr>
        <w:ind w:left="1080" w:firstLine="0"/>
        <w:contextualSpacing w:val="0"/>
        <w:jc w:val="both"/>
        <w:rPr>
          <w:rFonts w:eastAsia="Times New Roman" w:cs="Times New Roman"/>
          <w:color w:val="000000"/>
          <w:sz w:val="24"/>
          <w:szCs w:val="24"/>
        </w:rPr>
      </w:pPr>
      <w:r w:rsidRPr="00A54CB9">
        <w:rPr>
          <w:rFonts w:eastAsia="Times New Roman" w:cs="Times New Roman"/>
          <w:color w:val="000000"/>
          <w:sz w:val="24"/>
          <w:szCs w:val="24"/>
        </w:rPr>
        <w:lastRenderedPageBreak/>
        <w:t>Vitally, upgrades from resistive to heat pump technology represent a large opportunity to minimize winter demand peaks. Simultaneously, due to increased efficiency for cooling as well, these conversions would result in reduced summer demand peaks as well.</w:t>
      </w:r>
    </w:p>
    <w:p w14:paraId="580D3727" w14:textId="773B23D1" w:rsidR="00495704" w:rsidRPr="00495704" w:rsidRDefault="00495704" w:rsidP="00495704">
      <w:pPr>
        <w:pStyle w:val="Question"/>
        <w:numPr>
          <w:ilvl w:val="0"/>
          <w:numId w:val="10"/>
        </w:numPr>
        <w:ind w:left="1080" w:hanging="720"/>
        <w:contextualSpacing w:val="0"/>
        <w:jc w:val="both"/>
        <w:rPr>
          <w:rFonts w:eastAsia="Times New Roman" w:cs="Times New Roman"/>
          <w:sz w:val="24"/>
          <w:szCs w:val="24"/>
        </w:rPr>
      </w:pPr>
      <w:r>
        <w:t xml:space="preserve">How can hot water heat pumps help address affordability and energy concerns? </w:t>
      </w:r>
    </w:p>
    <w:p w14:paraId="7AEE14D5" w14:textId="41BA0E8A" w:rsidR="00A54CB9" w:rsidRPr="002E7471" w:rsidRDefault="00A54CB9" w:rsidP="00953C5C">
      <w:pPr>
        <w:pStyle w:val="ListParagraph"/>
        <w:numPr>
          <w:ilvl w:val="0"/>
          <w:numId w:val="11"/>
        </w:numPr>
        <w:ind w:left="1080" w:hanging="720"/>
        <w:contextualSpacing w:val="0"/>
        <w:jc w:val="both"/>
        <w:rPr>
          <w:rFonts w:eastAsia="Times New Roman" w:cs="Times New Roman"/>
          <w:sz w:val="24"/>
          <w:szCs w:val="24"/>
        </w:rPr>
      </w:pPr>
      <w:r w:rsidRPr="00953C5C">
        <w:rPr>
          <w:rFonts w:eastAsia="Times New Roman" w:cs="Times New Roman"/>
          <w:color w:val="000000"/>
          <w:sz w:val="24"/>
          <w:szCs w:val="24"/>
        </w:rPr>
        <w:t>Hot water heaters are the third largest end use after space heating and cooling. Heat pump hot water heaters can be two to three times more efficient than resistive heating thus realizing large savings both for energy and cost. Moreover, they are flexible loads that can run at optimal times as water can be heated and stored with no impact on households. While I commend the $1,000 rebate for the adoption of heat pump hot water, there is a demand response opportunity being missed in which customers can be incentivized to allow the utility to manage their hot water heaters. While time-of-use rates exist, many households are not sophisticated enough to take advantage of them and a demand-side aggregator of these and smart thermostats would be able to more efficiently time hot water heating to achieve greater peak reduction and grid resilience. </w:t>
      </w:r>
    </w:p>
    <w:p w14:paraId="1AA22731" w14:textId="7F015DFB" w:rsidR="00A54CB9" w:rsidRPr="002E7471" w:rsidRDefault="002E7471" w:rsidP="002E7471">
      <w:pPr>
        <w:pStyle w:val="Question"/>
        <w:numPr>
          <w:ilvl w:val="0"/>
          <w:numId w:val="10"/>
        </w:numPr>
        <w:ind w:left="1080" w:hanging="720"/>
        <w:contextualSpacing w:val="0"/>
        <w:jc w:val="both"/>
        <w:rPr>
          <w:rFonts w:eastAsia="Times New Roman" w:cs="Times New Roman"/>
          <w:sz w:val="24"/>
          <w:szCs w:val="24"/>
        </w:rPr>
      </w:pPr>
      <w:r>
        <w:t xml:space="preserve">How can residential demand response help address affordability and energy concerns? </w:t>
      </w:r>
    </w:p>
    <w:p w14:paraId="59C6475C" w14:textId="4130341E" w:rsidR="00A54CB9" w:rsidRPr="002E7471" w:rsidRDefault="00A54CB9" w:rsidP="00953C5C">
      <w:pPr>
        <w:pStyle w:val="ListParagraph"/>
        <w:numPr>
          <w:ilvl w:val="0"/>
          <w:numId w:val="11"/>
        </w:numPr>
        <w:ind w:left="1080" w:hanging="720"/>
        <w:contextualSpacing w:val="0"/>
        <w:jc w:val="both"/>
        <w:rPr>
          <w:rFonts w:eastAsia="Times New Roman" w:cs="Times New Roman"/>
          <w:sz w:val="24"/>
          <w:szCs w:val="24"/>
        </w:rPr>
      </w:pPr>
      <w:r w:rsidRPr="00953C5C">
        <w:rPr>
          <w:rFonts w:eastAsia="Times New Roman" w:cs="Times New Roman"/>
          <w:color w:val="000000"/>
          <w:sz w:val="24"/>
          <w:szCs w:val="24"/>
        </w:rPr>
        <w:t>Demand response involves financial incentives for customers to reduce or shift their energy consumption when demand is at its peak. For households, this is typically done through devices including vehicle chargers, smart thermostats, and water heaters that can be controlled remotely to shift or reduce usage with minimal to no inconvenience to households. These financial incentives can reduce their bills with minimal disruption to their lives while also serving the broader grid.</w:t>
      </w:r>
    </w:p>
    <w:p w14:paraId="26AC75FB" w14:textId="7CCF1DB5" w:rsidR="00A54CB9" w:rsidRPr="002E7471" w:rsidRDefault="002E7471" w:rsidP="002E7471">
      <w:pPr>
        <w:pStyle w:val="Question"/>
        <w:numPr>
          <w:ilvl w:val="0"/>
          <w:numId w:val="10"/>
        </w:numPr>
        <w:ind w:left="1080" w:hanging="720"/>
        <w:contextualSpacing w:val="0"/>
        <w:jc w:val="both"/>
        <w:rPr>
          <w:rFonts w:eastAsia="Times New Roman" w:cs="Times New Roman"/>
          <w:sz w:val="24"/>
          <w:szCs w:val="24"/>
        </w:rPr>
      </w:pPr>
      <w:r>
        <w:t>How can managed charging of electric vehicles help address affordability and energy concerns?</w:t>
      </w:r>
    </w:p>
    <w:p w14:paraId="48327561" w14:textId="0B8BDFFB" w:rsidR="00953C5C" w:rsidRPr="00953C5C" w:rsidRDefault="00A54CB9" w:rsidP="00953C5C">
      <w:pPr>
        <w:pStyle w:val="ListParagraph"/>
        <w:numPr>
          <w:ilvl w:val="0"/>
          <w:numId w:val="11"/>
        </w:numPr>
        <w:ind w:left="1080" w:hanging="720"/>
        <w:contextualSpacing w:val="0"/>
        <w:jc w:val="both"/>
        <w:rPr>
          <w:rFonts w:eastAsia="Times New Roman" w:cs="Times New Roman"/>
          <w:sz w:val="24"/>
          <w:szCs w:val="24"/>
        </w:rPr>
      </w:pPr>
      <w:r w:rsidRPr="00953C5C">
        <w:rPr>
          <w:rFonts w:eastAsia="Times New Roman" w:cs="Times New Roman"/>
          <w:color w:val="000000"/>
          <w:sz w:val="24"/>
          <w:szCs w:val="24"/>
        </w:rPr>
        <w:lastRenderedPageBreak/>
        <w:t>There are roughly 92,000 EV</w:t>
      </w:r>
      <w:r w:rsidR="002E7471">
        <w:rPr>
          <w:rStyle w:val="FootnoteReference"/>
          <w:rFonts w:eastAsia="Times New Roman" w:cs="Times New Roman"/>
          <w:color w:val="000000"/>
          <w:sz w:val="24"/>
          <w:szCs w:val="24"/>
        </w:rPr>
        <w:footnoteReference w:id="12"/>
      </w:r>
      <w:r w:rsidRPr="00953C5C">
        <w:rPr>
          <w:rFonts w:eastAsia="Times New Roman" w:cs="Times New Roman"/>
          <w:color w:val="000000"/>
          <w:sz w:val="24"/>
          <w:szCs w:val="24"/>
        </w:rPr>
        <w:t xml:space="preserve"> vehicles registered in Georgia and they represent a steadily growing market share currently around 8 percent of new vehicles.</w:t>
      </w:r>
      <w:r w:rsidR="002E7471">
        <w:rPr>
          <w:rStyle w:val="FootnoteReference"/>
          <w:rFonts w:eastAsia="Times New Roman" w:cs="Times New Roman"/>
          <w:color w:val="000000"/>
          <w:sz w:val="24"/>
          <w:szCs w:val="24"/>
        </w:rPr>
        <w:footnoteReference w:id="13"/>
      </w:r>
      <w:r w:rsidRPr="00953C5C">
        <w:rPr>
          <w:rFonts w:eastAsia="Times New Roman" w:cs="Times New Roman"/>
          <w:color w:val="000000"/>
          <w:sz w:val="24"/>
          <w:szCs w:val="24"/>
        </w:rPr>
        <w:t xml:space="preserve"> Using a conservative estimate of 50kWh for each vehicle, that represents roughly 4,600 MWh of battery storage capacity currently on the road or parked. For comparison, the IRP proposes a sizeable addition of 2,065 MW of storage, which would be equal to 8,260 MWh of storage if that were the most common variety of four-hour storage. Moreover, assuming 4 MWh</w:t>
      </w:r>
      <w:r w:rsidR="002E7471">
        <w:rPr>
          <w:rStyle w:val="FootnoteReference"/>
          <w:rFonts w:eastAsia="Times New Roman" w:cs="Times New Roman"/>
          <w:color w:val="000000"/>
          <w:sz w:val="24"/>
          <w:szCs w:val="24"/>
        </w:rPr>
        <w:footnoteReference w:id="14"/>
      </w:r>
      <w:r w:rsidRPr="00953C5C">
        <w:rPr>
          <w:rFonts w:eastAsia="Times New Roman" w:cs="Times New Roman"/>
          <w:color w:val="000000"/>
          <w:sz w:val="24"/>
          <w:szCs w:val="24"/>
        </w:rPr>
        <w:t xml:space="preserve"> of consumption a year per vehicle, that represents 368 GWh of annual demand that is highly flexible. As such, tapping into these existing and rapidly growing demand, storage, and capacity resources is excellent and has the potential to significantly impact supply-side strategies as well.</w:t>
      </w:r>
    </w:p>
    <w:p w14:paraId="2F7FA5E6" w14:textId="77777777" w:rsidR="00953C5C" w:rsidRDefault="00A54CB9" w:rsidP="002E7471">
      <w:pPr>
        <w:ind w:left="1080" w:firstLine="360"/>
        <w:contextualSpacing w:val="0"/>
        <w:jc w:val="both"/>
        <w:rPr>
          <w:rFonts w:eastAsia="Times New Roman" w:cs="Times New Roman"/>
          <w:sz w:val="24"/>
          <w:szCs w:val="24"/>
        </w:rPr>
      </w:pPr>
      <w:r w:rsidRPr="00953C5C">
        <w:rPr>
          <w:rFonts w:eastAsia="Times New Roman" w:cs="Times New Roman"/>
          <w:color w:val="000000"/>
          <w:sz w:val="24"/>
          <w:szCs w:val="24"/>
        </w:rPr>
        <w:t>Importantly, these resources pose an excellent win-win for Georgia ratepayers. Price incentives to encourage EV owners to charge when clean and cheap energy is abundant will reduce transportation costs, the second largest cost to households on average after housing according to the Bureau of Labor Statistics. It can also, however, benefit other ratepayers as supply side can more easily accommodate the more affordable intermittent resources. However, to realize this potential requires the correct modeling and initiatives which do not currently exist.</w:t>
      </w:r>
    </w:p>
    <w:p w14:paraId="269CFFCC" w14:textId="2A12D4EF" w:rsidR="00A54CB9" w:rsidRDefault="00A54CB9" w:rsidP="002E7471">
      <w:pPr>
        <w:ind w:left="1080" w:firstLine="360"/>
        <w:contextualSpacing w:val="0"/>
        <w:jc w:val="both"/>
        <w:rPr>
          <w:rFonts w:eastAsia="Times New Roman" w:cs="Times New Roman"/>
          <w:color w:val="000000"/>
          <w:sz w:val="24"/>
          <w:szCs w:val="24"/>
        </w:rPr>
      </w:pPr>
      <w:r w:rsidRPr="00A54CB9">
        <w:rPr>
          <w:rFonts w:eastAsia="Times New Roman" w:cs="Times New Roman"/>
          <w:color w:val="000000"/>
          <w:sz w:val="24"/>
          <w:szCs w:val="24"/>
        </w:rPr>
        <w:t xml:space="preserve">Georgia Power is proposing or currently pursuing two pilot programs. The first is aimed at managing when charging occurs and the second incorporates vehicle batteries to supply power to loads and/or the grid (V2X). Both are exciting endeavors. The first managed charging program can rapidly scale as it can require minimal capital investment. Goals for the rapid adoption of these programs should be laid out to ensure their rapid growth. The second V2X effort will take more effort due to increased capital </w:t>
      </w:r>
      <w:r w:rsidRPr="00A54CB9">
        <w:rPr>
          <w:rFonts w:eastAsia="Times New Roman" w:cs="Times New Roman"/>
          <w:color w:val="000000"/>
          <w:sz w:val="24"/>
          <w:szCs w:val="24"/>
        </w:rPr>
        <w:lastRenderedPageBreak/>
        <w:t>investments in bi-directional charging, but can become a key and revolutionary component of an energy future. Importantly, V2X can also provide energy resilience in the event of outages such as those from natural disasters.</w:t>
      </w:r>
    </w:p>
    <w:p w14:paraId="052881B7" w14:textId="67B0A1FC" w:rsidR="002E7471" w:rsidRPr="002E7471" w:rsidRDefault="002E7471" w:rsidP="002E7471">
      <w:pPr>
        <w:pStyle w:val="Question"/>
        <w:numPr>
          <w:ilvl w:val="0"/>
          <w:numId w:val="10"/>
        </w:numPr>
        <w:ind w:left="1080" w:hanging="720"/>
        <w:contextualSpacing w:val="0"/>
        <w:jc w:val="both"/>
        <w:rPr>
          <w:rFonts w:eastAsia="Times New Roman" w:cs="Times New Roman"/>
          <w:sz w:val="24"/>
          <w:szCs w:val="24"/>
        </w:rPr>
      </w:pPr>
      <w:r>
        <w:t>How can residential solar and storage impact affordability?</w:t>
      </w:r>
    </w:p>
    <w:p w14:paraId="61A90844" w14:textId="6921E627" w:rsidR="00A54CB9" w:rsidRPr="00953C5C" w:rsidRDefault="00A54CB9" w:rsidP="00953C5C">
      <w:pPr>
        <w:pStyle w:val="ListParagraph"/>
        <w:numPr>
          <w:ilvl w:val="0"/>
          <w:numId w:val="11"/>
        </w:numPr>
        <w:ind w:left="1080" w:hanging="720"/>
        <w:contextualSpacing w:val="0"/>
        <w:jc w:val="both"/>
        <w:rPr>
          <w:rFonts w:eastAsia="Times New Roman" w:cs="Times New Roman"/>
          <w:sz w:val="24"/>
          <w:szCs w:val="24"/>
        </w:rPr>
      </w:pPr>
      <w:r w:rsidRPr="00953C5C">
        <w:rPr>
          <w:rFonts w:eastAsia="Times New Roman" w:cs="Times New Roman"/>
          <w:color w:val="000000"/>
          <w:sz w:val="24"/>
          <w:szCs w:val="24"/>
        </w:rPr>
        <w:t>Residential solar directly reduces electricity bills. In Georgia, this is essential given that electricity dominates energy bills and has abundant sunshine. Moreover, space cooling, one of the leading energy costs, is often highest in demand when the sun is shining.</w:t>
      </w:r>
    </w:p>
    <w:p w14:paraId="2CAEF6BD" w14:textId="77777777" w:rsidR="00A54CB9" w:rsidRPr="00A54CB9" w:rsidRDefault="00A54CB9" w:rsidP="00953C5C">
      <w:pPr>
        <w:ind w:left="1080"/>
        <w:contextualSpacing w:val="0"/>
        <w:jc w:val="both"/>
        <w:rPr>
          <w:rFonts w:eastAsia="Times New Roman" w:cs="Times New Roman"/>
          <w:sz w:val="24"/>
          <w:szCs w:val="24"/>
        </w:rPr>
      </w:pPr>
      <w:r w:rsidRPr="00A54CB9">
        <w:rPr>
          <w:rFonts w:eastAsia="Times New Roman" w:cs="Times New Roman"/>
          <w:color w:val="000000"/>
          <w:sz w:val="24"/>
          <w:szCs w:val="24"/>
        </w:rPr>
        <w:tab/>
        <w:t>Nationwide, customers who adopt solar can experience significant savings over the lifetime of their systems, especially if they electrify their homes and adopt electric vehicles. The additional incentives to pair solar with storage will increase the usefulness of these installations for the grid. This will require sufficient financial incentives as well as systems to optimize the usage of distributed storage which cannot pay for itself as solar can unless its services are used and fairly paid for. Moreover, this provides essential energy resilience to outages such as those caused recently by Hurricane Helene. </w:t>
      </w:r>
    </w:p>
    <w:p w14:paraId="4F3C88ED" w14:textId="43B43598" w:rsidR="00A54CB9" w:rsidRPr="00A54CB9" w:rsidRDefault="00A54CB9" w:rsidP="00953C5C">
      <w:pPr>
        <w:ind w:left="1080"/>
        <w:contextualSpacing w:val="0"/>
        <w:jc w:val="both"/>
        <w:rPr>
          <w:rFonts w:eastAsia="Times New Roman" w:cs="Times New Roman"/>
          <w:sz w:val="24"/>
          <w:szCs w:val="24"/>
        </w:rPr>
      </w:pPr>
      <w:r w:rsidRPr="00A54CB9">
        <w:rPr>
          <w:rFonts w:eastAsia="Times New Roman" w:cs="Times New Roman"/>
          <w:color w:val="000000"/>
          <w:sz w:val="24"/>
          <w:szCs w:val="24"/>
        </w:rPr>
        <w:tab/>
      </w:r>
      <w:r w:rsidR="002E7471">
        <w:rPr>
          <w:rFonts w:eastAsia="Times New Roman" w:cs="Times New Roman"/>
          <w:color w:val="000000"/>
          <w:sz w:val="24"/>
          <w:szCs w:val="24"/>
        </w:rPr>
        <w:tab/>
      </w:r>
      <w:r w:rsidRPr="00A54CB9">
        <w:rPr>
          <w:rFonts w:eastAsia="Times New Roman" w:cs="Times New Roman"/>
          <w:color w:val="000000"/>
          <w:sz w:val="24"/>
          <w:szCs w:val="24"/>
        </w:rPr>
        <w:t>Adoption of rooftop solar to date, however, has been limited by residential customers due to a cap for access to net metering. The RNR net metering program from the 2019 Georgia Power rate case capped rooftop solar customer participants to just 5,000.</w:t>
      </w:r>
      <w:r w:rsidR="002E7471">
        <w:rPr>
          <w:rStyle w:val="FootnoteReference"/>
          <w:rFonts w:eastAsia="Times New Roman" w:cs="Times New Roman"/>
          <w:color w:val="000000"/>
          <w:sz w:val="24"/>
          <w:szCs w:val="24"/>
        </w:rPr>
        <w:footnoteReference w:id="15"/>
      </w:r>
      <w:r w:rsidRPr="00A54CB9">
        <w:rPr>
          <w:rFonts w:eastAsia="Times New Roman" w:cs="Times New Roman"/>
          <w:color w:val="000000"/>
          <w:sz w:val="24"/>
          <w:szCs w:val="24"/>
        </w:rPr>
        <w:t xml:space="preserve"> As such, homeowners who wish to build resilience to outages and reduce their bills through adoption of solar cannot do so. I estimate roughly 46 percent of customers that are energy cost burdened own their own homes and would benefit from fairly compensated residential solar if it were available. Lower adoption rates also means that Georgia homeowners are not accessing federal solar incentives at the same rate as residents of other states.</w:t>
      </w:r>
    </w:p>
    <w:p w14:paraId="30D299E3" w14:textId="13C6D770" w:rsidR="002E7471" w:rsidRPr="002E7471" w:rsidRDefault="002E7471" w:rsidP="002E7471">
      <w:pPr>
        <w:pStyle w:val="Question"/>
        <w:numPr>
          <w:ilvl w:val="0"/>
          <w:numId w:val="10"/>
        </w:numPr>
        <w:ind w:left="1080" w:hanging="720"/>
        <w:contextualSpacing w:val="0"/>
        <w:jc w:val="both"/>
        <w:rPr>
          <w:rFonts w:eastAsia="Times New Roman" w:cs="Times New Roman"/>
          <w:sz w:val="24"/>
          <w:szCs w:val="24"/>
        </w:rPr>
      </w:pPr>
      <w:r>
        <w:t>How can community solar and storage impact affordability?</w:t>
      </w:r>
    </w:p>
    <w:p w14:paraId="14237DFA" w14:textId="77647EE3" w:rsidR="00953C5C" w:rsidRPr="00953C5C" w:rsidRDefault="00A54CB9" w:rsidP="009D4380">
      <w:pPr>
        <w:pStyle w:val="ListParagraph"/>
        <w:numPr>
          <w:ilvl w:val="0"/>
          <w:numId w:val="11"/>
        </w:numPr>
        <w:ind w:left="1080" w:hanging="720"/>
        <w:contextualSpacing w:val="0"/>
        <w:jc w:val="both"/>
        <w:rPr>
          <w:rFonts w:eastAsia="Times New Roman" w:cs="Times New Roman"/>
          <w:sz w:val="24"/>
          <w:szCs w:val="24"/>
        </w:rPr>
      </w:pPr>
      <w:r w:rsidRPr="00953C5C">
        <w:rPr>
          <w:rFonts w:eastAsia="Times New Roman" w:cs="Times New Roman"/>
          <w:color w:val="000000"/>
          <w:sz w:val="24"/>
          <w:szCs w:val="24"/>
        </w:rPr>
        <w:lastRenderedPageBreak/>
        <w:t>Community solar involves programs where households take part remotely in nearby solar and storage facilities. For many households, such as renters, this is the only way they can take part in distributed generation. For Georgia Power customers, they pay directly to Georgia Power a monthly subscription rate to access power to blocks of solar. One program, financed by support from corporate sponsors, reduces the costs for participation by roughly 75 percent which could lead to significant bill savings.</w:t>
      </w:r>
      <w:r w:rsidR="002E7471">
        <w:rPr>
          <w:rStyle w:val="FootnoteReference"/>
          <w:rFonts w:eastAsia="Times New Roman" w:cs="Times New Roman"/>
          <w:color w:val="000000"/>
          <w:sz w:val="24"/>
          <w:szCs w:val="24"/>
        </w:rPr>
        <w:footnoteReference w:id="16"/>
      </w:r>
      <w:r w:rsidRPr="00953C5C">
        <w:rPr>
          <w:rFonts w:eastAsia="Times New Roman" w:cs="Times New Roman"/>
          <w:color w:val="000000"/>
          <w:sz w:val="24"/>
          <w:szCs w:val="24"/>
        </w:rPr>
        <w:t xml:space="preserve"> Unfortunately, this program is limited to only 5,000 income-qualified customers, less than one percent of the households that are energy cost burdened. Moreover, as reported recently, this program has not enrolled income-qualified subscribers due to a lack of corporate sponsors which is not a sustainable model.</w:t>
      </w:r>
      <w:r w:rsidR="002E7471">
        <w:rPr>
          <w:rStyle w:val="FootnoteReference"/>
          <w:rFonts w:eastAsia="Times New Roman" w:cs="Times New Roman"/>
          <w:color w:val="000000"/>
          <w:sz w:val="24"/>
          <w:szCs w:val="24"/>
        </w:rPr>
        <w:footnoteReference w:id="17"/>
      </w:r>
    </w:p>
    <w:p w14:paraId="10CD5BD8" w14:textId="37996E26" w:rsidR="00A54CB9" w:rsidRDefault="00A54CB9" w:rsidP="002E7471">
      <w:pPr>
        <w:pStyle w:val="ListParagraph"/>
        <w:ind w:left="1080" w:firstLine="360"/>
        <w:contextualSpacing w:val="0"/>
        <w:jc w:val="both"/>
        <w:rPr>
          <w:rFonts w:eastAsia="Times New Roman" w:cs="Times New Roman"/>
          <w:color w:val="000000"/>
          <w:sz w:val="24"/>
          <w:szCs w:val="24"/>
        </w:rPr>
      </w:pPr>
      <w:r w:rsidRPr="00953C5C">
        <w:rPr>
          <w:rFonts w:eastAsia="Times New Roman" w:cs="Times New Roman"/>
          <w:color w:val="000000"/>
          <w:sz w:val="24"/>
          <w:szCs w:val="24"/>
        </w:rPr>
        <w:t>In other states, there are markets of community solar options that allow for non-utility ownership that can compete for customers and offer mandated guaranteed discounts to low-income customers. Some of these programs are able to scale up quickly with no risk incurred for energy cost burdened customers and without reliance on sponsorships.  </w:t>
      </w:r>
    </w:p>
    <w:p w14:paraId="31493673" w14:textId="11D8448C" w:rsidR="00A54CB9" w:rsidRPr="008D00E6" w:rsidRDefault="008D00E6" w:rsidP="008D00E6">
      <w:pPr>
        <w:pStyle w:val="Question"/>
        <w:numPr>
          <w:ilvl w:val="0"/>
          <w:numId w:val="10"/>
        </w:numPr>
        <w:ind w:left="1080" w:hanging="720"/>
        <w:contextualSpacing w:val="0"/>
        <w:jc w:val="both"/>
        <w:rPr>
          <w:rFonts w:eastAsia="Times New Roman" w:cs="Times New Roman"/>
          <w:sz w:val="24"/>
          <w:szCs w:val="24"/>
        </w:rPr>
      </w:pPr>
      <w:r>
        <w:t>How does Georgia Power’s customer programs compare to similar utilities?</w:t>
      </w:r>
    </w:p>
    <w:p w14:paraId="3879F35A" w14:textId="77777777" w:rsidR="009D4380" w:rsidRPr="009D4380" w:rsidRDefault="00A54CB9" w:rsidP="009D4380">
      <w:pPr>
        <w:pStyle w:val="ListParagraph"/>
        <w:numPr>
          <w:ilvl w:val="0"/>
          <w:numId w:val="11"/>
        </w:numPr>
        <w:ind w:left="1080" w:hanging="720"/>
        <w:contextualSpacing w:val="0"/>
        <w:jc w:val="both"/>
        <w:rPr>
          <w:rFonts w:eastAsia="Times New Roman" w:cs="Times New Roman"/>
          <w:sz w:val="24"/>
          <w:szCs w:val="24"/>
        </w:rPr>
      </w:pPr>
      <w:r w:rsidRPr="009D4380">
        <w:rPr>
          <w:rFonts w:eastAsia="Times New Roman" w:cs="Times New Roman"/>
          <w:color w:val="000000"/>
          <w:sz w:val="24"/>
          <w:szCs w:val="24"/>
        </w:rPr>
        <w:t>Demand response for households in Georgia Power is small, however, and thus has ample capacity to grow quickly. Below are some comparisons to illustrate.</w:t>
      </w:r>
    </w:p>
    <w:p w14:paraId="0057F522" w14:textId="77777777" w:rsidR="009D4380" w:rsidRPr="009D4380" w:rsidRDefault="00A54CB9" w:rsidP="009D4380">
      <w:pPr>
        <w:pStyle w:val="ListParagraph"/>
        <w:numPr>
          <w:ilvl w:val="0"/>
          <w:numId w:val="22"/>
        </w:numPr>
        <w:contextualSpacing w:val="0"/>
        <w:jc w:val="both"/>
        <w:rPr>
          <w:rFonts w:eastAsia="Times New Roman" w:cs="Times New Roman"/>
          <w:sz w:val="24"/>
          <w:szCs w:val="24"/>
        </w:rPr>
      </w:pPr>
      <w:r w:rsidRPr="009D4380">
        <w:rPr>
          <w:rFonts w:eastAsia="Times New Roman" w:cs="Times New Roman"/>
          <w:color w:val="000000"/>
          <w:sz w:val="24"/>
          <w:szCs w:val="24"/>
        </w:rPr>
        <w:t>The state of Georgia is tied for 34th in ranking according to the ACEEE state efficiency scorecard. This suggests a great deal of efficiency is still available to reduce bills and demand.</w:t>
      </w:r>
    </w:p>
    <w:p w14:paraId="5857185D" w14:textId="77777777" w:rsidR="009D4380" w:rsidRPr="009D4380" w:rsidRDefault="00A54CB9" w:rsidP="009D4380">
      <w:pPr>
        <w:pStyle w:val="ListParagraph"/>
        <w:numPr>
          <w:ilvl w:val="0"/>
          <w:numId w:val="22"/>
        </w:numPr>
        <w:contextualSpacing w:val="0"/>
        <w:jc w:val="both"/>
        <w:rPr>
          <w:rFonts w:eastAsia="Times New Roman" w:cs="Times New Roman"/>
          <w:sz w:val="24"/>
          <w:szCs w:val="24"/>
        </w:rPr>
      </w:pPr>
      <w:r w:rsidRPr="009D4380">
        <w:rPr>
          <w:rFonts w:eastAsia="Times New Roman" w:cs="Times New Roman"/>
          <w:color w:val="000000"/>
          <w:sz w:val="24"/>
          <w:szCs w:val="24"/>
        </w:rPr>
        <w:t xml:space="preserve">Georgia Power only offers a one-time rebate (up to $75) on smart thermostats. Other similar utilities have long standing programs that allow them to control these </w:t>
      </w:r>
      <w:r w:rsidRPr="009D4380">
        <w:rPr>
          <w:rFonts w:eastAsia="Times New Roman" w:cs="Times New Roman"/>
          <w:color w:val="000000"/>
          <w:sz w:val="24"/>
          <w:szCs w:val="24"/>
        </w:rPr>
        <w:lastRenderedPageBreak/>
        <w:t>thermostats for brief intervals to reduce demand and meet power needs. For example, Duke in North Carolina offers an initial $150 to enroll in the program and $50 annually to stay enrolled. </w:t>
      </w:r>
    </w:p>
    <w:p w14:paraId="01277C3F" w14:textId="77777777" w:rsidR="009D4380" w:rsidRPr="009D4380" w:rsidRDefault="00A54CB9" w:rsidP="009D4380">
      <w:pPr>
        <w:pStyle w:val="ListParagraph"/>
        <w:numPr>
          <w:ilvl w:val="0"/>
          <w:numId w:val="22"/>
        </w:numPr>
        <w:contextualSpacing w:val="0"/>
        <w:jc w:val="both"/>
        <w:rPr>
          <w:rFonts w:eastAsia="Times New Roman" w:cs="Times New Roman"/>
          <w:sz w:val="24"/>
          <w:szCs w:val="24"/>
        </w:rPr>
      </w:pPr>
      <w:r w:rsidRPr="009D4380">
        <w:rPr>
          <w:rFonts w:eastAsia="Times New Roman" w:cs="Times New Roman"/>
          <w:color w:val="000000"/>
          <w:sz w:val="24"/>
          <w:szCs w:val="24"/>
        </w:rPr>
        <w:t>Incentives for smart EV charging are already established for other territories. Georgia Power is still in the pilot stage.</w:t>
      </w:r>
    </w:p>
    <w:p w14:paraId="50009014" w14:textId="77777777" w:rsidR="009D4380" w:rsidRPr="009D4380" w:rsidRDefault="00A54CB9" w:rsidP="009D4380">
      <w:pPr>
        <w:pStyle w:val="ListParagraph"/>
        <w:numPr>
          <w:ilvl w:val="0"/>
          <w:numId w:val="22"/>
        </w:numPr>
        <w:contextualSpacing w:val="0"/>
        <w:jc w:val="both"/>
        <w:rPr>
          <w:rFonts w:eastAsia="Times New Roman" w:cs="Times New Roman"/>
          <w:sz w:val="24"/>
          <w:szCs w:val="24"/>
        </w:rPr>
      </w:pPr>
      <w:r w:rsidRPr="009D4380">
        <w:rPr>
          <w:rFonts w:eastAsia="Times New Roman" w:cs="Times New Roman"/>
          <w:color w:val="000000"/>
          <w:sz w:val="24"/>
          <w:szCs w:val="24"/>
        </w:rPr>
        <w:t>Georgia does not have any non-utility owned community solar. </w:t>
      </w:r>
    </w:p>
    <w:p w14:paraId="400A74C8" w14:textId="77777777" w:rsidR="009D4380" w:rsidRPr="009D4380" w:rsidRDefault="00A54CB9" w:rsidP="009D4380">
      <w:pPr>
        <w:pStyle w:val="ListParagraph"/>
        <w:numPr>
          <w:ilvl w:val="0"/>
          <w:numId w:val="22"/>
        </w:numPr>
        <w:contextualSpacing w:val="0"/>
        <w:jc w:val="both"/>
        <w:rPr>
          <w:rFonts w:eastAsia="Times New Roman" w:cs="Times New Roman"/>
          <w:sz w:val="24"/>
          <w:szCs w:val="24"/>
        </w:rPr>
      </w:pPr>
      <w:r w:rsidRPr="009D4380">
        <w:rPr>
          <w:rFonts w:eastAsia="Times New Roman" w:cs="Times New Roman"/>
          <w:color w:val="000000"/>
          <w:sz w:val="24"/>
          <w:szCs w:val="24"/>
        </w:rPr>
        <w:t>Currently, I am not aware of any Georgia Power demand response programs to manage heating, cooling, and hot water systems to shift demand. </w:t>
      </w:r>
    </w:p>
    <w:p w14:paraId="5AFF7C21" w14:textId="4BF98FB2" w:rsidR="00A54CB9" w:rsidRPr="008D00E6" w:rsidRDefault="00A54CB9" w:rsidP="009D4380">
      <w:pPr>
        <w:pStyle w:val="ListParagraph"/>
        <w:numPr>
          <w:ilvl w:val="0"/>
          <w:numId w:val="22"/>
        </w:numPr>
        <w:contextualSpacing w:val="0"/>
        <w:jc w:val="both"/>
        <w:rPr>
          <w:rFonts w:eastAsia="Times New Roman" w:cs="Times New Roman"/>
          <w:sz w:val="24"/>
          <w:szCs w:val="24"/>
        </w:rPr>
      </w:pPr>
      <w:r w:rsidRPr="009D4380">
        <w:rPr>
          <w:rFonts w:eastAsia="Times New Roman" w:cs="Times New Roman"/>
          <w:color w:val="000000"/>
          <w:sz w:val="24"/>
          <w:szCs w:val="24"/>
        </w:rPr>
        <w:t>While Georgia Power itself owns significant amounts of solar, its customers own less than in similar territories. This misses an opportunity for Georgia households to take advantage of incentives and experience bill savings directly as well as build energy resilience.</w:t>
      </w:r>
    </w:p>
    <w:p w14:paraId="23575416" w14:textId="022C7420" w:rsidR="008D00E6" w:rsidRPr="008D00E6" w:rsidRDefault="008D00E6" w:rsidP="008D00E6">
      <w:pPr>
        <w:pStyle w:val="Question"/>
        <w:numPr>
          <w:ilvl w:val="0"/>
          <w:numId w:val="10"/>
        </w:numPr>
        <w:ind w:left="1080" w:hanging="720"/>
        <w:contextualSpacing w:val="0"/>
        <w:jc w:val="both"/>
        <w:rPr>
          <w:rFonts w:eastAsia="Times New Roman" w:cs="Times New Roman"/>
          <w:sz w:val="24"/>
          <w:szCs w:val="24"/>
        </w:rPr>
      </w:pPr>
      <w:r>
        <w:t>What are other benefits of demand-side resources?</w:t>
      </w:r>
    </w:p>
    <w:p w14:paraId="2EB23A99" w14:textId="056EEBEA" w:rsidR="00A54CB9" w:rsidRPr="008D00E6" w:rsidRDefault="00A54CB9" w:rsidP="009D4380">
      <w:pPr>
        <w:pStyle w:val="ListParagraph"/>
        <w:numPr>
          <w:ilvl w:val="0"/>
          <w:numId w:val="11"/>
        </w:numPr>
        <w:ind w:left="1080" w:hanging="720"/>
        <w:contextualSpacing w:val="0"/>
        <w:jc w:val="both"/>
        <w:rPr>
          <w:rFonts w:eastAsia="Times New Roman" w:cs="Times New Roman"/>
          <w:sz w:val="24"/>
          <w:szCs w:val="24"/>
        </w:rPr>
      </w:pPr>
      <w:r w:rsidRPr="009D4380">
        <w:rPr>
          <w:rFonts w:eastAsia="Times New Roman" w:cs="Times New Roman"/>
          <w:color w:val="000000"/>
          <w:sz w:val="24"/>
          <w:szCs w:val="24"/>
        </w:rPr>
        <w:t xml:space="preserve">In addition to affordability benefits, there are other benefits of demand-side programs. First, they reduce emissions and thus avoid climate impacts and health impacts from reduced air quality. Second, resources such as solar and storage and V2X can provide vital energy backup in the event of outages such as the crippling outages recently experienced as a result of disasters such as Hurricane Helene in which 1.5+ million Georgians lost power. I commend Georgia Power’s “additional incentives for municipalities, universities, schools, and hospitals (“MUSH”) segments” for energy storage as these facilities can provide critical services in the event of an outage and should be among the first to have backup energy storage facilities. In terms of affordability, it will be further essential that storage and solar located at the community-serving facilities are fully utilized and incentivized accordingly as any bill savings can be redirected to the primary functions of these facilities. For example, energy costs are typically the largest expense for schools after staff. As such, reductions in school </w:t>
      </w:r>
      <w:r w:rsidRPr="009D4380">
        <w:rPr>
          <w:rFonts w:eastAsia="Times New Roman" w:cs="Times New Roman"/>
          <w:color w:val="000000"/>
          <w:sz w:val="24"/>
          <w:szCs w:val="24"/>
        </w:rPr>
        <w:lastRenderedPageBreak/>
        <w:t>energy bills can be used for programs that benefit student safety and learning. Lastly, home improvements often lead to more comfortable and safer homes.</w:t>
      </w:r>
    </w:p>
    <w:p w14:paraId="6C7964CA" w14:textId="2A7DFAE6" w:rsidR="008D00E6" w:rsidRPr="008D00E6" w:rsidRDefault="008D00E6" w:rsidP="008D00E6">
      <w:pPr>
        <w:pStyle w:val="Question"/>
        <w:numPr>
          <w:ilvl w:val="0"/>
          <w:numId w:val="10"/>
        </w:numPr>
        <w:ind w:left="1080" w:hanging="720"/>
        <w:contextualSpacing w:val="0"/>
        <w:jc w:val="both"/>
        <w:rPr>
          <w:rFonts w:eastAsia="Times New Roman" w:cs="Times New Roman"/>
          <w:sz w:val="24"/>
          <w:szCs w:val="24"/>
        </w:rPr>
      </w:pPr>
      <w:r>
        <w:t>Can you summarize any recommendations for this IRP?</w:t>
      </w:r>
    </w:p>
    <w:p w14:paraId="3199521B" w14:textId="052AF64A" w:rsidR="009D4380" w:rsidRPr="009D4380" w:rsidRDefault="00A54CB9" w:rsidP="002E7471">
      <w:pPr>
        <w:pStyle w:val="ListParagraph"/>
        <w:numPr>
          <w:ilvl w:val="0"/>
          <w:numId w:val="11"/>
        </w:numPr>
        <w:ind w:left="1080" w:hanging="720"/>
        <w:contextualSpacing w:val="0"/>
        <w:jc w:val="both"/>
        <w:rPr>
          <w:rFonts w:eastAsia="Times New Roman" w:cs="Times New Roman"/>
          <w:sz w:val="24"/>
          <w:szCs w:val="24"/>
        </w:rPr>
      </w:pPr>
      <w:r w:rsidRPr="009D4380">
        <w:rPr>
          <w:rFonts w:eastAsia="Times New Roman" w:cs="Times New Roman"/>
          <w:color w:val="000000"/>
          <w:sz w:val="24"/>
          <w:szCs w:val="24"/>
        </w:rPr>
        <w:t>I commend the development of existing and new demand-side resources. These resources represent a rapidly improving suite of technologies with low risks and large potential benefits for both households and the grid itself. However, there is a great potential to do more and acting now is essential to lay the groundwork for increased demand-side capacity and empowering a more affordable and reliable future for all. Following are a few recommendations or key remarks I have with respect to the IRP</w:t>
      </w:r>
      <w:r w:rsidR="002E7471">
        <w:rPr>
          <w:rFonts w:eastAsia="Times New Roman" w:cs="Times New Roman"/>
          <w:color w:val="000000"/>
          <w:sz w:val="24"/>
          <w:szCs w:val="24"/>
        </w:rPr>
        <w:t>:</w:t>
      </w:r>
    </w:p>
    <w:p w14:paraId="6FFE1F82" w14:textId="77777777" w:rsidR="009D4380" w:rsidRPr="009D4380" w:rsidRDefault="00A54CB9" w:rsidP="009D4380">
      <w:pPr>
        <w:pStyle w:val="ListParagraph"/>
        <w:numPr>
          <w:ilvl w:val="0"/>
          <w:numId w:val="25"/>
        </w:numPr>
        <w:contextualSpacing w:val="0"/>
        <w:jc w:val="both"/>
        <w:rPr>
          <w:rFonts w:eastAsia="Times New Roman" w:cs="Times New Roman"/>
          <w:sz w:val="24"/>
          <w:szCs w:val="24"/>
        </w:rPr>
      </w:pPr>
      <w:r w:rsidRPr="009D4380">
        <w:rPr>
          <w:rFonts w:eastAsia="Times New Roman" w:cs="Times New Roman"/>
          <w:color w:val="000000"/>
          <w:sz w:val="24"/>
          <w:szCs w:val="24"/>
        </w:rPr>
        <w:t>Increase the enrollment in the net metering solar program with a priority for income-qualified customers.  </w:t>
      </w:r>
    </w:p>
    <w:p w14:paraId="2FFEAC58" w14:textId="77777777" w:rsidR="009D4380" w:rsidRPr="009D4380" w:rsidRDefault="00A54CB9" w:rsidP="009D4380">
      <w:pPr>
        <w:pStyle w:val="ListParagraph"/>
        <w:numPr>
          <w:ilvl w:val="0"/>
          <w:numId w:val="25"/>
        </w:numPr>
        <w:contextualSpacing w:val="0"/>
        <w:jc w:val="both"/>
        <w:rPr>
          <w:rFonts w:eastAsia="Times New Roman" w:cs="Times New Roman"/>
          <w:sz w:val="24"/>
          <w:szCs w:val="24"/>
        </w:rPr>
      </w:pPr>
      <w:r w:rsidRPr="009D4380">
        <w:rPr>
          <w:rFonts w:eastAsia="Times New Roman" w:cs="Times New Roman"/>
          <w:color w:val="000000"/>
          <w:sz w:val="24"/>
          <w:szCs w:val="24"/>
        </w:rPr>
        <w:t>Generate scenarios and sensitivities with substantially higher penetration of demand side management resources including higher efficiency, customer sited solar and storage, community solar, and residential demand response technologies. These demand side resources can play a significant role in power planning if they are allowed to do so in the models. This should eventually lead to an integrated system planning approach where generation, transmission, distribution, and demand-side management all work together to find the pathway that realizes the greatest benefits for Georgia residents.</w:t>
      </w:r>
    </w:p>
    <w:p w14:paraId="79B428DB" w14:textId="77777777" w:rsidR="009D4380" w:rsidRPr="009D4380" w:rsidRDefault="00A54CB9" w:rsidP="009D4380">
      <w:pPr>
        <w:pStyle w:val="ListParagraph"/>
        <w:numPr>
          <w:ilvl w:val="0"/>
          <w:numId w:val="25"/>
        </w:numPr>
        <w:contextualSpacing w:val="0"/>
        <w:jc w:val="both"/>
        <w:rPr>
          <w:rFonts w:eastAsia="Times New Roman" w:cs="Times New Roman"/>
          <w:sz w:val="24"/>
          <w:szCs w:val="24"/>
        </w:rPr>
      </w:pPr>
      <w:r w:rsidRPr="009D4380">
        <w:rPr>
          <w:rFonts w:eastAsia="Times New Roman" w:cs="Times New Roman"/>
          <w:color w:val="000000"/>
          <w:sz w:val="24"/>
          <w:szCs w:val="24"/>
        </w:rPr>
        <w:t>Rename the “Capacity and Affordability Case Study” to remove the term “Affordability” as this term is misleading since it is not clear to whom this is more affordable. Affordability would require more analysis of bills and segmented impacts as discussed in the following recommendation.</w:t>
      </w:r>
    </w:p>
    <w:p w14:paraId="3C4BAC94" w14:textId="77777777" w:rsidR="009D4380" w:rsidRPr="009D4380" w:rsidRDefault="00A54CB9" w:rsidP="009D4380">
      <w:pPr>
        <w:pStyle w:val="ListParagraph"/>
        <w:numPr>
          <w:ilvl w:val="0"/>
          <w:numId w:val="25"/>
        </w:numPr>
        <w:contextualSpacing w:val="0"/>
        <w:jc w:val="both"/>
        <w:rPr>
          <w:rFonts w:eastAsia="Times New Roman" w:cs="Times New Roman"/>
          <w:sz w:val="24"/>
          <w:szCs w:val="24"/>
        </w:rPr>
      </w:pPr>
      <w:r w:rsidRPr="009D4380">
        <w:rPr>
          <w:rFonts w:eastAsia="Times New Roman" w:cs="Times New Roman"/>
          <w:color w:val="000000"/>
          <w:sz w:val="24"/>
          <w:szCs w:val="24"/>
        </w:rPr>
        <w:t>Share more data on customer arrearage and power shutoffs and identify how targeted demand-side resources at low-income households can be used to reduce both of these.</w:t>
      </w:r>
    </w:p>
    <w:p w14:paraId="27DF92FD" w14:textId="77777777" w:rsidR="002E7471" w:rsidRPr="002E7471" w:rsidRDefault="00A54CB9" w:rsidP="002E7471">
      <w:pPr>
        <w:pStyle w:val="ListParagraph"/>
        <w:numPr>
          <w:ilvl w:val="0"/>
          <w:numId w:val="25"/>
        </w:numPr>
        <w:contextualSpacing w:val="0"/>
        <w:jc w:val="both"/>
        <w:rPr>
          <w:rFonts w:eastAsia="Times New Roman" w:cs="Times New Roman"/>
          <w:sz w:val="24"/>
          <w:szCs w:val="24"/>
        </w:rPr>
      </w:pPr>
      <w:r w:rsidRPr="009D4380">
        <w:rPr>
          <w:rFonts w:eastAsia="Times New Roman" w:cs="Times New Roman"/>
          <w:color w:val="000000"/>
          <w:sz w:val="24"/>
          <w:szCs w:val="24"/>
        </w:rPr>
        <w:lastRenderedPageBreak/>
        <w:t>Increase and diversify the offering of community solar for low-income households with guaranteed discounts that do not rely solely on corporate sponsorship.</w:t>
      </w:r>
    </w:p>
    <w:p w14:paraId="5DF00114" w14:textId="2DBE775F" w:rsidR="008D00E6" w:rsidRPr="008D00E6" w:rsidRDefault="00A54CB9" w:rsidP="008D00E6">
      <w:pPr>
        <w:pStyle w:val="ListParagraph"/>
        <w:numPr>
          <w:ilvl w:val="0"/>
          <w:numId w:val="25"/>
        </w:numPr>
        <w:contextualSpacing w:val="0"/>
        <w:jc w:val="both"/>
        <w:rPr>
          <w:rFonts w:eastAsia="Times New Roman" w:cs="Times New Roman"/>
          <w:sz w:val="24"/>
          <w:szCs w:val="24"/>
        </w:rPr>
      </w:pPr>
      <w:r w:rsidRPr="002E7471">
        <w:rPr>
          <w:rFonts w:eastAsia="Times New Roman" w:cs="Times New Roman"/>
          <w:color w:val="000000"/>
          <w:sz w:val="24"/>
          <w:szCs w:val="24"/>
        </w:rPr>
        <w:t>As systems are put in place for managed smart EV charging, also build programs for management of residential thermostats and hot water heaters. Moreover, set clear minimum targets to ensure rapid development of these vital resources and how to increase their adoption by low-income households.  </w:t>
      </w:r>
    </w:p>
    <w:p w14:paraId="061D2969" w14:textId="4949B563" w:rsidR="00A54CB9" w:rsidRPr="008D00E6" w:rsidRDefault="008D00E6" w:rsidP="008D00E6">
      <w:pPr>
        <w:pStyle w:val="Question"/>
        <w:numPr>
          <w:ilvl w:val="0"/>
          <w:numId w:val="10"/>
        </w:numPr>
        <w:ind w:left="1080" w:hanging="720"/>
        <w:contextualSpacing w:val="0"/>
        <w:jc w:val="both"/>
        <w:rPr>
          <w:rFonts w:eastAsia="Times New Roman" w:cs="Times New Roman"/>
          <w:sz w:val="24"/>
          <w:szCs w:val="24"/>
        </w:rPr>
      </w:pPr>
      <w:r>
        <w:t>Does this conclude your testimony?</w:t>
      </w:r>
    </w:p>
    <w:p w14:paraId="7134037A" w14:textId="77777777" w:rsidR="00541D0D" w:rsidRDefault="00A54CB9" w:rsidP="00541D0D">
      <w:pPr>
        <w:pStyle w:val="ListParagraph"/>
        <w:numPr>
          <w:ilvl w:val="0"/>
          <w:numId w:val="11"/>
        </w:numPr>
        <w:ind w:left="1080" w:hanging="720"/>
        <w:contextualSpacing w:val="0"/>
        <w:jc w:val="both"/>
        <w:rPr>
          <w:rFonts w:eastAsia="Times New Roman" w:cs="Times New Roman"/>
          <w:color w:val="000000"/>
          <w:sz w:val="24"/>
          <w:szCs w:val="24"/>
        </w:rPr>
        <w:sectPr w:rsidR="00541D0D" w:rsidSect="00BF57BB">
          <w:footerReference w:type="default" r:id="rId15"/>
          <w:pgSz w:w="12240" w:h="15840"/>
          <w:pgMar w:top="1440" w:right="1440" w:bottom="1440" w:left="1440" w:header="720" w:footer="720" w:gutter="0"/>
          <w:lnNumType w:countBy="1"/>
          <w:pgNumType w:start="1"/>
          <w:cols w:space="720"/>
          <w:docGrid w:linePitch="360"/>
        </w:sectPr>
      </w:pPr>
      <w:r w:rsidRPr="009D4380">
        <w:rPr>
          <w:rFonts w:eastAsia="Times New Roman" w:cs="Times New Roman"/>
          <w:color w:val="000000"/>
          <w:sz w:val="24"/>
          <w:szCs w:val="24"/>
        </w:rPr>
        <w:t>Yes</w:t>
      </w:r>
      <w:r w:rsidR="009D4380">
        <w:rPr>
          <w:rFonts w:eastAsia="Times New Roman" w:cs="Times New Roman"/>
          <w:color w:val="000000"/>
          <w:sz w:val="24"/>
          <w:szCs w:val="24"/>
        </w:rPr>
        <w:t>.</w:t>
      </w:r>
    </w:p>
    <w:p w14:paraId="245E7EA7" w14:textId="73C846F1" w:rsidR="00541D0D" w:rsidRPr="00541D0D" w:rsidRDefault="00541D0D" w:rsidP="00541D0D">
      <w:pPr>
        <w:suppressLineNumbers/>
        <w:contextualSpacing w:val="0"/>
        <w:jc w:val="center"/>
        <w:rPr>
          <w:rFonts w:eastAsia="Times New Roman" w:cs="Times New Roman"/>
          <w:b/>
          <w:bCs/>
          <w:sz w:val="24"/>
          <w:szCs w:val="24"/>
          <w:u w:val="single"/>
        </w:rPr>
      </w:pPr>
      <w:r w:rsidRPr="00541D0D">
        <w:rPr>
          <w:rFonts w:eastAsia="Times New Roman" w:cs="Times New Roman"/>
          <w:b/>
          <w:bCs/>
          <w:sz w:val="24"/>
          <w:szCs w:val="24"/>
          <w:u w:val="single"/>
        </w:rPr>
        <w:lastRenderedPageBreak/>
        <w:t>VERIFICATION</w:t>
      </w:r>
    </w:p>
    <w:p w14:paraId="426A91D0" w14:textId="77777777" w:rsidR="00541D0D" w:rsidRDefault="00541D0D" w:rsidP="00541D0D">
      <w:pPr>
        <w:suppressLineNumbers/>
        <w:contextualSpacing w:val="0"/>
        <w:jc w:val="both"/>
        <w:rPr>
          <w:rFonts w:eastAsia="Times New Roman" w:cs="Times New Roman"/>
          <w:sz w:val="24"/>
          <w:szCs w:val="24"/>
        </w:rPr>
      </w:pPr>
    </w:p>
    <w:p w14:paraId="021B676B" w14:textId="258BCAFD" w:rsidR="00541D0D" w:rsidRDefault="00541D0D" w:rsidP="00541D0D">
      <w:pPr>
        <w:suppressLineNumbers/>
        <w:ind w:left="0" w:firstLine="720"/>
        <w:contextualSpacing w:val="0"/>
        <w:jc w:val="both"/>
        <w:rPr>
          <w:rFonts w:eastAsia="Times New Roman" w:cs="Times New Roman"/>
          <w:sz w:val="24"/>
          <w:szCs w:val="24"/>
        </w:rPr>
      </w:pPr>
      <w:r>
        <w:rPr>
          <w:rFonts w:eastAsia="Times New Roman" w:cs="Times New Roman"/>
          <w:sz w:val="24"/>
          <w:szCs w:val="24"/>
        </w:rPr>
        <w:t xml:space="preserve">The undersigned, </w:t>
      </w:r>
      <w:r w:rsidRPr="00541D0D">
        <w:rPr>
          <w:rFonts w:eastAsia="Times New Roman" w:cs="Times New Roman"/>
          <w:sz w:val="24"/>
          <w:szCs w:val="24"/>
        </w:rPr>
        <w:t>Yunus Kinkhabwala</w:t>
      </w:r>
      <w:r>
        <w:rPr>
          <w:rFonts w:eastAsia="Times New Roman" w:cs="Times New Roman"/>
          <w:sz w:val="24"/>
          <w:szCs w:val="24"/>
        </w:rPr>
        <w:t>, affirms under the penalties of perjury that the answers in the foregoing Direct Testimony in Docket Nos. 56002 and 56003 before the Georgia Public Service Commission are true to the best of his knowledge, information, and belief.</w:t>
      </w:r>
    </w:p>
    <w:p w14:paraId="7BFE436B" w14:textId="77777777" w:rsidR="00541D0D" w:rsidRDefault="00541D0D" w:rsidP="00541D0D">
      <w:pPr>
        <w:suppressLineNumbers/>
        <w:contextualSpacing w:val="0"/>
        <w:jc w:val="both"/>
        <w:rPr>
          <w:rFonts w:eastAsia="Times New Roman" w:cs="Times New Roman"/>
          <w:sz w:val="24"/>
          <w:szCs w:val="24"/>
        </w:rPr>
      </w:pPr>
    </w:p>
    <w:p w14:paraId="548CB952" w14:textId="183CA3CF" w:rsidR="00541D0D" w:rsidRPr="00541D0D" w:rsidRDefault="00541D0D" w:rsidP="00541D0D">
      <w:pPr>
        <w:suppressLineNumbers/>
        <w:spacing w:line="240" w:lineRule="auto"/>
        <w:contextualSpacing w:val="0"/>
        <w:jc w:val="both"/>
        <w:rPr>
          <w:rFonts w:ascii="Freestyle Script" w:eastAsia="Times New Roman" w:hAnsi="Freestyle Script" w:cs="Times New Roman"/>
          <w:sz w:val="24"/>
          <w:szCs w:val="24"/>
        </w:rPr>
      </w:pPr>
      <w:r>
        <w:rPr>
          <w:rFonts w:eastAsia="Times New Roman" w:cs="Times New Roman"/>
          <w:sz w:val="24"/>
          <w:szCs w:val="24"/>
        </w:rPr>
        <w:tab/>
      </w:r>
      <w:r>
        <w:rPr>
          <w:rFonts w:eastAsia="Times New Roman" w:cs="Times New Roman"/>
          <w:sz w:val="24"/>
          <w:szCs w:val="24"/>
        </w:rPr>
        <w:tab/>
      </w:r>
      <w:r>
        <w:rPr>
          <w:rFonts w:eastAsia="Times New Roman" w:cs="Times New Roman"/>
          <w:sz w:val="24"/>
          <w:szCs w:val="24"/>
        </w:rPr>
        <w:tab/>
      </w:r>
      <w:r>
        <w:rPr>
          <w:rFonts w:eastAsia="Times New Roman" w:cs="Times New Roman"/>
          <w:sz w:val="24"/>
          <w:szCs w:val="24"/>
        </w:rPr>
        <w:tab/>
      </w:r>
      <w:r>
        <w:rPr>
          <w:rFonts w:eastAsia="Times New Roman" w:cs="Times New Roman"/>
          <w:sz w:val="24"/>
          <w:szCs w:val="24"/>
        </w:rPr>
        <w:tab/>
      </w:r>
      <w:r>
        <w:rPr>
          <w:rFonts w:eastAsia="Times New Roman" w:cs="Times New Roman"/>
          <w:sz w:val="24"/>
          <w:szCs w:val="24"/>
        </w:rPr>
        <w:tab/>
      </w:r>
      <w:r>
        <w:rPr>
          <w:rFonts w:eastAsia="Times New Roman" w:cs="Times New Roman"/>
          <w:sz w:val="24"/>
          <w:szCs w:val="24"/>
        </w:rPr>
        <w:tab/>
      </w:r>
      <w:r>
        <w:rPr>
          <w:rFonts w:eastAsia="Times New Roman" w:cs="Times New Roman"/>
          <w:sz w:val="24"/>
          <w:szCs w:val="24"/>
        </w:rPr>
        <w:tab/>
      </w:r>
      <w:r w:rsidRPr="00541D0D">
        <w:rPr>
          <w:rFonts w:ascii="Freestyle Script" w:eastAsia="Times New Roman" w:hAnsi="Freestyle Script" w:cs="Times New Roman"/>
          <w:color w:val="000000"/>
          <w:sz w:val="48"/>
          <w:szCs w:val="48"/>
        </w:rPr>
        <w:t>Yunus Kinkhabwala</w:t>
      </w:r>
    </w:p>
    <w:p w14:paraId="6A368B02" w14:textId="6D834F45" w:rsidR="00541D0D" w:rsidRDefault="00541D0D" w:rsidP="00541D0D">
      <w:pPr>
        <w:suppressLineNumbers/>
        <w:spacing w:line="240" w:lineRule="auto"/>
        <w:ind w:left="6480"/>
        <w:contextualSpacing w:val="0"/>
        <w:jc w:val="both"/>
        <w:rPr>
          <w:rFonts w:eastAsia="Times New Roman" w:cs="Times New Roman"/>
          <w:sz w:val="24"/>
          <w:szCs w:val="24"/>
        </w:rPr>
      </w:pPr>
      <w:r>
        <w:rPr>
          <w:rFonts w:eastAsia="Times New Roman" w:cs="Times New Roman"/>
          <w:sz w:val="24"/>
          <w:szCs w:val="24"/>
        </w:rPr>
        <w:t>______________________________</w:t>
      </w:r>
    </w:p>
    <w:p w14:paraId="7067C46D" w14:textId="1F8F7449" w:rsidR="00541D0D" w:rsidRDefault="00541D0D" w:rsidP="00541D0D">
      <w:pPr>
        <w:suppressLineNumbers/>
        <w:ind w:left="6480"/>
        <w:contextualSpacing w:val="0"/>
        <w:jc w:val="both"/>
        <w:rPr>
          <w:rFonts w:eastAsia="Times New Roman" w:cs="Times New Roman"/>
          <w:color w:val="000000"/>
          <w:sz w:val="24"/>
          <w:szCs w:val="24"/>
        </w:rPr>
      </w:pPr>
      <w:r w:rsidRPr="00A54CB9">
        <w:rPr>
          <w:rFonts w:eastAsia="Times New Roman" w:cs="Times New Roman"/>
          <w:color w:val="000000"/>
          <w:sz w:val="24"/>
          <w:szCs w:val="24"/>
        </w:rPr>
        <w:t>Yunus Kinkhabwala</w:t>
      </w:r>
    </w:p>
    <w:p w14:paraId="24337D00" w14:textId="6FC386C2" w:rsidR="00541D0D" w:rsidRDefault="00541D0D" w:rsidP="00541D0D">
      <w:pPr>
        <w:suppressLineNumbers/>
        <w:ind w:left="6480"/>
        <w:contextualSpacing w:val="0"/>
        <w:jc w:val="both"/>
        <w:rPr>
          <w:rFonts w:eastAsia="Times New Roman" w:cs="Times New Roman"/>
          <w:color w:val="000000"/>
          <w:sz w:val="24"/>
          <w:szCs w:val="24"/>
        </w:rPr>
      </w:pPr>
      <w:r>
        <w:rPr>
          <w:rFonts w:eastAsia="Times New Roman" w:cs="Times New Roman"/>
          <w:color w:val="000000"/>
          <w:sz w:val="24"/>
          <w:szCs w:val="24"/>
        </w:rPr>
        <w:t>PSE Healthy Energy, on behalf of</w:t>
      </w:r>
    </w:p>
    <w:p w14:paraId="48073900" w14:textId="649B0AA6" w:rsidR="00541D0D" w:rsidRPr="00541D0D" w:rsidRDefault="00541D0D" w:rsidP="00541D0D">
      <w:pPr>
        <w:suppressLineNumbers/>
        <w:ind w:left="6480"/>
        <w:contextualSpacing w:val="0"/>
        <w:jc w:val="both"/>
        <w:rPr>
          <w:rFonts w:eastAsia="Times New Roman" w:cs="Times New Roman"/>
          <w:sz w:val="24"/>
          <w:szCs w:val="24"/>
        </w:rPr>
      </w:pPr>
      <w:r>
        <w:rPr>
          <w:rFonts w:eastAsia="Times New Roman" w:cs="Times New Roman"/>
          <w:color w:val="000000"/>
          <w:sz w:val="24"/>
          <w:szCs w:val="24"/>
        </w:rPr>
        <w:t>GA WAND and Vote Solar</w:t>
      </w:r>
    </w:p>
    <w:sectPr w:rsidR="00541D0D" w:rsidRPr="00541D0D" w:rsidSect="00BF57BB">
      <w:pgSz w:w="12240" w:h="15840"/>
      <w:pgMar w:top="1440" w:right="1440" w:bottom="1440" w:left="1440" w:header="720" w:footer="720" w:gutter="0"/>
      <w:lnNumType w:countBy="1"/>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EE738F" w14:textId="77777777" w:rsidR="00DB5A21" w:rsidRDefault="00DB5A21" w:rsidP="00495704">
      <w:pPr>
        <w:spacing w:line="240" w:lineRule="auto"/>
      </w:pPr>
      <w:r>
        <w:separator/>
      </w:r>
    </w:p>
  </w:endnote>
  <w:endnote w:type="continuationSeparator" w:id="0">
    <w:p w14:paraId="74F0161F" w14:textId="77777777" w:rsidR="00DB5A21" w:rsidRDefault="00DB5A21" w:rsidP="0049570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reestyle Script">
    <w:panose1 w:val="030804020302050B0404"/>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828C62" w14:textId="60C69668" w:rsidR="00BF57BB" w:rsidRDefault="00BF57BB" w:rsidP="00BF57BB">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BD0D33" w14:textId="5B870E97" w:rsidR="00BF57BB" w:rsidRDefault="00BF57BB" w:rsidP="00BF57BB">
    <w:pPr>
      <w:pStyle w:val="Footer"/>
      <w:jc w:val="right"/>
    </w:pPr>
    <w:r>
      <w:fldChar w:fldCharType="begin"/>
    </w:r>
    <w:r>
      <w:instrText xml:space="preserve"> PAGE   \* MERGEFORMAT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D442EA" w14:textId="77777777" w:rsidR="00DB5A21" w:rsidRDefault="00DB5A21" w:rsidP="00495704">
      <w:pPr>
        <w:spacing w:line="240" w:lineRule="auto"/>
      </w:pPr>
      <w:r>
        <w:separator/>
      </w:r>
    </w:p>
  </w:footnote>
  <w:footnote w:type="continuationSeparator" w:id="0">
    <w:p w14:paraId="123CCD5B" w14:textId="77777777" w:rsidR="00DB5A21" w:rsidRDefault="00DB5A21" w:rsidP="00495704">
      <w:pPr>
        <w:spacing w:line="240" w:lineRule="auto"/>
      </w:pPr>
      <w:r>
        <w:continuationSeparator/>
      </w:r>
    </w:p>
  </w:footnote>
  <w:footnote w:id="1">
    <w:p w14:paraId="3A95B4BB" w14:textId="36193DFE" w:rsidR="00495704" w:rsidRDefault="00495704" w:rsidP="00495704">
      <w:pPr>
        <w:pStyle w:val="FootnoteText"/>
        <w:ind w:left="0" w:firstLine="0"/>
      </w:pPr>
      <w:r>
        <w:rPr>
          <w:rStyle w:val="FootnoteReference"/>
        </w:rPr>
        <w:footnoteRef/>
      </w:r>
      <w:r>
        <w:t xml:space="preserve"> </w:t>
      </w:r>
      <w:r>
        <w:rPr>
          <w:color w:val="000000"/>
        </w:rPr>
        <w:t xml:space="preserve">Jihoon Min, Zeke Hausfather, and Qi Feng Lin. “A High Resolution Statistical Model of Residential Energy End Use Characteristics for the United States.” Journal of Industrial Ecology. October 2010. </w:t>
      </w:r>
      <w:hyperlink r:id="rId1" w:history="1">
        <w:r>
          <w:rPr>
            <w:rStyle w:val="Hyperlink"/>
            <w:color w:val="1155CC"/>
            <w:shd w:val="clear" w:color="auto" w:fill="FFFFFF"/>
          </w:rPr>
          <w:t>https://doi.org/10.1111/j.1530-9290.2010.00279.x</w:t>
        </w:r>
      </w:hyperlink>
    </w:p>
  </w:footnote>
  <w:footnote w:id="2">
    <w:p w14:paraId="6539EC1F" w14:textId="7C738C89" w:rsidR="00495704" w:rsidRDefault="00495704" w:rsidP="00F72DA0">
      <w:pPr>
        <w:pStyle w:val="FootnoteText"/>
        <w:ind w:left="0" w:firstLine="0"/>
      </w:pPr>
      <w:r>
        <w:rPr>
          <w:rStyle w:val="FootnoteReference"/>
        </w:rPr>
        <w:footnoteRef/>
      </w:r>
      <w:r>
        <w:t xml:space="preserve"> </w:t>
      </w:r>
      <w:r w:rsidR="00F72DA0">
        <w:rPr>
          <w:color w:val="000000"/>
        </w:rPr>
        <w:t>Jones, C. and Kammen, D. M. “Spatial Distribution of US Household Carbon Footprints Reveals Suburbanization Undermines Greenhouse Gas Benefits of Urban Population Density.” Environmental Science &amp; Technology 48.2 (2014): 895-902.</w:t>
      </w:r>
      <w:r w:rsidR="00F72DA0">
        <w:rPr>
          <w:color w:val="1155CC"/>
        </w:rPr>
        <w:t xml:space="preserve"> </w:t>
      </w:r>
      <w:hyperlink r:id="rId2" w:history="1">
        <w:r w:rsidR="00F72DA0">
          <w:rPr>
            <w:rStyle w:val="Hyperlink"/>
            <w:color w:val="1155CC"/>
            <w:shd w:val="clear" w:color="auto" w:fill="FFFFFF"/>
          </w:rPr>
          <w:t>https://doi.org/10.1021/es4034364</w:t>
        </w:r>
      </w:hyperlink>
    </w:p>
  </w:footnote>
  <w:footnote w:id="3">
    <w:p w14:paraId="341BC386" w14:textId="1BEFF6DA" w:rsidR="00F72DA0" w:rsidRDefault="00F72DA0" w:rsidP="00F72DA0">
      <w:pPr>
        <w:pStyle w:val="FootnoteText"/>
        <w:ind w:left="0" w:firstLine="0"/>
      </w:pPr>
      <w:r>
        <w:rPr>
          <w:rStyle w:val="FootnoteReference"/>
        </w:rPr>
        <w:footnoteRef/>
      </w:r>
      <w:r>
        <w:t xml:space="preserve"> </w:t>
      </w:r>
      <w:r w:rsidRPr="00F72DA0">
        <w:t>U.S. Energy Information Administration. “Residential Energy Consumption Survey 2015.” https://www.eia.gov/consumption/residential/data/2015/</w:t>
      </w:r>
    </w:p>
  </w:footnote>
  <w:footnote w:id="4">
    <w:p w14:paraId="40A56D5E" w14:textId="5F7E09C8" w:rsidR="00F72DA0" w:rsidRDefault="00F72DA0" w:rsidP="00F72DA0">
      <w:pPr>
        <w:pStyle w:val="FootnoteText"/>
        <w:ind w:left="0" w:firstLine="0"/>
      </w:pPr>
      <w:r>
        <w:rPr>
          <w:rStyle w:val="FootnoteReference"/>
        </w:rPr>
        <w:footnoteRef/>
      </w:r>
      <w:r>
        <w:t xml:space="preserve"> </w:t>
      </w:r>
      <w:r>
        <w:rPr>
          <w:color w:val="000000"/>
        </w:rPr>
        <w:t>Auer, Emma. “Georgia Utility Watch to provide oversight for Georgia Power.”  University of Georgia WUGA. April 2025. https://www.wuga.org/local-news/2025-04-08/georgia-utility-watch-to-provide-oversight-for-georgia-power?_amp=true</w:t>
      </w:r>
    </w:p>
  </w:footnote>
  <w:footnote w:id="5">
    <w:p w14:paraId="345465C3" w14:textId="5F881613" w:rsidR="00F72DA0" w:rsidRDefault="00F72DA0" w:rsidP="00F72DA0">
      <w:pPr>
        <w:pStyle w:val="FootnoteText"/>
        <w:ind w:left="0" w:firstLine="0"/>
      </w:pPr>
      <w:r>
        <w:rPr>
          <w:rStyle w:val="FootnoteReference"/>
        </w:rPr>
        <w:footnoteRef/>
      </w:r>
      <w:r>
        <w:t xml:space="preserve"> </w:t>
      </w:r>
      <w:r w:rsidRPr="00F72DA0">
        <w:t>“Left in the Dark; Utility Disconnections in the United States.” Just Solutions Collective. December, 2024. https://justsolutionscollective.org/left-in-the-dark-utility-disconnections-in-the-united-states/#6d22292f-fd97-4fa0-8330-a33f4e01457d</w:t>
      </w:r>
    </w:p>
  </w:footnote>
  <w:footnote w:id="6">
    <w:p w14:paraId="64DB37B8" w14:textId="20591D43" w:rsidR="00F72DA0" w:rsidRDefault="00F72DA0" w:rsidP="00F72DA0">
      <w:pPr>
        <w:pStyle w:val="FootnoteText"/>
        <w:ind w:left="0" w:firstLine="0"/>
      </w:pPr>
      <w:r>
        <w:rPr>
          <w:rStyle w:val="FootnoteReference"/>
        </w:rPr>
        <w:footnoteRef/>
      </w:r>
      <w:r>
        <w:t xml:space="preserve"> </w:t>
      </w:r>
      <w:r>
        <w:rPr>
          <w:color w:val="000000"/>
        </w:rPr>
        <w:t>The 6 percent threshold is derived from combining a 1981 amendment to the 1969 Housing and Urban Development Act, which states that housing costs, including utilities, should not exceed 30 percent of gross income, with a conventional rule of thumb that energy-related expenses should not exceed 20 percent of housing costs.</w:t>
      </w:r>
    </w:p>
  </w:footnote>
  <w:footnote w:id="7">
    <w:p w14:paraId="5F69AD2A" w14:textId="39EFBF91" w:rsidR="00F72DA0" w:rsidRDefault="00F72DA0" w:rsidP="00F72DA0">
      <w:pPr>
        <w:pStyle w:val="FootnoteText"/>
        <w:ind w:left="0" w:firstLine="0"/>
      </w:pPr>
      <w:r>
        <w:rPr>
          <w:rStyle w:val="FootnoteReference"/>
        </w:rPr>
        <w:footnoteRef/>
      </w:r>
      <w:r>
        <w:t xml:space="preserve"> </w:t>
      </w:r>
      <w:r>
        <w:rPr>
          <w:color w:val="000000"/>
        </w:rPr>
        <w:t xml:space="preserve">The concept was introduced by Fisher, Sheehan, and Colton, who have provided estimates of the energy affordability gaps down to the county scale across the U.S. for many years. Fisher, Sheehan, and Colton: Home Energy Affordability Gap. </w:t>
      </w:r>
      <w:hyperlink r:id="rId3" w:history="1">
        <w:r>
          <w:rPr>
            <w:rStyle w:val="Hyperlink"/>
            <w:color w:val="1155CC"/>
          </w:rPr>
          <w:t>http://www.homeenergyaffordabilitygap.com/</w:t>
        </w:r>
      </w:hyperlink>
    </w:p>
  </w:footnote>
  <w:footnote w:id="8">
    <w:p w14:paraId="1CD054F4" w14:textId="09BA6874" w:rsidR="00F72DA0" w:rsidRDefault="00F72DA0" w:rsidP="00F72DA0">
      <w:pPr>
        <w:pStyle w:val="FootnoteText"/>
        <w:ind w:left="0" w:firstLine="0"/>
      </w:pPr>
      <w:r>
        <w:rPr>
          <w:rStyle w:val="FootnoteReference"/>
        </w:rPr>
        <w:footnoteRef/>
      </w:r>
      <w:r>
        <w:t xml:space="preserve"> </w:t>
      </w:r>
      <w:r w:rsidRPr="00F72DA0">
        <w:t>“Utility assistance programs”. State of Georgia Public Service Commission. Accessed May 1, 2025. https://psc.ga.gov/about-the-psc/consumer-corner/consumer-advisories/utility-assistance-programs/</w:t>
      </w:r>
    </w:p>
  </w:footnote>
  <w:footnote w:id="9">
    <w:p w14:paraId="55DE07B4" w14:textId="77777777" w:rsidR="00F72DA0" w:rsidRDefault="00F72DA0" w:rsidP="00F72DA0">
      <w:pPr>
        <w:pStyle w:val="FootnoteText"/>
        <w:ind w:left="0" w:firstLine="0"/>
      </w:pPr>
      <w:r>
        <w:rPr>
          <w:rStyle w:val="FootnoteReference"/>
        </w:rPr>
        <w:footnoteRef/>
      </w:r>
      <w:r>
        <w:t xml:space="preserve"> United States Government Administration for Children and Families. “FY 2025 First Award of $3.6 Billion of Regular LIHEAP Block Grant Funds Plus $100.1 Million of LIHEAP Infrastructure</w:t>
      </w:r>
    </w:p>
    <w:p w14:paraId="788A542F" w14:textId="41DA5D55" w:rsidR="00F72DA0" w:rsidRDefault="00F72DA0" w:rsidP="00F72DA0">
      <w:pPr>
        <w:pStyle w:val="FootnoteText"/>
        <w:ind w:left="0" w:firstLine="0"/>
      </w:pPr>
      <w:r>
        <w:t>Investment and Jobs Act (IIJA) Funds to States and Territories”. Accessed May 1, 2025. https://acf.gov/sites/default/files/documents/ocs/CORR_LIHEAP_1stFundingReleaseAtt1_StatesTerrs_FY2025_2.pdf</w:t>
      </w:r>
    </w:p>
  </w:footnote>
  <w:footnote w:id="10">
    <w:p w14:paraId="5FDB2CAF" w14:textId="0B08A00F" w:rsidR="00F72DA0" w:rsidRDefault="00F72DA0" w:rsidP="00F72DA0">
      <w:pPr>
        <w:pStyle w:val="FootnoteText"/>
        <w:ind w:left="0" w:firstLine="0"/>
      </w:pPr>
      <w:r>
        <w:rPr>
          <w:rStyle w:val="FootnoteReference"/>
        </w:rPr>
        <w:footnoteRef/>
      </w:r>
      <w:r>
        <w:t xml:space="preserve"> </w:t>
      </w:r>
      <w:r>
        <w:rPr>
          <w:color w:val="000000"/>
        </w:rPr>
        <w:t>United States Energy Information Agency. “Residential Energy Consumption Survey”. Accessed May 1, 2025. https://www.eia.gov/consumption/residential/data/2020/</w:t>
      </w:r>
    </w:p>
  </w:footnote>
  <w:footnote w:id="11">
    <w:p w14:paraId="33F665BB" w14:textId="6B4D17D2" w:rsidR="00F72DA0" w:rsidRDefault="00F72DA0" w:rsidP="00F72DA0">
      <w:pPr>
        <w:pStyle w:val="FootnoteText"/>
        <w:ind w:left="0" w:firstLine="0"/>
      </w:pPr>
      <w:r>
        <w:rPr>
          <w:rStyle w:val="FootnoteReference"/>
        </w:rPr>
        <w:footnoteRef/>
      </w:r>
      <w:r>
        <w:t xml:space="preserve"> </w:t>
      </w:r>
      <w:r>
        <w:rPr>
          <w:color w:val="000000"/>
        </w:rPr>
        <w:t>State of Georgia. “Georgia’s Home Energy Rebates”. Accessed May 1, 2025. https://energyrebates.georgia.gov/home-electrification-and-appliance-rebates</w:t>
      </w:r>
    </w:p>
  </w:footnote>
  <w:footnote w:id="12">
    <w:p w14:paraId="31955C0C" w14:textId="2540826A" w:rsidR="002E7471" w:rsidRDefault="002E7471" w:rsidP="002E7471">
      <w:pPr>
        <w:pStyle w:val="FootnoteText"/>
        <w:ind w:left="0" w:firstLine="0"/>
      </w:pPr>
      <w:r>
        <w:rPr>
          <w:rStyle w:val="FootnoteReference"/>
        </w:rPr>
        <w:footnoteRef/>
      </w:r>
      <w:r>
        <w:t xml:space="preserve"> </w:t>
      </w:r>
      <w:r w:rsidRPr="002E7471">
        <w:t>United States Department of Energy. “Electric Vehicle Registrations by State”. Accessed on May 1, 2025. https://afdc.energy.gov/data/10962</w:t>
      </w:r>
    </w:p>
  </w:footnote>
  <w:footnote w:id="13">
    <w:p w14:paraId="68577ADB" w14:textId="1CFD152D" w:rsidR="002E7471" w:rsidRDefault="002E7471" w:rsidP="002E7471">
      <w:pPr>
        <w:pStyle w:val="FootnoteText"/>
        <w:ind w:left="0" w:firstLine="0"/>
      </w:pPr>
      <w:r>
        <w:rPr>
          <w:rStyle w:val="FootnoteReference"/>
        </w:rPr>
        <w:footnoteRef/>
      </w:r>
      <w:r>
        <w:t xml:space="preserve"> </w:t>
      </w:r>
      <w:r>
        <w:rPr>
          <w:color w:val="000000"/>
        </w:rPr>
        <w:t>Atlas Public Policy and the Southern Alliance for Clean Energy. “EV Momentum in Georgia”. Accessed on May 1, 2025.  https://www.cleanenergy.org/wp-content/uploads/SACE-One-Pager-Georgia-2024.pdf</w:t>
      </w:r>
    </w:p>
  </w:footnote>
  <w:footnote w:id="14">
    <w:p w14:paraId="101C5DDA" w14:textId="1B0B6885" w:rsidR="002E7471" w:rsidRDefault="002E7471" w:rsidP="002E7471">
      <w:pPr>
        <w:pStyle w:val="FootnoteText"/>
        <w:ind w:left="0" w:firstLine="0"/>
      </w:pPr>
      <w:r>
        <w:rPr>
          <w:rStyle w:val="FootnoteReference"/>
        </w:rPr>
        <w:footnoteRef/>
      </w:r>
      <w:r>
        <w:t xml:space="preserve"> </w:t>
      </w:r>
      <w:r>
        <w:rPr>
          <w:color w:val="000000"/>
        </w:rPr>
        <w:t>Zargary, Shelli. “How Much Electricity Does an Electric Car Use?”. GenCell Energy. November 12, 2023. https://www.gencellenergy.com/resources/blog/ev-charging-power-car-electricity-usage/</w:t>
      </w:r>
    </w:p>
  </w:footnote>
  <w:footnote w:id="15">
    <w:p w14:paraId="5EDAD02A" w14:textId="3F77E71B" w:rsidR="002E7471" w:rsidRDefault="002E7471" w:rsidP="002E7471">
      <w:pPr>
        <w:pStyle w:val="FootnoteText"/>
        <w:ind w:left="0" w:firstLine="0"/>
      </w:pPr>
      <w:r>
        <w:rPr>
          <w:rStyle w:val="FootnoteReference"/>
        </w:rPr>
        <w:footnoteRef/>
      </w:r>
      <w:r>
        <w:t xml:space="preserve"> </w:t>
      </w:r>
      <w:r>
        <w:rPr>
          <w:color w:val="000000"/>
        </w:rPr>
        <w:t>Fischer, Anne. “Georgia commission fails to expand solar net metering program”. PV Magazine. December 21, 2022. https://pv-magazine-usa.com/2022/12/21/georgia-commission-fails-to-expand-solar-net-metering-program/</w:t>
      </w:r>
    </w:p>
  </w:footnote>
  <w:footnote w:id="16">
    <w:p w14:paraId="4446145C" w14:textId="6A4C0C8B" w:rsidR="002E7471" w:rsidRDefault="002E7471" w:rsidP="002E7471">
      <w:pPr>
        <w:pStyle w:val="FootnoteText"/>
        <w:ind w:left="0" w:firstLine="0"/>
      </w:pPr>
      <w:r>
        <w:rPr>
          <w:rStyle w:val="FootnoteReference"/>
        </w:rPr>
        <w:footnoteRef/>
      </w:r>
      <w:r>
        <w:t xml:space="preserve"> </w:t>
      </w:r>
      <w:r w:rsidRPr="002E7471">
        <w:t>Georgia Power. “Income-Qualified Community Solar”. Accessed May 1, 2025. https://www.georgiapower.com/residential/save-money-and-energy/products-programs/residential-solar-solutions/community-solar/income-qualified-community-solar.html</w:t>
      </w:r>
    </w:p>
  </w:footnote>
  <w:footnote w:id="17">
    <w:p w14:paraId="6564C45F" w14:textId="258AF599" w:rsidR="002E7471" w:rsidRDefault="002E7471" w:rsidP="002E7471">
      <w:pPr>
        <w:pStyle w:val="FootnoteText"/>
        <w:ind w:left="0" w:firstLine="0"/>
      </w:pPr>
      <w:r>
        <w:rPr>
          <w:rStyle w:val="FootnoteReference"/>
        </w:rPr>
        <w:footnoteRef/>
      </w:r>
      <w:r>
        <w:t xml:space="preserve"> </w:t>
      </w:r>
      <w:r w:rsidRPr="002E7471">
        <w:t>Lutz, Meris. “Could ‘community solar’ boost renewable energy in Georgia and lower bills?” The Atlanta Journal-Constitution. September 19, 2024.  https://www.ajc.com/news/business/could-community-solar-boost-renewable-energy-in-georgia-and-lower-bills/NL4NFRAFYFD5XDBOQJSU4NEWE4/</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EF7012"/>
    <w:multiLevelType w:val="multilevel"/>
    <w:tmpl w:val="51048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433ACC"/>
    <w:multiLevelType w:val="hybridMultilevel"/>
    <w:tmpl w:val="8C28601E"/>
    <w:lvl w:ilvl="0" w:tplc="FFFFFFFF">
      <w:start w:val="1"/>
      <w:numFmt w:val="upp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61775C"/>
    <w:multiLevelType w:val="hybridMultilevel"/>
    <w:tmpl w:val="0E46F9F4"/>
    <w:lvl w:ilvl="0" w:tplc="E426044E">
      <w:start w:val="1"/>
      <w:numFmt w:val="decimal"/>
      <w:lvlText w:val="A%1."/>
      <w:lvlJc w:val="left"/>
      <w:pPr>
        <w:ind w:left="0" w:firstLine="288"/>
      </w:pPr>
      <w:rPr>
        <w:rFonts w:hint="default"/>
      </w:rPr>
    </w:lvl>
    <w:lvl w:ilvl="1" w:tplc="04090001">
      <w:start w:val="1"/>
      <w:numFmt w:val="bullet"/>
      <w:lvlText w:val=""/>
      <w:lvlJc w:val="left"/>
      <w:pPr>
        <w:ind w:left="720" w:hanging="360"/>
      </w:pPr>
      <w:rPr>
        <w:rFonts w:ascii="Symbol" w:hAnsi="Symbol" w:hint="default"/>
      </w:rPr>
    </w:lvl>
    <w:lvl w:ilvl="2" w:tplc="04090001">
      <w:start w:val="1"/>
      <w:numFmt w:val="bullet"/>
      <w:lvlText w:val=""/>
      <w:lvlJc w:val="left"/>
      <w:pPr>
        <w:ind w:left="1620" w:hanging="360"/>
      </w:pPr>
      <w:rPr>
        <w:rFonts w:ascii="Symbol" w:hAnsi="Symbol" w:hint="default"/>
      </w:r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 w15:restartNumberingAfterBreak="0">
    <w:nsid w:val="09E13B34"/>
    <w:multiLevelType w:val="hybridMultilevel"/>
    <w:tmpl w:val="D24C2366"/>
    <w:lvl w:ilvl="0" w:tplc="47E8F738">
      <w:start w:val="3"/>
      <w:numFmt w:val="upperRoman"/>
      <w:lvlText w:val="%1."/>
      <w:lvlJc w:val="right"/>
      <w:pPr>
        <w:tabs>
          <w:tab w:val="num" w:pos="720"/>
        </w:tabs>
        <w:ind w:left="720" w:hanging="360"/>
      </w:pPr>
    </w:lvl>
    <w:lvl w:ilvl="1" w:tplc="C140624C" w:tentative="1">
      <w:start w:val="1"/>
      <w:numFmt w:val="decimal"/>
      <w:lvlText w:val="%2."/>
      <w:lvlJc w:val="left"/>
      <w:pPr>
        <w:tabs>
          <w:tab w:val="num" w:pos="1440"/>
        </w:tabs>
        <w:ind w:left="1440" w:hanging="360"/>
      </w:pPr>
    </w:lvl>
    <w:lvl w:ilvl="2" w:tplc="82CAE5A4" w:tentative="1">
      <w:start w:val="1"/>
      <w:numFmt w:val="decimal"/>
      <w:lvlText w:val="%3."/>
      <w:lvlJc w:val="left"/>
      <w:pPr>
        <w:tabs>
          <w:tab w:val="num" w:pos="2160"/>
        </w:tabs>
        <w:ind w:left="2160" w:hanging="360"/>
      </w:pPr>
    </w:lvl>
    <w:lvl w:ilvl="3" w:tplc="77B82B72" w:tentative="1">
      <w:start w:val="1"/>
      <w:numFmt w:val="decimal"/>
      <w:lvlText w:val="%4."/>
      <w:lvlJc w:val="left"/>
      <w:pPr>
        <w:tabs>
          <w:tab w:val="num" w:pos="2880"/>
        </w:tabs>
        <w:ind w:left="2880" w:hanging="360"/>
      </w:pPr>
    </w:lvl>
    <w:lvl w:ilvl="4" w:tplc="1444D454" w:tentative="1">
      <w:start w:val="1"/>
      <w:numFmt w:val="decimal"/>
      <w:lvlText w:val="%5."/>
      <w:lvlJc w:val="left"/>
      <w:pPr>
        <w:tabs>
          <w:tab w:val="num" w:pos="3600"/>
        </w:tabs>
        <w:ind w:left="3600" w:hanging="360"/>
      </w:pPr>
    </w:lvl>
    <w:lvl w:ilvl="5" w:tplc="23D617D4" w:tentative="1">
      <w:start w:val="1"/>
      <w:numFmt w:val="decimal"/>
      <w:lvlText w:val="%6."/>
      <w:lvlJc w:val="left"/>
      <w:pPr>
        <w:tabs>
          <w:tab w:val="num" w:pos="4320"/>
        </w:tabs>
        <w:ind w:left="4320" w:hanging="360"/>
      </w:pPr>
    </w:lvl>
    <w:lvl w:ilvl="6" w:tplc="85F6A21C" w:tentative="1">
      <w:start w:val="1"/>
      <w:numFmt w:val="decimal"/>
      <w:lvlText w:val="%7."/>
      <w:lvlJc w:val="left"/>
      <w:pPr>
        <w:tabs>
          <w:tab w:val="num" w:pos="5040"/>
        </w:tabs>
        <w:ind w:left="5040" w:hanging="360"/>
      </w:pPr>
    </w:lvl>
    <w:lvl w:ilvl="7" w:tplc="83EEB39C" w:tentative="1">
      <w:start w:val="1"/>
      <w:numFmt w:val="decimal"/>
      <w:lvlText w:val="%8."/>
      <w:lvlJc w:val="left"/>
      <w:pPr>
        <w:tabs>
          <w:tab w:val="num" w:pos="5760"/>
        </w:tabs>
        <w:ind w:left="5760" w:hanging="360"/>
      </w:pPr>
    </w:lvl>
    <w:lvl w:ilvl="8" w:tplc="070E134C" w:tentative="1">
      <w:start w:val="1"/>
      <w:numFmt w:val="decimal"/>
      <w:lvlText w:val="%9."/>
      <w:lvlJc w:val="left"/>
      <w:pPr>
        <w:tabs>
          <w:tab w:val="num" w:pos="6480"/>
        </w:tabs>
        <w:ind w:left="6480" w:hanging="360"/>
      </w:pPr>
    </w:lvl>
  </w:abstractNum>
  <w:abstractNum w:abstractNumId="4" w15:restartNumberingAfterBreak="0">
    <w:nsid w:val="0E4F2360"/>
    <w:multiLevelType w:val="multilevel"/>
    <w:tmpl w:val="82020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4EF3A55"/>
    <w:multiLevelType w:val="hybridMultilevel"/>
    <w:tmpl w:val="8C28601E"/>
    <w:lvl w:ilvl="0" w:tplc="BB62516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CD26CFF"/>
    <w:multiLevelType w:val="hybridMultilevel"/>
    <w:tmpl w:val="10FC1A76"/>
    <w:lvl w:ilvl="0" w:tplc="DD908E66">
      <w:start w:val="1"/>
      <w:numFmt w:val="decimal"/>
      <w:lvlText w:val="Q%1."/>
      <w:lvlJc w:val="left"/>
      <w:pPr>
        <w:ind w:left="720" w:hanging="360"/>
      </w:pPr>
      <w:rPr>
        <w:rFonts w:hint="default"/>
        <w:b/>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04A00F7"/>
    <w:multiLevelType w:val="hybridMultilevel"/>
    <w:tmpl w:val="4896111C"/>
    <w:lvl w:ilvl="0" w:tplc="FFFFFFFF">
      <w:start w:val="1"/>
      <w:numFmt w:val="decimal"/>
      <w:lvlText w:val="A%1."/>
      <w:lvlJc w:val="left"/>
      <w:pPr>
        <w:ind w:left="0" w:firstLine="288"/>
      </w:pPr>
      <w:rPr>
        <w:rFonts w:hint="default"/>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1620" w:hanging="360"/>
      </w:pPr>
      <w:rPr>
        <w:rFonts w:ascii="Symbol" w:hAnsi="Symbol" w:hint="default"/>
      </w:r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8" w15:restartNumberingAfterBreak="0">
    <w:nsid w:val="20DB2272"/>
    <w:multiLevelType w:val="multilevel"/>
    <w:tmpl w:val="50D094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1394FBE"/>
    <w:multiLevelType w:val="hybridMultilevel"/>
    <w:tmpl w:val="ABFC84D2"/>
    <w:lvl w:ilvl="0" w:tplc="FFFFFFFF">
      <w:start w:val="1"/>
      <w:numFmt w:val="decimal"/>
      <w:lvlText w:val="A%1."/>
      <w:lvlJc w:val="left"/>
      <w:pPr>
        <w:ind w:left="0" w:firstLine="288"/>
      </w:pPr>
      <w:rPr>
        <w:rFonts w:hint="default"/>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1620" w:hanging="360"/>
      </w:pPr>
      <w:rPr>
        <w:rFonts w:ascii="Symbol" w:hAnsi="Symbol" w:hint="default"/>
      </w:r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10" w15:restartNumberingAfterBreak="0">
    <w:nsid w:val="2D69566F"/>
    <w:multiLevelType w:val="hybridMultilevel"/>
    <w:tmpl w:val="4A447398"/>
    <w:lvl w:ilvl="0" w:tplc="FFFFFFFF">
      <w:start w:val="1"/>
      <w:numFmt w:val="decimal"/>
      <w:lvlText w:val="A%1."/>
      <w:lvlJc w:val="left"/>
      <w:pPr>
        <w:ind w:left="0" w:firstLine="288"/>
      </w:pPr>
      <w:rPr>
        <w:rFonts w:hint="default"/>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1620" w:hanging="360"/>
      </w:pPr>
      <w:rPr>
        <w:rFonts w:ascii="Symbol" w:hAnsi="Symbol" w:hint="default"/>
      </w:r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11" w15:restartNumberingAfterBreak="0">
    <w:nsid w:val="2EC74D13"/>
    <w:multiLevelType w:val="multilevel"/>
    <w:tmpl w:val="2020E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7725E7"/>
    <w:multiLevelType w:val="hybridMultilevel"/>
    <w:tmpl w:val="F1D2AEA0"/>
    <w:lvl w:ilvl="0" w:tplc="FFFFFFFF">
      <w:start w:val="1"/>
      <w:numFmt w:val="decimal"/>
      <w:lvlText w:val="A%1."/>
      <w:lvlJc w:val="left"/>
      <w:pPr>
        <w:ind w:left="0" w:firstLine="288"/>
      </w:pPr>
      <w:rPr>
        <w:rFonts w:hint="default"/>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1620" w:hanging="360"/>
      </w:pPr>
      <w:rPr>
        <w:rFonts w:ascii="Symbol" w:hAnsi="Symbol" w:hint="default"/>
      </w:r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13" w15:restartNumberingAfterBreak="0">
    <w:nsid w:val="2FC85261"/>
    <w:multiLevelType w:val="hybridMultilevel"/>
    <w:tmpl w:val="8C28601E"/>
    <w:lvl w:ilvl="0" w:tplc="FFFFFFFF">
      <w:start w:val="1"/>
      <w:numFmt w:val="upp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300C005F"/>
    <w:multiLevelType w:val="hybridMultilevel"/>
    <w:tmpl w:val="8C8A1A1C"/>
    <w:lvl w:ilvl="0" w:tplc="FFFFFFFF">
      <w:start w:val="1"/>
      <w:numFmt w:val="decimal"/>
      <w:lvlText w:val="A%1."/>
      <w:lvlJc w:val="left"/>
      <w:pPr>
        <w:ind w:left="0" w:firstLine="288"/>
      </w:pPr>
      <w:rPr>
        <w:rFonts w:hint="default"/>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1620" w:hanging="360"/>
      </w:pPr>
      <w:rPr>
        <w:rFonts w:ascii="Symbol" w:hAnsi="Symbol" w:hint="default"/>
      </w:r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15" w15:restartNumberingAfterBreak="0">
    <w:nsid w:val="361A389D"/>
    <w:multiLevelType w:val="hybridMultilevel"/>
    <w:tmpl w:val="2946B84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15:restartNumberingAfterBreak="0">
    <w:nsid w:val="395D70A7"/>
    <w:multiLevelType w:val="hybridMultilevel"/>
    <w:tmpl w:val="B1E094F6"/>
    <w:lvl w:ilvl="0" w:tplc="33964736">
      <w:start w:val="1"/>
      <w:numFmt w:val="decimal"/>
      <w:lvlText w:val="Q%1."/>
      <w:lvlJc w:val="left"/>
      <w:pPr>
        <w:ind w:left="720"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E882CF9"/>
    <w:multiLevelType w:val="hybridMultilevel"/>
    <w:tmpl w:val="24342EF6"/>
    <w:lvl w:ilvl="0" w:tplc="DE9EDA52">
      <w:start w:val="4"/>
      <w:numFmt w:val="upperRoman"/>
      <w:lvlText w:val="%1."/>
      <w:lvlJc w:val="right"/>
      <w:pPr>
        <w:tabs>
          <w:tab w:val="num" w:pos="720"/>
        </w:tabs>
        <w:ind w:left="720" w:hanging="360"/>
      </w:pPr>
    </w:lvl>
    <w:lvl w:ilvl="1" w:tplc="3A16E0FE" w:tentative="1">
      <w:start w:val="1"/>
      <w:numFmt w:val="decimal"/>
      <w:lvlText w:val="%2."/>
      <w:lvlJc w:val="left"/>
      <w:pPr>
        <w:tabs>
          <w:tab w:val="num" w:pos="1440"/>
        </w:tabs>
        <w:ind w:left="1440" w:hanging="360"/>
      </w:pPr>
    </w:lvl>
    <w:lvl w:ilvl="2" w:tplc="21A62FA0" w:tentative="1">
      <w:start w:val="1"/>
      <w:numFmt w:val="decimal"/>
      <w:lvlText w:val="%3."/>
      <w:lvlJc w:val="left"/>
      <w:pPr>
        <w:tabs>
          <w:tab w:val="num" w:pos="2160"/>
        </w:tabs>
        <w:ind w:left="2160" w:hanging="360"/>
      </w:pPr>
    </w:lvl>
    <w:lvl w:ilvl="3" w:tplc="730E7574" w:tentative="1">
      <w:start w:val="1"/>
      <w:numFmt w:val="decimal"/>
      <w:lvlText w:val="%4."/>
      <w:lvlJc w:val="left"/>
      <w:pPr>
        <w:tabs>
          <w:tab w:val="num" w:pos="2880"/>
        </w:tabs>
        <w:ind w:left="2880" w:hanging="360"/>
      </w:pPr>
    </w:lvl>
    <w:lvl w:ilvl="4" w:tplc="438CB7D8" w:tentative="1">
      <w:start w:val="1"/>
      <w:numFmt w:val="decimal"/>
      <w:lvlText w:val="%5."/>
      <w:lvlJc w:val="left"/>
      <w:pPr>
        <w:tabs>
          <w:tab w:val="num" w:pos="3600"/>
        </w:tabs>
        <w:ind w:left="3600" w:hanging="360"/>
      </w:pPr>
    </w:lvl>
    <w:lvl w:ilvl="5" w:tplc="8DD8FF32" w:tentative="1">
      <w:start w:val="1"/>
      <w:numFmt w:val="decimal"/>
      <w:lvlText w:val="%6."/>
      <w:lvlJc w:val="left"/>
      <w:pPr>
        <w:tabs>
          <w:tab w:val="num" w:pos="4320"/>
        </w:tabs>
        <w:ind w:left="4320" w:hanging="360"/>
      </w:pPr>
    </w:lvl>
    <w:lvl w:ilvl="6" w:tplc="BF8846D8" w:tentative="1">
      <w:start w:val="1"/>
      <w:numFmt w:val="decimal"/>
      <w:lvlText w:val="%7."/>
      <w:lvlJc w:val="left"/>
      <w:pPr>
        <w:tabs>
          <w:tab w:val="num" w:pos="5040"/>
        </w:tabs>
        <w:ind w:left="5040" w:hanging="360"/>
      </w:pPr>
    </w:lvl>
    <w:lvl w:ilvl="7" w:tplc="337210E4" w:tentative="1">
      <w:start w:val="1"/>
      <w:numFmt w:val="decimal"/>
      <w:lvlText w:val="%8."/>
      <w:lvlJc w:val="left"/>
      <w:pPr>
        <w:tabs>
          <w:tab w:val="num" w:pos="5760"/>
        </w:tabs>
        <w:ind w:left="5760" w:hanging="360"/>
      </w:pPr>
    </w:lvl>
    <w:lvl w:ilvl="8" w:tplc="7E40F54C" w:tentative="1">
      <w:start w:val="1"/>
      <w:numFmt w:val="decimal"/>
      <w:lvlText w:val="%9."/>
      <w:lvlJc w:val="left"/>
      <w:pPr>
        <w:tabs>
          <w:tab w:val="num" w:pos="6480"/>
        </w:tabs>
        <w:ind w:left="6480" w:hanging="360"/>
      </w:pPr>
    </w:lvl>
  </w:abstractNum>
  <w:abstractNum w:abstractNumId="18" w15:restartNumberingAfterBreak="0">
    <w:nsid w:val="3FBC60C4"/>
    <w:multiLevelType w:val="hybridMultilevel"/>
    <w:tmpl w:val="5ED6B152"/>
    <w:lvl w:ilvl="0" w:tplc="FFFFFFFF">
      <w:start w:val="1"/>
      <w:numFmt w:val="decimal"/>
      <w:lvlText w:val="A%1."/>
      <w:lvlJc w:val="left"/>
      <w:pPr>
        <w:ind w:left="0" w:firstLine="288"/>
      </w:pPr>
      <w:rPr>
        <w:rFonts w:hint="default"/>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1620" w:hanging="360"/>
      </w:pPr>
      <w:rPr>
        <w:rFonts w:ascii="Symbol" w:hAnsi="Symbol" w:hint="default"/>
      </w:r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19" w15:restartNumberingAfterBreak="0">
    <w:nsid w:val="43E60A78"/>
    <w:multiLevelType w:val="hybridMultilevel"/>
    <w:tmpl w:val="B38A5C7E"/>
    <w:lvl w:ilvl="0" w:tplc="FFFFFFFF">
      <w:start w:val="1"/>
      <w:numFmt w:val="decimal"/>
      <w:lvlText w:val="A%1."/>
      <w:lvlJc w:val="left"/>
      <w:pPr>
        <w:ind w:left="0" w:firstLine="288"/>
      </w:pPr>
      <w:rPr>
        <w:rFonts w:hint="default"/>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1620" w:hanging="360"/>
      </w:pPr>
      <w:rPr>
        <w:rFonts w:ascii="Symbol" w:hAnsi="Symbol" w:hint="default"/>
      </w:r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20" w15:restartNumberingAfterBreak="0">
    <w:nsid w:val="4E2C3674"/>
    <w:multiLevelType w:val="hybridMultilevel"/>
    <w:tmpl w:val="858815E6"/>
    <w:lvl w:ilvl="0" w:tplc="FFFFFFFF">
      <w:start w:val="1"/>
      <w:numFmt w:val="decimal"/>
      <w:lvlText w:val="A%1."/>
      <w:lvlJc w:val="left"/>
      <w:pPr>
        <w:ind w:left="0" w:firstLine="288"/>
      </w:pPr>
      <w:rPr>
        <w:rFonts w:hint="default"/>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1620" w:hanging="360"/>
      </w:pPr>
      <w:rPr>
        <w:rFonts w:ascii="Symbol" w:hAnsi="Symbol" w:hint="default"/>
      </w:r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21" w15:restartNumberingAfterBreak="0">
    <w:nsid w:val="51FB4AD3"/>
    <w:multiLevelType w:val="hybridMultilevel"/>
    <w:tmpl w:val="92F0A0D8"/>
    <w:lvl w:ilvl="0" w:tplc="A718C39A">
      <w:start w:val="1"/>
      <w:numFmt w:val="decimal"/>
      <w:lvlText w:val="%1."/>
      <w:lvlJc w:val="left"/>
      <w:pPr>
        <w:ind w:left="1440" w:hanging="360"/>
      </w:pPr>
      <w:rPr>
        <w:rFonts w:hint="default"/>
        <w:color w:val="00000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57540A05"/>
    <w:multiLevelType w:val="hybridMultilevel"/>
    <w:tmpl w:val="4C305BBC"/>
    <w:lvl w:ilvl="0" w:tplc="B28C1EF2">
      <w:start w:val="2"/>
      <w:numFmt w:val="upperRoman"/>
      <w:lvlText w:val="%1."/>
      <w:lvlJc w:val="right"/>
      <w:pPr>
        <w:tabs>
          <w:tab w:val="num" w:pos="720"/>
        </w:tabs>
        <w:ind w:left="720" w:hanging="360"/>
      </w:pPr>
    </w:lvl>
    <w:lvl w:ilvl="1" w:tplc="6A42EA6A" w:tentative="1">
      <w:start w:val="1"/>
      <w:numFmt w:val="decimal"/>
      <w:lvlText w:val="%2."/>
      <w:lvlJc w:val="left"/>
      <w:pPr>
        <w:tabs>
          <w:tab w:val="num" w:pos="1440"/>
        </w:tabs>
        <w:ind w:left="1440" w:hanging="360"/>
      </w:pPr>
    </w:lvl>
    <w:lvl w:ilvl="2" w:tplc="632A9902" w:tentative="1">
      <w:start w:val="1"/>
      <w:numFmt w:val="decimal"/>
      <w:lvlText w:val="%3."/>
      <w:lvlJc w:val="left"/>
      <w:pPr>
        <w:tabs>
          <w:tab w:val="num" w:pos="2160"/>
        </w:tabs>
        <w:ind w:left="2160" w:hanging="360"/>
      </w:pPr>
    </w:lvl>
    <w:lvl w:ilvl="3" w:tplc="72C45632" w:tentative="1">
      <w:start w:val="1"/>
      <w:numFmt w:val="decimal"/>
      <w:lvlText w:val="%4."/>
      <w:lvlJc w:val="left"/>
      <w:pPr>
        <w:tabs>
          <w:tab w:val="num" w:pos="2880"/>
        </w:tabs>
        <w:ind w:left="2880" w:hanging="360"/>
      </w:pPr>
    </w:lvl>
    <w:lvl w:ilvl="4" w:tplc="4E245314" w:tentative="1">
      <w:start w:val="1"/>
      <w:numFmt w:val="decimal"/>
      <w:lvlText w:val="%5."/>
      <w:lvlJc w:val="left"/>
      <w:pPr>
        <w:tabs>
          <w:tab w:val="num" w:pos="3600"/>
        </w:tabs>
        <w:ind w:left="3600" w:hanging="360"/>
      </w:pPr>
    </w:lvl>
    <w:lvl w:ilvl="5" w:tplc="88E8BBA4" w:tentative="1">
      <w:start w:val="1"/>
      <w:numFmt w:val="decimal"/>
      <w:lvlText w:val="%6."/>
      <w:lvlJc w:val="left"/>
      <w:pPr>
        <w:tabs>
          <w:tab w:val="num" w:pos="4320"/>
        </w:tabs>
        <w:ind w:left="4320" w:hanging="360"/>
      </w:pPr>
    </w:lvl>
    <w:lvl w:ilvl="6" w:tplc="1EC25A4E" w:tentative="1">
      <w:start w:val="1"/>
      <w:numFmt w:val="decimal"/>
      <w:lvlText w:val="%7."/>
      <w:lvlJc w:val="left"/>
      <w:pPr>
        <w:tabs>
          <w:tab w:val="num" w:pos="5040"/>
        </w:tabs>
        <w:ind w:left="5040" w:hanging="360"/>
      </w:pPr>
    </w:lvl>
    <w:lvl w:ilvl="7" w:tplc="F09AFF0A" w:tentative="1">
      <w:start w:val="1"/>
      <w:numFmt w:val="decimal"/>
      <w:lvlText w:val="%8."/>
      <w:lvlJc w:val="left"/>
      <w:pPr>
        <w:tabs>
          <w:tab w:val="num" w:pos="5760"/>
        </w:tabs>
        <w:ind w:left="5760" w:hanging="360"/>
      </w:pPr>
    </w:lvl>
    <w:lvl w:ilvl="8" w:tplc="E9A4BA40" w:tentative="1">
      <w:start w:val="1"/>
      <w:numFmt w:val="decimal"/>
      <w:lvlText w:val="%9."/>
      <w:lvlJc w:val="left"/>
      <w:pPr>
        <w:tabs>
          <w:tab w:val="num" w:pos="6480"/>
        </w:tabs>
        <w:ind w:left="6480" w:hanging="360"/>
      </w:pPr>
    </w:lvl>
  </w:abstractNum>
  <w:abstractNum w:abstractNumId="23" w15:restartNumberingAfterBreak="0">
    <w:nsid w:val="5A0A721B"/>
    <w:multiLevelType w:val="hybridMultilevel"/>
    <w:tmpl w:val="DD905CD4"/>
    <w:lvl w:ilvl="0" w:tplc="FFFFFFFF">
      <w:start w:val="1"/>
      <w:numFmt w:val="decimal"/>
      <w:lvlText w:val="A%1."/>
      <w:lvlJc w:val="left"/>
      <w:pPr>
        <w:ind w:left="0" w:firstLine="288"/>
      </w:pPr>
      <w:rPr>
        <w:rFonts w:hint="default"/>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1620" w:hanging="360"/>
      </w:pPr>
      <w:rPr>
        <w:rFonts w:ascii="Symbol" w:hAnsi="Symbol" w:hint="default"/>
      </w:r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24" w15:restartNumberingAfterBreak="0">
    <w:nsid w:val="6C7227D3"/>
    <w:multiLevelType w:val="multilevel"/>
    <w:tmpl w:val="FE523E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5405B83"/>
    <w:multiLevelType w:val="hybridMultilevel"/>
    <w:tmpl w:val="894C8D44"/>
    <w:lvl w:ilvl="0" w:tplc="FFFFFFFF">
      <w:start w:val="1"/>
      <w:numFmt w:val="decimal"/>
      <w:lvlText w:val="A%1."/>
      <w:lvlJc w:val="left"/>
      <w:pPr>
        <w:ind w:left="0" w:firstLine="288"/>
      </w:pPr>
      <w:rPr>
        <w:rFonts w:hint="default"/>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1620" w:hanging="360"/>
      </w:pPr>
      <w:rPr>
        <w:rFonts w:ascii="Symbol" w:hAnsi="Symbol" w:hint="default"/>
      </w:r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26" w15:restartNumberingAfterBreak="0">
    <w:nsid w:val="76613DD1"/>
    <w:multiLevelType w:val="hybridMultilevel"/>
    <w:tmpl w:val="9E2A4C7A"/>
    <w:lvl w:ilvl="0" w:tplc="FFFFFFFF">
      <w:start w:val="1"/>
      <w:numFmt w:val="decimal"/>
      <w:lvlText w:val="A%1."/>
      <w:lvlJc w:val="left"/>
      <w:pPr>
        <w:ind w:left="0" w:firstLine="288"/>
      </w:pPr>
      <w:rPr>
        <w:rFonts w:hint="default"/>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1620" w:hanging="360"/>
      </w:pPr>
      <w:rPr>
        <w:rFonts w:ascii="Symbol" w:hAnsi="Symbol" w:hint="default"/>
      </w:r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27" w15:restartNumberingAfterBreak="0">
    <w:nsid w:val="7CDA0746"/>
    <w:multiLevelType w:val="hybridMultilevel"/>
    <w:tmpl w:val="8F8EC49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7EC21C69"/>
    <w:multiLevelType w:val="hybridMultilevel"/>
    <w:tmpl w:val="B1E094F6"/>
    <w:lvl w:ilvl="0" w:tplc="FFFFFFFF">
      <w:start w:val="1"/>
      <w:numFmt w:val="decimal"/>
      <w:lvlText w:val="Q%1."/>
      <w:lvlJc w:val="left"/>
      <w:pPr>
        <w:ind w:left="720"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441264881">
    <w:abstractNumId w:val="8"/>
    <w:lvlOverride w:ilvl="0">
      <w:lvl w:ilvl="0">
        <w:numFmt w:val="upperRoman"/>
        <w:lvlText w:val="%1."/>
        <w:lvlJc w:val="right"/>
      </w:lvl>
    </w:lvlOverride>
  </w:num>
  <w:num w:numId="2" w16cid:durableId="1040783534">
    <w:abstractNumId w:val="24"/>
  </w:num>
  <w:num w:numId="3" w16cid:durableId="1859730302">
    <w:abstractNumId w:val="0"/>
  </w:num>
  <w:num w:numId="4" w16cid:durableId="1380351844">
    <w:abstractNumId w:val="22"/>
  </w:num>
  <w:num w:numId="5" w16cid:durableId="1684743810">
    <w:abstractNumId w:val="3"/>
  </w:num>
  <w:num w:numId="6" w16cid:durableId="185678509">
    <w:abstractNumId w:val="17"/>
  </w:num>
  <w:num w:numId="7" w16cid:durableId="2025589663">
    <w:abstractNumId w:val="11"/>
  </w:num>
  <w:num w:numId="8" w16cid:durableId="1324771857">
    <w:abstractNumId w:val="4"/>
  </w:num>
  <w:num w:numId="9" w16cid:durableId="2130318923">
    <w:abstractNumId w:val="5"/>
  </w:num>
  <w:num w:numId="10" w16cid:durableId="476070344">
    <w:abstractNumId w:val="16"/>
  </w:num>
  <w:num w:numId="11" w16cid:durableId="1432362155">
    <w:abstractNumId w:val="2"/>
  </w:num>
  <w:num w:numId="12" w16cid:durableId="1847593161">
    <w:abstractNumId w:val="6"/>
  </w:num>
  <w:num w:numId="13" w16cid:durableId="1839733486">
    <w:abstractNumId w:val="21"/>
  </w:num>
  <w:num w:numId="14" w16cid:durableId="1508404304">
    <w:abstractNumId w:val="12"/>
  </w:num>
  <w:num w:numId="15" w16cid:durableId="612977081">
    <w:abstractNumId w:val="10"/>
  </w:num>
  <w:num w:numId="16" w16cid:durableId="1989432177">
    <w:abstractNumId w:val="9"/>
  </w:num>
  <w:num w:numId="17" w16cid:durableId="2113894382">
    <w:abstractNumId w:val="14"/>
  </w:num>
  <w:num w:numId="18" w16cid:durableId="171723324">
    <w:abstractNumId w:val="25"/>
  </w:num>
  <w:num w:numId="19" w16cid:durableId="1244144371">
    <w:abstractNumId w:val="19"/>
  </w:num>
  <w:num w:numId="20" w16cid:durableId="28726789">
    <w:abstractNumId w:val="18"/>
  </w:num>
  <w:num w:numId="21" w16cid:durableId="734665471">
    <w:abstractNumId w:val="20"/>
  </w:num>
  <w:num w:numId="22" w16cid:durableId="749694095">
    <w:abstractNumId w:val="27"/>
  </w:num>
  <w:num w:numId="23" w16cid:durableId="816411774">
    <w:abstractNumId w:val="7"/>
  </w:num>
  <w:num w:numId="24" w16cid:durableId="1185946143">
    <w:abstractNumId w:val="23"/>
  </w:num>
  <w:num w:numId="25" w16cid:durableId="1168254549">
    <w:abstractNumId w:val="15"/>
  </w:num>
  <w:num w:numId="26" w16cid:durableId="1065840589">
    <w:abstractNumId w:val="26"/>
  </w:num>
  <w:num w:numId="27" w16cid:durableId="501513630">
    <w:abstractNumId w:val="13"/>
  </w:num>
  <w:num w:numId="28" w16cid:durableId="1553035576">
    <w:abstractNumId w:val="1"/>
  </w:num>
  <w:num w:numId="29" w16cid:durableId="83276612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4CB9"/>
    <w:rsid w:val="000A7E55"/>
    <w:rsid w:val="000E47D6"/>
    <w:rsid w:val="00126428"/>
    <w:rsid w:val="001E5B67"/>
    <w:rsid w:val="002B03AD"/>
    <w:rsid w:val="002E7471"/>
    <w:rsid w:val="00443F35"/>
    <w:rsid w:val="00450C6F"/>
    <w:rsid w:val="00495704"/>
    <w:rsid w:val="004A2E46"/>
    <w:rsid w:val="00526A46"/>
    <w:rsid w:val="00541D0D"/>
    <w:rsid w:val="00554C87"/>
    <w:rsid w:val="005A69D3"/>
    <w:rsid w:val="006F05DD"/>
    <w:rsid w:val="00737EF6"/>
    <w:rsid w:val="00745087"/>
    <w:rsid w:val="008D00E6"/>
    <w:rsid w:val="00953C5C"/>
    <w:rsid w:val="009D4380"/>
    <w:rsid w:val="00A1299E"/>
    <w:rsid w:val="00A40D4F"/>
    <w:rsid w:val="00A54CB9"/>
    <w:rsid w:val="00AE1AFB"/>
    <w:rsid w:val="00BD5250"/>
    <w:rsid w:val="00BF57BB"/>
    <w:rsid w:val="00C601D4"/>
    <w:rsid w:val="00CE09B0"/>
    <w:rsid w:val="00CF7F14"/>
    <w:rsid w:val="00D22458"/>
    <w:rsid w:val="00DB5A21"/>
    <w:rsid w:val="00F6100D"/>
    <w:rsid w:val="00F72D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4FA45E"/>
  <w15:chartTrackingRefBased/>
  <w15:docId w15:val="{00466A03-004F-407D-A58E-11C3795520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4CB9"/>
    <w:pPr>
      <w:spacing w:after="0" w:line="480" w:lineRule="exact"/>
      <w:ind w:left="720" w:hanging="720"/>
      <w:contextualSpacing/>
    </w:pPr>
    <w:rPr>
      <w:rFonts w:ascii="Times New Roman" w:hAnsi="Times New Roman"/>
      <w:kern w:val="0"/>
      <w:sz w:val="23"/>
      <w:szCs w:val="22"/>
      <w14:ligatures w14:val="none"/>
    </w:rPr>
  </w:style>
  <w:style w:type="paragraph" w:styleId="Heading1">
    <w:name w:val="heading 1"/>
    <w:basedOn w:val="Normal"/>
    <w:next w:val="Normal"/>
    <w:link w:val="Heading1Char"/>
    <w:uiPriority w:val="9"/>
    <w:qFormat/>
    <w:rsid w:val="00A54CB9"/>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A54CB9"/>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A54CB9"/>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A54CB9"/>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A54CB9"/>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A54CB9"/>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54CB9"/>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54CB9"/>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54CB9"/>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54CB9"/>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A54CB9"/>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A54CB9"/>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A54CB9"/>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A54CB9"/>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A54CB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54CB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54CB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54CB9"/>
    <w:rPr>
      <w:rFonts w:eastAsiaTheme="majorEastAsia" w:cstheme="majorBidi"/>
      <w:color w:val="272727" w:themeColor="text1" w:themeTint="D8"/>
    </w:rPr>
  </w:style>
  <w:style w:type="paragraph" w:styleId="Title">
    <w:name w:val="Title"/>
    <w:basedOn w:val="Normal"/>
    <w:next w:val="Normal"/>
    <w:link w:val="TitleChar"/>
    <w:uiPriority w:val="10"/>
    <w:qFormat/>
    <w:rsid w:val="00A54CB9"/>
    <w:pPr>
      <w:spacing w:after="80" w:line="240" w:lineRule="auto"/>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54CB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54CB9"/>
    <w:pPr>
      <w:numPr>
        <w:ilvl w:val="1"/>
      </w:numPr>
      <w:ind w:left="720" w:hanging="72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54CB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54CB9"/>
    <w:pPr>
      <w:spacing w:before="160"/>
      <w:jc w:val="center"/>
    </w:pPr>
    <w:rPr>
      <w:i/>
      <w:iCs/>
      <w:color w:val="404040" w:themeColor="text1" w:themeTint="BF"/>
    </w:rPr>
  </w:style>
  <w:style w:type="character" w:customStyle="1" w:styleId="QuoteChar">
    <w:name w:val="Quote Char"/>
    <w:basedOn w:val="DefaultParagraphFont"/>
    <w:link w:val="Quote"/>
    <w:uiPriority w:val="29"/>
    <w:rsid w:val="00A54CB9"/>
    <w:rPr>
      <w:i/>
      <w:iCs/>
      <w:color w:val="404040" w:themeColor="text1" w:themeTint="BF"/>
    </w:rPr>
  </w:style>
  <w:style w:type="paragraph" w:styleId="ListParagraph">
    <w:name w:val="List Paragraph"/>
    <w:basedOn w:val="Normal"/>
    <w:uiPriority w:val="34"/>
    <w:qFormat/>
    <w:rsid w:val="00A54CB9"/>
  </w:style>
  <w:style w:type="character" w:styleId="IntenseEmphasis">
    <w:name w:val="Intense Emphasis"/>
    <w:basedOn w:val="DefaultParagraphFont"/>
    <w:uiPriority w:val="21"/>
    <w:qFormat/>
    <w:rsid w:val="00A54CB9"/>
    <w:rPr>
      <w:i/>
      <w:iCs/>
      <w:color w:val="2F5496" w:themeColor="accent1" w:themeShade="BF"/>
    </w:rPr>
  </w:style>
  <w:style w:type="paragraph" w:styleId="IntenseQuote">
    <w:name w:val="Intense Quote"/>
    <w:basedOn w:val="Normal"/>
    <w:next w:val="Normal"/>
    <w:link w:val="IntenseQuoteChar"/>
    <w:uiPriority w:val="30"/>
    <w:qFormat/>
    <w:rsid w:val="00A54CB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A54CB9"/>
    <w:rPr>
      <w:i/>
      <w:iCs/>
      <w:color w:val="2F5496" w:themeColor="accent1" w:themeShade="BF"/>
    </w:rPr>
  </w:style>
  <w:style w:type="character" w:styleId="IntenseReference">
    <w:name w:val="Intense Reference"/>
    <w:basedOn w:val="DefaultParagraphFont"/>
    <w:uiPriority w:val="32"/>
    <w:qFormat/>
    <w:rsid w:val="00A54CB9"/>
    <w:rPr>
      <w:b/>
      <w:bCs/>
      <w:smallCaps/>
      <w:color w:val="2F5496" w:themeColor="accent1" w:themeShade="BF"/>
      <w:spacing w:val="5"/>
    </w:rPr>
  </w:style>
  <w:style w:type="paragraph" w:customStyle="1" w:styleId="Question">
    <w:name w:val="Question"/>
    <w:basedOn w:val="Normal"/>
    <w:link w:val="QuestionChar"/>
    <w:qFormat/>
    <w:rsid w:val="00A54CB9"/>
    <w:rPr>
      <w:b/>
      <w:smallCaps/>
    </w:rPr>
  </w:style>
  <w:style w:type="character" w:customStyle="1" w:styleId="QuestionChar">
    <w:name w:val="Question Char"/>
    <w:basedOn w:val="DefaultParagraphFont"/>
    <w:link w:val="Question"/>
    <w:rsid w:val="00A54CB9"/>
    <w:rPr>
      <w:rFonts w:ascii="Times New Roman" w:hAnsi="Times New Roman"/>
      <w:b/>
      <w:smallCaps/>
      <w:kern w:val="0"/>
      <w:sz w:val="23"/>
      <w:szCs w:val="22"/>
      <w14:ligatures w14:val="none"/>
    </w:rPr>
  </w:style>
  <w:style w:type="character" w:styleId="LineNumber">
    <w:name w:val="line number"/>
    <w:basedOn w:val="DefaultParagraphFont"/>
    <w:uiPriority w:val="99"/>
    <w:semiHidden/>
    <w:unhideWhenUsed/>
    <w:rsid w:val="00A54CB9"/>
  </w:style>
  <w:style w:type="paragraph" w:styleId="FootnoteText">
    <w:name w:val="footnote text"/>
    <w:basedOn w:val="Normal"/>
    <w:link w:val="FootnoteTextChar"/>
    <w:uiPriority w:val="99"/>
    <w:semiHidden/>
    <w:unhideWhenUsed/>
    <w:rsid w:val="00495704"/>
    <w:pPr>
      <w:spacing w:line="240" w:lineRule="auto"/>
    </w:pPr>
    <w:rPr>
      <w:sz w:val="20"/>
      <w:szCs w:val="20"/>
    </w:rPr>
  </w:style>
  <w:style w:type="character" w:customStyle="1" w:styleId="FootnoteTextChar">
    <w:name w:val="Footnote Text Char"/>
    <w:basedOn w:val="DefaultParagraphFont"/>
    <w:link w:val="FootnoteText"/>
    <w:uiPriority w:val="99"/>
    <w:semiHidden/>
    <w:rsid w:val="00495704"/>
    <w:rPr>
      <w:rFonts w:ascii="Times New Roman" w:hAnsi="Times New Roman"/>
      <w:kern w:val="0"/>
      <w:sz w:val="20"/>
      <w:szCs w:val="20"/>
      <w14:ligatures w14:val="none"/>
    </w:rPr>
  </w:style>
  <w:style w:type="character" w:styleId="FootnoteReference">
    <w:name w:val="footnote reference"/>
    <w:basedOn w:val="DefaultParagraphFont"/>
    <w:uiPriority w:val="99"/>
    <w:semiHidden/>
    <w:unhideWhenUsed/>
    <w:rsid w:val="00495704"/>
    <w:rPr>
      <w:vertAlign w:val="superscript"/>
    </w:rPr>
  </w:style>
  <w:style w:type="character" w:styleId="Hyperlink">
    <w:name w:val="Hyperlink"/>
    <w:basedOn w:val="DefaultParagraphFont"/>
    <w:uiPriority w:val="99"/>
    <w:unhideWhenUsed/>
    <w:rsid w:val="00495704"/>
    <w:rPr>
      <w:color w:val="0000FF"/>
      <w:u w:val="single"/>
    </w:rPr>
  </w:style>
  <w:style w:type="paragraph" w:styleId="TOCHeading">
    <w:name w:val="TOC Heading"/>
    <w:basedOn w:val="Heading1"/>
    <w:next w:val="Normal"/>
    <w:uiPriority w:val="39"/>
    <w:unhideWhenUsed/>
    <w:qFormat/>
    <w:rsid w:val="00CE09B0"/>
    <w:pPr>
      <w:spacing w:before="240" w:after="0" w:line="259" w:lineRule="auto"/>
      <w:ind w:left="0" w:firstLine="0"/>
      <w:contextualSpacing w:val="0"/>
      <w:outlineLvl w:val="9"/>
    </w:pPr>
    <w:rPr>
      <w:sz w:val="32"/>
      <w:szCs w:val="32"/>
    </w:rPr>
  </w:style>
  <w:style w:type="paragraph" w:styleId="TOC1">
    <w:name w:val="toc 1"/>
    <w:basedOn w:val="Normal"/>
    <w:next w:val="Normal"/>
    <w:autoRedefine/>
    <w:uiPriority w:val="39"/>
    <w:unhideWhenUsed/>
    <w:rsid w:val="00BF57BB"/>
    <w:pPr>
      <w:spacing w:after="100"/>
      <w:ind w:left="1080"/>
    </w:pPr>
  </w:style>
  <w:style w:type="paragraph" w:styleId="Header">
    <w:name w:val="header"/>
    <w:basedOn w:val="Normal"/>
    <w:link w:val="HeaderChar"/>
    <w:uiPriority w:val="99"/>
    <w:unhideWhenUsed/>
    <w:rsid w:val="00BF57BB"/>
    <w:pPr>
      <w:tabs>
        <w:tab w:val="center" w:pos="4680"/>
        <w:tab w:val="right" w:pos="9360"/>
      </w:tabs>
      <w:spacing w:line="240" w:lineRule="auto"/>
    </w:pPr>
  </w:style>
  <w:style w:type="character" w:customStyle="1" w:styleId="HeaderChar">
    <w:name w:val="Header Char"/>
    <w:basedOn w:val="DefaultParagraphFont"/>
    <w:link w:val="Header"/>
    <w:uiPriority w:val="99"/>
    <w:rsid w:val="00BF57BB"/>
    <w:rPr>
      <w:rFonts w:ascii="Times New Roman" w:hAnsi="Times New Roman"/>
      <w:kern w:val="0"/>
      <w:sz w:val="23"/>
      <w:szCs w:val="22"/>
      <w14:ligatures w14:val="none"/>
    </w:rPr>
  </w:style>
  <w:style w:type="paragraph" w:styleId="Footer">
    <w:name w:val="footer"/>
    <w:basedOn w:val="Normal"/>
    <w:link w:val="FooterChar"/>
    <w:uiPriority w:val="99"/>
    <w:unhideWhenUsed/>
    <w:rsid w:val="00BF57BB"/>
    <w:pPr>
      <w:tabs>
        <w:tab w:val="center" w:pos="4680"/>
        <w:tab w:val="right" w:pos="9360"/>
      </w:tabs>
      <w:spacing w:line="240" w:lineRule="auto"/>
    </w:pPr>
  </w:style>
  <w:style w:type="character" w:customStyle="1" w:styleId="FooterChar">
    <w:name w:val="Footer Char"/>
    <w:basedOn w:val="DefaultParagraphFont"/>
    <w:link w:val="Footer"/>
    <w:uiPriority w:val="99"/>
    <w:rsid w:val="00BF57BB"/>
    <w:rPr>
      <w:rFonts w:ascii="Times New Roman" w:hAnsi="Times New Roman"/>
      <w:kern w:val="0"/>
      <w:sz w:val="23"/>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670490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_rels/footnotes.xml.rels><?xml version="1.0" encoding="UTF-8" standalone="yes"?>
<Relationships xmlns="http://schemas.openxmlformats.org/package/2006/relationships"><Relationship Id="rId3" Type="http://schemas.openxmlformats.org/officeDocument/2006/relationships/hyperlink" Target="http://www.homeenergyaffordabilitygap.com/" TargetMode="External"/><Relationship Id="rId2" Type="http://schemas.openxmlformats.org/officeDocument/2006/relationships/hyperlink" Target="https://doi.org/10.1021/es4034364" TargetMode="External"/><Relationship Id="rId1" Type="http://schemas.openxmlformats.org/officeDocument/2006/relationships/hyperlink" Target="https://doi.org/10.1111/j.1530-9290.2010.00279.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6DB188-5F5F-42C6-A4C2-12D32A8841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TotalTime>
  <Pages>1</Pages>
  <Words>4568</Words>
  <Characters>26043</Characters>
  <Application>Microsoft Office Word</Application>
  <DocSecurity>0</DocSecurity>
  <Lines>217</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Allison Kvien</dc:creator>
  <cp:keywords/>
  <dc:description/>
  <cp:lastModifiedBy>Allison Kvien</cp:lastModifiedBy>
  <cp:revision>13</cp:revision>
  <cp:lastPrinted>2025-05-02T19:21:00Z</cp:lastPrinted>
  <dcterms:created xsi:type="dcterms:W3CDTF">2025-05-02T14:09:00Z</dcterms:created>
  <dcterms:modified xsi:type="dcterms:W3CDTF">2025-05-02T19:21:00Z</dcterms:modified>
</cp:coreProperties>
</file>