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41ACA" w14:textId="27F3F1D0" w:rsidR="001B609B" w:rsidRDefault="000F7669" w:rsidP="0090422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STF-JKA-</w:t>
      </w:r>
      <w:r w:rsidR="00AE3441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-</w:t>
      </w:r>
      <w:r w:rsidR="00AE3441">
        <w:rPr>
          <w:rFonts w:ascii="Times New Roman" w:hAnsi="Times New Roman"/>
          <w:b/>
          <w:sz w:val="24"/>
        </w:rPr>
        <w:t>40</w:t>
      </w:r>
    </w:p>
    <w:p w14:paraId="327DBF18" w14:textId="77777777" w:rsidR="00904224" w:rsidRDefault="00904224" w:rsidP="00904224">
      <w:pPr>
        <w:spacing w:after="0" w:line="240" w:lineRule="auto"/>
        <w:jc w:val="both"/>
      </w:pPr>
    </w:p>
    <w:p w14:paraId="761EC5A4" w14:textId="77777777" w:rsidR="00904224" w:rsidRDefault="000F7669" w:rsidP="00904224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Question: </w:t>
      </w:r>
    </w:p>
    <w:p w14:paraId="0324DB69" w14:textId="4156057A" w:rsidR="00AA4C77" w:rsidRDefault="000F7669" w:rsidP="00C97B07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br/>
      </w:r>
      <w:r w:rsidR="00AA4C77" w:rsidRPr="00AA4C77">
        <w:rPr>
          <w:rFonts w:ascii="Times New Roman" w:hAnsi="Times New Roman"/>
          <w:sz w:val="24"/>
        </w:rPr>
        <w:t xml:space="preserve">See p. 41 of the Main Document. Why was it considered reasonable not to round the </w:t>
      </w:r>
      <w:r w:rsidR="00C97B07" w:rsidRPr="00AA4C77">
        <w:rPr>
          <w:rFonts w:ascii="Times New Roman" w:hAnsi="Times New Roman"/>
          <w:sz w:val="24"/>
        </w:rPr>
        <w:t>short-term</w:t>
      </w:r>
      <w:r w:rsidR="00AA4C77" w:rsidRPr="00AA4C77">
        <w:rPr>
          <w:rFonts w:ascii="Times New Roman" w:hAnsi="Times New Roman"/>
          <w:sz w:val="24"/>
        </w:rPr>
        <w:t xml:space="preserve"> Reserve Margin Targets, but it was considered important to round the Long-term Reserve Margin Target.</w:t>
      </w:r>
    </w:p>
    <w:p w14:paraId="2E09417E" w14:textId="77777777" w:rsidR="00904224" w:rsidRDefault="00904224" w:rsidP="00C97B07">
      <w:pPr>
        <w:spacing w:after="0"/>
        <w:jc w:val="both"/>
        <w:rPr>
          <w:rFonts w:ascii="Times New Roman" w:hAnsi="Times New Roman"/>
          <w:sz w:val="24"/>
        </w:rPr>
      </w:pPr>
    </w:p>
    <w:p w14:paraId="6A44F7DE" w14:textId="3801F6C1" w:rsidR="001B609B" w:rsidRDefault="000F7669" w:rsidP="00C97B07">
      <w:pPr>
        <w:spacing w:after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Response: </w:t>
      </w:r>
    </w:p>
    <w:p w14:paraId="14846316" w14:textId="77777777" w:rsidR="00904224" w:rsidRDefault="00904224" w:rsidP="00C97B07">
      <w:pPr>
        <w:spacing w:after="0"/>
        <w:jc w:val="both"/>
        <w:rPr>
          <w:rFonts w:ascii="Times New Roman" w:hAnsi="Times New Roman"/>
          <w:sz w:val="24"/>
          <w:u w:val="single"/>
        </w:rPr>
      </w:pPr>
    </w:p>
    <w:p w14:paraId="10D2F893" w14:textId="1D72A007" w:rsidR="00533455" w:rsidRPr="0072154F" w:rsidRDefault="009D214F" w:rsidP="00C97B07">
      <w:pPr>
        <w:jc w:val="both"/>
        <w:rPr>
          <w:rFonts w:ascii="Times New Roman" w:hAnsi="Times New Roman" w:cs="Times New Roman"/>
          <w:sz w:val="24"/>
          <w:szCs w:val="24"/>
        </w:rPr>
      </w:pPr>
      <w:r w:rsidRPr="0072154F">
        <w:rPr>
          <w:rFonts w:ascii="Times New Roman" w:hAnsi="Times New Roman" w:cs="Times New Roman"/>
          <w:sz w:val="24"/>
          <w:szCs w:val="24"/>
        </w:rPr>
        <w:t xml:space="preserve">The results of the long-term reserve margin analysis resulted in a </w:t>
      </w:r>
      <w:r w:rsidR="00D40DB8" w:rsidRPr="0072154F">
        <w:rPr>
          <w:rFonts w:ascii="Times New Roman" w:hAnsi="Times New Roman" w:cs="Times New Roman"/>
          <w:sz w:val="24"/>
          <w:szCs w:val="24"/>
        </w:rPr>
        <w:t>winter target reserve margin (“TRM”) of</w:t>
      </w:r>
      <w:r w:rsidRPr="0072154F">
        <w:rPr>
          <w:rFonts w:ascii="Times New Roman" w:hAnsi="Times New Roman" w:cs="Times New Roman"/>
          <w:sz w:val="24"/>
          <w:szCs w:val="24"/>
        </w:rPr>
        <w:t xml:space="preserve"> </w:t>
      </w:r>
      <w:r w:rsidR="00C77AEE" w:rsidRPr="0072154F">
        <w:rPr>
          <w:rFonts w:ascii="Times New Roman" w:hAnsi="Times New Roman" w:cs="Times New Roman"/>
          <w:sz w:val="24"/>
          <w:szCs w:val="24"/>
        </w:rPr>
        <w:t>26.00% and</w:t>
      </w:r>
      <w:r w:rsidR="00D40DB8" w:rsidRPr="0072154F">
        <w:rPr>
          <w:rFonts w:ascii="Times New Roman" w:hAnsi="Times New Roman" w:cs="Times New Roman"/>
          <w:sz w:val="24"/>
          <w:szCs w:val="24"/>
        </w:rPr>
        <w:t xml:space="preserve"> a summer TRM of</w:t>
      </w:r>
      <w:r w:rsidR="00C77AEE" w:rsidRPr="0072154F">
        <w:rPr>
          <w:rFonts w:ascii="Times New Roman" w:hAnsi="Times New Roman" w:cs="Times New Roman"/>
          <w:sz w:val="24"/>
          <w:szCs w:val="24"/>
        </w:rPr>
        <w:t xml:space="preserve"> 20.00%. </w:t>
      </w:r>
      <w:r w:rsidR="00DB7107" w:rsidRPr="0072154F">
        <w:rPr>
          <w:rFonts w:ascii="Times New Roman" w:hAnsi="Times New Roman" w:cs="Times New Roman"/>
          <w:sz w:val="24"/>
          <w:szCs w:val="24"/>
        </w:rPr>
        <w:t>The 1:10 loss of load expectation (</w:t>
      </w:r>
      <w:r w:rsidR="000B7017">
        <w:rPr>
          <w:rFonts w:ascii="Times New Roman" w:hAnsi="Times New Roman" w:cs="Times New Roman"/>
          <w:sz w:val="24"/>
          <w:szCs w:val="24"/>
        </w:rPr>
        <w:t>“</w:t>
      </w:r>
      <w:r w:rsidR="00DB7107" w:rsidRPr="0072154F">
        <w:rPr>
          <w:rFonts w:ascii="Times New Roman" w:hAnsi="Times New Roman" w:cs="Times New Roman"/>
          <w:sz w:val="24"/>
          <w:szCs w:val="24"/>
        </w:rPr>
        <w:t>LOLE</w:t>
      </w:r>
      <w:r w:rsidR="000B7017">
        <w:rPr>
          <w:rFonts w:ascii="Times New Roman" w:hAnsi="Times New Roman" w:cs="Times New Roman"/>
          <w:sz w:val="24"/>
          <w:szCs w:val="24"/>
        </w:rPr>
        <w:t>”</w:t>
      </w:r>
      <w:r w:rsidR="00DB7107" w:rsidRPr="0072154F">
        <w:rPr>
          <w:rFonts w:ascii="Times New Roman" w:hAnsi="Times New Roman" w:cs="Times New Roman"/>
          <w:sz w:val="24"/>
          <w:szCs w:val="24"/>
        </w:rPr>
        <w:t>) threshold for winter was 25.75%. However, the risk-adjusted economic optimal reserve margin (</w:t>
      </w:r>
      <w:r w:rsidR="000B7017">
        <w:rPr>
          <w:rFonts w:ascii="Times New Roman" w:hAnsi="Times New Roman" w:cs="Times New Roman"/>
          <w:sz w:val="24"/>
          <w:szCs w:val="24"/>
        </w:rPr>
        <w:t>“</w:t>
      </w:r>
      <w:r w:rsidR="00DB7107" w:rsidRPr="0072154F">
        <w:rPr>
          <w:rFonts w:ascii="Times New Roman" w:hAnsi="Times New Roman" w:cs="Times New Roman"/>
          <w:sz w:val="24"/>
          <w:szCs w:val="24"/>
        </w:rPr>
        <w:t>EORM</w:t>
      </w:r>
      <w:r w:rsidR="000B7017">
        <w:rPr>
          <w:rFonts w:ascii="Times New Roman" w:hAnsi="Times New Roman" w:cs="Times New Roman"/>
          <w:sz w:val="24"/>
          <w:szCs w:val="24"/>
        </w:rPr>
        <w:t>”</w:t>
      </w:r>
      <w:r w:rsidR="00DB7107" w:rsidRPr="0072154F">
        <w:rPr>
          <w:rFonts w:ascii="Times New Roman" w:hAnsi="Times New Roman" w:cs="Times New Roman"/>
          <w:sz w:val="24"/>
          <w:szCs w:val="24"/>
        </w:rPr>
        <w:t>) confidence intervals</w:t>
      </w:r>
      <w:r w:rsidR="00217DB4" w:rsidRPr="0072154F">
        <w:rPr>
          <w:rFonts w:ascii="Times New Roman" w:hAnsi="Times New Roman" w:cs="Times New Roman"/>
          <w:sz w:val="24"/>
          <w:szCs w:val="24"/>
        </w:rPr>
        <w:t xml:space="preserve"> continued to</w:t>
      </w:r>
      <w:r w:rsidR="00DB7107" w:rsidRPr="0072154F">
        <w:rPr>
          <w:rFonts w:ascii="Times New Roman" w:hAnsi="Times New Roman" w:cs="Times New Roman"/>
          <w:sz w:val="24"/>
          <w:szCs w:val="24"/>
        </w:rPr>
        <w:t xml:space="preserve"> support the</w:t>
      </w:r>
      <w:r w:rsidR="00533455" w:rsidRPr="0072154F">
        <w:rPr>
          <w:rFonts w:ascii="Times New Roman" w:hAnsi="Times New Roman" w:cs="Times New Roman"/>
          <w:sz w:val="24"/>
          <w:szCs w:val="24"/>
        </w:rPr>
        <w:t xml:space="preserve"> current</w:t>
      </w:r>
      <w:r w:rsidR="00DB7107" w:rsidRPr="0072154F">
        <w:rPr>
          <w:rFonts w:ascii="Times New Roman" w:hAnsi="Times New Roman" w:cs="Times New Roman"/>
          <w:sz w:val="24"/>
          <w:szCs w:val="24"/>
        </w:rPr>
        <w:t xml:space="preserve"> 26.00% recommendation. </w:t>
      </w:r>
      <w:r w:rsidR="007E4A95" w:rsidRPr="0072154F">
        <w:rPr>
          <w:rFonts w:ascii="Times New Roman" w:hAnsi="Times New Roman" w:cs="Times New Roman"/>
          <w:sz w:val="24"/>
          <w:szCs w:val="24"/>
        </w:rPr>
        <w:t>A 26.00% Winter TRM is</w:t>
      </w:r>
      <w:r w:rsidR="00533455" w:rsidRPr="0072154F">
        <w:rPr>
          <w:rFonts w:ascii="Times New Roman" w:hAnsi="Times New Roman" w:cs="Times New Roman"/>
          <w:sz w:val="24"/>
          <w:szCs w:val="24"/>
        </w:rPr>
        <w:t xml:space="preserve"> also</w:t>
      </w:r>
      <w:r w:rsidR="007E4A95" w:rsidRPr="0072154F">
        <w:rPr>
          <w:rFonts w:ascii="Times New Roman" w:hAnsi="Times New Roman" w:cs="Times New Roman"/>
          <w:sz w:val="24"/>
          <w:szCs w:val="24"/>
        </w:rPr>
        <w:t xml:space="preserve"> consistent with results from the 2018 and 2021 Reserve Margin Studies</w:t>
      </w:r>
      <w:r w:rsidR="00533455" w:rsidRPr="0072154F">
        <w:rPr>
          <w:rFonts w:ascii="Times New Roman" w:hAnsi="Times New Roman" w:cs="Times New Roman"/>
          <w:sz w:val="24"/>
          <w:szCs w:val="24"/>
        </w:rPr>
        <w:t xml:space="preserve"> and</w:t>
      </w:r>
      <w:r w:rsidR="007E4A95" w:rsidRPr="0072154F">
        <w:rPr>
          <w:rFonts w:ascii="Times New Roman" w:hAnsi="Times New Roman" w:cs="Times New Roman"/>
          <w:sz w:val="24"/>
          <w:szCs w:val="24"/>
        </w:rPr>
        <w:t xml:space="preserve"> </w:t>
      </w:r>
      <w:r w:rsidR="00533455" w:rsidRPr="0072154F">
        <w:rPr>
          <w:rFonts w:ascii="Times New Roman" w:hAnsi="Times New Roman" w:cs="Times New Roman"/>
          <w:sz w:val="24"/>
          <w:szCs w:val="24"/>
        </w:rPr>
        <w:t>m</w:t>
      </w:r>
      <w:r w:rsidR="007E4A95" w:rsidRPr="0072154F">
        <w:rPr>
          <w:rFonts w:ascii="Times New Roman" w:hAnsi="Times New Roman" w:cs="Times New Roman"/>
          <w:sz w:val="24"/>
          <w:szCs w:val="24"/>
        </w:rPr>
        <w:t>aintaining this TRM provides stability to the integrated resource planning process.</w:t>
      </w:r>
      <w:r w:rsidR="00533455" w:rsidRPr="0072154F">
        <w:rPr>
          <w:rFonts w:ascii="Times New Roman" w:hAnsi="Times New Roman" w:cs="Times New Roman"/>
          <w:sz w:val="24"/>
          <w:szCs w:val="24"/>
        </w:rPr>
        <w:t xml:space="preserve"> </w:t>
      </w:r>
      <w:r w:rsidR="00B13DDC" w:rsidRPr="0072154F">
        <w:rPr>
          <w:rFonts w:ascii="Times New Roman" w:hAnsi="Times New Roman" w:cs="Times New Roman"/>
          <w:sz w:val="24"/>
          <w:szCs w:val="24"/>
        </w:rPr>
        <w:t xml:space="preserve">See Figure 3 on page </w:t>
      </w:r>
      <w:r w:rsidR="00C97B07">
        <w:rPr>
          <w:rFonts w:ascii="Times New Roman" w:hAnsi="Times New Roman" w:cs="Times New Roman"/>
          <w:sz w:val="24"/>
          <w:szCs w:val="24"/>
        </w:rPr>
        <w:t>(</w:t>
      </w:r>
      <w:r w:rsidR="00B13DDC" w:rsidRPr="0072154F">
        <w:rPr>
          <w:rFonts w:ascii="Times New Roman" w:hAnsi="Times New Roman" w:cs="Times New Roman"/>
          <w:sz w:val="24"/>
          <w:szCs w:val="24"/>
        </w:rPr>
        <w:t>vii</w:t>
      </w:r>
      <w:r w:rsidR="002C5CE4" w:rsidRPr="0072154F">
        <w:rPr>
          <w:rFonts w:ascii="Times New Roman" w:hAnsi="Times New Roman" w:cs="Times New Roman"/>
          <w:sz w:val="24"/>
          <w:szCs w:val="24"/>
        </w:rPr>
        <w:t>i</w:t>
      </w:r>
      <w:r w:rsidR="00C97B07">
        <w:rPr>
          <w:rFonts w:ascii="Times New Roman" w:hAnsi="Times New Roman" w:cs="Times New Roman"/>
          <w:sz w:val="24"/>
          <w:szCs w:val="24"/>
        </w:rPr>
        <w:t>)</w:t>
      </w:r>
      <w:r w:rsidR="002C5CE4" w:rsidRPr="0072154F">
        <w:rPr>
          <w:rFonts w:ascii="Times New Roman" w:hAnsi="Times New Roman" w:cs="Times New Roman"/>
          <w:sz w:val="24"/>
          <w:szCs w:val="24"/>
        </w:rPr>
        <w:t xml:space="preserve"> of the 2024 Reserve Margin Study provided in Technical Appendix </w:t>
      </w:r>
      <w:r w:rsidR="00FD407F" w:rsidRPr="0072154F">
        <w:rPr>
          <w:rFonts w:ascii="Times New Roman" w:hAnsi="Times New Roman" w:cs="Times New Roman"/>
          <w:sz w:val="24"/>
          <w:szCs w:val="24"/>
        </w:rPr>
        <w:t>Volume 1</w:t>
      </w:r>
      <w:r w:rsidR="00847D21" w:rsidRPr="0072154F">
        <w:rPr>
          <w:rFonts w:ascii="Times New Roman" w:hAnsi="Times New Roman" w:cs="Times New Roman"/>
          <w:sz w:val="24"/>
          <w:szCs w:val="24"/>
        </w:rPr>
        <w:t xml:space="preserve"> for the winter season confidence intervals considered.</w:t>
      </w:r>
    </w:p>
    <w:p w14:paraId="201B8F65" w14:textId="5B3E272F" w:rsidR="00157C3C" w:rsidRPr="0072154F" w:rsidRDefault="00AC2E3E" w:rsidP="00C97B07">
      <w:pPr>
        <w:jc w:val="both"/>
        <w:rPr>
          <w:rFonts w:ascii="Times New Roman" w:hAnsi="Times New Roman" w:cs="Times New Roman"/>
          <w:sz w:val="24"/>
          <w:szCs w:val="24"/>
        </w:rPr>
      </w:pPr>
      <w:r w:rsidRPr="0072154F">
        <w:rPr>
          <w:rFonts w:ascii="Times New Roman" w:hAnsi="Times New Roman" w:cs="Times New Roman"/>
          <w:sz w:val="24"/>
          <w:szCs w:val="24"/>
        </w:rPr>
        <w:t xml:space="preserve">The minimum acceptable summer </w:t>
      </w:r>
      <w:r w:rsidR="00C97B07">
        <w:rPr>
          <w:rFonts w:ascii="Times New Roman" w:hAnsi="Times New Roman" w:cs="Times New Roman"/>
          <w:sz w:val="24"/>
          <w:szCs w:val="24"/>
        </w:rPr>
        <w:t>TRM</w:t>
      </w:r>
      <w:r w:rsidRPr="0072154F">
        <w:rPr>
          <w:rFonts w:ascii="Times New Roman" w:hAnsi="Times New Roman" w:cs="Times New Roman"/>
          <w:sz w:val="24"/>
          <w:szCs w:val="24"/>
        </w:rPr>
        <w:t xml:space="preserve"> was 19.55% based on the annual 1:10 LOLE threshold. However, none of the risk-adjusted EORM confidence intervals supported a TRM below 20.00%.</w:t>
      </w:r>
      <w:r w:rsidR="004E780B" w:rsidRPr="0072154F">
        <w:rPr>
          <w:rFonts w:ascii="Times New Roman" w:hAnsi="Times New Roman" w:cs="Times New Roman"/>
          <w:sz w:val="24"/>
          <w:szCs w:val="24"/>
        </w:rPr>
        <w:t xml:space="preserve"> </w:t>
      </w:r>
      <w:r w:rsidR="00847D21" w:rsidRPr="0072154F">
        <w:rPr>
          <w:rFonts w:ascii="Times New Roman" w:hAnsi="Times New Roman" w:cs="Times New Roman"/>
          <w:sz w:val="24"/>
          <w:szCs w:val="24"/>
        </w:rPr>
        <w:t xml:space="preserve">See Figure 4 on page </w:t>
      </w:r>
      <w:r w:rsidR="00882002">
        <w:rPr>
          <w:rFonts w:ascii="Times New Roman" w:hAnsi="Times New Roman" w:cs="Times New Roman"/>
          <w:sz w:val="24"/>
          <w:szCs w:val="24"/>
        </w:rPr>
        <w:t>(</w:t>
      </w:r>
      <w:r w:rsidR="00847D21" w:rsidRPr="0072154F">
        <w:rPr>
          <w:rFonts w:ascii="Times New Roman" w:hAnsi="Times New Roman" w:cs="Times New Roman"/>
          <w:sz w:val="24"/>
          <w:szCs w:val="24"/>
        </w:rPr>
        <w:t>ix</w:t>
      </w:r>
      <w:r w:rsidR="00882002">
        <w:rPr>
          <w:rFonts w:ascii="Times New Roman" w:hAnsi="Times New Roman" w:cs="Times New Roman"/>
          <w:sz w:val="24"/>
          <w:szCs w:val="24"/>
        </w:rPr>
        <w:t>)</w:t>
      </w:r>
      <w:r w:rsidR="00847D21" w:rsidRPr="0072154F">
        <w:rPr>
          <w:rFonts w:ascii="Times New Roman" w:hAnsi="Times New Roman" w:cs="Times New Roman"/>
          <w:sz w:val="24"/>
          <w:szCs w:val="24"/>
        </w:rPr>
        <w:t xml:space="preserve"> of the 2024 Reserve Margin Study provided in Technical Appendix Volume 1 for the </w:t>
      </w:r>
      <w:r w:rsidR="00750C48">
        <w:rPr>
          <w:rFonts w:ascii="Times New Roman" w:hAnsi="Times New Roman" w:cs="Times New Roman"/>
          <w:sz w:val="24"/>
          <w:szCs w:val="24"/>
        </w:rPr>
        <w:t>summer</w:t>
      </w:r>
      <w:r w:rsidR="00847D21" w:rsidRPr="0072154F">
        <w:rPr>
          <w:rFonts w:ascii="Times New Roman" w:hAnsi="Times New Roman" w:cs="Times New Roman"/>
          <w:sz w:val="24"/>
          <w:szCs w:val="24"/>
        </w:rPr>
        <w:t xml:space="preserve"> season confidence intervals considered.</w:t>
      </w:r>
    </w:p>
    <w:p w14:paraId="56581AB6" w14:textId="45C5C26E" w:rsidR="00157C3C" w:rsidRPr="0072154F" w:rsidRDefault="00723088" w:rsidP="00C97B07">
      <w:pPr>
        <w:jc w:val="both"/>
        <w:rPr>
          <w:rFonts w:ascii="Times New Roman" w:hAnsi="Times New Roman" w:cs="Times New Roman"/>
          <w:sz w:val="24"/>
          <w:szCs w:val="24"/>
        </w:rPr>
      </w:pPr>
      <w:r w:rsidRPr="0072154F">
        <w:rPr>
          <w:rFonts w:ascii="Times New Roman" w:hAnsi="Times New Roman" w:cs="Times New Roman"/>
          <w:sz w:val="24"/>
          <w:szCs w:val="24"/>
        </w:rPr>
        <w:t>T</w:t>
      </w:r>
      <w:r w:rsidR="00195227" w:rsidRPr="0072154F">
        <w:rPr>
          <w:rFonts w:ascii="Times New Roman" w:hAnsi="Times New Roman" w:cs="Times New Roman"/>
          <w:sz w:val="24"/>
          <w:szCs w:val="24"/>
        </w:rPr>
        <w:t>he short-term analysis support</w:t>
      </w:r>
      <w:r w:rsidRPr="0072154F">
        <w:rPr>
          <w:rFonts w:ascii="Times New Roman" w:hAnsi="Times New Roman" w:cs="Times New Roman"/>
          <w:sz w:val="24"/>
          <w:szCs w:val="24"/>
        </w:rPr>
        <w:t>ed</w:t>
      </w:r>
      <w:r w:rsidR="00195227" w:rsidRPr="0072154F">
        <w:rPr>
          <w:rFonts w:ascii="Times New Roman" w:hAnsi="Times New Roman" w:cs="Times New Roman"/>
          <w:sz w:val="24"/>
          <w:szCs w:val="24"/>
        </w:rPr>
        <w:t xml:space="preserve"> an adjustment of 0.50%</w:t>
      </w:r>
      <w:r w:rsidR="002435C6">
        <w:rPr>
          <w:rFonts w:ascii="Times New Roman" w:hAnsi="Times New Roman" w:cs="Times New Roman"/>
          <w:sz w:val="24"/>
          <w:szCs w:val="24"/>
        </w:rPr>
        <w:t>,</w:t>
      </w:r>
      <w:r w:rsidRPr="0072154F">
        <w:rPr>
          <w:rFonts w:ascii="Times New Roman" w:hAnsi="Times New Roman" w:cs="Times New Roman"/>
          <w:sz w:val="24"/>
          <w:szCs w:val="24"/>
        </w:rPr>
        <w:t xml:space="preserve"> which </w:t>
      </w:r>
      <w:r w:rsidR="006E6ACA" w:rsidRPr="0072154F">
        <w:rPr>
          <w:rFonts w:ascii="Times New Roman" w:hAnsi="Times New Roman" w:cs="Times New Roman"/>
          <w:sz w:val="24"/>
          <w:szCs w:val="24"/>
        </w:rPr>
        <w:t xml:space="preserve">is consistent with the 2018 and 2022 Reserve Margin Studies. </w:t>
      </w:r>
      <w:r w:rsidR="003C4A59" w:rsidRPr="0072154F">
        <w:rPr>
          <w:rFonts w:ascii="Times New Roman" w:hAnsi="Times New Roman" w:cs="Times New Roman"/>
          <w:sz w:val="24"/>
          <w:szCs w:val="24"/>
        </w:rPr>
        <w:t xml:space="preserve">Maintaining the current short-term reserve margin </w:t>
      </w:r>
      <w:r w:rsidR="0072154F" w:rsidRPr="0072154F">
        <w:rPr>
          <w:rFonts w:ascii="Times New Roman" w:hAnsi="Times New Roman" w:cs="Times New Roman"/>
          <w:sz w:val="24"/>
          <w:szCs w:val="24"/>
        </w:rPr>
        <w:t>adjustment provides stability to the integrated resource planning process.</w:t>
      </w:r>
    </w:p>
    <w:p w14:paraId="1313FBEC" w14:textId="77777777" w:rsidR="00C97B07" w:rsidRPr="0072154F" w:rsidRDefault="00C97B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97B07" w:rsidRPr="0072154F" w:rsidSect="0070372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4CE92" w14:textId="77777777" w:rsidR="001349CA" w:rsidRDefault="001349CA">
      <w:pPr>
        <w:spacing w:after="0" w:line="240" w:lineRule="auto"/>
      </w:pPr>
      <w:r>
        <w:separator/>
      </w:r>
    </w:p>
  </w:endnote>
  <w:endnote w:type="continuationSeparator" w:id="0">
    <w:p w14:paraId="1BF47500" w14:textId="77777777" w:rsidR="001349CA" w:rsidRDefault="001349CA">
      <w:pPr>
        <w:spacing w:after="0" w:line="240" w:lineRule="auto"/>
      </w:pPr>
      <w:r>
        <w:continuationSeparator/>
      </w:r>
    </w:p>
  </w:endnote>
  <w:endnote w:type="continuationNotice" w:id="1">
    <w:p w14:paraId="0A8D9343" w14:textId="77777777" w:rsidR="001349CA" w:rsidRDefault="001349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7503" w14:textId="3CB72CC7" w:rsidR="001B609B" w:rsidRPr="00904224" w:rsidRDefault="000F7669">
    <w:pPr>
      <w:pStyle w:val="Footer"/>
    </w:pPr>
    <w:r w:rsidRPr="00904224">
      <w:rPr>
        <w:rFonts w:ascii="Times New Roman" w:hAnsi="Times New Roman"/>
        <w:sz w:val="24"/>
      </w:rPr>
      <w:t>Contact:</w:t>
    </w:r>
    <w:r w:rsidR="00132969" w:rsidRPr="00904224">
      <w:rPr>
        <w:rFonts w:ascii="Times New Roman" w:hAnsi="Times New Roman"/>
        <w:sz w:val="24"/>
      </w:rPr>
      <w:t xml:space="preserve"> Brandon Looney/Randy Hubbert</w:t>
    </w:r>
    <w:r w:rsidRPr="00904224">
      <w:rPr>
        <w:rFonts w:ascii="Times New Roman" w:hAnsi="Times New Roman"/>
        <w:sz w:val="24"/>
      </w:rPr>
      <w:tab/>
    </w:r>
    <w:r w:rsidRPr="00904224">
      <w:rPr>
        <w:rFonts w:ascii="Times New Roman" w:hAnsi="Times New Roman"/>
        <w:sz w:val="24"/>
      </w:rPr>
      <w:tab/>
      <w:t xml:space="preserve">Page </w:t>
    </w:r>
    <w:r w:rsidRPr="00904224">
      <w:rPr>
        <w:rFonts w:ascii="Times New Roman" w:hAnsi="Times New Roman"/>
        <w:sz w:val="24"/>
      </w:rPr>
      <w:fldChar w:fldCharType="begin"/>
    </w:r>
    <w:r w:rsidRPr="00904224">
      <w:rPr>
        <w:rFonts w:ascii="Times New Roman" w:hAnsi="Times New Roman"/>
        <w:sz w:val="24"/>
      </w:rPr>
      <w:instrText xml:space="preserve"> PAGE  \* Arabic  \* MERGEFORMAT </w:instrText>
    </w:r>
    <w:r w:rsidRPr="00904224">
      <w:rPr>
        <w:rFonts w:ascii="Times New Roman" w:hAnsi="Times New Roman"/>
        <w:sz w:val="24"/>
      </w:rPr>
      <w:fldChar w:fldCharType="separate"/>
    </w:r>
    <w:r w:rsidRPr="00904224">
      <w:rPr>
        <w:rFonts w:ascii="Times New Roman" w:hAnsi="Times New Roman"/>
        <w:noProof/>
        <w:sz w:val="24"/>
      </w:rPr>
      <w:t>1</w:t>
    </w:r>
    <w:r w:rsidRPr="00904224">
      <w:rPr>
        <w:rFonts w:ascii="Times New Roman" w:hAnsi="Times New Roman"/>
        <w:sz w:val="24"/>
      </w:rPr>
      <w:fldChar w:fldCharType="end"/>
    </w:r>
    <w:r w:rsidRPr="00904224">
      <w:rPr>
        <w:rFonts w:ascii="Times New Roman" w:hAnsi="Times New Roman"/>
        <w:sz w:val="24"/>
      </w:rPr>
      <w:t xml:space="preserve"> of </w:t>
    </w:r>
    <w:r w:rsidRPr="00904224">
      <w:rPr>
        <w:rFonts w:ascii="Times New Roman" w:hAnsi="Times New Roman"/>
        <w:sz w:val="24"/>
      </w:rPr>
      <w:fldChar w:fldCharType="begin"/>
    </w:r>
    <w:r w:rsidRPr="00904224">
      <w:rPr>
        <w:rFonts w:ascii="Times New Roman" w:hAnsi="Times New Roman"/>
        <w:sz w:val="24"/>
      </w:rPr>
      <w:instrText xml:space="preserve"> NUMPAGES  \* Arabic  \* MERGEFORMAT </w:instrText>
    </w:r>
    <w:r w:rsidRPr="00904224">
      <w:rPr>
        <w:rFonts w:ascii="Times New Roman" w:hAnsi="Times New Roman"/>
        <w:sz w:val="24"/>
      </w:rPr>
      <w:fldChar w:fldCharType="separate"/>
    </w:r>
    <w:r w:rsidRPr="00904224">
      <w:rPr>
        <w:rFonts w:ascii="Times New Roman" w:hAnsi="Times New Roman"/>
        <w:noProof/>
        <w:sz w:val="24"/>
      </w:rPr>
      <w:t>2</w:t>
    </w:r>
    <w:r w:rsidRPr="00904224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B9C7" w14:textId="77777777" w:rsidR="001349CA" w:rsidRDefault="001349CA">
      <w:pPr>
        <w:spacing w:after="0" w:line="240" w:lineRule="auto"/>
      </w:pPr>
      <w:r>
        <w:separator/>
      </w:r>
    </w:p>
  </w:footnote>
  <w:footnote w:type="continuationSeparator" w:id="0">
    <w:p w14:paraId="7BB0C709" w14:textId="77777777" w:rsidR="001349CA" w:rsidRDefault="001349CA">
      <w:pPr>
        <w:spacing w:after="0" w:line="240" w:lineRule="auto"/>
      </w:pPr>
      <w:r>
        <w:continuationSeparator/>
      </w:r>
    </w:p>
  </w:footnote>
  <w:footnote w:type="continuationNotice" w:id="1">
    <w:p w14:paraId="2B311D0C" w14:textId="77777777" w:rsidR="001349CA" w:rsidRDefault="001349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9EF9" w14:textId="77777777" w:rsidR="00703727" w:rsidRPr="003C46BC" w:rsidRDefault="00703727" w:rsidP="0070372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4F4A7ED6" w14:textId="77777777" w:rsidR="00703727" w:rsidRPr="003C46BC" w:rsidRDefault="00703727" w:rsidP="0070372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77F0C369" w14:textId="77777777" w:rsidR="00703727" w:rsidRPr="003C46BC" w:rsidRDefault="00703727" w:rsidP="0070372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6A859405" w14:textId="77777777" w:rsidR="00703727" w:rsidRPr="003C46BC" w:rsidRDefault="00703727" w:rsidP="00703727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218C6DD8" w14:textId="77777777" w:rsidR="00703727" w:rsidRPr="003C46BC" w:rsidRDefault="00703727" w:rsidP="00703727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235EABC5" w14:textId="77777777" w:rsidR="00703727" w:rsidRDefault="00703727" w:rsidP="00703727">
    <w:pPr>
      <w:pStyle w:val="Header"/>
    </w:pPr>
  </w:p>
  <w:p w14:paraId="7A0F7581" w14:textId="4401B7FE" w:rsidR="001B609B" w:rsidRPr="00703727" w:rsidRDefault="001B609B" w:rsidP="007037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9474147">
    <w:abstractNumId w:val="8"/>
  </w:num>
  <w:num w:numId="2" w16cid:durableId="1029338560">
    <w:abstractNumId w:val="6"/>
  </w:num>
  <w:num w:numId="3" w16cid:durableId="382602548">
    <w:abstractNumId w:val="5"/>
  </w:num>
  <w:num w:numId="4" w16cid:durableId="1837842784">
    <w:abstractNumId w:val="4"/>
  </w:num>
  <w:num w:numId="5" w16cid:durableId="613292241">
    <w:abstractNumId w:val="7"/>
  </w:num>
  <w:num w:numId="6" w16cid:durableId="2026126379">
    <w:abstractNumId w:val="3"/>
  </w:num>
  <w:num w:numId="7" w16cid:durableId="85465509">
    <w:abstractNumId w:val="2"/>
  </w:num>
  <w:num w:numId="8" w16cid:durableId="551382181">
    <w:abstractNumId w:val="1"/>
  </w:num>
  <w:num w:numId="9" w16cid:durableId="22631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AE7"/>
    <w:rsid w:val="00011F40"/>
    <w:rsid w:val="000145FB"/>
    <w:rsid w:val="00015810"/>
    <w:rsid w:val="00034616"/>
    <w:rsid w:val="0006063C"/>
    <w:rsid w:val="00063C88"/>
    <w:rsid w:val="000735A7"/>
    <w:rsid w:val="00081C1E"/>
    <w:rsid w:val="00081F82"/>
    <w:rsid w:val="000A7AFB"/>
    <w:rsid w:val="000B7017"/>
    <w:rsid w:val="000B7D57"/>
    <w:rsid w:val="000C1C1A"/>
    <w:rsid w:val="000C441B"/>
    <w:rsid w:val="000C4BA4"/>
    <w:rsid w:val="000D4E48"/>
    <w:rsid w:val="000D534E"/>
    <w:rsid w:val="000F7669"/>
    <w:rsid w:val="00101000"/>
    <w:rsid w:val="00125F06"/>
    <w:rsid w:val="00130E11"/>
    <w:rsid w:val="00132969"/>
    <w:rsid w:val="001349CA"/>
    <w:rsid w:val="00140391"/>
    <w:rsid w:val="0015074B"/>
    <w:rsid w:val="00155103"/>
    <w:rsid w:val="00157C3C"/>
    <w:rsid w:val="00174080"/>
    <w:rsid w:val="00180C0A"/>
    <w:rsid w:val="00195227"/>
    <w:rsid w:val="001A5C02"/>
    <w:rsid w:val="001B152F"/>
    <w:rsid w:val="001B609B"/>
    <w:rsid w:val="001F57E4"/>
    <w:rsid w:val="00217DB4"/>
    <w:rsid w:val="00221071"/>
    <w:rsid w:val="00230006"/>
    <w:rsid w:val="00236696"/>
    <w:rsid w:val="002435C6"/>
    <w:rsid w:val="00251611"/>
    <w:rsid w:val="00277BE0"/>
    <w:rsid w:val="002805CE"/>
    <w:rsid w:val="0028304B"/>
    <w:rsid w:val="002878D8"/>
    <w:rsid w:val="0029555A"/>
    <w:rsid w:val="0029639D"/>
    <w:rsid w:val="002A3BE5"/>
    <w:rsid w:val="002C564B"/>
    <w:rsid w:val="002C5CE4"/>
    <w:rsid w:val="002C6E71"/>
    <w:rsid w:val="002C7CC4"/>
    <w:rsid w:val="00320DBD"/>
    <w:rsid w:val="00326F90"/>
    <w:rsid w:val="0035135F"/>
    <w:rsid w:val="003544FC"/>
    <w:rsid w:val="0037652A"/>
    <w:rsid w:val="0038115E"/>
    <w:rsid w:val="003846DB"/>
    <w:rsid w:val="003970EE"/>
    <w:rsid w:val="003A2FE1"/>
    <w:rsid w:val="003A45E8"/>
    <w:rsid w:val="003A4E36"/>
    <w:rsid w:val="003C4A59"/>
    <w:rsid w:val="003D20DC"/>
    <w:rsid w:val="003D70F9"/>
    <w:rsid w:val="00404984"/>
    <w:rsid w:val="004114C2"/>
    <w:rsid w:val="00444FD0"/>
    <w:rsid w:val="004542F5"/>
    <w:rsid w:val="00456457"/>
    <w:rsid w:val="004628B6"/>
    <w:rsid w:val="004654B7"/>
    <w:rsid w:val="004825D3"/>
    <w:rsid w:val="004A2F9C"/>
    <w:rsid w:val="004A4E46"/>
    <w:rsid w:val="004C0BA2"/>
    <w:rsid w:val="004E780B"/>
    <w:rsid w:val="00506363"/>
    <w:rsid w:val="00516D9D"/>
    <w:rsid w:val="00533455"/>
    <w:rsid w:val="0053379C"/>
    <w:rsid w:val="00563B2F"/>
    <w:rsid w:val="00580CF8"/>
    <w:rsid w:val="005954A9"/>
    <w:rsid w:val="005C5A73"/>
    <w:rsid w:val="005D7549"/>
    <w:rsid w:val="005E03C2"/>
    <w:rsid w:val="005F3241"/>
    <w:rsid w:val="00624718"/>
    <w:rsid w:val="006358A3"/>
    <w:rsid w:val="00637AFB"/>
    <w:rsid w:val="006403C5"/>
    <w:rsid w:val="00670649"/>
    <w:rsid w:val="00670D7E"/>
    <w:rsid w:val="00674CA4"/>
    <w:rsid w:val="00684D0C"/>
    <w:rsid w:val="00697930"/>
    <w:rsid w:val="006C343A"/>
    <w:rsid w:val="006D157A"/>
    <w:rsid w:val="006D21C7"/>
    <w:rsid w:val="006D59F3"/>
    <w:rsid w:val="006D7D06"/>
    <w:rsid w:val="006E1CAA"/>
    <w:rsid w:val="006E61CF"/>
    <w:rsid w:val="006E6ACA"/>
    <w:rsid w:val="007035D5"/>
    <w:rsid w:val="00703727"/>
    <w:rsid w:val="00720031"/>
    <w:rsid w:val="0072154F"/>
    <w:rsid w:val="00723088"/>
    <w:rsid w:val="007303EE"/>
    <w:rsid w:val="00735613"/>
    <w:rsid w:val="00735BCB"/>
    <w:rsid w:val="00750C48"/>
    <w:rsid w:val="007515A3"/>
    <w:rsid w:val="0075272D"/>
    <w:rsid w:val="00757A94"/>
    <w:rsid w:val="00780761"/>
    <w:rsid w:val="00787BA1"/>
    <w:rsid w:val="007910F5"/>
    <w:rsid w:val="007A4F45"/>
    <w:rsid w:val="007C3254"/>
    <w:rsid w:val="007E4A95"/>
    <w:rsid w:val="007F7668"/>
    <w:rsid w:val="008120FC"/>
    <w:rsid w:val="00812E09"/>
    <w:rsid w:val="00831D65"/>
    <w:rsid w:val="00834A21"/>
    <w:rsid w:val="0083520D"/>
    <w:rsid w:val="00836765"/>
    <w:rsid w:val="00843E9F"/>
    <w:rsid w:val="00847D21"/>
    <w:rsid w:val="00863A3D"/>
    <w:rsid w:val="00867BD7"/>
    <w:rsid w:val="00871CB6"/>
    <w:rsid w:val="00875626"/>
    <w:rsid w:val="00882002"/>
    <w:rsid w:val="008B3D4D"/>
    <w:rsid w:val="008B6BB5"/>
    <w:rsid w:val="008B7470"/>
    <w:rsid w:val="008C0699"/>
    <w:rsid w:val="008C215D"/>
    <w:rsid w:val="009020EC"/>
    <w:rsid w:val="00904224"/>
    <w:rsid w:val="00906648"/>
    <w:rsid w:val="00925FC8"/>
    <w:rsid w:val="00930A86"/>
    <w:rsid w:val="00955419"/>
    <w:rsid w:val="00956E80"/>
    <w:rsid w:val="00956FAB"/>
    <w:rsid w:val="009814CB"/>
    <w:rsid w:val="00982323"/>
    <w:rsid w:val="00983A52"/>
    <w:rsid w:val="0098409E"/>
    <w:rsid w:val="0098557A"/>
    <w:rsid w:val="00987D8A"/>
    <w:rsid w:val="009A23E2"/>
    <w:rsid w:val="009C47B1"/>
    <w:rsid w:val="009C5987"/>
    <w:rsid w:val="009D14F8"/>
    <w:rsid w:val="009D214F"/>
    <w:rsid w:val="009E13B3"/>
    <w:rsid w:val="009F0152"/>
    <w:rsid w:val="00A16519"/>
    <w:rsid w:val="00A16863"/>
    <w:rsid w:val="00A1688A"/>
    <w:rsid w:val="00A31C27"/>
    <w:rsid w:val="00A40DED"/>
    <w:rsid w:val="00A722F6"/>
    <w:rsid w:val="00A8106F"/>
    <w:rsid w:val="00A84012"/>
    <w:rsid w:val="00A96E3A"/>
    <w:rsid w:val="00AA1794"/>
    <w:rsid w:val="00AA1D8D"/>
    <w:rsid w:val="00AA4C77"/>
    <w:rsid w:val="00AA5C92"/>
    <w:rsid w:val="00AA70DB"/>
    <w:rsid w:val="00AB1769"/>
    <w:rsid w:val="00AC2E3E"/>
    <w:rsid w:val="00AC306A"/>
    <w:rsid w:val="00AE3441"/>
    <w:rsid w:val="00B13DDC"/>
    <w:rsid w:val="00B33DE8"/>
    <w:rsid w:val="00B47730"/>
    <w:rsid w:val="00B5100B"/>
    <w:rsid w:val="00BA2D6F"/>
    <w:rsid w:val="00BB2079"/>
    <w:rsid w:val="00BC22C1"/>
    <w:rsid w:val="00BC2DA2"/>
    <w:rsid w:val="00BE1168"/>
    <w:rsid w:val="00BF5B4D"/>
    <w:rsid w:val="00C0636D"/>
    <w:rsid w:val="00C14C3B"/>
    <w:rsid w:val="00C24E4B"/>
    <w:rsid w:val="00C2792B"/>
    <w:rsid w:val="00C456B6"/>
    <w:rsid w:val="00C56566"/>
    <w:rsid w:val="00C77AEE"/>
    <w:rsid w:val="00C803B8"/>
    <w:rsid w:val="00C97B07"/>
    <w:rsid w:val="00CB0664"/>
    <w:rsid w:val="00CC6225"/>
    <w:rsid w:val="00CD1C62"/>
    <w:rsid w:val="00D116D4"/>
    <w:rsid w:val="00D40DB8"/>
    <w:rsid w:val="00D45650"/>
    <w:rsid w:val="00D45794"/>
    <w:rsid w:val="00D50CD7"/>
    <w:rsid w:val="00D65918"/>
    <w:rsid w:val="00D84263"/>
    <w:rsid w:val="00D858CB"/>
    <w:rsid w:val="00D859EF"/>
    <w:rsid w:val="00D94FBF"/>
    <w:rsid w:val="00DA51F7"/>
    <w:rsid w:val="00DB7107"/>
    <w:rsid w:val="00DD2F03"/>
    <w:rsid w:val="00DE0649"/>
    <w:rsid w:val="00DE364A"/>
    <w:rsid w:val="00DE5148"/>
    <w:rsid w:val="00DF2C03"/>
    <w:rsid w:val="00DF2E6C"/>
    <w:rsid w:val="00E64FF0"/>
    <w:rsid w:val="00E664FB"/>
    <w:rsid w:val="00E80F2F"/>
    <w:rsid w:val="00E876E0"/>
    <w:rsid w:val="00EA22E6"/>
    <w:rsid w:val="00EA4AE4"/>
    <w:rsid w:val="00EB654C"/>
    <w:rsid w:val="00EC288F"/>
    <w:rsid w:val="00ED0262"/>
    <w:rsid w:val="00EF43D2"/>
    <w:rsid w:val="00F01E4D"/>
    <w:rsid w:val="00F11877"/>
    <w:rsid w:val="00F23BC4"/>
    <w:rsid w:val="00F26E54"/>
    <w:rsid w:val="00F33CC9"/>
    <w:rsid w:val="00F37085"/>
    <w:rsid w:val="00F464A3"/>
    <w:rsid w:val="00F645F5"/>
    <w:rsid w:val="00F7474B"/>
    <w:rsid w:val="00F80896"/>
    <w:rsid w:val="00F97266"/>
    <w:rsid w:val="00FA14E5"/>
    <w:rsid w:val="00FA5D92"/>
    <w:rsid w:val="00FC59B5"/>
    <w:rsid w:val="00FC693F"/>
    <w:rsid w:val="00FC6B29"/>
    <w:rsid w:val="00FD407F"/>
    <w:rsid w:val="0A3E006B"/>
    <w:rsid w:val="0F8B6BE1"/>
    <w:rsid w:val="2EA84353"/>
    <w:rsid w:val="53D9732C"/>
    <w:rsid w:val="68AC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877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69793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979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79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79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9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93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9793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75BA1-9861-4ABA-B6E8-131EDCF08DB2}"/>
</file>

<file path=customXml/itemProps2.xml><?xml version="1.0" encoding="utf-8"?>
<ds:datastoreItem xmlns:ds="http://schemas.openxmlformats.org/officeDocument/2006/customXml" ds:itemID="{4ADD1C85-F8F5-4848-BAD7-3ADC9C8B9146}"/>
</file>

<file path=customXml/itemProps3.xml><?xml version="1.0" encoding="utf-8"?>
<ds:datastoreItem xmlns:ds="http://schemas.openxmlformats.org/officeDocument/2006/customXml" ds:itemID="{93BDAA9C-899A-4870-BEBD-05459D2A29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Manager/>
  <Company/>
  <LinksUpToDate>false</LinksUpToDate>
  <CharactersWithSpaces>1519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2025-03-21T15:29:00Z</dcterms:created>
  <dcterms:modified xsi:type="dcterms:W3CDTF">2025-03-21T15:29:00Z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2025-03-21T15:29:24Z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6ac7ea0f-9946-4bc5-a272-55a69252457b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