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32882" w14:textId="1622AAD9" w:rsidR="00676A5D" w:rsidRPr="003C4752" w:rsidRDefault="008E3137">
      <w:pPr>
        <w:rPr>
          <w:rFonts w:ascii="Times New Roman" w:hAnsi="Times New Roman" w:cs="Times New Roman"/>
          <w:sz w:val="24"/>
          <w:szCs w:val="24"/>
        </w:rPr>
      </w:pPr>
      <w:r w:rsidRPr="003C4752">
        <w:rPr>
          <w:rFonts w:ascii="Times New Roman" w:hAnsi="Times New Roman" w:cs="Times New Roman"/>
          <w:b/>
          <w:sz w:val="24"/>
          <w:szCs w:val="24"/>
        </w:rPr>
        <w:t>STF-</w:t>
      </w:r>
      <w:r w:rsidR="00735113" w:rsidRPr="003C4752">
        <w:rPr>
          <w:rFonts w:ascii="Times New Roman" w:hAnsi="Times New Roman" w:cs="Times New Roman"/>
          <w:b/>
          <w:sz w:val="24"/>
          <w:szCs w:val="24"/>
        </w:rPr>
        <w:t>JK</w:t>
      </w:r>
      <w:r w:rsidRPr="003C4752">
        <w:rPr>
          <w:rFonts w:ascii="Times New Roman" w:hAnsi="Times New Roman" w:cs="Times New Roman"/>
          <w:b/>
          <w:sz w:val="24"/>
          <w:szCs w:val="24"/>
        </w:rPr>
        <w:t>A-</w:t>
      </w:r>
      <w:r w:rsidR="00735113" w:rsidRPr="003C4752">
        <w:rPr>
          <w:rFonts w:ascii="Times New Roman" w:hAnsi="Times New Roman" w:cs="Times New Roman"/>
          <w:b/>
          <w:sz w:val="24"/>
          <w:szCs w:val="24"/>
        </w:rPr>
        <w:t>2-</w:t>
      </w:r>
      <w:r w:rsidR="0034122A" w:rsidRPr="003C4752">
        <w:rPr>
          <w:rFonts w:ascii="Times New Roman" w:hAnsi="Times New Roman" w:cs="Times New Roman"/>
          <w:b/>
          <w:sz w:val="24"/>
          <w:szCs w:val="24"/>
        </w:rPr>
        <w:t>3</w:t>
      </w:r>
      <w:r w:rsidR="00406221" w:rsidRPr="003C4752">
        <w:rPr>
          <w:rFonts w:ascii="Times New Roman" w:hAnsi="Times New Roman" w:cs="Times New Roman"/>
          <w:b/>
          <w:sz w:val="24"/>
          <w:szCs w:val="24"/>
        </w:rPr>
        <w:t>4</w:t>
      </w:r>
    </w:p>
    <w:p w14:paraId="5085D187" w14:textId="77777777" w:rsidR="00676A5D" w:rsidRPr="003C4752" w:rsidRDefault="008E3137">
      <w:pPr>
        <w:jc w:val="both"/>
        <w:rPr>
          <w:rFonts w:ascii="Times New Roman" w:hAnsi="Times New Roman" w:cs="Times New Roman"/>
          <w:sz w:val="24"/>
          <w:szCs w:val="24"/>
        </w:rPr>
      </w:pPr>
      <w:r w:rsidRPr="003C4752">
        <w:rPr>
          <w:rFonts w:ascii="Times New Roman" w:hAnsi="Times New Roman" w:cs="Times New Roman"/>
          <w:sz w:val="24"/>
          <w:szCs w:val="24"/>
          <w:u w:val="single"/>
        </w:rPr>
        <w:t>Question:</w:t>
      </w:r>
    </w:p>
    <w:p w14:paraId="0D472D1C" w14:textId="0A475E67" w:rsidR="00406221" w:rsidRPr="003C4752" w:rsidRDefault="00406221" w:rsidP="00406221">
      <w:pPr>
        <w:spacing w:after="12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752">
        <w:rPr>
          <w:rFonts w:ascii="Times New Roman" w:hAnsi="Times New Roman" w:cs="Times New Roman"/>
          <w:sz w:val="24"/>
          <w:szCs w:val="24"/>
        </w:rPr>
        <w:t>Refer to Technical Appendix Volume 2 “2025 IRP Resource Mix Study TRADE SECRET.docx” Table 3: Capital Structure.</w:t>
      </w:r>
    </w:p>
    <w:p w14:paraId="640C4D1C" w14:textId="77777777" w:rsidR="00101C57" w:rsidRDefault="00406221" w:rsidP="00101C57">
      <w:pPr>
        <w:pStyle w:val="ListParagraph"/>
        <w:numPr>
          <w:ilvl w:val="0"/>
          <w:numId w:val="12"/>
        </w:numPr>
        <w:tabs>
          <w:tab w:val="left" w:pos="2880"/>
        </w:tabs>
        <w:spacing w:line="25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1C57">
        <w:rPr>
          <w:rFonts w:ascii="Times New Roman" w:hAnsi="Times New Roman" w:cs="Times New Roman"/>
          <w:sz w:val="24"/>
          <w:szCs w:val="24"/>
        </w:rPr>
        <w:t>Provide the supporting S&amp;P Global June 2024 forecast related to the development of the WACC assumption.</w:t>
      </w:r>
    </w:p>
    <w:p w14:paraId="5EA2C20A" w14:textId="77777777" w:rsidR="00101C57" w:rsidRDefault="00101C57" w:rsidP="00101C57">
      <w:pPr>
        <w:pStyle w:val="ListParagraph"/>
        <w:numPr>
          <w:ilvl w:val="0"/>
          <w:numId w:val="12"/>
        </w:numPr>
        <w:tabs>
          <w:tab w:val="left" w:pos="2880"/>
        </w:tabs>
        <w:spacing w:line="25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1C57">
        <w:rPr>
          <w:rFonts w:ascii="Times New Roman" w:hAnsi="Times New Roman" w:cs="Times New Roman"/>
          <w:sz w:val="24"/>
          <w:szCs w:val="24"/>
        </w:rPr>
        <w:t>P</w:t>
      </w:r>
      <w:r w:rsidR="00406221" w:rsidRPr="00101C57">
        <w:rPr>
          <w:rFonts w:ascii="Times New Roman" w:hAnsi="Times New Roman" w:cs="Times New Roman"/>
          <w:sz w:val="24"/>
          <w:szCs w:val="24"/>
        </w:rPr>
        <w:t>rovide the latest version of the S&amp;P Global forecast and a narrative description for whether current interest rates and economic conditions estimates are trending higher or lower than what was forecast in June 2024.</w:t>
      </w:r>
    </w:p>
    <w:p w14:paraId="465D4325" w14:textId="68173D97" w:rsidR="00406221" w:rsidRPr="00101C57" w:rsidRDefault="00406221" w:rsidP="00101C57">
      <w:pPr>
        <w:pStyle w:val="ListParagraph"/>
        <w:numPr>
          <w:ilvl w:val="0"/>
          <w:numId w:val="12"/>
        </w:numPr>
        <w:tabs>
          <w:tab w:val="left" w:pos="2880"/>
        </w:tabs>
        <w:spacing w:line="25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1C57">
        <w:rPr>
          <w:rFonts w:ascii="Times New Roman" w:hAnsi="Times New Roman" w:cs="Times New Roman"/>
          <w:sz w:val="24"/>
          <w:szCs w:val="24"/>
        </w:rPr>
        <w:t xml:space="preserve">Please explain if the Company’s assumed ROE reflects the latest PSC authorized ROE(s). </w:t>
      </w:r>
    </w:p>
    <w:p w14:paraId="5177F90F" w14:textId="77777777" w:rsidR="00676A5D" w:rsidRPr="003C4752" w:rsidRDefault="008E3137" w:rsidP="00101C57">
      <w:pPr>
        <w:rPr>
          <w:rFonts w:ascii="Times New Roman" w:hAnsi="Times New Roman" w:cs="Times New Roman"/>
          <w:sz w:val="24"/>
          <w:szCs w:val="24"/>
          <w:u w:val="single"/>
        </w:rPr>
      </w:pPr>
      <w:r w:rsidRPr="003C4752">
        <w:rPr>
          <w:rFonts w:ascii="Times New Roman" w:hAnsi="Times New Roman" w:cs="Times New Roman"/>
          <w:sz w:val="24"/>
          <w:szCs w:val="24"/>
          <w:u w:val="single"/>
        </w:rPr>
        <w:t>Response:</w:t>
      </w:r>
    </w:p>
    <w:p w14:paraId="7BBD2C97" w14:textId="4E80B70C" w:rsidR="2D4D7237" w:rsidRPr="003C4752" w:rsidRDefault="2D4D7237" w:rsidP="301D9E9E">
      <w:pPr>
        <w:pStyle w:val="ListParagraph"/>
        <w:numPr>
          <w:ilvl w:val="4"/>
          <w:numId w:val="13"/>
        </w:numPr>
        <w:tabs>
          <w:tab w:val="left" w:pos="2880"/>
        </w:tabs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4752">
        <w:rPr>
          <w:rFonts w:ascii="Times New Roman" w:eastAsia="Times New Roman" w:hAnsi="Times New Roman" w:cs="Times New Roman"/>
          <w:sz w:val="24"/>
          <w:szCs w:val="24"/>
        </w:rPr>
        <w:t>Please see STF-JKA-1-22 Attachment C</w:t>
      </w:r>
      <w:r w:rsidR="00F238D3">
        <w:rPr>
          <w:rFonts w:ascii="Times New Roman" w:eastAsia="Times New Roman" w:hAnsi="Times New Roman" w:cs="Times New Roman"/>
          <w:sz w:val="24"/>
          <w:szCs w:val="24"/>
        </w:rPr>
        <w:t xml:space="preserve"> TRADE SECRET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 xml:space="preserve">, “AvgLTRates” tab, </w:t>
      </w:r>
      <w:r w:rsidR="00764D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 xml:space="preserve">for the interest rates used to develop the </w:t>
      </w:r>
      <w:r w:rsidR="00E44DCC" w:rsidRPr="301D9E9E">
        <w:rPr>
          <w:rFonts w:ascii="Times New Roman" w:eastAsia="Times New Roman" w:hAnsi="Times New Roman" w:cs="Times New Roman"/>
          <w:sz w:val="24"/>
          <w:szCs w:val="24"/>
        </w:rPr>
        <w:t>weighted average cost of capital (“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>WACC</w:t>
      </w:r>
      <w:r w:rsidR="00E44DCC" w:rsidRPr="301D9E9E">
        <w:rPr>
          <w:rFonts w:ascii="Times New Roman" w:eastAsia="Times New Roman" w:hAnsi="Times New Roman" w:cs="Times New Roman"/>
          <w:sz w:val="24"/>
          <w:szCs w:val="24"/>
        </w:rPr>
        <w:t>”)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 xml:space="preserve"> assumptions.</w:t>
      </w:r>
    </w:p>
    <w:p w14:paraId="2BB5EB77" w14:textId="30EF4B51" w:rsidR="2D4D7237" w:rsidRPr="003C4752" w:rsidRDefault="2D4D7237" w:rsidP="00101C57">
      <w:pPr>
        <w:pStyle w:val="ListParagraph"/>
        <w:numPr>
          <w:ilvl w:val="4"/>
          <w:numId w:val="13"/>
        </w:numPr>
        <w:spacing w:line="254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4752">
        <w:rPr>
          <w:rFonts w:ascii="Times New Roman" w:eastAsia="Times New Roman" w:hAnsi="Times New Roman" w:cs="Times New Roman"/>
          <w:sz w:val="24"/>
          <w:szCs w:val="24"/>
        </w:rPr>
        <w:t xml:space="preserve">The 2025 </w:t>
      </w:r>
      <w:r w:rsidR="00E44DCC">
        <w:rPr>
          <w:rFonts w:ascii="Times New Roman" w:eastAsia="Times New Roman" w:hAnsi="Times New Roman" w:cs="Times New Roman"/>
          <w:sz w:val="24"/>
          <w:szCs w:val="24"/>
        </w:rPr>
        <w:t>Integrated Resource Plan (“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>IRP</w:t>
      </w:r>
      <w:r w:rsidR="00E44DCC">
        <w:rPr>
          <w:rFonts w:ascii="Times New Roman" w:eastAsia="Times New Roman" w:hAnsi="Times New Roman" w:cs="Times New Roman"/>
          <w:sz w:val="24"/>
          <w:szCs w:val="24"/>
        </w:rPr>
        <w:t>”)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 xml:space="preserve"> uses a “Southern Electric System” cost of debt, for all time periods. Accordingly, the Company utilized the system marginal cost of debt as referenced in </w:t>
      </w:r>
      <w:r w:rsidR="00E44DCC" w:rsidRPr="003C4752">
        <w:rPr>
          <w:rFonts w:ascii="Times New Roman" w:eastAsia="Times New Roman" w:hAnsi="Times New Roman" w:cs="Times New Roman"/>
          <w:sz w:val="24"/>
          <w:szCs w:val="24"/>
        </w:rPr>
        <w:t>STF-JKA-1-22 Attachment C</w:t>
      </w:r>
      <w:r w:rsidR="00E44DCC">
        <w:rPr>
          <w:rFonts w:ascii="Times New Roman" w:eastAsia="Times New Roman" w:hAnsi="Times New Roman" w:cs="Times New Roman"/>
          <w:sz w:val="24"/>
          <w:szCs w:val="24"/>
        </w:rPr>
        <w:t xml:space="preserve"> TRADE SECRET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>. This cost of debt is appropriate, as it is the Company’s estimate of the cost of issuing future debt.</w:t>
      </w:r>
    </w:p>
    <w:p w14:paraId="000132EA" w14:textId="2E256094" w:rsidR="2D4D7237" w:rsidRPr="003C4752" w:rsidRDefault="2D4D7237" w:rsidP="00101C57">
      <w:pPr>
        <w:pStyle w:val="ListParagraph"/>
        <w:numPr>
          <w:ilvl w:val="4"/>
          <w:numId w:val="13"/>
        </w:numPr>
        <w:spacing w:line="254" w:lineRule="auto"/>
        <w:ind w:left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4752">
        <w:rPr>
          <w:rFonts w:ascii="Times New Roman" w:eastAsia="Times New Roman" w:hAnsi="Times New Roman" w:cs="Times New Roman"/>
          <w:sz w:val="24"/>
          <w:szCs w:val="24"/>
        </w:rPr>
        <w:t>Please see STF-JKA-1-22 Attachment C</w:t>
      </w:r>
      <w:r w:rsidR="00F238D3">
        <w:rPr>
          <w:rFonts w:ascii="Times New Roman" w:eastAsia="Times New Roman" w:hAnsi="Times New Roman" w:cs="Times New Roman"/>
          <w:sz w:val="24"/>
          <w:szCs w:val="24"/>
        </w:rPr>
        <w:t xml:space="preserve"> TRADE SECRET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 xml:space="preserve">, “Hurdle rate” tab, cell C17 for the “Southern Electric System” equity rates used in the 2025 IRP. The 2025 IRP uses a “Southern Electric System” viewpoint for the Financial Sensitivity analysis. Accordingly, the Company used the system marginal cost of equity, for all time periods, as referenced in </w:t>
      </w:r>
      <w:r w:rsidR="00E44DCC" w:rsidRPr="003C4752">
        <w:rPr>
          <w:rFonts w:ascii="Times New Roman" w:eastAsia="Times New Roman" w:hAnsi="Times New Roman" w:cs="Times New Roman"/>
          <w:sz w:val="24"/>
          <w:szCs w:val="24"/>
        </w:rPr>
        <w:t>STF-JKA-1-22 Attachment C</w:t>
      </w:r>
      <w:r w:rsidR="00E44DCC">
        <w:rPr>
          <w:rFonts w:ascii="Times New Roman" w:eastAsia="Times New Roman" w:hAnsi="Times New Roman" w:cs="Times New Roman"/>
          <w:sz w:val="24"/>
          <w:szCs w:val="24"/>
        </w:rPr>
        <w:t xml:space="preserve"> TRADE SECRET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 xml:space="preserve">. The marginal cost of equity is appropriate for use over the long-term, based on it being the expected cost to attract equity capital over the life of assets deployed. This is done to reflect the expected cost equity over the life of a new asset, which will not always be governed by the current allowed </w:t>
      </w:r>
      <w:r w:rsidR="00983FB5">
        <w:rPr>
          <w:rFonts w:ascii="Times New Roman" w:eastAsia="Times New Roman" w:hAnsi="Times New Roman" w:cs="Times New Roman"/>
          <w:sz w:val="24"/>
          <w:szCs w:val="24"/>
        </w:rPr>
        <w:t>return on equity (“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>ROE</w:t>
      </w:r>
      <w:r w:rsidR="00983FB5">
        <w:rPr>
          <w:rFonts w:ascii="Times New Roman" w:eastAsia="Times New Roman" w:hAnsi="Times New Roman" w:cs="Times New Roman"/>
          <w:sz w:val="24"/>
          <w:szCs w:val="24"/>
        </w:rPr>
        <w:t>”)</w:t>
      </w:r>
      <w:r w:rsidRPr="003C4752">
        <w:rPr>
          <w:rFonts w:ascii="Times New Roman" w:eastAsia="Times New Roman" w:hAnsi="Times New Roman" w:cs="Times New Roman"/>
          <w:sz w:val="24"/>
          <w:szCs w:val="24"/>
        </w:rPr>
        <w:t xml:space="preserve"> at each given year throughout the life of the asset.</w:t>
      </w:r>
    </w:p>
    <w:p w14:paraId="1375B727" w14:textId="68E98648" w:rsidR="4412A452" w:rsidRPr="003C4752" w:rsidRDefault="4412A452" w:rsidP="00101C57">
      <w:pPr>
        <w:tabs>
          <w:tab w:val="left" w:pos="2880"/>
        </w:tabs>
        <w:spacing w:after="120" w:line="25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4412A452" w:rsidRPr="003C4752" w:rsidSect="00034616">
      <w:headerReference w:type="default" r:id="rId7"/>
      <w:footerReference w:type="default" r:id="rId8"/>
      <w:pgSz w:w="12240" w:h="15840"/>
      <w:pgMar w:top="1440" w:right="1440" w:bottom="1440" w:left="1440" w:header="10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E955C" w14:textId="77777777" w:rsidR="00620FAE" w:rsidRDefault="00620FAE">
      <w:pPr>
        <w:spacing w:after="0" w:line="240" w:lineRule="auto"/>
      </w:pPr>
      <w:r>
        <w:separator/>
      </w:r>
    </w:p>
  </w:endnote>
  <w:endnote w:type="continuationSeparator" w:id="0">
    <w:p w14:paraId="39F19BE9" w14:textId="77777777" w:rsidR="00620FAE" w:rsidRDefault="00620FAE">
      <w:pPr>
        <w:spacing w:after="0" w:line="240" w:lineRule="auto"/>
      </w:pPr>
      <w:r>
        <w:continuationSeparator/>
      </w:r>
    </w:p>
  </w:endnote>
  <w:endnote w:type="continuationNotice" w:id="1">
    <w:p w14:paraId="1BDE0509" w14:textId="77777777" w:rsidR="004D43CC" w:rsidRDefault="004D43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324C7" w14:textId="77777777" w:rsidR="00676A5D" w:rsidRDefault="00676A5D">
    <w:pPr>
      <w:pStyle w:val="Footer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707"/>
      <w:gridCol w:w="4653"/>
    </w:tblGrid>
    <w:tr w:rsidR="00676A5D" w14:paraId="32E0CC11" w14:textId="77777777" w:rsidTr="4412A452">
      <w:trPr>
        <w:jc w:val="center"/>
      </w:trPr>
      <w:tc>
        <w:tcPr>
          <w:tcW w:w="5400" w:type="dxa"/>
        </w:tcPr>
        <w:p w14:paraId="5376B8F0" w14:textId="3A699C37" w:rsidR="00676A5D" w:rsidRDefault="4412A452">
          <w:r w:rsidRPr="4412A452">
            <w:rPr>
              <w:rFonts w:ascii="Times New Roman" w:hAnsi="Times New Roman"/>
              <w:sz w:val="24"/>
              <w:szCs w:val="24"/>
            </w:rPr>
            <w:t>Contact:  Randy Hubbert</w:t>
          </w:r>
        </w:p>
      </w:tc>
      <w:tc>
        <w:tcPr>
          <w:tcW w:w="5400" w:type="dxa"/>
        </w:tcPr>
        <w:p w14:paraId="0CA1B671" w14:textId="06803FAA" w:rsidR="00676A5D" w:rsidRDefault="008E3137">
          <w:pPr>
            <w:jc w:val="right"/>
          </w:pPr>
          <w:r>
            <w:rPr>
              <w:rFonts w:ascii="Times New Roman" w:hAnsi="Times New Roman"/>
              <w:sz w:val="24"/>
            </w:rPr>
            <w:t xml:space="preserve">Page </w:t>
          </w:r>
          <w:r>
            <w:rPr>
              <w:rFonts w:ascii="Times New Roman" w:hAnsi="Times New Roman"/>
              <w:sz w:val="24"/>
            </w:rPr>
            <w:fldChar w:fldCharType="begin"/>
          </w:r>
          <w:r>
            <w:rPr>
              <w:rFonts w:ascii="Times New Roman" w:hAnsi="Times New Roman"/>
              <w:sz w:val="24"/>
            </w:rPr>
            <w:instrText>PAGE</w:instrText>
          </w:r>
          <w:r>
            <w:rPr>
              <w:rFonts w:ascii="Times New Roman" w:hAnsi="Times New Roman"/>
              <w:sz w:val="24"/>
            </w:rPr>
            <w:fldChar w:fldCharType="separate"/>
          </w:r>
          <w:r>
            <w:rPr>
              <w:rFonts w:ascii="Times New Roman" w:hAnsi="Times New Roman"/>
              <w:noProof/>
              <w:sz w:val="24"/>
            </w:rPr>
            <w:t>1</w:t>
          </w:r>
          <w:r>
            <w:rPr>
              <w:rFonts w:ascii="Times New Roman" w:hAnsi="Times New Roman"/>
              <w:sz w:val="24"/>
            </w:rPr>
            <w:fldChar w:fldCharType="end"/>
          </w:r>
          <w:r>
            <w:rPr>
              <w:rFonts w:ascii="Times New Roman" w:hAnsi="Times New Roman"/>
              <w:sz w:val="24"/>
            </w:rPr>
            <w:t xml:space="preserve"> of </w:t>
          </w:r>
          <w:r>
            <w:rPr>
              <w:rFonts w:ascii="Times New Roman" w:hAnsi="Times New Roman"/>
              <w:sz w:val="24"/>
            </w:rPr>
            <w:fldChar w:fldCharType="begin"/>
          </w:r>
          <w:r>
            <w:rPr>
              <w:rFonts w:ascii="Times New Roman" w:hAnsi="Times New Roman"/>
              <w:sz w:val="24"/>
            </w:rPr>
            <w:instrText>NUMPAGES</w:instrText>
          </w:r>
          <w:r>
            <w:rPr>
              <w:rFonts w:ascii="Times New Roman" w:hAnsi="Times New Roman"/>
              <w:sz w:val="24"/>
            </w:rPr>
            <w:fldChar w:fldCharType="separate"/>
          </w:r>
          <w:r>
            <w:rPr>
              <w:rFonts w:ascii="Times New Roman" w:hAnsi="Times New Roman"/>
              <w:noProof/>
              <w:sz w:val="24"/>
            </w:rPr>
            <w:t>1</w:t>
          </w:r>
          <w:r>
            <w:rPr>
              <w:rFonts w:ascii="Times New Roman" w:hAnsi="Times New Roman"/>
              <w:sz w:val="2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E770E" w14:textId="77777777" w:rsidR="00620FAE" w:rsidRDefault="00620FAE">
      <w:pPr>
        <w:spacing w:after="0" w:line="240" w:lineRule="auto"/>
      </w:pPr>
      <w:r>
        <w:separator/>
      </w:r>
    </w:p>
  </w:footnote>
  <w:footnote w:type="continuationSeparator" w:id="0">
    <w:p w14:paraId="7E5AA44F" w14:textId="77777777" w:rsidR="00620FAE" w:rsidRDefault="00620FAE">
      <w:pPr>
        <w:spacing w:after="0" w:line="240" w:lineRule="auto"/>
      </w:pPr>
      <w:r>
        <w:continuationSeparator/>
      </w:r>
    </w:p>
  </w:footnote>
  <w:footnote w:type="continuationNotice" w:id="1">
    <w:p w14:paraId="2C921873" w14:textId="77777777" w:rsidR="004D43CC" w:rsidRDefault="004D43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EB3C1" w14:textId="77777777" w:rsidR="0017404E" w:rsidRPr="003C46BC" w:rsidRDefault="0017404E" w:rsidP="0017404E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</w:rPr>
    </w:pPr>
  </w:p>
  <w:p w14:paraId="1302CD41" w14:textId="77777777" w:rsidR="0017404E" w:rsidRPr="003C46BC" w:rsidRDefault="0017404E" w:rsidP="0017404E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6D88FDCB" w14:textId="77777777" w:rsidR="0017404E" w:rsidRPr="003C46BC" w:rsidRDefault="0017404E" w:rsidP="0017404E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3C46BC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3B7D4404" w14:textId="77777777" w:rsidR="0017404E" w:rsidRPr="003C46BC" w:rsidRDefault="0017404E" w:rsidP="0017404E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3C46BC">
      <w:rPr>
        <w:rFonts w:ascii="Times New Roman" w:hAnsi="Times New Roman" w:cs="Times New Roman"/>
        <w:b/>
        <w:color w:val="000000"/>
        <w:sz w:val="24"/>
        <w:szCs w:val="24"/>
      </w:rPr>
      <w:t xml:space="preserve">2025 </w:t>
    </w:r>
    <w:r>
      <w:rPr>
        <w:rFonts w:ascii="Times New Roman" w:hAnsi="Times New Roman" w:cs="Times New Roman"/>
        <w:b/>
        <w:color w:val="000000"/>
        <w:sz w:val="24"/>
        <w:szCs w:val="24"/>
      </w:rPr>
      <w:t>Integrated Resource Plan and 2025 Demand-Side Management Application</w:t>
    </w:r>
  </w:p>
  <w:p w14:paraId="4FA71D40" w14:textId="77777777" w:rsidR="0017404E" w:rsidRPr="003C46BC" w:rsidRDefault="0017404E" w:rsidP="0017404E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>STF-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JKA</w:t>
    </w:r>
    <w:r w:rsidRPr="003C46BC">
      <w:rPr>
        <w:rFonts w:ascii="Times New Roman" w:eastAsia="Times New Roman" w:hAnsi="Times New Roman" w:cs="Times New Roman"/>
        <w:b/>
        <w:bCs/>
        <w:sz w:val="24"/>
        <w:szCs w:val="24"/>
      </w:rPr>
      <w:t xml:space="preserve"> Data Request Set No.</w:t>
    </w:r>
    <w:r>
      <w:rPr>
        <w:rFonts w:ascii="Times New Roman" w:eastAsia="Times New Roman" w:hAnsi="Times New Roman" w:cs="Times New Roman"/>
        <w:b/>
        <w:bCs/>
        <w:sz w:val="24"/>
        <w:szCs w:val="24"/>
      </w:rPr>
      <w:t xml:space="preserve"> 2</w:t>
    </w:r>
  </w:p>
  <w:p w14:paraId="591A0B3F" w14:textId="77777777" w:rsidR="0017404E" w:rsidRDefault="0017404E" w:rsidP="0017404E">
    <w:pPr>
      <w:pStyle w:val="Header"/>
    </w:pPr>
  </w:p>
  <w:p w14:paraId="7C4EEB1A" w14:textId="77777777" w:rsidR="00676A5D" w:rsidRPr="0017404E" w:rsidRDefault="00676A5D" w:rsidP="0017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422C82"/>
    <w:multiLevelType w:val="multilevel"/>
    <w:tmpl w:val="9D380AD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STF-JKA-2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i w:val="0"/>
        <w:iCs w:val="0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44A77527"/>
    <w:multiLevelType w:val="hybridMultilevel"/>
    <w:tmpl w:val="3B0C88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50E8F"/>
    <w:multiLevelType w:val="hybridMultilevel"/>
    <w:tmpl w:val="6DD2B4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B6108"/>
    <w:multiLevelType w:val="multilevel"/>
    <w:tmpl w:val="36C800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STF-JKA-2-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num w:numId="1" w16cid:durableId="904340118">
    <w:abstractNumId w:val="8"/>
  </w:num>
  <w:num w:numId="2" w16cid:durableId="1542790526">
    <w:abstractNumId w:val="6"/>
  </w:num>
  <w:num w:numId="3" w16cid:durableId="1959528856">
    <w:abstractNumId w:val="5"/>
  </w:num>
  <w:num w:numId="4" w16cid:durableId="592008828">
    <w:abstractNumId w:val="4"/>
  </w:num>
  <w:num w:numId="5" w16cid:durableId="601954021">
    <w:abstractNumId w:val="7"/>
  </w:num>
  <w:num w:numId="6" w16cid:durableId="1800995866">
    <w:abstractNumId w:val="3"/>
  </w:num>
  <w:num w:numId="7" w16cid:durableId="1576088640">
    <w:abstractNumId w:val="2"/>
  </w:num>
  <w:num w:numId="8" w16cid:durableId="769355561">
    <w:abstractNumId w:val="1"/>
  </w:num>
  <w:num w:numId="9" w16cid:durableId="1037318836">
    <w:abstractNumId w:val="0"/>
  </w:num>
  <w:num w:numId="10" w16cid:durableId="961887179">
    <w:abstractNumId w:val="12"/>
  </w:num>
  <w:num w:numId="11" w16cid:durableId="999311780">
    <w:abstractNumId w:val="9"/>
  </w:num>
  <w:num w:numId="12" w16cid:durableId="1945991928">
    <w:abstractNumId w:val="11"/>
  </w:num>
  <w:num w:numId="13" w16cid:durableId="10389670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557"/>
    <w:rsid w:val="00034616"/>
    <w:rsid w:val="00042ECD"/>
    <w:rsid w:val="00055C5E"/>
    <w:rsid w:val="0006063C"/>
    <w:rsid w:val="00096DC6"/>
    <w:rsid w:val="00101C57"/>
    <w:rsid w:val="0012697E"/>
    <w:rsid w:val="0015074B"/>
    <w:rsid w:val="001607A7"/>
    <w:rsid w:val="0017404E"/>
    <w:rsid w:val="00206CD6"/>
    <w:rsid w:val="002745D1"/>
    <w:rsid w:val="0029639D"/>
    <w:rsid w:val="002C2E0B"/>
    <w:rsid w:val="002D5897"/>
    <w:rsid w:val="002F33F3"/>
    <w:rsid w:val="00326F90"/>
    <w:rsid w:val="0034122A"/>
    <w:rsid w:val="0035135F"/>
    <w:rsid w:val="0039273F"/>
    <w:rsid w:val="003C4752"/>
    <w:rsid w:val="00406221"/>
    <w:rsid w:val="00475219"/>
    <w:rsid w:val="004B10E4"/>
    <w:rsid w:val="004D43CC"/>
    <w:rsid w:val="004E166C"/>
    <w:rsid w:val="00556397"/>
    <w:rsid w:val="00563189"/>
    <w:rsid w:val="005A4691"/>
    <w:rsid w:val="005E28FB"/>
    <w:rsid w:val="00610B55"/>
    <w:rsid w:val="00620FAE"/>
    <w:rsid w:val="00645F0F"/>
    <w:rsid w:val="00676A5D"/>
    <w:rsid w:val="0068321A"/>
    <w:rsid w:val="006F5043"/>
    <w:rsid w:val="007248B7"/>
    <w:rsid w:val="00735113"/>
    <w:rsid w:val="007524E2"/>
    <w:rsid w:val="00764DF3"/>
    <w:rsid w:val="007B0FF6"/>
    <w:rsid w:val="00823C3B"/>
    <w:rsid w:val="008E3137"/>
    <w:rsid w:val="009613C8"/>
    <w:rsid w:val="00983FB5"/>
    <w:rsid w:val="00A4418F"/>
    <w:rsid w:val="00AA1D8D"/>
    <w:rsid w:val="00AE5C2D"/>
    <w:rsid w:val="00B32279"/>
    <w:rsid w:val="00B47730"/>
    <w:rsid w:val="00BC4A68"/>
    <w:rsid w:val="00BE713F"/>
    <w:rsid w:val="00C01D16"/>
    <w:rsid w:val="00CB0664"/>
    <w:rsid w:val="00D66566"/>
    <w:rsid w:val="00DD3AA4"/>
    <w:rsid w:val="00DE0649"/>
    <w:rsid w:val="00DE7B1B"/>
    <w:rsid w:val="00E231DC"/>
    <w:rsid w:val="00E44DCC"/>
    <w:rsid w:val="00E73DB7"/>
    <w:rsid w:val="00F238D3"/>
    <w:rsid w:val="00FA08EE"/>
    <w:rsid w:val="00FC693F"/>
    <w:rsid w:val="00FF2959"/>
    <w:rsid w:val="22D00C2A"/>
    <w:rsid w:val="2D4D7237"/>
    <w:rsid w:val="301D9E9E"/>
    <w:rsid w:val="3BC6C74B"/>
    <w:rsid w:val="4412A452"/>
    <w:rsid w:val="5C06BE7C"/>
    <w:rsid w:val="5C4BF6C1"/>
    <w:rsid w:val="707AC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F238D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23C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3C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3C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3C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3C3B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823C3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629BCE-269D-4A07-BE23-BFC7421A1BF2}"/>
</file>

<file path=customXml/itemProps2.xml><?xml version="1.0" encoding="utf-8"?>
<ds:datastoreItem xmlns:ds="http://schemas.openxmlformats.org/officeDocument/2006/customXml" ds:itemID="{42060701-5D21-458D-B797-8EC3BDFF64DC}"/>
</file>

<file path=customXml/itemProps3.xml><?xml version="1.0" encoding="utf-8"?>
<ds:datastoreItem xmlns:ds="http://schemas.openxmlformats.org/officeDocument/2006/customXml" ds:itemID="{288D9048-802A-432F-B670-161C622152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Manager/>
  <Company/>
  <LinksUpToDate>false</LinksUpToDate>
  <CharactersWithSpaces>1831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2025-03-21T15:29:00Z</dcterms:created>
  <dcterms:modified xsi:type="dcterms:W3CDTF">2025-03-21T15:29:00Z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2025-03-21T15:29:16Z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5495f527-6063-42a6-86f9-ecda11fcd7d9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