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2882" w14:textId="14A429E1" w:rsidR="00676A5D" w:rsidRDefault="008E3137">
      <w:r>
        <w:rPr>
          <w:rFonts w:ascii="Times New Roman" w:hAnsi="Times New Roman"/>
          <w:b/>
          <w:sz w:val="24"/>
        </w:rPr>
        <w:t>STF-</w:t>
      </w:r>
      <w:r w:rsidR="00735113">
        <w:rPr>
          <w:rFonts w:ascii="Times New Roman" w:hAnsi="Times New Roman"/>
          <w:b/>
          <w:sz w:val="24"/>
        </w:rPr>
        <w:t>JK</w:t>
      </w:r>
      <w:r>
        <w:rPr>
          <w:rFonts w:ascii="Times New Roman" w:hAnsi="Times New Roman"/>
          <w:b/>
          <w:sz w:val="24"/>
        </w:rPr>
        <w:t>A-</w:t>
      </w:r>
      <w:r w:rsidR="00735113">
        <w:rPr>
          <w:rFonts w:ascii="Times New Roman" w:hAnsi="Times New Roman"/>
          <w:b/>
          <w:sz w:val="24"/>
        </w:rPr>
        <w:t>2-</w:t>
      </w:r>
      <w:r w:rsidR="0034122A">
        <w:rPr>
          <w:rFonts w:ascii="Times New Roman" w:hAnsi="Times New Roman"/>
          <w:b/>
          <w:sz w:val="24"/>
        </w:rPr>
        <w:t>3</w:t>
      </w:r>
    </w:p>
    <w:p w14:paraId="0209C755" w14:textId="596AD4D9" w:rsidR="0034122A" w:rsidRPr="00B8380F" w:rsidRDefault="008E3137" w:rsidP="00B8380F">
      <w:pPr>
        <w:jc w:val="both"/>
        <w:rPr>
          <w:rFonts w:ascii="Times New Roman" w:hAnsi="Times New Roman" w:cs="Times New Roman"/>
          <w:sz w:val="24"/>
          <w:szCs w:val="24"/>
        </w:rPr>
      </w:pPr>
      <w:r w:rsidRPr="00B8380F">
        <w:rPr>
          <w:rFonts w:ascii="Times New Roman" w:hAnsi="Times New Roman" w:cs="Times New Roman"/>
          <w:sz w:val="24"/>
          <w:szCs w:val="24"/>
          <w:u w:val="single"/>
        </w:rPr>
        <w:t>Question:</w:t>
      </w:r>
    </w:p>
    <w:p w14:paraId="4C30CC10" w14:textId="77777777" w:rsidR="0034122A" w:rsidRPr="00B8380F" w:rsidRDefault="0034122A" w:rsidP="0034122A">
      <w:pPr>
        <w:spacing w:after="120" w:line="256" w:lineRule="auto"/>
        <w:jc w:val="both"/>
        <w:rPr>
          <w:rFonts w:ascii="Times New Roman" w:hAnsi="Times New Roman" w:cs="Times New Roman"/>
          <w:sz w:val="24"/>
          <w:szCs w:val="24"/>
        </w:rPr>
      </w:pPr>
      <w:r w:rsidRPr="00B8380F">
        <w:rPr>
          <w:rFonts w:ascii="Times New Roman" w:hAnsi="Times New Roman" w:cs="Times New Roman"/>
          <w:sz w:val="24"/>
          <w:szCs w:val="24"/>
        </w:rPr>
        <w:t>Refer to the Technical Appendix volume 1 workpaper, “RP Wholesale-to-Retail Offer MDAs TRADE SECRET.xlsx.”</w:t>
      </w:r>
    </w:p>
    <w:p w14:paraId="071166E6" w14:textId="77777777" w:rsidR="0034122A" w:rsidRPr="00B8380F" w:rsidRDefault="0034122A" w:rsidP="00B8380F">
      <w:pPr>
        <w:numPr>
          <w:ilvl w:val="4"/>
          <w:numId w:val="10"/>
        </w:num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t xml:space="preserve">For each of tabs: MDA, Rev Req, and TMV, provide all workpapers that led to the values that were pasted in each of the tabs, electronically with all formulae intact.   If Aurora was used, provide all Aurora modeling runs both input database and output results so that the Aurora runs can be reproduced. </w:t>
      </w:r>
    </w:p>
    <w:p w14:paraId="41A52AF2" w14:textId="77777777" w:rsidR="0034122A" w:rsidRPr="00B8380F" w:rsidRDefault="0034122A" w:rsidP="00B8380F">
      <w:pPr>
        <w:numPr>
          <w:ilvl w:val="4"/>
          <w:numId w:val="10"/>
        </w:num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t xml:space="preserve">Provide a narrative explaining the derivation of the methodology used to calculate the values in each tab in the workpaper.  </w:t>
      </w:r>
    </w:p>
    <w:p w14:paraId="5177F90F" w14:textId="77CBD440" w:rsidR="00676A5D" w:rsidRPr="00B8380F" w:rsidRDefault="008E3137" w:rsidP="3A840E7C">
      <w:pPr>
        <w:rPr>
          <w:rFonts w:ascii="Times New Roman" w:hAnsi="Times New Roman" w:cs="Times New Roman"/>
          <w:sz w:val="24"/>
          <w:szCs w:val="24"/>
          <w:u w:val="single"/>
        </w:rPr>
      </w:pPr>
      <w:r w:rsidRPr="00B8380F">
        <w:rPr>
          <w:rFonts w:ascii="Times New Roman" w:hAnsi="Times New Roman" w:cs="Times New Roman"/>
          <w:sz w:val="24"/>
          <w:szCs w:val="24"/>
          <w:u w:val="single"/>
        </w:rPr>
        <w:t>Response:</w:t>
      </w:r>
    </w:p>
    <w:p w14:paraId="387702DF" w14:textId="14952199" w:rsidR="002B0F26" w:rsidRPr="00B8380F" w:rsidRDefault="002B0F26" w:rsidP="00B8380F">
      <w:pPr>
        <w:numPr>
          <w:ilvl w:val="4"/>
          <w:numId w:val="11"/>
        </w:num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t>The calculations for the “MDA” tab are included in the workpaper</w:t>
      </w:r>
      <w:r w:rsidR="00877256">
        <w:rPr>
          <w:rFonts w:ascii="Times New Roman" w:hAnsi="Times New Roman" w:cs="Times New Roman"/>
          <w:sz w:val="24"/>
          <w:szCs w:val="24"/>
        </w:rPr>
        <w:t xml:space="preserve"> referenced in the question</w:t>
      </w:r>
      <w:r w:rsidRPr="00B8380F">
        <w:rPr>
          <w:rFonts w:ascii="Times New Roman" w:hAnsi="Times New Roman" w:cs="Times New Roman"/>
          <w:sz w:val="24"/>
          <w:szCs w:val="24"/>
        </w:rPr>
        <w:t xml:space="preserve"> in cells G7:I10 and G15:I18. They reference the data for the “Rev Req” </w:t>
      </w:r>
      <w:r w:rsidR="00877256">
        <w:rPr>
          <w:rFonts w:ascii="Times New Roman" w:hAnsi="Times New Roman" w:cs="Times New Roman"/>
          <w:sz w:val="24"/>
          <w:szCs w:val="24"/>
        </w:rPr>
        <w:t xml:space="preserve">(Revenue Requirements) </w:t>
      </w:r>
      <w:r w:rsidRPr="00B8380F">
        <w:rPr>
          <w:rFonts w:ascii="Times New Roman" w:hAnsi="Times New Roman" w:cs="Times New Roman"/>
          <w:sz w:val="24"/>
          <w:szCs w:val="24"/>
        </w:rPr>
        <w:t>and “TMV”</w:t>
      </w:r>
      <w:r w:rsidR="00877256">
        <w:rPr>
          <w:rFonts w:ascii="Times New Roman" w:hAnsi="Times New Roman" w:cs="Times New Roman"/>
          <w:sz w:val="24"/>
          <w:szCs w:val="24"/>
        </w:rPr>
        <w:t xml:space="preserve"> (Total Market Value)</w:t>
      </w:r>
      <w:r w:rsidRPr="00B8380F">
        <w:rPr>
          <w:rFonts w:ascii="Times New Roman" w:hAnsi="Times New Roman" w:cs="Times New Roman"/>
          <w:sz w:val="24"/>
          <w:szCs w:val="24"/>
        </w:rPr>
        <w:t xml:space="preserve"> tabs.</w:t>
      </w:r>
    </w:p>
    <w:p w14:paraId="59258430" w14:textId="67B33BC3" w:rsidR="002E57B3" w:rsidRPr="00B8380F" w:rsidRDefault="002E57B3" w:rsidP="00B8380F">
      <w:pPr>
        <w:spacing w:after="120" w:line="256" w:lineRule="auto"/>
        <w:ind w:left="720"/>
        <w:jc w:val="both"/>
        <w:rPr>
          <w:rFonts w:ascii="Times New Roman" w:hAnsi="Times New Roman" w:cs="Times New Roman"/>
          <w:sz w:val="24"/>
          <w:szCs w:val="24"/>
          <w:highlight w:val="yellow"/>
        </w:rPr>
      </w:pPr>
      <w:r w:rsidRPr="00B8380F">
        <w:rPr>
          <w:rFonts w:ascii="Times New Roman" w:hAnsi="Times New Roman" w:cs="Times New Roman"/>
          <w:sz w:val="24"/>
          <w:szCs w:val="24"/>
        </w:rPr>
        <w:t xml:space="preserve">Please see </w:t>
      </w:r>
      <w:r w:rsidR="009E586A">
        <w:rPr>
          <w:rFonts w:ascii="Times New Roman" w:hAnsi="Times New Roman" w:cs="Times New Roman"/>
          <w:sz w:val="24"/>
          <w:szCs w:val="24"/>
        </w:rPr>
        <w:t xml:space="preserve">the Company’s response to </w:t>
      </w:r>
      <w:r w:rsidRPr="00B8380F">
        <w:rPr>
          <w:rFonts w:ascii="Times New Roman" w:hAnsi="Times New Roman" w:cs="Times New Roman"/>
          <w:sz w:val="24"/>
          <w:szCs w:val="24"/>
        </w:rPr>
        <w:t xml:space="preserve">STF-JKA-2-2 </w:t>
      </w:r>
      <w:r w:rsidR="009F0141">
        <w:rPr>
          <w:rFonts w:ascii="Times New Roman" w:hAnsi="Times New Roman" w:cs="Times New Roman"/>
          <w:sz w:val="24"/>
          <w:szCs w:val="24"/>
        </w:rPr>
        <w:t>subpart</w:t>
      </w:r>
      <w:r w:rsidR="009F0141" w:rsidRPr="00B8380F">
        <w:rPr>
          <w:rFonts w:ascii="Times New Roman" w:hAnsi="Times New Roman" w:cs="Times New Roman"/>
          <w:sz w:val="24"/>
          <w:szCs w:val="24"/>
        </w:rPr>
        <w:t xml:space="preserve"> </w:t>
      </w:r>
      <w:r w:rsidR="009F0141">
        <w:rPr>
          <w:rFonts w:ascii="Times New Roman" w:hAnsi="Times New Roman" w:cs="Times New Roman"/>
          <w:sz w:val="24"/>
          <w:szCs w:val="24"/>
        </w:rPr>
        <w:t>(</w:t>
      </w:r>
      <w:r w:rsidRPr="00B8380F">
        <w:rPr>
          <w:rFonts w:ascii="Times New Roman" w:hAnsi="Times New Roman" w:cs="Times New Roman"/>
          <w:sz w:val="24"/>
          <w:szCs w:val="24"/>
        </w:rPr>
        <w:t>b</w:t>
      </w:r>
      <w:r w:rsidR="009F0141">
        <w:rPr>
          <w:rFonts w:ascii="Times New Roman" w:hAnsi="Times New Roman" w:cs="Times New Roman"/>
          <w:sz w:val="24"/>
          <w:szCs w:val="24"/>
        </w:rPr>
        <w:t>)</w:t>
      </w:r>
      <w:r w:rsidRPr="00B8380F">
        <w:rPr>
          <w:rFonts w:ascii="Times New Roman" w:hAnsi="Times New Roman" w:cs="Times New Roman"/>
          <w:sz w:val="24"/>
          <w:szCs w:val="24"/>
        </w:rPr>
        <w:t xml:space="preserve"> for the link to how the </w:t>
      </w:r>
      <w:r w:rsidR="008B1C62" w:rsidRPr="00B8380F">
        <w:rPr>
          <w:rFonts w:ascii="Times New Roman" w:hAnsi="Times New Roman" w:cs="Times New Roman"/>
          <w:sz w:val="24"/>
          <w:szCs w:val="24"/>
        </w:rPr>
        <w:t>revenue requirements</w:t>
      </w:r>
      <w:r w:rsidRPr="00B8380F">
        <w:rPr>
          <w:rFonts w:ascii="Times New Roman" w:hAnsi="Times New Roman" w:cs="Times New Roman"/>
          <w:sz w:val="24"/>
          <w:szCs w:val="24"/>
        </w:rPr>
        <w:t xml:space="preserve"> </w:t>
      </w:r>
      <w:r w:rsidR="008B1C62" w:rsidRPr="00B8380F">
        <w:rPr>
          <w:rFonts w:ascii="Times New Roman" w:hAnsi="Times New Roman" w:cs="Times New Roman"/>
          <w:sz w:val="24"/>
          <w:szCs w:val="24"/>
        </w:rPr>
        <w:t>were</w:t>
      </w:r>
      <w:r w:rsidRPr="00B8380F">
        <w:rPr>
          <w:rFonts w:ascii="Times New Roman" w:hAnsi="Times New Roman" w:cs="Times New Roman"/>
          <w:sz w:val="24"/>
          <w:szCs w:val="24"/>
        </w:rPr>
        <w:t xml:space="preserve"> calculated</w:t>
      </w:r>
      <w:r w:rsidR="00E55A44" w:rsidRPr="00B8380F">
        <w:rPr>
          <w:rFonts w:ascii="Times New Roman" w:hAnsi="Times New Roman" w:cs="Times New Roman"/>
          <w:sz w:val="24"/>
          <w:szCs w:val="24"/>
        </w:rPr>
        <w:t xml:space="preserve"> in the </w:t>
      </w:r>
      <w:r w:rsidR="00131845">
        <w:rPr>
          <w:rFonts w:ascii="Times New Roman" w:hAnsi="Times New Roman" w:cs="Times New Roman"/>
          <w:sz w:val="24"/>
          <w:szCs w:val="24"/>
        </w:rPr>
        <w:t>Standard Analysis Models (“</w:t>
      </w:r>
      <w:r w:rsidR="00E55A44" w:rsidRPr="00B8380F">
        <w:rPr>
          <w:rFonts w:ascii="Times New Roman" w:hAnsi="Times New Roman" w:cs="Times New Roman"/>
          <w:sz w:val="24"/>
          <w:szCs w:val="24"/>
        </w:rPr>
        <w:t>SAM</w:t>
      </w:r>
      <w:r w:rsidR="00131845">
        <w:rPr>
          <w:rFonts w:ascii="Times New Roman" w:hAnsi="Times New Roman" w:cs="Times New Roman"/>
          <w:sz w:val="24"/>
          <w:szCs w:val="24"/>
        </w:rPr>
        <w:t>”)</w:t>
      </w:r>
      <w:r w:rsidRPr="00B8380F">
        <w:rPr>
          <w:rFonts w:ascii="Times New Roman" w:hAnsi="Times New Roman" w:cs="Times New Roman"/>
          <w:sz w:val="24"/>
          <w:szCs w:val="24"/>
        </w:rPr>
        <w:t xml:space="preserve">. </w:t>
      </w:r>
      <w:r w:rsidR="00790EE3" w:rsidRPr="00B8380F">
        <w:rPr>
          <w:rFonts w:ascii="Times New Roman" w:hAnsi="Times New Roman" w:cs="Times New Roman"/>
          <w:sz w:val="24"/>
          <w:szCs w:val="24"/>
        </w:rPr>
        <w:t xml:space="preserve">  </w:t>
      </w:r>
      <w:r w:rsidR="003A6C79" w:rsidRPr="00B8380F">
        <w:rPr>
          <w:rFonts w:ascii="Times New Roman" w:hAnsi="Times New Roman" w:cs="Times New Roman"/>
          <w:sz w:val="24"/>
          <w:szCs w:val="24"/>
        </w:rPr>
        <w:t xml:space="preserve">   </w:t>
      </w:r>
    </w:p>
    <w:p w14:paraId="0AF132A4" w14:textId="7FC7AF50" w:rsidR="46202570" w:rsidRPr="00B8380F" w:rsidRDefault="46202570" w:rsidP="00B8380F">
      <w:p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t>The “Capacity” va</w:t>
      </w:r>
      <w:r w:rsidR="07B022C1" w:rsidRPr="00B8380F">
        <w:rPr>
          <w:rFonts w:ascii="Times New Roman" w:hAnsi="Times New Roman" w:cs="Times New Roman"/>
          <w:sz w:val="24"/>
          <w:szCs w:val="24"/>
        </w:rPr>
        <w:t>lue</w:t>
      </w:r>
      <w:r w:rsidRPr="00B8380F">
        <w:rPr>
          <w:rFonts w:ascii="Times New Roman" w:hAnsi="Times New Roman" w:cs="Times New Roman"/>
          <w:sz w:val="24"/>
          <w:szCs w:val="24"/>
        </w:rPr>
        <w:t xml:space="preserve">s on the “TMV” tab are </w:t>
      </w:r>
      <w:r w:rsidR="473DD3D0" w:rsidRPr="00B8380F">
        <w:rPr>
          <w:rFonts w:ascii="Times New Roman" w:hAnsi="Times New Roman" w:cs="Times New Roman"/>
          <w:sz w:val="24"/>
          <w:szCs w:val="24"/>
        </w:rPr>
        <w:t>consistent with</w:t>
      </w:r>
      <w:r w:rsidR="611134E5" w:rsidRPr="00B8380F">
        <w:rPr>
          <w:rFonts w:ascii="Times New Roman" w:hAnsi="Times New Roman" w:cs="Times New Roman"/>
          <w:sz w:val="24"/>
          <w:szCs w:val="24"/>
        </w:rPr>
        <w:t xml:space="preserve"> the</w:t>
      </w:r>
      <w:r w:rsidR="00877256">
        <w:rPr>
          <w:rFonts w:ascii="Times New Roman" w:hAnsi="Times New Roman" w:cs="Times New Roman"/>
          <w:sz w:val="24"/>
          <w:szCs w:val="24"/>
        </w:rPr>
        <w:t xml:space="preserve"> economic carrying cost</w:t>
      </w:r>
      <w:r w:rsidR="611134E5" w:rsidRPr="00B8380F">
        <w:rPr>
          <w:rFonts w:ascii="Times New Roman" w:hAnsi="Times New Roman" w:cs="Times New Roman"/>
          <w:sz w:val="24"/>
          <w:szCs w:val="24"/>
        </w:rPr>
        <w:t xml:space="preserve"> </w:t>
      </w:r>
      <w:r w:rsidR="00877256">
        <w:rPr>
          <w:rFonts w:ascii="Times New Roman" w:hAnsi="Times New Roman" w:cs="Times New Roman"/>
          <w:sz w:val="24"/>
          <w:szCs w:val="24"/>
        </w:rPr>
        <w:t>(“</w:t>
      </w:r>
      <w:r w:rsidR="611134E5" w:rsidRPr="00B8380F">
        <w:rPr>
          <w:rFonts w:ascii="Times New Roman" w:hAnsi="Times New Roman" w:cs="Times New Roman"/>
          <w:sz w:val="24"/>
          <w:szCs w:val="24"/>
        </w:rPr>
        <w:t>ECC</w:t>
      </w:r>
      <w:r w:rsidR="00877256">
        <w:rPr>
          <w:rFonts w:ascii="Times New Roman" w:hAnsi="Times New Roman" w:cs="Times New Roman"/>
          <w:sz w:val="24"/>
          <w:szCs w:val="24"/>
        </w:rPr>
        <w:t>”)</w:t>
      </w:r>
      <w:r w:rsidR="611134E5" w:rsidRPr="00B8380F">
        <w:rPr>
          <w:rFonts w:ascii="Times New Roman" w:hAnsi="Times New Roman" w:cs="Times New Roman"/>
          <w:sz w:val="24"/>
          <w:szCs w:val="24"/>
        </w:rPr>
        <w:t xml:space="preserve"> of a</w:t>
      </w:r>
      <w:r w:rsidR="00877256">
        <w:rPr>
          <w:rFonts w:ascii="Times New Roman" w:hAnsi="Times New Roman" w:cs="Times New Roman"/>
          <w:sz w:val="24"/>
          <w:szCs w:val="24"/>
        </w:rPr>
        <w:t xml:space="preserve"> combustion turbine</w:t>
      </w:r>
      <w:r w:rsidR="611134E5" w:rsidRPr="00B8380F">
        <w:rPr>
          <w:rFonts w:ascii="Times New Roman" w:hAnsi="Times New Roman" w:cs="Times New Roman"/>
          <w:sz w:val="24"/>
          <w:szCs w:val="24"/>
        </w:rPr>
        <w:t xml:space="preserve"> </w:t>
      </w:r>
      <w:r w:rsidR="00877256">
        <w:rPr>
          <w:rFonts w:ascii="Times New Roman" w:hAnsi="Times New Roman" w:cs="Times New Roman"/>
          <w:sz w:val="24"/>
          <w:szCs w:val="24"/>
        </w:rPr>
        <w:t>(“</w:t>
      </w:r>
      <w:r w:rsidR="611134E5" w:rsidRPr="00B8380F">
        <w:rPr>
          <w:rFonts w:ascii="Times New Roman" w:hAnsi="Times New Roman" w:cs="Times New Roman"/>
          <w:sz w:val="24"/>
          <w:szCs w:val="24"/>
        </w:rPr>
        <w:t>CT</w:t>
      </w:r>
      <w:r w:rsidR="00877256">
        <w:rPr>
          <w:rFonts w:ascii="Times New Roman" w:hAnsi="Times New Roman" w:cs="Times New Roman"/>
          <w:sz w:val="24"/>
          <w:szCs w:val="24"/>
        </w:rPr>
        <w:t>”),</w:t>
      </w:r>
      <w:r w:rsidR="611134E5" w:rsidRPr="00B8380F">
        <w:rPr>
          <w:rFonts w:ascii="Times New Roman" w:hAnsi="Times New Roman" w:cs="Times New Roman"/>
          <w:sz w:val="24"/>
          <w:szCs w:val="24"/>
        </w:rPr>
        <w:t xml:space="preserve"> which </w:t>
      </w:r>
      <w:r w:rsidR="6CEE3A99" w:rsidRPr="00B8380F">
        <w:rPr>
          <w:rFonts w:ascii="Times New Roman" w:hAnsi="Times New Roman" w:cs="Times New Roman"/>
          <w:sz w:val="24"/>
          <w:szCs w:val="24"/>
        </w:rPr>
        <w:t>is</w:t>
      </w:r>
      <w:r w:rsidR="3424730E" w:rsidRPr="00B8380F">
        <w:rPr>
          <w:rFonts w:ascii="Times New Roman" w:hAnsi="Times New Roman" w:cs="Times New Roman"/>
          <w:sz w:val="24"/>
          <w:szCs w:val="24"/>
        </w:rPr>
        <w:t xml:space="preserve"> consistent with</w:t>
      </w:r>
      <w:r w:rsidR="63107384" w:rsidRPr="00B8380F">
        <w:rPr>
          <w:rFonts w:ascii="Times New Roman" w:hAnsi="Times New Roman" w:cs="Times New Roman"/>
          <w:sz w:val="24"/>
          <w:szCs w:val="24"/>
        </w:rPr>
        <w:t xml:space="preserve"> the </w:t>
      </w:r>
      <w:r w:rsidR="3C1003F2" w:rsidRPr="00B8380F">
        <w:rPr>
          <w:rFonts w:ascii="Times New Roman" w:eastAsia="Times New Roman" w:hAnsi="Times New Roman" w:cs="Times New Roman"/>
          <w:color w:val="000000" w:themeColor="text1"/>
          <w:sz w:val="24"/>
          <w:szCs w:val="24"/>
        </w:rPr>
        <w:t>electric avoided cost forecast</w:t>
      </w:r>
      <w:r w:rsidR="63107384" w:rsidRPr="00B8380F">
        <w:rPr>
          <w:rFonts w:ascii="Times New Roman" w:hAnsi="Times New Roman" w:cs="Times New Roman"/>
          <w:sz w:val="24"/>
          <w:szCs w:val="24"/>
        </w:rPr>
        <w:t>. Please refer to STF-PIA-2-9 Attachment A</w:t>
      </w:r>
      <w:r w:rsidR="00877256">
        <w:rPr>
          <w:rFonts w:ascii="Times New Roman" w:hAnsi="Times New Roman" w:cs="Times New Roman"/>
          <w:sz w:val="24"/>
          <w:szCs w:val="24"/>
        </w:rPr>
        <w:t>.</w:t>
      </w:r>
      <w:r w:rsidR="63107384" w:rsidRPr="00B8380F">
        <w:rPr>
          <w:rFonts w:ascii="Times New Roman" w:hAnsi="Times New Roman" w:cs="Times New Roman"/>
          <w:sz w:val="24"/>
          <w:szCs w:val="24"/>
        </w:rPr>
        <w:t xml:space="preserve"> </w:t>
      </w:r>
    </w:p>
    <w:p w14:paraId="0127E8AC" w14:textId="76C4E541" w:rsidR="21511465" w:rsidRPr="00B8380F" w:rsidRDefault="21511465" w:rsidP="00B8380F">
      <w:p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t xml:space="preserve">The “Energy” values on the “TMV” tab </w:t>
      </w:r>
      <w:r w:rsidR="0008AEF5" w:rsidRPr="00B8380F">
        <w:rPr>
          <w:rFonts w:ascii="Times New Roman" w:hAnsi="Times New Roman" w:cs="Times New Roman"/>
          <w:sz w:val="24"/>
          <w:szCs w:val="24"/>
        </w:rPr>
        <w:t>are consistent with the energy values from the Unit Retirement Study. AURORA workpapers can be found in Workpapers for Technical Appendix Volume 1, Section 4</w:t>
      </w:r>
      <w:r w:rsidR="00877256">
        <w:rPr>
          <w:rFonts w:ascii="Times New Roman" w:hAnsi="Times New Roman" w:cs="Times New Roman"/>
          <w:sz w:val="24"/>
          <w:szCs w:val="24"/>
        </w:rPr>
        <w:t>,</w:t>
      </w:r>
      <w:r w:rsidR="0008AEF5" w:rsidRPr="00B8380F">
        <w:rPr>
          <w:rFonts w:ascii="Times New Roman" w:hAnsi="Times New Roman" w:cs="Times New Roman"/>
          <w:sz w:val="24"/>
          <w:szCs w:val="24"/>
        </w:rPr>
        <w:t xml:space="preserve"> Unit Retirement S</w:t>
      </w:r>
      <w:r w:rsidR="2B340EF5" w:rsidRPr="00B8380F">
        <w:rPr>
          <w:rFonts w:ascii="Times New Roman" w:hAnsi="Times New Roman" w:cs="Times New Roman"/>
          <w:sz w:val="24"/>
          <w:szCs w:val="24"/>
        </w:rPr>
        <w:t xml:space="preserve">tudy. </w:t>
      </w:r>
    </w:p>
    <w:p w14:paraId="4D957F4B" w14:textId="112801CC" w:rsidR="002B0F26" w:rsidRPr="00B8380F" w:rsidRDefault="002B0F26" w:rsidP="00B8380F">
      <w:pPr>
        <w:numPr>
          <w:ilvl w:val="4"/>
          <w:numId w:val="11"/>
        </w:num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t xml:space="preserve">The intent of the </w:t>
      </w:r>
      <w:r w:rsidR="00877256">
        <w:rPr>
          <w:rFonts w:ascii="Times New Roman" w:hAnsi="Times New Roman" w:cs="Times New Roman"/>
          <w:sz w:val="24"/>
          <w:szCs w:val="24"/>
        </w:rPr>
        <w:t>market differential adjustment (“</w:t>
      </w:r>
      <w:r w:rsidRPr="00B8380F">
        <w:rPr>
          <w:rFonts w:ascii="Times New Roman" w:hAnsi="Times New Roman" w:cs="Times New Roman"/>
          <w:sz w:val="24"/>
          <w:szCs w:val="24"/>
        </w:rPr>
        <w:t>MDA</w:t>
      </w:r>
      <w:r w:rsidR="00877256">
        <w:rPr>
          <w:rFonts w:ascii="Times New Roman" w:hAnsi="Times New Roman" w:cs="Times New Roman"/>
          <w:sz w:val="24"/>
          <w:szCs w:val="24"/>
        </w:rPr>
        <w:t>”)</w:t>
      </w:r>
      <w:r w:rsidRPr="00B8380F">
        <w:rPr>
          <w:rFonts w:ascii="Times New Roman" w:hAnsi="Times New Roman" w:cs="Times New Roman"/>
          <w:sz w:val="24"/>
          <w:szCs w:val="24"/>
        </w:rPr>
        <w:t xml:space="preserve"> calculation is to levelize the revenue requirements and see how that compares to the </w:t>
      </w:r>
      <w:r w:rsidR="00E33F3B">
        <w:rPr>
          <w:rFonts w:ascii="Times New Roman" w:hAnsi="Times New Roman" w:cs="Times New Roman"/>
          <w:sz w:val="24"/>
          <w:szCs w:val="24"/>
        </w:rPr>
        <w:t xml:space="preserve">levelized </w:t>
      </w:r>
      <w:r w:rsidRPr="00B8380F">
        <w:rPr>
          <w:rFonts w:ascii="Times New Roman" w:hAnsi="Times New Roman" w:cs="Times New Roman"/>
          <w:sz w:val="24"/>
          <w:szCs w:val="24"/>
        </w:rPr>
        <w:t>projected market values of each unit and adjust to make sure the pricing to retail is reflective of the current projected market value.</w:t>
      </w:r>
    </w:p>
    <w:p w14:paraId="15D931BD" w14:textId="79A03347" w:rsidR="008E4A6C" w:rsidRPr="00B8380F" w:rsidRDefault="002E57B3" w:rsidP="00B8380F">
      <w:pPr>
        <w:spacing w:after="120" w:line="256" w:lineRule="auto"/>
        <w:ind w:left="720"/>
        <w:jc w:val="both"/>
        <w:rPr>
          <w:rFonts w:ascii="Times New Roman" w:hAnsi="Times New Roman" w:cs="Times New Roman"/>
          <w:sz w:val="24"/>
          <w:szCs w:val="24"/>
          <w:highlight w:val="yellow"/>
        </w:rPr>
      </w:pPr>
      <w:r w:rsidRPr="00B8380F">
        <w:rPr>
          <w:rFonts w:ascii="Times New Roman" w:hAnsi="Times New Roman" w:cs="Times New Roman"/>
          <w:sz w:val="24"/>
          <w:szCs w:val="24"/>
        </w:rPr>
        <w:t xml:space="preserve">The </w:t>
      </w:r>
      <w:r w:rsidR="001702AA" w:rsidRPr="00B8380F">
        <w:rPr>
          <w:rFonts w:ascii="Times New Roman" w:hAnsi="Times New Roman" w:cs="Times New Roman"/>
          <w:sz w:val="24"/>
          <w:szCs w:val="24"/>
        </w:rPr>
        <w:t>revenue requirements</w:t>
      </w:r>
      <w:r w:rsidRPr="00B8380F">
        <w:rPr>
          <w:rFonts w:ascii="Times New Roman" w:hAnsi="Times New Roman" w:cs="Times New Roman"/>
          <w:sz w:val="24"/>
          <w:szCs w:val="24"/>
        </w:rPr>
        <w:t xml:space="preserve"> take the declining revenue requirements and </w:t>
      </w:r>
      <w:r w:rsidR="008B1C62" w:rsidRPr="00B8380F">
        <w:rPr>
          <w:rFonts w:ascii="Times New Roman" w:hAnsi="Times New Roman" w:cs="Times New Roman"/>
          <w:sz w:val="24"/>
          <w:szCs w:val="24"/>
        </w:rPr>
        <w:t>use the payment function in Excel</w:t>
      </w:r>
      <w:r w:rsidRPr="00B8380F">
        <w:rPr>
          <w:rFonts w:ascii="Times New Roman" w:hAnsi="Times New Roman" w:cs="Times New Roman"/>
          <w:sz w:val="24"/>
          <w:szCs w:val="24"/>
        </w:rPr>
        <w:t xml:space="preserve"> to determine the levelized revenue requirement that is equivalent</w:t>
      </w:r>
      <w:r w:rsidR="00D37B87" w:rsidRPr="00B8380F">
        <w:rPr>
          <w:rFonts w:ascii="Times New Roman" w:hAnsi="Times New Roman" w:cs="Times New Roman"/>
          <w:sz w:val="24"/>
          <w:szCs w:val="24"/>
        </w:rPr>
        <w:t xml:space="preserve"> (annually). This annual number is then divided into a monthly charge</w:t>
      </w:r>
      <w:r w:rsidR="00E55A44" w:rsidRPr="00B8380F">
        <w:rPr>
          <w:rFonts w:ascii="Times New Roman" w:hAnsi="Times New Roman" w:cs="Times New Roman"/>
          <w:sz w:val="24"/>
          <w:szCs w:val="24"/>
        </w:rPr>
        <w:t xml:space="preserve"> by </w:t>
      </w:r>
      <w:r w:rsidR="008B1C62" w:rsidRPr="00B8380F">
        <w:rPr>
          <w:rFonts w:ascii="Times New Roman" w:hAnsi="Times New Roman" w:cs="Times New Roman"/>
          <w:sz w:val="24"/>
          <w:szCs w:val="24"/>
        </w:rPr>
        <w:t>dividing by</w:t>
      </w:r>
      <w:r w:rsidR="00D37B87" w:rsidRPr="00B8380F">
        <w:rPr>
          <w:rFonts w:ascii="Times New Roman" w:hAnsi="Times New Roman" w:cs="Times New Roman"/>
          <w:sz w:val="24"/>
          <w:szCs w:val="24"/>
        </w:rPr>
        <w:t xml:space="preserve"> the </w:t>
      </w:r>
      <w:r w:rsidR="00877256">
        <w:rPr>
          <w:rFonts w:ascii="Times New Roman" w:hAnsi="Times New Roman" w:cs="Times New Roman"/>
          <w:sz w:val="24"/>
          <w:szCs w:val="24"/>
        </w:rPr>
        <w:t>megawatts (“</w:t>
      </w:r>
      <w:r w:rsidR="00D37B87" w:rsidRPr="00B8380F">
        <w:rPr>
          <w:rFonts w:ascii="Times New Roman" w:hAnsi="Times New Roman" w:cs="Times New Roman"/>
          <w:sz w:val="24"/>
          <w:szCs w:val="24"/>
        </w:rPr>
        <w:t>MW</w:t>
      </w:r>
      <w:r w:rsidR="00877256">
        <w:rPr>
          <w:rFonts w:ascii="Times New Roman" w:hAnsi="Times New Roman" w:cs="Times New Roman"/>
          <w:sz w:val="24"/>
          <w:szCs w:val="24"/>
        </w:rPr>
        <w:t>”)</w:t>
      </w:r>
      <w:r w:rsidR="00EC0D1A" w:rsidRPr="00B8380F">
        <w:rPr>
          <w:rFonts w:ascii="Times New Roman" w:hAnsi="Times New Roman" w:cs="Times New Roman"/>
          <w:sz w:val="24"/>
          <w:szCs w:val="24"/>
        </w:rPr>
        <w:t xml:space="preserve"> </w:t>
      </w:r>
      <w:r w:rsidR="00D37B87" w:rsidRPr="00B8380F">
        <w:rPr>
          <w:rFonts w:ascii="Times New Roman" w:hAnsi="Times New Roman" w:cs="Times New Roman"/>
          <w:sz w:val="24"/>
          <w:szCs w:val="24"/>
        </w:rPr>
        <w:t>offered.</w:t>
      </w:r>
      <w:r w:rsidRPr="00B8380F">
        <w:rPr>
          <w:rFonts w:ascii="Times New Roman" w:hAnsi="Times New Roman" w:cs="Times New Roman"/>
          <w:sz w:val="24"/>
          <w:szCs w:val="24"/>
        </w:rPr>
        <w:t xml:space="preserve">      </w:t>
      </w:r>
    </w:p>
    <w:p w14:paraId="5AFD2075" w14:textId="11DC2108" w:rsidR="5444DDA2" w:rsidRPr="00B8380F" w:rsidRDefault="5444DDA2" w:rsidP="00B8380F">
      <w:pPr>
        <w:spacing w:after="120" w:line="256" w:lineRule="auto"/>
        <w:ind w:left="720"/>
        <w:jc w:val="both"/>
        <w:rPr>
          <w:rFonts w:ascii="Times New Roman" w:hAnsi="Times New Roman" w:cs="Times New Roman"/>
          <w:sz w:val="24"/>
          <w:szCs w:val="24"/>
        </w:rPr>
      </w:pPr>
      <w:r w:rsidRPr="00B8380F">
        <w:rPr>
          <w:rFonts w:ascii="Times New Roman" w:hAnsi="Times New Roman" w:cs="Times New Roman"/>
          <w:sz w:val="24"/>
          <w:szCs w:val="24"/>
        </w:rPr>
        <w:lastRenderedPageBreak/>
        <w:t xml:space="preserve">The </w:t>
      </w:r>
      <w:r w:rsidR="00877256">
        <w:rPr>
          <w:rFonts w:ascii="Times New Roman" w:hAnsi="Times New Roman" w:cs="Times New Roman"/>
          <w:sz w:val="24"/>
          <w:szCs w:val="24"/>
        </w:rPr>
        <w:t>”TMV”</w:t>
      </w:r>
      <w:r w:rsidRPr="00B8380F">
        <w:rPr>
          <w:rFonts w:ascii="Times New Roman" w:hAnsi="Times New Roman" w:cs="Times New Roman"/>
          <w:sz w:val="24"/>
          <w:szCs w:val="24"/>
        </w:rPr>
        <w:t xml:space="preserve"> </w:t>
      </w:r>
      <w:r w:rsidR="38E26861" w:rsidRPr="00B8380F">
        <w:rPr>
          <w:rFonts w:ascii="Times New Roman" w:hAnsi="Times New Roman" w:cs="Times New Roman"/>
          <w:sz w:val="24"/>
          <w:szCs w:val="24"/>
        </w:rPr>
        <w:t xml:space="preserve">tab projects the </w:t>
      </w:r>
      <w:r w:rsidRPr="00B8380F">
        <w:rPr>
          <w:rFonts w:ascii="Times New Roman" w:hAnsi="Times New Roman" w:cs="Times New Roman"/>
          <w:sz w:val="24"/>
          <w:szCs w:val="24"/>
        </w:rPr>
        <w:t>value</w:t>
      </w:r>
      <w:r w:rsidR="027B913A" w:rsidRPr="00B8380F">
        <w:rPr>
          <w:rFonts w:ascii="Times New Roman" w:hAnsi="Times New Roman" w:cs="Times New Roman"/>
          <w:sz w:val="24"/>
          <w:szCs w:val="24"/>
        </w:rPr>
        <w:t xml:space="preserve"> of the resource by valuing</w:t>
      </w:r>
      <w:r w:rsidRPr="00B8380F">
        <w:rPr>
          <w:rFonts w:ascii="Times New Roman" w:hAnsi="Times New Roman" w:cs="Times New Roman"/>
          <w:sz w:val="24"/>
          <w:szCs w:val="24"/>
        </w:rPr>
        <w:t xml:space="preserve"> the capacity of the resource at the ECC of a CT and a</w:t>
      </w:r>
      <w:r w:rsidR="1D51BE18" w:rsidRPr="00B8380F">
        <w:rPr>
          <w:rFonts w:ascii="Times New Roman" w:hAnsi="Times New Roman" w:cs="Times New Roman"/>
          <w:sz w:val="24"/>
          <w:szCs w:val="24"/>
        </w:rPr>
        <w:t>ssigning</w:t>
      </w:r>
      <w:r w:rsidRPr="00B8380F">
        <w:rPr>
          <w:rFonts w:ascii="Times New Roman" w:hAnsi="Times New Roman" w:cs="Times New Roman"/>
          <w:sz w:val="24"/>
          <w:szCs w:val="24"/>
        </w:rPr>
        <w:t xml:space="preserve"> an</w:t>
      </w:r>
      <w:r w:rsidR="63E95C2B" w:rsidRPr="00B8380F">
        <w:rPr>
          <w:rFonts w:ascii="Times New Roman" w:hAnsi="Times New Roman" w:cs="Times New Roman"/>
          <w:sz w:val="24"/>
          <w:szCs w:val="24"/>
        </w:rPr>
        <w:t xml:space="preserve"> </w:t>
      </w:r>
      <w:r w:rsidR="6A06220C" w:rsidRPr="00B8380F">
        <w:rPr>
          <w:rFonts w:ascii="Times New Roman" w:hAnsi="Times New Roman" w:cs="Times New Roman"/>
          <w:sz w:val="24"/>
          <w:szCs w:val="24"/>
        </w:rPr>
        <w:t>e</w:t>
      </w:r>
      <w:r w:rsidR="63E95C2B" w:rsidRPr="00B8380F">
        <w:rPr>
          <w:rFonts w:ascii="Times New Roman" w:hAnsi="Times New Roman" w:cs="Times New Roman"/>
          <w:sz w:val="24"/>
          <w:szCs w:val="24"/>
        </w:rPr>
        <w:t>nergy benefit based on the production costs savings from either the 2025 IRP 111-MG0 or MG0 planning scenarios</w:t>
      </w:r>
      <w:r w:rsidR="00877256">
        <w:rPr>
          <w:rFonts w:ascii="Times New Roman" w:hAnsi="Times New Roman" w:cs="Times New Roman"/>
          <w:sz w:val="24"/>
          <w:szCs w:val="24"/>
        </w:rPr>
        <w:t>.</w:t>
      </w:r>
      <w:r w:rsidR="63E95C2B" w:rsidRPr="00B8380F">
        <w:rPr>
          <w:rFonts w:ascii="Times New Roman" w:hAnsi="Times New Roman" w:cs="Times New Roman"/>
          <w:sz w:val="24"/>
          <w:szCs w:val="24"/>
        </w:rPr>
        <w:t xml:space="preserve"> </w:t>
      </w:r>
    </w:p>
    <w:p w14:paraId="4C5F7BB8" w14:textId="7183DFCB" w:rsidR="747C810B" w:rsidRPr="00B8380F" w:rsidRDefault="747C810B" w:rsidP="747C810B">
      <w:pPr>
        <w:spacing w:after="120" w:line="256" w:lineRule="auto"/>
        <w:ind w:left="2160"/>
        <w:jc w:val="both"/>
        <w:rPr>
          <w:rFonts w:ascii="Times New Roman" w:hAnsi="Times New Roman" w:cs="Times New Roman"/>
          <w:sz w:val="24"/>
          <w:szCs w:val="24"/>
        </w:rPr>
      </w:pPr>
    </w:p>
    <w:p w14:paraId="7EC7D365" w14:textId="6DAFAAE2" w:rsidR="008E4A6C" w:rsidRPr="00B8380F" w:rsidRDefault="008E4A6C" w:rsidP="747C810B">
      <w:pPr>
        <w:spacing w:after="120" w:line="256" w:lineRule="auto"/>
        <w:ind w:left="2160"/>
        <w:jc w:val="both"/>
        <w:rPr>
          <w:rFonts w:ascii="Times New Roman" w:hAnsi="Times New Roman" w:cs="Times New Roman"/>
          <w:sz w:val="24"/>
          <w:szCs w:val="24"/>
        </w:rPr>
      </w:pPr>
    </w:p>
    <w:sectPr w:rsidR="008E4A6C" w:rsidRPr="00B8380F" w:rsidSect="00034616">
      <w:headerReference w:type="default" r:id="rId7"/>
      <w:footerReference w:type="default" r:id="rId8"/>
      <w:pgSz w:w="12240" w:h="15840"/>
      <w:pgMar w:top="144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E8871" w14:textId="77777777" w:rsidR="00021260" w:rsidRDefault="00021260">
      <w:pPr>
        <w:spacing w:after="0" w:line="240" w:lineRule="auto"/>
      </w:pPr>
      <w:r>
        <w:separator/>
      </w:r>
    </w:p>
  </w:endnote>
  <w:endnote w:type="continuationSeparator" w:id="0">
    <w:p w14:paraId="65E42703" w14:textId="77777777" w:rsidR="00021260" w:rsidRDefault="00021260">
      <w:pPr>
        <w:spacing w:after="0" w:line="240" w:lineRule="auto"/>
      </w:pPr>
      <w:r>
        <w:continuationSeparator/>
      </w:r>
    </w:p>
  </w:endnote>
  <w:endnote w:type="continuationNotice" w:id="1">
    <w:p w14:paraId="7249167C" w14:textId="77777777" w:rsidR="00021260" w:rsidRDefault="000212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4C7" w14:textId="77777777" w:rsidR="00676A5D" w:rsidRDefault="00676A5D">
    <w:pPr>
      <w:pStyle w:val="Footer"/>
    </w:pPr>
  </w:p>
  <w:tbl>
    <w:tblPr>
      <w:tblW w:w="0" w:type="auto"/>
      <w:jc w:val="center"/>
      <w:tblLook w:val="04A0" w:firstRow="1" w:lastRow="0" w:firstColumn="1" w:lastColumn="0" w:noHBand="0" w:noVBand="1"/>
    </w:tblPr>
    <w:tblGrid>
      <w:gridCol w:w="4707"/>
      <w:gridCol w:w="4653"/>
    </w:tblGrid>
    <w:tr w:rsidR="00676A5D" w14:paraId="32E0CC11" w14:textId="77777777" w:rsidTr="733A6BBE">
      <w:trPr>
        <w:jc w:val="center"/>
      </w:trPr>
      <w:tc>
        <w:tcPr>
          <w:tcW w:w="5400" w:type="dxa"/>
        </w:tcPr>
        <w:p w14:paraId="5376B8F0" w14:textId="69509E71" w:rsidR="00676A5D" w:rsidRDefault="733A6BBE">
          <w:r w:rsidRPr="733A6BBE">
            <w:rPr>
              <w:rFonts w:ascii="Times New Roman" w:hAnsi="Times New Roman"/>
              <w:sz w:val="24"/>
              <w:szCs w:val="24"/>
            </w:rPr>
            <w:t>Contact:  Jeff Grubb</w:t>
          </w:r>
        </w:p>
      </w:tc>
      <w:tc>
        <w:tcPr>
          <w:tcW w:w="5400" w:type="dxa"/>
        </w:tcPr>
        <w:p w14:paraId="0CA1B671" w14:textId="06803FAA" w:rsidR="00676A5D" w:rsidRDefault="008E3137">
          <w:pPr>
            <w:jc w:val="right"/>
          </w:pPr>
          <w:r>
            <w:rPr>
              <w:rFonts w:ascii="Times New Roman" w:hAnsi="Times New Roman"/>
              <w:sz w:val="24"/>
            </w:rPr>
            <w:t xml:space="preserve">Page </w:t>
          </w: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r>
            <w:rPr>
              <w:rFonts w:ascii="Times New Roman" w:hAnsi="Times New Roman"/>
              <w:sz w:val="24"/>
            </w:rPr>
            <w:t xml:space="preserve"> of </w:t>
          </w:r>
          <w:r>
            <w:rPr>
              <w:rFonts w:ascii="Times New Roman" w:hAnsi="Times New Roman"/>
              <w:sz w:val="24"/>
            </w:rPr>
            <w:fldChar w:fldCharType="begin"/>
          </w:r>
          <w:r>
            <w:rPr>
              <w:rFonts w:ascii="Times New Roman" w:hAnsi="Times New Roman"/>
              <w:sz w:val="24"/>
            </w:rPr>
            <w:instrText>NUMPAGES</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F3A53" w14:textId="77777777" w:rsidR="00021260" w:rsidRDefault="00021260">
      <w:pPr>
        <w:spacing w:after="0" w:line="240" w:lineRule="auto"/>
      </w:pPr>
      <w:r>
        <w:separator/>
      </w:r>
    </w:p>
  </w:footnote>
  <w:footnote w:type="continuationSeparator" w:id="0">
    <w:p w14:paraId="416DC86D" w14:textId="77777777" w:rsidR="00021260" w:rsidRDefault="00021260">
      <w:pPr>
        <w:spacing w:after="0" w:line="240" w:lineRule="auto"/>
      </w:pPr>
      <w:r>
        <w:continuationSeparator/>
      </w:r>
    </w:p>
  </w:footnote>
  <w:footnote w:type="continuationNotice" w:id="1">
    <w:p w14:paraId="6DF61092" w14:textId="77777777" w:rsidR="00021260" w:rsidRDefault="000212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97CA6" w14:textId="77777777" w:rsidR="006A5A9C" w:rsidRPr="003C46BC" w:rsidRDefault="006A5A9C" w:rsidP="006A5A9C">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21DFBE34" w14:textId="77777777" w:rsidR="006A5A9C" w:rsidRPr="003C46BC" w:rsidRDefault="006A5A9C" w:rsidP="006A5A9C">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1F9098D3" w14:textId="77777777" w:rsidR="006A5A9C" w:rsidRPr="003C46BC" w:rsidRDefault="006A5A9C" w:rsidP="006A5A9C">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09439885" w14:textId="77777777" w:rsidR="006A5A9C" w:rsidRPr="003C46BC" w:rsidRDefault="006A5A9C" w:rsidP="006A5A9C">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013ECCD5" w14:textId="77777777" w:rsidR="006A5A9C" w:rsidRDefault="006A5A9C" w:rsidP="006A5A9C">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w:t>
    </w:r>
  </w:p>
  <w:p w14:paraId="7C4EEB1A" w14:textId="77777777" w:rsidR="00676A5D" w:rsidRDefault="00676A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CCA57D9"/>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04340118">
    <w:abstractNumId w:val="8"/>
  </w:num>
  <w:num w:numId="2" w16cid:durableId="1542790526">
    <w:abstractNumId w:val="6"/>
  </w:num>
  <w:num w:numId="3" w16cid:durableId="1959528856">
    <w:abstractNumId w:val="5"/>
  </w:num>
  <w:num w:numId="4" w16cid:durableId="592008828">
    <w:abstractNumId w:val="4"/>
  </w:num>
  <w:num w:numId="5" w16cid:durableId="601954021">
    <w:abstractNumId w:val="7"/>
  </w:num>
  <w:num w:numId="6" w16cid:durableId="1800995866">
    <w:abstractNumId w:val="3"/>
  </w:num>
  <w:num w:numId="7" w16cid:durableId="1576088640">
    <w:abstractNumId w:val="2"/>
  </w:num>
  <w:num w:numId="8" w16cid:durableId="769355561">
    <w:abstractNumId w:val="1"/>
  </w:num>
  <w:num w:numId="9" w16cid:durableId="1037318836">
    <w:abstractNumId w:val="0"/>
  </w:num>
  <w:num w:numId="10" w16cid:durableId="961887179">
    <w:abstractNumId w:val="10"/>
  </w:num>
  <w:num w:numId="11" w16cid:durableId="17240648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260"/>
    <w:rsid w:val="00034616"/>
    <w:rsid w:val="00055C5E"/>
    <w:rsid w:val="0006063C"/>
    <w:rsid w:val="0008AEF5"/>
    <w:rsid w:val="00131845"/>
    <w:rsid w:val="0015074B"/>
    <w:rsid w:val="001702AA"/>
    <w:rsid w:val="001D12D6"/>
    <w:rsid w:val="00203BED"/>
    <w:rsid w:val="0029639D"/>
    <w:rsid w:val="002B0F26"/>
    <w:rsid w:val="002E57B3"/>
    <w:rsid w:val="00326F90"/>
    <w:rsid w:val="0034122A"/>
    <w:rsid w:val="003A6C79"/>
    <w:rsid w:val="003D1E3E"/>
    <w:rsid w:val="00406AFC"/>
    <w:rsid w:val="00463DF6"/>
    <w:rsid w:val="004A688F"/>
    <w:rsid w:val="004D1247"/>
    <w:rsid w:val="005E28FB"/>
    <w:rsid w:val="00610B55"/>
    <w:rsid w:val="00676A5D"/>
    <w:rsid w:val="006A5A9C"/>
    <w:rsid w:val="006E1725"/>
    <w:rsid w:val="00726808"/>
    <w:rsid w:val="00735113"/>
    <w:rsid w:val="007823C8"/>
    <w:rsid w:val="00790EE3"/>
    <w:rsid w:val="00806EDB"/>
    <w:rsid w:val="00830353"/>
    <w:rsid w:val="00877256"/>
    <w:rsid w:val="008A5ABB"/>
    <w:rsid w:val="008B1C62"/>
    <w:rsid w:val="008E3137"/>
    <w:rsid w:val="008E4A6C"/>
    <w:rsid w:val="008F16E7"/>
    <w:rsid w:val="00964400"/>
    <w:rsid w:val="00967C87"/>
    <w:rsid w:val="009E586A"/>
    <w:rsid w:val="009F0141"/>
    <w:rsid w:val="00A749BF"/>
    <w:rsid w:val="00AA1D8D"/>
    <w:rsid w:val="00B16040"/>
    <w:rsid w:val="00B47730"/>
    <w:rsid w:val="00B8380F"/>
    <w:rsid w:val="00BE713F"/>
    <w:rsid w:val="00C01D16"/>
    <w:rsid w:val="00C03A3D"/>
    <w:rsid w:val="00CB0664"/>
    <w:rsid w:val="00CF7E59"/>
    <w:rsid w:val="00D37B87"/>
    <w:rsid w:val="00D66566"/>
    <w:rsid w:val="00D86260"/>
    <w:rsid w:val="00D9230B"/>
    <w:rsid w:val="00DD6DB7"/>
    <w:rsid w:val="00DE0649"/>
    <w:rsid w:val="00E02BA2"/>
    <w:rsid w:val="00E33F3B"/>
    <w:rsid w:val="00E55A44"/>
    <w:rsid w:val="00EC0D1A"/>
    <w:rsid w:val="00F1373A"/>
    <w:rsid w:val="00F541B6"/>
    <w:rsid w:val="00F85FA8"/>
    <w:rsid w:val="00FA534F"/>
    <w:rsid w:val="00FC693F"/>
    <w:rsid w:val="00FF514A"/>
    <w:rsid w:val="0182FE98"/>
    <w:rsid w:val="01A6731E"/>
    <w:rsid w:val="027B913A"/>
    <w:rsid w:val="05B8F937"/>
    <w:rsid w:val="07B022C1"/>
    <w:rsid w:val="09B3D80F"/>
    <w:rsid w:val="0ECA7084"/>
    <w:rsid w:val="160D191B"/>
    <w:rsid w:val="1D51BE18"/>
    <w:rsid w:val="21511465"/>
    <w:rsid w:val="239D33F7"/>
    <w:rsid w:val="2B340EF5"/>
    <w:rsid w:val="2F96A9AC"/>
    <w:rsid w:val="3424730E"/>
    <w:rsid w:val="358E2205"/>
    <w:rsid w:val="38E26861"/>
    <w:rsid w:val="3A840E7C"/>
    <w:rsid w:val="3C09FB1E"/>
    <w:rsid w:val="3C1003F2"/>
    <w:rsid w:val="42AAB04F"/>
    <w:rsid w:val="432D7714"/>
    <w:rsid w:val="46202570"/>
    <w:rsid w:val="46964119"/>
    <w:rsid w:val="473DD3D0"/>
    <w:rsid w:val="4B32F752"/>
    <w:rsid w:val="5034DCA3"/>
    <w:rsid w:val="52DAAD0C"/>
    <w:rsid w:val="5444DDA2"/>
    <w:rsid w:val="611134E5"/>
    <w:rsid w:val="6187E260"/>
    <w:rsid w:val="63107384"/>
    <w:rsid w:val="63E95C2B"/>
    <w:rsid w:val="65463CFF"/>
    <w:rsid w:val="677A7D87"/>
    <w:rsid w:val="6A06220C"/>
    <w:rsid w:val="6CEE3A99"/>
    <w:rsid w:val="6EFAA17C"/>
    <w:rsid w:val="70BAB4EF"/>
    <w:rsid w:val="733A6BBE"/>
    <w:rsid w:val="747C810B"/>
    <w:rsid w:val="788FF056"/>
    <w:rsid w:val="7D36CD9E"/>
    <w:rsid w:val="7F1339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0F26"/>
    <w:rPr>
      <w:b/>
      <w:bCs/>
    </w:rPr>
  </w:style>
  <w:style w:type="character" w:customStyle="1" w:styleId="CommentSubjectChar">
    <w:name w:val="Comment Subject Char"/>
    <w:basedOn w:val="CommentTextChar"/>
    <w:link w:val="CommentSubject"/>
    <w:uiPriority w:val="99"/>
    <w:semiHidden/>
    <w:rsid w:val="002B0F26"/>
    <w:rPr>
      <w:b/>
      <w:bCs/>
      <w:sz w:val="20"/>
      <w:szCs w:val="20"/>
    </w:rPr>
  </w:style>
  <w:style w:type="character" w:styleId="Mention">
    <w:name w:val="Mention"/>
    <w:basedOn w:val="DefaultParagraphFont"/>
    <w:uiPriority w:val="99"/>
    <w:unhideWhenUsed/>
    <w:rsid w:val="002B0F26"/>
    <w:rPr>
      <w:color w:val="2B579A"/>
      <w:shd w:val="clear" w:color="auto" w:fill="E1DFDD"/>
    </w:rPr>
  </w:style>
  <w:style w:type="paragraph" w:styleId="Revision">
    <w:name w:val="Revision"/>
    <w:hidden/>
    <w:uiPriority w:val="99"/>
    <w:semiHidden/>
    <w:rsid w:val="009F01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E0FCDB-C047-477C-8ABF-CEF6888EFF54}"/>
</file>

<file path=customXml/itemProps2.xml><?xml version="1.0" encoding="utf-8"?>
<ds:datastoreItem xmlns:ds="http://schemas.openxmlformats.org/officeDocument/2006/customXml" ds:itemID="{78604FC3-2A67-4951-945E-EFBED5845C4A}"/>
</file>

<file path=customXml/itemProps3.xml><?xml version="1.0" encoding="utf-8"?>
<ds:datastoreItem xmlns:ds="http://schemas.openxmlformats.org/officeDocument/2006/customXml" ds:itemID="{C381202D-8E70-4AA6-A70C-73D5A770389B}"/>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1897</Characters>
  <Application>Microsoft Office Word</Application>
  <DocSecurity>0</DocSecurity>
  <Lines>15</Lines>
  <Paragraphs>4</Paragraphs>
  <ScaleCrop>false</ScaleCrop>
  <Manager/>
  <Company/>
  <LinksUpToDate>false</LinksUpToDate>
  <CharactersWithSpaces>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3d134d2b-3859-495b-a938-0e2e808c8f8a</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