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9350A" w14:textId="51D56722" w:rsidR="008E536E" w:rsidRPr="008E536E" w:rsidRDefault="00EB6339" w:rsidP="00E40CDA">
      <w:pPr>
        <w:spacing w:after="0" w:line="240" w:lineRule="auto"/>
        <w:jc w:val="both"/>
        <w:rPr>
          <w:rFonts w:ascii="Times New Roman" w:eastAsia="Times New Roman" w:hAnsi="Times New Roman" w:cs="Times New Roman"/>
          <w:b/>
          <w:bCs/>
          <w:sz w:val="24"/>
          <w:szCs w:val="24"/>
        </w:rPr>
      </w:pPr>
      <w:bookmarkStart w:id="0" w:name="_Hlk528154414"/>
      <w:r w:rsidRPr="6FA7E55E">
        <w:rPr>
          <w:rFonts w:ascii="Times New Roman" w:eastAsia="Times New Roman" w:hAnsi="Times New Roman" w:cs="Times New Roman"/>
          <w:b/>
          <w:bCs/>
          <w:sz w:val="24"/>
          <w:szCs w:val="24"/>
        </w:rPr>
        <w:t>STF</w:t>
      </w:r>
      <w:r w:rsidR="00E16C5E">
        <w:rPr>
          <w:rFonts w:ascii="Times New Roman" w:eastAsia="Times New Roman" w:hAnsi="Times New Roman" w:cs="Times New Roman"/>
          <w:b/>
          <w:bCs/>
          <w:sz w:val="24"/>
          <w:szCs w:val="24"/>
        </w:rPr>
        <w:t>-JKA-2-2</w:t>
      </w:r>
      <w:r w:rsidR="00FE15F2">
        <w:rPr>
          <w:rFonts w:ascii="Times New Roman" w:eastAsia="Times New Roman" w:hAnsi="Times New Roman" w:cs="Times New Roman"/>
          <w:b/>
          <w:bCs/>
          <w:sz w:val="24"/>
          <w:szCs w:val="24"/>
        </w:rPr>
        <w:t>5</w:t>
      </w:r>
    </w:p>
    <w:p w14:paraId="4714965A" w14:textId="77777777" w:rsidR="008E536E" w:rsidRPr="008E536E" w:rsidRDefault="008E536E" w:rsidP="00E40CDA">
      <w:pPr>
        <w:spacing w:after="0" w:line="240" w:lineRule="auto"/>
        <w:jc w:val="both"/>
        <w:rPr>
          <w:rFonts w:ascii="Times New Roman" w:eastAsia="Times New Roman" w:hAnsi="Times New Roman" w:cs="Times New Roman"/>
          <w:sz w:val="24"/>
          <w:szCs w:val="24"/>
        </w:rPr>
      </w:pPr>
    </w:p>
    <w:p w14:paraId="7BD8CCBD" w14:textId="5B99C575" w:rsidR="00EC1586" w:rsidRDefault="008E536E" w:rsidP="00E40CDA">
      <w:pPr>
        <w:spacing w:after="0" w:line="240" w:lineRule="auto"/>
        <w:jc w:val="both"/>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1" w:name="_Hlk528153630"/>
    </w:p>
    <w:bookmarkEnd w:id="1"/>
    <w:p w14:paraId="7A163680" w14:textId="3BF282EE" w:rsidR="00FA594D" w:rsidRDefault="00FA594D" w:rsidP="00E40CDA">
      <w:pPr>
        <w:spacing w:after="0" w:line="240" w:lineRule="auto"/>
        <w:jc w:val="both"/>
        <w:rPr>
          <w:rFonts w:ascii="Times New Roman" w:eastAsia="Times New Roman" w:hAnsi="Times New Roman" w:cs="Times New Roman"/>
          <w:sz w:val="24"/>
          <w:szCs w:val="24"/>
        </w:rPr>
      </w:pPr>
    </w:p>
    <w:p w14:paraId="39D9A282" w14:textId="77777777" w:rsidR="009B1072" w:rsidRPr="009B1072" w:rsidRDefault="009B1072" w:rsidP="00596373">
      <w:pPr>
        <w:tabs>
          <w:tab w:val="left" w:pos="2880"/>
        </w:tabs>
        <w:spacing w:after="120"/>
        <w:jc w:val="both"/>
        <w:rPr>
          <w:rFonts w:ascii="Times New Roman" w:hAnsi="Times New Roman"/>
          <w:sz w:val="24"/>
          <w:szCs w:val="24"/>
        </w:rPr>
      </w:pPr>
      <w:r w:rsidRPr="009B1072">
        <w:rPr>
          <w:rFonts w:ascii="Times New Roman" w:hAnsi="Times New Roman"/>
          <w:sz w:val="24"/>
          <w:szCs w:val="24"/>
        </w:rPr>
        <w:t xml:space="preserve">Regarding the Nuclear Unit Upgrades, </w:t>
      </w:r>
    </w:p>
    <w:p w14:paraId="6D3C17C3" w14:textId="77777777" w:rsidR="009B1072" w:rsidRDefault="009B1072" w:rsidP="00596373">
      <w:pPr>
        <w:pStyle w:val="ListParagraph"/>
        <w:numPr>
          <w:ilvl w:val="4"/>
          <w:numId w:val="45"/>
        </w:numPr>
        <w:tabs>
          <w:tab w:val="left" w:pos="2880"/>
        </w:tabs>
        <w:spacing w:after="120" w:line="276" w:lineRule="auto"/>
        <w:ind w:left="720"/>
        <w:jc w:val="both"/>
        <w:rPr>
          <w:rFonts w:ascii="Times New Roman" w:hAnsi="Times New Roman"/>
          <w:sz w:val="24"/>
          <w:szCs w:val="24"/>
        </w:rPr>
      </w:pPr>
      <w:r>
        <w:rPr>
          <w:rFonts w:ascii="Times New Roman" w:hAnsi="Times New Roman"/>
          <w:sz w:val="24"/>
          <w:szCs w:val="24"/>
        </w:rPr>
        <w:t>P</w:t>
      </w:r>
      <w:r w:rsidRPr="00350A8A">
        <w:rPr>
          <w:rFonts w:ascii="Times New Roman" w:hAnsi="Times New Roman"/>
          <w:sz w:val="24"/>
          <w:szCs w:val="24"/>
        </w:rPr>
        <w:t xml:space="preserve">rovide </w:t>
      </w:r>
      <w:r>
        <w:rPr>
          <w:rFonts w:ascii="Times New Roman" w:hAnsi="Times New Roman"/>
          <w:sz w:val="24"/>
          <w:szCs w:val="24"/>
        </w:rPr>
        <w:t xml:space="preserve">any </w:t>
      </w:r>
      <w:r w:rsidRPr="00350A8A">
        <w:rPr>
          <w:rFonts w:ascii="Times New Roman" w:hAnsi="Times New Roman"/>
          <w:sz w:val="24"/>
          <w:szCs w:val="24"/>
        </w:rPr>
        <w:t>additional documentation the Company has that explains the Extended Power Uprates, and the Maximum Extended Load Line Limit enhancements</w:t>
      </w:r>
    </w:p>
    <w:p w14:paraId="35687912" w14:textId="77777777" w:rsidR="009B1072" w:rsidRDefault="009B1072" w:rsidP="00596373">
      <w:pPr>
        <w:pStyle w:val="ListParagraph"/>
        <w:numPr>
          <w:ilvl w:val="4"/>
          <w:numId w:val="45"/>
        </w:numPr>
        <w:tabs>
          <w:tab w:val="left" w:pos="2880"/>
        </w:tabs>
        <w:spacing w:after="120" w:line="276" w:lineRule="auto"/>
        <w:ind w:left="720"/>
        <w:jc w:val="both"/>
        <w:rPr>
          <w:rFonts w:ascii="Times New Roman" w:hAnsi="Times New Roman"/>
          <w:sz w:val="24"/>
          <w:szCs w:val="24"/>
        </w:rPr>
      </w:pPr>
      <w:r w:rsidRPr="005F23FA">
        <w:rPr>
          <w:rFonts w:ascii="Times New Roman" w:hAnsi="Times New Roman"/>
          <w:sz w:val="24"/>
          <w:szCs w:val="24"/>
        </w:rPr>
        <w:t>What companies will be helping the Company perform these uprates?</w:t>
      </w:r>
    </w:p>
    <w:p w14:paraId="03F96A4E" w14:textId="77777777" w:rsidR="009B1072" w:rsidRDefault="009B1072" w:rsidP="00BC5F07">
      <w:pPr>
        <w:pStyle w:val="ListParagraph"/>
        <w:numPr>
          <w:ilvl w:val="4"/>
          <w:numId w:val="45"/>
        </w:numPr>
        <w:tabs>
          <w:tab w:val="left" w:pos="2880"/>
        </w:tabs>
        <w:spacing w:line="276" w:lineRule="auto"/>
        <w:ind w:left="720"/>
        <w:jc w:val="both"/>
        <w:rPr>
          <w:rFonts w:ascii="Times New Roman" w:hAnsi="Times New Roman"/>
          <w:sz w:val="24"/>
          <w:szCs w:val="24"/>
        </w:rPr>
      </w:pPr>
      <w:r w:rsidRPr="001975BB">
        <w:rPr>
          <w:rFonts w:ascii="Times New Roman" w:hAnsi="Times New Roman"/>
          <w:sz w:val="24"/>
          <w:szCs w:val="24"/>
        </w:rPr>
        <w:t xml:space="preserve">What other nuclear units is the Company aware of that have either performed these upgrades or have decided to perform these upgrades similar to the Company?  </w:t>
      </w:r>
      <w:r>
        <w:rPr>
          <w:rFonts w:ascii="Times New Roman" w:hAnsi="Times New Roman"/>
          <w:sz w:val="24"/>
          <w:szCs w:val="24"/>
        </w:rPr>
        <w:t>When were the upgrades performed?</w:t>
      </w:r>
    </w:p>
    <w:p w14:paraId="15DC4C1B" w14:textId="77777777" w:rsidR="00943C7B" w:rsidRDefault="00943C7B" w:rsidP="00596373">
      <w:pPr>
        <w:spacing w:after="0"/>
        <w:jc w:val="both"/>
        <w:rPr>
          <w:rFonts w:ascii="Times New Roman" w:eastAsia="Times New Roman" w:hAnsi="Times New Roman" w:cs="Times New Roman"/>
          <w:sz w:val="24"/>
          <w:szCs w:val="24"/>
          <w:highlight w:val="yellow"/>
        </w:rPr>
      </w:pPr>
    </w:p>
    <w:p w14:paraId="52B246F3" w14:textId="77777777" w:rsidR="00EC1586" w:rsidRDefault="008E536E" w:rsidP="00596373">
      <w:pPr>
        <w:spacing w:after="0"/>
        <w:jc w:val="both"/>
        <w:rPr>
          <w:rFonts w:ascii="Times New Roman" w:eastAsia="Times New Roman" w:hAnsi="Times New Roman" w:cs="Times New Roman"/>
          <w:sz w:val="24"/>
          <w:szCs w:val="24"/>
          <w:u w:val="single"/>
        </w:rPr>
      </w:pPr>
      <w:r w:rsidRPr="008E536E">
        <w:rPr>
          <w:rFonts w:ascii="Times New Roman" w:eastAsia="Times New Roman" w:hAnsi="Times New Roman" w:cs="Times New Roman"/>
          <w:sz w:val="24"/>
          <w:szCs w:val="24"/>
          <w:u w:val="single"/>
        </w:rPr>
        <w:t>Response</w:t>
      </w:r>
      <w:bookmarkEnd w:id="0"/>
      <w:r w:rsidR="00EF019F">
        <w:rPr>
          <w:rFonts w:ascii="Times New Roman" w:eastAsia="Times New Roman" w:hAnsi="Times New Roman" w:cs="Times New Roman"/>
          <w:sz w:val="24"/>
          <w:szCs w:val="24"/>
        </w:rPr>
        <w:t>:</w:t>
      </w:r>
    </w:p>
    <w:p w14:paraId="1C58C5FA" w14:textId="77777777" w:rsidR="00EC1586" w:rsidRPr="00FE4214" w:rsidRDefault="00EC1586" w:rsidP="00596373">
      <w:pPr>
        <w:spacing w:after="0"/>
        <w:jc w:val="both"/>
        <w:rPr>
          <w:rFonts w:ascii="Times New Roman" w:eastAsia="Times New Roman" w:hAnsi="Times New Roman" w:cs="Times New Roman"/>
          <w:sz w:val="24"/>
          <w:szCs w:val="24"/>
        </w:rPr>
      </w:pPr>
    </w:p>
    <w:p w14:paraId="7F7AD81F" w14:textId="2C8B053B" w:rsidR="2EE5382E" w:rsidRDefault="2EE5382E" w:rsidP="00596373">
      <w:pPr>
        <w:pStyle w:val="ListParagraph"/>
        <w:numPr>
          <w:ilvl w:val="0"/>
          <w:numId w:val="46"/>
        </w:numPr>
        <w:spacing w:line="276" w:lineRule="auto"/>
        <w:jc w:val="both"/>
        <w:rPr>
          <w:rFonts w:ascii="Times New Roman" w:hAnsi="Times New Roman" w:cs="Times New Roman"/>
          <w:color w:val="333333"/>
          <w:sz w:val="24"/>
          <w:szCs w:val="24"/>
        </w:rPr>
      </w:pPr>
      <w:r w:rsidRPr="00420D11">
        <w:rPr>
          <w:rFonts w:ascii="Times New Roman" w:hAnsi="Times New Roman" w:cs="Times New Roman"/>
          <w:color w:val="333333"/>
          <w:sz w:val="24"/>
          <w:szCs w:val="24"/>
        </w:rPr>
        <w:t xml:space="preserve">Utilities have been using power uprates since the 1970s as a way to increase the power output of nuclear plants. To increase the power output of a reactor, typically more highly enriched uranium fuel and/or more fresh fuel is used. This enables the reactor to produce more thermal energy and more steam, </w:t>
      </w:r>
      <w:r w:rsidR="00596373">
        <w:rPr>
          <w:rFonts w:ascii="Times New Roman" w:hAnsi="Times New Roman" w:cs="Times New Roman"/>
          <w:color w:val="333333"/>
          <w:sz w:val="24"/>
          <w:szCs w:val="24"/>
        </w:rPr>
        <w:t xml:space="preserve">thereby </w:t>
      </w:r>
      <w:r w:rsidRPr="00420D11">
        <w:rPr>
          <w:rFonts w:ascii="Times New Roman" w:hAnsi="Times New Roman" w:cs="Times New Roman"/>
          <w:color w:val="333333"/>
          <w:sz w:val="24"/>
          <w:szCs w:val="24"/>
        </w:rPr>
        <w:t xml:space="preserve">driving a turbine generator to produce </w:t>
      </w:r>
      <w:r w:rsidR="52E62F31" w:rsidRPr="00420D11">
        <w:rPr>
          <w:rFonts w:ascii="Times New Roman" w:hAnsi="Times New Roman" w:cs="Times New Roman"/>
          <w:color w:val="333333"/>
          <w:sz w:val="24"/>
          <w:szCs w:val="24"/>
        </w:rPr>
        <w:t xml:space="preserve">more </w:t>
      </w:r>
      <w:r w:rsidRPr="00420D11">
        <w:rPr>
          <w:rFonts w:ascii="Times New Roman" w:hAnsi="Times New Roman" w:cs="Times New Roman"/>
          <w:color w:val="333333"/>
          <w:sz w:val="24"/>
          <w:szCs w:val="24"/>
        </w:rPr>
        <w:t>electricity. In order to accomplish this, components such as pipes, valves, pumps, heat exchangers, electrical transformers and generators, must be able to accommodate the conditions that would exist at the higher power level. For example, a higher power level usually involves higher steam and water flow through the systems used in converting the thermal power into electric power. These systems must be capable of accommodating the higher flows.</w:t>
      </w:r>
    </w:p>
    <w:p w14:paraId="01FF0C79" w14:textId="77777777" w:rsidR="000E7D18" w:rsidRPr="00420D11" w:rsidRDefault="000E7D18" w:rsidP="00596373">
      <w:pPr>
        <w:pStyle w:val="ListParagraph"/>
        <w:spacing w:line="276" w:lineRule="auto"/>
        <w:ind w:firstLine="0"/>
        <w:jc w:val="both"/>
        <w:rPr>
          <w:rFonts w:ascii="Times New Roman" w:hAnsi="Times New Roman" w:cs="Times New Roman"/>
          <w:color w:val="333333"/>
          <w:sz w:val="24"/>
          <w:szCs w:val="24"/>
        </w:rPr>
      </w:pPr>
    </w:p>
    <w:p w14:paraId="3D92EB9C" w14:textId="672F700C" w:rsidR="2EE5382E" w:rsidRPr="00420D11" w:rsidRDefault="2EE5382E" w:rsidP="00596373">
      <w:pPr>
        <w:pStyle w:val="ListParagraph"/>
        <w:shd w:val="clear" w:color="auto" w:fill="FFFFFF" w:themeFill="background1"/>
        <w:spacing w:after="300" w:line="276" w:lineRule="auto"/>
        <w:ind w:firstLine="0"/>
        <w:jc w:val="both"/>
        <w:rPr>
          <w:rFonts w:ascii="Times New Roman" w:hAnsi="Times New Roman" w:cs="Times New Roman"/>
          <w:color w:val="333333"/>
          <w:sz w:val="24"/>
          <w:szCs w:val="24"/>
        </w:rPr>
      </w:pPr>
      <w:r w:rsidRPr="00420D11">
        <w:rPr>
          <w:rFonts w:ascii="Times New Roman" w:hAnsi="Times New Roman" w:cs="Times New Roman"/>
          <w:color w:val="333333"/>
          <w:sz w:val="24"/>
          <w:szCs w:val="24"/>
        </w:rPr>
        <w:t>In some instances, licensees will modify and/or replace components in order to accommodate a higher power level. Depending on the desired increase in power level and original equipment design, this can involve major and costly modifications to the plant such as the replacement</w:t>
      </w:r>
      <w:r w:rsidR="630907B4" w:rsidRPr="00420D11">
        <w:rPr>
          <w:rFonts w:ascii="Times New Roman" w:hAnsi="Times New Roman" w:cs="Times New Roman"/>
          <w:color w:val="333333"/>
          <w:sz w:val="24"/>
          <w:szCs w:val="24"/>
        </w:rPr>
        <w:t xml:space="preserve"> or retrofit</w:t>
      </w:r>
      <w:r w:rsidRPr="00420D11">
        <w:rPr>
          <w:rFonts w:ascii="Times New Roman" w:hAnsi="Times New Roman" w:cs="Times New Roman"/>
          <w:color w:val="333333"/>
          <w:sz w:val="24"/>
          <w:szCs w:val="24"/>
        </w:rPr>
        <w:t xml:space="preserve"> of main turbines</w:t>
      </w:r>
      <w:r w:rsidR="69FF69A8" w:rsidRPr="00420D11">
        <w:rPr>
          <w:rFonts w:ascii="Times New Roman" w:hAnsi="Times New Roman" w:cs="Times New Roman"/>
          <w:color w:val="333333"/>
          <w:sz w:val="24"/>
          <w:szCs w:val="24"/>
        </w:rPr>
        <w:t xml:space="preserve"> and/or main generators</w:t>
      </w:r>
      <w:r w:rsidRPr="00420D11">
        <w:rPr>
          <w:rFonts w:ascii="Times New Roman" w:hAnsi="Times New Roman" w:cs="Times New Roman"/>
          <w:color w:val="333333"/>
          <w:sz w:val="24"/>
          <w:szCs w:val="24"/>
        </w:rPr>
        <w:t xml:space="preserve">. All of these factors must be analyzed by the licensee as part of a request for a power uprate, which is accomplished by amending the plant's operating license. The analyses must demonstrate that the proposed new configuration remains safe and that measures continue to be in place to protect the health and safety of the public. These analyses, which span many technical disciplines and may be complex, are reviewed by the </w:t>
      </w:r>
      <w:r w:rsidR="0094026A">
        <w:rPr>
          <w:rFonts w:ascii="Times New Roman" w:hAnsi="Times New Roman" w:cs="Times New Roman"/>
          <w:color w:val="333333"/>
          <w:sz w:val="24"/>
          <w:szCs w:val="24"/>
        </w:rPr>
        <w:t>Nuclear Regulatory Commission’s (“</w:t>
      </w:r>
      <w:r w:rsidR="006070F0" w:rsidRPr="00420D11">
        <w:rPr>
          <w:rFonts w:ascii="Times New Roman" w:hAnsi="Times New Roman" w:cs="Times New Roman"/>
          <w:color w:val="333333"/>
          <w:sz w:val="24"/>
          <w:szCs w:val="24"/>
        </w:rPr>
        <w:t>NRC</w:t>
      </w:r>
      <w:r w:rsidR="0094026A">
        <w:rPr>
          <w:rFonts w:ascii="Times New Roman" w:hAnsi="Times New Roman" w:cs="Times New Roman"/>
          <w:color w:val="333333"/>
          <w:sz w:val="24"/>
          <w:szCs w:val="24"/>
        </w:rPr>
        <w:t>”)</w:t>
      </w:r>
      <w:r w:rsidR="006070F0" w:rsidRPr="00420D11">
        <w:rPr>
          <w:rFonts w:ascii="Times New Roman" w:hAnsi="Times New Roman" w:cs="Times New Roman"/>
          <w:color w:val="333333"/>
          <w:sz w:val="24"/>
          <w:szCs w:val="24"/>
        </w:rPr>
        <w:t xml:space="preserve"> </w:t>
      </w:r>
      <w:r w:rsidRPr="00420D11">
        <w:rPr>
          <w:rFonts w:ascii="Times New Roman" w:hAnsi="Times New Roman" w:cs="Times New Roman"/>
          <w:color w:val="333333"/>
          <w:sz w:val="24"/>
          <w:szCs w:val="24"/>
        </w:rPr>
        <w:t>technical and legal staffs and NRC management before a request for a power uprate is approved.</w:t>
      </w:r>
    </w:p>
    <w:p w14:paraId="00BADD0B" w14:textId="046A519C" w:rsidR="16450AE0" w:rsidRPr="00420D11" w:rsidRDefault="16450AE0" w:rsidP="00596373">
      <w:pPr>
        <w:pStyle w:val="ListParagraph"/>
        <w:spacing w:line="276" w:lineRule="auto"/>
        <w:ind w:firstLine="0"/>
        <w:jc w:val="both"/>
        <w:rPr>
          <w:rFonts w:ascii="Times New Roman" w:hAnsi="Times New Roman" w:cs="Times New Roman"/>
          <w:sz w:val="24"/>
          <w:szCs w:val="24"/>
        </w:rPr>
      </w:pPr>
      <w:r w:rsidRPr="5E8F464D">
        <w:rPr>
          <w:rFonts w:ascii="Times New Roman" w:hAnsi="Times New Roman" w:cs="Times New Roman"/>
          <w:sz w:val="24"/>
          <w:szCs w:val="24"/>
        </w:rPr>
        <w:lastRenderedPageBreak/>
        <w:t>Maximum Extended Load Line Limit Plus (</w:t>
      </w:r>
      <w:r w:rsidR="007612BD">
        <w:rPr>
          <w:rFonts w:ascii="Times New Roman" w:hAnsi="Times New Roman" w:cs="Times New Roman"/>
          <w:sz w:val="24"/>
          <w:szCs w:val="24"/>
        </w:rPr>
        <w:t>“</w:t>
      </w:r>
      <w:r w:rsidRPr="5E8F464D">
        <w:rPr>
          <w:rFonts w:ascii="Times New Roman" w:hAnsi="Times New Roman" w:cs="Times New Roman"/>
          <w:sz w:val="24"/>
          <w:szCs w:val="24"/>
        </w:rPr>
        <w:t>MELLLA+</w:t>
      </w:r>
      <w:r w:rsidR="007612BD">
        <w:rPr>
          <w:rFonts w:ascii="Times New Roman" w:hAnsi="Times New Roman" w:cs="Times New Roman"/>
          <w:sz w:val="24"/>
          <w:szCs w:val="24"/>
        </w:rPr>
        <w:t>”</w:t>
      </w:r>
      <w:r w:rsidRPr="5E8F464D">
        <w:rPr>
          <w:rFonts w:ascii="Times New Roman" w:hAnsi="Times New Roman" w:cs="Times New Roman"/>
          <w:sz w:val="24"/>
          <w:szCs w:val="24"/>
        </w:rPr>
        <w:t>) is an approved method used in a boiling water reactor</w:t>
      </w:r>
      <w:r w:rsidR="0094026A">
        <w:rPr>
          <w:rFonts w:ascii="Times New Roman" w:hAnsi="Times New Roman" w:cs="Times New Roman"/>
          <w:sz w:val="24"/>
          <w:szCs w:val="24"/>
        </w:rPr>
        <w:t xml:space="preserve"> (“BWR”)</w:t>
      </w:r>
      <w:r w:rsidRPr="5E8F464D">
        <w:rPr>
          <w:rFonts w:ascii="Times New Roman" w:hAnsi="Times New Roman" w:cs="Times New Roman"/>
          <w:sz w:val="24"/>
          <w:szCs w:val="24"/>
        </w:rPr>
        <w:t xml:space="preserve"> power plant to safely increase the allowed core flow range. A plant is licensed to operate within a specified power and flow domain. By giving operators a larger range of licensed core flow, MELLLA+ allows more operational flexibility and can improve plant capacity. MELLLA+ is increasingly important for BWRs with </w:t>
      </w:r>
      <w:r w:rsidR="1802C6B0" w:rsidRPr="5E8F464D">
        <w:rPr>
          <w:rFonts w:ascii="Times New Roman" w:hAnsi="Times New Roman" w:cs="Times New Roman"/>
          <w:sz w:val="24"/>
          <w:szCs w:val="24"/>
        </w:rPr>
        <w:t>Extended Power Uprates (</w:t>
      </w:r>
      <w:r w:rsidR="0094026A">
        <w:rPr>
          <w:rFonts w:ascii="Times New Roman" w:hAnsi="Times New Roman" w:cs="Times New Roman"/>
          <w:sz w:val="24"/>
          <w:szCs w:val="24"/>
        </w:rPr>
        <w:t>“</w:t>
      </w:r>
      <w:r w:rsidRPr="5E8F464D">
        <w:rPr>
          <w:rFonts w:ascii="Times New Roman" w:hAnsi="Times New Roman" w:cs="Times New Roman"/>
          <w:sz w:val="24"/>
          <w:szCs w:val="24"/>
        </w:rPr>
        <w:t>EPU</w:t>
      </w:r>
      <w:r w:rsidR="0094026A">
        <w:rPr>
          <w:rFonts w:ascii="Times New Roman" w:hAnsi="Times New Roman" w:cs="Times New Roman"/>
          <w:sz w:val="24"/>
          <w:szCs w:val="24"/>
        </w:rPr>
        <w:t>”</w:t>
      </w:r>
      <w:r w:rsidR="635BF73B" w:rsidRPr="5E8F464D">
        <w:rPr>
          <w:rFonts w:ascii="Times New Roman" w:hAnsi="Times New Roman" w:cs="Times New Roman"/>
          <w:sz w:val="24"/>
          <w:szCs w:val="24"/>
        </w:rPr>
        <w:t>)</w:t>
      </w:r>
      <w:r w:rsidRPr="5E8F464D">
        <w:rPr>
          <w:rFonts w:ascii="Times New Roman" w:hAnsi="Times New Roman" w:cs="Times New Roman"/>
          <w:sz w:val="24"/>
          <w:szCs w:val="24"/>
        </w:rPr>
        <w:t xml:space="preserve"> since EPU by itself reduces the allowed core flow range</w:t>
      </w:r>
      <w:r w:rsidR="003E1E33">
        <w:rPr>
          <w:rFonts w:ascii="Times New Roman" w:hAnsi="Times New Roman" w:cs="Times New Roman"/>
          <w:sz w:val="24"/>
          <w:szCs w:val="24"/>
        </w:rPr>
        <w:t>.</w:t>
      </w:r>
      <w:r w:rsidRPr="5E8F464D">
        <w:rPr>
          <w:rFonts w:ascii="Times New Roman" w:hAnsi="Times New Roman" w:cs="Times New Roman"/>
          <w:sz w:val="24"/>
          <w:szCs w:val="24"/>
        </w:rPr>
        <w:t xml:space="preserve"> MELLLA+ restores the allowed range of core flow, returning operational flexibility to the operators.</w:t>
      </w:r>
    </w:p>
    <w:p w14:paraId="06335596" w14:textId="16A48234" w:rsidR="21E8C761" w:rsidRDefault="21E8C761" w:rsidP="00596373">
      <w:pPr>
        <w:pStyle w:val="ListParagraph"/>
        <w:spacing w:line="276" w:lineRule="auto"/>
        <w:ind w:firstLine="0"/>
        <w:jc w:val="both"/>
        <w:rPr>
          <w:rFonts w:ascii="Times New Roman" w:hAnsi="Times New Roman" w:cs="Times New Roman"/>
        </w:rPr>
      </w:pPr>
    </w:p>
    <w:p w14:paraId="593E6A00" w14:textId="696894CA" w:rsidR="01936638" w:rsidRPr="00AA0F5C" w:rsidRDefault="01936638" w:rsidP="00596373">
      <w:pPr>
        <w:pStyle w:val="ListParagraph"/>
        <w:numPr>
          <w:ilvl w:val="0"/>
          <w:numId w:val="46"/>
        </w:numPr>
        <w:spacing w:line="276" w:lineRule="auto"/>
        <w:jc w:val="both"/>
        <w:rPr>
          <w:rFonts w:ascii="Times New Roman" w:eastAsia="Calibri" w:hAnsi="Times New Roman" w:cs="Times New Roman"/>
          <w:sz w:val="24"/>
          <w:szCs w:val="24"/>
        </w:rPr>
      </w:pPr>
      <w:r w:rsidRPr="00AA0F5C">
        <w:rPr>
          <w:rFonts w:ascii="Times New Roman" w:eastAsia="Calibri" w:hAnsi="Times New Roman" w:cs="Times New Roman"/>
          <w:sz w:val="24"/>
          <w:szCs w:val="24"/>
        </w:rPr>
        <w:t>Westinghouse, G</w:t>
      </w:r>
      <w:r w:rsidR="74C0A0EE" w:rsidRPr="00AA0F5C">
        <w:rPr>
          <w:rFonts w:ascii="Times New Roman" w:eastAsia="Calibri" w:hAnsi="Times New Roman" w:cs="Times New Roman"/>
          <w:sz w:val="24"/>
          <w:szCs w:val="24"/>
        </w:rPr>
        <w:t>eneral Electric Vernova, General Electric Steam, Sargent &amp; Lundy, Enercon, Southern Company Services</w:t>
      </w:r>
      <w:r w:rsidR="5C572E2D" w:rsidRPr="00AA0F5C">
        <w:rPr>
          <w:rFonts w:ascii="Times New Roman" w:eastAsia="Calibri" w:hAnsi="Times New Roman" w:cs="Times New Roman"/>
          <w:sz w:val="24"/>
          <w:szCs w:val="24"/>
        </w:rPr>
        <w:t>, Day and Zimmerman</w:t>
      </w:r>
      <w:r w:rsidR="0094026A">
        <w:rPr>
          <w:rFonts w:ascii="Times New Roman" w:eastAsia="Calibri" w:hAnsi="Times New Roman" w:cs="Times New Roman"/>
          <w:sz w:val="24"/>
          <w:szCs w:val="24"/>
        </w:rPr>
        <w:t xml:space="preserve"> are the major suppliers, vendors, and engineering firms that will be assisting Southern Nuclear with the uprates</w:t>
      </w:r>
      <w:r w:rsidR="5C572E2D" w:rsidRPr="00AA0F5C">
        <w:rPr>
          <w:rFonts w:ascii="Times New Roman" w:eastAsia="Calibri" w:hAnsi="Times New Roman" w:cs="Times New Roman"/>
          <w:sz w:val="24"/>
          <w:szCs w:val="24"/>
        </w:rPr>
        <w:t>.</w:t>
      </w:r>
    </w:p>
    <w:p w14:paraId="3FBC208F" w14:textId="09F771A5" w:rsidR="21E8C761" w:rsidRDefault="21E8C761" w:rsidP="00596373">
      <w:pPr>
        <w:pStyle w:val="ListParagraph"/>
        <w:spacing w:line="276" w:lineRule="auto"/>
        <w:ind w:firstLine="0"/>
        <w:jc w:val="both"/>
        <w:rPr>
          <w:rFonts w:eastAsia="Calibri"/>
          <w:sz w:val="24"/>
          <w:szCs w:val="24"/>
        </w:rPr>
      </w:pPr>
    </w:p>
    <w:p w14:paraId="08730D20" w14:textId="6E30BCA2" w:rsidR="08C9A874" w:rsidRPr="00C45CFF" w:rsidRDefault="08C9A874" w:rsidP="00596373">
      <w:pPr>
        <w:pStyle w:val="ListParagraph"/>
        <w:numPr>
          <w:ilvl w:val="0"/>
          <w:numId w:val="46"/>
        </w:numPr>
        <w:spacing w:line="276" w:lineRule="auto"/>
        <w:jc w:val="both"/>
        <w:rPr>
          <w:rFonts w:ascii="Times New Roman" w:eastAsia="Calibri" w:hAnsi="Times New Roman" w:cs="Times New Roman"/>
          <w:sz w:val="24"/>
          <w:szCs w:val="24"/>
        </w:rPr>
      </w:pPr>
      <w:r w:rsidRPr="00C45CFF">
        <w:rPr>
          <w:rFonts w:ascii="Times New Roman" w:eastAsia="Calibri" w:hAnsi="Times New Roman" w:cs="Times New Roman"/>
          <w:sz w:val="24"/>
          <w:szCs w:val="24"/>
        </w:rPr>
        <w:t xml:space="preserve">The </w:t>
      </w:r>
      <w:r w:rsidR="0094026A">
        <w:rPr>
          <w:rFonts w:ascii="Times New Roman" w:eastAsia="Calibri" w:hAnsi="Times New Roman" w:cs="Times New Roman"/>
          <w:sz w:val="24"/>
          <w:szCs w:val="24"/>
        </w:rPr>
        <w:t>NRC</w:t>
      </w:r>
      <w:r w:rsidRPr="00C45CFF">
        <w:rPr>
          <w:rFonts w:ascii="Times New Roman" w:eastAsia="Calibri" w:hAnsi="Times New Roman" w:cs="Times New Roman"/>
          <w:sz w:val="24"/>
          <w:szCs w:val="24"/>
        </w:rPr>
        <w:t xml:space="preserve"> website link shows the numer</w:t>
      </w:r>
      <w:r w:rsidR="4F24DB96" w:rsidRPr="00C45CFF">
        <w:rPr>
          <w:rFonts w:ascii="Times New Roman" w:eastAsia="Calibri" w:hAnsi="Times New Roman" w:cs="Times New Roman"/>
          <w:sz w:val="24"/>
          <w:szCs w:val="24"/>
        </w:rPr>
        <w:t>ous uprates that</w:t>
      </w:r>
      <w:r w:rsidR="33AA076D" w:rsidRPr="00C45CFF">
        <w:rPr>
          <w:rFonts w:ascii="Times New Roman" w:eastAsia="Calibri" w:hAnsi="Times New Roman" w:cs="Times New Roman"/>
          <w:sz w:val="24"/>
          <w:szCs w:val="24"/>
        </w:rPr>
        <w:t xml:space="preserve"> have been </w:t>
      </w:r>
      <w:r w:rsidR="020194D9" w:rsidRPr="00C45CFF">
        <w:rPr>
          <w:rFonts w:ascii="Times New Roman" w:eastAsia="Calibri" w:hAnsi="Times New Roman" w:cs="Times New Roman"/>
          <w:sz w:val="24"/>
          <w:szCs w:val="24"/>
        </w:rPr>
        <w:t>performed in</w:t>
      </w:r>
      <w:r w:rsidR="793BA734" w:rsidRPr="00C45CFF">
        <w:rPr>
          <w:rFonts w:ascii="Times New Roman" w:eastAsia="Calibri" w:hAnsi="Times New Roman" w:cs="Times New Roman"/>
          <w:sz w:val="24"/>
          <w:szCs w:val="24"/>
        </w:rPr>
        <w:t xml:space="preserve"> the United States</w:t>
      </w:r>
      <w:r w:rsidR="3807D960" w:rsidRPr="00C45CFF">
        <w:rPr>
          <w:rFonts w:ascii="Times New Roman" w:eastAsia="Calibri" w:hAnsi="Times New Roman" w:cs="Times New Roman"/>
          <w:sz w:val="24"/>
          <w:szCs w:val="24"/>
        </w:rPr>
        <w:t>, the type of upgrade and when it was performed</w:t>
      </w:r>
      <w:r w:rsidR="08A0E98D" w:rsidRPr="00C45CFF">
        <w:rPr>
          <w:rFonts w:ascii="Times New Roman" w:eastAsia="Calibri" w:hAnsi="Times New Roman" w:cs="Times New Roman"/>
          <w:sz w:val="24"/>
          <w:szCs w:val="24"/>
        </w:rPr>
        <w:t>:</w:t>
      </w:r>
    </w:p>
    <w:p w14:paraId="219AAED0" w14:textId="5EC18B56" w:rsidR="0A5DCBFE" w:rsidRPr="00C45CFF" w:rsidRDefault="0A5DCBFE" w:rsidP="00BC5F07">
      <w:pPr>
        <w:pStyle w:val="ListParagraph"/>
        <w:spacing w:line="276" w:lineRule="auto"/>
        <w:ind w:firstLine="0"/>
        <w:jc w:val="both"/>
        <w:rPr>
          <w:rFonts w:ascii="Times New Roman" w:hAnsi="Times New Roman" w:cs="Times New Roman"/>
          <w:sz w:val="24"/>
          <w:szCs w:val="24"/>
        </w:rPr>
      </w:pPr>
    </w:p>
    <w:p w14:paraId="732CB96E" w14:textId="22D1F0C3" w:rsidR="00EC1586" w:rsidRDefault="00EC1586" w:rsidP="21E8C761">
      <w:pPr>
        <w:pStyle w:val="ListParagraph"/>
        <w:jc w:val="both"/>
        <w:rPr>
          <w:rFonts w:eastAsia="Calibri"/>
          <w:sz w:val="24"/>
          <w:szCs w:val="24"/>
        </w:rPr>
      </w:pPr>
    </w:p>
    <w:sectPr w:rsidR="00EC1586" w:rsidSect="003D365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6F9C8" w14:textId="77777777" w:rsidR="006F2668" w:rsidRDefault="006F2668" w:rsidP="008E536E">
      <w:pPr>
        <w:spacing w:after="0" w:line="240" w:lineRule="auto"/>
      </w:pPr>
      <w:r>
        <w:separator/>
      </w:r>
    </w:p>
  </w:endnote>
  <w:endnote w:type="continuationSeparator" w:id="0">
    <w:p w14:paraId="179C1C04" w14:textId="77777777" w:rsidR="006F2668" w:rsidRDefault="006F2668" w:rsidP="008E536E">
      <w:pPr>
        <w:spacing w:after="0" w:line="240" w:lineRule="auto"/>
      </w:pPr>
      <w:r>
        <w:continuationSeparator/>
      </w:r>
    </w:p>
  </w:endnote>
  <w:endnote w:type="continuationNotice" w:id="1">
    <w:p w14:paraId="1A7926DF" w14:textId="77777777" w:rsidR="006F2668" w:rsidRDefault="006F26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551DCC55" w:rsidR="0018193D" w:rsidRPr="00E419CB" w:rsidRDefault="00E419CB" w:rsidP="00461CF4">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824339">
              <w:rPr>
                <w:rFonts w:ascii="Times New Roman" w:eastAsia="Times New Roman" w:hAnsi="Times New Roman" w:cs="Times New Roman"/>
                <w:sz w:val="24"/>
                <w:szCs w:val="24"/>
              </w:rPr>
              <w:t>Jeff Grubb</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16EF5" w14:textId="77777777" w:rsidR="006F2668" w:rsidRDefault="006F2668" w:rsidP="008E536E">
      <w:pPr>
        <w:spacing w:after="0" w:line="240" w:lineRule="auto"/>
      </w:pPr>
      <w:r>
        <w:separator/>
      </w:r>
    </w:p>
  </w:footnote>
  <w:footnote w:type="continuationSeparator" w:id="0">
    <w:p w14:paraId="29321823" w14:textId="77777777" w:rsidR="006F2668" w:rsidRDefault="006F2668" w:rsidP="008E536E">
      <w:pPr>
        <w:spacing w:after="0" w:line="240" w:lineRule="auto"/>
      </w:pPr>
      <w:r>
        <w:continuationSeparator/>
      </w:r>
    </w:p>
  </w:footnote>
  <w:footnote w:type="continuationNotice" w:id="1">
    <w:p w14:paraId="59E7A510" w14:textId="77777777" w:rsidR="006F2668" w:rsidRDefault="006F26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AAE0F" w14:textId="77777777" w:rsidR="002A606D" w:rsidRPr="003C46BC" w:rsidRDefault="002A606D" w:rsidP="002A606D">
    <w:pPr>
      <w:spacing w:after="0" w:line="240" w:lineRule="auto"/>
      <w:jc w:val="center"/>
      <w:rPr>
        <w:rFonts w:ascii="Times New Roman" w:eastAsia="Times New Roman" w:hAnsi="Times New Roman" w:cs="Times New Roman"/>
        <w:b/>
        <w:bCs/>
      </w:rPr>
    </w:pPr>
  </w:p>
  <w:p w14:paraId="097478F4" w14:textId="77777777" w:rsidR="002A606D" w:rsidRPr="003C46BC" w:rsidRDefault="002A606D" w:rsidP="002A606D">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5450D3B9" w14:textId="77777777" w:rsidR="002A606D" w:rsidRPr="003C46BC" w:rsidRDefault="002A606D" w:rsidP="002A606D">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3BD74B0E" w14:textId="77777777" w:rsidR="002A606D" w:rsidRPr="003C46BC" w:rsidRDefault="002A606D" w:rsidP="002A606D">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4D6732AC" w14:textId="77777777" w:rsidR="002A606D" w:rsidRPr="003C46BC" w:rsidRDefault="002A606D" w:rsidP="002A606D">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w:t>
    </w:r>
    <w:r>
      <w:rPr>
        <w:rFonts w:ascii="Times New Roman" w:eastAsia="Times New Roman" w:hAnsi="Times New Roman" w:cs="Times New Roman"/>
        <w:b/>
        <w:bCs/>
        <w:sz w:val="24"/>
        <w:szCs w:val="24"/>
      </w:rPr>
      <w:t xml:space="preserve"> 2</w:t>
    </w:r>
  </w:p>
  <w:p w14:paraId="0B0FE17B" w14:textId="77777777" w:rsidR="002A606D" w:rsidRDefault="002A606D" w:rsidP="002A606D">
    <w:pPr>
      <w:pStyle w:val="Header"/>
    </w:pPr>
  </w:p>
  <w:p w14:paraId="1630C36A" w14:textId="77777777" w:rsidR="00421945" w:rsidRPr="002A606D" w:rsidRDefault="00421945" w:rsidP="002A6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6B6108"/>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2"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19F5560"/>
    <w:multiLevelType w:val="hybridMultilevel"/>
    <w:tmpl w:val="6FBC20A6"/>
    <w:lvl w:ilvl="0" w:tplc="C9BCC48C">
      <w:start w:val="1"/>
      <w:numFmt w:val="lowerLetter"/>
      <w:lvlText w:val="%1."/>
      <w:lvlJc w:val="left"/>
      <w:pPr>
        <w:ind w:left="720" w:hanging="360"/>
      </w:pPr>
    </w:lvl>
    <w:lvl w:ilvl="1" w:tplc="DA54592C">
      <w:start w:val="1"/>
      <w:numFmt w:val="lowerLetter"/>
      <w:lvlText w:val="%2."/>
      <w:lvlJc w:val="left"/>
      <w:pPr>
        <w:ind w:left="1440" w:hanging="360"/>
      </w:pPr>
    </w:lvl>
    <w:lvl w:ilvl="2" w:tplc="623ADBC4">
      <w:start w:val="1"/>
      <w:numFmt w:val="lowerRoman"/>
      <w:lvlText w:val="%3."/>
      <w:lvlJc w:val="right"/>
      <w:pPr>
        <w:ind w:left="2160" w:hanging="180"/>
      </w:pPr>
    </w:lvl>
    <w:lvl w:ilvl="3" w:tplc="9D903C64">
      <w:start w:val="1"/>
      <w:numFmt w:val="decimal"/>
      <w:lvlText w:val="%4."/>
      <w:lvlJc w:val="left"/>
      <w:pPr>
        <w:ind w:left="2880" w:hanging="360"/>
      </w:pPr>
    </w:lvl>
    <w:lvl w:ilvl="4" w:tplc="179E6C4E">
      <w:start w:val="1"/>
      <w:numFmt w:val="lowerLetter"/>
      <w:lvlText w:val="%5."/>
      <w:lvlJc w:val="left"/>
      <w:pPr>
        <w:ind w:left="3600" w:hanging="360"/>
      </w:pPr>
    </w:lvl>
    <w:lvl w:ilvl="5" w:tplc="89E23B08">
      <w:start w:val="1"/>
      <w:numFmt w:val="lowerRoman"/>
      <w:lvlText w:val="%6."/>
      <w:lvlJc w:val="right"/>
      <w:pPr>
        <w:ind w:left="4320" w:hanging="180"/>
      </w:pPr>
    </w:lvl>
    <w:lvl w:ilvl="6" w:tplc="08948D98">
      <w:start w:val="1"/>
      <w:numFmt w:val="decimal"/>
      <w:lvlText w:val="%7."/>
      <w:lvlJc w:val="left"/>
      <w:pPr>
        <w:ind w:left="5040" w:hanging="360"/>
      </w:pPr>
    </w:lvl>
    <w:lvl w:ilvl="7" w:tplc="A91C2BC8">
      <w:start w:val="1"/>
      <w:numFmt w:val="lowerLetter"/>
      <w:lvlText w:val="%8."/>
      <w:lvlJc w:val="left"/>
      <w:pPr>
        <w:ind w:left="5760" w:hanging="360"/>
      </w:pPr>
    </w:lvl>
    <w:lvl w:ilvl="8" w:tplc="1F484FCE">
      <w:start w:val="1"/>
      <w:numFmt w:val="lowerRoman"/>
      <w:lvlText w:val="%9."/>
      <w:lvlJc w:val="right"/>
      <w:pPr>
        <w:ind w:left="6480" w:hanging="180"/>
      </w:pPr>
    </w:lvl>
  </w:abstractNum>
  <w:abstractNum w:abstractNumId="34"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5"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1"/>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5"/>
  </w:num>
  <w:num w:numId="39" w16cid:durableId="323122723">
    <w:abstractNumId w:val="34"/>
  </w:num>
  <w:num w:numId="40" w16cid:durableId="855655419">
    <w:abstractNumId w:val="16"/>
  </w:num>
  <w:num w:numId="41" w16cid:durableId="2084139814">
    <w:abstractNumId w:val="32"/>
  </w:num>
  <w:num w:numId="42" w16cid:durableId="1886527108">
    <w:abstractNumId w:val="21"/>
  </w:num>
  <w:num w:numId="43" w16cid:durableId="1833789817">
    <w:abstractNumId w:val="27"/>
  </w:num>
  <w:num w:numId="44" w16cid:durableId="521087683">
    <w:abstractNumId w:val="30"/>
  </w:num>
  <w:num w:numId="45" w16cid:durableId="961887179">
    <w:abstractNumId w:val="29"/>
  </w:num>
  <w:num w:numId="46" w16cid:durableId="110083222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2359"/>
    <w:rsid w:val="00025C36"/>
    <w:rsid w:val="000327CE"/>
    <w:rsid w:val="0004152D"/>
    <w:rsid w:val="000419E3"/>
    <w:rsid w:val="0004652F"/>
    <w:rsid w:val="00060E4E"/>
    <w:rsid w:val="000671DE"/>
    <w:rsid w:val="00072068"/>
    <w:rsid w:val="00077953"/>
    <w:rsid w:val="00077E11"/>
    <w:rsid w:val="00083E26"/>
    <w:rsid w:val="000A1EE2"/>
    <w:rsid w:val="000A4DC2"/>
    <w:rsid w:val="000A788F"/>
    <w:rsid w:val="000B10C6"/>
    <w:rsid w:val="000B5B21"/>
    <w:rsid w:val="000C556D"/>
    <w:rsid w:val="000C7368"/>
    <w:rsid w:val="000D1D8F"/>
    <w:rsid w:val="000D596E"/>
    <w:rsid w:val="000E1B7D"/>
    <w:rsid w:val="000E2624"/>
    <w:rsid w:val="000E3FA0"/>
    <w:rsid w:val="000E4330"/>
    <w:rsid w:val="000E78A1"/>
    <w:rsid w:val="000E7D18"/>
    <w:rsid w:val="000F73BD"/>
    <w:rsid w:val="00100776"/>
    <w:rsid w:val="00106B37"/>
    <w:rsid w:val="0011441F"/>
    <w:rsid w:val="00121AD8"/>
    <w:rsid w:val="00127C52"/>
    <w:rsid w:val="001314A9"/>
    <w:rsid w:val="00134851"/>
    <w:rsid w:val="0013660B"/>
    <w:rsid w:val="001461D1"/>
    <w:rsid w:val="00150EEE"/>
    <w:rsid w:val="0015234E"/>
    <w:rsid w:val="00157F3B"/>
    <w:rsid w:val="001639DA"/>
    <w:rsid w:val="00164AA1"/>
    <w:rsid w:val="0018193D"/>
    <w:rsid w:val="00184580"/>
    <w:rsid w:val="00185642"/>
    <w:rsid w:val="00187FD8"/>
    <w:rsid w:val="00191E6B"/>
    <w:rsid w:val="001963EE"/>
    <w:rsid w:val="001A2338"/>
    <w:rsid w:val="001A5E6E"/>
    <w:rsid w:val="001A65D7"/>
    <w:rsid w:val="001A6DB3"/>
    <w:rsid w:val="001B00E1"/>
    <w:rsid w:val="001B2187"/>
    <w:rsid w:val="001B4D8C"/>
    <w:rsid w:val="001C17D0"/>
    <w:rsid w:val="001D764A"/>
    <w:rsid w:val="001E1F4A"/>
    <w:rsid w:val="001E4976"/>
    <w:rsid w:val="001E6D1D"/>
    <w:rsid w:val="001F50E0"/>
    <w:rsid w:val="001F5A8C"/>
    <w:rsid w:val="00216713"/>
    <w:rsid w:val="002213A7"/>
    <w:rsid w:val="0022357A"/>
    <w:rsid w:val="00223958"/>
    <w:rsid w:val="0022464B"/>
    <w:rsid w:val="00227F11"/>
    <w:rsid w:val="0023223C"/>
    <w:rsid w:val="0023254E"/>
    <w:rsid w:val="00237E13"/>
    <w:rsid w:val="002467C2"/>
    <w:rsid w:val="002477D9"/>
    <w:rsid w:val="00253125"/>
    <w:rsid w:val="002538C2"/>
    <w:rsid w:val="00254645"/>
    <w:rsid w:val="00264B09"/>
    <w:rsid w:val="00270BF3"/>
    <w:rsid w:val="00271FA3"/>
    <w:rsid w:val="002822A3"/>
    <w:rsid w:val="00287FB9"/>
    <w:rsid w:val="002936A3"/>
    <w:rsid w:val="002A606D"/>
    <w:rsid w:val="002C0834"/>
    <w:rsid w:val="002C276D"/>
    <w:rsid w:val="002C514A"/>
    <w:rsid w:val="002C557B"/>
    <w:rsid w:val="002D36F7"/>
    <w:rsid w:val="002E4CFB"/>
    <w:rsid w:val="002E6A7A"/>
    <w:rsid w:val="002E7AB7"/>
    <w:rsid w:val="002F3874"/>
    <w:rsid w:val="002F49AB"/>
    <w:rsid w:val="002F7F7C"/>
    <w:rsid w:val="003007E9"/>
    <w:rsid w:val="00300F74"/>
    <w:rsid w:val="003136E3"/>
    <w:rsid w:val="00316A1B"/>
    <w:rsid w:val="003236C2"/>
    <w:rsid w:val="003302A5"/>
    <w:rsid w:val="003341FF"/>
    <w:rsid w:val="00337945"/>
    <w:rsid w:val="003437AF"/>
    <w:rsid w:val="0035135F"/>
    <w:rsid w:val="0036130B"/>
    <w:rsid w:val="003643BE"/>
    <w:rsid w:val="00380E45"/>
    <w:rsid w:val="0038180D"/>
    <w:rsid w:val="00391B20"/>
    <w:rsid w:val="0039697E"/>
    <w:rsid w:val="003B1EDD"/>
    <w:rsid w:val="003B27F1"/>
    <w:rsid w:val="003B5A49"/>
    <w:rsid w:val="003C1400"/>
    <w:rsid w:val="003C3C68"/>
    <w:rsid w:val="003C46BC"/>
    <w:rsid w:val="003C64B0"/>
    <w:rsid w:val="003D3657"/>
    <w:rsid w:val="003E1E33"/>
    <w:rsid w:val="003F391F"/>
    <w:rsid w:val="003F5CD7"/>
    <w:rsid w:val="00402739"/>
    <w:rsid w:val="004110E3"/>
    <w:rsid w:val="00414C04"/>
    <w:rsid w:val="00420D11"/>
    <w:rsid w:val="00421945"/>
    <w:rsid w:val="00421E15"/>
    <w:rsid w:val="00426879"/>
    <w:rsid w:val="004351C8"/>
    <w:rsid w:val="00441EDF"/>
    <w:rsid w:val="00446128"/>
    <w:rsid w:val="0046102E"/>
    <w:rsid w:val="00461CF4"/>
    <w:rsid w:val="0047077C"/>
    <w:rsid w:val="0047609B"/>
    <w:rsid w:val="004834AD"/>
    <w:rsid w:val="004914BA"/>
    <w:rsid w:val="00495A05"/>
    <w:rsid w:val="00496AD2"/>
    <w:rsid w:val="00497E9D"/>
    <w:rsid w:val="004A014D"/>
    <w:rsid w:val="004A470E"/>
    <w:rsid w:val="004B0F16"/>
    <w:rsid w:val="004D18B2"/>
    <w:rsid w:val="004D496B"/>
    <w:rsid w:val="004E10CB"/>
    <w:rsid w:val="00500819"/>
    <w:rsid w:val="00507726"/>
    <w:rsid w:val="005140AB"/>
    <w:rsid w:val="00531C9C"/>
    <w:rsid w:val="0053335D"/>
    <w:rsid w:val="00544D08"/>
    <w:rsid w:val="0054657C"/>
    <w:rsid w:val="00554870"/>
    <w:rsid w:val="005608A5"/>
    <w:rsid w:val="00565C1C"/>
    <w:rsid w:val="00573ABB"/>
    <w:rsid w:val="005801E0"/>
    <w:rsid w:val="0058083F"/>
    <w:rsid w:val="0059504E"/>
    <w:rsid w:val="00596373"/>
    <w:rsid w:val="005A0446"/>
    <w:rsid w:val="005A387C"/>
    <w:rsid w:val="005A5783"/>
    <w:rsid w:val="005A6D0D"/>
    <w:rsid w:val="005B507E"/>
    <w:rsid w:val="005B5E87"/>
    <w:rsid w:val="005C4DC7"/>
    <w:rsid w:val="005D0CAE"/>
    <w:rsid w:val="005D3434"/>
    <w:rsid w:val="005E3621"/>
    <w:rsid w:val="005E3B62"/>
    <w:rsid w:val="005F0AE0"/>
    <w:rsid w:val="005F13D4"/>
    <w:rsid w:val="005F429B"/>
    <w:rsid w:val="005F6E7A"/>
    <w:rsid w:val="006053A6"/>
    <w:rsid w:val="006070F0"/>
    <w:rsid w:val="00607C3C"/>
    <w:rsid w:val="00631823"/>
    <w:rsid w:val="0063494D"/>
    <w:rsid w:val="006355C4"/>
    <w:rsid w:val="006379B5"/>
    <w:rsid w:val="006522F3"/>
    <w:rsid w:val="00652FC5"/>
    <w:rsid w:val="006648EC"/>
    <w:rsid w:val="00671842"/>
    <w:rsid w:val="0068180E"/>
    <w:rsid w:val="0069557B"/>
    <w:rsid w:val="006A0881"/>
    <w:rsid w:val="006A15DE"/>
    <w:rsid w:val="006A2AF9"/>
    <w:rsid w:val="006C00CD"/>
    <w:rsid w:val="006D795B"/>
    <w:rsid w:val="006E0B4B"/>
    <w:rsid w:val="006E185D"/>
    <w:rsid w:val="006E29B9"/>
    <w:rsid w:val="006E4910"/>
    <w:rsid w:val="006E7E7B"/>
    <w:rsid w:val="006F10E6"/>
    <w:rsid w:val="006F2668"/>
    <w:rsid w:val="00705ACD"/>
    <w:rsid w:val="00711C16"/>
    <w:rsid w:val="00732E8E"/>
    <w:rsid w:val="00734DCD"/>
    <w:rsid w:val="00735416"/>
    <w:rsid w:val="00746B01"/>
    <w:rsid w:val="007612BD"/>
    <w:rsid w:val="00762F79"/>
    <w:rsid w:val="00775815"/>
    <w:rsid w:val="00776060"/>
    <w:rsid w:val="0077705E"/>
    <w:rsid w:val="00785083"/>
    <w:rsid w:val="0079446E"/>
    <w:rsid w:val="007A50D1"/>
    <w:rsid w:val="007A6A23"/>
    <w:rsid w:val="007B06BF"/>
    <w:rsid w:val="007B44B7"/>
    <w:rsid w:val="007B63A2"/>
    <w:rsid w:val="007C4836"/>
    <w:rsid w:val="007D1196"/>
    <w:rsid w:val="007D6237"/>
    <w:rsid w:val="007D6752"/>
    <w:rsid w:val="007E0A9A"/>
    <w:rsid w:val="007F299F"/>
    <w:rsid w:val="007F305A"/>
    <w:rsid w:val="007F7D6E"/>
    <w:rsid w:val="00805DF7"/>
    <w:rsid w:val="00807247"/>
    <w:rsid w:val="0081183F"/>
    <w:rsid w:val="00814B88"/>
    <w:rsid w:val="00815D4B"/>
    <w:rsid w:val="00815EE5"/>
    <w:rsid w:val="00824339"/>
    <w:rsid w:val="008315F7"/>
    <w:rsid w:val="0083311E"/>
    <w:rsid w:val="00840339"/>
    <w:rsid w:val="00842989"/>
    <w:rsid w:val="00846DF4"/>
    <w:rsid w:val="0087550A"/>
    <w:rsid w:val="00876E38"/>
    <w:rsid w:val="00886CA6"/>
    <w:rsid w:val="00887FA2"/>
    <w:rsid w:val="008910F2"/>
    <w:rsid w:val="00893E64"/>
    <w:rsid w:val="00894AB4"/>
    <w:rsid w:val="008A7014"/>
    <w:rsid w:val="008B1AD0"/>
    <w:rsid w:val="008B50EE"/>
    <w:rsid w:val="008B7035"/>
    <w:rsid w:val="008C182F"/>
    <w:rsid w:val="008C3B60"/>
    <w:rsid w:val="008D1876"/>
    <w:rsid w:val="008E536E"/>
    <w:rsid w:val="008E7EB6"/>
    <w:rsid w:val="008F1BB6"/>
    <w:rsid w:val="008F23FB"/>
    <w:rsid w:val="008F3E07"/>
    <w:rsid w:val="008F65F6"/>
    <w:rsid w:val="00904FFE"/>
    <w:rsid w:val="00912F2A"/>
    <w:rsid w:val="0092057A"/>
    <w:rsid w:val="0093176F"/>
    <w:rsid w:val="00934AFA"/>
    <w:rsid w:val="0094026A"/>
    <w:rsid w:val="009438EF"/>
    <w:rsid w:val="00943C7B"/>
    <w:rsid w:val="0095225F"/>
    <w:rsid w:val="00957E66"/>
    <w:rsid w:val="009657FB"/>
    <w:rsid w:val="00966A5F"/>
    <w:rsid w:val="0097235F"/>
    <w:rsid w:val="009743CA"/>
    <w:rsid w:val="009748A5"/>
    <w:rsid w:val="00984674"/>
    <w:rsid w:val="00995444"/>
    <w:rsid w:val="009A22F5"/>
    <w:rsid w:val="009A3EEF"/>
    <w:rsid w:val="009B0FCA"/>
    <w:rsid w:val="009B1072"/>
    <w:rsid w:val="009B16A9"/>
    <w:rsid w:val="009B1FB8"/>
    <w:rsid w:val="009B22EF"/>
    <w:rsid w:val="009B4D48"/>
    <w:rsid w:val="009D5FA8"/>
    <w:rsid w:val="009D75E5"/>
    <w:rsid w:val="009E059C"/>
    <w:rsid w:val="009E11D7"/>
    <w:rsid w:val="009E55DB"/>
    <w:rsid w:val="009F3ED3"/>
    <w:rsid w:val="009F5FF7"/>
    <w:rsid w:val="00A1161A"/>
    <w:rsid w:val="00A11724"/>
    <w:rsid w:val="00A12D58"/>
    <w:rsid w:val="00A138EB"/>
    <w:rsid w:val="00A23258"/>
    <w:rsid w:val="00A23489"/>
    <w:rsid w:val="00A45571"/>
    <w:rsid w:val="00A616DD"/>
    <w:rsid w:val="00A63148"/>
    <w:rsid w:val="00A63264"/>
    <w:rsid w:val="00A67175"/>
    <w:rsid w:val="00A70669"/>
    <w:rsid w:val="00A750C2"/>
    <w:rsid w:val="00A82FB4"/>
    <w:rsid w:val="00A964DC"/>
    <w:rsid w:val="00A96EA7"/>
    <w:rsid w:val="00A97FD9"/>
    <w:rsid w:val="00AA0F5C"/>
    <w:rsid w:val="00AA6FCE"/>
    <w:rsid w:val="00AA741B"/>
    <w:rsid w:val="00AB0F59"/>
    <w:rsid w:val="00AC0663"/>
    <w:rsid w:val="00AD2D06"/>
    <w:rsid w:val="00AD4D72"/>
    <w:rsid w:val="00AD76EC"/>
    <w:rsid w:val="00AE384E"/>
    <w:rsid w:val="00AF4840"/>
    <w:rsid w:val="00AF4A6C"/>
    <w:rsid w:val="00B02AF5"/>
    <w:rsid w:val="00B04657"/>
    <w:rsid w:val="00B10322"/>
    <w:rsid w:val="00B11FD8"/>
    <w:rsid w:val="00B23D89"/>
    <w:rsid w:val="00B24CD9"/>
    <w:rsid w:val="00B25D8F"/>
    <w:rsid w:val="00B30FEA"/>
    <w:rsid w:val="00B539A6"/>
    <w:rsid w:val="00B81608"/>
    <w:rsid w:val="00BA7FC7"/>
    <w:rsid w:val="00BB5094"/>
    <w:rsid w:val="00BB7AB2"/>
    <w:rsid w:val="00BC26CD"/>
    <w:rsid w:val="00BC5F07"/>
    <w:rsid w:val="00BD1880"/>
    <w:rsid w:val="00BD2342"/>
    <w:rsid w:val="00BD3103"/>
    <w:rsid w:val="00BE2D85"/>
    <w:rsid w:val="00BE39FE"/>
    <w:rsid w:val="00BE42F0"/>
    <w:rsid w:val="00BE5678"/>
    <w:rsid w:val="00BF6588"/>
    <w:rsid w:val="00BF7544"/>
    <w:rsid w:val="00C07063"/>
    <w:rsid w:val="00C222D2"/>
    <w:rsid w:val="00C22ACF"/>
    <w:rsid w:val="00C2459D"/>
    <w:rsid w:val="00C25A11"/>
    <w:rsid w:val="00C32EE0"/>
    <w:rsid w:val="00C371DB"/>
    <w:rsid w:val="00C37E45"/>
    <w:rsid w:val="00C41022"/>
    <w:rsid w:val="00C41612"/>
    <w:rsid w:val="00C45CFF"/>
    <w:rsid w:val="00C60AC8"/>
    <w:rsid w:val="00C75CB3"/>
    <w:rsid w:val="00C77DCA"/>
    <w:rsid w:val="00C864F2"/>
    <w:rsid w:val="00C96F8D"/>
    <w:rsid w:val="00CA1886"/>
    <w:rsid w:val="00CA6169"/>
    <w:rsid w:val="00CB0F91"/>
    <w:rsid w:val="00CC25D8"/>
    <w:rsid w:val="00CC6BBD"/>
    <w:rsid w:val="00CD2952"/>
    <w:rsid w:val="00CD3838"/>
    <w:rsid w:val="00CD524E"/>
    <w:rsid w:val="00CE00D3"/>
    <w:rsid w:val="00CE2799"/>
    <w:rsid w:val="00CE4D4E"/>
    <w:rsid w:val="00CE7236"/>
    <w:rsid w:val="00CF1961"/>
    <w:rsid w:val="00D04789"/>
    <w:rsid w:val="00D07C6C"/>
    <w:rsid w:val="00D15ADB"/>
    <w:rsid w:val="00D25E2F"/>
    <w:rsid w:val="00D31C71"/>
    <w:rsid w:val="00D4597B"/>
    <w:rsid w:val="00D52F77"/>
    <w:rsid w:val="00D5577D"/>
    <w:rsid w:val="00D55DB5"/>
    <w:rsid w:val="00D62E01"/>
    <w:rsid w:val="00D657BD"/>
    <w:rsid w:val="00D66BDD"/>
    <w:rsid w:val="00D75B53"/>
    <w:rsid w:val="00D817D1"/>
    <w:rsid w:val="00D91239"/>
    <w:rsid w:val="00DA1AC1"/>
    <w:rsid w:val="00DC00D5"/>
    <w:rsid w:val="00DC0EFB"/>
    <w:rsid w:val="00DC53DF"/>
    <w:rsid w:val="00DD0A9F"/>
    <w:rsid w:val="00DD4FD4"/>
    <w:rsid w:val="00DE0649"/>
    <w:rsid w:val="00DE2955"/>
    <w:rsid w:val="00DE70FF"/>
    <w:rsid w:val="00DE7C20"/>
    <w:rsid w:val="00DF1CEF"/>
    <w:rsid w:val="00E13AD3"/>
    <w:rsid w:val="00E14D34"/>
    <w:rsid w:val="00E16C5E"/>
    <w:rsid w:val="00E23ECE"/>
    <w:rsid w:val="00E2607B"/>
    <w:rsid w:val="00E34E6E"/>
    <w:rsid w:val="00E37389"/>
    <w:rsid w:val="00E40CDA"/>
    <w:rsid w:val="00E419CB"/>
    <w:rsid w:val="00E60E4A"/>
    <w:rsid w:val="00E6224D"/>
    <w:rsid w:val="00E62ED3"/>
    <w:rsid w:val="00E637E4"/>
    <w:rsid w:val="00E66912"/>
    <w:rsid w:val="00E76C2C"/>
    <w:rsid w:val="00E81701"/>
    <w:rsid w:val="00E84669"/>
    <w:rsid w:val="00E858D6"/>
    <w:rsid w:val="00EA3163"/>
    <w:rsid w:val="00EA63C1"/>
    <w:rsid w:val="00EA6E25"/>
    <w:rsid w:val="00EB00F0"/>
    <w:rsid w:val="00EB4B66"/>
    <w:rsid w:val="00EB6339"/>
    <w:rsid w:val="00EC1586"/>
    <w:rsid w:val="00ED1F8A"/>
    <w:rsid w:val="00ED5519"/>
    <w:rsid w:val="00EE620B"/>
    <w:rsid w:val="00EE6FD3"/>
    <w:rsid w:val="00EF019F"/>
    <w:rsid w:val="00EF1964"/>
    <w:rsid w:val="00EF2908"/>
    <w:rsid w:val="00EF575C"/>
    <w:rsid w:val="00F11315"/>
    <w:rsid w:val="00F13772"/>
    <w:rsid w:val="00F1420F"/>
    <w:rsid w:val="00F1775A"/>
    <w:rsid w:val="00F2305D"/>
    <w:rsid w:val="00F26E05"/>
    <w:rsid w:val="00F32E97"/>
    <w:rsid w:val="00F407A2"/>
    <w:rsid w:val="00F416A1"/>
    <w:rsid w:val="00F46131"/>
    <w:rsid w:val="00F46404"/>
    <w:rsid w:val="00F5749B"/>
    <w:rsid w:val="00F602D5"/>
    <w:rsid w:val="00F63403"/>
    <w:rsid w:val="00F66E28"/>
    <w:rsid w:val="00F67CAE"/>
    <w:rsid w:val="00F752EA"/>
    <w:rsid w:val="00F80FEE"/>
    <w:rsid w:val="00F8158D"/>
    <w:rsid w:val="00F83B7B"/>
    <w:rsid w:val="00F87B39"/>
    <w:rsid w:val="00F95E1C"/>
    <w:rsid w:val="00FA1316"/>
    <w:rsid w:val="00FA594D"/>
    <w:rsid w:val="00FB19A4"/>
    <w:rsid w:val="00FB5F22"/>
    <w:rsid w:val="00FC775E"/>
    <w:rsid w:val="00FD001F"/>
    <w:rsid w:val="00FD5F03"/>
    <w:rsid w:val="00FD5FF4"/>
    <w:rsid w:val="00FE15F2"/>
    <w:rsid w:val="00FE4214"/>
    <w:rsid w:val="00FE534A"/>
    <w:rsid w:val="00FE537C"/>
    <w:rsid w:val="00FE64D3"/>
    <w:rsid w:val="00FE68C8"/>
    <w:rsid w:val="00FF79C6"/>
    <w:rsid w:val="01936638"/>
    <w:rsid w:val="01D94C44"/>
    <w:rsid w:val="01EA5248"/>
    <w:rsid w:val="020194D9"/>
    <w:rsid w:val="07C6EFFF"/>
    <w:rsid w:val="08A0E98D"/>
    <w:rsid w:val="08C9A874"/>
    <w:rsid w:val="0A5DCBFE"/>
    <w:rsid w:val="0DEC3FE4"/>
    <w:rsid w:val="0E7FD6C8"/>
    <w:rsid w:val="0EF7E1A6"/>
    <w:rsid w:val="16450AE0"/>
    <w:rsid w:val="1802C6B0"/>
    <w:rsid w:val="21E8C761"/>
    <w:rsid w:val="22855528"/>
    <w:rsid w:val="24E7DEDB"/>
    <w:rsid w:val="274E75C6"/>
    <w:rsid w:val="2EE5382E"/>
    <w:rsid w:val="33AA076D"/>
    <w:rsid w:val="35BFFD6A"/>
    <w:rsid w:val="3807D960"/>
    <w:rsid w:val="3FEA3A94"/>
    <w:rsid w:val="4008CD57"/>
    <w:rsid w:val="4115228A"/>
    <w:rsid w:val="439174A0"/>
    <w:rsid w:val="4A563DCA"/>
    <w:rsid w:val="4F24DB96"/>
    <w:rsid w:val="50F73C6C"/>
    <w:rsid w:val="52E62F31"/>
    <w:rsid w:val="55DF53B1"/>
    <w:rsid w:val="56AC7DB8"/>
    <w:rsid w:val="5C572E2D"/>
    <w:rsid w:val="5C7B6E59"/>
    <w:rsid w:val="5E8F464D"/>
    <w:rsid w:val="60254DAA"/>
    <w:rsid w:val="630907B4"/>
    <w:rsid w:val="635BF73B"/>
    <w:rsid w:val="64D8142A"/>
    <w:rsid w:val="69FF69A8"/>
    <w:rsid w:val="6A6C2B1A"/>
    <w:rsid w:val="6B3C69DA"/>
    <w:rsid w:val="6D2F4F58"/>
    <w:rsid w:val="6FA7E55E"/>
    <w:rsid w:val="71C26CAA"/>
    <w:rsid w:val="73C4575C"/>
    <w:rsid w:val="74C0A0EE"/>
    <w:rsid w:val="793BA734"/>
    <w:rsid w:val="7B577A3E"/>
    <w:rsid w:val="7CD6F0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character" w:styleId="Hyperlink">
    <w:name w:val="Hyperlink"/>
    <w:basedOn w:val="DefaultParagraphFont"/>
    <w:uiPriority w:val="99"/>
    <w:unhideWhenUsed/>
    <w:rsid w:val="007D6752"/>
    <w:rPr>
      <w:color w:val="0000FF"/>
      <w:u w:val="single"/>
    </w:rPr>
  </w:style>
  <w:style w:type="character" w:styleId="CommentReference">
    <w:name w:val="annotation reference"/>
    <w:basedOn w:val="DefaultParagraphFont"/>
    <w:uiPriority w:val="99"/>
    <w:semiHidden/>
    <w:unhideWhenUsed/>
    <w:rsid w:val="00BD2342"/>
    <w:rPr>
      <w:sz w:val="16"/>
      <w:szCs w:val="16"/>
    </w:rPr>
  </w:style>
  <w:style w:type="paragraph" w:styleId="CommentText">
    <w:name w:val="annotation text"/>
    <w:basedOn w:val="Normal"/>
    <w:link w:val="CommentTextChar"/>
    <w:uiPriority w:val="99"/>
    <w:unhideWhenUsed/>
    <w:rsid w:val="00BD2342"/>
    <w:pPr>
      <w:spacing w:line="240" w:lineRule="auto"/>
    </w:pPr>
    <w:rPr>
      <w:sz w:val="20"/>
      <w:szCs w:val="20"/>
    </w:rPr>
  </w:style>
  <w:style w:type="character" w:customStyle="1" w:styleId="CommentTextChar">
    <w:name w:val="Comment Text Char"/>
    <w:basedOn w:val="DefaultParagraphFont"/>
    <w:link w:val="CommentText"/>
    <w:uiPriority w:val="99"/>
    <w:rsid w:val="00BD2342"/>
    <w:rPr>
      <w:sz w:val="20"/>
      <w:szCs w:val="20"/>
    </w:rPr>
  </w:style>
  <w:style w:type="paragraph" w:styleId="CommentSubject">
    <w:name w:val="annotation subject"/>
    <w:basedOn w:val="CommentText"/>
    <w:next w:val="CommentText"/>
    <w:link w:val="CommentSubjectChar"/>
    <w:uiPriority w:val="99"/>
    <w:semiHidden/>
    <w:unhideWhenUsed/>
    <w:rsid w:val="00BD2342"/>
    <w:rPr>
      <w:b/>
      <w:bCs/>
    </w:rPr>
  </w:style>
  <w:style w:type="character" w:customStyle="1" w:styleId="CommentSubjectChar">
    <w:name w:val="Comment Subject Char"/>
    <w:basedOn w:val="CommentTextChar"/>
    <w:link w:val="CommentSubject"/>
    <w:uiPriority w:val="99"/>
    <w:semiHidden/>
    <w:rsid w:val="00BD2342"/>
    <w:rPr>
      <w:b/>
      <w:bCs/>
      <w:sz w:val="20"/>
      <w:szCs w:val="20"/>
    </w:rPr>
  </w:style>
  <w:style w:type="paragraph" w:styleId="Revision">
    <w:name w:val="Revision"/>
    <w:hidden/>
    <w:uiPriority w:val="99"/>
    <w:semiHidden/>
    <w:rsid w:val="005963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447236051">
      <w:bodyDiv w:val="1"/>
      <w:marLeft w:val="0"/>
      <w:marRight w:val="0"/>
      <w:marTop w:val="0"/>
      <w:marBottom w:val="0"/>
      <w:divBdr>
        <w:top w:val="none" w:sz="0" w:space="0" w:color="auto"/>
        <w:left w:val="none" w:sz="0" w:space="0" w:color="auto"/>
        <w:bottom w:val="none" w:sz="0" w:space="0" w:color="auto"/>
        <w:right w:val="none" w:sz="0" w:space="0" w:color="auto"/>
      </w:divBdr>
      <w:divsChild>
        <w:div w:id="1685597455">
          <w:marLeft w:val="0"/>
          <w:marRight w:val="0"/>
          <w:marTop w:val="0"/>
          <w:marBottom w:val="0"/>
          <w:divBdr>
            <w:top w:val="none" w:sz="0" w:space="0" w:color="auto"/>
            <w:left w:val="none" w:sz="0" w:space="0" w:color="auto"/>
            <w:bottom w:val="none" w:sz="0" w:space="0" w:color="auto"/>
            <w:right w:val="none" w:sz="0" w:space="0" w:color="auto"/>
          </w:divBdr>
        </w:div>
      </w:divsChild>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877157748">
      <w:bodyDiv w:val="1"/>
      <w:marLeft w:val="0"/>
      <w:marRight w:val="0"/>
      <w:marTop w:val="0"/>
      <w:marBottom w:val="0"/>
      <w:divBdr>
        <w:top w:val="none" w:sz="0" w:space="0" w:color="auto"/>
        <w:left w:val="none" w:sz="0" w:space="0" w:color="auto"/>
        <w:bottom w:val="none" w:sz="0" w:space="0" w:color="auto"/>
        <w:right w:val="none" w:sz="0" w:space="0" w:color="auto"/>
      </w:divBdr>
      <w:divsChild>
        <w:div w:id="1413625311">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727021865">
      <w:bodyDiv w:val="1"/>
      <w:marLeft w:val="0"/>
      <w:marRight w:val="0"/>
      <w:marTop w:val="0"/>
      <w:marBottom w:val="0"/>
      <w:divBdr>
        <w:top w:val="none" w:sz="0" w:space="0" w:color="auto"/>
        <w:left w:val="none" w:sz="0" w:space="0" w:color="auto"/>
        <w:bottom w:val="none" w:sz="0" w:space="0" w:color="auto"/>
        <w:right w:val="none" w:sz="0" w:space="0" w:color="auto"/>
      </w:divBdr>
      <w:divsChild>
        <w:div w:id="505437019">
          <w:marLeft w:val="0"/>
          <w:marRight w:val="0"/>
          <w:marTop w:val="0"/>
          <w:marBottom w:val="0"/>
          <w:divBdr>
            <w:top w:val="none" w:sz="0" w:space="0" w:color="auto"/>
            <w:left w:val="none" w:sz="0" w:space="0" w:color="auto"/>
            <w:bottom w:val="none" w:sz="0" w:space="0" w:color="auto"/>
            <w:right w:val="none" w:sz="0" w:space="0" w:color="auto"/>
          </w:divBdr>
        </w:div>
      </w:divsChild>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1933003481">
      <w:bodyDiv w:val="1"/>
      <w:marLeft w:val="0"/>
      <w:marRight w:val="0"/>
      <w:marTop w:val="0"/>
      <w:marBottom w:val="0"/>
      <w:divBdr>
        <w:top w:val="none" w:sz="0" w:space="0" w:color="auto"/>
        <w:left w:val="none" w:sz="0" w:space="0" w:color="auto"/>
        <w:bottom w:val="none" w:sz="0" w:space="0" w:color="auto"/>
        <w:right w:val="none" w:sz="0" w:space="0" w:color="auto"/>
      </w:divBdr>
      <w:divsChild>
        <w:div w:id="1505438973">
          <w:marLeft w:val="0"/>
          <w:marRight w:val="0"/>
          <w:marTop w:val="0"/>
          <w:marBottom w:val="0"/>
          <w:divBdr>
            <w:top w:val="none" w:sz="0" w:space="0" w:color="auto"/>
            <w:left w:val="none" w:sz="0" w:space="0" w:color="auto"/>
            <w:bottom w:val="none" w:sz="0" w:space="0" w:color="auto"/>
            <w:right w:val="none" w:sz="0" w:space="0" w:color="auto"/>
          </w:divBdr>
        </w:div>
      </w:divsChild>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8A2876-4972-4857-8F80-000FFB9660A8}"/>
</file>

<file path=customXml/itemProps2.xml><?xml version="1.0" encoding="utf-8"?>
<ds:datastoreItem xmlns:ds="http://schemas.openxmlformats.org/officeDocument/2006/customXml" ds:itemID="{640FCE55-936F-4A98-BC80-37964CF795A7}"/>
</file>

<file path=customXml/itemProps3.xml><?xml version="1.0" encoding="utf-8"?>
<ds:datastoreItem xmlns:ds="http://schemas.openxmlformats.org/officeDocument/2006/customXml" ds:itemID="{78158150-5545-44FC-A524-A17DF2636F92}"/>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2713</Characters>
  <Application>Microsoft Office Word</Application>
  <DocSecurity>0</DocSecurity>
  <Lines>22</Lines>
  <Paragraphs>6</Paragraphs>
  <ScaleCrop>false</ScaleCrop>
  <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2025-03-21T15:29:00Z</dcterms:created>
  <dcterms:modified xsi:type="dcterms:W3CDTF">2025-03-21T15:29:00Z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2025-03-21T15:29:00Z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9609434e-f84d-4a2a-b1b0-617d8833b06f</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