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32882" w14:textId="1C13C904" w:rsidR="00676A5D" w:rsidRPr="00607D74" w:rsidRDefault="008E3137">
      <w:pPr>
        <w:rPr>
          <w:rFonts w:ascii="Times New Roman" w:hAnsi="Times New Roman" w:cs="Times New Roman"/>
          <w:sz w:val="24"/>
          <w:szCs w:val="24"/>
        </w:rPr>
      </w:pPr>
      <w:r w:rsidRPr="00607D74">
        <w:rPr>
          <w:rFonts w:ascii="Times New Roman" w:hAnsi="Times New Roman" w:cs="Times New Roman"/>
          <w:b/>
          <w:sz w:val="24"/>
          <w:szCs w:val="24"/>
        </w:rPr>
        <w:t>STF-</w:t>
      </w:r>
      <w:r w:rsidR="00735113" w:rsidRPr="00607D74">
        <w:rPr>
          <w:rFonts w:ascii="Times New Roman" w:hAnsi="Times New Roman" w:cs="Times New Roman"/>
          <w:b/>
          <w:sz w:val="24"/>
          <w:szCs w:val="24"/>
        </w:rPr>
        <w:t>JK</w:t>
      </w:r>
      <w:r w:rsidRPr="00607D74">
        <w:rPr>
          <w:rFonts w:ascii="Times New Roman" w:hAnsi="Times New Roman" w:cs="Times New Roman"/>
          <w:b/>
          <w:sz w:val="24"/>
          <w:szCs w:val="24"/>
        </w:rPr>
        <w:t>A-</w:t>
      </w:r>
      <w:r w:rsidR="00735113" w:rsidRPr="00607D74">
        <w:rPr>
          <w:rFonts w:ascii="Times New Roman" w:hAnsi="Times New Roman" w:cs="Times New Roman"/>
          <w:b/>
          <w:sz w:val="24"/>
          <w:szCs w:val="24"/>
        </w:rPr>
        <w:t>2-2</w:t>
      </w:r>
    </w:p>
    <w:p w14:paraId="5085D187" w14:textId="77777777" w:rsidR="00676A5D" w:rsidRPr="00607D74" w:rsidRDefault="008E3137">
      <w:pPr>
        <w:jc w:val="both"/>
        <w:rPr>
          <w:rFonts w:ascii="Times New Roman" w:hAnsi="Times New Roman" w:cs="Times New Roman"/>
          <w:sz w:val="24"/>
          <w:szCs w:val="24"/>
        </w:rPr>
      </w:pPr>
      <w:r w:rsidRPr="00607D74">
        <w:rPr>
          <w:rFonts w:ascii="Times New Roman" w:hAnsi="Times New Roman" w:cs="Times New Roman"/>
          <w:sz w:val="24"/>
          <w:szCs w:val="24"/>
          <w:u w:val="single"/>
        </w:rPr>
        <w:t>Question:</w:t>
      </w:r>
    </w:p>
    <w:p w14:paraId="1A497397" w14:textId="77777777" w:rsidR="00735113" w:rsidRPr="00607D74" w:rsidRDefault="00735113" w:rsidP="00735113">
      <w:pPr>
        <w:spacing w:after="120" w:line="256" w:lineRule="auto"/>
        <w:jc w:val="both"/>
        <w:rPr>
          <w:rFonts w:ascii="Times New Roman" w:hAnsi="Times New Roman" w:cs="Times New Roman"/>
          <w:sz w:val="24"/>
          <w:szCs w:val="24"/>
        </w:rPr>
      </w:pPr>
      <w:r w:rsidRPr="00607D74">
        <w:rPr>
          <w:rFonts w:ascii="Times New Roman" w:hAnsi="Times New Roman" w:cs="Times New Roman"/>
          <w:sz w:val="24"/>
          <w:szCs w:val="24"/>
        </w:rPr>
        <w:t xml:space="preserve">Refer to Technical Appendix volume 1, “2025 IRP Wholesale-to-Retail Offer TRADE SECRET.docx.” </w:t>
      </w:r>
    </w:p>
    <w:p w14:paraId="0EE42A3F" w14:textId="77777777" w:rsidR="00735113" w:rsidRPr="00607D74" w:rsidRDefault="00735113" w:rsidP="00521E8C">
      <w:pPr>
        <w:numPr>
          <w:ilvl w:val="4"/>
          <w:numId w:val="10"/>
        </w:numPr>
        <w:spacing w:after="120" w:line="256" w:lineRule="auto"/>
        <w:ind w:left="630"/>
        <w:jc w:val="both"/>
        <w:rPr>
          <w:rFonts w:ascii="Times New Roman" w:hAnsi="Times New Roman" w:cs="Times New Roman"/>
          <w:sz w:val="24"/>
          <w:szCs w:val="24"/>
        </w:rPr>
      </w:pPr>
      <w:r w:rsidRPr="00607D74">
        <w:rPr>
          <w:rFonts w:ascii="Times New Roman" w:hAnsi="Times New Roman" w:cs="Times New Roman"/>
          <w:sz w:val="24"/>
          <w:szCs w:val="24"/>
        </w:rPr>
        <w:t>Appendix A has a set of tables for each Wholesale Offer, including Non-Fuel Revenue Requirement tables (with and without 111 GHG Rules) in Attachment 1, Rate Base Items in Attachment 2, and Depreciation (with and without 111 GHG Rules) in Attachment 3.   Provide all workpapers that led to the development of each one of those tables, electronically with all formulae intact.</w:t>
      </w:r>
    </w:p>
    <w:p w14:paraId="623563D0" w14:textId="77777777" w:rsidR="00735113" w:rsidRPr="00607D74" w:rsidRDefault="00735113" w:rsidP="00521E8C">
      <w:pPr>
        <w:numPr>
          <w:ilvl w:val="4"/>
          <w:numId w:val="10"/>
        </w:numPr>
        <w:spacing w:after="120" w:line="256" w:lineRule="auto"/>
        <w:ind w:left="630"/>
        <w:jc w:val="both"/>
        <w:rPr>
          <w:rFonts w:ascii="Times New Roman" w:hAnsi="Times New Roman" w:cs="Times New Roman"/>
          <w:sz w:val="24"/>
          <w:szCs w:val="24"/>
        </w:rPr>
      </w:pPr>
      <w:r w:rsidRPr="00607D74">
        <w:rPr>
          <w:rFonts w:ascii="Times New Roman" w:hAnsi="Times New Roman" w:cs="Times New Roman"/>
          <w:sz w:val="24"/>
          <w:szCs w:val="24"/>
        </w:rPr>
        <w:t>Provide a narrative explaining the derivation of the methodology used to calculate the values in each table in Appendix A.</w:t>
      </w:r>
    </w:p>
    <w:p w14:paraId="354313DB" w14:textId="77777777" w:rsidR="00735113" w:rsidRPr="00607D74" w:rsidRDefault="00735113" w:rsidP="00521E8C">
      <w:pPr>
        <w:numPr>
          <w:ilvl w:val="4"/>
          <w:numId w:val="10"/>
        </w:numPr>
        <w:spacing w:after="120" w:line="256" w:lineRule="auto"/>
        <w:ind w:left="630"/>
        <w:jc w:val="both"/>
        <w:rPr>
          <w:rFonts w:ascii="Times New Roman" w:hAnsi="Times New Roman" w:cs="Times New Roman"/>
          <w:sz w:val="24"/>
          <w:szCs w:val="24"/>
        </w:rPr>
      </w:pPr>
      <w:r w:rsidRPr="00607D74">
        <w:rPr>
          <w:rFonts w:ascii="Times New Roman" w:hAnsi="Times New Roman" w:cs="Times New Roman"/>
          <w:sz w:val="24"/>
          <w:szCs w:val="24"/>
        </w:rPr>
        <w:t>Attachment 2 shows two account numbers for some of the offers and one account number for other offers.  Provide additional explanation of the account numbers, and explain why some offers show data associated with two account numbers and others show data for just one account number.</w:t>
      </w:r>
    </w:p>
    <w:p w14:paraId="22378E27" w14:textId="77777777" w:rsidR="00521E8C" w:rsidRPr="00607D74" w:rsidRDefault="00521E8C" w:rsidP="00521E8C">
      <w:pPr>
        <w:numPr>
          <w:ilvl w:val="4"/>
          <w:numId w:val="10"/>
        </w:numPr>
        <w:spacing w:after="120" w:line="256" w:lineRule="auto"/>
        <w:ind w:left="630"/>
        <w:jc w:val="both"/>
        <w:rPr>
          <w:rFonts w:ascii="Times New Roman" w:hAnsi="Times New Roman" w:cs="Times New Roman"/>
          <w:sz w:val="24"/>
          <w:szCs w:val="24"/>
        </w:rPr>
      </w:pPr>
      <w:r w:rsidRPr="00607D74">
        <w:rPr>
          <w:rFonts w:ascii="Times New Roman" w:hAnsi="Times New Roman" w:cs="Times New Roman"/>
          <w:sz w:val="24"/>
          <w:szCs w:val="24"/>
        </w:rPr>
        <w:t>Page 4 of the Public version indicates Retail – Florida Power &amp; Light and Retail – Duke Energy Florida.  The other 2 offers do not mention Retail.  What is the significance of the word Retail in the Wholesale Block name?</w:t>
      </w:r>
    </w:p>
    <w:p w14:paraId="26EB0BFC" w14:textId="007904CE" w:rsidR="00521E8C" w:rsidRPr="00607D74" w:rsidRDefault="00521E8C" w:rsidP="00521E8C">
      <w:pPr>
        <w:numPr>
          <w:ilvl w:val="4"/>
          <w:numId w:val="10"/>
        </w:numPr>
        <w:spacing w:after="120" w:line="256" w:lineRule="auto"/>
        <w:ind w:left="630"/>
        <w:jc w:val="both"/>
        <w:rPr>
          <w:rFonts w:ascii="Times New Roman" w:hAnsi="Times New Roman" w:cs="Times New Roman"/>
          <w:sz w:val="24"/>
          <w:szCs w:val="24"/>
        </w:rPr>
      </w:pPr>
      <w:r w:rsidRPr="00607D74">
        <w:rPr>
          <w:rFonts w:ascii="Times New Roman" w:hAnsi="Times New Roman" w:cs="Times New Roman"/>
          <w:sz w:val="24"/>
          <w:szCs w:val="24"/>
        </w:rPr>
        <w:t xml:space="preserve">Page 17 of the Public version shows a different name for the Florida Power &amp; Light Wholesale Block name.  It refers to EnergyUnited Coal Block Proxy to Retail – FPL Block.  Why is the EnergyUnited apart of the FPL Wholesale Block?  Same issue with the DEF Wholesale Block on page 18. </w:t>
      </w:r>
    </w:p>
    <w:p w14:paraId="5177F90F" w14:textId="77777777" w:rsidR="00676A5D" w:rsidRPr="00607D74" w:rsidRDefault="008E3137">
      <w:pPr>
        <w:rPr>
          <w:rFonts w:ascii="Times New Roman" w:hAnsi="Times New Roman" w:cs="Times New Roman"/>
          <w:sz w:val="24"/>
          <w:szCs w:val="24"/>
          <w:u w:val="single"/>
        </w:rPr>
      </w:pPr>
      <w:r w:rsidRPr="00607D74">
        <w:rPr>
          <w:rFonts w:ascii="Times New Roman" w:hAnsi="Times New Roman" w:cs="Times New Roman"/>
          <w:sz w:val="24"/>
          <w:szCs w:val="24"/>
          <w:u w:val="single"/>
        </w:rPr>
        <w:t>Response:</w:t>
      </w:r>
    </w:p>
    <w:p w14:paraId="583F022A" w14:textId="6EA9AD39" w:rsidR="00621A15" w:rsidRPr="00607D74" w:rsidRDefault="00875CBA" w:rsidP="00521E8C">
      <w:pPr>
        <w:numPr>
          <w:ilvl w:val="4"/>
          <w:numId w:val="11"/>
        </w:numPr>
        <w:spacing w:after="120" w:line="256" w:lineRule="auto"/>
        <w:ind w:left="630"/>
        <w:jc w:val="both"/>
        <w:rPr>
          <w:rFonts w:ascii="Times New Roman" w:hAnsi="Times New Roman" w:cs="Times New Roman"/>
          <w:sz w:val="24"/>
          <w:szCs w:val="24"/>
        </w:rPr>
      </w:pPr>
      <w:r w:rsidRPr="00607D74">
        <w:rPr>
          <w:rFonts w:ascii="Times New Roman" w:hAnsi="Times New Roman" w:cs="Times New Roman"/>
          <w:sz w:val="24"/>
          <w:szCs w:val="24"/>
        </w:rPr>
        <w:t xml:space="preserve">Please see </w:t>
      </w:r>
      <w:r w:rsidR="00A139F5" w:rsidRPr="00607D74">
        <w:rPr>
          <w:rFonts w:ascii="Times New Roman" w:hAnsi="Times New Roman" w:cs="Times New Roman"/>
          <w:sz w:val="24"/>
          <w:szCs w:val="24"/>
        </w:rPr>
        <w:t>STF-JKA-2-2</w:t>
      </w:r>
      <w:r w:rsidR="00634C49" w:rsidRPr="00607D74">
        <w:rPr>
          <w:rFonts w:ascii="Times New Roman" w:hAnsi="Times New Roman" w:cs="Times New Roman"/>
          <w:sz w:val="24"/>
          <w:szCs w:val="24"/>
        </w:rPr>
        <w:t xml:space="preserve"> Attachment</w:t>
      </w:r>
      <w:r w:rsidR="004318A4">
        <w:rPr>
          <w:rFonts w:ascii="Times New Roman" w:hAnsi="Times New Roman" w:cs="Times New Roman"/>
          <w:sz w:val="24"/>
          <w:szCs w:val="24"/>
        </w:rPr>
        <w:t>s</w:t>
      </w:r>
      <w:r w:rsidR="00634C49" w:rsidRPr="00607D74">
        <w:rPr>
          <w:rFonts w:ascii="Times New Roman" w:hAnsi="Times New Roman" w:cs="Times New Roman"/>
          <w:sz w:val="24"/>
          <w:szCs w:val="24"/>
        </w:rPr>
        <w:t xml:space="preserve"> A</w:t>
      </w:r>
      <w:r w:rsidR="004318A4">
        <w:rPr>
          <w:rFonts w:ascii="Times New Roman" w:hAnsi="Times New Roman" w:cs="Times New Roman"/>
          <w:sz w:val="24"/>
          <w:szCs w:val="24"/>
        </w:rPr>
        <w:t>-H</w:t>
      </w:r>
      <w:r w:rsidR="00767516" w:rsidRPr="00607D74">
        <w:rPr>
          <w:rFonts w:ascii="Times New Roman" w:hAnsi="Times New Roman" w:cs="Times New Roman"/>
          <w:sz w:val="24"/>
          <w:szCs w:val="24"/>
        </w:rPr>
        <w:t xml:space="preserve"> TRADE SECRET</w:t>
      </w:r>
      <w:r w:rsidR="00634C49" w:rsidRPr="00607D74">
        <w:rPr>
          <w:rFonts w:ascii="Times New Roman" w:hAnsi="Times New Roman" w:cs="Times New Roman"/>
          <w:sz w:val="24"/>
          <w:szCs w:val="24"/>
        </w:rPr>
        <w:t xml:space="preserve"> </w:t>
      </w:r>
      <w:r w:rsidR="006F1A0A" w:rsidRPr="00607D74">
        <w:rPr>
          <w:rFonts w:ascii="Times New Roman" w:hAnsi="Times New Roman" w:cs="Times New Roman"/>
          <w:sz w:val="24"/>
          <w:szCs w:val="24"/>
        </w:rPr>
        <w:t xml:space="preserve">with </w:t>
      </w:r>
      <w:r w:rsidR="00676132">
        <w:rPr>
          <w:rFonts w:ascii="Times New Roman" w:hAnsi="Times New Roman" w:cs="Times New Roman"/>
          <w:sz w:val="24"/>
          <w:szCs w:val="24"/>
        </w:rPr>
        <w:t>sheet</w:t>
      </w:r>
      <w:r w:rsidR="006F1A0A" w:rsidRPr="00607D74">
        <w:rPr>
          <w:rFonts w:ascii="Times New Roman" w:hAnsi="Times New Roman" w:cs="Times New Roman"/>
          <w:sz w:val="24"/>
          <w:szCs w:val="24"/>
        </w:rPr>
        <w:t xml:space="preserve"> names beginning </w:t>
      </w:r>
      <w:r w:rsidR="004A553B">
        <w:rPr>
          <w:rFonts w:ascii="Times New Roman" w:hAnsi="Times New Roman" w:cs="Times New Roman"/>
          <w:sz w:val="24"/>
          <w:szCs w:val="24"/>
        </w:rPr>
        <w:t>“</w:t>
      </w:r>
      <w:r w:rsidR="006C7182" w:rsidRPr="00607D74">
        <w:rPr>
          <w:rFonts w:ascii="Times New Roman" w:hAnsi="Times New Roman" w:cs="Times New Roman"/>
          <w:sz w:val="24"/>
          <w:szCs w:val="24"/>
        </w:rPr>
        <w:t xml:space="preserve">Sch 3 </w:t>
      </w:r>
      <w:r w:rsidR="004A553B">
        <w:rPr>
          <w:rFonts w:ascii="Times New Roman" w:hAnsi="Times New Roman" w:cs="Times New Roman"/>
          <w:sz w:val="24"/>
          <w:szCs w:val="24"/>
        </w:rPr>
        <w:t xml:space="preserve">- </w:t>
      </w:r>
      <w:r w:rsidR="006C7182" w:rsidRPr="00607D74">
        <w:rPr>
          <w:rFonts w:ascii="Times New Roman" w:hAnsi="Times New Roman" w:cs="Times New Roman"/>
          <w:sz w:val="24"/>
          <w:szCs w:val="24"/>
        </w:rPr>
        <w:t>Attach 1</w:t>
      </w:r>
      <w:r w:rsidR="004A553B">
        <w:rPr>
          <w:rFonts w:ascii="Times New Roman" w:hAnsi="Times New Roman" w:cs="Times New Roman"/>
          <w:sz w:val="24"/>
          <w:szCs w:val="24"/>
        </w:rPr>
        <w:t>…,”</w:t>
      </w:r>
      <w:r w:rsidR="006C7182" w:rsidRPr="00607D74">
        <w:rPr>
          <w:rFonts w:ascii="Times New Roman" w:hAnsi="Times New Roman" w:cs="Times New Roman"/>
          <w:sz w:val="24"/>
          <w:szCs w:val="24"/>
        </w:rPr>
        <w:t xml:space="preserve"> “Sch 3 </w:t>
      </w:r>
      <w:r w:rsidR="004A553B">
        <w:rPr>
          <w:rFonts w:ascii="Times New Roman" w:hAnsi="Times New Roman" w:cs="Times New Roman"/>
          <w:sz w:val="24"/>
          <w:szCs w:val="24"/>
        </w:rPr>
        <w:t xml:space="preserve">- </w:t>
      </w:r>
      <w:r w:rsidR="006C7182" w:rsidRPr="00607D74">
        <w:rPr>
          <w:rFonts w:ascii="Times New Roman" w:hAnsi="Times New Roman" w:cs="Times New Roman"/>
          <w:sz w:val="24"/>
          <w:szCs w:val="24"/>
        </w:rPr>
        <w:t>Attach 2…</w:t>
      </w:r>
      <w:r w:rsidR="005440DD">
        <w:rPr>
          <w:rFonts w:ascii="Times New Roman" w:hAnsi="Times New Roman" w:cs="Times New Roman"/>
          <w:sz w:val="24"/>
          <w:szCs w:val="24"/>
        </w:rPr>
        <w:t>,</w:t>
      </w:r>
      <w:r w:rsidR="006C7182" w:rsidRPr="00607D74">
        <w:rPr>
          <w:rFonts w:ascii="Times New Roman" w:hAnsi="Times New Roman" w:cs="Times New Roman"/>
          <w:sz w:val="24"/>
          <w:szCs w:val="24"/>
        </w:rPr>
        <w:t xml:space="preserve">” and </w:t>
      </w:r>
      <w:r w:rsidR="005440DD">
        <w:rPr>
          <w:rFonts w:ascii="Times New Roman" w:hAnsi="Times New Roman" w:cs="Times New Roman"/>
          <w:sz w:val="24"/>
          <w:szCs w:val="24"/>
        </w:rPr>
        <w:t>“</w:t>
      </w:r>
      <w:r w:rsidR="006C7182" w:rsidRPr="00607D74">
        <w:rPr>
          <w:rFonts w:ascii="Times New Roman" w:hAnsi="Times New Roman" w:cs="Times New Roman"/>
          <w:sz w:val="24"/>
          <w:szCs w:val="24"/>
        </w:rPr>
        <w:t xml:space="preserve">Sch 3 </w:t>
      </w:r>
      <w:r w:rsidR="005440DD">
        <w:rPr>
          <w:rFonts w:ascii="Times New Roman" w:hAnsi="Times New Roman" w:cs="Times New Roman"/>
          <w:sz w:val="24"/>
          <w:szCs w:val="24"/>
        </w:rPr>
        <w:t xml:space="preserve">- </w:t>
      </w:r>
      <w:r w:rsidR="006C7182" w:rsidRPr="00607D74">
        <w:rPr>
          <w:rFonts w:ascii="Times New Roman" w:hAnsi="Times New Roman" w:cs="Times New Roman"/>
          <w:sz w:val="24"/>
          <w:szCs w:val="24"/>
        </w:rPr>
        <w:t>Dep</w:t>
      </w:r>
      <w:r w:rsidR="003C011B" w:rsidRPr="00607D74">
        <w:rPr>
          <w:rFonts w:ascii="Times New Roman" w:hAnsi="Times New Roman" w:cs="Times New Roman"/>
          <w:sz w:val="24"/>
          <w:szCs w:val="24"/>
        </w:rPr>
        <w:t>…” for each of these attachments.</w:t>
      </w:r>
    </w:p>
    <w:p w14:paraId="0442E2B3" w14:textId="154DB8BA" w:rsidR="00621A15" w:rsidRPr="00607D74" w:rsidRDefault="00FF4134" w:rsidP="00521E8C">
      <w:pPr>
        <w:numPr>
          <w:ilvl w:val="4"/>
          <w:numId w:val="11"/>
        </w:numPr>
        <w:spacing w:after="120" w:line="256" w:lineRule="auto"/>
        <w:ind w:left="630"/>
        <w:jc w:val="both"/>
        <w:rPr>
          <w:rFonts w:ascii="Times New Roman" w:hAnsi="Times New Roman" w:cs="Times New Roman"/>
          <w:sz w:val="24"/>
          <w:szCs w:val="24"/>
        </w:rPr>
      </w:pPr>
      <w:r w:rsidRPr="00607D74">
        <w:rPr>
          <w:rFonts w:ascii="Times New Roman" w:hAnsi="Times New Roman" w:cs="Times New Roman"/>
          <w:sz w:val="24"/>
          <w:szCs w:val="24"/>
        </w:rPr>
        <w:t xml:space="preserve">Attachments </w:t>
      </w:r>
      <w:r>
        <w:rPr>
          <w:rFonts w:ascii="Times New Roman" w:hAnsi="Times New Roman" w:cs="Times New Roman"/>
          <w:sz w:val="24"/>
          <w:szCs w:val="24"/>
        </w:rPr>
        <w:t>1</w:t>
      </w:r>
      <w:r w:rsidRPr="00607D74">
        <w:rPr>
          <w:rFonts w:ascii="Times New Roman" w:hAnsi="Times New Roman" w:cs="Times New Roman"/>
          <w:sz w:val="24"/>
          <w:szCs w:val="24"/>
        </w:rPr>
        <w:t xml:space="preserve"> </w:t>
      </w:r>
      <w:r w:rsidR="000463D8">
        <w:rPr>
          <w:rFonts w:ascii="Times New Roman" w:hAnsi="Times New Roman" w:cs="Times New Roman"/>
          <w:sz w:val="24"/>
          <w:szCs w:val="24"/>
        </w:rPr>
        <w:t>and</w:t>
      </w:r>
      <w:r w:rsidRPr="00607D74">
        <w:rPr>
          <w:rFonts w:ascii="Times New Roman" w:hAnsi="Times New Roman" w:cs="Times New Roman"/>
          <w:sz w:val="24"/>
          <w:szCs w:val="24"/>
        </w:rPr>
        <w:t xml:space="preserve"> 3 (</w:t>
      </w:r>
      <w:r>
        <w:rPr>
          <w:rFonts w:ascii="Times New Roman" w:hAnsi="Times New Roman" w:cs="Times New Roman"/>
          <w:sz w:val="24"/>
          <w:szCs w:val="24"/>
        </w:rPr>
        <w:t>“</w:t>
      </w:r>
      <w:r w:rsidRPr="00607D74">
        <w:rPr>
          <w:rFonts w:ascii="Times New Roman" w:hAnsi="Times New Roman" w:cs="Times New Roman"/>
          <w:sz w:val="24"/>
          <w:szCs w:val="24"/>
        </w:rPr>
        <w:t xml:space="preserve">Sch 3 </w:t>
      </w:r>
      <w:r>
        <w:rPr>
          <w:rFonts w:ascii="Times New Roman" w:hAnsi="Times New Roman" w:cs="Times New Roman"/>
          <w:sz w:val="24"/>
          <w:szCs w:val="24"/>
        </w:rPr>
        <w:t xml:space="preserve">- </w:t>
      </w:r>
      <w:r w:rsidRPr="00607D74">
        <w:rPr>
          <w:rFonts w:ascii="Times New Roman" w:hAnsi="Times New Roman" w:cs="Times New Roman"/>
          <w:sz w:val="24"/>
          <w:szCs w:val="24"/>
        </w:rPr>
        <w:t xml:space="preserve">Attach </w:t>
      </w:r>
      <w:r>
        <w:rPr>
          <w:rFonts w:ascii="Times New Roman" w:hAnsi="Times New Roman" w:cs="Times New Roman"/>
          <w:sz w:val="24"/>
          <w:szCs w:val="24"/>
        </w:rPr>
        <w:t>1</w:t>
      </w:r>
      <w:r w:rsidRPr="00607D74">
        <w:rPr>
          <w:rFonts w:ascii="Times New Roman" w:hAnsi="Times New Roman" w:cs="Times New Roman"/>
          <w:sz w:val="24"/>
          <w:szCs w:val="24"/>
        </w:rPr>
        <w:t xml:space="preserve">…” and </w:t>
      </w:r>
      <w:r>
        <w:rPr>
          <w:rFonts w:ascii="Times New Roman" w:hAnsi="Times New Roman" w:cs="Times New Roman"/>
          <w:sz w:val="24"/>
          <w:szCs w:val="24"/>
        </w:rPr>
        <w:t>“</w:t>
      </w:r>
      <w:r w:rsidRPr="00607D74">
        <w:rPr>
          <w:rFonts w:ascii="Times New Roman" w:hAnsi="Times New Roman" w:cs="Times New Roman"/>
          <w:sz w:val="24"/>
          <w:szCs w:val="24"/>
        </w:rPr>
        <w:t xml:space="preserve">Sch 3 </w:t>
      </w:r>
      <w:r>
        <w:rPr>
          <w:rFonts w:ascii="Times New Roman" w:hAnsi="Times New Roman" w:cs="Times New Roman"/>
          <w:sz w:val="24"/>
          <w:szCs w:val="24"/>
        </w:rPr>
        <w:t xml:space="preserve">- </w:t>
      </w:r>
      <w:r w:rsidRPr="00607D74">
        <w:rPr>
          <w:rFonts w:ascii="Times New Roman" w:hAnsi="Times New Roman" w:cs="Times New Roman"/>
          <w:sz w:val="24"/>
          <w:szCs w:val="24"/>
        </w:rPr>
        <w:t>Dep …”</w:t>
      </w:r>
      <w:r>
        <w:rPr>
          <w:rFonts w:ascii="Times New Roman" w:hAnsi="Times New Roman" w:cs="Times New Roman"/>
          <w:sz w:val="24"/>
          <w:szCs w:val="24"/>
        </w:rPr>
        <w:t>)</w:t>
      </w:r>
      <w:r w:rsidRPr="00607D74">
        <w:rPr>
          <w:rFonts w:ascii="Times New Roman" w:hAnsi="Times New Roman" w:cs="Times New Roman"/>
          <w:sz w:val="24"/>
          <w:szCs w:val="24"/>
        </w:rPr>
        <w:t xml:space="preserve"> formulas are linked to the Financial Engines of each SAM model and can be traced to show how they were calculated (from each Income Statement in the Financial Engine). </w:t>
      </w:r>
      <w:r w:rsidR="003C011B" w:rsidRPr="00607D74">
        <w:rPr>
          <w:rFonts w:ascii="Times New Roman" w:hAnsi="Times New Roman" w:cs="Times New Roman"/>
          <w:sz w:val="24"/>
          <w:szCs w:val="24"/>
        </w:rPr>
        <w:t xml:space="preserve">Attachment </w:t>
      </w:r>
      <w:r>
        <w:rPr>
          <w:rFonts w:ascii="Times New Roman" w:hAnsi="Times New Roman" w:cs="Times New Roman"/>
          <w:sz w:val="24"/>
          <w:szCs w:val="24"/>
        </w:rPr>
        <w:t>2</w:t>
      </w:r>
      <w:r w:rsidR="003C011B" w:rsidRPr="00607D74">
        <w:rPr>
          <w:rFonts w:ascii="Times New Roman" w:hAnsi="Times New Roman" w:cs="Times New Roman"/>
          <w:sz w:val="24"/>
          <w:szCs w:val="24"/>
        </w:rPr>
        <w:t xml:space="preserve"> </w:t>
      </w:r>
      <w:r w:rsidR="00903320" w:rsidRPr="00607D74">
        <w:rPr>
          <w:rFonts w:ascii="Times New Roman" w:hAnsi="Times New Roman" w:cs="Times New Roman"/>
          <w:sz w:val="24"/>
          <w:szCs w:val="24"/>
        </w:rPr>
        <w:t xml:space="preserve">is a </w:t>
      </w:r>
      <w:r w:rsidR="00596037" w:rsidRPr="00607D74">
        <w:rPr>
          <w:rFonts w:ascii="Times New Roman" w:hAnsi="Times New Roman" w:cs="Times New Roman"/>
          <w:sz w:val="24"/>
          <w:szCs w:val="24"/>
        </w:rPr>
        <w:t xml:space="preserve">rearrangement </w:t>
      </w:r>
      <w:r w:rsidR="00903320" w:rsidRPr="00607D74">
        <w:rPr>
          <w:rFonts w:ascii="Times New Roman" w:hAnsi="Times New Roman" w:cs="Times New Roman"/>
          <w:sz w:val="24"/>
          <w:szCs w:val="24"/>
        </w:rPr>
        <w:t xml:space="preserve">of balance sheet items provided in the </w:t>
      </w:r>
      <w:r w:rsidR="00596037" w:rsidRPr="00607D74">
        <w:rPr>
          <w:rFonts w:ascii="Times New Roman" w:hAnsi="Times New Roman" w:cs="Times New Roman"/>
          <w:sz w:val="24"/>
          <w:szCs w:val="24"/>
        </w:rPr>
        <w:t>“</w:t>
      </w:r>
      <w:r w:rsidR="00D01341" w:rsidRPr="00607D74">
        <w:rPr>
          <w:rFonts w:ascii="Times New Roman" w:hAnsi="Times New Roman" w:cs="Times New Roman"/>
          <w:sz w:val="24"/>
          <w:szCs w:val="24"/>
        </w:rPr>
        <w:t>…Pro</w:t>
      </w:r>
      <w:r w:rsidR="00E2426D" w:rsidRPr="00607D74">
        <w:rPr>
          <w:rFonts w:ascii="Times New Roman" w:hAnsi="Times New Roman" w:cs="Times New Roman"/>
          <w:sz w:val="24"/>
          <w:szCs w:val="24"/>
        </w:rPr>
        <w:t>j</w:t>
      </w:r>
      <w:r w:rsidR="00596037" w:rsidRPr="00607D74">
        <w:rPr>
          <w:rFonts w:ascii="Times New Roman" w:hAnsi="Times New Roman" w:cs="Times New Roman"/>
          <w:sz w:val="24"/>
          <w:szCs w:val="24"/>
        </w:rPr>
        <w:t xml:space="preserve"> Sheet” </w:t>
      </w:r>
      <w:r w:rsidR="000F47FD">
        <w:rPr>
          <w:rFonts w:ascii="Times New Roman" w:hAnsi="Times New Roman" w:cs="Times New Roman"/>
          <w:sz w:val="24"/>
          <w:szCs w:val="24"/>
        </w:rPr>
        <w:t xml:space="preserve">sheet </w:t>
      </w:r>
      <w:r w:rsidR="00596037" w:rsidRPr="00607D74">
        <w:rPr>
          <w:rFonts w:ascii="Times New Roman" w:hAnsi="Times New Roman" w:cs="Times New Roman"/>
          <w:sz w:val="24"/>
          <w:szCs w:val="24"/>
        </w:rPr>
        <w:t>of each mode</w:t>
      </w:r>
      <w:r w:rsidR="00634C49" w:rsidRPr="00607D74">
        <w:rPr>
          <w:rFonts w:ascii="Times New Roman" w:hAnsi="Times New Roman" w:cs="Times New Roman"/>
          <w:sz w:val="24"/>
          <w:szCs w:val="24"/>
        </w:rPr>
        <w:t>l consistent with regulatory accounting schedules</w:t>
      </w:r>
      <w:r w:rsidR="00596037" w:rsidRPr="00607D74">
        <w:rPr>
          <w:rFonts w:ascii="Times New Roman" w:hAnsi="Times New Roman" w:cs="Times New Roman"/>
          <w:sz w:val="24"/>
          <w:szCs w:val="24"/>
        </w:rPr>
        <w:t>.</w:t>
      </w:r>
    </w:p>
    <w:p w14:paraId="1B239258" w14:textId="5AAB2C82" w:rsidR="00621A15" w:rsidRDefault="00D812EA" w:rsidP="00521E8C">
      <w:pPr>
        <w:numPr>
          <w:ilvl w:val="4"/>
          <w:numId w:val="11"/>
        </w:numPr>
        <w:spacing w:after="120" w:line="256" w:lineRule="auto"/>
        <w:ind w:left="630"/>
        <w:jc w:val="both"/>
        <w:rPr>
          <w:rFonts w:ascii="Times New Roman" w:hAnsi="Times New Roman" w:cs="Times New Roman"/>
          <w:sz w:val="24"/>
          <w:szCs w:val="24"/>
        </w:rPr>
      </w:pPr>
      <w:r w:rsidRPr="00607D74">
        <w:rPr>
          <w:rFonts w:ascii="Times New Roman" w:hAnsi="Times New Roman" w:cs="Times New Roman"/>
          <w:sz w:val="24"/>
          <w:szCs w:val="24"/>
        </w:rPr>
        <w:t>These are not separate account numbers</w:t>
      </w:r>
      <w:r w:rsidR="00DB1C78" w:rsidRPr="00607D74">
        <w:rPr>
          <w:rFonts w:ascii="Times New Roman" w:hAnsi="Times New Roman" w:cs="Times New Roman"/>
          <w:sz w:val="24"/>
          <w:szCs w:val="24"/>
        </w:rPr>
        <w:t>. This is</w:t>
      </w:r>
      <w:r w:rsidRPr="00607D74">
        <w:rPr>
          <w:rFonts w:ascii="Times New Roman" w:hAnsi="Times New Roman" w:cs="Times New Roman"/>
          <w:sz w:val="24"/>
          <w:szCs w:val="24"/>
        </w:rPr>
        <w:t xml:space="preserve"> simply a scaling of </w:t>
      </w:r>
      <w:r w:rsidR="00F07046">
        <w:rPr>
          <w:rFonts w:ascii="Times New Roman" w:hAnsi="Times New Roman" w:cs="Times New Roman"/>
          <w:sz w:val="24"/>
          <w:szCs w:val="24"/>
        </w:rPr>
        <w:t>capacity</w:t>
      </w:r>
      <w:r w:rsidRPr="00607D74">
        <w:rPr>
          <w:rFonts w:ascii="Times New Roman" w:hAnsi="Times New Roman" w:cs="Times New Roman"/>
          <w:sz w:val="24"/>
          <w:szCs w:val="24"/>
        </w:rPr>
        <w:t>. In the case of block</w:t>
      </w:r>
      <w:r w:rsidR="00DB1C78" w:rsidRPr="00607D74">
        <w:rPr>
          <w:rFonts w:ascii="Times New Roman" w:hAnsi="Times New Roman" w:cs="Times New Roman"/>
          <w:sz w:val="24"/>
          <w:szCs w:val="24"/>
        </w:rPr>
        <w:t>s</w:t>
      </w:r>
      <w:r w:rsidRPr="00607D74">
        <w:rPr>
          <w:rFonts w:ascii="Times New Roman" w:hAnsi="Times New Roman" w:cs="Times New Roman"/>
          <w:sz w:val="24"/>
          <w:szCs w:val="24"/>
        </w:rPr>
        <w:t xml:space="preserve"> with two columns for </w:t>
      </w:r>
      <w:r w:rsidR="00495399">
        <w:rPr>
          <w:rFonts w:ascii="Times New Roman" w:hAnsi="Times New Roman" w:cs="Times New Roman"/>
          <w:sz w:val="24"/>
          <w:szCs w:val="24"/>
        </w:rPr>
        <w:t>A</w:t>
      </w:r>
      <w:r w:rsidRPr="00607D74">
        <w:rPr>
          <w:rFonts w:ascii="Times New Roman" w:hAnsi="Times New Roman" w:cs="Times New Roman"/>
          <w:sz w:val="24"/>
          <w:szCs w:val="24"/>
        </w:rPr>
        <w:t xml:space="preserve">ttachment 2, the first column is a reference </w:t>
      </w:r>
      <w:r w:rsidR="0008026E" w:rsidRPr="00607D74">
        <w:rPr>
          <w:rFonts w:ascii="Times New Roman" w:hAnsi="Times New Roman" w:cs="Times New Roman"/>
          <w:sz w:val="24"/>
          <w:szCs w:val="24"/>
        </w:rPr>
        <w:t>block,</w:t>
      </w:r>
      <w:r w:rsidRPr="00607D74">
        <w:rPr>
          <w:rFonts w:ascii="Times New Roman" w:hAnsi="Times New Roman" w:cs="Times New Roman"/>
          <w:sz w:val="24"/>
          <w:szCs w:val="24"/>
        </w:rPr>
        <w:t xml:space="preserve"> and the second column is scaling the same information to fit the block size that is being offered. The Flint </w:t>
      </w:r>
      <w:r w:rsidR="00FB5CB4">
        <w:rPr>
          <w:rFonts w:ascii="Times New Roman" w:hAnsi="Times New Roman" w:cs="Times New Roman"/>
          <w:sz w:val="24"/>
          <w:szCs w:val="24"/>
        </w:rPr>
        <w:t>EMC Steam B</w:t>
      </w:r>
      <w:r w:rsidRPr="00607D74">
        <w:rPr>
          <w:rFonts w:ascii="Times New Roman" w:hAnsi="Times New Roman" w:cs="Times New Roman"/>
          <w:sz w:val="24"/>
          <w:szCs w:val="24"/>
        </w:rPr>
        <w:t xml:space="preserve">lock is currently a contract in </w:t>
      </w:r>
      <w:r w:rsidR="00596037" w:rsidRPr="00607D74">
        <w:rPr>
          <w:rFonts w:ascii="Times New Roman" w:hAnsi="Times New Roman" w:cs="Times New Roman"/>
          <w:sz w:val="24"/>
          <w:szCs w:val="24"/>
        </w:rPr>
        <w:t>wholesale</w:t>
      </w:r>
      <w:r w:rsidRPr="00607D74">
        <w:rPr>
          <w:rFonts w:ascii="Times New Roman" w:hAnsi="Times New Roman" w:cs="Times New Roman"/>
          <w:sz w:val="24"/>
          <w:szCs w:val="24"/>
        </w:rPr>
        <w:t xml:space="preserve"> shown “as is” because the MW being offered </w:t>
      </w:r>
      <w:r w:rsidR="00DB1C78" w:rsidRPr="00607D74">
        <w:rPr>
          <w:rFonts w:ascii="Times New Roman" w:hAnsi="Times New Roman" w:cs="Times New Roman"/>
          <w:sz w:val="24"/>
          <w:szCs w:val="24"/>
        </w:rPr>
        <w:t>are</w:t>
      </w:r>
      <w:r w:rsidRPr="00607D74">
        <w:rPr>
          <w:rFonts w:ascii="Times New Roman" w:hAnsi="Times New Roman" w:cs="Times New Roman"/>
          <w:sz w:val="24"/>
          <w:szCs w:val="24"/>
        </w:rPr>
        <w:t xml:space="preserve"> the same size as the MW currently being sold. For the E</w:t>
      </w:r>
      <w:r w:rsidR="00EF7401">
        <w:rPr>
          <w:rFonts w:ascii="Times New Roman" w:hAnsi="Times New Roman" w:cs="Times New Roman"/>
          <w:sz w:val="24"/>
          <w:szCs w:val="24"/>
        </w:rPr>
        <w:t>nergy</w:t>
      </w:r>
      <w:r w:rsidRPr="00607D74">
        <w:rPr>
          <w:rFonts w:ascii="Times New Roman" w:hAnsi="Times New Roman" w:cs="Times New Roman"/>
          <w:sz w:val="24"/>
          <w:szCs w:val="24"/>
        </w:rPr>
        <w:t>U</w:t>
      </w:r>
      <w:r w:rsidR="00EF7401">
        <w:rPr>
          <w:rFonts w:ascii="Times New Roman" w:hAnsi="Times New Roman" w:cs="Times New Roman"/>
          <w:sz w:val="24"/>
          <w:szCs w:val="24"/>
        </w:rPr>
        <w:t>nited</w:t>
      </w:r>
      <w:r w:rsidRPr="00607D74">
        <w:rPr>
          <w:rFonts w:ascii="Times New Roman" w:hAnsi="Times New Roman" w:cs="Times New Roman"/>
          <w:sz w:val="24"/>
          <w:szCs w:val="24"/>
        </w:rPr>
        <w:t xml:space="preserve"> </w:t>
      </w:r>
      <w:r w:rsidR="00EF7401">
        <w:rPr>
          <w:rFonts w:ascii="Times New Roman" w:hAnsi="Times New Roman" w:cs="Times New Roman"/>
          <w:sz w:val="24"/>
          <w:szCs w:val="24"/>
        </w:rPr>
        <w:t>Coal B</w:t>
      </w:r>
      <w:r w:rsidRPr="00607D74">
        <w:rPr>
          <w:rFonts w:ascii="Times New Roman" w:hAnsi="Times New Roman" w:cs="Times New Roman"/>
          <w:sz w:val="24"/>
          <w:szCs w:val="24"/>
        </w:rPr>
        <w:t>lock, approximately 61 MW</w:t>
      </w:r>
      <w:r w:rsidR="0008026E" w:rsidRPr="00607D74">
        <w:rPr>
          <w:rFonts w:ascii="Times New Roman" w:hAnsi="Times New Roman" w:cs="Times New Roman"/>
          <w:sz w:val="24"/>
          <w:szCs w:val="24"/>
        </w:rPr>
        <w:t xml:space="preserve"> are currently in the block, while 52 MW are being offered (the approximate 9MW are currently assigned to a wholesale block and are not available). For the other two blocks, which are </w:t>
      </w:r>
      <w:r w:rsidR="00270484" w:rsidRPr="00607D74">
        <w:rPr>
          <w:rFonts w:ascii="Times New Roman" w:hAnsi="Times New Roman" w:cs="Times New Roman"/>
          <w:sz w:val="24"/>
          <w:szCs w:val="24"/>
        </w:rPr>
        <w:t xml:space="preserve">currently </w:t>
      </w:r>
      <w:r w:rsidR="0008026E" w:rsidRPr="00607D74">
        <w:rPr>
          <w:rFonts w:ascii="Times New Roman" w:hAnsi="Times New Roman" w:cs="Times New Roman"/>
          <w:sz w:val="24"/>
          <w:szCs w:val="24"/>
        </w:rPr>
        <w:t>in retail for a period of 15 years, the E</w:t>
      </w:r>
      <w:r w:rsidR="00EF11EB">
        <w:rPr>
          <w:rFonts w:ascii="Times New Roman" w:hAnsi="Times New Roman" w:cs="Times New Roman"/>
          <w:sz w:val="24"/>
          <w:szCs w:val="24"/>
        </w:rPr>
        <w:t>nergy</w:t>
      </w:r>
      <w:r w:rsidR="0008026E" w:rsidRPr="00607D74">
        <w:rPr>
          <w:rFonts w:ascii="Times New Roman" w:hAnsi="Times New Roman" w:cs="Times New Roman"/>
          <w:sz w:val="24"/>
          <w:szCs w:val="24"/>
        </w:rPr>
        <w:t>U</w:t>
      </w:r>
      <w:r w:rsidR="00EF11EB">
        <w:rPr>
          <w:rFonts w:ascii="Times New Roman" w:hAnsi="Times New Roman" w:cs="Times New Roman"/>
          <w:sz w:val="24"/>
          <w:szCs w:val="24"/>
        </w:rPr>
        <w:t>nited</w:t>
      </w:r>
      <w:r w:rsidR="0008026E" w:rsidRPr="00607D74">
        <w:rPr>
          <w:rFonts w:ascii="Times New Roman" w:hAnsi="Times New Roman" w:cs="Times New Roman"/>
          <w:sz w:val="24"/>
          <w:szCs w:val="24"/>
        </w:rPr>
        <w:t xml:space="preserve"> </w:t>
      </w:r>
      <w:r w:rsidR="00EF11EB">
        <w:rPr>
          <w:rFonts w:ascii="Times New Roman" w:hAnsi="Times New Roman" w:cs="Times New Roman"/>
          <w:sz w:val="24"/>
          <w:szCs w:val="24"/>
        </w:rPr>
        <w:t xml:space="preserve">Coal Block </w:t>
      </w:r>
      <w:r w:rsidR="0008026E" w:rsidRPr="00607D74">
        <w:rPr>
          <w:rFonts w:ascii="Times New Roman" w:hAnsi="Times New Roman" w:cs="Times New Roman"/>
          <w:sz w:val="24"/>
          <w:szCs w:val="24"/>
        </w:rPr>
        <w:t xml:space="preserve">is being used as a proxy for what those blocks would look like if </w:t>
      </w:r>
      <w:r w:rsidR="00596037" w:rsidRPr="00607D74">
        <w:rPr>
          <w:rFonts w:ascii="Times New Roman" w:hAnsi="Times New Roman" w:cs="Times New Roman"/>
          <w:sz w:val="24"/>
          <w:szCs w:val="24"/>
        </w:rPr>
        <w:t>they were</w:t>
      </w:r>
      <w:r w:rsidR="0008026E" w:rsidRPr="00607D74">
        <w:rPr>
          <w:rFonts w:ascii="Times New Roman" w:hAnsi="Times New Roman" w:cs="Times New Roman"/>
          <w:sz w:val="24"/>
          <w:szCs w:val="24"/>
        </w:rPr>
        <w:t xml:space="preserve"> in wholesale</w:t>
      </w:r>
      <w:r w:rsidR="00600D83" w:rsidRPr="00607D74">
        <w:rPr>
          <w:rFonts w:ascii="Times New Roman" w:hAnsi="Times New Roman" w:cs="Times New Roman"/>
          <w:sz w:val="24"/>
          <w:szCs w:val="24"/>
        </w:rPr>
        <w:t>, si</w:t>
      </w:r>
      <w:r w:rsidR="00596037" w:rsidRPr="00607D74">
        <w:rPr>
          <w:rFonts w:ascii="Times New Roman" w:hAnsi="Times New Roman" w:cs="Times New Roman"/>
          <w:sz w:val="24"/>
          <w:szCs w:val="24"/>
        </w:rPr>
        <w:t xml:space="preserve">nce all the blocks are </w:t>
      </w:r>
      <w:r w:rsidR="002E710F">
        <w:rPr>
          <w:rFonts w:ascii="Times New Roman" w:hAnsi="Times New Roman" w:cs="Times New Roman"/>
          <w:sz w:val="24"/>
          <w:szCs w:val="24"/>
        </w:rPr>
        <w:t xml:space="preserve">Plant </w:t>
      </w:r>
      <w:r w:rsidR="00596037" w:rsidRPr="00607D74">
        <w:rPr>
          <w:rFonts w:ascii="Times New Roman" w:hAnsi="Times New Roman" w:cs="Times New Roman"/>
          <w:sz w:val="24"/>
          <w:szCs w:val="24"/>
        </w:rPr>
        <w:t xml:space="preserve">Scherer </w:t>
      </w:r>
      <w:r w:rsidR="002E710F">
        <w:rPr>
          <w:rFonts w:ascii="Times New Roman" w:hAnsi="Times New Roman" w:cs="Times New Roman"/>
          <w:sz w:val="24"/>
          <w:szCs w:val="24"/>
        </w:rPr>
        <w:t xml:space="preserve">Unit </w:t>
      </w:r>
      <w:r w:rsidR="00596037" w:rsidRPr="00607D74">
        <w:rPr>
          <w:rFonts w:ascii="Times New Roman" w:hAnsi="Times New Roman" w:cs="Times New Roman"/>
          <w:sz w:val="24"/>
          <w:szCs w:val="24"/>
        </w:rPr>
        <w:t>3 and are essentially the same</w:t>
      </w:r>
      <w:r w:rsidR="0008026E" w:rsidRPr="00607D74">
        <w:rPr>
          <w:rFonts w:ascii="Times New Roman" w:hAnsi="Times New Roman" w:cs="Times New Roman"/>
          <w:sz w:val="24"/>
          <w:szCs w:val="24"/>
        </w:rPr>
        <w:t xml:space="preserve">. Thus, the first column is </w:t>
      </w:r>
      <w:r w:rsidR="00E03BA7">
        <w:rPr>
          <w:rFonts w:ascii="Times New Roman" w:hAnsi="Times New Roman" w:cs="Times New Roman"/>
          <w:sz w:val="24"/>
          <w:szCs w:val="24"/>
        </w:rPr>
        <w:t xml:space="preserve">the </w:t>
      </w:r>
      <w:r w:rsidR="0008026E" w:rsidRPr="00607D74">
        <w:rPr>
          <w:rFonts w:ascii="Times New Roman" w:hAnsi="Times New Roman" w:cs="Times New Roman"/>
          <w:sz w:val="24"/>
          <w:szCs w:val="24"/>
        </w:rPr>
        <w:t>E</w:t>
      </w:r>
      <w:r w:rsidR="002E710F">
        <w:rPr>
          <w:rFonts w:ascii="Times New Roman" w:hAnsi="Times New Roman" w:cs="Times New Roman"/>
          <w:sz w:val="24"/>
          <w:szCs w:val="24"/>
        </w:rPr>
        <w:t>nergy</w:t>
      </w:r>
      <w:r w:rsidR="0008026E" w:rsidRPr="00607D74">
        <w:rPr>
          <w:rFonts w:ascii="Times New Roman" w:hAnsi="Times New Roman" w:cs="Times New Roman"/>
          <w:sz w:val="24"/>
          <w:szCs w:val="24"/>
        </w:rPr>
        <w:t>U</w:t>
      </w:r>
      <w:r w:rsidR="002E710F">
        <w:rPr>
          <w:rFonts w:ascii="Times New Roman" w:hAnsi="Times New Roman" w:cs="Times New Roman"/>
          <w:sz w:val="24"/>
          <w:szCs w:val="24"/>
        </w:rPr>
        <w:t>nited</w:t>
      </w:r>
      <w:r w:rsidR="0008026E" w:rsidRPr="00607D74">
        <w:rPr>
          <w:rFonts w:ascii="Times New Roman" w:hAnsi="Times New Roman" w:cs="Times New Roman"/>
          <w:sz w:val="24"/>
          <w:szCs w:val="24"/>
        </w:rPr>
        <w:t xml:space="preserve"> </w:t>
      </w:r>
      <w:r w:rsidR="00E03BA7">
        <w:rPr>
          <w:rFonts w:ascii="Times New Roman" w:hAnsi="Times New Roman" w:cs="Times New Roman"/>
          <w:sz w:val="24"/>
          <w:szCs w:val="24"/>
        </w:rPr>
        <w:t xml:space="preserve">Coal Block capacity </w:t>
      </w:r>
      <w:r w:rsidR="00596037" w:rsidRPr="00607D74">
        <w:rPr>
          <w:rFonts w:ascii="Times New Roman" w:hAnsi="Times New Roman" w:cs="Times New Roman"/>
          <w:sz w:val="24"/>
          <w:szCs w:val="24"/>
        </w:rPr>
        <w:t>as currently existing in wholesale</w:t>
      </w:r>
      <w:r w:rsidR="002E710F">
        <w:rPr>
          <w:rFonts w:ascii="Times New Roman" w:hAnsi="Times New Roman" w:cs="Times New Roman"/>
          <w:sz w:val="24"/>
          <w:szCs w:val="24"/>
        </w:rPr>
        <w:t>,</w:t>
      </w:r>
      <w:r w:rsidR="00596037" w:rsidRPr="00607D74">
        <w:rPr>
          <w:rFonts w:ascii="Times New Roman" w:hAnsi="Times New Roman" w:cs="Times New Roman"/>
          <w:sz w:val="24"/>
          <w:szCs w:val="24"/>
        </w:rPr>
        <w:t xml:space="preserve"> </w:t>
      </w:r>
      <w:r w:rsidR="0008026E" w:rsidRPr="00607D74">
        <w:rPr>
          <w:rFonts w:ascii="Times New Roman" w:hAnsi="Times New Roman" w:cs="Times New Roman"/>
          <w:sz w:val="24"/>
          <w:szCs w:val="24"/>
        </w:rPr>
        <w:t xml:space="preserve">and the second column scales down to the </w:t>
      </w:r>
      <w:r w:rsidR="00E03BA7">
        <w:rPr>
          <w:rFonts w:ascii="Times New Roman" w:hAnsi="Times New Roman" w:cs="Times New Roman"/>
          <w:sz w:val="24"/>
          <w:szCs w:val="24"/>
        </w:rPr>
        <w:t>capacity</w:t>
      </w:r>
      <w:r w:rsidR="00E03BA7" w:rsidRPr="00607D74">
        <w:rPr>
          <w:rFonts w:ascii="Times New Roman" w:hAnsi="Times New Roman" w:cs="Times New Roman"/>
          <w:sz w:val="24"/>
          <w:szCs w:val="24"/>
        </w:rPr>
        <w:t xml:space="preserve"> </w:t>
      </w:r>
      <w:r w:rsidR="0008026E" w:rsidRPr="00607D74">
        <w:rPr>
          <w:rFonts w:ascii="Times New Roman" w:hAnsi="Times New Roman" w:cs="Times New Roman"/>
          <w:sz w:val="24"/>
          <w:szCs w:val="24"/>
        </w:rPr>
        <w:t xml:space="preserve">of the </w:t>
      </w:r>
      <w:r w:rsidR="00E03BA7">
        <w:rPr>
          <w:rFonts w:ascii="Times New Roman" w:hAnsi="Times New Roman" w:cs="Times New Roman"/>
          <w:sz w:val="24"/>
          <w:szCs w:val="24"/>
        </w:rPr>
        <w:t xml:space="preserve">respective </w:t>
      </w:r>
      <w:r w:rsidR="0008026E" w:rsidRPr="00607D74">
        <w:rPr>
          <w:rFonts w:ascii="Times New Roman" w:hAnsi="Times New Roman" w:cs="Times New Roman"/>
          <w:sz w:val="24"/>
          <w:szCs w:val="24"/>
        </w:rPr>
        <w:t>blocks being offered.</w:t>
      </w:r>
    </w:p>
    <w:p w14:paraId="098DBFFF" w14:textId="6E7DD9D4" w:rsidR="00E03BA7" w:rsidRDefault="008D6A41" w:rsidP="00521E8C">
      <w:pPr>
        <w:numPr>
          <w:ilvl w:val="4"/>
          <w:numId w:val="11"/>
        </w:numPr>
        <w:spacing w:after="120" w:line="256" w:lineRule="auto"/>
        <w:ind w:left="630"/>
        <w:jc w:val="both"/>
        <w:rPr>
          <w:rFonts w:ascii="Times New Roman" w:hAnsi="Times New Roman" w:cs="Times New Roman"/>
          <w:sz w:val="24"/>
          <w:szCs w:val="24"/>
        </w:rPr>
      </w:pPr>
      <w:r>
        <w:rPr>
          <w:rFonts w:ascii="Times New Roman" w:hAnsi="Times New Roman" w:cs="Times New Roman"/>
          <w:sz w:val="24"/>
          <w:szCs w:val="24"/>
        </w:rPr>
        <w:t xml:space="preserve">The Retail – Florida Power &amp; Light (“FPL”) and Retail – Duke Energy Florida (“DEF”) </w:t>
      </w:r>
      <w:r w:rsidR="007E4136">
        <w:rPr>
          <w:rFonts w:ascii="Times New Roman" w:hAnsi="Times New Roman" w:cs="Times New Roman"/>
          <w:sz w:val="24"/>
          <w:szCs w:val="24"/>
        </w:rPr>
        <w:t xml:space="preserve">blocks serve retail customers </w:t>
      </w:r>
      <w:r w:rsidR="008A3CD2">
        <w:rPr>
          <w:rFonts w:ascii="Times New Roman" w:hAnsi="Times New Roman" w:cs="Times New Roman"/>
          <w:sz w:val="24"/>
          <w:szCs w:val="24"/>
        </w:rPr>
        <w:t xml:space="preserve">through </w:t>
      </w:r>
      <w:r w:rsidR="00DB1702">
        <w:rPr>
          <w:rFonts w:ascii="Times New Roman" w:hAnsi="Times New Roman" w:cs="Times New Roman"/>
          <w:sz w:val="24"/>
          <w:szCs w:val="24"/>
        </w:rPr>
        <w:t xml:space="preserve">December 31, 2030, and May 31, 2031, respectively. These </w:t>
      </w:r>
      <w:r w:rsidR="008F0D44">
        <w:rPr>
          <w:rFonts w:ascii="Times New Roman" w:hAnsi="Times New Roman" w:cs="Times New Roman"/>
          <w:sz w:val="24"/>
          <w:szCs w:val="24"/>
        </w:rPr>
        <w:t xml:space="preserve">blocks were accepted into the retail jurisdiction for a term of </w:t>
      </w:r>
      <w:r w:rsidR="00554107">
        <w:rPr>
          <w:rFonts w:ascii="Times New Roman" w:hAnsi="Times New Roman" w:cs="Times New Roman"/>
          <w:sz w:val="24"/>
          <w:szCs w:val="24"/>
        </w:rPr>
        <w:t>15</w:t>
      </w:r>
      <w:r w:rsidR="008F0D44">
        <w:rPr>
          <w:rFonts w:ascii="Times New Roman" w:hAnsi="Times New Roman" w:cs="Times New Roman"/>
          <w:sz w:val="24"/>
          <w:szCs w:val="24"/>
        </w:rPr>
        <w:t xml:space="preserve"> years by Commission Order on September 15, 2009</w:t>
      </w:r>
      <w:r w:rsidR="00E41237">
        <w:rPr>
          <w:rFonts w:ascii="Times New Roman" w:hAnsi="Times New Roman" w:cs="Times New Roman"/>
          <w:sz w:val="24"/>
          <w:szCs w:val="24"/>
        </w:rPr>
        <w:t>. Please see page 66 of the 2025 IRP Main Document for additional information.</w:t>
      </w:r>
    </w:p>
    <w:p w14:paraId="1EAB1FA7" w14:textId="0A07634C" w:rsidR="007D107F" w:rsidRPr="00607D74" w:rsidRDefault="00FC4AA3" w:rsidP="00521E8C">
      <w:pPr>
        <w:numPr>
          <w:ilvl w:val="4"/>
          <w:numId w:val="11"/>
        </w:numPr>
        <w:spacing w:after="120" w:line="256" w:lineRule="auto"/>
        <w:ind w:left="630"/>
        <w:jc w:val="both"/>
        <w:rPr>
          <w:rFonts w:ascii="Times New Roman" w:hAnsi="Times New Roman" w:cs="Times New Roman"/>
          <w:sz w:val="24"/>
          <w:szCs w:val="24"/>
        </w:rPr>
      </w:pPr>
      <w:r>
        <w:rPr>
          <w:rFonts w:ascii="Times New Roman" w:hAnsi="Times New Roman" w:cs="Times New Roman"/>
          <w:sz w:val="24"/>
          <w:szCs w:val="24"/>
        </w:rPr>
        <w:t xml:space="preserve">The EnergyUnited Coal Block is not part of the Retail-FPL or Retail-DEF </w:t>
      </w:r>
      <w:r w:rsidR="00B02C57">
        <w:rPr>
          <w:rFonts w:ascii="Times New Roman" w:hAnsi="Times New Roman" w:cs="Times New Roman"/>
          <w:sz w:val="24"/>
          <w:szCs w:val="24"/>
        </w:rPr>
        <w:t>b</w:t>
      </w:r>
      <w:r>
        <w:rPr>
          <w:rFonts w:ascii="Times New Roman" w:hAnsi="Times New Roman" w:cs="Times New Roman"/>
          <w:sz w:val="24"/>
          <w:szCs w:val="24"/>
        </w:rPr>
        <w:t>lock</w:t>
      </w:r>
      <w:r w:rsidR="00B02C57">
        <w:rPr>
          <w:rFonts w:ascii="Times New Roman" w:hAnsi="Times New Roman" w:cs="Times New Roman"/>
          <w:sz w:val="24"/>
          <w:szCs w:val="24"/>
        </w:rPr>
        <w:t>s</w:t>
      </w:r>
      <w:r w:rsidR="00627E4F">
        <w:rPr>
          <w:rFonts w:ascii="Times New Roman" w:hAnsi="Times New Roman" w:cs="Times New Roman"/>
          <w:sz w:val="24"/>
          <w:szCs w:val="24"/>
        </w:rPr>
        <w:t>.</w:t>
      </w:r>
      <w:r w:rsidR="00F87031">
        <w:rPr>
          <w:rFonts w:ascii="Times New Roman" w:hAnsi="Times New Roman" w:cs="Times New Roman"/>
          <w:sz w:val="24"/>
          <w:szCs w:val="24"/>
        </w:rPr>
        <w:t xml:space="preserve"> See the Company’s response to subpart (c)</w:t>
      </w:r>
      <w:r w:rsidR="001538FB">
        <w:rPr>
          <w:rFonts w:ascii="Times New Roman" w:hAnsi="Times New Roman" w:cs="Times New Roman"/>
          <w:sz w:val="24"/>
          <w:szCs w:val="24"/>
        </w:rPr>
        <w:t xml:space="preserve"> describing the scaling of capacity from the EnergyUnited Coal Block to the Retail-FPL and Retail-DEF </w:t>
      </w:r>
      <w:r w:rsidR="00B02C57">
        <w:rPr>
          <w:rFonts w:ascii="Times New Roman" w:hAnsi="Times New Roman" w:cs="Times New Roman"/>
          <w:sz w:val="24"/>
          <w:szCs w:val="24"/>
        </w:rPr>
        <w:t>b</w:t>
      </w:r>
      <w:r w:rsidR="001538FB">
        <w:rPr>
          <w:rFonts w:ascii="Times New Roman" w:hAnsi="Times New Roman" w:cs="Times New Roman"/>
          <w:sz w:val="24"/>
          <w:szCs w:val="24"/>
        </w:rPr>
        <w:t>lock</w:t>
      </w:r>
      <w:r w:rsidR="00B02C57">
        <w:rPr>
          <w:rFonts w:ascii="Times New Roman" w:hAnsi="Times New Roman" w:cs="Times New Roman"/>
          <w:sz w:val="24"/>
          <w:szCs w:val="24"/>
        </w:rPr>
        <w:t>s</w:t>
      </w:r>
      <w:r w:rsidR="00F87031">
        <w:rPr>
          <w:rFonts w:ascii="Times New Roman" w:hAnsi="Times New Roman" w:cs="Times New Roman"/>
          <w:sz w:val="24"/>
          <w:szCs w:val="24"/>
        </w:rPr>
        <w:t>.</w:t>
      </w:r>
    </w:p>
    <w:p w14:paraId="6D3BDAC4" w14:textId="5D4057E4" w:rsidR="00D812EA" w:rsidRPr="00607D74" w:rsidRDefault="00D812EA" w:rsidP="00D812EA">
      <w:pPr>
        <w:spacing w:after="120" w:line="256" w:lineRule="auto"/>
        <w:ind w:left="2160"/>
        <w:jc w:val="both"/>
        <w:rPr>
          <w:rFonts w:ascii="Times New Roman" w:hAnsi="Times New Roman" w:cs="Times New Roman"/>
          <w:sz w:val="24"/>
          <w:szCs w:val="24"/>
        </w:rPr>
      </w:pPr>
    </w:p>
    <w:sectPr w:rsidR="00D812EA" w:rsidRPr="00607D74" w:rsidSect="00034616">
      <w:headerReference w:type="default" r:id="rId7"/>
      <w:footerReference w:type="default" r:id="rId8"/>
      <w:pgSz w:w="12240" w:h="15840"/>
      <w:pgMar w:top="1440" w:right="1440" w:bottom="1440" w:left="1440" w:header="100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0CDB5" w14:textId="77777777" w:rsidR="00F628F9" w:rsidRDefault="00F628F9">
      <w:pPr>
        <w:spacing w:after="0" w:line="240" w:lineRule="auto"/>
      </w:pPr>
      <w:r>
        <w:separator/>
      </w:r>
    </w:p>
  </w:endnote>
  <w:endnote w:type="continuationSeparator" w:id="0">
    <w:p w14:paraId="7987BD83" w14:textId="77777777" w:rsidR="00F628F9" w:rsidRDefault="00F628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324C7" w14:textId="77777777" w:rsidR="00676A5D" w:rsidRDefault="00676A5D">
    <w:pPr>
      <w:pStyle w:val="Footer"/>
    </w:pPr>
  </w:p>
  <w:tbl>
    <w:tblPr>
      <w:tblW w:w="0" w:type="auto"/>
      <w:jc w:val="center"/>
      <w:tblLook w:val="04A0" w:firstRow="1" w:lastRow="0" w:firstColumn="1" w:lastColumn="0" w:noHBand="0" w:noVBand="1"/>
    </w:tblPr>
    <w:tblGrid>
      <w:gridCol w:w="4707"/>
      <w:gridCol w:w="4653"/>
    </w:tblGrid>
    <w:tr w:rsidR="00676A5D" w14:paraId="32E0CC11" w14:textId="77777777" w:rsidTr="641B83A3">
      <w:trPr>
        <w:jc w:val="center"/>
      </w:trPr>
      <w:tc>
        <w:tcPr>
          <w:tcW w:w="5400" w:type="dxa"/>
        </w:tcPr>
        <w:p w14:paraId="5376B8F0" w14:textId="22703B2D" w:rsidR="00676A5D" w:rsidRDefault="641B83A3">
          <w:r w:rsidRPr="641B83A3">
            <w:rPr>
              <w:rFonts w:ascii="Times New Roman" w:hAnsi="Times New Roman"/>
              <w:sz w:val="24"/>
              <w:szCs w:val="24"/>
            </w:rPr>
            <w:t>Contact:  Jeff Grubb</w:t>
          </w:r>
        </w:p>
      </w:tc>
      <w:tc>
        <w:tcPr>
          <w:tcW w:w="5400" w:type="dxa"/>
        </w:tcPr>
        <w:p w14:paraId="0CA1B671" w14:textId="06803FAA" w:rsidR="00676A5D" w:rsidRDefault="008E3137">
          <w:pPr>
            <w:jc w:val="right"/>
          </w:pPr>
          <w:r>
            <w:rPr>
              <w:rFonts w:ascii="Times New Roman" w:hAnsi="Times New Roman"/>
              <w:sz w:val="24"/>
            </w:rPr>
            <w:t xml:space="preserve">Page </w:t>
          </w: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Pr>
              <w:rFonts w:ascii="Times New Roman" w:hAnsi="Times New Roman"/>
              <w:noProof/>
              <w:sz w:val="24"/>
            </w:rPr>
            <w:t>1</w:t>
          </w:r>
          <w:r>
            <w:rPr>
              <w:rFonts w:ascii="Times New Roman" w:hAnsi="Times New Roman"/>
              <w:sz w:val="24"/>
            </w:rPr>
            <w:fldChar w:fldCharType="end"/>
          </w:r>
          <w:r>
            <w:rPr>
              <w:rFonts w:ascii="Times New Roman" w:hAnsi="Times New Roman"/>
              <w:sz w:val="24"/>
            </w:rPr>
            <w:t xml:space="preserve"> of </w:t>
          </w:r>
          <w:r>
            <w:rPr>
              <w:rFonts w:ascii="Times New Roman" w:hAnsi="Times New Roman"/>
              <w:sz w:val="24"/>
            </w:rPr>
            <w:fldChar w:fldCharType="begin"/>
          </w:r>
          <w:r>
            <w:rPr>
              <w:rFonts w:ascii="Times New Roman" w:hAnsi="Times New Roman"/>
              <w:sz w:val="24"/>
            </w:rPr>
            <w:instrText>NUMPAGES</w:instrText>
          </w:r>
          <w:r>
            <w:rPr>
              <w:rFonts w:ascii="Times New Roman" w:hAnsi="Times New Roman"/>
              <w:sz w:val="24"/>
            </w:rPr>
            <w:fldChar w:fldCharType="separate"/>
          </w:r>
          <w:r>
            <w:rPr>
              <w:rFonts w:ascii="Times New Roman" w:hAnsi="Times New Roman"/>
              <w:noProof/>
              <w:sz w:val="24"/>
            </w:rPr>
            <w:t>1</w:t>
          </w:r>
          <w:r>
            <w:rPr>
              <w:rFonts w:ascii="Times New Roman" w:hAnsi="Times New Roman"/>
              <w:sz w:val="24"/>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85534" w14:textId="77777777" w:rsidR="00F628F9" w:rsidRDefault="00F628F9">
      <w:pPr>
        <w:spacing w:after="0" w:line="240" w:lineRule="auto"/>
      </w:pPr>
      <w:r>
        <w:separator/>
      </w:r>
    </w:p>
  </w:footnote>
  <w:footnote w:type="continuationSeparator" w:id="0">
    <w:p w14:paraId="718068CE" w14:textId="77777777" w:rsidR="00F628F9" w:rsidRDefault="00F628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F888C" w14:textId="77777777" w:rsidR="00617752" w:rsidRPr="003C46BC" w:rsidRDefault="00617752" w:rsidP="00617752">
    <w:pPr>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Georgia Power Company</w:t>
    </w:r>
  </w:p>
  <w:p w14:paraId="54362E80" w14:textId="77777777" w:rsidR="00617752" w:rsidRPr="003C46BC" w:rsidRDefault="00617752" w:rsidP="00617752">
    <w:pPr>
      <w:spacing w:after="0" w:line="240" w:lineRule="auto"/>
      <w:jc w:val="center"/>
      <w:rPr>
        <w:rFonts w:ascii="Times New Roman" w:eastAsia="Times New Roman" w:hAnsi="Times New Roman" w:cs="Times New Roman"/>
        <w:b/>
        <w:bCs/>
        <w:color w:val="000000"/>
        <w:sz w:val="24"/>
        <w:szCs w:val="24"/>
      </w:rPr>
    </w:pPr>
    <w:r w:rsidRPr="003C46BC">
      <w:rPr>
        <w:rFonts w:ascii="Times New Roman" w:eastAsia="Times New Roman" w:hAnsi="Times New Roman" w:cs="Times New Roman"/>
        <w:b/>
        <w:bCs/>
        <w:sz w:val="24"/>
        <w:szCs w:val="24"/>
      </w:rPr>
      <w:t>Docket No</w:t>
    </w:r>
    <w:r>
      <w:rPr>
        <w:rFonts w:ascii="Times New Roman" w:eastAsia="Times New Roman" w:hAnsi="Times New Roman" w:cs="Times New Roman"/>
        <w:b/>
        <w:bCs/>
        <w:sz w:val="24"/>
        <w:szCs w:val="24"/>
      </w:rPr>
      <w:t>s</w:t>
    </w:r>
    <w:r w:rsidRPr="003C46BC">
      <w:rPr>
        <w:rFonts w:ascii="Times New Roman" w:eastAsia="Times New Roman" w:hAnsi="Times New Roman" w:cs="Times New Roman"/>
        <w:b/>
        <w:bCs/>
        <w:sz w:val="24"/>
        <w:szCs w:val="24"/>
      </w:rPr>
      <w:t xml:space="preserve">. </w:t>
    </w:r>
    <w:r w:rsidRPr="003C46BC">
      <w:rPr>
        <w:rFonts w:ascii="Times New Roman" w:eastAsia="Times New Roman" w:hAnsi="Times New Roman" w:cs="Times New Roman"/>
        <w:b/>
        <w:bCs/>
        <w:color w:val="000000"/>
        <w:sz w:val="24"/>
        <w:szCs w:val="24"/>
      </w:rPr>
      <w:t>56002 &amp; 56003</w:t>
    </w:r>
  </w:p>
  <w:p w14:paraId="3DA2B935" w14:textId="77777777" w:rsidR="00617752" w:rsidRPr="003C46BC" w:rsidRDefault="00617752" w:rsidP="00617752">
    <w:pPr>
      <w:pStyle w:val="Header"/>
      <w:jc w:val="center"/>
      <w:rPr>
        <w:rFonts w:ascii="Times New Roman" w:hAnsi="Times New Roman" w:cs="Times New Roman"/>
        <w:b/>
        <w:color w:val="000000"/>
        <w:sz w:val="24"/>
        <w:szCs w:val="24"/>
      </w:rPr>
    </w:pPr>
    <w:r w:rsidRPr="003C46BC">
      <w:rPr>
        <w:rFonts w:ascii="Times New Roman" w:hAnsi="Times New Roman" w:cs="Times New Roman"/>
        <w:b/>
        <w:color w:val="000000"/>
        <w:sz w:val="24"/>
        <w:szCs w:val="24"/>
      </w:rPr>
      <w:t xml:space="preserve">2025 </w:t>
    </w:r>
    <w:r>
      <w:rPr>
        <w:rFonts w:ascii="Times New Roman" w:hAnsi="Times New Roman" w:cs="Times New Roman"/>
        <w:b/>
        <w:color w:val="000000"/>
        <w:sz w:val="24"/>
        <w:szCs w:val="24"/>
      </w:rPr>
      <w:t>Integrated Resource Plan and 2025 Demand-Side Management Application</w:t>
    </w:r>
  </w:p>
  <w:p w14:paraId="26A7FA2D" w14:textId="77777777" w:rsidR="00617752" w:rsidRPr="003C46BC" w:rsidRDefault="00617752" w:rsidP="00617752">
    <w:pPr>
      <w:tabs>
        <w:tab w:val="center" w:pos="4320"/>
        <w:tab w:val="right" w:pos="8640"/>
      </w:tabs>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STF-</w:t>
    </w:r>
    <w:r>
      <w:rPr>
        <w:rFonts w:ascii="Times New Roman" w:eastAsia="Times New Roman" w:hAnsi="Times New Roman" w:cs="Times New Roman"/>
        <w:b/>
        <w:bCs/>
        <w:sz w:val="24"/>
        <w:szCs w:val="24"/>
      </w:rPr>
      <w:t>JKA</w:t>
    </w:r>
    <w:r w:rsidRPr="003C46BC">
      <w:rPr>
        <w:rFonts w:ascii="Times New Roman" w:eastAsia="Times New Roman" w:hAnsi="Times New Roman" w:cs="Times New Roman"/>
        <w:b/>
        <w:bCs/>
        <w:sz w:val="24"/>
        <w:szCs w:val="24"/>
      </w:rPr>
      <w:t xml:space="preserve"> Data Request Set No. </w:t>
    </w:r>
    <w:r>
      <w:rPr>
        <w:rFonts w:ascii="Times New Roman" w:eastAsia="Times New Roman" w:hAnsi="Times New Roman" w:cs="Times New Roman"/>
        <w:b/>
        <w:bCs/>
        <w:sz w:val="24"/>
        <w:szCs w:val="24"/>
      </w:rPr>
      <w:t>2</w:t>
    </w:r>
  </w:p>
  <w:p w14:paraId="1535549C" w14:textId="77777777" w:rsidR="00617752" w:rsidRDefault="00617752" w:rsidP="00617752">
    <w:pPr>
      <w:pStyle w:val="Header"/>
      <w:jc w:val="center"/>
      <w:rPr>
        <w:rFonts w:ascii="Times New Roman" w:hAnsi="Times New Roman" w:cs="Times New Roman"/>
        <w:sz w:val="24"/>
        <w:szCs w:val="24"/>
      </w:rPr>
    </w:pPr>
    <w:r w:rsidRPr="00421945">
      <w:rPr>
        <w:rFonts w:ascii="Times New Roman" w:hAnsi="Times New Roman" w:cs="Times New Roman"/>
        <w:sz w:val="24"/>
        <w:szCs w:val="24"/>
      </w:rPr>
      <w:t>_____________________________________________________________________________</w:t>
    </w:r>
    <w:r>
      <w:rPr>
        <w:rFonts w:ascii="Times New Roman" w:hAnsi="Times New Roman" w:cs="Times New Roman"/>
        <w:sz w:val="24"/>
        <w:szCs w:val="24"/>
      </w:rPr>
      <w:t>_</w:t>
    </w:r>
  </w:p>
  <w:p w14:paraId="7C4EEB1A" w14:textId="77777777" w:rsidR="00676A5D" w:rsidRDefault="00676A5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3E324AE7"/>
    <w:multiLevelType w:val="multilevel"/>
    <w:tmpl w:val="36C80030"/>
    <w:lvl w:ilvl="0">
      <w:start w:val="1"/>
      <w:numFmt w:val="decimal"/>
      <w:lvlText w:val="%1"/>
      <w:lvlJc w:val="left"/>
      <w:pPr>
        <w:tabs>
          <w:tab w:val="num" w:pos="720"/>
        </w:tabs>
        <w:ind w:left="720" w:hanging="720"/>
      </w:pPr>
    </w:lvl>
    <w:lvl w:ilvl="1">
      <w:start w:val="1"/>
      <w:numFmt w:val="decimal"/>
      <w:lvlText w:val="STF-JKA-2-%2"/>
      <w:lvlJc w:val="left"/>
      <w:pPr>
        <w:ind w:left="360" w:hanging="360"/>
      </w:pPr>
      <w:rPr>
        <w:rFonts w:hint="default"/>
        <w:b/>
        <w:bCs/>
      </w:rPr>
    </w:lvl>
    <w:lvl w:ilvl="2">
      <w:start w:val="1"/>
      <w:numFmt w:val="lowerLetter"/>
      <w:lvlText w:val="%3)"/>
      <w:lvlJc w:val="left"/>
      <w:pPr>
        <w:ind w:left="1080" w:hanging="360"/>
      </w:pPr>
    </w:lvl>
    <w:lvl w:ilvl="3">
      <w:start w:val="1"/>
      <w:numFmt w:val="lowerRoman"/>
      <w:lvlText w:val="%4."/>
      <w:lvlJc w:val="left"/>
      <w:pPr>
        <w:ind w:left="1440" w:hanging="360"/>
      </w:pPr>
      <w:rPr>
        <w:color w:val="auto"/>
      </w:rPr>
    </w:lvl>
    <w:lvl w:ilvl="4">
      <w:start w:val="1"/>
      <w:numFmt w:val="lowerLetter"/>
      <w:lvlText w:val="%5."/>
      <w:lvlJc w:val="left"/>
      <w:pPr>
        <w:ind w:left="1800" w:hanging="36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666B6108"/>
    <w:multiLevelType w:val="multilevel"/>
    <w:tmpl w:val="36C80030"/>
    <w:lvl w:ilvl="0">
      <w:start w:val="1"/>
      <w:numFmt w:val="decimal"/>
      <w:lvlText w:val="%1"/>
      <w:lvlJc w:val="left"/>
      <w:pPr>
        <w:tabs>
          <w:tab w:val="num" w:pos="720"/>
        </w:tabs>
        <w:ind w:left="720" w:hanging="720"/>
      </w:pPr>
    </w:lvl>
    <w:lvl w:ilvl="1">
      <w:start w:val="1"/>
      <w:numFmt w:val="decimal"/>
      <w:lvlText w:val="STF-JKA-2-%2"/>
      <w:lvlJc w:val="left"/>
      <w:pPr>
        <w:ind w:left="360" w:hanging="360"/>
      </w:pPr>
      <w:rPr>
        <w:rFonts w:hint="default"/>
        <w:b/>
        <w:bCs/>
      </w:rPr>
    </w:lvl>
    <w:lvl w:ilvl="2">
      <w:start w:val="1"/>
      <w:numFmt w:val="lowerLetter"/>
      <w:lvlText w:val="%3)"/>
      <w:lvlJc w:val="left"/>
      <w:pPr>
        <w:ind w:left="1080" w:hanging="360"/>
      </w:pPr>
    </w:lvl>
    <w:lvl w:ilvl="3">
      <w:start w:val="1"/>
      <w:numFmt w:val="lowerRoman"/>
      <w:lvlText w:val="%4."/>
      <w:lvlJc w:val="left"/>
      <w:pPr>
        <w:ind w:left="1440" w:hanging="360"/>
      </w:pPr>
      <w:rPr>
        <w:color w:val="auto"/>
      </w:rPr>
    </w:lvl>
    <w:lvl w:ilvl="4">
      <w:start w:val="1"/>
      <w:numFmt w:val="lowerLetter"/>
      <w:lvlText w:val="%5."/>
      <w:lvlJc w:val="left"/>
      <w:pPr>
        <w:ind w:left="1800" w:hanging="36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16cid:durableId="904340118">
    <w:abstractNumId w:val="8"/>
  </w:num>
  <w:num w:numId="2" w16cid:durableId="1542790526">
    <w:abstractNumId w:val="6"/>
  </w:num>
  <w:num w:numId="3" w16cid:durableId="1959528856">
    <w:abstractNumId w:val="5"/>
  </w:num>
  <w:num w:numId="4" w16cid:durableId="592008828">
    <w:abstractNumId w:val="4"/>
  </w:num>
  <w:num w:numId="5" w16cid:durableId="601954021">
    <w:abstractNumId w:val="7"/>
  </w:num>
  <w:num w:numId="6" w16cid:durableId="1800995866">
    <w:abstractNumId w:val="3"/>
  </w:num>
  <w:num w:numId="7" w16cid:durableId="1576088640">
    <w:abstractNumId w:val="2"/>
  </w:num>
  <w:num w:numId="8" w16cid:durableId="769355561">
    <w:abstractNumId w:val="1"/>
  </w:num>
  <w:num w:numId="9" w16cid:durableId="1037318836">
    <w:abstractNumId w:val="0"/>
  </w:num>
  <w:num w:numId="10" w16cid:durableId="961887179">
    <w:abstractNumId w:val="10"/>
  </w:num>
  <w:num w:numId="11" w16cid:durableId="8565792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0936"/>
    <w:rsid w:val="00034616"/>
    <w:rsid w:val="000463D8"/>
    <w:rsid w:val="00051935"/>
    <w:rsid w:val="00055C5E"/>
    <w:rsid w:val="0006063C"/>
    <w:rsid w:val="000666FA"/>
    <w:rsid w:val="0008026E"/>
    <w:rsid w:val="000A35AD"/>
    <w:rsid w:val="000F47FD"/>
    <w:rsid w:val="001276BA"/>
    <w:rsid w:val="0015074B"/>
    <w:rsid w:val="001538FB"/>
    <w:rsid w:val="00270484"/>
    <w:rsid w:val="0029639D"/>
    <w:rsid w:val="002B3E69"/>
    <w:rsid w:val="002E710F"/>
    <w:rsid w:val="002F0F75"/>
    <w:rsid w:val="0031714F"/>
    <w:rsid w:val="00326F90"/>
    <w:rsid w:val="00396F2C"/>
    <w:rsid w:val="003C011B"/>
    <w:rsid w:val="004318A4"/>
    <w:rsid w:val="00463DF6"/>
    <w:rsid w:val="00495399"/>
    <w:rsid w:val="004A553B"/>
    <w:rsid w:val="004E093D"/>
    <w:rsid w:val="00521E8C"/>
    <w:rsid w:val="005440DD"/>
    <w:rsid w:val="00554107"/>
    <w:rsid w:val="00596037"/>
    <w:rsid w:val="005C580F"/>
    <w:rsid w:val="005E3CB7"/>
    <w:rsid w:val="00600D83"/>
    <w:rsid w:val="00607D74"/>
    <w:rsid w:val="00610B55"/>
    <w:rsid w:val="00617752"/>
    <w:rsid w:val="00621A15"/>
    <w:rsid w:val="00627E4F"/>
    <w:rsid w:val="00634C49"/>
    <w:rsid w:val="00676132"/>
    <w:rsid w:val="00676A5D"/>
    <w:rsid w:val="006C7182"/>
    <w:rsid w:val="006F1A0A"/>
    <w:rsid w:val="00735113"/>
    <w:rsid w:val="00767516"/>
    <w:rsid w:val="0077647B"/>
    <w:rsid w:val="007D107F"/>
    <w:rsid w:val="007E209D"/>
    <w:rsid w:val="007E4136"/>
    <w:rsid w:val="0084459C"/>
    <w:rsid w:val="00875CBA"/>
    <w:rsid w:val="008A3026"/>
    <w:rsid w:val="008A3CD2"/>
    <w:rsid w:val="008A5E96"/>
    <w:rsid w:val="008D6A41"/>
    <w:rsid w:val="008E3137"/>
    <w:rsid w:val="008F0D44"/>
    <w:rsid w:val="00903320"/>
    <w:rsid w:val="00A060DC"/>
    <w:rsid w:val="00A139F5"/>
    <w:rsid w:val="00AA1D8D"/>
    <w:rsid w:val="00B02C57"/>
    <w:rsid w:val="00B20878"/>
    <w:rsid w:val="00B47730"/>
    <w:rsid w:val="00B71CC4"/>
    <w:rsid w:val="00B76AE8"/>
    <w:rsid w:val="00BC553C"/>
    <w:rsid w:val="00BE713F"/>
    <w:rsid w:val="00C01D16"/>
    <w:rsid w:val="00CA29FA"/>
    <w:rsid w:val="00CB0664"/>
    <w:rsid w:val="00D01341"/>
    <w:rsid w:val="00D66566"/>
    <w:rsid w:val="00D812EA"/>
    <w:rsid w:val="00DB1702"/>
    <w:rsid w:val="00DB1C78"/>
    <w:rsid w:val="00DC41B7"/>
    <w:rsid w:val="00DE0649"/>
    <w:rsid w:val="00E03BA7"/>
    <w:rsid w:val="00E06BE8"/>
    <w:rsid w:val="00E21E66"/>
    <w:rsid w:val="00E2426D"/>
    <w:rsid w:val="00E41237"/>
    <w:rsid w:val="00E416DF"/>
    <w:rsid w:val="00EF11EB"/>
    <w:rsid w:val="00EF7401"/>
    <w:rsid w:val="00F07046"/>
    <w:rsid w:val="00F541B6"/>
    <w:rsid w:val="00F628F9"/>
    <w:rsid w:val="00F87031"/>
    <w:rsid w:val="00FB5CB4"/>
    <w:rsid w:val="00FC4AA3"/>
    <w:rsid w:val="00FC693F"/>
    <w:rsid w:val="00FF4134"/>
    <w:rsid w:val="641B83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Revision">
    <w:name w:val="Revision"/>
    <w:hidden/>
    <w:uiPriority w:val="99"/>
    <w:semiHidden/>
    <w:rsid w:val="004318A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D234DC3-1E5D-4159-9653-35E0DE4C3279}"/>
</file>

<file path=customXml/itemProps2.xml><?xml version="1.0" encoding="utf-8"?>
<ds:datastoreItem xmlns:ds="http://schemas.openxmlformats.org/officeDocument/2006/customXml" ds:itemID="{1E72FFBB-28DD-42BC-B772-B0E2B013772A}"/>
</file>

<file path=customXml/itemProps3.xml><?xml version="1.0" encoding="utf-8"?>
<ds:datastoreItem xmlns:ds="http://schemas.openxmlformats.org/officeDocument/2006/customXml" ds:itemID="{121D17C0-66D8-4D32-938B-7F4EBFA7058A}"/>
</file>

<file path=docProps/app.xml><?xml version="1.0" encoding="utf-8"?>
<Properties xmlns="http://schemas.openxmlformats.org/officeDocument/2006/extended-properties" xmlns:vt="http://schemas.openxmlformats.org/officeDocument/2006/docPropsVTypes">
  <Template>Normal</Template>
  <TotalTime>0</TotalTime>
  <Pages>2</Pages>
  <Words>547</Words>
  <Characters>3121</Characters>
  <Application>Microsoft Office Word</Application>
  <DocSecurity>0</DocSecurity>
  <Lines>26</Lines>
  <Paragraphs>7</Paragraphs>
  <ScaleCrop>false</ScaleCrop>
  <Manager/>
  <Company/>
  <LinksUpToDate>false</LinksUpToDate>
  <CharactersWithSpaces>3661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2025-03-21T15:28:00Z</dcterms:created>
  <dcterms:modified xsi:type="dcterms:W3CDTF">2025-03-21T15:28:00Z</dcterms:modified>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2025-03-21T15:28:48Z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c877c08a-74d4-480d-8a98-db3bb414f340</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0x010100F90794ADCB3F68419D9EFAC3BB9AAF2E</vt:lpwstr>
  </property>
</Properties>
</file>