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1DDEB" w14:textId="77777777" w:rsidR="00DC11DC" w:rsidRDefault="000E598A">
      <w:r>
        <w:rPr>
          <w:rFonts w:ascii="Times New Roman" w:hAnsi="Times New Roman"/>
          <w:b/>
          <w:sz w:val="24"/>
        </w:rPr>
        <w:t>STF-DEA-2-20</w:t>
      </w:r>
    </w:p>
    <w:p w14:paraId="407B6D78" w14:textId="77777777" w:rsidR="00DC11DC" w:rsidRDefault="000E598A">
      <w:pPr>
        <w:jc w:val="both"/>
      </w:pPr>
      <w:r>
        <w:rPr>
          <w:rFonts w:ascii="Times New Roman" w:hAnsi="Times New Roman"/>
          <w:sz w:val="24"/>
          <w:u w:val="single"/>
        </w:rPr>
        <w:t>Question:</w:t>
      </w:r>
    </w:p>
    <w:p w14:paraId="5A235A0D" w14:textId="77777777" w:rsidR="00DC11DC" w:rsidRDefault="000E598A" w:rsidP="002A5A17">
      <w:pPr>
        <w:jc w:val="both"/>
      </w:pPr>
      <w:r>
        <w:rPr>
          <w:rFonts w:ascii="Times New Roman" w:hAnsi="Times New Roman"/>
          <w:sz w:val="24"/>
        </w:rPr>
        <w:t>Please refer to p. 163 of the “2024 GA ITS Ten-Year Plan,” within the “2025 IRP Volume 3 TRADE SECRET,” regarding the Plant Yates Breaker and Half Station and respond to the following questions:</w:t>
      </w:r>
    </w:p>
    <w:p w14:paraId="19428D2D" w14:textId="064336F9" w:rsidR="00DC11DC" w:rsidRDefault="000E598A" w:rsidP="002A5A17">
      <w:pPr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13D2B65C">
        <w:rPr>
          <w:rFonts w:ascii="Times New Roman" w:hAnsi="Times New Roman"/>
        </w:rPr>
        <w:t xml:space="preserve">a. </w:t>
      </w:r>
      <w:r w:rsidR="002A5A17">
        <w:rPr>
          <w:rFonts w:ascii="Times New Roman" w:hAnsi="Times New Roman"/>
        </w:rPr>
        <w:tab/>
      </w:r>
      <w:r w:rsidRPr="13D2B65C">
        <w:rPr>
          <w:rFonts w:ascii="Times New Roman" w:hAnsi="Times New Roman"/>
          <w:sz w:val="24"/>
          <w:szCs w:val="24"/>
        </w:rPr>
        <w:t>What operational and reliability benefits will the reconfiguration of the Yates 6 &amp; 7 substation to a Breaker and Half configuration provide.</w:t>
      </w:r>
    </w:p>
    <w:p w14:paraId="292EB2C4" w14:textId="5BA0A501" w:rsidR="00DC11DC" w:rsidRDefault="000E598A" w:rsidP="002A5A17">
      <w:pPr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13D2B65C">
        <w:rPr>
          <w:rFonts w:ascii="Times New Roman" w:hAnsi="Times New Roman"/>
        </w:rPr>
        <w:t xml:space="preserve">b. </w:t>
      </w:r>
      <w:r w:rsidR="002A5A17">
        <w:rPr>
          <w:rFonts w:ascii="Times New Roman" w:hAnsi="Times New Roman"/>
        </w:rPr>
        <w:tab/>
      </w:r>
      <w:r w:rsidRPr="13D2B65C">
        <w:rPr>
          <w:rFonts w:ascii="Times New Roman" w:hAnsi="Times New Roman"/>
          <w:sz w:val="24"/>
          <w:szCs w:val="24"/>
        </w:rPr>
        <w:t>How will the project improve grid flexibility?</w:t>
      </w:r>
    </w:p>
    <w:p w14:paraId="7F8CE49D" w14:textId="3CE6FA32" w:rsidR="00DC11DC" w:rsidRDefault="000E598A" w:rsidP="002A5A17">
      <w:pPr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13D2B65C">
        <w:rPr>
          <w:rFonts w:ascii="Times New Roman" w:hAnsi="Times New Roman"/>
        </w:rPr>
        <w:t xml:space="preserve">c. </w:t>
      </w:r>
      <w:r w:rsidR="002A5A17">
        <w:rPr>
          <w:rFonts w:ascii="Times New Roman" w:hAnsi="Times New Roman"/>
        </w:rPr>
        <w:tab/>
      </w:r>
      <w:r w:rsidRPr="13D2B65C">
        <w:rPr>
          <w:rFonts w:ascii="Times New Roman" w:hAnsi="Times New Roman"/>
          <w:sz w:val="24"/>
          <w:szCs w:val="24"/>
        </w:rPr>
        <w:t>How will the new breaker and a half configuration impact fault isolation and system protection?</w:t>
      </w:r>
    </w:p>
    <w:p w14:paraId="5B2B4BF3" w14:textId="77777777" w:rsidR="00DC11DC" w:rsidRDefault="000E598A" w:rsidP="0B458DE7">
      <w:pPr>
        <w:rPr>
          <w:rFonts w:ascii="Times New Roman" w:hAnsi="Times New Roman"/>
          <w:sz w:val="24"/>
          <w:szCs w:val="24"/>
        </w:rPr>
      </w:pPr>
      <w:r w:rsidRPr="223DDA4E">
        <w:rPr>
          <w:rFonts w:ascii="Times New Roman" w:hAnsi="Times New Roman"/>
          <w:sz w:val="24"/>
          <w:szCs w:val="24"/>
          <w:u w:val="single"/>
        </w:rPr>
        <w:t>Response:</w:t>
      </w:r>
    </w:p>
    <w:p w14:paraId="02BE122C" w14:textId="74101DB1" w:rsidR="60311933" w:rsidRDefault="18FEBC8D" w:rsidP="002A5A17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3C240843">
        <w:rPr>
          <w:rFonts w:ascii="Times New Roman" w:hAnsi="Times New Roman"/>
          <w:sz w:val="24"/>
          <w:szCs w:val="24"/>
        </w:rPr>
        <w:t>In a breaker and a half configuration, each circuit is connected to two breakers</w:t>
      </w:r>
      <w:r w:rsidR="56E441AF" w:rsidRPr="3C240843">
        <w:rPr>
          <w:rFonts w:ascii="Times New Roman" w:hAnsi="Times New Roman"/>
          <w:sz w:val="24"/>
          <w:szCs w:val="24"/>
        </w:rPr>
        <w:t>, which allows a</w:t>
      </w:r>
      <w:r w:rsidR="684142B7" w:rsidRPr="3C240843">
        <w:rPr>
          <w:rFonts w:ascii="Times New Roman" w:hAnsi="Times New Roman"/>
          <w:sz w:val="24"/>
          <w:szCs w:val="24"/>
        </w:rPr>
        <w:t xml:space="preserve"> breaker to be taken out </w:t>
      </w:r>
      <w:r w:rsidR="6F1A4892" w:rsidRPr="3C240843">
        <w:rPr>
          <w:rFonts w:ascii="Times New Roman" w:hAnsi="Times New Roman"/>
          <w:sz w:val="24"/>
          <w:szCs w:val="24"/>
        </w:rPr>
        <w:t>of service</w:t>
      </w:r>
      <w:r w:rsidR="33035E44" w:rsidRPr="3C240843">
        <w:rPr>
          <w:rFonts w:ascii="Times New Roman" w:hAnsi="Times New Roman"/>
          <w:sz w:val="24"/>
          <w:szCs w:val="24"/>
        </w:rPr>
        <w:t xml:space="preserve"> for </w:t>
      </w:r>
      <w:r w:rsidR="6F1A4892" w:rsidRPr="3C240843">
        <w:rPr>
          <w:rFonts w:ascii="Times New Roman" w:hAnsi="Times New Roman"/>
          <w:sz w:val="24"/>
          <w:szCs w:val="24"/>
        </w:rPr>
        <w:t>maintenance without interrupting power to the surrounding circuits</w:t>
      </w:r>
      <w:r w:rsidR="67FBC021" w:rsidRPr="3C240843">
        <w:rPr>
          <w:rFonts w:ascii="Times New Roman" w:hAnsi="Times New Roman"/>
          <w:sz w:val="24"/>
          <w:szCs w:val="24"/>
        </w:rPr>
        <w:t>, allowing more flexibility in switching operations.</w:t>
      </w:r>
      <w:r w:rsidR="4DBD2C7A" w:rsidRPr="3C240843">
        <w:rPr>
          <w:rFonts w:ascii="Times New Roman" w:hAnsi="Times New Roman"/>
          <w:sz w:val="24"/>
          <w:szCs w:val="24"/>
        </w:rPr>
        <w:t xml:space="preserve"> In the current ring bus configuration, the substation has a continuous loop of breakers connecting all circuits. If a breaker needs maintenance, it </w:t>
      </w:r>
      <w:r w:rsidR="377D831A" w:rsidRPr="3C240843">
        <w:rPr>
          <w:rFonts w:ascii="Times New Roman" w:hAnsi="Times New Roman"/>
          <w:sz w:val="24"/>
          <w:szCs w:val="24"/>
        </w:rPr>
        <w:t>often</w:t>
      </w:r>
      <w:r w:rsidR="4DBD2C7A" w:rsidRPr="3C240843">
        <w:rPr>
          <w:rFonts w:ascii="Times New Roman" w:hAnsi="Times New Roman"/>
          <w:sz w:val="24"/>
          <w:szCs w:val="24"/>
        </w:rPr>
        <w:t xml:space="preserve"> requires opening adjacent breakers, which can disrupt service to multiple circuits</w:t>
      </w:r>
      <w:r w:rsidR="4EE97E66" w:rsidRPr="3C240843">
        <w:rPr>
          <w:rFonts w:ascii="Times New Roman" w:hAnsi="Times New Roman"/>
          <w:sz w:val="24"/>
          <w:szCs w:val="24"/>
        </w:rPr>
        <w:t>.</w:t>
      </w:r>
      <w:r w:rsidR="0A1AF2F1" w:rsidRPr="3C240843">
        <w:rPr>
          <w:rFonts w:ascii="Times New Roman" w:hAnsi="Times New Roman"/>
          <w:sz w:val="24"/>
          <w:szCs w:val="24"/>
        </w:rPr>
        <w:t xml:space="preserve"> The </w:t>
      </w:r>
      <w:r w:rsidR="4940D96F" w:rsidRPr="3C240843">
        <w:rPr>
          <w:rFonts w:ascii="Times New Roman" w:hAnsi="Times New Roman"/>
          <w:sz w:val="24"/>
          <w:szCs w:val="24"/>
        </w:rPr>
        <w:t xml:space="preserve">rebuild of </w:t>
      </w:r>
      <w:r w:rsidR="00357212">
        <w:rPr>
          <w:rFonts w:ascii="Times New Roman" w:hAnsi="Times New Roman"/>
          <w:sz w:val="24"/>
          <w:szCs w:val="24"/>
        </w:rPr>
        <w:t xml:space="preserve">the </w:t>
      </w:r>
      <w:r w:rsidR="4940D96F" w:rsidRPr="3C240843">
        <w:rPr>
          <w:rFonts w:ascii="Times New Roman" w:hAnsi="Times New Roman"/>
          <w:sz w:val="24"/>
          <w:szCs w:val="24"/>
        </w:rPr>
        <w:t>Yates</w:t>
      </w:r>
      <w:r w:rsidR="26142C1C" w:rsidRPr="3C240843">
        <w:rPr>
          <w:rFonts w:ascii="Times New Roman" w:hAnsi="Times New Roman"/>
          <w:sz w:val="24"/>
          <w:szCs w:val="24"/>
        </w:rPr>
        <w:t xml:space="preserve"> substation</w:t>
      </w:r>
      <w:r w:rsidR="4940D96F" w:rsidRPr="3C240843">
        <w:rPr>
          <w:rFonts w:ascii="Times New Roman" w:hAnsi="Times New Roman"/>
          <w:sz w:val="24"/>
          <w:szCs w:val="24"/>
        </w:rPr>
        <w:t xml:space="preserve"> to a</w:t>
      </w:r>
      <w:r w:rsidR="0A1AF2F1" w:rsidRPr="3C240843">
        <w:rPr>
          <w:rFonts w:ascii="Times New Roman" w:hAnsi="Times New Roman"/>
          <w:sz w:val="24"/>
          <w:szCs w:val="24"/>
        </w:rPr>
        <w:t xml:space="preserve"> breaker and a half configuration </w:t>
      </w:r>
      <w:r w:rsidR="362CBD65" w:rsidRPr="3C240843">
        <w:rPr>
          <w:rFonts w:ascii="Times New Roman" w:hAnsi="Times New Roman"/>
          <w:sz w:val="24"/>
          <w:szCs w:val="24"/>
        </w:rPr>
        <w:t>provide</w:t>
      </w:r>
      <w:r w:rsidR="3E6D6B72" w:rsidRPr="3C240843">
        <w:rPr>
          <w:rFonts w:ascii="Times New Roman" w:hAnsi="Times New Roman"/>
          <w:sz w:val="24"/>
          <w:szCs w:val="24"/>
        </w:rPr>
        <w:t>s</w:t>
      </w:r>
      <w:r w:rsidR="0A1AF2F1" w:rsidRPr="3C240843">
        <w:rPr>
          <w:rFonts w:ascii="Times New Roman" w:hAnsi="Times New Roman"/>
          <w:sz w:val="24"/>
          <w:szCs w:val="24"/>
        </w:rPr>
        <w:t xml:space="preserve"> </w:t>
      </w:r>
      <w:r w:rsidR="597AEE5E" w:rsidRPr="3C240843">
        <w:rPr>
          <w:rFonts w:ascii="Times New Roman" w:hAnsi="Times New Roman"/>
          <w:sz w:val="24"/>
          <w:szCs w:val="24"/>
        </w:rPr>
        <w:t>additional</w:t>
      </w:r>
      <w:r w:rsidR="7F722080" w:rsidRPr="3C240843">
        <w:rPr>
          <w:rFonts w:ascii="Times New Roman" w:hAnsi="Times New Roman"/>
          <w:sz w:val="24"/>
          <w:szCs w:val="24"/>
        </w:rPr>
        <w:t xml:space="preserve"> bays </w:t>
      </w:r>
      <w:r w:rsidR="3C69CA54" w:rsidRPr="3C240843">
        <w:rPr>
          <w:rFonts w:ascii="Times New Roman" w:hAnsi="Times New Roman"/>
          <w:sz w:val="24"/>
          <w:szCs w:val="24"/>
        </w:rPr>
        <w:t xml:space="preserve">to accommodate the generator tie lines for Yates </w:t>
      </w:r>
      <w:r w:rsidR="50B5DA11" w:rsidRPr="3C240843">
        <w:rPr>
          <w:rFonts w:ascii="Times New Roman" w:hAnsi="Times New Roman"/>
          <w:sz w:val="24"/>
          <w:szCs w:val="24"/>
        </w:rPr>
        <w:t xml:space="preserve">#8, #9, and #10 </w:t>
      </w:r>
      <w:r w:rsidR="00357212">
        <w:rPr>
          <w:rFonts w:ascii="Times New Roman" w:hAnsi="Times New Roman"/>
          <w:sz w:val="24"/>
          <w:szCs w:val="24"/>
        </w:rPr>
        <w:t>combustion turbines (“</w:t>
      </w:r>
      <w:r w:rsidR="50B5DA11" w:rsidRPr="3C240843">
        <w:rPr>
          <w:rFonts w:ascii="Times New Roman" w:hAnsi="Times New Roman"/>
          <w:sz w:val="24"/>
          <w:szCs w:val="24"/>
        </w:rPr>
        <w:t>CTs</w:t>
      </w:r>
      <w:r w:rsidR="00357212">
        <w:rPr>
          <w:rFonts w:ascii="Times New Roman" w:hAnsi="Times New Roman"/>
          <w:sz w:val="24"/>
          <w:szCs w:val="24"/>
        </w:rPr>
        <w:t>”)</w:t>
      </w:r>
      <w:r w:rsidR="79ECE361" w:rsidRPr="3C240843">
        <w:rPr>
          <w:rFonts w:ascii="Times New Roman" w:hAnsi="Times New Roman"/>
          <w:sz w:val="24"/>
          <w:szCs w:val="24"/>
        </w:rPr>
        <w:t>,</w:t>
      </w:r>
      <w:r w:rsidR="0CFEA6D8" w:rsidRPr="3C240843">
        <w:rPr>
          <w:rFonts w:ascii="Times New Roman" w:hAnsi="Times New Roman"/>
          <w:sz w:val="24"/>
          <w:szCs w:val="24"/>
        </w:rPr>
        <w:t xml:space="preserve"> enhancing reliability and operational flexibility.</w:t>
      </w:r>
    </w:p>
    <w:p w14:paraId="15F2BD9F" w14:textId="01BE363B" w:rsidR="4D1221BD" w:rsidRDefault="4D1221BD" w:rsidP="002A5A17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/>
        </w:rPr>
      </w:pPr>
      <w:r w:rsidRPr="223DDA4E">
        <w:rPr>
          <w:rFonts w:ascii="Times New Roman" w:hAnsi="Times New Roman"/>
          <w:sz w:val="24"/>
          <w:szCs w:val="24"/>
        </w:rPr>
        <w:t xml:space="preserve">See </w:t>
      </w:r>
      <w:r w:rsidR="0090126A">
        <w:rPr>
          <w:rFonts w:ascii="Times New Roman" w:hAnsi="Times New Roman"/>
          <w:sz w:val="24"/>
          <w:szCs w:val="24"/>
        </w:rPr>
        <w:t xml:space="preserve">the Company’s </w:t>
      </w:r>
      <w:r w:rsidRPr="223DDA4E">
        <w:rPr>
          <w:rFonts w:ascii="Times New Roman" w:hAnsi="Times New Roman"/>
          <w:sz w:val="24"/>
          <w:szCs w:val="24"/>
        </w:rPr>
        <w:t xml:space="preserve">response </w:t>
      </w:r>
      <w:r w:rsidR="0090126A">
        <w:rPr>
          <w:rFonts w:ascii="Times New Roman" w:hAnsi="Times New Roman"/>
          <w:sz w:val="24"/>
          <w:szCs w:val="24"/>
        </w:rPr>
        <w:t xml:space="preserve">to </w:t>
      </w:r>
      <w:r w:rsidR="00D8657D">
        <w:rPr>
          <w:rFonts w:ascii="Times New Roman" w:hAnsi="Times New Roman"/>
          <w:sz w:val="24"/>
          <w:szCs w:val="24"/>
        </w:rPr>
        <w:t xml:space="preserve">subpart </w:t>
      </w:r>
      <w:r w:rsidRPr="223DDA4E">
        <w:rPr>
          <w:rFonts w:ascii="Times New Roman" w:hAnsi="Times New Roman"/>
          <w:sz w:val="24"/>
          <w:szCs w:val="24"/>
        </w:rPr>
        <w:t>(a).</w:t>
      </w:r>
    </w:p>
    <w:p w14:paraId="2B98C290" w14:textId="3E111B75" w:rsidR="60311933" w:rsidRDefault="62DFA090" w:rsidP="002A5A17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223DDA4E">
        <w:rPr>
          <w:rFonts w:ascii="Times New Roman" w:hAnsi="Times New Roman"/>
          <w:sz w:val="24"/>
          <w:szCs w:val="24"/>
        </w:rPr>
        <w:t>In a breaker and a half</w:t>
      </w:r>
      <w:r w:rsidR="0FBA7A84" w:rsidRPr="223DDA4E">
        <w:rPr>
          <w:rFonts w:ascii="Times New Roman" w:hAnsi="Times New Roman"/>
          <w:sz w:val="24"/>
          <w:szCs w:val="24"/>
        </w:rPr>
        <w:t xml:space="preserve"> configuration</w:t>
      </w:r>
      <w:r w:rsidRPr="223DDA4E">
        <w:rPr>
          <w:rFonts w:ascii="Times New Roman" w:hAnsi="Times New Roman"/>
          <w:sz w:val="24"/>
          <w:szCs w:val="24"/>
        </w:rPr>
        <w:t>, each circuit is connected to two breakers</w:t>
      </w:r>
      <w:r w:rsidR="5B0B73B8" w:rsidRPr="223DDA4E">
        <w:rPr>
          <w:rFonts w:ascii="Times New Roman" w:hAnsi="Times New Roman"/>
          <w:sz w:val="24"/>
          <w:szCs w:val="24"/>
        </w:rPr>
        <w:t xml:space="preserve"> therefore,</w:t>
      </w:r>
      <w:r w:rsidRPr="223DDA4E">
        <w:rPr>
          <w:rFonts w:ascii="Times New Roman" w:hAnsi="Times New Roman"/>
          <w:sz w:val="24"/>
          <w:szCs w:val="24"/>
        </w:rPr>
        <w:t xml:space="preserve"> </w:t>
      </w:r>
      <w:r w:rsidR="4301055C" w:rsidRPr="223DDA4E">
        <w:rPr>
          <w:rFonts w:ascii="Times New Roman" w:hAnsi="Times New Roman"/>
          <w:sz w:val="24"/>
          <w:szCs w:val="24"/>
        </w:rPr>
        <w:t>under breaker failure or</w:t>
      </w:r>
      <w:r w:rsidR="26CCA1F2" w:rsidRPr="223DDA4E">
        <w:rPr>
          <w:rFonts w:ascii="Times New Roman" w:hAnsi="Times New Roman"/>
          <w:sz w:val="24"/>
          <w:szCs w:val="24"/>
        </w:rPr>
        <w:t xml:space="preserve"> fault </w:t>
      </w:r>
      <w:r w:rsidR="5139C7DA" w:rsidRPr="223DDA4E">
        <w:rPr>
          <w:rFonts w:ascii="Times New Roman" w:hAnsi="Times New Roman"/>
          <w:sz w:val="24"/>
          <w:szCs w:val="24"/>
        </w:rPr>
        <w:t>conditions</w:t>
      </w:r>
      <w:r w:rsidRPr="223DDA4E">
        <w:rPr>
          <w:rFonts w:ascii="Times New Roman" w:hAnsi="Times New Roman"/>
          <w:sz w:val="24"/>
          <w:szCs w:val="24"/>
        </w:rPr>
        <w:t xml:space="preserve">, the circuit can still be cleared using the remaining breaker. This allows the rest of the substation to continue operating even if a breaker </w:t>
      </w:r>
      <w:r w:rsidR="34D7BEB9" w:rsidRPr="223DDA4E">
        <w:rPr>
          <w:rFonts w:ascii="Times New Roman" w:hAnsi="Times New Roman"/>
          <w:sz w:val="24"/>
          <w:szCs w:val="24"/>
        </w:rPr>
        <w:t xml:space="preserve">fails or requires maintenance. </w:t>
      </w:r>
      <w:r w:rsidR="6BB68DD7" w:rsidRPr="223DDA4E">
        <w:rPr>
          <w:rFonts w:ascii="Times New Roman" w:hAnsi="Times New Roman"/>
          <w:sz w:val="24"/>
          <w:szCs w:val="24"/>
        </w:rPr>
        <w:t>In the current ring bus configuration, the substation has a continuous loop of breakers connecting all circuits. While this provides some redundancy, a breaker failure can impact multiple circuits</w:t>
      </w:r>
      <w:r w:rsidR="6B4CF5A0" w:rsidRPr="223DDA4E">
        <w:rPr>
          <w:rFonts w:ascii="Times New Roman" w:hAnsi="Times New Roman"/>
          <w:sz w:val="24"/>
          <w:szCs w:val="24"/>
        </w:rPr>
        <w:t>, potentially requiring the opening of more breakers to clear the fault.</w:t>
      </w:r>
    </w:p>
    <w:sectPr w:rsidR="60311933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F0437" w14:textId="77777777" w:rsidR="00E73672" w:rsidRDefault="00E73672">
      <w:pPr>
        <w:spacing w:after="0" w:line="240" w:lineRule="auto"/>
      </w:pPr>
      <w:r>
        <w:separator/>
      </w:r>
    </w:p>
  </w:endnote>
  <w:endnote w:type="continuationSeparator" w:id="0">
    <w:p w14:paraId="0476CA00" w14:textId="77777777" w:rsidR="00E73672" w:rsidRDefault="00E73672">
      <w:pPr>
        <w:spacing w:after="0" w:line="240" w:lineRule="auto"/>
      </w:pPr>
      <w:r>
        <w:continuationSeparator/>
      </w:r>
    </w:p>
  </w:endnote>
  <w:endnote w:type="continuationNotice" w:id="1">
    <w:p w14:paraId="3AD48515" w14:textId="77777777" w:rsidR="00E73672" w:rsidRDefault="00E736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D650A" w14:textId="77777777" w:rsidR="00DC11DC" w:rsidRDefault="00DC11DC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DC11DC" w14:paraId="6CA1FA5D" w14:textId="77777777">
      <w:trPr>
        <w:jc w:val="center"/>
      </w:trPr>
      <w:tc>
        <w:tcPr>
          <w:tcW w:w="5400" w:type="dxa"/>
        </w:tcPr>
        <w:p w14:paraId="5E29F4E4" w14:textId="77777777" w:rsidR="00DC11DC" w:rsidRDefault="000E598A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0AA4BAE1" w14:textId="6BF53193" w:rsidR="00DC11DC" w:rsidRDefault="000E598A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3D9F8" w14:textId="77777777" w:rsidR="00E73672" w:rsidRDefault="00E73672">
      <w:pPr>
        <w:spacing w:after="0" w:line="240" w:lineRule="auto"/>
      </w:pPr>
      <w:r>
        <w:separator/>
      </w:r>
    </w:p>
  </w:footnote>
  <w:footnote w:type="continuationSeparator" w:id="0">
    <w:p w14:paraId="31A127D6" w14:textId="77777777" w:rsidR="00E73672" w:rsidRDefault="00E73672">
      <w:pPr>
        <w:spacing w:after="0" w:line="240" w:lineRule="auto"/>
      </w:pPr>
      <w:r>
        <w:continuationSeparator/>
      </w:r>
    </w:p>
  </w:footnote>
  <w:footnote w:type="continuationNotice" w:id="1">
    <w:p w14:paraId="2B36D704" w14:textId="77777777" w:rsidR="00E73672" w:rsidRDefault="00E736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915ED" w14:textId="77777777" w:rsidR="000E598A" w:rsidRPr="005801E0" w:rsidRDefault="000E598A" w:rsidP="000E598A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7A1B036E" w14:textId="77777777" w:rsidR="000E598A" w:rsidRDefault="000E598A" w:rsidP="000E598A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5A294A80" w14:textId="77777777" w:rsidR="00DC11DC" w:rsidRDefault="00DC11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C447E5F"/>
    <w:multiLevelType w:val="hybridMultilevel"/>
    <w:tmpl w:val="09DA35A8"/>
    <w:lvl w:ilvl="0" w:tplc="C81C5CBC">
      <w:start w:val="1"/>
      <w:numFmt w:val="lowerLetter"/>
      <w:lvlText w:val="%1."/>
      <w:lvlJc w:val="left"/>
      <w:pPr>
        <w:ind w:left="720" w:hanging="360"/>
      </w:pPr>
    </w:lvl>
    <w:lvl w:ilvl="1" w:tplc="0C7E7F5E">
      <w:start w:val="1"/>
      <w:numFmt w:val="lowerLetter"/>
      <w:lvlText w:val="%2."/>
      <w:lvlJc w:val="left"/>
      <w:pPr>
        <w:ind w:left="1440" w:hanging="360"/>
      </w:pPr>
    </w:lvl>
    <w:lvl w:ilvl="2" w:tplc="BD62D4FA">
      <w:start w:val="1"/>
      <w:numFmt w:val="lowerRoman"/>
      <w:lvlText w:val="%3."/>
      <w:lvlJc w:val="right"/>
      <w:pPr>
        <w:ind w:left="2160" w:hanging="180"/>
      </w:pPr>
    </w:lvl>
    <w:lvl w:ilvl="3" w:tplc="FBEE76F0">
      <w:start w:val="1"/>
      <w:numFmt w:val="decimal"/>
      <w:lvlText w:val="%4."/>
      <w:lvlJc w:val="left"/>
      <w:pPr>
        <w:ind w:left="2880" w:hanging="360"/>
      </w:pPr>
    </w:lvl>
    <w:lvl w:ilvl="4" w:tplc="7540B6A2">
      <w:start w:val="1"/>
      <w:numFmt w:val="lowerLetter"/>
      <w:lvlText w:val="%5."/>
      <w:lvlJc w:val="left"/>
      <w:pPr>
        <w:ind w:left="3600" w:hanging="360"/>
      </w:pPr>
    </w:lvl>
    <w:lvl w:ilvl="5" w:tplc="151E9B5C">
      <w:start w:val="1"/>
      <w:numFmt w:val="lowerRoman"/>
      <w:lvlText w:val="%6."/>
      <w:lvlJc w:val="right"/>
      <w:pPr>
        <w:ind w:left="4320" w:hanging="180"/>
      </w:pPr>
    </w:lvl>
    <w:lvl w:ilvl="6" w:tplc="BAFA980A">
      <w:start w:val="1"/>
      <w:numFmt w:val="decimal"/>
      <w:lvlText w:val="%7."/>
      <w:lvlJc w:val="left"/>
      <w:pPr>
        <w:ind w:left="5040" w:hanging="360"/>
      </w:pPr>
    </w:lvl>
    <w:lvl w:ilvl="7" w:tplc="2E4211E2">
      <w:start w:val="1"/>
      <w:numFmt w:val="lowerLetter"/>
      <w:lvlText w:val="%8."/>
      <w:lvlJc w:val="left"/>
      <w:pPr>
        <w:ind w:left="5760" w:hanging="360"/>
      </w:pPr>
    </w:lvl>
    <w:lvl w:ilvl="8" w:tplc="5EE85AC4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138742">
    <w:abstractNumId w:val="9"/>
  </w:num>
  <w:num w:numId="2" w16cid:durableId="137846687">
    <w:abstractNumId w:val="8"/>
  </w:num>
  <w:num w:numId="3" w16cid:durableId="1364405187">
    <w:abstractNumId w:val="6"/>
  </w:num>
  <w:num w:numId="4" w16cid:durableId="1676035669">
    <w:abstractNumId w:val="5"/>
  </w:num>
  <w:num w:numId="5" w16cid:durableId="89392745">
    <w:abstractNumId w:val="4"/>
  </w:num>
  <w:num w:numId="6" w16cid:durableId="1991247305">
    <w:abstractNumId w:val="7"/>
  </w:num>
  <w:num w:numId="7" w16cid:durableId="1663116493">
    <w:abstractNumId w:val="3"/>
  </w:num>
  <w:num w:numId="8" w16cid:durableId="1659965638">
    <w:abstractNumId w:val="2"/>
  </w:num>
  <w:num w:numId="9" w16cid:durableId="1486749980">
    <w:abstractNumId w:val="1"/>
  </w:num>
  <w:num w:numId="10" w16cid:durableId="1225336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16FC"/>
    <w:rsid w:val="00034616"/>
    <w:rsid w:val="0006063C"/>
    <w:rsid w:val="00083E8B"/>
    <w:rsid w:val="000E598A"/>
    <w:rsid w:val="0015074B"/>
    <w:rsid w:val="00165345"/>
    <w:rsid w:val="001B7ED2"/>
    <w:rsid w:val="0029639D"/>
    <w:rsid w:val="002A5A17"/>
    <w:rsid w:val="002A7ED6"/>
    <w:rsid w:val="00326F90"/>
    <w:rsid w:val="0033507B"/>
    <w:rsid w:val="00357212"/>
    <w:rsid w:val="0045607D"/>
    <w:rsid w:val="005101C3"/>
    <w:rsid w:val="005F4415"/>
    <w:rsid w:val="00631E27"/>
    <w:rsid w:val="006C3D6C"/>
    <w:rsid w:val="007C33AD"/>
    <w:rsid w:val="0090126A"/>
    <w:rsid w:val="0093417B"/>
    <w:rsid w:val="00AA1D8D"/>
    <w:rsid w:val="00B47730"/>
    <w:rsid w:val="00B61A80"/>
    <w:rsid w:val="00CB0664"/>
    <w:rsid w:val="00D8657D"/>
    <w:rsid w:val="00D96129"/>
    <w:rsid w:val="00DC11DC"/>
    <w:rsid w:val="00E73672"/>
    <w:rsid w:val="00EC16B5"/>
    <w:rsid w:val="00F01FB6"/>
    <w:rsid w:val="00FC693F"/>
    <w:rsid w:val="010B020C"/>
    <w:rsid w:val="051CA02F"/>
    <w:rsid w:val="06823272"/>
    <w:rsid w:val="07BE86FE"/>
    <w:rsid w:val="0860361B"/>
    <w:rsid w:val="08A86DAA"/>
    <w:rsid w:val="0A1AF2F1"/>
    <w:rsid w:val="0B458DE7"/>
    <w:rsid w:val="0C963ACB"/>
    <w:rsid w:val="0CFEA6D8"/>
    <w:rsid w:val="0D9DF04B"/>
    <w:rsid w:val="0E255D11"/>
    <w:rsid w:val="0F1255AB"/>
    <w:rsid w:val="0F66332C"/>
    <w:rsid w:val="0FBA7A84"/>
    <w:rsid w:val="120AD0AD"/>
    <w:rsid w:val="13D2B65C"/>
    <w:rsid w:val="152102E7"/>
    <w:rsid w:val="17E58B1F"/>
    <w:rsid w:val="18FEBC8D"/>
    <w:rsid w:val="1C4827A3"/>
    <w:rsid w:val="1CD2E136"/>
    <w:rsid w:val="1D63B601"/>
    <w:rsid w:val="1DCD0656"/>
    <w:rsid w:val="223DDA4E"/>
    <w:rsid w:val="2244D5CA"/>
    <w:rsid w:val="26142C1C"/>
    <w:rsid w:val="26CCA1F2"/>
    <w:rsid w:val="2AC1EF8D"/>
    <w:rsid w:val="2D531E91"/>
    <w:rsid w:val="2EFB6430"/>
    <w:rsid w:val="32ADA98C"/>
    <w:rsid w:val="33035E44"/>
    <w:rsid w:val="34D7BEB9"/>
    <w:rsid w:val="362CBD65"/>
    <w:rsid w:val="3735738F"/>
    <w:rsid w:val="377D831A"/>
    <w:rsid w:val="3B3F7412"/>
    <w:rsid w:val="3C240843"/>
    <w:rsid w:val="3C69CA54"/>
    <w:rsid w:val="3E6D6B72"/>
    <w:rsid w:val="3EE2835F"/>
    <w:rsid w:val="40AC88F5"/>
    <w:rsid w:val="41236B11"/>
    <w:rsid w:val="42C515B5"/>
    <w:rsid w:val="4301055C"/>
    <w:rsid w:val="449116F5"/>
    <w:rsid w:val="48A66C82"/>
    <w:rsid w:val="4940D96F"/>
    <w:rsid w:val="4D1221BD"/>
    <w:rsid w:val="4DBD2C7A"/>
    <w:rsid w:val="4EE97E66"/>
    <w:rsid w:val="50A03396"/>
    <w:rsid w:val="50B5DA11"/>
    <w:rsid w:val="5139C7DA"/>
    <w:rsid w:val="52207014"/>
    <w:rsid w:val="56E441AF"/>
    <w:rsid w:val="570F9210"/>
    <w:rsid w:val="597AEE5E"/>
    <w:rsid w:val="5A62EC71"/>
    <w:rsid w:val="5A7DF1B9"/>
    <w:rsid w:val="5B0B73B8"/>
    <w:rsid w:val="60311933"/>
    <w:rsid w:val="61933270"/>
    <w:rsid w:val="62DFA090"/>
    <w:rsid w:val="64D92B19"/>
    <w:rsid w:val="66A4B65C"/>
    <w:rsid w:val="67FBC021"/>
    <w:rsid w:val="684142B7"/>
    <w:rsid w:val="6B4CF5A0"/>
    <w:rsid w:val="6BB68DD7"/>
    <w:rsid w:val="6F1A4892"/>
    <w:rsid w:val="718BF058"/>
    <w:rsid w:val="74495F54"/>
    <w:rsid w:val="74609CD8"/>
    <w:rsid w:val="76A796F7"/>
    <w:rsid w:val="79495562"/>
    <w:rsid w:val="79ECE361"/>
    <w:rsid w:val="7A7D9F4F"/>
    <w:rsid w:val="7EAC5099"/>
    <w:rsid w:val="7F72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F01FB6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E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ED6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2A7ED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47BD2F-2A7F-4C4E-8A6C-15D6B68FA23D}"/>
</file>

<file path=customXml/itemProps2.xml><?xml version="1.0" encoding="utf-8"?>
<ds:datastoreItem xmlns:ds="http://schemas.openxmlformats.org/officeDocument/2006/customXml" ds:itemID="{F1A0C50D-76DA-40F3-AD11-204E303AF15F}"/>
</file>

<file path=customXml/itemProps3.xml><?xml version="1.0" encoding="utf-8"?>
<ds:datastoreItem xmlns:ds="http://schemas.openxmlformats.org/officeDocument/2006/customXml" ds:itemID="{56249B19-A5E5-47C6-98A0-4BFB6D46DB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1601</Characters>
  <Application>Microsoft Office Word</Application>
  <DocSecurity>0</DocSecurity>
  <Lines>13</Lines>
  <Paragraphs>3</Paragraphs>
  <ScaleCrop>false</ScaleCrop>
  <Manager/>
  <Company/>
  <LinksUpToDate>false</LinksUpToDate>
  <CharactersWithSpaces>1878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2025-03-17T14:47:00Z</dcterms:created>
  <dcterms:modified xsi:type="dcterms:W3CDTF">2025-03-17T14:47:00Z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2025-03-17T14:47:12Z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59277c44-50f2-4e27-bbb6-9bedb60d8985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