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4F1F9" w14:textId="77777777" w:rsidR="00F557B4" w:rsidRPr="00E92FEF" w:rsidRDefault="0B52D433" w:rsidP="06F218A8">
      <w:pPr>
        <w:pStyle w:val="Subtitle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</w:rPr>
      </w:pPr>
      <w:r w:rsidRPr="06F218A8">
        <w:rPr>
          <w:rFonts w:ascii="Times New Roman" w:hAnsi="Times New Roman" w:cs="Times New Roman"/>
          <w:b/>
          <w:bCs/>
          <w:i w:val="0"/>
          <w:iCs w:val="0"/>
          <w:color w:val="auto"/>
        </w:rPr>
        <w:t>STF-DEA-2-2</w:t>
      </w:r>
    </w:p>
    <w:p w14:paraId="3F63B0ED" w14:textId="77777777" w:rsidR="00F557B4" w:rsidRDefault="004A0B2B" w:rsidP="460A32EE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460A32EE">
        <w:rPr>
          <w:rFonts w:ascii="Times New Roman" w:eastAsia="Times New Roman" w:hAnsi="Times New Roman" w:cs="Times New Roman"/>
          <w:sz w:val="24"/>
          <w:szCs w:val="24"/>
          <w:u w:val="single"/>
        </w:rPr>
        <w:t>Question:</w:t>
      </w:r>
    </w:p>
    <w:p w14:paraId="59C56AD7" w14:textId="6E8C199A" w:rsidR="00F557B4" w:rsidRDefault="004A0B2B" w:rsidP="00CA0B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60A32EE">
        <w:rPr>
          <w:rFonts w:ascii="Times New Roman" w:eastAsia="Times New Roman" w:hAnsi="Times New Roman" w:cs="Times New Roman"/>
          <w:sz w:val="24"/>
          <w:szCs w:val="24"/>
        </w:rPr>
        <w:t>Please refer to the 2025 IRP Main Document,</w:t>
      </w:r>
      <w:r w:rsidR="009549FF" w:rsidRPr="460A32EE">
        <w:rPr>
          <w:rFonts w:ascii="Times New Roman" w:eastAsia="Times New Roman" w:hAnsi="Times New Roman" w:cs="Times New Roman"/>
          <w:sz w:val="24"/>
          <w:szCs w:val="24"/>
        </w:rPr>
        <w:t xml:space="preserve"> p.</w:t>
      </w:r>
      <w:r w:rsidRPr="460A32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460A32EE">
        <w:rPr>
          <w:rFonts w:ascii="Times New Roman" w:eastAsia="Times New Roman" w:hAnsi="Times New Roman" w:cs="Times New Roman"/>
          <w:sz w:val="24"/>
          <w:szCs w:val="24"/>
        </w:rPr>
        <w:t>113, Table 11.3.</w:t>
      </w:r>
    </w:p>
    <w:p w14:paraId="4DBF8516" w14:textId="77777777" w:rsidR="00480844" w:rsidRPr="00997F7F" w:rsidRDefault="00480844" w:rsidP="00480844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F7F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97F7F">
        <w:rPr>
          <w:rFonts w:ascii="Times New Roman" w:eastAsia="Times New Roman" w:hAnsi="Times New Roman" w:cs="Times New Roman"/>
          <w:sz w:val="24"/>
          <w:szCs w:val="24"/>
        </w:rPr>
        <w:t>For any Strategic Projects not included in Appendix C of the “2024 GA ITS Ten-Year Plan,” provided in Technical Appendix Vol. 3 document titled “2025 IRP Volume 3 PUBLIC DISCLOSURE,” please provide Background and Problem Descriptions, Study Assumptions, Discussion of Alternatives, and Conclusions and Recommendations. This includes, but may not be limited to, the following projects.</w:t>
      </w:r>
    </w:p>
    <w:p w14:paraId="4761722F" w14:textId="77777777" w:rsidR="00480844" w:rsidRPr="00997F7F" w:rsidRDefault="00480844" w:rsidP="00480844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F7F"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97F7F">
        <w:rPr>
          <w:rFonts w:ascii="Times New Roman" w:eastAsia="Times New Roman" w:hAnsi="Times New Roman" w:cs="Times New Roman"/>
          <w:sz w:val="24"/>
          <w:szCs w:val="24"/>
        </w:rPr>
        <w:t xml:space="preserve">Butler – Thomaston 230kV Line Conversion </w:t>
      </w:r>
    </w:p>
    <w:p w14:paraId="00666313" w14:textId="77777777" w:rsidR="00480844" w:rsidRDefault="00480844" w:rsidP="00480844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F7F">
        <w:rPr>
          <w:rFonts w:ascii="Times New Roman" w:eastAsia="Times New Roman" w:hAnsi="Times New Roman" w:cs="Times New Roman"/>
          <w:sz w:val="24"/>
          <w:szCs w:val="24"/>
        </w:rPr>
        <w:t>c</w:t>
      </w:r>
      <w:r w:rsidRPr="460A32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460A32EE">
        <w:rPr>
          <w:rFonts w:ascii="Times New Roman" w:eastAsia="Times New Roman" w:hAnsi="Times New Roman" w:cs="Times New Roman"/>
          <w:sz w:val="24"/>
          <w:szCs w:val="24"/>
        </w:rPr>
        <w:t xml:space="preserve">Cavender Drive – Tributary 230kV Line </w:t>
      </w:r>
    </w:p>
    <w:p w14:paraId="72F375E3" w14:textId="77777777" w:rsidR="00480844" w:rsidRDefault="00480844" w:rsidP="00480844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60A32EE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460A32EE">
        <w:rPr>
          <w:rFonts w:ascii="Times New Roman" w:eastAsia="Times New Roman" w:hAnsi="Times New Roman" w:cs="Times New Roman"/>
          <w:sz w:val="24"/>
          <w:szCs w:val="24"/>
        </w:rPr>
        <w:t xml:space="preserve">North Spa 230kV Area Project </w:t>
      </w:r>
    </w:p>
    <w:p w14:paraId="00FE8932" w14:textId="77777777" w:rsidR="00480844" w:rsidRDefault="00480844" w:rsidP="00480844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60A32EE">
        <w:rPr>
          <w:rFonts w:ascii="Times New Roman" w:eastAsia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460A32EE">
        <w:rPr>
          <w:rFonts w:ascii="Times New Roman" w:eastAsia="Times New Roman" w:hAnsi="Times New Roman" w:cs="Times New Roman"/>
          <w:sz w:val="24"/>
          <w:szCs w:val="24"/>
        </w:rPr>
        <w:t>Goshen Area 230kV Area Project</w:t>
      </w:r>
    </w:p>
    <w:p w14:paraId="1EFC3F52" w14:textId="77777777" w:rsidR="00F557B4" w:rsidRDefault="0B52D433" w:rsidP="00CA0B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6F218A8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4A370C45" w14:textId="765F3C70" w:rsidR="60DD2E41" w:rsidRPr="009808D6" w:rsidRDefault="6E7B47C5" w:rsidP="00CA0B74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For the project details, </w:t>
      </w:r>
      <w:r w:rsidR="28ECDE12" w:rsidRPr="06F218A8">
        <w:rPr>
          <w:rFonts w:ascii="Times New Roman" w:eastAsia="Times New Roman" w:hAnsi="Times New Roman" w:cs="Times New Roman"/>
          <w:sz w:val="24"/>
          <w:szCs w:val="24"/>
        </w:rPr>
        <w:t>refer to</w:t>
      </w:r>
      <w:r w:rsidR="65BACFCB" w:rsidRPr="06F218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5BACFCB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Section D1.</w:t>
      </w:r>
      <w:r w:rsidR="48A51A6F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IV</w:t>
      </w:r>
      <w:r w:rsidR="65BACFCB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Analysis Results of the 2024 GA ITS Ten-Year Plan </w:t>
      </w:r>
      <w:r w:rsidR="4F1A4E09" w:rsidRPr="06F218A8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1DE36D1F" w:rsidRPr="06F218A8">
        <w:rPr>
          <w:rFonts w:ascii="Times New Roman" w:eastAsia="Times New Roman" w:hAnsi="Times New Roman" w:cs="Times New Roman"/>
          <w:sz w:val="24"/>
          <w:szCs w:val="24"/>
        </w:rPr>
        <w:t xml:space="preserve">Section H1, </w:t>
      </w:r>
      <w:r w:rsidR="543A30F2" w:rsidRPr="06F218A8">
        <w:rPr>
          <w:rFonts w:ascii="Times New Roman" w:eastAsia="Times New Roman" w:hAnsi="Times New Roman" w:cs="Times New Roman"/>
          <w:sz w:val="24"/>
          <w:szCs w:val="24"/>
        </w:rPr>
        <w:t xml:space="preserve">Identified Problems and Solutions </w:t>
      </w:r>
      <w:r w:rsidR="1DE36D1F" w:rsidRPr="06F218A8">
        <w:rPr>
          <w:rFonts w:ascii="Times New Roman" w:eastAsia="Times New Roman" w:hAnsi="Times New Roman" w:cs="Times New Roman"/>
          <w:sz w:val="24"/>
          <w:szCs w:val="24"/>
        </w:rPr>
        <w:t>in Technical Appendix Volume 3.</w:t>
      </w:r>
    </w:p>
    <w:p w14:paraId="09CB55C6" w14:textId="4D4FCE7B" w:rsidR="008F7D69" w:rsidRPr="009808D6" w:rsidRDefault="6542A830" w:rsidP="00CA0B74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6F218A8">
        <w:rPr>
          <w:rFonts w:ascii="Times New Roman" w:eastAsia="Times New Roman" w:hAnsi="Times New Roman" w:cs="Times New Roman"/>
          <w:sz w:val="24"/>
          <w:szCs w:val="24"/>
        </w:rPr>
        <w:t>The conversion of the Butler – Thomaston 230kV line aims to address the evolving dynamics within the Georgia Integrated Transmission System (</w:t>
      </w:r>
      <w:r w:rsidR="00C21E6C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>ITS</w:t>
      </w:r>
      <w:r w:rsidR="00C21E6C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>), primarily driven by the changes in generation and forecasted load growth. This project involves rebuilding the radial Thomaston - Butler 115kV line to 230kV network operation. Additionally, supplemental projects include the conversion of the Wesley substation from 115kV to 230kV, upgrades and accommodations at Butler and Thomaston</w:t>
      </w:r>
      <w:r w:rsidR="065262FF" w:rsidRPr="06F218A8">
        <w:rPr>
          <w:rFonts w:ascii="Times New Roman" w:eastAsia="Times New Roman" w:hAnsi="Times New Roman" w:cs="Times New Roman"/>
          <w:sz w:val="24"/>
          <w:szCs w:val="24"/>
        </w:rPr>
        <w:t xml:space="preserve"> substations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>. The decision to undertake this project stems from the necessity to enhance available transmission capacity</w:t>
      </w:r>
      <w:r w:rsidR="402E9E84" w:rsidRPr="06F218A8">
        <w:rPr>
          <w:rFonts w:ascii="Times New Roman" w:eastAsia="Times New Roman" w:hAnsi="Times New Roman" w:cs="Times New Roman"/>
          <w:sz w:val="24"/>
          <w:szCs w:val="24"/>
        </w:rPr>
        <w:t xml:space="preserve"> that will help with future</w:t>
      </w:r>
      <w:r w:rsidR="00FC0FEA">
        <w:rPr>
          <w:rFonts w:ascii="Times New Roman" w:eastAsia="Times New Roman" w:hAnsi="Times New Roman" w:cs="Times New Roman"/>
          <w:sz w:val="24"/>
          <w:szCs w:val="24"/>
        </w:rPr>
        <w:t xml:space="preserve"> Georgia Power</w:t>
      </w:r>
      <w:r w:rsidR="402E9E84" w:rsidRPr="06F218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0AFB26D" w:rsidRPr="06F218A8">
        <w:rPr>
          <w:rFonts w:ascii="Times New Roman" w:eastAsia="Times New Roman" w:hAnsi="Times New Roman" w:cs="Times New Roman"/>
          <w:sz w:val="24"/>
          <w:szCs w:val="24"/>
        </w:rPr>
        <w:t xml:space="preserve">generation </w:t>
      </w:r>
      <w:r w:rsidR="00FC0FEA">
        <w:rPr>
          <w:rFonts w:ascii="Times New Roman" w:eastAsia="Times New Roman" w:hAnsi="Times New Roman" w:cs="Times New Roman"/>
          <w:sz w:val="24"/>
          <w:szCs w:val="24"/>
        </w:rPr>
        <w:t>requests for proposals (“</w:t>
      </w:r>
      <w:r w:rsidR="402E9E84" w:rsidRPr="06F218A8">
        <w:rPr>
          <w:rFonts w:ascii="Times New Roman" w:eastAsia="Times New Roman" w:hAnsi="Times New Roman" w:cs="Times New Roman"/>
          <w:sz w:val="24"/>
          <w:szCs w:val="24"/>
        </w:rPr>
        <w:t>RFP</w:t>
      </w:r>
      <w:r w:rsidR="00FC0FEA">
        <w:rPr>
          <w:rFonts w:ascii="Times New Roman" w:eastAsia="Times New Roman" w:hAnsi="Times New Roman" w:cs="Times New Roman"/>
          <w:sz w:val="24"/>
          <w:szCs w:val="24"/>
        </w:rPr>
        <w:t>”)</w:t>
      </w:r>
      <w:r w:rsidR="402E9E84" w:rsidRPr="06F218A8">
        <w:rPr>
          <w:rFonts w:ascii="Times New Roman" w:eastAsia="Times New Roman" w:hAnsi="Times New Roman" w:cs="Times New Roman"/>
          <w:sz w:val="24"/>
          <w:szCs w:val="24"/>
        </w:rPr>
        <w:t xml:space="preserve"> solicitations</w:t>
      </w:r>
      <w:r w:rsidR="4749F690" w:rsidRPr="06F218A8">
        <w:rPr>
          <w:rFonts w:ascii="Times New Roman" w:eastAsia="Times New Roman" w:hAnsi="Times New Roman" w:cs="Times New Roman"/>
          <w:sz w:val="24"/>
          <w:szCs w:val="24"/>
        </w:rPr>
        <w:t xml:space="preserve">. This project </w:t>
      </w:r>
      <w:r w:rsidR="065B353A" w:rsidRPr="06F218A8">
        <w:rPr>
          <w:rFonts w:ascii="Times New Roman" w:eastAsia="Times New Roman" w:hAnsi="Times New Roman" w:cs="Times New Roman"/>
          <w:sz w:val="24"/>
          <w:szCs w:val="24"/>
        </w:rPr>
        <w:t xml:space="preserve">provides a </w:t>
      </w:r>
      <w:r w:rsidR="00991325" w:rsidRPr="00825226">
        <w:rPr>
          <w:rFonts w:ascii="Times New Roman" w:eastAsia="Times New Roman" w:hAnsi="Times New Roman" w:cs="Times New Roman"/>
          <w:b/>
          <w:bCs/>
          <w:sz w:val="16"/>
          <w:szCs w:val="16"/>
        </w:rPr>
        <w:t>REDACTED</w:t>
      </w:r>
      <w:r w:rsidR="00991325" w:rsidRPr="00825226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  <w:r w:rsidR="065B353A" w:rsidRPr="06F218A8">
        <w:rPr>
          <w:rFonts w:ascii="Times New Roman" w:eastAsia="Times New Roman" w:hAnsi="Times New Roman" w:cs="Times New Roman"/>
          <w:sz w:val="24"/>
          <w:szCs w:val="24"/>
        </w:rPr>
        <w:t>reduction of loading o</w:t>
      </w:r>
      <w:r w:rsidR="0B7B9B8D" w:rsidRPr="06F218A8"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 w:rsidR="27A42B41" w:rsidRPr="06F218A8">
        <w:rPr>
          <w:rFonts w:ascii="Times New Roman" w:eastAsia="Times New Roman" w:hAnsi="Times New Roman" w:cs="Times New Roman"/>
          <w:sz w:val="24"/>
          <w:szCs w:val="24"/>
        </w:rPr>
        <w:t>Bonaire Primary</w:t>
      </w:r>
      <w:r w:rsidR="7345203B" w:rsidRPr="06F218A8">
        <w:rPr>
          <w:rFonts w:ascii="Times New Roman" w:eastAsia="Times New Roman" w:hAnsi="Times New Roman" w:cs="Times New Roman"/>
          <w:sz w:val="24"/>
          <w:szCs w:val="24"/>
        </w:rPr>
        <w:t>-Butler 230kV line</w:t>
      </w:r>
      <w:r w:rsidR="663F1B9B" w:rsidRPr="06F218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388C2170" w:rsidRPr="06F218A8">
        <w:rPr>
          <w:rFonts w:ascii="Times New Roman" w:eastAsia="Times New Roman" w:hAnsi="Times New Roman" w:cs="Times New Roman"/>
          <w:sz w:val="24"/>
          <w:szCs w:val="24"/>
        </w:rPr>
        <w:t>provide</w:t>
      </w:r>
      <w:r w:rsidR="2FECF0DD" w:rsidRPr="06F218A8">
        <w:rPr>
          <w:rFonts w:ascii="Times New Roman" w:eastAsia="Times New Roman" w:hAnsi="Times New Roman" w:cs="Times New Roman"/>
          <w:sz w:val="24"/>
          <w:szCs w:val="24"/>
        </w:rPr>
        <w:t>s</w:t>
      </w:r>
      <w:r w:rsidR="663F1B9B" w:rsidRPr="06F218A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572A2DE8" w:rsidRPr="06F218A8">
        <w:rPr>
          <w:rFonts w:ascii="Times New Roman" w:eastAsia="Times New Roman" w:hAnsi="Times New Roman" w:cs="Times New Roman"/>
          <w:sz w:val="24"/>
          <w:szCs w:val="24"/>
        </w:rPr>
        <w:t xml:space="preserve">new network connection </w:t>
      </w:r>
      <w:r w:rsidR="078873B8" w:rsidRPr="06F218A8">
        <w:rPr>
          <w:rFonts w:ascii="Times New Roman" w:eastAsia="Times New Roman" w:hAnsi="Times New Roman" w:cs="Times New Roman"/>
          <w:sz w:val="24"/>
          <w:szCs w:val="24"/>
        </w:rPr>
        <w:t>(South to North)</w:t>
      </w:r>
      <w:r w:rsidR="30AFB26D" w:rsidRPr="06F218A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74D69B1B" w:rsidRPr="06F218A8">
        <w:rPr>
          <w:rFonts w:ascii="Times New Roman" w:eastAsia="Times New Roman" w:hAnsi="Times New Roman" w:cs="Times New Roman"/>
          <w:sz w:val="24"/>
          <w:szCs w:val="24"/>
        </w:rPr>
        <w:t>increase</w:t>
      </w:r>
      <w:r w:rsidR="30AFB26D" w:rsidRPr="06F218A8">
        <w:rPr>
          <w:rFonts w:ascii="Times New Roman" w:eastAsia="Times New Roman" w:hAnsi="Times New Roman" w:cs="Times New Roman"/>
          <w:sz w:val="24"/>
          <w:szCs w:val="24"/>
        </w:rPr>
        <w:t>s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78873B8" w:rsidRPr="06F218A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available capacity on </w:t>
      </w:r>
      <w:r w:rsidR="7345203B" w:rsidRPr="06F218A8">
        <w:rPr>
          <w:rFonts w:ascii="Times New Roman" w:eastAsia="Times New Roman" w:hAnsi="Times New Roman" w:cs="Times New Roman"/>
          <w:sz w:val="24"/>
          <w:szCs w:val="24"/>
        </w:rPr>
        <w:t xml:space="preserve">this line from </w:t>
      </w:r>
      <w:r w:rsidR="00991325" w:rsidRPr="00EF3365">
        <w:rPr>
          <w:rFonts w:ascii="Times New Roman" w:eastAsia="Times New Roman" w:hAnsi="Times New Roman" w:cs="Times New Roman"/>
          <w:b/>
          <w:bCs/>
          <w:sz w:val="16"/>
          <w:szCs w:val="16"/>
        </w:rPr>
        <w:t>REDACTED</w:t>
      </w:r>
      <w:r w:rsidR="00991325" w:rsidRPr="00EF3365">
        <w:rPr>
          <w:rFonts w:ascii="Times New Roman" w:eastAsia="Times New Roman" w:hAnsi="Times New Roman" w:cs="Times New Roman"/>
        </w:rPr>
        <w:t xml:space="preserve"> </w:t>
      </w:r>
      <w:r w:rsidR="7345203B" w:rsidRPr="06F218A8">
        <w:rPr>
          <w:rFonts w:ascii="Times New Roman" w:eastAsia="Times New Roman" w:hAnsi="Times New Roman" w:cs="Times New Roman"/>
          <w:sz w:val="24"/>
          <w:szCs w:val="24"/>
        </w:rPr>
        <w:t xml:space="preserve">(Summer B rating) to </w:t>
      </w:r>
      <w:r w:rsidR="00991325" w:rsidRPr="00346A7F">
        <w:rPr>
          <w:rFonts w:ascii="Times New Roman" w:eastAsia="Times New Roman" w:hAnsi="Times New Roman" w:cs="Times New Roman"/>
          <w:b/>
          <w:bCs/>
          <w:sz w:val="16"/>
          <w:szCs w:val="16"/>
        </w:rPr>
        <w:t>REDACTED</w:t>
      </w:r>
      <w:r w:rsidR="00991325" w:rsidRPr="00346A7F">
        <w:rPr>
          <w:rFonts w:ascii="Times New Roman" w:eastAsia="Times New Roman" w:hAnsi="Times New Roman" w:cs="Times New Roman"/>
        </w:rPr>
        <w:t xml:space="preserve"> </w:t>
      </w:r>
      <w:r w:rsidR="572A2DE8" w:rsidRPr="06F218A8">
        <w:rPr>
          <w:rFonts w:ascii="Times New Roman" w:eastAsia="Times New Roman" w:hAnsi="Times New Roman" w:cs="Times New Roman"/>
          <w:sz w:val="24"/>
          <w:szCs w:val="24"/>
        </w:rPr>
        <w:t>(Summer B rating).</w:t>
      </w:r>
      <w:r w:rsidR="3F62EE31" w:rsidRPr="06F218A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32E8C92" w14:textId="77777777" w:rsidR="00A45876" w:rsidRPr="009808D6" w:rsidRDefault="00A45876" w:rsidP="00CA0B74">
      <w:pPr>
        <w:pStyle w:val="ListParagraph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ADCEF2" w14:textId="2DD59669" w:rsidR="00050FC5" w:rsidRPr="009808D6" w:rsidRDefault="00CA0B74" w:rsidP="00CA0B74">
      <w:pPr>
        <w:pStyle w:val="ListParagraph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6F218A8">
        <w:rPr>
          <w:rFonts w:ascii="Times New Roman" w:eastAsia="Times New Roman" w:hAnsi="Times New Roman" w:cs="Times New Roman"/>
          <w:sz w:val="24"/>
          <w:szCs w:val="24"/>
        </w:rPr>
        <w:lastRenderedPageBreak/>
        <w:t>Refer to Technical Appendix Volume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Section H1.A, Thermal Problems and Solutions Report (SHOTD) and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>ection H2 for load flow files.</w:t>
      </w:r>
    </w:p>
    <w:p w14:paraId="163ADB0F" w14:textId="399DB805" w:rsidR="00B568CE" w:rsidRPr="009808D6" w:rsidRDefault="6542A830" w:rsidP="00CA0B74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Please refer to STF-DEA-2-2 Attachment </w:t>
      </w:r>
      <w:r w:rsidR="42F7A023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6127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TRADE SECRET</w:t>
      </w:r>
      <w:r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the Metro West Working Group Study report.</w:t>
      </w:r>
    </w:p>
    <w:p w14:paraId="0BB91383" w14:textId="693618AE" w:rsidR="00D94A8D" w:rsidRPr="009808D6" w:rsidRDefault="37C3B90E" w:rsidP="00CA0B74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North Spa 230kV Strategic Project, in conjunction with the GTC: Tiger Creek – Rockville – North Spa 230kV project, aims to address the evolving dynamics within the Georgia ITS, primarily driven by the changes in generation and forecasted load growth. This project involves 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building a new 230kV switching station and looping in the East Social Circle - Oasis (White) 230kV line. Additionally, this project builds a new 230kV line to Cornish Mountain from North Spa and </w:t>
      </w:r>
      <w:r w:rsidR="619B794A" w:rsidRPr="06F218A8">
        <w:rPr>
          <w:rFonts w:ascii="Times New Roman" w:eastAsia="Times New Roman" w:hAnsi="Times New Roman" w:cs="Times New Roman"/>
          <w:sz w:val="24"/>
          <w:szCs w:val="24"/>
        </w:rPr>
        <w:t>terminates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 the new 230kV line from Rockville 230kV </w:t>
      </w:r>
      <w:r w:rsidR="58A05DC0" w:rsidRPr="06F218A8">
        <w:rPr>
          <w:rFonts w:ascii="Times New Roman" w:eastAsia="Times New Roman" w:hAnsi="Times New Roman" w:cs="Times New Roman"/>
          <w:sz w:val="24"/>
          <w:szCs w:val="24"/>
        </w:rPr>
        <w:t xml:space="preserve">station </w:t>
      </w:r>
      <w:r w:rsidR="17DFDBAA" w:rsidRPr="06F218A8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 the North Spa station. </w:t>
      </w:r>
      <w:r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decision to undertake this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 project stems from the necessity to enhance available transmission capacity and mitigate thermal limits resulting from 230 kV contingencies under NERC TPL-001-5. This project will reduce </w:t>
      </w:r>
      <w:r w:rsidR="06F03264" w:rsidRPr="06F218A8">
        <w:rPr>
          <w:rFonts w:ascii="Times New Roman" w:eastAsia="Times New Roman" w:hAnsi="Times New Roman" w:cs="Times New Roman"/>
          <w:sz w:val="24"/>
          <w:szCs w:val="24"/>
        </w:rPr>
        <w:t>loading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 and increase available capacity on various circuits, thereby alleviating or reducing thermal constraints on critical circuits under contingency scenarios. </w:t>
      </w:r>
      <w:r w:rsidR="3BEA88F3" w:rsidRPr="06F218A8">
        <w:rPr>
          <w:rFonts w:ascii="Times New Roman" w:eastAsia="Times New Roman" w:hAnsi="Times New Roman" w:cs="Times New Roman"/>
          <w:sz w:val="24"/>
          <w:szCs w:val="24"/>
        </w:rPr>
        <w:t xml:space="preserve">In addition, </w:t>
      </w:r>
      <w:r w:rsidR="3BEA88F3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it provides an additional 230kV corridor from </w:t>
      </w:r>
      <w:r w:rsidR="1C19764D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3BEA88F3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Central region into </w:t>
      </w:r>
      <w:r w:rsidR="794F19F0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3BEA88F3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Metro East area and minimizes outage impacts to the transmission system.</w:t>
      </w:r>
      <w:r w:rsidR="55B20A71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This project reduces </w:t>
      </w:r>
      <w:r w:rsidR="3F62EE31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loading on the following circuits:</w:t>
      </w:r>
    </w:p>
    <w:tbl>
      <w:tblPr>
        <w:tblW w:w="771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2283"/>
        <w:gridCol w:w="2599"/>
      </w:tblGrid>
      <w:tr w:rsidR="00D074A5" w:rsidRPr="00D074A5" w14:paraId="1EC2DEA9" w14:textId="77777777" w:rsidTr="06F218A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9EF4A9" w14:textId="77777777" w:rsidR="00D074A5" w:rsidRPr="009808D6" w:rsidRDefault="00D074A5" w:rsidP="06F218A8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Facility Name​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71CBB48" w14:textId="77777777" w:rsidR="00D074A5" w:rsidRPr="009808D6" w:rsidRDefault="00D074A5" w:rsidP="06F218A8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Facility Rating</w:t>
            </w:r>
          </w:p>
          <w:p w14:paraId="1449825E" w14:textId="77777777" w:rsidR="00D074A5" w:rsidRPr="009808D6" w:rsidRDefault="00D074A5" w:rsidP="06F218A8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(MVA)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1B0605" w14:textId="77777777" w:rsidR="00D074A5" w:rsidRPr="009808D6" w:rsidRDefault="00D074A5" w:rsidP="06F218A8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Loading Reduction​</w:t>
            </w:r>
          </w:p>
        </w:tc>
      </w:tr>
      <w:tr w:rsidR="00991325" w:rsidRPr="00D074A5" w14:paraId="17902D23" w14:textId="77777777" w:rsidTr="0047698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E4C200" w14:textId="77777777" w:rsidR="00991325" w:rsidRPr="009808D6" w:rsidRDefault="00991325" w:rsidP="00991325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sz w:val="24"/>
                <w:szCs w:val="24"/>
              </w:rPr>
              <w:t>Branch – Eatonton #2 230kV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6F35437" w14:textId="60CDAECF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3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F29021" w14:textId="24F85749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</w:tr>
      <w:tr w:rsidR="00991325" w:rsidRPr="00D074A5" w14:paraId="1E68496C" w14:textId="77777777" w:rsidTr="0047698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2067F7" w14:textId="77777777" w:rsidR="00991325" w:rsidRPr="009808D6" w:rsidRDefault="00991325" w:rsidP="00991325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sz w:val="24"/>
                <w:szCs w:val="24"/>
              </w:rPr>
              <w:t>Branch – Oasis 230kV​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34136D0" w14:textId="2A34307F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3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E0995D" w14:textId="41EF97BC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</w:tr>
      <w:tr w:rsidR="00991325" w:rsidRPr="00D074A5" w14:paraId="41CDD9E6" w14:textId="77777777" w:rsidTr="0047698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D57666" w14:textId="77777777" w:rsidR="00991325" w:rsidRPr="009808D6" w:rsidRDefault="00991325" w:rsidP="00991325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sz w:val="24"/>
                <w:szCs w:val="24"/>
              </w:rPr>
              <w:t>Branch – Glenwood Springs 230kV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2BE972" w14:textId="289FD7A3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3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A76B57" w14:textId="5E7BE426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</w:tr>
      <w:tr w:rsidR="00991325" w:rsidRPr="00D074A5" w14:paraId="74733E43" w14:textId="77777777" w:rsidTr="0047698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12D189C" w14:textId="77777777" w:rsidR="00991325" w:rsidRPr="009808D6" w:rsidRDefault="00991325" w:rsidP="00991325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sz w:val="24"/>
                <w:szCs w:val="24"/>
              </w:rPr>
              <w:t>Branch – Tiger Creek (White) 230kV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A15DA2A" w14:textId="4C9E6FF4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3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35F274C" w14:textId="7382D598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</w:tr>
      <w:tr w:rsidR="00991325" w:rsidRPr="00D074A5" w14:paraId="0BFF9EBC" w14:textId="77777777" w:rsidTr="0047698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287E43" w14:textId="77777777" w:rsidR="00991325" w:rsidRPr="009808D6" w:rsidRDefault="00991325" w:rsidP="00991325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sz w:val="24"/>
                <w:szCs w:val="24"/>
              </w:rPr>
              <w:t>Branch – Tiger Creek (Black) 230kV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8095CD" w14:textId="42637226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3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FF9B8E" w14:textId="796A16F2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</w:tr>
      <w:tr w:rsidR="00991325" w:rsidRPr="00D074A5" w14:paraId="31CF2CEE" w14:textId="77777777" w:rsidTr="0047698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879476B" w14:textId="77777777" w:rsidR="00991325" w:rsidRPr="009808D6" w:rsidRDefault="00991325" w:rsidP="00991325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sz w:val="24"/>
                <w:szCs w:val="24"/>
              </w:rPr>
              <w:t>East Walton 500/230kV auto-transformer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B5CBC2" w14:textId="4C7778F5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3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C569CEE" w14:textId="5B4AD9A5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</w:tr>
      <w:tr w:rsidR="00991325" w:rsidRPr="00D074A5" w14:paraId="64C3DCF4" w14:textId="77777777" w:rsidTr="0047698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3FB7176" w14:textId="77777777" w:rsidR="00991325" w:rsidRPr="009808D6" w:rsidRDefault="00991325" w:rsidP="00991325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sz w:val="24"/>
                <w:szCs w:val="24"/>
              </w:rPr>
              <w:t>Bostwick - East Walton 230kV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03CB541" w14:textId="1B054E63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3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023BFC" w14:textId="663FE86D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</w:tr>
      <w:tr w:rsidR="00991325" w:rsidRPr="00D074A5" w14:paraId="6789B7F2" w14:textId="77777777" w:rsidTr="00476988">
        <w:trPr>
          <w:trHeight w:val="300"/>
          <w:jc w:val="center"/>
        </w:trPr>
        <w:tc>
          <w:tcPr>
            <w:tcW w:w="28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9007580" w14:textId="77777777" w:rsidR="00991325" w:rsidRPr="009808D6" w:rsidRDefault="00991325" w:rsidP="00991325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F218A8">
              <w:rPr>
                <w:rFonts w:ascii="Times New Roman" w:eastAsia="Times New Roman" w:hAnsi="Times New Roman" w:cs="Times New Roman"/>
                <w:sz w:val="24"/>
                <w:szCs w:val="24"/>
              </w:rPr>
              <w:t>East Walton – Jack Creek 230kV</w:t>
            </w:r>
          </w:p>
        </w:tc>
        <w:tc>
          <w:tcPr>
            <w:tcW w:w="22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1A888D1" w14:textId="60E0E4F1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3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  <w:tc>
          <w:tcPr>
            <w:tcW w:w="25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995812F" w14:textId="59350934" w:rsidR="00991325" w:rsidRPr="009808D6" w:rsidRDefault="00991325" w:rsidP="00476988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REDACTED</w:t>
            </w:r>
          </w:p>
        </w:tc>
      </w:tr>
    </w:tbl>
    <w:p w14:paraId="24820501" w14:textId="77777777" w:rsidR="00B568CE" w:rsidRPr="009808D6" w:rsidRDefault="00B568CE" w:rsidP="06F218A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582D5F8" w14:textId="4778D426" w:rsidR="00AE07FA" w:rsidRPr="009808D6" w:rsidRDefault="00CA0B74" w:rsidP="00CA0B74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6F218A8">
        <w:rPr>
          <w:rFonts w:ascii="Times New Roman" w:eastAsia="Times New Roman" w:hAnsi="Times New Roman" w:cs="Times New Roman"/>
          <w:sz w:val="24"/>
          <w:szCs w:val="24"/>
        </w:rPr>
        <w:lastRenderedPageBreak/>
        <w:t>Refer to Technical Appendix Volume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 xml:space="preserve">Section H1.A, Thermal Problems and Solutions Report (SHOTD) and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6F218A8">
        <w:rPr>
          <w:rFonts w:ascii="Times New Roman" w:eastAsia="Times New Roman" w:hAnsi="Times New Roman" w:cs="Times New Roman"/>
          <w:sz w:val="24"/>
          <w:szCs w:val="24"/>
        </w:rPr>
        <w:t>ection H2 for load flow files.</w:t>
      </w:r>
      <w:r w:rsidR="0C4D39D0" w:rsidRPr="06F218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CC1F4AB" w14:textId="205FC086" w:rsidR="0C225657" w:rsidRPr="00A418E1" w:rsidRDefault="60DD2E41" w:rsidP="00CA0B7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refer to STF-</w:t>
      </w:r>
      <w:r w:rsidR="10DA1D7F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DEA</w:t>
      </w:r>
      <w:r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-2-</w:t>
      </w:r>
      <w:r w:rsidR="44B8579A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Attachment </w:t>
      </w:r>
      <w:r w:rsidR="5D133340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</w:t>
      </w:r>
      <w:r w:rsidR="00D07516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27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TRADE SECRET </w:t>
      </w:r>
      <w:r w:rsidR="00D07516" w:rsidRPr="06F218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the Goshen Area Working Group Study report.</w:t>
      </w:r>
    </w:p>
    <w:sectPr w:rsidR="0C225657" w:rsidRPr="00A418E1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F3DF9" w14:textId="77777777" w:rsidR="006575C3" w:rsidRDefault="006575C3">
      <w:pPr>
        <w:spacing w:after="0" w:line="240" w:lineRule="auto"/>
      </w:pPr>
      <w:r>
        <w:separator/>
      </w:r>
    </w:p>
  </w:endnote>
  <w:endnote w:type="continuationSeparator" w:id="0">
    <w:p w14:paraId="1508402E" w14:textId="77777777" w:rsidR="006575C3" w:rsidRDefault="006575C3">
      <w:pPr>
        <w:spacing w:after="0" w:line="240" w:lineRule="auto"/>
      </w:pPr>
      <w:r>
        <w:continuationSeparator/>
      </w:r>
    </w:p>
  </w:endnote>
  <w:endnote w:type="continuationNotice" w:id="1">
    <w:p w14:paraId="36B2C1A2" w14:textId="77777777" w:rsidR="006575C3" w:rsidRDefault="006575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8BBC" w14:textId="77777777" w:rsidR="00F557B4" w:rsidRDefault="00F557B4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716"/>
      <w:gridCol w:w="4644"/>
    </w:tblGrid>
    <w:tr w:rsidR="00F557B4" w14:paraId="2429BF21" w14:textId="77777777">
      <w:trPr>
        <w:jc w:val="center"/>
      </w:trPr>
      <w:tc>
        <w:tcPr>
          <w:tcW w:w="5400" w:type="dxa"/>
        </w:tcPr>
        <w:p w14:paraId="3DCF5602" w14:textId="77777777" w:rsidR="00F557B4" w:rsidRDefault="004A0B2B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562352BB" w14:textId="767C1740" w:rsidR="00F557B4" w:rsidRDefault="004A0B2B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 w:rsidR="009549FF"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 w:rsidR="009549FF"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E3992" w14:textId="77777777" w:rsidR="006575C3" w:rsidRDefault="006575C3">
      <w:pPr>
        <w:spacing w:after="0" w:line="240" w:lineRule="auto"/>
      </w:pPr>
      <w:r>
        <w:separator/>
      </w:r>
    </w:p>
  </w:footnote>
  <w:footnote w:type="continuationSeparator" w:id="0">
    <w:p w14:paraId="6602BE7B" w14:textId="77777777" w:rsidR="006575C3" w:rsidRDefault="006575C3">
      <w:pPr>
        <w:spacing w:after="0" w:line="240" w:lineRule="auto"/>
      </w:pPr>
      <w:r>
        <w:continuationSeparator/>
      </w:r>
    </w:p>
  </w:footnote>
  <w:footnote w:type="continuationNotice" w:id="1">
    <w:p w14:paraId="7C084BEC" w14:textId="77777777" w:rsidR="006575C3" w:rsidRDefault="006575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DDB90" w14:textId="40BB4A4B" w:rsidR="00B57F83" w:rsidRPr="00991325" w:rsidRDefault="00991325" w:rsidP="00463BE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91325">
      <w:rPr>
        <w:rFonts w:ascii="Times New Roman" w:eastAsia="Times New Roman" w:hAnsi="Times New Roman" w:cs="Times New Roman"/>
        <w:b/>
        <w:bCs/>
        <w:sz w:val="24"/>
        <w:szCs w:val="24"/>
      </w:rPr>
      <w:t>PUBLIC DISCLOSURE</w:t>
    </w:r>
  </w:p>
  <w:p w14:paraId="0C72AAEE" w14:textId="0D7E4D08" w:rsidR="00463BE1" w:rsidRPr="005801E0" w:rsidRDefault="00463BE1" w:rsidP="00463BE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26141200" w14:textId="77777777" w:rsidR="00463BE1" w:rsidRDefault="00463BE1" w:rsidP="00463BE1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16CCD67" w14:textId="77777777" w:rsidR="00F557B4" w:rsidRDefault="00F557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C705B9E"/>
    <w:multiLevelType w:val="hybridMultilevel"/>
    <w:tmpl w:val="0CE058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0A3FB6"/>
    <w:multiLevelType w:val="hybridMultilevel"/>
    <w:tmpl w:val="247E6372"/>
    <w:lvl w:ilvl="0" w:tplc="884A0E3E">
      <w:start w:val="1"/>
      <w:numFmt w:val="lowerLetter"/>
      <w:lvlText w:val="%1."/>
      <w:lvlJc w:val="left"/>
      <w:pPr>
        <w:ind w:left="720" w:hanging="360"/>
      </w:pPr>
    </w:lvl>
    <w:lvl w:ilvl="1" w:tplc="E2A0AC8C">
      <w:start w:val="1"/>
      <w:numFmt w:val="lowerLetter"/>
      <w:lvlText w:val="%2."/>
      <w:lvlJc w:val="left"/>
      <w:pPr>
        <w:ind w:left="1440" w:hanging="360"/>
      </w:pPr>
    </w:lvl>
    <w:lvl w:ilvl="2" w:tplc="F36E45F0">
      <w:start w:val="1"/>
      <w:numFmt w:val="lowerRoman"/>
      <w:lvlText w:val="%3."/>
      <w:lvlJc w:val="right"/>
      <w:pPr>
        <w:ind w:left="2160" w:hanging="180"/>
      </w:pPr>
    </w:lvl>
    <w:lvl w:ilvl="3" w:tplc="83C4964A">
      <w:start w:val="1"/>
      <w:numFmt w:val="decimal"/>
      <w:lvlText w:val="%4."/>
      <w:lvlJc w:val="left"/>
      <w:pPr>
        <w:ind w:left="2880" w:hanging="360"/>
      </w:pPr>
    </w:lvl>
    <w:lvl w:ilvl="4" w:tplc="140A32A8">
      <w:start w:val="1"/>
      <w:numFmt w:val="lowerLetter"/>
      <w:lvlText w:val="%5."/>
      <w:lvlJc w:val="left"/>
      <w:pPr>
        <w:ind w:left="3600" w:hanging="360"/>
      </w:pPr>
    </w:lvl>
    <w:lvl w:ilvl="5" w:tplc="A4280B3A">
      <w:start w:val="1"/>
      <w:numFmt w:val="lowerRoman"/>
      <w:lvlText w:val="%6."/>
      <w:lvlJc w:val="right"/>
      <w:pPr>
        <w:ind w:left="4320" w:hanging="180"/>
      </w:pPr>
    </w:lvl>
    <w:lvl w:ilvl="6" w:tplc="EE5835D2">
      <w:start w:val="1"/>
      <w:numFmt w:val="decimal"/>
      <w:lvlText w:val="%7."/>
      <w:lvlJc w:val="left"/>
      <w:pPr>
        <w:ind w:left="5040" w:hanging="360"/>
      </w:pPr>
    </w:lvl>
    <w:lvl w:ilvl="7" w:tplc="1220AFF4">
      <w:start w:val="1"/>
      <w:numFmt w:val="lowerLetter"/>
      <w:lvlText w:val="%8."/>
      <w:lvlJc w:val="left"/>
      <w:pPr>
        <w:ind w:left="5760" w:hanging="360"/>
      </w:pPr>
    </w:lvl>
    <w:lvl w:ilvl="8" w:tplc="A8320B7E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153631">
    <w:abstractNumId w:val="10"/>
  </w:num>
  <w:num w:numId="2" w16cid:durableId="813066476">
    <w:abstractNumId w:val="8"/>
  </w:num>
  <w:num w:numId="3" w16cid:durableId="1423187195">
    <w:abstractNumId w:val="6"/>
  </w:num>
  <w:num w:numId="4" w16cid:durableId="86465637">
    <w:abstractNumId w:val="5"/>
  </w:num>
  <w:num w:numId="5" w16cid:durableId="1896355383">
    <w:abstractNumId w:val="4"/>
  </w:num>
  <w:num w:numId="6" w16cid:durableId="756484208">
    <w:abstractNumId w:val="7"/>
  </w:num>
  <w:num w:numId="7" w16cid:durableId="1879463206">
    <w:abstractNumId w:val="3"/>
  </w:num>
  <w:num w:numId="8" w16cid:durableId="834685328">
    <w:abstractNumId w:val="2"/>
  </w:num>
  <w:num w:numId="9" w16cid:durableId="1477070167">
    <w:abstractNumId w:val="1"/>
  </w:num>
  <w:num w:numId="10" w16cid:durableId="1056511016">
    <w:abstractNumId w:val="0"/>
  </w:num>
  <w:num w:numId="11" w16cid:durableId="19600689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3B89"/>
    <w:rsid w:val="000316FC"/>
    <w:rsid w:val="00034616"/>
    <w:rsid w:val="00043D0B"/>
    <w:rsid w:val="00050FC5"/>
    <w:rsid w:val="0006063C"/>
    <w:rsid w:val="00073623"/>
    <w:rsid w:val="00093490"/>
    <w:rsid w:val="00101752"/>
    <w:rsid w:val="00127B3C"/>
    <w:rsid w:val="0015074B"/>
    <w:rsid w:val="00152C55"/>
    <w:rsid w:val="00172512"/>
    <w:rsid w:val="0018440A"/>
    <w:rsid w:val="001A63C5"/>
    <w:rsid w:val="001B01EA"/>
    <w:rsid w:val="001B7ED2"/>
    <w:rsid w:val="002058E1"/>
    <w:rsid w:val="00252BCC"/>
    <w:rsid w:val="0026496D"/>
    <w:rsid w:val="002655FD"/>
    <w:rsid w:val="0029639D"/>
    <w:rsid w:val="002E45B7"/>
    <w:rsid w:val="00325E6A"/>
    <w:rsid w:val="00326F90"/>
    <w:rsid w:val="003417A5"/>
    <w:rsid w:val="00346A7F"/>
    <w:rsid w:val="003B0D85"/>
    <w:rsid w:val="003B6779"/>
    <w:rsid w:val="003F340F"/>
    <w:rsid w:val="004516C3"/>
    <w:rsid w:val="0045607D"/>
    <w:rsid w:val="00463BE1"/>
    <w:rsid w:val="00476988"/>
    <w:rsid w:val="00480844"/>
    <w:rsid w:val="004A0B2B"/>
    <w:rsid w:val="004B56A7"/>
    <w:rsid w:val="004E5514"/>
    <w:rsid w:val="004F7DA0"/>
    <w:rsid w:val="0052405E"/>
    <w:rsid w:val="00524092"/>
    <w:rsid w:val="005941AC"/>
    <w:rsid w:val="005C117E"/>
    <w:rsid w:val="005E3815"/>
    <w:rsid w:val="006127E7"/>
    <w:rsid w:val="006575C3"/>
    <w:rsid w:val="00661A77"/>
    <w:rsid w:val="006A7A0C"/>
    <w:rsid w:val="006B5A4E"/>
    <w:rsid w:val="006C3D6C"/>
    <w:rsid w:val="006D0294"/>
    <w:rsid w:val="00704D48"/>
    <w:rsid w:val="00722EF1"/>
    <w:rsid w:val="00736AB5"/>
    <w:rsid w:val="007403B4"/>
    <w:rsid w:val="007412DF"/>
    <w:rsid w:val="007761FE"/>
    <w:rsid w:val="00780017"/>
    <w:rsid w:val="00792133"/>
    <w:rsid w:val="007A7602"/>
    <w:rsid w:val="007B7104"/>
    <w:rsid w:val="007D5F32"/>
    <w:rsid w:val="007E2ADB"/>
    <w:rsid w:val="00825226"/>
    <w:rsid w:val="00847579"/>
    <w:rsid w:val="008A11A0"/>
    <w:rsid w:val="008B5E99"/>
    <w:rsid w:val="008C42B7"/>
    <w:rsid w:val="008E27AF"/>
    <w:rsid w:val="008E4A0B"/>
    <w:rsid w:val="008F7D69"/>
    <w:rsid w:val="009132D7"/>
    <w:rsid w:val="0091342D"/>
    <w:rsid w:val="00920727"/>
    <w:rsid w:val="00926500"/>
    <w:rsid w:val="009549FF"/>
    <w:rsid w:val="009808D6"/>
    <w:rsid w:val="00991325"/>
    <w:rsid w:val="009C63DB"/>
    <w:rsid w:val="009E3591"/>
    <w:rsid w:val="009E5448"/>
    <w:rsid w:val="009F02A6"/>
    <w:rsid w:val="00A418E1"/>
    <w:rsid w:val="00A45876"/>
    <w:rsid w:val="00A579A1"/>
    <w:rsid w:val="00AA1D8D"/>
    <w:rsid w:val="00AC5BB5"/>
    <w:rsid w:val="00AE07FA"/>
    <w:rsid w:val="00AF17C0"/>
    <w:rsid w:val="00B32150"/>
    <w:rsid w:val="00B47730"/>
    <w:rsid w:val="00B568CE"/>
    <w:rsid w:val="00B568FF"/>
    <w:rsid w:val="00B57F83"/>
    <w:rsid w:val="00BE4EC2"/>
    <w:rsid w:val="00C02690"/>
    <w:rsid w:val="00C21E6C"/>
    <w:rsid w:val="00C23A54"/>
    <w:rsid w:val="00C35732"/>
    <w:rsid w:val="00C37595"/>
    <w:rsid w:val="00C43270"/>
    <w:rsid w:val="00C451DD"/>
    <w:rsid w:val="00CA0B74"/>
    <w:rsid w:val="00CB0664"/>
    <w:rsid w:val="00D01A2A"/>
    <w:rsid w:val="00D074A5"/>
    <w:rsid w:val="00D07516"/>
    <w:rsid w:val="00D61877"/>
    <w:rsid w:val="00D94A8D"/>
    <w:rsid w:val="00DE0D61"/>
    <w:rsid w:val="00DF2E3B"/>
    <w:rsid w:val="00E33C3D"/>
    <w:rsid w:val="00E53E5B"/>
    <w:rsid w:val="00E60136"/>
    <w:rsid w:val="00E73E26"/>
    <w:rsid w:val="00E92FEF"/>
    <w:rsid w:val="00EA5E84"/>
    <w:rsid w:val="00EF3365"/>
    <w:rsid w:val="00F557B4"/>
    <w:rsid w:val="00F90381"/>
    <w:rsid w:val="00FC0FEA"/>
    <w:rsid w:val="00FC693F"/>
    <w:rsid w:val="00FD4276"/>
    <w:rsid w:val="00FF0F76"/>
    <w:rsid w:val="02864EBC"/>
    <w:rsid w:val="055B1EB2"/>
    <w:rsid w:val="065262FF"/>
    <w:rsid w:val="065B353A"/>
    <w:rsid w:val="06F03264"/>
    <w:rsid w:val="06F218A8"/>
    <w:rsid w:val="078873B8"/>
    <w:rsid w:val="0806AC3E"/>
    <w:rsid w:val="088694AB"/>
    <w:rsid w:val="09AD5E1F"/>
    <w:rsid w:val="09B3F455"/>
    <w:rsid w:val="09DD3896"/>
    <w:rsid w:val="0ADB0BB3"/>
    <w:rsid w:val="0B52D433"/>
    <w:rsid w:val="0B76E550"/>
    <w:rsid w:val="0B7B9B8D"/>
    <w:rsid w:val="0C225657"/>
    <w:rsid w:val="0C4D39D0"/>
    <w:rsid w:val="0DE0A3E6"/>
    <w:rsid w:val="10690250"/>
    <w:rsid w:val="10DA1D7F"/>
    <w:rsid w:val="1104C2F8"/>
    <w:rsid w:val="1520EBF8"/>
    <w:rsid w:val="16F6811F"/>
    <w:rsid w:val="170EF9B5"/>
    <w:rsid w:val="17116547"/>
    <w:rsid w:val="17DFDBAA"/>
    <w:rsid w:val="1BC9C82C"/>
    <w:rsid w:val="1C19764D"/>
    <w:rsid w:val="1C6666D1"/>
    <w:rsid w:val="1D2D8A7D"/>
    <w:rsid w:val="1D6F6FD1"/>
    <w:rsid w:val="1DE36D1F"/>
    <w:rsid w:val="1EE40878"/>
    <w:rsid w:val="1FA19F69"/>
    <w:rsid w:val="1FDFA41A"/>
    <w:rsid w:val="202DC8E2"/>
    <w:rsid w:val="219FFB32"/>
    <w:rsid w:val="21AEADD8"/>
    <w:rsid w:val="22FCF238"/>
    <w:rsid w:val="231FEB93"/>
    <w:rsid w:val="27A42B41"/>
    <w:rsid w:val="28ECDE12"/>
    <w:rsid w:val="2B76A71B"/>
    <w:rsid w:val="2C755986"/>
    <w:rsid w:val="2D1ECF00"/>
    <w:rsid w:val="2D7F3280"/>
    <w:rsid w:val="2DACC4D1"/>
    <w:rsid w:val="2FECF0DD"/>
    <w:rsid w:val="30AFB26D"/>
    <w:rsid w:val="3151E6FB"/>
    <w:rsid w:val="31926436"/>
    <w:rsid w:val="365CAEFA"/>
    <w:rsid w:val="37A26F34"/>
    <w:rsid w:val="37C3B90E"/>
    <w:rsid w:val="37D89DFC"/>
    <w:rsid w:val="388C2170"/>
    <w:rsid w:val="39954A53"/>
    <w:rsid w:val="3A0E9A45"/>
    <w:rsid w:val="3B6F274C"/>
    <w:rsid w:val="3B708821"/>
    <w:rsid w:val="3BEA88F3"/>
    <w:rsid w:val="3F62EE31"/>
    <w:rsid w:val="3F7C8356"/>
    <w:rsid w:val="3F8647AF"/>
    <w:rsid w:val="3F9C7AED"/>
    <w:rsid w:val="402E9E84"/>
    <w:rsid w:val="421FC30B"/>
    <w:rsid w:val="42F4CCA4"/>
    <w:rsid w:val="42F7A023"/>
    <w:rsid w:val="44B8579A"/>
    <w:rsid w:val="450BB5FE"/>
    <w:rsid w:val="45A185C5"/>
    <w:rsid w:val="460A32EE"/>
    <w:rsid w:val="4667CA9B"/>
    <w:rsid w:val="4749F690"/>
    <w:rsid w:val="48A51A6F"/>
    <w:rsid w:val="49CAEA05"/>
    <w:rsid w:val="4A50F3CB"/>
    <w:rsid w:val="4F1A4E09"/>
    <w:rsid w:val="5153BF9D"/>
    <w:rsid w:val="5306FF7F"/>
    <w:rsid w:val="5436FAD1"/>
    <w:rsid w:val="543A30F2"/>
    <w:rsid w:val="554FD315"/>
    <w:rsid w:val="55B20A71"/>
    <w:rsid w:val="56201026"/>
    <w:rsid w:val="56CB1D3E"/>
    <w:rsid w:val="572A2DE8"/>
    <w:rsid w:val="58A05DC0"/>
    <w:rsid w:val="59B83654"/>
    <w:rsid w:val="5B365347"/>
    <w:rsid w:val="5D133340"/>
    <w:rsid w:val="5DE76BDC"/>
    <w:rsid w:val="5F414AB5"/>
    <w:rsid w:val="60DD2E41"/>
    <w:rsid w:val="619B794A"/>
    <w:rsid w:val="61D039E8"/>
    <w:rsid w:val="620DE3AE"/>
    <w:rsid w:val="62398B40"/>
    <w:rsid w:val="6542A830"/>
    <w:rsid w:val="659EF6A0"/>
    <w:rsid w:val="65BACFCB"/>
    <w:rsid w:val="663F1B9B"/>
    <w:rsid w:val="69F9C807"/>
    <w:rsid w:val="6A2BDCDA"/>
    <w:rsid w:val="6AB218D2"/>
    <w:rsid w:val="6CA94135"/>
    <w:rsid w:val="6E7B47C5"/>
    <w:rsid w:val="6EAD716A"/>
    <w:rsid w:val="6F540C8A"/>
    <w:rsid w:val="71A2AB73"/>
    <w:rsid w:val="71E1457A"/>
    <w:rsid w:val="72497F47"/>
    <w:rsid w:val="7345203B"/>
    <w:rsid w:val="7353E4CE"/>
    <w:rsid w:val="74D69B1B"/>
    <w:rsid w:val="75C03AAA"/>
    <w:rsid w:val="779249EE"/>
    <w:rsid w:val="794F19F0"/>
    <w:rsid w:val="7C096903"/>
    <w:rsid w:val="7CC94DCA"/>
    <w:rsid w:val="7F75D11A"/>
    <w:rsid w:val="7F9049F9"/>
    <w:rsid w:val="7FC7F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5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512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72512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655FD"/>
    <w:pPr>
      <w:spacing w:after="0" w:line="240" w:lineRule="auto"/>
    </w:pPr>
  </w:style>
  <w:style w:type="table" w:styleId="GridTable1Light">
    <w:name w:val="Grid Table 1 Light"/>
    <w:basedOn w:val="TableNormal"/>
    <w:uiPriority w:val="46"/>
    <w:rsid w:val="002655FD"/>
    <w:pPr>
      <w:spacing w:after="0" w:line="240" w:lineRule="auto"/>
    </w:pPr>
    <w:rPr>
      <w:sz w:val="24"/>
      <w:szCs w:val="24"/>
      <w:lang w:eastAsia="ja-JP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B31E98-44F4-4A74-AC00-D04A931DB849}"/>
</file>

<file path=customXml/itemProps2.xml><?xml version="1.0" encoding="utf-8"?>
<ds:datastoreItem xmlns:ds="http://schemas.openxmlformats.org/officeDocument/2006/customXml" ds:itemID="{F805BBFC-35EA-49C1-8EC9-0DC40FE9E5D4}"/>
</file>

<file path=customXml/itemProps3.xml><?xml version="1.0" encoding="utf-8"?>
<ds:datastoreItem xmlns:ds="http://schemas.openxmlformats.org/officeDocument/2006/customXml" ds:itemID="{379DA541-B0A9-41B0-9318-A8CE32BA2A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3295</Characters>
  <Application>Microsoft Office Word</Application>
  <DocSecurity>0</DocSecurity>
  <Lines>27</Lines>
  <Paragraphs>7</Paragraphs>
  <ScaleCrop>false</ScaleCrop>
  <Manager/>
  <Company/>
  <LinksUpToDate>false</LinksUpToDate>
  <CharactersWithSpaces>3866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2025-03-17T14:47:07Z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83ca9714-326f-4646-bcc4-9954097aa047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