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BABE" w14:textId="603D95DC" w:rsidR="00354763" w:rsidRDefault="00424B4E" w:rsidP="418D911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99B0CBB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STF-DEA-2-22</w:t>
      </w:r>
    </w:p>
    <w:p w14:paraId="05300BFB" w14:textId="77777777" w:rsidR="00354763" w:rsidRDefault="00424B4E" w:rsidP="418D9111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418D9111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1F484087" w14:textId="77777777" w:rsidR="00354763" w:rsidRDefault="00424B4E" w:rsidP="0037215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18D9111">
        <w:rPr>
          <w:rFonts w:ascii="Times New Roman" w:eastAsia="Times New Roman" w:hAnsi="Times New Roman" w:cs="Times New Roman"/>
          <w:sz w:val="24"/>
          <w:szCs w:val="24"/>
        </w:rPr>
        <w:t>Please refer to p. 195 of the “2024 GA ITS Ten-Year Plan,” within the “2025 IRP Volume 3 TRADE SECRET,” regarding the South Bainbridge - Sinai (FPL) 115kV Line Rebuild and respond to the following questions:</w:t>
      </w:r>
    </w:p>
    <w:p w14:paraId="31E03231" w14:textId="6E54F29E" w:rsidR="00354763" w:rsidRPr="000D430F" w:rsidRDefault="00424B4E" w:rsidP="00372154">
      <w:pPr>
        <w:spacing w:after="12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154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0D430F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0F">
        <w:rPr>
          <w:rFonts w:ascii="Times New Roman" w:eastAsia="Times New Roman" w:hAnsi="Times New Roman" w:cs="Times New Roman"/>
          <w:sz w:val="24"/>
          <w:szCs w:val="24"/>
        </w:rPr>
        <w:t>What reliability concerns have been identified for the South Bainbridge - Sinai (FPL) 115kV line?</w:t>
      </w:r>
    </w:p>
    <w:p w14:paraId="00F24FA8" w14:textId="2B07206A" w:rsidR="00354763" w:rsidRPr="000D430F" w:rsidRDefault="00424B4E" w:rsidP="00372154">
      <w:pPr>
        <w:spacing w:after="12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154"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0D430F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0F">
        <w:rPr>
          <w:rFonts w:ascii="Times New Roman" w:eastAsia="Times New Roman" w:hAnsi="Times New Roman" w:cs="Times New Roman"/>
          <w:sz w:val="24"/>
          <w:szCs w:val="24"/>
        </w:rPr>
        <w:t>What contingency planning has been done to prevent overload conditions during outages?</w:t>
      </w:r>
    </w:p>
    <w:p w14:paraId="6AE688F1" w14:textId="77777777" w:rsidR="00354763" w:rsidRDefault="00424B4E" w:rsidP="0037215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5A959EF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03636B92" w14:textId="0708AE81" w:rsidR="66CAE684" w:rsidRDefault="68D30FBF" w:rsidP="00B61F53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65A959EF">
        <w:rPr>
          <w:rFonts w:ascii="Times New Roman" w:eastAsia="Times New Roman" w:hAnsi="Times New Roman" w:cs="Times New Roman"/>
          <w:sz w:val="24"/>
          <w:szCs w:val="24"/>
        </w:rPr>
        <w:t>T</w:t>
      </w:r>
      <w:r w:rsidR="137AAAB3" w:rsidRPr="65A959EF">
        <w:rPr>
          <w:rFonts w:ascii="Times New Roman" w:eastAsia="Times New Roman" w:hAnsi="Times New Roman" w:cs="Times New Roman"/>
          <w:sz w:val="24"/>
          <w:szCs w:val="24"/>
        </w:rPr>
        <w:t xml:space="preserve">he Sinai (FPL) - South Bainbridge 115kV </w:t>
      </w:r>
      <w:r w:rsidR="5A58EDC3" w:rsidRPr="65A959EF">
        <w:rPr>
          <w:rFonts w:ascii="Times New Roman" w:eastAsia="Times New Roman" w:hAnsi="Times New Roman" w:cs="Times New Roman"/>
          <w:sz w:val="24"/>
          <w:szCs w:val="24"/>
        </w:rPr>
        <w:t>Line rebuild</w:t>
      </w:r>
      <w:r w:rsidR="0E091606" w:rsidRPr="65A95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E091606" w:rsidRPr="65A959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addresses thermal constraints as defined in the Steady State Transmission Planning Criteria of the NERC Reliability Standard (TPL-001-5) under P1-Single Contingency event. Refer to Section III.A, Table 6 of the 2024 GA ITS Ten-Year Plan and Section B2, R3 of the ITS Planning Procedure #9, in Technical Appendix Volume 3 of the 2025 IRP.</w:t>
      </w:r>
    </w:p>
    <w:p w14:paraId="52064A9E" w14:textId="6AAAAF88" w:rsidR="66CAE684" w:rsidRDefault="66CAE684" w:rsidP="00B61F53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1EA6A4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Refer to Section A.6 of Technical Appendix Volume 3 of the 2025 for planning process description.</w:t>
      </w:r>
      <w:r>
        <w:t xml:space="preserve"> </w:t>
      </w:r>
      <w:r w:rsidR="6D2A8F22" w:rsidRPr="1EA6A454">
        <w:rPr>
          <w:rFonts w:ascii="Times New Roman" w:eastAsia="Times New Roman" w:hAnsi="Times New Roman" w:cs="Times New Roman"/>
          <w:sz w:val="24"/>
          <w:szCs w:val="24"/>
        </w:rPr>
        <w:t xml:space="preserve">The Company performs N-1 contingency analysis and prepares contingency plans for all Transmission projects that require </w:t>
      </w:r>
      <w:r w:rsidR="000D430F">
        <w:rPr>
          <w:rFonts w:ascii="Times New Roman" w:eastAsia="Times New Roman" w:hAnsi="Times New Roman" w:cs="Times New Roman"/>
          <w:sz w:val="24"/>
          <w:szCs w:val="24"/>
        </w:rPr>
        <w:t>Bulk Electric System</w:t>
      </w:r>
      <w:r w:rsidR="000D430F" w:rsidRPr="1EA6A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D2A8F22" w:rsidRPr="1EA6A454">
        <w:rPr>
          <w:rFonts w:ascii="Times New Roman" w:eastAsia="Times New Roman" w:hAnsi="Times New Roman" w:cs="Times New Roman"/>
          <w:sz w:val="24"/>
          <w:szCs w:val="24"/>
        </w:rPr>
        <w:t xml:space="preserve">outages under NERC standards. Company’s contingency plans ensure operators </w:t>
      </w:r>
      <w:r w:rsidR="002D5523">
        <w:rPr>
          <w:rFonts w:ascii="Times New Roman" w:eastAsia="Times New Roman" w:hAnsi="Times New Roman" w:cs="Times New Roman"/>
          <w:sz w:val="24"/>
          <w:szCs w:val="24"/>
        </w:rPr>
        <w:t>can</w:t>
      </w:r>
      <w:r w:rsidR="6D2A8F22" w:rsidRPr="1EA6A454">
        <w:rPr>
          <w:rFonts w:ascii="Times New Roman" w:eastAsia="Times New Roman" w:hAnsi="Times New Roman" w:cs="Times New Roman"/>
          <w:sz w:val="24"/>
          <w:szCs w:val="24"/>
        </w:rPr>
        <w:t xml:space="preserve"> proactively address potential issues and maintain stable operations even during unexpected outages, ultimately improving system reliability and preventing cascading failures by identifying vulnerabilities in the </w:t>
      </w:r>
      <w:r w:rsidR="000D430F">
        <w:rPr>
          <w:rFonts w:ascii="Times New Roman" w:eastAsia="Times New Roman" w:hAnsi="Times New Roman" w:cs="Times New Roman"/>
          <w:sz w:val="24"/>
          <w:szCs w:val="24"/>
        </w:rPr>
        <w:t>Bulk Electric System</w:t>
      </w:r>
      <w:r w:rsidR="000D430F" w:rsidRPr="1EA6A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D2A8F22" w:rsidRPr="1EA6A454">
        <w:rPr>
          <w:rFonts w:ascii="Times New Roman" w:eastAsia="Times New Roman" w:hAnsi="Times New Roman" w:cs="Times New Roman"/>
          <w:sz w:val="24"/>
          <w:szCs w:val="24"/>
        </w:rPr>
        <w:t>before they cause disruptions.</w:t>
      </w:r>
      <w:r w:rsidR="00696B7B">
        <w:rPr>
          <w:rFonts w:ascii="Times New Roman" w:eastAsia="Times New Roman" w:hAnsi="Times New Roman" w:cs="Times New Roman"/>
          <w:sz w:val="24"/>
          <w:szCs w:val="24"/>
        </w:rPr>
        <w:t xml:space="preserve">  Outages are coordinated to reduce system exposure by selecting outage windows to minimize system risk and developing construction schedules to reduce outage duration.  </w:t>
      </w:r>
    </w:p>
    <w:sectPr w:rsidR="66CAE684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470C" w14:textId="77777777" w:rsidR="001B4978" w:rsidRDefault="001B4978">
      <w:pPr>
        <w:spacing w:after="0" w:line="240" w:lineRule="auto"/>
      </w:pPr>
      <w:r>
        <w:separator/>
      </w:r>
    </w:p>
  </w:endnote>
  <w:endnote w:type="continuationSeparator" w:id="0">
    <w:p w14:paraId="2BB6A881" w14:textId="77777777" w:rsidR="001B4978" w:rsidRDefault="001B4978">
      <w:pPr>
        <w:spacing w:after="0" w:line="240" w:lineRule="auto"/>
      </w:pPr>
      <w:r>
        <w:continuationSeparator/>
      </w:r>
    </w:p>
  </w:endnote>
  <w:endnote w:type="continuationNotice" w:id="1">
    <w:p w14:paraId="3DA07149" w14:textId="77777777" w:rsidR="001B4978" w:rsidRDefault="001B49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4931D" w14:textId="77777777" w:rsidR="00354763" w:rsidRDefault="00354763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354763" w14:paraId="1DBFCDB5" w14:textId="77777777">
      <w:trPr>
        <w:jc w:val="center"/>
      </w:trPr>
      <w:tc>
        <w:tcPr>
          <w:tcW w:w="5400" w:type="dxa"/>
        </w:tcPr>
        <w:p w14:paraId="1C7C7DA7" w14:textId="77777777" w:rsidR="00354763" w:rsidRDefault="00424B4E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6EED3965" w14:textId="7ECA99AC" w:rsidR="00354763" w:rsidRDefault="00424B4E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10F0B" w14:textId="77777777" w:rsidR="001B4978" w:rsidRDefault="001B4978">
      <w:pPr>
        <w:spacing w:after="0" w:line="240" w:lineRule="auto"/>
      </w:pPr>
      <w:r>
        <w:separator/>
      </w:r>
    </w:p>
  </w:footnote>
  <w:footnote w:type="continuationSeparator" w:id="0">
    <w:p w14:paraId="3E29A0DF" w14:textId="77777777" w:rsidR="001B4978" w:rsidRDefault="001B4978">
      <w:pPr>
        <w:spacing w:after="0" w:line="240" w:lineRule="auto"/>
      </w:pPr>
      <w:r>
        <w:continuationSeparator/>
      </w:r>
    </w:p>
  </w:footnote>
  <w:footnote w:type="continuationNotice" w:id="1">
    <w:p w14:paraId="40678D73" w14:textId="77777777" w:rsidR="001B4978" w:rsidRDefault="001B49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B8754" w14:textId="77777777" w:rsidR="00424B4E" w:rsidRPr="005801E0" w:rsidRDefault="00424B4E" w:rsidP="00424B4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6143622D" w14:textId="77777777" w:rsidR="00424B4E" w:rsidRDefault="00424B4E" w:rsidP="00424B4E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25396088" w14:textId="77777777" w:rsidR="00354763" w:rsidRDefault="003547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70431DC"/>
    <w:multiLevelType w:val="hybridMultilevel"/>
    <w:tmpl w:val="4B5ED078"/>
    <w:lvl w:ilvl="0" w:tplc="2DAEB4BC">
      <w:start w:val="1"/>
      <w:numFmt w:val="lowerLetter"/>
      <w:lvlText w:val="%1."/>
      <w:lvlJc w:val="left"/>
      <w:pPr>
        <w:ind w:left="720" w:hanging="360"/>
      </w:pPr>
    </w:lvl>
    <w:lvl w:ilvl="1" w:tplc="127092C8">
      <w:start w:val="1"/>
      <w:numFmt w:val="lowerLetter"/>
      <w:lvlText w:val="%2."/>
      <w:lvlJc w:val="left"/>
      <w:pPr>
        <w:ind w:left="1440" w:hanging="360"/>
      </w:pPr>
    </w:lvl>
    <w:lvl w:ilvl="2" w:tplc="ADCAB8C2">
      <w:start w:val="1"/>
      <w:numFmt w:val="lowerRoman"/>
      <w:lvlText w:val="%3."/>
      <w:lvlJc w:val="right"/>
      <w:pPr>
        <w:ind w:left="2160" w:hanging="180"/>
      </w:pPr>
    </w:lvl>
    <w:lvl w:ilvl="3" w:tplc="6940151E">
      <w:start w:val="1"/>
      <w:numFmt w:val="decimal"/>
      <w:lvlText w:val="%4."/>
      <w:lvlJc w:val="left"/>
      <w:pPr>
        <w:ind w:left="2880" w:hanging="360"/>
      </w:pPr>
    </w:lvl>
    <w:lvl w:ilvl="4" w:tplc="72906784">
      <w:start w:val="1"/>
      <w:numFmt w:val="lowerLetter"/>
      <w:lvlText w:val="%5."/>
      <w:lvlJc w:val="left"/>
      <w:pPr>
        <w:ind w:left="3600" w:hanging="360"/>
      </w:pPr>
    </w:lvl>
    <w:lvl w:ilvl="5" w:tplc="A0A089F2">
      <w:start w:val="1"/>
      <w:numFmt w:val="lowerRoman"/>
      <w:lvlText w:val="%6."/>
      <w:lvlJc w:val="right"/>
      <w:pPr>
        <w:ind w:left="4320" w:hanging="180"/>
      </w:pPr>
    </w:lvl>
    <w:lvl w:ilvl="6" w:tplc="69F42E5E">
      <w:start w:val="1"/>
      <w:numFmt w:val="decimal"/>
      <w:lvlText w:val="%7."/>
      <w:lvlJc w:val="left"/>
      <w:pPr>
        <w:ind w:left="5040" w:hanging="360"/>
      </w:pPr>
    </w:lvl>
    <w:lvl w:ilvl="7" w:tplc="5252A200">
      <w:start w:val="1"/>
      <w:numFmt w:val="lowerLetter"/>
      <w:lvlText w:val="%8."/>
      <w:lvlJc w:val="left"/>
      <w:pPr>
        <w:ind w:left="5760" w:hanging="360"/>
      </w:pPr>
    </w:lvl>
    <w:lvl w:ilvl="8" w:tplc="425419AE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863881">
    <w:abstractNumId w:val="9"/>
  </w:num>
  <w:num w:numId="2" w16cid:durableId="663171050">
    <w:abstractNumId w:val="8"/>
  </w:num>
  <w:num w:numId="3" w16cid:durableId="334576624">
    <w:abstractNumId w:val="6"/>
  </w:num>
  <w:num w:numId="4" w16cid:durableId="400062328">
    <w:abstractNumId w:val="5"/>
  </w:num>
  <w:num w:numId="5" w16cid:durableId="215287434">
    <w:abstractNumId w:val="4"/>
  </w:num>
  <w:num w:numId="6" w16cid:durableId="768157116">
    <w:abstractNumId w:val="7"/>
  </w:num>
  <w:num w:numId="7" w16cid:durableId="1029529240">
    <w:abstractNumId w:val="3"/>
  </w:num>
  <w:num w:numId="8" w16cid:durableId="1677684608">
    <w:abstractNumId w:val="2"/>
  </w:num>
  <w:num w:numId="9" w16cid:durableId="678965549">
    <w:abstractNumId w:val="1"/>
  </w:num>
  <w:num w:numId="10" w16cid:durableId="192390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54B8F"/>
    <w:rsid w:val="0006063C"/>
    <w:rsid w:val="000D430F"/>
    <w:rsid w:val="0015074B"/>
    <w:rsid w:val="00161A04"/>
    <w:rsid w:val="001845B7"/>
    <w:rsid w:val="001A5A6B"/>
    <w:rsid w:val="001B4978"/>
    <w:rsid w:val="001B7ED2"/>
    <w:rsid w:val="001D40B1"/>
    <w:rsid w:val="0021743F"/>
    <w:rsid w:val="002755E7"/>
    <w:rsid w:val="0028396D"/>
    <w:rsid w:val="002858BA"/>
    <w:rsid w:val="0029639D"/>
    <w:rsid w:val="00297931"/>
    <w:rsid w:val="002D5523"/>
    <w:rsid w:val="002F6808"/>
    <w:rsid w:val="003021A6"/>
    <w:rsid w:val="00326F90"/>
    <w:rsid w:val="003338AE"/>
    <w:rsid w:val="00352A46"/>
    <w:rsid w:val="00354763"/>
    <w:rsid w:val="00372154"/>
    <w:rsid w:val="003C593B"/>
    <w:rsid w:val="003F7063"/>
    <w:rsid w:val="00424B4E"/>
    <w:rsid w:val="0045607D"/>
    <w:rsid w:val="00474641"/>
    <w:rsid w:val="00486D05"/>
    <w:rsid w:val="00573F06"/>
    <w:rsid w:val="005916B6"/>
    <w:rsid w:val="00617F4E"/>
    <w:rsid w:val="00656349"/>
    <w:rsid w:val="00696B7B"/>
    <w:rsid w:val="006C3D6C"/>
    <w:rsid w:val="00712D0B"/>
    <w:rsid w:val="00755812"/>
    <w:rsid w:val="007A1A6A"/>
    <w:rsid w:val="008B2840"/>
    <w:rsid w:val="009926E8"/>
    <w:rsid w:val="00AA1D8D"/>
    <w:rsid w:val="00AE7D83"/>
    <w:rsid w:val="00B27FD4"/>
    <w:rsid w:val="00B47730"/>
    <w:rsid w:val="00B61F53"/>
    <w:rsid w:val="00B8242D"/>
    <w:rsid w:val="00B84511"/>
    <w:rsid w:val="00C14334"/>
    <w:rsid w:val="00C84F70"/>
    <w:rsid w:val="00CB0664"/>
    <w:rsid w:val="00D527EA"/>
    <w:rsid w:val="00D62699"/>
    <w:rsid w:val="00DA2D90"/>
    <w:rsid w:val="00DA4903"/>
    <w:rsid w:val="00DC25EF"/>
    <w:rsid w:val="00DE5F50"/>
    <w:rsid w:val="00E331DD"/>
    <w:rsid w:val="00EC16B5"/>
    <w:rsid w:val="00F83D1E"/>
    <w:rsid w:val="00FC693F"/>
    <w:rsid w:val="0C1A3147"/>
    <w:rsid w:val="0E091606"/>
    <w:rsid w:val="0E576593"/>
    <w:rsid w:val="137AAAB3"/>
    <w:rsid w:val="1DBD5661"/>
    <w:rsid w:val="1E1010C6"/>
    <w:rsid w:val="1EA6A454"/>
    <w:rsid w:val="24930D22"/>
    <w:rsid w:val="2E0A8B32"/>
    <w:rsid w:val="36FB842F"/>
    <w:rsid w:val="3AF4C3C7"/>
    <w:rsid w:val="3D0EFF92"/>
    <w:rsid w:val="40B39119"/>
    <w:rsid w:val="4185470E"/>
    <w:rsid w:val="418D9111"/>
    <w:rsid w:val="49BBA73C"/>
    <w:rsid w:val="4CE932C7"/>
    <w:rsid w:val="4D4ECA6F"/>
    <w:rsid w:val="5916BBEB"/>
    <w:rsid w:val="599B0CBB"/>
    <w:rsid w:val="5A58EDC3"/>
    <w:rsid w:val="5EAE2E38"/>
    <w:rsid w:val="63541257"/>
    <w:rsid w:val="65A959EF"/>
    <w:rsid w:val="66CAE684"/>
    <w:rsid w:val="6821FED9"/>
    <w:rsid w:val="68D30FBF"/>
    <w:rsid w:val="6D2A8F22"/>
    <w:rsid w:val="73404690"/>
    <w:rsid w:val="7B1F1387"/>
    <w:rsid w:val="7E83EC66"/>
    <w:rsid w:val="7FD78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1D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331D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1A5A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DD455C-B0AE-4253-A2CE-E2D47E7F288A}"/>
</file>

<file path=customXml/itemProps2.xml><?xml version="1.0" encoding="utf-8"?>
<ds:datastoreItem xmlns:ds="http://schemas.openxmlformats.org/officeDocument/2006/customXml" ds:itemID="{1E58029E-9929-4F08-9336-905B776D96D7}"/>
</file>

<file path=customXml/itemProps3.xml><?xml version="1.0" encoding="utf-8"?>
<ds:datastoreItem xmlns:ds="http://schemas.openxmlformats.org/officeDocument/2006/customXml" ds:itemID="{429FFB8F-4FA6-4114-8404-092BCB028FB7}"/>
</file>

<file path=docMetadata/LabelInfo.xml><?xml version="1.0" encoding="utf-8"?>
<clbl:labelList xmlns:clbl="http://schemas.microsoft.com/office/2020/mipLabelMetadata">
  <clbl:label id="{ed3826ce-7c18-471d-9596-93de5bae332e}" enabled="1" method="Standard" siteId="{c0a02e2d-1186-410a-8895-0a4a252ebf1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Manager/>
  <Company/>
  <LinksUpToDate>false</LinksUpToDate>
  <CharactersWithSpaces>1575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2025-03-17T14:47:17Z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5a71501f-e52a-4eb0-a857-5d25a6cca4c8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