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517A" w14:textId="77777777" w:rsidR="0026256C" w:rsidRDefault="00F3007A" w:rsidP="5B840936">
      <w:pPr>
        <w:rPr>
          <w:rFonts w:ascii="Times New Roman" w:hAnsi="Times New Roman"/>
          <w:b/>
          <w:bCs/>
          <w:sz w:val="24"/>
          <w:szCs w:val="24"/>
        </w:rPr>
      </w:pPr>
      <w:r w:rsidRPr="5B840936">
        <w:rPr>
          <w:rFonts w:ascii="Times New Roman" w:hAnsi="Times New Roman"/>
          <w:b/>
          <w:bCs/>
          <w:sz w:val="24"/>
          <w:szCs w:val="24"/>
        </w:rPr>
        <w:t>STF-DEA-2-35</w:t>
      </w:r>
    </w:p>
    <w:p w14:paraId="60939F0B" w14:textId="77777777" w:rsidR="0026256C" w:rsidRDefault="00F3007A" w:rsidP="00EF18B9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1A494E27" w14:textId="77777777" w:rsidR="0026256C" w:rsidRDefault="00F3007A" w:rsidP="00EF18B9">
      <w:pPr>
        <w:jc w:val="both"/>
      </w:pPr>
      <w:r>
        <w:rPr>
          <w:rFonts w:ascii="Times New Roman" w:hAnsi="Times New Roman"/>
          <w:sz w:val="24"/>
        </w:rPr>
        <w:t>Please refer to p. 184 of the “2024 GA ITS Ten-Year Plan,” within the “2025 IRP Volume 3 TRADE SECRET,” regarding the Tenaska - Wansley 500kV New Line and respond to the following questions:</w:t>
      </w:r>
    </w:p>
    <w:p w14:paraId="0947E9E4" w14:textId="43C1D6BD" w:rsidR="0026256C" w:rsidRDefault="00F3007A" w:rsidP="00EF18B9">
      <w:pPr>
        <w:pStyle w:val="ListParagraph"/>
        <w:numPr>
          <w:ilvl w:val="0"/>
          <w:numId w:val="11"/>
        </w:numPr>
        <w:contextualSpacing w:val="0"/>
        <w:jc w:val="both"/>
      </w:pPr>
      <w:r w:rsidRPr="00EF18B9">
        <w:rPr>
          <w:rFonts w:ascii="Times New Roman" w:hAnsi="Times New Roman"/>
          <w:sz w:val="24"/>
        </w:rPr>
        <w:t>How does the Tenaska - Wansley 500kV project contribute to reducing system overload risks?</w:t>
      </w:r>
    </w:p>
    <w:p w14:paraId="26E47A64" w14:textId="64954775" w:rsidR="0026256C" w:rsidRDefault="00F3007A" w:rsidP="00EF18B9">
      <w:pPr>
        <w:pStyle w:val="ListParagraph"/>
        <w:numPr>
          <w:ilvl w:val="0"/>
          <w:numId w:val="11"/>
        </w:numPr>
        <w:contextualSpacing w:val="0"/>
        <w:jc w:val="both"/>
      </w:pPr>
      <w:r w:rsidRPr="00EF18B9">
        <w:rPr>
          <w:rFonts w:ascii="Times New Roman" w:hAnsi="Times New Roman"/>
          <w:sz w:val="24"/>
        </w:rPr>
        <w:t xml:space="preserve">What are the estimated construction and land acquisition costs, and how will they be managed? </w:t>
      </w:r>
    </w:p>
    <w:p w14:paraId="26380866" w14:textId="202D4548" w:rsidR="0026256C" w:rsidRDefault="00F3007A" w:rsidP="00EF18B9">
      <w:pPr>
        <w:pStyle w:val="ListParagraph"/>
        <w:numPr>
          <w:ilvl w:val="0"/>
          <w:numId w:val="11"/>
        </w:numPr>
        <w:contextualSpacing w:val="0"/>
        <w:jc w:val="both"/>
      </w:pPr>
      <w:r w:rsidRPr="00EF18B9">
        <w:rPr>
          <w:rFonts w:ascii="Times New Roman" w:hAnsi="Times New Roman"/>
          <w:sz w:val="24"/>
        </w:rPr>
        <w:t>What environmental impact studies have been conducted, and how will the project address habitat concerns?</w:t>
      </w:r>
    </w:p>
    <w:p w14:paraId="4EA70220" w14:textId="20CA6E83" w:rsidR="0026256C" w:rsidRPr="00EF18B9" w:rsidRDefault="10C48F91" w:rsidP="00EF18B9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EF18B9">
        <w:rPr>
          <w:rFonts w:ascii="Times New Roman" w:hAnsi="Times New Roman"/>
          <w:sz w:val="24"/>
          <w:szCs w:val="24"/>
        </w:rPr>
        <w:t>How will this project impact transmission tariff structures and ratepayer costs?</w:t>
      </w:r>
    </w:p>
    <w:p w14:paraId="4FD2E029" w14:textId="77777777" w:rsidR="00EF18B9" w:rsidRDefault="00F3007A" w:rsidP="00EF18B9">
      <w:pPr>
        <w:jc w:val="both"/>
        <w:rPr>
          <w:rFonts w:ascii="Times New Roman" w:hAnsi="Times New Roman"/>
          <w:sz w:val="24"/>
          <w:u w:val="single"/>
        </w:rPr>
      </w:pPr>
      <w:r w:rsidRPr="081719C1">
        <w:rPr>
          <w:rFonts w:ascii="Times New Roman" w:hAnsi="Times New Roman"/>
          <w:sz w:val="24"/>
          <w:szCs w:val="24"/>
          <w:u w:val="single"/>
        </w:rPr>
        <w:t>Response:</w:t>
      </w:r>
    </w:p>
    <w:p w14:paraId="212ACF48" w14:textId="56C7F36F" w:rsidR="09DB3B6E" w:rsidRPr="000D57DD" w:rsidRDefault="0CC6356F" w:rsidP="00EF18B9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u w:val="single"/>
        </w:rPr>
      </w:pPr>
      <w:r w:rsidRPr="00EF18B9">
        <w:rPr>
          <w:rFonts w:ascii="Times New Roman" w:hAnsi="Times New Roman" w:cs="Times New Roman"/>
          <w:sz w:val="24"/>
          <w:szCs w:val="24"/>
        </w:rPr>
        <w:t>Tenaska - Wansley 500kV</w:t>
      </w:r>
      <w:r w:rsidR="4B30F813" w:rsidRPr="00EF18B9">
        <w:rPr>
          <w:rFonts w:ascii="Times New Roman" w:hAnsi="Times New Roman" w:cs="Times New Roman"/>
          <w:sz w:val="24"/>
          <w:szCs w:val="24"/>
        </w:rPr>
        <w:t xml:space="preserve"> project,</w:t>
      </w:r>
      <w:r w:rsidRPr="00EF18B9">
        <w:rPr>
          <w:rFonts w:ascii="Times New Roman" w:hAnsi="Times New Roman" w:cs="Times New Roman"/>
          <w:sz w:val="24"/>
          <w:szCs w:val="24"/>
        </w:rPr>
        <w:t xml:space="preserve"> in conjunction with </w:t>
      </w:r>
      <w:r w:rsidR="478886AB" w:rsidRPr="00EF18B9">
        <w:rPr>
          <w:rFonts w:ascii="Times New Roman" w:hAnsi="Times New Roman" w:cs="Times New Roman"/>
          <w:sz w:val="24"/>
          <w:szCs w:val="24"/>
        </w:rPr>
        <w:t xml:space="preserve">Ashley Park-Wansley 500kV </w:t>
      </w:r>
      <w:r w:rsidR="4A49723E" w:rsidRPr="00EF18B9">
        <w:rPr>
          <w:rFonts w:ascii="Times New Roman" w:hAnsi="Times New Roman" w:cs="Times New Roman"/>
          <w:sz w:val="24"/>
          <w:szCs w:val="24"/>
        </w:rPr>
        <w:t xml:space="preserve">project </w:t>
      </w:r>
      <w:r w:rsidR="704244F0" w:rsidRPr="00EF18B9">
        <w:rPr>
          <w:rFonts w:ascii="Times New Roman" w:hAnsi="Times New Roman" w:cs="Times New Roman"/>
          <w:sz w:val="24"/>
          <w:szCs w:val="24"/>
        </w:rPr>
        <w:t>alleviate</w:t>
      </w:r>
      <w:r w:rsidR="3A4AAC0D" w:rsidRPr="00EF18B9">
        <w:rPr>
          <w:rFonts w:ascii="Times New Roman" w:hAnsi="Times New Roman" w:cs="Times New Roman"/>
          <w:sz w:val="24"/>
          <w:szCs w:val="24"/>
        </w:rPr>
        <w:t>s</w:t>
      </w:r>
      <w:r w:rsidR="478886AB" w:rsidRPr="00EF18B9">
        <w:rPr>
          <w:rFonts w:ascii="Times New Roman" w:hAnsi="Times New Roman" w:cs="Times New Roman"/>
          <w:sz w:val="24"/>
          <w:szCs w:val="24"/>
        </w:rPr>
        <w:t xml:space="preserve"> overloads and provide additional capacity on the </w:t>
      </w:r>
      <w:r w:rsidR="52A64A8D" w:rsidRPr="00EF18B9">
        <w:rPr>
          <w:rFonts w:ascii="Times New Roman" w:hAnsi="Times New Roman" w:cs="Times New Roman"/>
          <w:sz w:val="24"/>
          <w:szCs w:val="24"/>
        </w:rPr>
        <w:t>following Transmission Lines:</w:t>
      </w:r>
    </w:p>
    <w:p w14:paraId="4E015F92" w14:textId="77777777" w:rsidR="000D57DD" w:rsidRPr="00EF18B9" w:rsidRDefault="000D57DD" w:rsidP="000D57DD">
      <w:pPr>
        <w:pStyle w:val="ListParagraph"/>
        <w:jc w:val="both"/>
        <w:rPr>
          <w:rFonts w:ascii="Times New Roman" w:hAnsi="Times New Roman" w:cs="Times New Roman"/>
          <w:sz w:val="24"/>
          <w:u w:val="single"/>
        </w:rPr>
      </w:pPr>
    </w:p>
    <w:p w14:paraId="7A38667A" w14:textId="40458581" w:rsidR="09DB3B6E" w:rsidRPr="00EF18B9" w:rsidRDefault="478886AB" w:rsidP="00EF18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18B9">
        <w:rPr>
          <w:rFonts w:ascii="Times New Roman" w:hAnsi="Times New Roman" w:cs="Times New Roman"/>
          <w:sz w:val="24"/>
          <w:szCs w:val="24"/>
        </w:rPr>
        <w:t>Ohara-Charles</w:t>
      </w:r>
      <w:r w:rsidR="0A68AC55" w:rsidRPr="00EF18B9">
        <w:rPr>
          <w:rFonts w:ascii="Times New Roman" w:hAnsi="Times New Roman" w:cs="Times New Roman"/>
          <w:sz w:val="24"/>
          <w:szCs w:val="24"/>
        </w:rPr>
        <w:t xml:space="preserve"> </w:t>
      </w:r>
      <w:r w:rsidRPr="00EF18B9">
        <w:rPr>
          <w:rFonts w:ascii="Times New Roman" w:hAnsi="Times New Roman" w:cs="Times New Roman"/>
          <w:sz w:val="24"/>
          <w:szCs w:val="24"/>
        </w:rPr>
        <w:t>230kV</w:t>
      </w:r>
    </w:p>
    <w:p w14:paraId="0B3F7B86" w14:textId="6450A703" w:rsidR="09DB3B6E" w:rsidRPr="00EF18B9" w:rsidRDefault="478886AB" w:rsidP="00EF18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18B9">
        <w:rPr>
          <w:rFonts w:ascii="Times New Roman" w:hAnsi="Times New Roman" w:cs="Times New Roman"/>
          <w:sz w:val="24"/>
          <w:szCs w:val="24"/>
        </w:rPr>
        <w:t>Loopers Farm-South Dalton 230kV</w:t>
      </w:r>
    </w:p>
    <w:p w14:paraId="4B63CB63" w14:textId="4C8253B9" w:rsidR="09DB3B6E" w:rsidRPr="00EF18B9" w:rsidRDefault="478886AB" w:rsidP="00EF18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18B9">
        <w:rPr>
          <w:rFonts w:ascii="Times New Roman" w:hAnsi="Times New Roman" w:cs="Times New Roman"/>
          <w:sz w:val="24"/>
          <w:szCs w:val="24"/>
        </w:rPr>
        <w:t>Villa Ri</w:t>
      </w:r>
      <w:r w:rsidR="766C1BDA" w:rsidRPr="00EF18B9">
        <w:rPr>
          <w:rFonts w:ascii="Times New Roman" w:hAnsi="Times New Roman" w:cs="Times New Roman"/>
          <w:sz w:val="24"/>
          <w:szCs w:val="24"/>
        </w:rPr>
        <w:t>c</w:t>
      </w:r>
      <w:r w:rsidRPr="00EF18B9">
        <w:rPr>
          <w:rFonts w:ascii="Times New Roman" w:hAnsi="Times New Roman" w:cs="Times New Roman"/>
          <w:sz w:val="24"/>
          <w:szCs w:val="24"/>
        </w:rPr>
        <w:t>a-Wansley 500kV</w:t>
      </w:r>
    </w:p>
    <w:p w14:paraId="2A061C48" w14:textId="5192D60B" w:rsidR="09DB3B6E" w:rsidRPr="00EF18B9" w:rsidRDefault="478886AB" w:rsidP="00EF18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18B9">
        <w:rPr>
          <w:rFonts w:ascii="Times New Roman" w:hAnsi="Times New Roman" w:cs="Times New Roman"/>
          <w:sz w:val="24"/>
          <w:szCs w:val="24"/>
        </w:rPr>
        <w:t>Dorsett-Thomaston 230kV</w:t>
      </w:r>
    </w:p>
    <w:p w14:paraId="174F03E1" w14:textId="7E37626F" w:rsidR="09DB3B6E" w:rsidRPr="00EF18B9" w:rsidRDefault="478886AB" w:rsidP="00EF18B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</w:rPr>
      </w:pPr>
      <w:r w:rsidRPr="00EF18B9">
        <w:rPr>
          <w:rFonts w:ascii="Times New Roman" w:hAnsi="Times New Roman" w:cs="Times New Roman"/>
          <w:sz w:val="24"/>
          <w:szCs w:val="24"/>
        </w:rPr>
        <w:t>Bonaire Primary-Dorsett 230kV.</w:t>
      </w:r>
    </w:p>
    <w:p w14:paraId="37CEB3A2" w14:textId="7C1BCFB4" w:rsidR="00EF18B9" w:rsidRPr="00EF18B9" w:rsidRDefault="7C38BF94" w:rsidP="00EF18B9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18B9">
        <w:rPr>
          <w:rFonts w:ascii="Times New Roman" w:hAnsi="Times New Roman" w:cs="Times New Roman"/>
          <w:sz w:val="24"/>
          <w:szCs w:val="24"/>
        </w:rPr>
        <w:t>Tenaska - Wansley 500kV is a Georgia Transmission Corporation (</w:t>
      </w:r>
      <w:r w:rsidR="00EF18B9" w:rsidRPr="00EF18B9">
        <w:rPr>
          <w:rFonts w:ascii="Times New Roman" w:hAnsi="Times New Roman" w:cs="Times New Roman"/>
          <w:sz w:val="24"/>
          <w:szCs w:val="24"/>
        </w:rPr>
        <w:t>“</w:t>
      </w:r>
      <w:r w:rsidRPr="00EF18B9">
        <w:rPr>
          <w:rFonts w:ascii="Times New Roman" w:hAnsi="Times New Roman" w:cs="Times New Roman"/>
          <w:sz w:val="24"/>
          <w:szCs w:val="24"/>
        </w:rPr>
        <w:t>GTC</w:t>
      </w:r>
      <w:r w:rsidR="00EF18B9" w:rsidRPr="00EF18B9">
        <w:rPr>
          <w:rFonts w:ascii="Times New Roman" w:hAnsi="Times New Roman" w:cs="Times New Roman"/>
          <w:sz w:val="24"/>
          <w:szCs w:val="24"/>
        </w:rPr>
        <w:t>”</w:t>
      </w:r>
      <w:r w:rsidRPr="00EF18B9">
        <w:rPr>
          <w:rFonts w:ascii="Times New Roman" w:hAnsi="Times New Roman" w:cs="Times New Roman"/>
          <w:sz w:val="24"/>
          <w:szCs w:val="24"/>
        </w:rPr>
        <w:t xml:space="preserve">) sponsored project. The estimated costs will be handled through GTC’s </w:t>
      </w:r>
      <w:r w:rsidR="1A598B1B" w:rsidRPr="00EF18B9">
        <w:rPr>
          <w:rFonts w:ascii="Times New Roman" w:hAnsi="Times New Roman" w:cs="Times New Roman"/>
          <w:sz w:val="24"/>
          <w:szCs w:val="24"/>
        </w:rPr>
        <w:t>construction and land acquisition processes.</w:t>
      </w:r>
    </w:p>
    <w:p w14:paraId="65A36C0F" w14:textId="70F1C795" w:rsidR="00EF18B9" w:rsidRPr="00EF18B9" w:rsidRDefault="2A307A5E" w:rsidP="00EF18B9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18B9">
        <w:rPr>
          <w:rFonts w:ascii="Times New Roman" w:hAnsi="Times New Roman" w:cs="Times New Roman"/>
          <w:sz w:val="24"/>
          <w:szCs w:val="24"/>
        </w:rPr>
        <w:t>Refer</w:t>
      </w:r>
      <w:r w:rsidR="3BF1BA37" w:rsidRPr="00EF18B9">
        <w:rPr>
          <w:rFonts w:ascii="Times New Roman" w:hAnsi="Times New Roman" w:cs="Times New Roman"/>
          <w:sz w:val="24"/>
          <w:szCs w:val="24"/>
        </w:rPr>
        <w:t xml:space="preserve"> to </w:t>
      </w:r>
      <w:r w:rsidR="003C1C69">
        <w:rPr>
          <w:rFonts w:ascii="Times New Roman" w:hAnsi="Times New Roman" w:cs="Times New Roman"/>
          <w:sz w:val="24"/>
          <w:szCs w:val="24"/>
        </w:rPr>
        <w:t xml:space="preserve">the Company’s response to subpart </w:t>
      </w:r>
      <w:r w:rsidR="3BF1BA37" w:rsidRPr="00EF18B9">
        <w:rPr>
          <w:rFonts w:ascii="Times New Roman" w:hAnsi="Times New Roman" w:cs="Times New Roman"/>
          <w:sz w:val="24"/>
          <w:szCs w:val="24"/>
        </w:rPr>
        <w:t xml:space="preserve">(b). </w:t>
      </w:r>
      <w:r w:rsidR="49E38DEB" w:rsidRPr="00EF18B9">
        <w:rPr>
          <w:rFonts w:ascii="Times New Roman" w:hAnsi="Times New Roman" w:cs="Times New Roman"/>
          <w:sz w:val="24"/>
          <w:szCs w:val="24"/>
        </w:rPr>
        <w:t xml:space="preserve">GTC </w:t>
      </w:r>
      <w:r w:rsidR="7A56B2E9" w:rsidRPr="00EF18B9">
        <w:rPr>
          <w:rFonts w:ascii="Times New Roman" w:hAnsi="Times New Roman" w:cs="Times New Roman"/>
          <w:sz w:val="24"/>
          <w:szCs w:val="24"/>
        </w:rPr>
        <w:t>will evaluate the</w:t>
      </w:r>
      <w:r w:rsidR="49E38DEB" w:rsidRPr="00EF18B9">
        <w:rPr>
          <w:rFonts w:ascii="Times New Roman" w:hAnsi="Times New Roman" w:cs="Times New Roman"/>
          <w:sz w:val="24"/>
          <w:szCs w:val="24"/>
        </w:rPr>
        <w:t xml:space="preserve"> environmental </w:t>
      </w:r>
      <w:r w:rsidR="08D26688" w:rsidRPr="00EF18B9">
        <w:rPr>
          <w:rFonts w:ascii="Times New Roman" w:hAnsi="Times New Roman" w:cs="Times New Roman"/>
          <w:sz w:val="24"/>
          <w:szCs w:val="24"/>
        </w:rPr>
        <w:t>impact</w:t>
      </w:r>
      <w:r w:rsidR="49E38DEB" w:rsidRPr="00EF18B9">
        <w:rPr>
          <w:rFonts w:ascii="Times New Roman" w:hAnsi="Times New Roman" w:cs="Times New Roman"/>
          <w:sz w:val="24"/>
          <w:szCs w:val="24"/>
        </w:rPr>
        <w:t xml:space="preserve"> and </w:t>
      </w:r>
      <w:r w:rsidR="524587F3" w:rsidRPr="00EF18B9">
        <w:rPr>
          <w:rFonts w:ascii="Times New Roman" w:hAnsi="Times New Roman" w:cs="Times New Roman"/>
          <w:sz w:val="24"/>
          <w:szCs w:val="24"/>
        </w:rPr>
        <w:t xml:space="preserve">habitat concerns through </w:t>
      </w:r>
      <w:r w:rsidR="7CF3E149" w:rsidRPr="00EF18B9">
        <w:rPr>
          <w:rFonts w:ascii="Times New Roman" w:hAnsi="Times New Roman" w:cs="Times New Roman"/>
          <w:sz w:val="24"/>
          <w:szCs w:val="24"/>
        </w:rPr>
        <w:t xml:space="preserve">their siting, engineering, and design </w:t>
      </w:r>
      <w:r w:rsidR="5E6EBE4F" w:rsidRPr="00EF18B9">
        <w:rPr>
          <w:rFonts w:ascii="Times New Roman" w:hAnsi="Times New Roman" w:cs="Times New Roman"/>
          <w:sz w:val="24"/>
          <w:szCs w:val="24"/>
        </w:rPr>
        <w:t>processes</w:t>
      </w:r>
      <w:r w:rsidR="49E38DEB" w:rsidRPr="00EF18B9">
        <w:rPr>
          <w:rFonts w:ascii="Times New Roman" w:hAnsi="Times New Roman" w:cs="Times New Roman"/>
          <w:sz w:val="24"/>
          <w:szCs w:val="24"/>
        </w:rPr>
        <w:t>.</w:t>
      </w:r>
      <w:r w:rsidR="35671A52" w:rsidRPr="00EF18B9">
        <w:rPr>
          <w:rFonts w:ascii="Times New Roman" w:hAnsi="Times New Roman" w:cs="Times New Roman"/>
          <w:sz w:val="24"/>
          <w:szCs w:val="24"/>
        </w:rPr>
        <w:t xml:space="preserve"> </w:t>
      </w:r>
      <w:r w:rsidR="2FC7CAED" w:rsidRPr="00EF18B9">
        <w:rPr>
          <w:rFonts w:ascii="Times New Roman" w:hAnsi="Times New Roman" w:cs="Times New Roman"/>
          <w:sz w:val="24"/>
          <w:szCs w:val="24"/>
        </w:rPr>
        <w:t xml:space="preserve">GTC will communicate any changes to the scope and design through joint planning efforts through the </w:t>
      </w:r>
      <w:r w:rsidR="00EF18B9">
        <w:rPr>
          <w:rFonts w:ascii="Times New Roman" w:hAnsi="Times New Roman" w:cs="Times New Roman"/>
          <w:sz w:val="24"/>
          <w:szCs w:val="24"/>
        </w:rPr>
        <w:t>Georgia Integrated Transmission System (“</w:t>
      </w:r>
      <w:r w:rsidR="2FC7CAED" w:rsidRPr="00EF18B9">
        <w:rPr>
          <w:rFonts w:ascii="Times New Roman" w:hAnsi="Times New Roman" w:cs="Times New Roman"/>
          <w:sz w:val="24"/>
          <w:szCs w:val="24"/>
        </w:rPr>
        <w:t>ITS</w:t>
      </w:r>
      <w:r w:rsidR="00EF18B9">
        <w:rPr>
          <w:rFonts w:ascii="Times New Roman" w:hAnsi="Times New Roman" w:cs="Times New Roman"/>
          <w:sz w:val="24"/>
          <w:szCs w:val="24"/>
        </w:rPr>
        <w:t>”)</w:t>
      </w:r>
      <w:r w:rsidR="2FC7CAED" w:rsidRPr="00EF18B9">
        <w:rPr>
          <w:rFonts w:ascii="Times New Roman" w:hAnsi="Times New Roman" w:cs="Times New Roman"/>
          <w:sz w:val="24"/>
          <w:szCs w:val="24"/>
        </w:rPr>
        <w:t xml:space="preserve"> joint planning process. </w:t>
      </w:r>
    </w:p>
    <w:p w14:paraId="3BFA7C98" w14:textId="5CCC249D" w:rsidR="00F3007A" w:rsidRPr="00EF18B9" w:rsidRDefault="3176D264" w:rsidP="5CA5FAE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5F5E5856">
        <w:rPr>
          <w:rFonts w:ascii="Times New Roman" w:hAnsi="Times New Roman" w:cs="Times New Roman"/>
          <w:sz w:val="24"/>
          <w:szCs w:val="24"/>
        </w:rPr>
        <w:lastRenderedPageBreak/>
        <w:t>Refer to</w:t>
      </w:r>
      <w:r w:rsidR="37A8DD7D" w:rsidRPr="5F5E5856">
        <w:rPr>
          <w:rFonts w:ascii="Times New Roman" w:hAnsi="Times New Roman" w:cs="Times New Roman"/>
          <w:sz w:val="24"/>
          <w:szCs w:val="24"/>
        </w:rPr>
        <w:t xml:space="preserve"> </w:t>
      </w:r>
      <w:r w:rsidR="00680DF9" w:rsidRPr="5F5E5856">
        <w:rPr>
          <w:rFonts w:ascii="Times New Roman" w:hAnsi="Times New Roman" w:cs="Times New Roman"/>
          <w:sz w:val="24"/>
          <w:szCs w:val="24"/>
        </w:rPr>
        <w:t xml:space="preserve">the Company’s </w:t>
      </w:r>
      <w:r w:rsidR="37A8DD7D" w:rsidRPr="5F5E5856">
        <w:rPr>
          <w:rFonts w:ascii="Times New Roman" w:hAnsi="Times New Roman" w:cs="Times New Roman"/>
          <w:sz w:val="24"/>
          <w:szCs w:val="24"/>
        </w:rPr>
        <w:t>response</w:t>
      </w:r>
      <w:r w:rsidRPr="5F5E5856">
        <w:rPr>
          <w:rFonts w:ascii="Times New Roman" w:hAnsi="Times New Roman" w:cs="Times New Roman"/>
          <w:sz w:val="24"/>
          <w:szCs w:val="24"/>
        </w:rPr>
        <w:t xml:space="preserve"> </w:t>
      </w:r>
      <w:r w:rsidR="00680DF9" w:rsidRPr="5F5E5856">
        <w:rPr>
          <w:rFonts w:ascii="Times New Roman" w:hAnsi="Times New Roman" w:cs="Times New Roman"/>
          <w:sz w:val="24"/>
          <w:szCs w:val="24"/>
        </w:rPr>
        <w:t xml:space="preserve">to subpart </w:t>
      </w:r>
      <w:r w:rsidRPr="5F5E5856">
        <w:rPr>
          <w:rFonts w:ascii="Times New Roman" w:hAnsi="Times New Roman" w:cs="Times New Roman"/>
          <w:sz w:val="24"/>
          <w:szCs w:val="24"/>
        </w:rPr>
        <w:t>(b).</w:t>
      </w:r>
      <w:r w:rsidR="0EE870AC" w:rsidRPr="5F5E5856">
        <w:rPr>
          <w:rFonts w:ascii="Times New Roman" w:hAnsi="Times New Roman" w:cs="Times New Roman"/>
          <w:sz w:val="24"/>
          <w:szCs w:val="24"/>
        </w:rPr>
        <w:t xml:space="preserve"> Georgia Power </w:t>
      </w:r>
      <w:r w:rsidR="00EF18B9" w:rsidRPr="5F5E5856">
        <w:rPr>
          <w:rFonts w:ascii="Times New Roman" w:hAnsi="Times New Roman" w:cs="Times New Roman"/>
          <w:sz w:val="24"/>
          <w:szCs w:val="24"/>
        </w:rPr>
        <w:t>customers</w:t>
      </w:r>
      <w:r w:rsidR="0EE870AC" w:rsidRPr="5F5E5856">
        <w:rPr>
          <w:rFonts w:ascii="Times New Roman" w:hAnsi="Times New Roman" w:cs="Times New Roman"/>
          <w:sz w:val="24"/>
          <w:szCs w:val="24"/>
        </w:rPr>
        <w:t xml:space="preserve"> will not be directly responsible for this project.</w:t>
      </w:r>
      <w:r w:rsidRPr="5F5E585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3007A" w:rsidRPr="00EF18B9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B09B1" w14:textId="77777777" w:rsidR="00D3353B" w:rsidRDefault="00D3353B">
      <w:pPr>
        <w:spacing w:after="0" w:line="240" w:lineRule="auto"/>
      </w:pPr>
      <w:r>
        <w:separator/>
      </w:r>
    </w:p>
  </w:endnote>
  <w:endnote w:type="continuationSeparator" w:id="0">
    <w:p w14:paraId="7C01852A" w14:textId="77777777" w:rsidR="00D3353B" w:rsidRDefault="00D3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191D" w14:textId="77777777" w:rsidR="0026256C" w:rsidRDefault="0026256C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26256C" w14:paraId="17012BA3" w14:textId="77777777">
      <w:trPr>
        <w:jc w:val="center"/>
      </w:trPr>
      <w:tc>
        <w:tcPr>
          <w:tcW w:w="5400" w:type="dxa"/>
        </w:tcPr>
        <w:p w14:paraId="2BA44042" w14:textId="77777777" w:rsidR="0026256C" w:rsidRDefault="00F3007A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5741EBD5" w14:textId="5108B1F3" w:rsidR="0026256C" w:rsidRDefault="00F3007A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3164B" w14:textId="77777777" w:rsidR="00D3353B" w:rsidRDefault="00D3353B">
      <w:pPr>
        <w:spacing w:after="0" w:line="240" w:lineRule="auto"/>
      </w:pPr>
      <w:r>
        <w:separator/>
      </w:r>
    </w:p>
  </w:footnote>
  <w:footnote w:type="continuationSeparator" w:id="0">
    <w:p w14:paraId="6D36DBB0" w14:textId="77777777" w:rsidR="00D3353B" w:rsidRDefault="00D33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06AA1" w14:textId="77777777" w:rsidR="00F3007A" w:rsidRPr="005801E0" w:rsidRDefault="00F3007A" w:rsidP="00F3007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217956E" w14:textId="77777777" w:rsidR="00F3007A" w:rsidRDefault="00F3007A" w:rsidP="00F3007A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A28AC8C" w14:textId="77777777" w:rsidR="0026256C" w:rsidRDefault="002625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F9171D4"/>
    <w:multiLevelType w:val="hybridMultilevel"/>
    <w:tmpl w:val="76340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44A25"/>
    <w:multiLevelType w:val="hybridMultilevel"/>
    <w:tmpl w:val="054C8DA0"/>
    <w:lvl w:ilvl="0" w:tplc="D2D865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FA08CE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CBB80F2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854088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F4CEF7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9082579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F24037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6F4AE5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CACA381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184AC6"/>
    <w:multiLevelType w:val="hybridMultilevel"/>
    <w:tmpl w:val="8F38C3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419762">
    <w:abstractNumId w:val="10"/>
  </w:num>
  <w:num w:numId="2" w16cid:durableId="1254435050">
    <w:abstractNumId w:val="8"/>
  </w:num>
  <w:num w:numId="3" w16cid:durableId="62290653">
    <w:abstractNumId w:val="6"/>
  </w:num>
  <w:num w:numId="4" w16cid:durableId="1797135265">
    <w:abstractNumId w:val="5"/>
  </w:num>
  <w:num w:numId="5" w16cid:durableId="1907103684">
    <w:abstractNumId w:val="4"/>
  </w:num>
  <w:num w:numId="6" w16cid:durableId="897210533">
    <w:abstractNumId w:val="7"/>
  </w:num>
  <w:num w:numId="7" w16cid:durableId="1403412340">
    <w:abstractNumId w:val="3"/>
  </w:num>
  <w:num w:numId="8" w16cid:durableId="163014433">
    <w:abstractNumId w:val="2"/>
  </w:num>
  <w:num w:numId="9" w16cid:durableId="1291133144">
    <w:abstractNumId w:val="1"/>
  </w:num>
  <w:num w:numId="10" w16cid:durableId="584462640">
    <w:abstractNumId w:val="0"/>
  </w:num>
  <w:num w:numId="11" w16cid:durableId="1115365328">
    <w:abstractNumId w:val="11"/>
  </w:num>
  <w:num w:numId="12" w16cid:durableId="1996643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D57DD"/>
    <w:rsid w:val="000E56C8"/>
    <w:rsid w:val="0013091F"/>
    <w:rsid w:val="0015074B"/>
    <w:rsid w:val="0026256C"/>
    <w:rsid w:val="0029639D"/>
    <w:rsid w:val="00326F90"/>
    <w:rsid w:val="00327BF3"/>
    <w:rsid w:val="003C1C69"/>
    <w:rsid w:val="003D59FE"/>
    <w:rsid w:val="003F7EDE"/>
    <w:rsid w:val="0045607D"/>
    <w:rsid w:val="005A6100"/>
    <w:rsid w:val="005E50D0"/>
    <w:rsid w:val="0060723C"/>
    <w:rsid w:val="00680DF9"/>
    <w:rsid w:val="006C3D6C"/>
    <w:rsid w:val="008D072D"/>
    <w:rsid w:val="008F118F"/>
    <w:rsid w:val="009E7074"/>
    <w:rsid w:val="00AA1D8D"/>
    <w:rsid w:val="00B47730"/>
    <w:rsid w:val="00BB4901"/>
    <w:rsid w:val="00BC13B4"/>
    <w:rsid w:val="00BF4401"/>
    <w:rsid w:val="00CB0664"/>
    <w:rsid w:val="00D3353B"/>
    <w:rsid w:val="00E574EC"/>
    <w:rsid w:val="00EF18B9"/>
    <w:rsid w:val="00F3007A"/>
    <w:rsid w:val="00FC693F"/>
    <w:rsid w:val="00FD4276"/>
    <w:rsid w:val="01E57572"/>
    <w:rsid w:val="03577CCB"/>
    <w:rsid w:val="0615FE2B"/>
    <w:rsid w:val="07A267F1"/>
    <w:rsid w:val="081719C1"/>
    <w:rsid w:val="08D26688"/>
    <w:rsid w:val="09DB3B6E"/>
    <w:rsid w:val="0A68AC55"/>
    <w:rsid w:val="0B67F259"/>
    <w:rsid w:val="0CC6356F"/>
    <w:rsid w:val="0D0E358F"/>
    <w:rsid w:val="0EE870AC"/>
    <w:rsid w:val="10584166"/>
    <w:rsid w:val="10C48F91"/>
    <w:rsid w:val="18B27B43"/>
    <w:rsid w:val="192A21EC"/>
    <w:rsid w:val="1A598B1B"/>
    <w:rsid w:val="1C85F1DD"/>
    <w:rsid w:val="20B5B7E9"/>
    <w:rsid w:val="215BD526"/>
    <w:rsid w:val="21B7D494"/>
    <w:rsid w:val="23396B70"/>
    <w:rsid w:val="2476D5B0"/>
    <w:rsid w:val="254D26F1"/>
    <w:rsid w:val="262F09F7"/>
    <w:rsid w:val="2747E11B"/>
    <w:rsid w:val="2A307A5E"/>
    <w:rsid w:val="2C13CCDA"/>
    <w:rsid w:val="2EE22602"/>
    <w:rsid w:val="2FC7CAED"/>
    <w:rsid w:val="30233817"/>
    <w:rsid w:val="3176D264"/>
    <w:rsid w:val="331D7F4C"/>
    <w:rsid w:val="35671A52"/>
    <w:rsid w:val="374BF858"/>
    <w:rsid w:val="378CEC87"/>
    <w:rsid w:val="37A8DD7D"/>
    <w:rsid w:val="37BBE527"/>
    <w:rsid w:val="38857B32"/>
    <w:rsid w:val="3A4AAC0D"/>
    <w:rsid w:val="3BF1BA37"/>
    <w:rsid w:val="435EF523"/>
    <w:rsid w:val="44070389"/>
    <w:rsid w:val="473B226A"/>
    <w:rsid w:val="478886AB"/>
    <w:rsid w:val="49E38DEB"/>
    <w:rsid w:val="4A49723E"/>
    <w:rsid w:val="4B30F813"/>
    <w:rsid w:val="4B9DF5B5"/>
    <w:rsid w:val="50CBCFDB"/>
    <w:rsid w:val="524587F3"/>
    <w:rsid w:val="52A64A8D"/>
    <w:rsid w:val="5477E8F0"/>
    <w:rsid w:val="592B4043"/>
    <w:rsid w:val="5B840936"/>
    <w:rsid w:val="5CA5FAE3"/>
    <w:rsid w:val="5D0CC508"/>
    <w:rsid w:val="5DAA5E38"/>
    <w:rsid w:val="5E6EBE4F"/>
    <w:rsid w:val="5F5E5856"/>
    <w:rsid w:val="63FA19A4"/>
    <w:rsid w:val="64C646B8"/>
    <w:rsid w:val="6736A65A"/>
    <w:rsid w:val="6A5123ED"/>
    <w:rsid w:val="6C13DE64"/>
    <w:rsid w:val="6EA189DC"/>
    <w:rsid w:val="6EB9B83C"/>
    <w:rsid w:val="6FFE361A"/>
    <w:rsid w:val="704244F0"/>
    <w:rsid w:val="766C1BDA"/>
    <w:rsid w:val="7754BE9C"/>
    <w:rsid w:val="7A56B2E9"/>
    <w:rsid w:val="7BAD5365"/>
    <w:rsid w:val="7C38BF94"/>
    <w:rsid w:val="7CF3E149"/>
    <w:rsid w:val="7F0E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0E56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56C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E56C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7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72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D072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5E50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0D534-D2E8-4DD8-928A-163E5C827563}"/>
</file>

<file path=customXml/itemProps2.xml><?xml version="1.0" encoding="utf-8"?>
<ds:datastoreItem xmlns:ds="http://schemas.openxmlformats.org/officeDocument/2006/customXml" ds:itemID="{CB6C4429-DCF0-48DB-BD18-68ADD70AB877}"/>
</file>

<file path=customXml/itemProps3.xml><?xml version="1.0" encoding="utf-8"?>
<ds:datastoreItem xmlns:ds="http://schemas.openxmlformats.org/officeDocument/2006/customXml" ds:itemID="{4569F386-9EC9-4B7B-ADEB-A6477A8A22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Manager/>
  <Company/>
  <LinksUpToDate>false</LinksUpToDate>
  <CharactersWithSpaces>1553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2025-03-17T14:47:56Z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2f53dee1-9646-4dcc-a8fc-a36ae92301ef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