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144B6" w14:textId="77777777" w:rsidR="00DE628F" w:rsidRDefault="00D60EAB" w:rsidP="059C6C9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59C6C9A">
        <w:rPr>
          <w:rFonts w:ascii="Times New Roman" w:eastAsia="Times New Roman" w:hAnsi="Times New Roman" w:cs="Times New Roman"/>
          <w:b/>
          <w:bCs/>
          <w:sz w:val="24"/>
          <w:szCs w:val="24"/>
        </w:rPr>
        <w:t>STF-DEA-2-18</w:t>
      </w:r>
    </w:p>
    <w:p w14:paraId="08F5F24E" w14:textId="77777777" w:rsidR="00DE628F" w:rsidRDefault="00D60EAB" w:rsidP="0070792C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59C6C9A">
        <w:rPr>
          <w:rFonts w:ascii="Times New Roman" w:eastAsia="Times New Roman" w:hAnsi="Times New Roman" w:cs="Times New Roman"/>
          <w:sz w:val="24"/>
          <w:szCs w:val="24"/>
          <w:u w:val="single"/>
        </w:rPr>
        <w:t>Question:</w:t>
      </w:r>
    </w:p>
    <w:p w14:paraId="5E5D5B4C" w14:textId="77777777" w:rsidR="00DE628F" w:rsidRDefault="00D60EAB" w:rsidP="0095642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59C6C9A">
        <w:rPr>
          <w:rFonts w:ascii="Times New Roman" w:eastAsia="Times New Roman" w:hAnsi="Times New Roman" w:cs="Times New Roman"/>
          <w:sz w:val="24"/>
          <w:szCs w:val="24"/>
        </w:rPr>
        <w:t>Please refer to p. 176 of the “2024 GA ITS Ten-Year Plan,” within the “2025 IRP Volume 3 TRADE SECRET,” regarding the Conyers - Klondike 230kV Second Line and respond to the following questions:</w:t>
      </w:r>
    </w:p>
    <w:p w14:paraId="3E845EF5" w14:textId="2D937C61" w:rsidR="00DE628F" w:rsidRPr="0087615D" w:rsidRDefault="00D60EAB" w:rsidP="0095642B">
      <w:pPr>
        <w:pStyle w:val="ListParagraph"/>
        <w:numPr>
          <w:ilvl w:val="0"/>
          <w:numId w:val="13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615D">
        <w:rPr>
          <w:rFonts w:ascii="Times New Roman" w:eastAsia="Times New Roman" w:hAnsi="Times New Roman" w:cs="Times New Roman"/>
          <w:sz w:val="24"/>
          <w:szCs w:val="24"/>
        </w:rPr>
        <w:t>What environmental mitigation strategies are planned for the Conyers - Klondike 230kV Second Line, particularly for wetland areas and protected habitats along the route?</w:t>
      </w:r>
    </w:p>
    <w:p w14:paraId="773BA981" w14:textId="2DC9ED87" w:rsidR="00DE628F" w:rsidRPr="0087615D" w:rsidRDefault="00D60EAB" w:rsidP="0095642B">
      <w:pPr>
        <w:pStyle w:val="ListParagraph"/>
        <w:numPr>
          <w:ilvl w:val="0"/>
          <w:numId w:val="13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615D">
        <w:rPr>
          <w:rFonts w:ascii="Times New Roman" w:eastAsia="Times New Roman" w:hAnsi="Times New Roman" w:cs="Times New Roman"/>
          <w:sz w:val="24"/>
          <w:szCs w:val="24"/>
        </w:rPr>
        <w:t>What engineering studies were performed to evaluate the reliability benefits of this second line?</w:t>
      </w:r>
    </w:p>
    <w:p w14:paraId="46E2A529" w14:textId="572B56E7" w:rsidR="00DE628F" w:rsidRPr="0087615D" w:rsidRDefault="00D60EAB" w:rsidP="0095642B">
      <w:pPr>
        <w:pStyle w:val="ListParagraph"/>
        <w:numPr>
          <w:ilvl w:val="0"/>
          <w:numId w:val="13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615D">
        <w:rPr>
          <w:rFonts w:ascii="Times New Roman" w:eastAsia="Times New Roman" w:hAnsi="Times New Roman" w:cs="Times New Roman"/>
          <w:sz w:val="24"/>
          <w:szCs w:val="24"/>
        </w:rPr>
        <w:t>What are the long-term cost implications for transmission customers in this service area?</w:t>
      </w:r>
    </w:p>
    <w:p w14:paraId="7FE6F3ED" w14:textId="1834C150" w:rsidR="00DE628F" w:rsidRPr="0087615D" w:rsidRDefault="00D60EAB" w:rsidP="0095642B">
      <w:pPr>
        <w:pStyle w:val="ListParagraph"/>
        <w:numPr>
          <w:ilvl w:val="0"/>
          <w:numId w:val="13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615D">
        <w:rPr>
          <w:rFonts w:ascii="Times New Roman" w:eastAsia="Times New Roman" w:hAnsi="Times New Roman" w:cs="Times New Roman"/>
          <w:sz w:val="24"/>
          <w:szCs w:val="24"/>
        </w:rPr>
        <w:t xml:space="preserve">Please confirm the load details (MW) that will be catered after the second line is commissioned. </w:t>
      </w:r>
    </w:p>
    <w:p w14:paraId="5A28C9BA" w14:textId="7BC7D903" w:rsidR="00DE628F" w:rsidRPr="0087615D" w:rsidRDefault="00D60EAB" w:rsidP="0095642B">
      <w:pPr>
        <w:pStyle w:val="ListParagraph"/>
        <w:numPr>
          <w:ilvl w:val="0"/>
          <w:numId w:val="13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615D">
        <w:rPr>
          <w:rFonts w:ascii="Times New Roman" w:eastAsia="Times New Roman" w:hAnsi="Times New Roman" w:cs="Times New Roman"/>
          <w:sz w:val="24"/>
          <w:szCs w:val="24"/>
        </w:rPr>
        <w:t>How much load is presently being catered in MW?</w:t>
      </w:r>
    </w:p>
    <w:p w14:paraId="69CFBD82" w14:textId="77777777" w:rsidR="00DE628F" w:rsidRDefault="00D60EAB" w:rsidP="0044055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59C6C9A">
        <w:rPr>
          <w:rFonts w:ascii="Times New Roman" w:eastAsia="Times New Roman" w:hAnsi="Times New Roman" w:cs="Times New Roman"/>
          <w:sz w:val="24"/>
          <w:szCs w:val="24"/>
          <w:u w:val="single"/>
        </w:rPr>
        <w:t>Response:</w:t>
      </w:r>
    </w:p>
    <w:p w14:paraId="36485166" w14:textId="48FECB80" w:rsidR="00C919DC" w:rsidRPr="00801EEB" w:rsidRDefault="780E1275" w:rsidP="0044055D">
      <w:pPr>
        <w:pStyle w:val="ListParagraph"/>
        <w:numPr>
          <w:ilvl w:val="0"/>
          <w:numId w:val="12"/>
        </w:numPr>
        <w:contextualSpacing w:val="0"/>
        <w:jc w:val="both"/>
        <w:rPr>
          <w:rFonts w:ascii="Times New Roman" w:eastAsia="Aptos" w:hAnsi="Times New Roman" w:cs="Times New Roman"/>
          <w:color w:val="000000" w:themeColor="text1"/>
          <w:sz w:val="24"/>
          <w:szCs w:val="24"/>
        </w:rPr>
      </w:pPr>
      <w:r w:rsidRPr="161075A8">
        <w:rPr>
          <w:rFonts w:ascii="Times New Roman" w:eastAsia="Times New Roman" w:hAnsi="Times New Roman" w:cs="Times New Roman"/>
          <w:sz w:val="24"/>
          <w:szCs w:val="24"/>
        </w:rPr>
        <w:t>A</w:t>
      </w:r>
      <w:r w:rsidRPr="161075A8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ny</w:t>
      </w:r>
      <w:r w:rsidR="7F9DBC6E" w:rsidRPr="161075A8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 xml:space="preserve"> environmental mitigation strategies needed for the Conyers-Klondike 230kV Second Line will be determined once the line has been sited and environmental conditions are known and incorporated into design. Throughout the siting, engineering, and design process, </w:t>
      </w:r>
      <w:r w:rsidR="015131BD" w:rsidRPr="310F6426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the Company</w:t>
      </w:r>
      <w:r w:rsidR="7F9DBC6E" w:rsidRPr="161075A8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 xml:space="preserve"> works to avoid and minimize impacts to natural resources to the extent feasible and practical.</w:t>
      </w:r>
      <w:r w:rsidR="7F9DBC6E" w:rsidRPr="00801EEB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 </w:t>
      </w:r>
      <w:r w:rsidR="7F9DBC6E" w:rsidRPr="161075A8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 xml:space="preserve">Some general examples of avoidance and minimization include spanning identified waters and habitats as well as modification of structure design to result in a smaller footprint within the sensitive area. If impacts to resources are required, </w:t>
      </w:r>
      <w:r w:rsidR="29A65D93" w:rsidRPr="310F6426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the Company</w:t>
      </w:r>
      <w:r w:rsidR="7F9DBC6E" w:rsidRPr="161075A8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 xml:space="preserve"> will engage with federal and state agencies and obtain the appropriate permitting and mitigation </w:t>
      </w:r>
      <w:r w:rsidR="0022286C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to minimize impacts and allow for the project to be constructed</w:t>
      </w:r>
      <w:r w:rsidR="7F9DBC6E" w:rsidRPr="161075A8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 xml:space="preserve">. This may include the purchase of wetlands credits through a USACE-approved mitigation bank. </w:t>
      </w:r>
    </w:p>
    <w:p w14:paraId="4DCE1C16" w14:textId="4EDD2057" w:rsidR="22FC8418" w:rsidRPr="00801EEB" w:rsidRDefault="7C93AD4B" w:rsidP="0044055D">
      <w:pPr>
        <w:pStyle w:val="ListParagraph"/>
        <w:numPr>
          <w:ilvl w:val="0"/>
          <w:numId w:val="12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61075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161075A8">
        <w:rPr>
          <w:rFonts w:ascii="Times New Roman" w:eastAsia="Times New Roman" w:hAnsi="Times New Roman" w:cs="Times New Roman"/>
          <w:sz w:val="24"/>
          <w:szCs w:val="24"/>
        </w:rPr>
        <w:t>Conyers - Klondike 230kV Second Line</w:t>
      </w:r>
      <w:r w:rsidRPr="161075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project addresses thermal constraints as defined in the Steady State Transmission Planning Criteria of the NERC Reliability Standard (TPL-001-5) under P6-Multiple Contingency event. Refer to Section III.A, Table 6 of the 2024 GA ITS </w:t>
      </w:r>
      <w:r w:rsidR="0022286C" w:rsidRPr="161075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Ten-Year</w:t>
      </w:r>
      <w:r w:rsidRPr="161075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Plan and Section B2, R3 of the ITS Planning </w:t>
      </w:r>
      <w:r w:rsidRPr="161075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Procedure #9, in Technical Appendix Volume 3 of the 2025 GPC IRP filing, Docket No 56002.</w:t>
      </w:r>
    </w:p>
    <w:p w14:paraId="54C86D6B" w14:textId="2990A1ED" w:rsidR="22FC8418" w:rsidRDefault="593572A0" w:rsidP="0044055D">
      <w:pPr>
        <w:pStyle w:val="ListParagraph"/>
        <w:numPr>
          <w:ilvl w:val="0"/>
          <w:numId w:val="12"/>
        </w:numPr>
        <w:contextualSpacing w:val="0"/>
        <w:jc w:val="both"/>
      </w:pPr>
      <w:r w:rsidRPr="059C6C9A">
        <w:rPr>
          <w:rFonts w:ascii="Times New Roman" w:eastAsia="Times New Roman" w:hAnsi="Times New Roman" w:cs="Times New Roman"/>
          <w:sz w:val="24"/>
          <w:szCs w:val="24"/>
        </w:rPr>
        <w:t xml:space="preserve">Consistent with all other projects included in the Ten-Year Plan, the Company made transmission project decisions based on </w:t>
      </w:r>
      <w:r w:rsidR="00D668D4">
        <w:rPr>
          <w:rFonts w:ascii="Times New Roman" w:eastAsia="Times New Roman" w:hAnsi="Times New Roman" w:cs="Times New Roman"/>
          <w:sz w:val="24"/>
          <w:szCs w:val="24"/>
        </w:rPr>
        <w:t xml:space="preserve">processes </w:t>
      </w:r>
      <w:r w:rsidRPr="059C6C9A">
        <w:rPr>
          <w:rFonts w:ascii="Times New Roman" w:eastAsia="Times New Roman" w:hAnsi="Times New Roman" w:cs="Times New Roman"/>
          <w:sz w:val="24"/>
          <w:szCs w:val="24"/>
        </w:rPr>
        <w:t xml:space="preserve">outlined in Technical Appendix Volume 3, Section A in the 2025 IRP. </w:t>
      </w:r>
      <w:r w:rsidR="3075BB03" w:rsidRPr="00801EEB">
        <w:rPr>
          <w:rFonts w:ascii="Times New Roman" w:eastAsia="Times New Roman" w:hAnsi="Times New Roman" w:cs="Times New Roman"/>
          <w:color w:val="333333"/>
          <w:sz w:val="24"/>
          <w:szCs w:val="24"/>
        </w:rPr>
        <w:t>Refer to</w:t>
      </w:r>
      <w:r w:rsidR="0022286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the Company’s</w:t>
      </w:r>
      <w:r w:rsidR="3075BB03" w:rsidRPr="00801EE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response</w:t>
      </w:r>
      <w:r w:rsidR="0022286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to</w:t>
      </w:r>
      <w:r w:rsidR="3075BB03" w:rsidRPr="00801EE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STF-DEA-2-18(b). </w:t>
      </w:r>
      <w:r w:rsidR="2920004A" w:rsidRPr="00801EE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This project </w:t>
      </w:r>
      <w:r w:rsidR="53011784" w:rsidRPr="161075A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addresses thermal constraints and </w:t>
      </w:r>
      <w:r w:rsidR="2920004A" w:rsidRPr="00801EEB">
        <w:rPr>
          <w:rFonts w:ascii="Times New Roman" w:eastAsia="Times New Roman" w:hAnsi="Times New Roman" w:cs="Times New Roman"/>
          <w:color w:val="333333"/>
          <w:sz w:val="24"/>
          <w:szCs w:val="24"/>
        </w:rPr>
        <w:t>provide</w:t>
      </w:r>
      <w:r w:rsidR="61458483" w:rsidRPr="161075A8">
        <w:rPr>
          <w:rFonts w:ascii="Times New Roman" w:eastAsia="Times New Roman" w:hAnsi="Times New Roman" w:cs="Times New Roman"/>
          <w:color w:val="333333"/>
          <w:sz w:val="24"/>
          <w:szCs w:val="24"/>
        </w:rPr>
        <w:t>s</w:t>
      </w:r>
      <w:r w:rsidR="2920004A" w:rsidRPr="00801EE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system benefits therefore, the forecasted cost included in the Company’s filing do not have a long-term cost implication specific to </w:t>
      </w:r>
      <w:r w:rsidR="588BF772" w:rsidRPr="7F19AA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any one </w:t>
      </w:r>
      <w:r w:rsidR="2920004A" w:rsidRPr="00801EEB">
        <w:rPr>
          <w:rFonts w:ascii="Times New Roman" w:eastAsia="Times New Roman" w:hAnsi="Times New Roman" w:cs="Times New Roman"/>
          <w:color w:val="333333"/>
          <w:sz w:val="24"/>
          <w:szCs w:val="24"/>
        </w:rPr>
        <w:t>customer in the service area of the Conyers - Klondike 230kV Second Line.</w:t>
      </w:r>
      <w:r w:rsidR="00B73D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B73D1F" w:rsidRPr="00B73D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Although all projects have some long-term cost implications, these costs are </w:t>
      </w:r>
      <w:r w:rsidR="007879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appropriately allocated across the </w:t>
      </w:r>
      <w:r w:rsidR="00B73D1F" w:rsidRPr="00B73D1F">
        <w:rPr>
          <w:rFonts w:ascii="Times New Roman" w:eastAsia="Times New Roman" w:hAnsi="Times New Roman" w:cs="Times New Roman"/>
          <w:color w:val="333333"/>
          <w:sz w:val="24"/>
          <w:szCs w:val="24"/>
        </w:rPr>
        <w:t>customer base. The project is crucial for maintaining system reliability and addressing thermal constraints, ultimately benefiting all customers by ensuring a stable and reliable power supply</w:t>
      </w:r>
      <w:r w:rsidR="00ED711C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14:paraId="047E70F0" w14:textId="3D6FD290" w:rsidR="22FC8418" w:rsidRDefault="1A013043" w:rsidP="0044055D">
      <w:pPr>
        <w:pStyle w:val="ListParagraph"/>
        <w:numPr>
          <w:ilvl w:val="0"/>
          <w:numId w:val="12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310F6426">
        <w:rPr>
          <w:rFonts w:ascii="Times New Roman" w:eastAsia="Times New Roman" w:hAnsi="Times New Roman" w:cs="Times New Roman"/>
          <w:sz w:val="24"/>
          <w:szCs w:val="24"/>
        </w:rPr>
        <w:t xml:space="preserve">The Conyers - Klondike 230kV Second Line is scoped to be built with 200C 1351 ACSS bundle </w:t>
      </w:r>
      <w:r w:rsidR="0015528B" w:rsidRPr="310F6426">
        <w:rPr>
          <w:rFonts w:ascii="Times New Roman" w:eastAsia="Times New Roman" w:hAnsi="Times New Roman" w:cs="Times New Roman"/>
          <w:sz w:val="24"/>
          <w:szCs w:val="24"/>
        </w:rPr>
        <w:t>conductor,</w:t>
      </w:r>
      <w:r w:rsidRPr="310F642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7BC2BEAB" w:rsidRPr="161075A8">
        <w:rPr>
          <w:rFonts w:ascii="Times New Roman" w:eastAsia="Times New Roman" w:hAnsi="Times New Roman" w:cs="Times New Roman"/>
          <w:sz w:val="24"/>
          <w:szCs w:val="24"/>
        </w:rPr>
        <w:t>the</w:t>
      </w:r>
      <w:r w:rsidR="5E366D2F" w:rsidRPr="310F64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5A7CBF7B" w:rsidRPr="310F6426">
        <w:rPr>
          <w:rFonts w:ascii="Times New Roman" w:eastAsia="Times New Roman" w:hAnsi="Times New Roman" w:cs="Times New Roman"/>
          <w:sz w:val="24"/>
          <w:szCs w:val="24"/>
        </w:rPr>
        <w:t xml:space="preserve">new </w:t>
      </w:r>
      <w:r w:rsidR="5E366D2F" w:rsidRPr="310F6426">
        <w:rPr>
          <w:rFonts w:ascii="Times New Roman" w:eastAsia="Times New Roman" w:hAnsi="Times New Roman" w:cs="Times New Roman"/>
          <w:sz w:val="24"/>
          <w:szCs w:val="24"/>
        </w:rPr>
        <w:t>rating will be</w:t>
      </w:r>
      <w:r w:rsidR="008427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27BE">
        <w:rPr>
          <w:rFonts w:ascii="Times New Roman" w:eastAsia="Times New Roman" w:hAnsi="Times New Roman" w:cs="Times New Roman"/>
          <w:b/>
          <w:bCs/>
          <w:sz w:val="24"/>
          <w:szCs w:val="24"/>
        </w:rPr>
        <w:t>REDACTED.</w:t>
      </w:r>
    </w:p>
    <w:p w14:paraId="01C7BFFA" w14:textId="2FDF932D" w:rsidR="749651E5" w:rsidRDefault="3A482E23" w:rsidP="0044055D">
      <w:pPr>
        <w:pStyle w:val="ListParagraph"/>
        <w:numPr>
          <w:ilvl w:val="0"/>
          <w:numId w:val="12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310F6426">
        <w:rPr>
          <w:rFonts w:ascii="Times New Roman" w:eastAsia="Times New Roman" w:hAnsi="Times New Roman" w:cs="Times New Roman"/>
          <w:sz w:val="24"/>
          <w:szCs w:val="24"/>
        </w:rPr>
        <w:t>Please refer to</w:t>
      </w:r>
      <w:r w:rsidR="0022286C">
        <w:rPr>
          <w:rFonts w:ascii="Times New Roman" w:eastAsia="Times New Roman" w:hAnsi="Times New Roman" w:cs="Times New Roman"/>
          <w:sz w:val="24"/>
          <w:szCs w:val="24"/>
        </w:rPr>
        <w:t xml:space="preserve"> the Company’s</w:t>
      </w:r>
      <w:r w:rsidRPr="310F6426">
        <w:rPr>
          <w:rFonts w:ascii="Times New Roman" w:eastAsia="Times New Roman" w:hAnsi="Times New Roman" w:cs="Times New Roman"/>
          <w:sz w:val="24"/>
          <w:szCs w:val="24"/>
        </w:rPr>
        <w:t xml:space="preserve"> response</w:t>
      </w:r>
      <w:r w:rsidR="0022286C">
        <w:rPr>
          <w:rFonts w:ascii="Times New Roman" w:eastAsia="Times New Roman" w:hAnsi="Times New Roman" w:cs="Times New Roman"/>
          <w:sz w:val="24"/>
          <w:szCs w:val="24"/>
        </w:rPr>
        <w:t xml:space="preserve"> to</w:t>
      </w:r>
      <w:r w:rsidRPr="310F6426">
        <w:rPr>
          <w:rFonts w:ascii="Times New Roman" w:eastAsia="Times New Roman" w:hAnsi="Times New Roman" w:cs="Times New Roman"/>
          <w:sz w:val="24"/>
          <w:szCs w:val="24"/>
        </w:rPr>
        <w:t xml:space="preserve"> STF-DEA-2-18(b).</w:t>
      </w:r>
    </w:p>
    <w:sectPr w:rsidR="749651E5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8C39C" w14:textId="77777777" w:rsidR="00A9673E" w:rsidRDefault="00A9673E">
      <w:pPr>
        <w:spacing w:after="0" w:line="240" w:lineRule="auto"/>
      </w:pPr>
      <w:r>
        <w:separator/>
      </w:r>
    </w:p>
  </w:endnote>
  <w:endnote w:type="continuationSeparator" w:id="0">
    <w:p w14:paraId="47B494D3" w14:textId="77777777" w:rsidR="00A9673E" w:rsidRDefault="00A9673E">
      <w:pPr>
        <w:spacing w:after="0" w:line="240" w:lineRule="auto"/>
      </w:pPr>
      <w:r>
        <w:continuationSeparator/>
      </w:r>
    </w:p>
  </w:endnote>
  <w:endnote w:type="continuationNotice" w:id="1">
    <w:p w14:paraId="1E881AEC" w14:textId="77777777" w:rsidR="00A9673E" w:rsidRDefault="00A967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8D495" w14:textId="77777777" w:rsidR="00DE628F" w:rsidRDefault="00DE628F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DE628F" w14:paraId="4CF8CCDA" w14:textId="77777777">
      <w:trPr>
        <w:jc w:val="center"/>
      </w:trPr>
      <w:tc>
        <w:tcPr>
          <w:tcW w:w="5400" w:type="dxa"/>
        </w:tcPr>
        <w:p w14:paraId="12002575" w14:textId="77777777" w:rsidR="00DE628F" w:rsidRDefault="00D60EAB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2AA9BE5D" w14:textId="61C00FAB" w:rsidR="00DE628F" w:rsidRDefault="00D60EAB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003A9" w14:textId="77777777" w:rsidR="00A9673E" w:rsidRDefault="00A9673E">
      <w:pPr>
        <w:spacing w:after="0" w:line="240" w:lineRule="auto"/>
      </w:pPr>
      <w:r>
        <w:separator/>
      </w:r>
    </w:p>
  </w:footnote>
  <w:footnote w:type="continuationSeparator" w:id="0">
    <w:p w14:paraId="162B1365" w14:textId="77777777" w:rsidR="00A9673E" w:rsidRDefault="00A9673E">
      <w:pPr>
        <w:spacing w:after="0" w:line="240" w:lineRule="auto"/>
      </w:pPr>
      <w:r>
        <w:continuationSeparator/>
      </w:r>
    </w:p>
  </w:footnote>
  <w:footnote w:type="continuationNotice" w:id="1">
    <w:p w14:paraId="7BAE0F9C" w14:textId="77777777" w:rsidR="00A9673E" w:rsidRDefault="00A967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4635F" w14:textId="65FA9B51" w:rsidR="00772693" w:rsidRPr="008427BE" w:rsidRDefault="008427BE" w:rsidP="00D60EAB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8427BE">
      <w:rPr>
        <w:rFonts w:ascii="Times New Roman" w:eastAsia="Times New Roman" w:hAnsi="Times New Roman" w:cs="Times New Roman"/>
        <w:b/>
        <w:bCs/>
        <w:sz w:val="24"/>
        <w:szCs w:val="24"/>
      </w:rPr>
      <w:t>PUBLIC DISCLOSURE</w:t>
    </w:r>
  </w:p>
  <w:p w14:paraId="0CA7D829" w14:textId="7BC2A8D8" w:rsidR="00D60EAB" w:rsidRPr="005801E0" w:rsidRDefault="00D60EAB" w:rsidP="00D60EAB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1E1C4AE7" w14:textId="77777777" w:rsidR="00D60EAB" w:rsidRDefault="00D60EAB" w:rsidP="00D60EAB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35F81F02" w14:textId="77777777" w:rsidR="00DE628F" w:rsidRDefault="00DE628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19D2E9B"/>
    <w:multiLevelType w:val="hybridMultilevel"/>
    <w:tmpl w:val="F286B6EA"/>
    <w:lvl w:ilvl="0" w:tplc="B532E13E">
      <w:start w:val="1"/>
      <w:numFmt w:val="lowerLetter"/>
      <w:lvlText w:val="%1."/>
      <w:lvlJc w:val="left"/>
      <w:pPr>
        <w:ind w:left="720" w:hanging="360"/>
      </w:pPr>
    </w:lvl>
    <w:lvl w:ilvl="1" w:tplc="8AC8C56E">
      <w:start w:val="1"/>
      <w:numFmt w:val="lowerLetter"/>
      <w:lvlText w:val="%2."/>
      <w:lvlJc w:val="left"/>
      <w:pPr>
        <w:ind w:left="1440" w:hanging="360"/>
      </w:pPr>
    </w:lvl>
    <w:lvl w:ilvl="2" w:tplc="811A6806">
      <w:start w:val="1"/>
      <w:numFmt w:val="lowerRoman"/>
      <w:lvlText w:val="%3."/>
      <w:lvlJc w:val="right"/>
      <w:pPr>
        <w:ind w:left="2160" w:hanging="180"/>
      </w:pPr>
    </w:lvl>
    <w:lvl w:ilvl="3" w:tplc="259667E8">
      <w:start w:val="1"/>
      <w:numFmt w:val="decimal"/>
      <w:lvlText w:val="%4."/>
      <w:lvlJc w:val="left"/>
      <w:pPr>
        <w:ind w:left="2880" w:hanging="360"/>
      </w:pPr>
    </w:lvl>
    <w:lvl w:ilvl="4" w:tplc="B6CA1236">
      <w:start w:val="1"/>
      <w:numFmt w:val="lowerLetter"/>
      <w:lvlText w:val="%5."/>
      <w:lvlJc w:val="left"/>
      <w:pPr>
        <w:ind w:left="3600" w:hanging="360"/>
      </w:pPr>
    </w:lvl>
    <w:lvl w:ilvl="5" w:tplc="F676BEE8">
      <w:start w:val="1"/>
      <w:numFmt w:val="lowerRoman"/>
      <w:lvlText w:val="%6."/>
      <w:lvlJc w:val="right"/>
      <w:pPr>
        <w:ind w:left="4320" w:hanging="180"/>
      </w:pPr>
    </w:lvl>
    <w:lvl w:ilvl="6" w:tplc="593CBCA6">
      <w:start w:val="1"/>
      <w:numFmt w:val="decimal"/>
      <w:lvlText w:val="%7."/>
      <w:lvlJc w:val="left"/>
      <w:pPr>
        <w:ind w:left="5040" w:hanging="360"/>
      </w:pPr>
    </w:lvl>
    <w:lvl w:ilvl="7" w:tplc="D1F08C46">
      <w:start w:val="1"/>
      <w:numFmt w:val="lowerLetter"/>
      <w:lvlText w:val="%8."/>
      <w:lvlJc w:val="left"/>
      <w:pPr>
        <w:ind w:left="5760" w:hanging="360"/>
      </w:pPr>
    </w:lvl>
    <w:lvl w:ilvl="8" w:tplc="EE9EBF4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A0E98"/>
    <w:multiLevelType w:val="hybridMultilevel"/>
    <w:tmpl w:val="D3C237F4"/>
    <w:lvl w:ilvl="0" w:tplc="DA6AA5AE">
      <w:start w:val="1"/>
      <w:numFmt w:val="lowerLetter"/>
      <w:lvlText w:val="%1."/>
      <w:lvlJc w:val="left"/>
      <w:pPr>
        <w:ind w:left="720" w:hanging="360"/>
      </w:pPr>
    </w:lvl>
    <w:lvl w:ilvl="1" w:tplc="99E44560">
      <w:start w:val="1"/>
      <w:numFmt w:val="lowerLetter"/>
      <w:lvlText w:val="%2."/>
      <w:lvlJc w:val="left"/>
      <w:pPr>
        <w:ind w:left="1440" w:hanging="360"/>
      </w:pPr>
    </w:lvl>
    <w:lvl w:ilvl="2" w:tplc="F69A3754">
      <w:start w:val="1"/>
      <w:numFmt w:val="lowerRoman"/>
      <w:lvlText w:val="%3."/>
      <w:lvlJc w:val="right"/>
      <w:pPr>
        <w:ind w:left="2160" w:hanging="180"/>
      </w:pPr>
    </w:lvl>
    <w:lvl w:ilvl="3" w:tplc="F3EC39BC">
      <w:start w:val="1"/>
      <w:numFmt w:val="decimal"/>
      <w:lvlText w:val="%4."/>
      <w:lvlJc w:val="left"/>
      <w:pPr>
        <w:ind w:left="2880" w:hanging="360"/>
      </w:pPr>
    </w:lvl>
    <w:lvl w:ilvl="4" w:tplc="5944E92E">
      <w:start w:val="1"/>
      <w:numFmt w:val="lowerLetter"/>
      <w:lvlText w:val="%5."/>
      <w:lvlJc w:val="left"/>
      <w:pPr>
        <w:ind w:left="3600" w:hanging="360"/>
      </w:pPr>
    </w:lvl>
    <w:lvl w:ilvl="5" w:tplc="44304FA4">
      <w:start w:val="1"/>
      <w:numFmt w:val="lowerRoman"/>
      <w:lvlText w:val="%6."/>
      <w:lvlJc w:val="right"/>
      <w:pPr>
        <w:ind w:left="4320" w:hanging="180"/>
      </w:pPr>
    </w:lvl>
    <w:lvl w:ilvl="6" w:tplc="C3BE00FC">
      <w:start w:val="1"/>
      <w:numFmt w:val="decimal"/>
      <w:lvlText w:val="%7."/>
      <w:lvlJc w:val="left"/>
      <w:pPr>
        <w:ind w:left="5040" w:hanging="360"/>
      </w:pPr>
    </w:lvl>
    <w:lvl w:ilvl="7" w:tplc="FF10B11C">
      <w:start w:val="1"/>
      <w:numFmt w:val="lowerLetter"/>
      <w:lvlText w:val="%8."/>
      <w:lvlJc w:val="left"/>
      <w:pPr>
        <w:ind w:left="5760" w:hanging="360"/>
      </w:pPr>
    </w:lvl>
    <w:lvl w:ilvl="8" w:tplc="2C80A20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1D5A98"/>
    <w:multiLevelType w:val="hybridMultilevel"/>
    <w:tmpl w:val="40BA8280"/>
    <w:lvl w:ilvl="0" w:tplc="5E44DAAA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C37A15"/>
    <w:multiLevelType w:val="hybridMultilevel"/>
    <w:tmpl w:val="93C67A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929740">
    <w:abstractNumId w:val="10"/>
  </w:num>
  <w:num w:numId="2" w16cid:durableId="711728588">
    <w:abstractNumId w:val="8"/>
  </w:num>
  <w:num w:numId="3" w16cid:durableId="1907177929">
    <w:abstractNumId w:val="6"/>
  </w:num>
  <w:num w:numId="4" w16cid:durableId="667640201">
    <w:abstractNumId w:val="5"/>
  </w:num>
  <w:num w:numId="5" w16cid:durableId="478308332">
    <w:abstractNumId w:val="4"/>
  </w:num>
  <w:num w:numId="6" w16cid:durableId="1701932552">
    <w:abstractNumId w:val="7"/>
  </w:num>
  <w:num w:numId="7" w16cid:durableId="547844547">
    <w:abstractNumId w:val="3"/>
  </w:num>
  <w:num w:numId="8" w16cid:durableId="1929578953">
    <w:abstractNumId w:val="2"/>
  </w:num>
  <w:num w:numId="9" w16cid:durableId="375128454">
    <w:abstractNumId w:val="1"/>
  </w:num>
  <w:num w:numId="10" w16cid:durableId="788091804">
    <w:abstractNumId w:val="0"/>
  </w:num>
  <w:num w:numId="11" w16cid:durableId="654067861">
    <w:abstractNumId w:val="9"/>
  </w:num>
  <w:num w:numId="12" w16cid:durableId="1396007022">
    <w:abstractNumId w:val="11"/>
  </w:num>
  <w:num w:numId="13" w16cid:durableId="17053312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0718"/>
    <w:rsid w:val="000316FC"/>
    <w:rsid w:val="00034616"/>
    <w:rsid w:val="00040B18"/>
    <w:rsid w:val="00050432"/>
    <w:rsid w:val="0006063C"/>
    <w:rsid w:val="0011219D"/>
    <w:rsid w:val="0015074B"/>
    <w:rsid w:val="0015528B"/>
    <w:rsid w:val="001616F8"/>
    <w:rsid w:val="00187ACE"/>
    <w:rsid w:val="001B2C6C"/>
    <w:rsid w:val="001B7ED2"/>
    <w:rsid w:val="00202D74"/>
    <w:rsid w:val="0022286C"/>
    <w:rsid w:val="00236C08"/>
    <w:rsid w:val="00264F67"/>
    <w:rsid w:val="002808DD"/>
    <w:rsid w:val="0029457E"/>
    <w:rsid w:val="0029639D"/>
    <w:rsid w:val="002C190F"/>
    <w:rsid w:val="002E332A"/>
    <w:rsid w:val="002E7191"/>
    <w:rsid w:val="002F194F"/>
    <w:rsid w:val="00320161"/>
    <w:rsid w:val="00326F90"/>
    <w:rsid w:val="00340E25"/>
    <w:rsid w:val="00344019"/>
    <w:rsid w:val="003B2C0C"/>
    <w:rsid w:val="003B6779"/>
    <w:rsid w:val="004325A8"/>
    <w:rsid w:val="0044055D"/>
    <w:rsid w:val="0045607D"/>
    <w:rsid w:val="0045678D"/>
    <w:rsid w:val="0048A014"/>
    <w:rsid w:val="004C0ADE"/>
    <w:rsid w:val="004D6DD7"/>
    <w:rsid w:val="0057676E"/>
    <w:rsid w:val="0060723C"/>
    <w:rsid w:val="00621FED"/>
    <w:rsid w:val="006B1CBF"/>
    <w:rsid w:val="006C3D6C"/>
    <w:rsid w:val="0070792C"/>
    <w:rsid w:val="00772693"/>
    <w:rsid w:val="007776FF"/>
    <w:rsid w:val="00787958"/>
    <w:rsid w:val="007A5F34"/>
    <w:rsid w:val="007C48A2"/>
    <w:rsid w:val="00801EEB"/>
    <w:rsid w:val="00806D1D"/>
    <w:rsid w:val="008427BE"/>
    <w:rsid w:val="008629F9"/>
    <w:rsid w:val="00874D7F"/>
    <w:rsid w:val="0087615D"/>
    <w:rsid w:val="008E3378"/>
    <w:rsid w:val="00903F7D"/>
    <w:rsid w:val="00931946"/>
    <w:rsid w:val="00942E52"/>
    <w:rsid w:val="00946875"/>
    <w:rsid w:val="0095642B"/>
    <w:rsid w:val="00956C59"/>
    <w:rsid w:val="009E5AA9"/>
    <w:rsid w:val="00A14CD1"/>
    <w:rsid w:val="00A72A70"/>
    <w:rsid w:val="00A9673E"/>
    <w:rsid w:val="00AA1D8D"/>
    <w:rsid w:val="00AE5890"/>
    <w:rsid w:val="00B40F9E"/>
    <w:rsid w:val="00B47730"/>
    <w:rsid w:val="00B73D1F"/>
    <w:rsid w:val="00C23B5A"/>
    <w:rsid w:val="00C456A0"/>
    <w:rsid w:val="00C778A3"/>
    <w:rsid w:val="00C919DC"/>
    <w:rsid w:val="00CB0664"/>
    <w:rsid w:val="00CB27A1"/>
    <w:rsid w:val="00CD4EF7"/>
    <w:rsid w:val="00CE0F2A"/>
    <w:rsid w:val="00D06EB5"/>
    <w:rsid w:val="00D45E8F"/>
    <w:rsid w:val="00D54989"/>
    <w:rsid w:val="00D60EAB"/>
    <w:rsid w:val="00D668D4"/>
    <w:rsid w:val="00DE628F"/>
    <w:rsid w:val="00E04CD1"/>
    <w:rsid w:val="00E07844"/>
    <w:rsid w:val="00E109AA"/>
    <w:rsid w:val="00E13515"/>
    <w:rsid w:val="00E23109"/>
    <w:rsid w:val="00E31115"/>
    <w:rsid w:val="00E87860"/>
    <w:rsid w:val="00E90BCE"/>
    <w:rsid w:val="00EC2080"/>
    <w:rsid w:val="00ED711C"/>
    <w:rsid w:val="00EE63F8"/>
    <w:rsid w:val="00EF2DD2"/>
    <w:rsid w:val="00FA13D2"/>
    <w:rsid w:val="00FA6C28"/>
    <w:rsid w:val="00FC3800"/>
    <w:rsid w:val="00FC4866"/>
    <w:rsid w:val="00FC693F"/>
    <w:rsid w:val="00FD4276"/>
    <w:rsid w:val="015131BD"/>
    <w:rsid w:val="05983E5B"/>
    <w:rsid w:val="059C6C9A"/>
    <w:rsid w:val="0D018BF8"/>
    <w:rsid w:val="1004D4C8"/>
    <w:rsid w:val="10446C07"/>
    <w:rsid w:val="13FA825A"/>
    <w:rsid w:val="161075A8"/>
    <w:rsid w:val="17A6D6EA"/>
    <w:rsid w:val="18F14337"/>
    <w:rsid w:val="1A013043"/>
    <w:rsid w:val="1C9E9427"/>
    <w:rsid w:val="1D9C5974"/>
    <w:rsid w:val="1ED9AB5E"/>
    <w:rsid w:val="1F7221E6"/>
    <w:rsid w:val="1FAF769B"/>
    <w:rsid w:val="21EF0DEB"/>
    <w:rsid w:val="221381F3"/>
    <w:rsid w:val="22FC8418"/>
    <w:rsid w:val="24492249"/>
    <w:rsid w:val="265B40E1"/>
    <w:rsid w:val="269FB932"/>
    <w:rsid w:val="2920004A"/>
    <w:rsid w:val="29A65D93"/>
    <w:rsid w:val="2B9FE94E"/>
    <w:rsid w:val="2EB15E2C"/>
    <w:rsid w:val="2EF34C4D"/>
    <w:rsid w:val="2F340ED0"/>
    <w:rsid w:val="2F77CBEE"/>
    <w:rsid w:val="3075BB03"/>
    <w:rsid w:val="310F6426"/>
    <w:rsid w:val="313C3500"/>
    <w:rsid w:val="31EACF92"/>
    <w:rsid w:val="340244A6"/>
    <w:rsid w:val="354D78EF"/>
    <w:rsid w:val="3634AF73"/>
    <w:rsid w:val="3678608B"/>
    <w:rsid w:val="3A482E23"/>
    <w:rsid w:val="41703884"/>
    <w:rsid w:val="42DE42BD"/>
    <w:rsid w:val="45546080"/>
    <w:rsid w:val="463BD29A"/>
    <w:rsid w:val="4998748F"/>
    <w:rsid w:val="4E70AACD"/>
    <w:rsid w:val="52C71E83"/>
    <w:rsid w:val="53011784"/>
    <w:rsid w:val="5555EC32"/>
    <w:rsid w:val="556B1F66"/>
    <w:rsid w:val="56A3C155"/>
    <w:rsid w:val="588BF772"/>
    <w:rsid w:val="593572A0"/>
    <w:rsid w:val="5A24709D"/>
    <w:rsid w:val="5A7CBF7B"/>
    <w:rsid w:val="5E366D2F"/>
    <w:rsid w:val="5E5B7F64"/>
    <w:rsid w:val="5E8D3EF3"/>
    <w:rsid w:val="5FF04B52"/>
    <w:rsid w:val="61458483"/>
    <w:rsid w:val="62DAA9D1"/>
    <w:rsid w:val="656D6EAD"/>
    <w:rsid w:val="661DED3F"/>
    <w:rsid w:val="665023A9"/>
    <w:rsid w:val="67F4D8A6"/>
    <w:rsid w:val="68135798"/>
    <w:rsid w:val="693EA2A9"/>
    <w:rsid w:val="699FFB3A"/>
    <w:rsid w:val="6A717B13"/>
    <w:rsid w:val="6AC59ABF"/>
    <w:rsid w:val="6DA62A69"/>
    <w:rsid w:val="749651E5"/>
    <w:rsid w:val="75A65F5C"/>
    <w:rsid w:val="75C38D81"/>
    <w:rsid w:val="780E1275"/>
    <w:rsid w:val="7BC2BEAB"/>
    <w:rsid w:val="7C93AD4B"/>
    <w:rsid w:val="7DECDE7D"/>
    <w:rsid w:val="7F19AA8D"/>
    <w:rsid w:val="7F9DB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2C190F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5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515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E1351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04068F-3B30-41D4-AD6E-4C78786CD826}"/>
</file>

<file path=customXml/itemProps2.xml><?xml version="1.0" encoding="utf-8"?>
<ds:datastoreItem xmlns:ds="http://schemas.openxmlformats.org/officeDocument/2006/customXml" ds:itemID="{0F129954-A30B-4D71-8EF0-5F28097863F4}"/>
</file>

<file path=customXml/itemProps3.xml><?xml version="1.0" encoding="utf-8"?>
<ds:datastoreItem xmlns:ds="http://schemas.openxmlformats.org/officeDocument/2006/customXml" ds:itemID="{73890BEC-55DA-4008-A8CE-330728D355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2599</Characters>
  <Application>Microsoft Office Word</Application>
  <DocSecurity>0</DocSecurity>
  <Lines>21</Lines>
  <Paragraphs>6</Paragraphs>
  <ScaleCrop>false</ScaleCrop>
  <Manager/>
  <Company/>
  <LinksUpToDate>false</LinksUpToDate>
  <CharactersWithSpaces>3048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2025-03-17T14:47:01Z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33717e3b-8980-42bf-8409-9da4816d0089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