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B7DA561" w14:textId="77777777" w:rsidR="003F2763" w:rsidRDefault="003F2763" w:rsidP="003F2763">
      <w:pPr>
        <w:rPr>
          <w:color w:val="FF0000"/>
        </w:rPr>
      </w:pPr>
    </w:p>
    <w:p w14:paraId="6E3E2D30" w14:textId="77777777" w:rsidR="003F2763" w:rsidRDefault="003F2763" w:rsidP="003F2763">
      <w:pPr>
        <w:pStyle w:val="Heading1"/>
      </w:pPr>
    </w:p>
    <w:p w14:paraId="7F6176F1" w14:textId="77777777" w:rsidR="000013E2" w:rsidRPr="000013E2" w:rsidRDefault="000013E2" w:rsidP="000013E2">
      <w:pPr>
        <w:widowControl w:val="0"/>
        <w:rPr>
          <w:snapToGrid w:val="0"/>
          <w:szCs w:val="20"/>
        </w:rPr>
      </w:pPr>
    </w:p>
    <w:p w14:paraId="61908641" w14:textId="77777777" w:rsidR="000013E2" w:rsidRPr="000013E2" w:rsidRDefault="000013E2" w:rsidP="000013E2">
      <w:pPr>
        <w:widowControl w:val="0"/>
        <w:ind w:left="2880" w:hanging="2880"/>
        <w:rPr>
          <w:b/>
          <w:bCs/>
          <w:snapToGrid w:val="0"/>
        </w:rPr>
      </w:pPr>
      <w:r w:rsidRPr="000013E2">
        <w:rPr>
          <w:b/>
          <w:bCs/>
          <w:snapToGrid w:val="0"/>
        </w:rPr>
        <w:t xml:space="preserve">DOCKET NO. 41559: </w:t>
      </w:r>
      <w:r w:rsidRPr="000013E2">
        <w:rPr>
          <w:b/>
          <w:bCs/>
          <w:snapToGrid w:val="0"/>
        </w:rPr>
        <w:tab/>
      </w:r>
      <w:r w:rsidRPr="000013E2">
        <w:rPr>
          <w:b/>
          <w:snapToGrid w:val="0"/>
          <w:szCs w:val="20"/>
        </w:rPr>
        <w:t>IN RE: ATLANTA GAS LIGHT COMPANY'S ECON-1 TARIFF</w:t>
      </w:r>
    </w:p>
    <w:p w14:paraId="007B4C0D" w14:textId="77777777" w:rsidR="000013E2" w:rsidRPr="000013E2" w:rsidRDefault="000013E2" w:rsidP="000013E2">
      <w:pPr>
        <w:spacing w:after="200"/>
        <w:rPr>
          <w:b/>
          <w:snapToGrid w:val="0"/>
        </w:rPr>
      </w:pPr>
    </w:p>
    <w:p w14:paraId="1521396F" w14:textId="77777777" w:rsidR="000013E2" w:rsidRPr="000013E2" w:rsidRDefault="000013E2" w:rsidP="000013E2">
      <w:pPr>
        <w:spacing w:after="200"/>
        <w:contextualSpacing/>
        <w:jc w:val="center"/>
        <w:rPr>
          <w:b/>
          <w:snapToGrid w:val="0"/>
        </w:rPr>
      </w:pPr>
      <w:r w:rsidRPr="000013E2">
        <w:rPr>
          <w:b/>
          <w:snapToGrid w:val="0"/>
        </w:rPr>
        <w:t xml:space="preserve">FINAL ORDER APPROVING </w:t>
      </w:r>
      <w:bookmarkStart w:id="0" w:name="_Hlk29978879"/>
      <w:r w:rsidRPr="000013E2">
        <w:rPr>
          <w:b/>
          <w:snapToGrid w:val="0"/>
        </w:rPr>
        <w:t>ATLANTA GAS LIGHT COMPANY’S 2025 ANNUAL ECONOMIC DEVELOPMENT (ECON-1) RIDER FILING</w:t>
      </w:r>
    </w:p>
    <w:p w14:paraId="36A51F55" w14:textId="77777777" w:rsidR="000013E2" w:rsidRPr="000013E2" w:rsidRDefault="000013E2" w:rsidP="000013E2">
      <w:pPr>
        <w:spacing w:after="200"/>
        <w:contextualSpacing/>
        <w:jc w:val="center"/>
        <w:rPr>
          <w:b/>
          <w:snapToGrid w:val="0"/>
        </w:rPr>
      </w:pPr>
    </w:p>
    <w:p w14:paraId="77AFD435" w14:textId="77777777" w:rsidR="000013E2" w:rsidRPr="000013E2" w:rsidRDefault="000013E2" w:rsidP="000013E2">
      <w:pPr>
        <w:numPr>
          <w:ilvl w:val="0"/>
          <w:numId w:val="2"/>
        </w:numPr>
        <w:spacing w:after="200"/>
        <w:contextualSpacing/>
        <w:jc w:val="center"/>
        <w:rPr>
          <w:b/>
        </w:rPr>
      </w:pPr>
      <w:r w:rsidRPr="000013E2">
        <w:rPr>
          <w:b/>
        </w:rPr>
        <w:t>Background</w:t>
      </w:r>
    </w:p>
    <w:p w14:paraId="2F6CF2FC" w14:textId="77777777" w:rsidR="000013E2" w:rsidRPr="000013E2" w:rsidRDefault="000013E2" w:rsidP="000013E2">
      <w:pPr>
        <w:widowControl w:val="0"/>
        <w:spacing w:after="200"/>
        <w:contextualSpacing/>
        <w:rPr>
          <w:snapToGrid w:val="0"/>
        </w:rPr>
      </w:pPr>
    </w:p>
    <w:p w14:paraId="01B27F99" w14:textId="77777777" w:rsidR="000013E2" w:rsidRPr="000013E2" w:rsidRDefault="000013E2" w:rsidP="000013E2">
      <w:pPr>
        <w:widowControl w:val="0"/>
        <w:spacing w:after="200"/>
        <w:ind w:firstLine="720"/>
        <w:contextualSpacing/>
        <w:rPr>
          <w:snapToGrid w:val="0"/>
        </w:rPr>
      </w:pPr>
      <w:r w:rsidRPr="000013E2">
        <w:rPr>
          <w:snapToGrid w:val="0"/>
        </w:rPr>
        <w:t xml:space="preserve">On October 10, 2017, the Commission approved Atlanta Gas Light Company’s (“AGL”) Economic Development Tariff (“ECON-1 Tariff”) as part of efficiency changes to AGL’s customer growth initiatives. The ECON-1 Tariff, Section 27, was approved for large economic development projects with economic development parameters based on customer class, capital investment, new jobs created, and new gas load. The initial tariff allowed up to $15 million per year for ECON-1 Tariff projects. On August 28, 2023, the Commission approved changes to the ECON-1 Tariff that increased the annual limit to $25 million per year. </w:t>
      </w:r>
      <w:r w:rsidRPr="000013E2">
        <w:t xml:space="preserve">ECON-1 projects were approved to be recovered through a surcharge mechanism </w:t>
      </w:r>
      <w:proofErr w:type="gramStart"/>
      <w:r w:rsidRPr="000013E2">
        <w:t>similar to</w:t>
      </w:r>
      <w:proofErr w:type="gramEnd"/>
      <w:r w:rsidRPr="000013E2">
        <w:t xml:space="preserve"> the </w:t>
      </w:r>
      <w:proofErr w:type="spellStart"/>
      <w:r w:rsidRPr="000013E2">
        <w:t>i</w:t>
      </w:r>
      <w:proofErr w:type="spellEnd"/>
      <w:r w:rsidRPr="000013E2">
        <w:t xml:space="preserve">-CDP’s SRR rider, a known and approved recovery mechanism, to recover the ECON-1 rate base. </w:t>
      </w:r>
    </w:p>
    <w:p w14:paraId="37D5C016" w14:textId="77777777" w:rsidR="000013E2" w:rsidRPr="000013E2" w:rsidRDefault="000013E2" w:rsidP="000013E2">
      <w:pPr>
        <w:spacing w:after="200"/>
        <w:contextualSpacing/>
        <w:rPr>
          <w:snapToGrid w:val="0"/>
        </w:rPr>
      </w:pPr>
    </w:p>
    <w:p w14:paraId="1E36EBFB" w14:textId="77777777" w:rsidR="000013E2" w:rsidRPr="000013E2" w:rsidRDefault="000013E2" w:rsidP="000013E2">
      <w:pPr>
        <w:widowControl w:val="0"/>
        <w:spacing w:after="200"/>
        <w:ind w:firstLine="720"/>
        <w:contextualSpacing/>
      </w:pPr>
      <w:r w:rsidRPr="000013E2">
        <w:t>By October 1</w:t>
      </w:r>
      <w:r w:rsidRPr="000013E2">
        <w:rPr>
          <w:vertAlign w:val="superscript"/>
        </w:rPr>
        <w:t>st</w:t>
      </w:r>
      <w:r w:rsidRPr="000013E2">
        <w:t xml:space="preserve"> of each year, AGL will file a petition with the Commission to request a proposed update to the surcharge dollar amount, if necessary, with supporting information included in the filing. In keeping with base rates and past surcharge programs, including the SRR, the ECON-1 Rider rate recovery for each rate class shall be as follows:</w:t>
      </w:r>
    </w:p>
    <w:p w14:paraId="3C07BA73" w14:textId="77777777" w:rsidR="000013E2" w:rsidRPr="000013E2" w:rsidRDefault="000013E2" w:rsidP="000013E2">
      <w:pPr>
        <w:widowControl w:val="0"/>
        <w:spacing w:after="200"/>
        <w:ind w:firstLine="720"/>
        <w:contextualSpacing/>
        <w:rPr>
          <w:snapToGrid w:val="0"/>
        </w:rPr>
      </w:pPr>
    </w:p>
    <w:p w14:paraId="0F88A572" w14:textId="77777777" w:rsidR="000013E2" w:rsidRPr="000013E2" w:rsidRDefault="000013E2" w:rsidP="000013E2">
      <w:pPr>
        <w:numPr>
          <w:ilvl w:val="0"/>
          <w:numId w:val="3"/>
        </w:numPr>
        <w:autoSpaceDE w:val="0"/>
        <w:autoSpaceDN w:val="0"/>
        <w:adjustRightInd w:val="0"/>
        <w:spacing w:after="200"/>
        <w:contextualSpacing/>
        <w:jc w:val="both"/>
      </w:pPr>
      <w:r w:rsidRPr="000013E2">
        <w:t>R-1, G-10, AG-1, and S-51 customers shall be charged an amount equal to</w:t>
      </w:r>
    </w:p>
    <w:p w14:paraId="083FCDD3" w14:textId="77777777" w:rsidR="000013E2" w:rsidRPr="000013E2" w:rsidRDefault="000013E2" w:rsidP="000013E2">
      <w:pPr>
        <w:autoSpaceDE w:val="0"/>
        <w:autoSpaceDN w:val="0"/>
        <w:adjustRightInd w:val="0"/>
        <w:ind w:firstLine="720"/>
        <w:contextualSpacing/>
        <w:jc w:val="both"/>
      </w:pPr>
      <w:r w:rsidRPr="000013E2">
        <w:t>the approved ECON-1 rate.</w:t>
      </w:r>
    </w:p>
    <w:p w14:paraId="12C7CF1A" w14:textId="77777777" w:rsidR="000013E2" w:rsidRPr="000013E2" w:rsidRDefault="000013E2" w:rsidP="000013E2">
      <w:pPr>
        <w:autoSpaceDE w:val="0"/>
        <w:autoSpaceDN w:val="0"/>
        <w:adjustRightInd w:val="0"/>
        <w:ind w:left="720"/>
        <w:contextualSpacing/>
        <w:jc w:val="both"/>
      </w:pPr>
    </w:p>
    <w:p w14:paraId="1660DBCF" w14:textId="77777777" w:rsidR="000013E2" w:rsidRPr="000013E2" w:rsidRDefault="000013E2" w:rsidP="000013E2">
      <w:pPr>
        <w:numPr>
          <w:ilvl w:val="0"/>
          <w:numId w:val="3"/>
        </w:numPr>
        <w:autoSpaceDE w:val="0"/>
        <w:autoSpaceDN w:val="0"/>
        <w:adjustRightInd w:val="0"/>
        <w:spacing w:after="200"/>
        <w:contextualSpacing/>
        <w:jc w:val="both"/>
      </w:pPr>
      <w:r w:rsidRPr="000013E2">
        <w:t>G-11 customers shall be charged an amount equal to three (3) times the</w:t>
      </w:r>
    </w:p>
    <w:p w14:paraId="1CDD52FE" w14:textId="77777777" w:rsidR="000013E2" w:rsidRPr="000013E2" w:rsidRDefault="000013E2" w:rsidP="000013E2">
      <w:pPr>
        <w:autoSpaceDE w:val="0"/>
        <w:autoSpaceDN w:val="0"/>
        <w:adjustRightInd w:val="0"/>
        <w:ind w:firstLine="720"/>
        <w:contextualSpacing/>
        <w:jc w:val="both"/>
      </w:pPr>
      <w:r w:rsidRPr="000013E2">
        <w:t>approved ECON-1 rate.</w:t>
      </w:r>
    </w:p>
    <w:p w14:paraId="71C595FD" w14:textId="77777777" w:rsidR="000013E2" w:rsidRPr="000013E2" w:rsidRDefault="000013E2" w:rsidP="000013E2">
      <w:pPr>
        <w:autoSpaceDE w:val="0"/>
        <w:autoSpaceDN w:val="0"/>
        <w:adjustRightInd w:val="0"/>
        <w:contextualSpacing/>
        <w:jc w:val="both"/>
      </w:pPr>
    </w:p>
    <w:p w14:paraId="44180232" w14:textId="77777777" w:rsidR="000013E2" w:rsidRPr="000013E2" w:rsidRDefault="000013E2" w:rsidP="000013E2">
      <w:pPr>
        <w:numPr>
          <w:ilvl w:val="0"/>
          <w:numId w:val="3"/>
        </w:numPr>
        <w:autoSpaceDE w:val="0"/>
        <w:autoSpaceDN w:val="0"/>
        <w:adjustRightInd w:val="0"/>
        <w:spacing w:after="200"/>
        <w:contextualSpacing/>
        <w:jc w:val="both"/>
      </w:pPr>
      <w:r w:rsidRPr="000013E2">
        <w:lastRenderedPageBreak/>
        <w:t>G-12 customers shall be charged an amount equal to 25 times the</w:t>
      </w:r>
    </w:p>
    <w:p w14:paraId="68191898" w14:textId="77777777" w:rsidR="000013E2" w:rsidRPr="000013E2" w:rsidRDefault="000013E2" w:rsidP="000013E2">
      <w:pPr>
        <w:ind w:firstLine="720"/>
        <w:contextualSpacing/>
        <w:jc w:val="both"/>
      </w:pPr>
      <w:r w:rsidRPr="000013E2">
        <w:t>approved ECON-1 rate.</w:t>
      </w:r>
    </w:p>
    <w:p w14:paraId="25D176A8" w14:textId="77777777" w:rsidR="000013E2" w:rsidRPr="000013E2" w:rsidRDefault="000013E2" w:rsidP="000013E2">
      <w:pPr>
        <w:contextualSpacing/>
        <w:jc w:val="both"/>
      </w:pPr>
    </w:p>
    <w:p w14:paraId="6FC1D309" w14:textId="77777777" w:rsidR="000013E2" w:rsidRPr="000013E2" w:rsidRDefault="000013E2" w:rsidP="000013E2">
      <w:pPr>
        <w:ind w:firstLine="720"/>
        <w:contextualSpacing/>
        <w:jc w:val="both"/>
      </w:pPr>
      <w:r w:rsidRPr="000013E2">
        <w:t>The Staff will make a recommendation on the proposed surcharge amount, and the approved new rate will take effect on January 1</w:t>
      </w:r>
      <w:r w:rsidRPr="000013E2">
        <w:rPr>
          <w:vertAlign w:val="superscript"/>
        </w:rPr>
        <w:t>st</w:t>
      </w:r>
      <w:r w:rsidRPr="000013E2">
        <w:t xml:space="preserve"> of each year. </w:t>
      </w:r>
    </w:p>
    <w:p w14:paraId="79C9EF76" w14:textId="77777777" w:rsidR="000013E2" w:rsidRPr="000013E2" w:rsidRDefault="000013E2" w:rsidP="000013E2">
      <w:pPr>
        <w:contextualSpacing/>
        <w:jc w:val="both"/>
      </w:pPr>
    </w:p>
    <w:p w14:paraId="52F470FC" w14:textId="77777777" w:rsidR="000013E2" w:rsidRPr="000013E2" w:rsidRDefault="000013E2" w:rsidP="000013E2">
      <w:pPr>
        <w:ind w:firstLine="720"/>
        <w:contextualSpacing/>
        <w:jc w:val="both"/>
      </w:pPr>
      <w:r w:rsidRPr="000013E2">
        <w:t xml:space="preserve">The proposed changes to the ECON-1 Tariff provide for quarterly reporting to be filed with the Commission </w:t>
      </w:r>
      <w:proofErr w:type="gramStart"/>
      <w:r w:rsidRPr="000013E2">
        <w:t>similar to</w:t>
      </w:r>
      <w:proofErr w:type="gramEnd"/>
      <w:r w:rsidRPr="000013E2">
        <w:t xml:space="preserve"> the SRR reporting requirements. This will allow the Commission Staff an opportunity to review the status of the approved projects and the tracking of the recovery through the surcharge for any imbalances to cost and recovery.</w:t>
      </w:r>
    </w:p>
    <w:p w14:paraId="069F5BC7" w14:textId="77777777" w:rsidR="000013E2" w:rsidRPr="000013E2" w:rsidRDefault="000013E2" w:rsidP="000013E2">
      <w:pPr>
        <w:spacing w:after="200"/>
        <w:contextualSpacing/>
        <w:rPr>
          <w:snapToGrid w:val="0"/>
        </w:rPr>
      </w:pPr>
    </w:p>
    <w:p w14:paraId="2A9087CF" w14:textId="77777777" w:rsidR="000013E2" w:rsidRPr="000013E2" w:rsidRDefault="000013E2" w:rsidP="000013E2">
      <w:pPr>
        <w:numPr>
          <w:ilvl w:val="0"/>
          <w:numId w:val="2"/>
        </w:numPr>
        <w:spacing w:after="200"/>
        <w:contextualSpacing/>
        <w:jc w:val="center"/>
        <w:rPr>
          <w:b/>
        </w:rPr>
      </w:pPr>
      <w:r w:rsidRPr="000013E2">
        <w:rPr>
          <w:b/>
        </w:rPr>
        <w:t>AGL’s 2025 ECON-1 Rider Filing</w:t>
      </w:r>
    </w:p>
    <w:p w14:paraId="05B6D19E" w14:textId="77777777" w:rsidR="000013E2" w:rsidRPr="000013E2" w:rsidRDefault="000013E2" w:rsidP="000013E2">
      <w:pPr>
        <w:spacing w:after="200"/>
        <w:ind w:firstLine="720"/>
        <w:contextualSpacing/>
        <w:rPr>
          <w:snapToGrid w:val="0"/>
        </w:rPr>
      </w:pPr>
    </w:p>
    <w:p w14:paraId="51943D77" w14:textId="77777777" w:rsidR="000013E2" w:rsidRPr="000013E2" w:rsidRDefault="000013E2" w:rsidP="000013E2">
      <w:pPr>
        <w:spacing w:after="200"/>
        <w:ind w:firstLine="720"/>
        <w:contextualSpacing/>
        <w:rPr>
          <w:snapToGrid w:val="0"/>
        </w:rPr>
      </w:pPr>
      <w:r w:rsidRPr="000013E2">
        <w:rPr>
          <w:snapToGrid w:val="0"/>
        </w:rPr>
        <w:t xml:space="preserve">On October 1, 2024, AGL filed a petition requesting approval of the 2025 ECON-1 surcharge. The recovery will be for any approved ECON-1 projects during 2024 and through 2025. As projects move into Plant </w:t>
      </w:r>
      <w:proofErr w:type="gramStart"/>
      <w:r w:rsidRPr="000013E2">
        <w:rPr>
          <w:snapToGrid w:val="0"/>
        </w:rPr>
        <w:t>In</w:t>
      </w:r>
      <w:proofErr w:type="gramEnd"/>
      <w:r w:rsidRPr="000013E2">
        <w:rPr>
          <w:snapToGrid w:val="0"/>
        </w:rPr>
        <w:t xml:space="preserve"> Service, they will begin recovery under the ECON-1 Rider. As provided in </w:t>
      </w:r>
      <w:r w:rsidRPr="000013E2">
        <w:rPr>
          <w:b/>
          <w:bCs/>
          <w:snapToGrid w:val="0"/>
        </w:rPr>
        <w:t>Table-1</w:t>
      </w:r>
      <w:r w:rsidRPr="000013E2">
        <w:rPr>
          <w:snapToGrid w:val="0"/>
        </w:rPr>
        <w:t xml:space="preserve"> below, the current approved and outstanding projects are listed. </w:t>
      </w:r>
    </w:p>
    <w:p w14:paraId="3F06D85F" w14:textId="77777777" w:rsidR="000013E2" w:rsidRPr="000013E2" w:rsidRDefault="000013E2" w:rsidP="000013E2">
      <w:pPr>
        <w:spacing w:after="200"/>
        <w:contextualSpacing/>
        <w:rPr>
          <w:snapToGrid w:val="0"/>
        </w:rPr>
      </w:pPr>
    </w:p>
    <w:p w14:paraId="04A77BB3" w14:textId="77777777" w:rsidR="000013E2" w:rsidRPr="000013E2" w:rsidRDefault="000013E2" w:rsidP="000013E2">
      <w:pPr>
        <w:spacing w:after="200"/>
        <w:contextualSpacing/>
        <w:rPr>
          <w:b/>
          <w:bCs/>
          <w:snapToGrid w:val="0"/>
        </w:rPr>
      </w:pPr>
      <w:r w:rsidRPr="000013E2">
        <w:rPr>
          <w:b/>
          <w:bCs/>
          <w:snapToGrid w:val="0"/>
        </w:rPr>
        <w:t>Table-1: Outstanding ECON-1 Projects</w:t>
      </w:r>
    </w:p>
    <w:tbl>
      <w:tblPr>
        <w:tblW w:w="8160" w:type="dxa"/>
        <w:tblLook w:val="04A0" w:firstRow="1" w:lastRow="0" w:firstColumn="1" w:lastColumn="0" w:noHBand="0" w:noVBand="1"/>
      </w:tblPr>
      <w:tblGrid>
        <w:gridCol w:w="3300"/>
        <w:gridCol w:w="2720"/>
        <w:gridCol w:w="2140"/>
      </w:tblGrid>
      <w:tr w:rsidR="000013E2" w:rsidRPr="000013E2" w14:paraId="4D34414B" w14:textId="77777777" w:rsidTr="00917E8C">
        <w:trPr>
          <w:trHeight w:val="255"/>
        </w:trPr>
        <w:tc>
          <w:tcPr>
            <w:tcW w:w="3300" w:type="dxa"/>
            <w:tcBorders>
              <w:top w:val="nil"/>
              <w:left w:val="nil"/>
              <w:bottom w:val="nil"/>
              <w:right w:val="nil"/>
            </w:tcBorders>
            <w:shd w:val="clear" w:color="auto" w:fill="auto"/>
            <w:noWrap/>
            <w:vAlign w:val="bottom"/>
            <w:hideMark/>
          </w:tcPr>
          <w:p w14:paraId="28412492" w14:textId="77777777" w:rsidR="000013E2" w:rsidRPr="000013E2" w:rsidRDefault="000013E2" w:rsidP="000013E2">
            <w:pPr>
              <w:jc w:val="center"/>
              <w:rPr>
                <w:b/>
                <w:bCs/>
                <w:color w:val="000000"/>
                <w:sz w:val="20"/>
                <w:szCs w:val="20"/>
              </w:rPr>
            </w:pPr>
            <w:r w:rsidRPr="000013E2">
              <w:rPr>
                <w:b/>
                <w:bCs/>
                <w:color w:val="000000"/>
                <w:sz w:val="20"/>
                <w:szCs w:val="20"/>
              </w:rPr>
              <w:t>Project Name</w:t>
            </w:r>
          </w:p>
        </w:tc>
        <w:tc>
          <w:tcPr>
            <w:tcW w:w="2720" w:type="dxa"/>
            <w:tcBorders>
              <w:top w:val="nil"/>
              <w:left w:val="nil"/>
              <w:bottom w:val="nil"/>
              <w:right w:val="nil"/>
            </w:tcBorders>
            <w:shd w:val="clear" w:color="auto" w:fill="auto"/>
            <w:noWrap/>
            <w:vAlign w:val="bottom"/>
            <w:hideMark/>
          </w:tcPr>
          <w:p w14:paraId="6624C4C3" w14:textId="77777777" w:rsidR="000013E2" w:rsidRPr="000013E2" w:rsidRDefault="000013E2" w:rsidP="000013E2">
            <w:pPr>
              <w:jc w:val="center"/>
              <w:rPr>
                <w:b/>
                <w:bCs/>
                <w:color w:val="000000"/>
                <w:sz w:val="20"/>
                <w:szCs w:val="20"/>
              </w:rPr>
            </w:pPr>
            <w:r w:rsidRPr="000013E2">
              <w:rPr>
                <w:b/>
                <w:bCs/>
                <w:color w:val="000000"/>
                <w:sz w:val="20"/>
                <w:szCs w:val="20"/>
              </w:rPr>
              <w:t>Customer</w:t>
            </w:r>
          </w:p>
        </w:tc>
        <w:tc>
          <w:tcPr>
            <w:tcW w:w="2140" w:type="dxa"/>
            <w:tcBorders>
              <w:top w:val="nil"/>
              <w:left w:val="nil"/>
              <w:bottom w:val="nil"/>
              <w:right w:val="nil"/>
            </w:tcBorders>
            <w:shd w:val="clear" w:color="auto" w:fill="auto"/>
            <w:noWrap/>
            <w:vAlign w:val="bottom"/>
            <w:hideMark/>
          </w:tcPr>
          <w:p w14:paraId="2B9D50DF" w14:textId="77777777" w:rsidR="000013E2" w:rsidRPr="000013E2" w:rsidRDefault="000013E2" w:rsidP="000013E2">
            <w:pPr>
              <w:jc w:val="center"/>
              <w:rPr>
                <w:b/>
                <w:bCs/>
                <w:color w:val="000000"/>
                <w:sz w:val="20"/>
                <w:szCs w:val="20"/>
              </w:rPr>
            </w:pPr>
            <w:r w:rsidRPr="000013E2">
              <w:rPr>
                <w:b/>
                <w:bCs/>
                <w:color w:val="000000"/>
                <w:sz w:val="20"/>
                <w:szCs w:val="20"/>
              </w:rPr>
              <w:t>Estimated Cost</w:t>
            </w:r>
          </w:p>
        </w:tc>
      </w:tr>
      <w:tr w:rsidR="000013E2" w:rsidRPr="000013E2" w14:paraId="6C75B75D" w14:textId="77777777" w:rsidTr="00917E8C">
        <w:trPr>
          <w:trHeight w:val="255"/>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9C29E" w14:textId="77777777" w:rsidR="000013E2" w:rsidRPr="000013E2" w:rsidRDefault="000013E2" w:rsidP="000013E2">
            <w:pPr>
              <w:rPr>
                <w:color w:val="000000"/>
                <w:sz w:val="20"/>
                <w:szCs w:val="20"/>
              </w:rPr>
            </w:pPr>
            <w:r w:rsidRPr="000013E2">
              <w:rPr>
                <w:color w:val="000000"/>
                <w:sz w:val="20"/>
                <w:szCs w:val="20"/>
              </w:rPr>
              <w:t>Project Forage (Lowndes County)</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14:paraId="396C2893" w14:textId="77777777" w:rsidR="000013E2" w:rsidRPr="000013E2" w:rsidRDefault="000013E2" w:rsidP="000013E2">
            <w:pPr>
              <w:rPr>
                <w:color w:val="000000"/>
                <w:sz w:val="20"/>
                <w:szCs w:val="20"/>
              </w:rPr>
            </w:pPr>
            <w:r w:rsidRPr="000013E2">
              <w:rPr>
                <w:color w:val="000000"/>
                <w:sz w:val="20"/>
                <w:szCs w:val="20"/>
              </w:rPr>
              <w:t>Wal-Mart</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055D6EF1" w14:textId="77777777" w:rsidR="000013E2" w:rsidRPr="000013E2" w:rsidRDefault="000013E2" w:rsidP="000013E2">
            <w:pPr>
              <w:jc w:val="right"/>
              <w:rPr>
                <w:color w:val="000000"/>
                <w:sz w:val="20"/>
                <w:szCs w:val="20"/>
              </w:rPr>
            </w:pPr>
            <w:r w:rsidRPr="000013E2">
              <w:rPr>
                <w:color w:val="000000"/>
                <w:sz w:val="20"/>
                <w:szCs w:val="20"/>
              </w:rPr>
              <w:t xml:space="preserve">$13,954,253 </w:t>
            </w:r>
          </w:p>
        </w:tc>
      </w:tr>
      <w:tr w:rsidR="000013E2" w:rsidRPr="000013E2" w14:paraId="20E9120E" w14:textId="77777777" w:rsidTr="00917E8C">
        <w:trPr>
          <w:trHeight w:val="255"/>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7B08643E" w14:textId="77777777" w:rsidR="000013E2" w:rsidRPr="000013E2" w:rsidRDefault="000013E2" w:rsidP="000013E2">
            <w:pPr>
              <w:rPr>
                <w:color w:val="000000"/>
                <w:sz w:val="20"/>
                <w:szCs w:val="20"/>
              </w:rPr>
            </w:pPr>
            <w:r w:rsidRPr="000013E2">
              <w:rPr>
                <w:color w:val="000000"/>
                <w:sz w:val="20"/>
                <w:szCs w:val="20"/>
              </w:rPr>
              <w:t>McIntosh County Project</w:t>
            </w:r>
          </w:p>
        </w:tc>
        <w:tc>
          <w:tcPr>
            <w:tcW w:w="2720" w:type="dxa"/>
            <w:tcBorders>
              <w:top w:val="nil"/>
              <w:left w:val="nil"/>
              <w:bottom w:val="single" w:sz="4" w:space="0" w:color="auto"/>
              <w:right w:val="single" w:sz="4" w:space="0" w:color="auto"/>
            </w:tcBorders>
            <w:shd w:val="clear" w:color="auto" w:fill="auto"/>
            <w:noWrap/>
            <w:vAlign w:val="bottom"/>
            <w:hideMark/>
          </w:tcPr>
          <w:p w14:paraId="0BFA894D" w14:textId="77777777" w:rsidR="000013E2" w:rsidRPr="000013E2" w:rsidRDefault="000013E2" w:rsidP="000013E2">
            <w:pPr>
              <w:rPr>
                <w:color w:val="000000"/>
                <w:sz w:val="20"/>
                <w:szCs w:val="20"/>
              </w:rPr>
            </w:pPr>
            <w:r w:rsidRPr="000013E2">
              <w:rPr>
                <w:color w:val="000000"/>
                <w:sz w:val="20"/>
                <w:szCs w:val="20"/>
              </w:rPr>
              <w:t>Tidewater Industrial Park</w:t>
            </w:r>
          </w:p>
        </w:tc>
        <w:tc>
          <w:tcPr>
            <w:tcW w:w="2140" w:type="dxa"/>
            <w:tcBorders>
              <w:top w:val="nil"/>
              <w:left w:val="nil"/>
              <w:bottom w:val="single" w:sz="4" w:space="0" w:color="auto"/>
              <w:right w:val="single" w:sz="4" w:space="0" w:color="auto"/>
            </w:tcBorders>
            <w:shd w:val="clear" w:color="auto" w:fill="auto"/>
            <w:noWrap/>
            <w:vAlign w:val="bottom"/>
            <w:hideMark/>
          </w:tcPr>
          <w:p w14:paraId="2571FC4E" w14:textId="77777777" w:rsidR="000013E2" w:rsidRPr="000013E2" w:rsidRDefault="000013E2" w:rsidP="000013E2">
            <w:pPr>
              <w:jc w:val="right"/>
              <w:rPr>
                <w:color w:val="000000"/>
                <w:sz w:val="20"/>
                <w:szCs w:val="20"/>
              </w:rPr>
            </w:pPr>
            <w:r w:rsidRPr="000013E2">
              <w:rPr>
                <w:color w:val="000000"/>
                <w:sz w:val="20"/>
                <w:szCs w:val="20"/>
              </w:rPr>
              <w:t xml:space="preserve">$4,828,548 </w:t>
            </w:r>
          </w:p>
        </w:tc>
      </w:tr>
      <w:tr w:rsidR="000013E2" w:rsidRPr="000013E2" w14:paraId="6E1D3F37" w14:textId="77777777" w:rsidTr="00917E8C">
        <w:trPr>
          <w:trHeight w:val="255"/>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28667522" w14:textId="77777777" w:rsidR="000013E2" w:rsidRPr="000013E2" w:rsidRDefault="000013E2" w:rsidP="000013E2">
            <w:pPr>
              <w:rPr>
                <w:color w:val="000000"/>
                <w:sz w:val="20"/>
                <w:szCs w:val="20"/>
              </w:rPr>
            </w:pPr>
            <w:r w:rsidRPr="000013E2">
              <w:rPr>
                <w:color w:val="000000"/>
                <w:sz w:val="20"/>
                <w:szCs w:val="20"/>
              </w:rPr>
              <w:t>Athens-Clark County Project</w:t>
            </w:r>
          </w:p>
        </w:tc>
        <w:tc>
          <w:tcPr>
            <w:tcW w:w="2720" w:type="dxa"/>
            <w:tcBorders>
              <w:top w:val="nil"/>
              <w:left w:val="nil"/>
              <w:bottom w:val="single" w:sz="4" w:space="0" w:color="auto"/>
              <w:right w:val="single" w:sz="4" w:space="0" w:color="auto"/>
            </w:tcBorders>
            <w:shd w:val="clear" w:color="auto" w:fill="auto"/>
            <w:noWrap/>
            <w:vAlign w:val="bottom"/>
            <w:hideMark/>
          </w:tcPr>
          <w:p w14:paraId="7DA86F37" w14:textId="77777777" w:rsidR="000013E2" w:rsidRPr="000013E2" w:rsidRDefault="000013E2" w:rsidP="000013E2">
            <w:pPr>
              <w:rPr>
                <w:color w:val="000000"/>
                <w:sz w:val="20"/>
                <w:szCs w:val="20"/>
              </w:rPr>
            </w:pPr>
            <w:r w:rsidRPr="000013E2">
              <w:rPr>
                <w:color w:val="000000"/>
                <w:sz w:val="20"/>
                <w:szCs w:val="20"/>
              </w:rPr>
              <w:t>Meissner</w:t>
            </w:r>
          </w:p>
        </w:tc>
        <w:tc>
          <w:tcPr>
            <w:tcW w:w="2140" w:type="dxa"/>
            <w:tcBorders>
              <w:top w:val="nil"/>
              <w:left w:val="nil"/>
              <w:bottom w:val="single" w:sz="4" w:space="0" w:color="auto"/>
              <w:right w:val="single" w:sz="4" w:space="0" w:color="auto"/>
            </w:tcBorders>
            <w:shd w:val="clear" w:color="auto" w:fill="auto"/>
            <w:noWrap/>
            <w:vAlign w:val="bottom"/>
            <w:hideMark/>
          </w:tcPr>
          <w:p w14:paraId="41BF9754" w14:textId="77777777" w:rsidR="000013E2" w:rsidRPr="000013E2" w:rsidRDefault="000013E2" w:rsidP="000013E2">
            <w:pPr>
              <w:jc w:val="right"/>
              <w:rPr>
                <w:color w:val="000000"/>
                <w:sz w:val="20"/>
                <w:szCs w:val="20"/>
              </w:rPr>
            </w:pPr>
            <w:r w:rsidRPr="000013E2">
              <w:rPr>
                <w:color w:val="000000"/>
                <w:sz w:val="20"/>
                <w:szCs w:val="20"/>
              </w:rPr>
              <w:t xml:space="preserve">$1,321,203 </w:t>
            </w:r>
          </w:p>
        </w:tc>
      </w:tr>
      <w:tr w:rsidR="000013E2" w:rsidRPr="000013E2" w14:paraId="3EAB0716" w14:textId="77777777" w:rsidTr="00917E8C">
        <w:trPr>
          <w:trHeight w:val="510"/>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730F08AE" w14:textId="77777777" w:rsidR="000013E2" w:rsidRPr="000013E2" w:rsidRDefault="000013E2" w:rsidP="000013E2">
            <w:pPr>
              <w:rPr>
                <w:color w:val="000000"/>
                <w:sz w:val="20"/>
                <w:szCs w:val="20"/>
              </w:rPr>
            </w:pPr>
            <w:r w:rsidRPr="000013E2">
              <w:rPr>
                <w:color w:val="000000"/>
                <w:sz w:val="20"/>
                <w:szCs w:val="20"/>
              </w:rPr>
              <w:t>Port Wentworth</w:t>
            </w:r>
          </w:p>
        </w:tc>
        <w:tc>
          <w:tcPr>
            <w:tcW w:w="2720" w:type="dxa"/>
            <w:tcBorders>
              <w:top w:val="nil"/>
              <w:left w:val="nil"/>
              <w:bottom w:val="single" w:sz="4" w:space="0" w:color="auto"/>
              <w:right w:val="single" w:sz="4" w:space="0" w:color="auto"/>
            </w:tcBorders>
            <w:shd w:val="clear" w:color="auto" w:fill="auto"/>
            <w:vAlign w:val="bottom"/>
            <w:hideMark/>
          </w:tcPr>
          <w:p w14:paraId="22CCE40A" w14:textId="77777777" w:rsidR="000013E2" w:rsidRPr="000013E2" w:rsidRDefault="000013E2" w:rsidP="000013E2">
            <w:pPr>
              <w:rPr>
                <w:color w:val="000000"/>
                <w:sz w:val="20"/>
                <w:szCs w:val="20"/>
              </w:rPr>
            </w:pPr>
            <w:r w:rsidRPr="000013E2">
              <w:rPr>
                <w:color w:val="000000"/>
                <w:sz w:val="20"/>
                <w:szCs w:val="20"/>
              </w:rPr>
              <w:t xml:space="preserve">City of Port Wentworth &amp; </w:t>
            </w:r>
            <w:r w:rsidRPr="000013E2">
              <w:rPr>
                <w:color w:val="000000"/>
                <w:sz w:val="20"/>
                <w:szCs w:val="20"/>
              </w:rPr>
              <w:br/>
              <w:t>Ghost Pirates</w:t>
            </w:r>
          </w:p>
        </w:tc>
        <w:tc>
          <w:tcPr>
            <w:tcW w:w="2140" w:type="dxa"/>
            <w:tcBorders>
              <w:top w:val="nil"/>
              <w:left w:val="nil"/>
              <w:bottom w:val="single" w:sz="4" w:space="0" w:color="auto"/>
              <w:right w:val="single" w:sz="4" w:space="0" w:color="auto"/>
            </w:tcBorders>
            <w:shd w:val="clear" w:color="auto" w:fill="auto"/>
            <w:noWrap/>
            <w:vAlign w:val="bottom"/>
            <w:hideMark/>
          </w:tcPr>
          <w:p w14:paraId="29550B9B" w14:textId="77777777" w:rsidR="000013E2" w:rsidRPr="000013E2" w:rsidRDefault="000013E2" w:rsidP="000013E2">
            <w:pPr>
              <w:jc w:val="right"/>
              <w:rPr>
                <w:color w:val="000000"/>
                <w:sz w:val="20"/>
                <w:szCs w:val="20"/>
              </w:rPr>
            </w:pPr>
            <w:r w:rsidRPr="000013E2">
              <w:rPr>
                <w:color w:val="000000"/>
                <w:sz w:val="20"/>
                <w:szCs w:val="20"/>
              </w:rPr>
              <w:t xml:space="preserve">$1,261,515 </w:t>
            </w:r>
          </w:p>
        </w:tc>
      </w:tr>
      <w:tr w:rsidR="000013E2" w:rsidRPr="000013E2" w14:paraId="33CDDAB3" w14:textId="77777777" w:rsidTr="00917E8C">
        <w:trPr>
          <w:trHeight w:val="255"/>
        </w:trPr>
        <w:tc>
          <w:tcPr>
            <w:tcW w:w="60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B9F4C" w14:textId="77777777" w:rsidR="000013E2" w:rsidRPr="000013E2" w:rsidRDefault="000013E2" w:rsidP="000013E2">
            <w:pPr>
              <w:jc w:val="center"/>
              <w:rPr>
                <w:b/>
                <w:bCs/>
                <w:color w:val="000000"/>
                <w:sz w:val="20"/>
                <w:szCs w:val="20"/>
              </w:rPr>
            </w:pPr>
            <w:r w:rsidRPr="000013E2">
              <w:rPr>
                <w:b/>
                <w:bCs/>
                <w:color w:val="000000"/>
                <w:sz w:val="20"/>
                <w:szCs w:val="20"/>
              </w:rPr>
              <w:t>Total Estimated Costs</w:t>
            </w:r>
          </w:p>
        </w:tc>
        <w:tc>
          <w:tcPr>
            <w:tcW w:w="2140" w:type="dxa"/>
            <w:tcBorders>
              <w:top w:val="nil"/>
              <w:left w:val="nil"/>
              <w:bottom w:val="single" w:sz="4" w:space="0" w:color="auto"/>
              <w:right w:val="single" w:sz="4" w:space="0" w:color="auto"/>
            </w:tcBorders>
            <w:shd w:val="clear" w:color="auto" w:fill="auto"/>
            <w:noWrap/>
            <w:vAlign w:val="bottom"/>
            <w:hideMark/>
          </w:tcPr>
          <w:p w14:paraId="045B0B51" w14:textId="77777777" w:rsidR="000013E2" w:rsidRPr="000013E2" w:rsidRDefault="000013E2" w:rsidP="000013E2">
            <w:pPr>
              <w:jc w:val="right"/>
              <w:rPr>
                <w:b/>
                <w:bCs/>
                <w:color w:val="000000"/>
                <w:sz w:val="20"/>
                <w:szCs w:val="20"/>
              </w:rPr>
            </w:pPr>
            <w:r w:rsidRPr="000013E2">
              <w:rPr>
                <w:b/>
                <w:bCs/>
                <w:color w:val="000000"/>
                <w:sz w:val="20"/>
                <w:szCs w:val="20"/>
              </w:rPr>
              <w:t xml:space="preserve">$21,365,519 </w:t>
            </w:r>
          </w:p>
        </w:tc>
      </w:tr>
    </w:tbl>
    <w:p w14:paraId="7B4BC84F" w14:textId="77777777" w:rsidR="000013E2" w:rsidRPr="000013E2" w:rsidRDefault="000013E2" w:rsidP="000013E2">
      <w:pPr>
        <w:spacing w:after="200"/>
        <w:contextualSpacing/>
        <w:rPr>
          <w:snapToGrid w:val="0"/>
        </w:rPr>
      </w:pPr>
    </w:p>
    <w:p w14:paraId="25508340" w14:textId="77777777" w:rsidR="000013E2" w:rsidRPr="000013E2" w:rsidRDefault="000013E2" w:rsidP="000013E2">
      <w:pPr>
        <w:spacing w:after="200"/>
        <w:contextualSpacing/>
        <w:rPr>
          <w:snapToGrid w:val="0"/>
        </w:rPr>
      </w:pPr>
    </w:p>
    <w:p w14:paraId="1CC7EE2B" w14:textId="77777777" w:rsidR="000013E2" w:rsidRPr="000013E2" w:rsidRDefault="000013E2" w:rsidP="000013E2">
      <w:pPr>
        <w:spacing w:after="200"/>
        <w:contextualSpacing/>
        <w:rPr>
          <w:snapToGrid w:val="0"/>
        </w:rPr>
      </w:pPr>
      <w:r w:rsidRPr="000013E2">
        <w:rPr>
          <w:snapToGrid w:val="0"/>
        </w:rPr>
        <w:tab/>
        <w:t xml:space="preserve">As part of the petition, AGL proposed a base ECON-1 Rider rate of $0.08. In </w:t>
      </w:r>
      <w:r w:rsidRPr="000013E2">
        <w:rPr>
          <w:b/>
          <w:bCs/>
          <w:snapToGrid w:val="0"/>
        </w:rPr>
        <w:t>Table-2</w:t>
      </w:r>
      <w:r w:rsidRPr="000013E2">
        <w:rPr>
          <w:snapToGrid w:val="0"/>
        </w:rPr>
        <w:t xml:space="preserve"> below, a list of Customer Classes and the proposed 2025 ECON-1 Rider rates and estimated revenues are provided. </w:t>
      </w:r>
    </w:p>
    <w:p w14:paraId="3D0898C6" w14:textId="77777777" w:rsidR="000013E2" w:rsidRPr="000013E2" w:rsidRDefault="000013E2" w:rsidP="000013E2">
      <w:pPr>
        <w:spacing w:after="200"/>
        <w:contextualSpacing/>
        <w:rPr>
          <w:snapToGrid w:val="0"/>
        </w:rPr>
      </w:pPr>
    </w:p>
    <w:p w14:paraId="0DD9C3C4" w14:textId="77777777" w:rsidR="000013E2" w:rsidRPr="000013E2" w:rsidRDefault="000013E2" w:rsidP="000013E2">
      <w:pPr>
        <w:spacing w:after="200"/>
        <w:contextualSpacing/>
        <w:rPr>
          <w:b/>
          <w:bCs/>
          <w:snapToGrid w:val="0"/>
        </w:rPr>
      </w:pPr>
      <w:r w:rsidRPr="000013E2">
        <w:rPr>
          <w:b/>
          <w:bCs/>
          <w:snapToGrid w:val="0"/>
        </w:rPr>
        <w:t>Table-2: 2025 ECON-1 Rates &amp; Revenues</w:t>
      </w:r>
    </w:p>
    <w:tbl>
      <w:tblPr>
        <w:tblW w:w="8640" w:type="dxa"/>
        <w:tblLook w:val="04A0" w:firstRow="1" w:lastRow="0" w:firstColumn="1" w:lastColumn="0" w:noHBand="0" w:noVBand="1"/>
      </w:tblPr>
      <w:tblGrid>
        <w:gridCol w:w="3150"/>
        <w:gridCol w:w="2070"/>
        <w:gridCol w:w="1440"/>
        <w:gridCol w:w="1980"/>
      </w:tblGrid>
      <w:tr w:rsidR="000013E2" w:rsidRPr="000013E2" w14:paraId="266EA2CB" w14:textId="77777777" w:rsidTr="00917E8C">
        <w:trPr>
          <w:trHeight w:val="510"/>
        </w:trPr>
        <w:tc>
          <w:tcPr>
            <w:tcW w:w="3150" w:type="dxa"/>
            <w:tcBorders>
              <w:top w:val="nil"/>
              <w:left w:val="nil"/>
              <w:bottom w:val="nil"/>
              <w:right w:val="nil"/>
            </w:tcBorders>
            <w:shd w:val="clear" w:color="auto" w:fill="auto"/>
            <w:vAlign w:val="bottom"/>
            <w:hideMark/>
          </w:tcPr>
          <w:p w14:paraId="7637F5E4" w14:textId="77777777" w:rsidR="000013E2" w:rsidRPr="000013E2" w:rsidRDefault="000013E2" w:rsidP="000013E2">
            <w:pPr>
              <w:jc w:val="center"/>
              <w:rPr>
                <w:b/>
                <w:bCs/>
                <w:color w:val="000000"/>
                <w:sz w:val="20"/>
                <w:szCs w:val="20"/>
              </w:rPr>
            </w:pPr>
            <w:r w:rsidRPr="000013E2">
              <w:rPr>
                <w:b/>
                <w:bCs/>
                <w:color w:val="000000"/>
                <w:sz w:val="20"/>
                <w:szCs w:val="20"/>
              </w:rPr>
              <w:t>Customer Class</w:t>
            </w:r>
          </w:p>
        </w:tc>
        <w:tc>
          <w:tcPr>
            <w:tcW w:w="2070" w:type="dxa"/>
            <w:tcBorders>
              <w:top w:val="nil"/>
              <w:left w:val="nil"/>
              <w:bottom w:val="nil"/>
              <w:right w:val="nil"/>
            </w:tcBorders>
            <w:shd w:val="clear" w:color="auto" w:fill="auto"/>
            <w:vAlign w:val="bottom"/>
            <w:hideMark/>
          </w:tcPr>
          <w:p w14:paraId="5BE114CD" w14:textId="77777777" w:rsidR="000013E2" w:rsidRPr="000013E2" w:rsidRDefault="000013E2" w:rsidP="000013E2">
            <w:pPr>
              <w:jc w:val="center"/>
              <w:rPr>
                <w:b/>
                <w:bCs/>
                <w:color w:val="000000"/>
                <w:sz w:val="20"/>
                <w:szCs w:val="20"/>
              </w:rPr>
            </w:pPr>
            <w:r w:rsidRPr="000013E2">
              <w:rPr>
                <w:b/>
                <w:bCs/>
                <w:color w:val="000000"/>
                <w:sz w:val="20"/>
                <w:szCs w:val="20"/>
              </w:rPr>
              <w:t>Tariff Charge</w:t>
            </w:r>
          </w:p>
        </w:tc>
        <w:tc>
          <w:tcPr>
            <w:tcW w:w="1440" w:type="dxa"/>
            <w:tcBorders>
              <w:top w:val="nil"/>
              <w:left w:val="nil"/>
              <w:bottom w:val="nil"/>
              <w:right w:val="nil"/>
            </w:tcBorders>
            <w:shd w:val="clear" w:color="auto" w:fill="auto"/>
            <w:vAlign w:val="bottom"/>
            <w:hideMark/>
          </w:tcPr>
          <w:p w14:paraId="64E7E8BE" w14:textId="77777777" w:rsidR="000013E2" w:rsidRPr="000013E2" w:rsidRDefault="000013E2" w:rsidP="000013E2">
            <w:pPr>
              <w:jc w:val="center"/>
              <w:rPr>
                <w:b/>
                <w:bCs/>
                <w:color w:val="000000"/>
                <w:sz w:val="20"/>
                <w:szCs w:val="20"/>
              </w:rPr>
            </w:pPr>
            <w:r w:rsidRPr="000013E2">
              <w:rPr>
                <w:b/>
                <w:bCs/>
                <w:color w:val="000000"/>
                <w:sz w:val="20"/>
                <w:szCs w:val="20"/>
              </w:rPr>
              <w:t>Monthly Rate</w:t>
            </w:r>
          </w:p>
        </w:tc>
        <w:tc>
          <w:tcPr>
            <w:tcW w:w="1980" w:type="dxa"/>
            <w:tcBorders>
              <w:top w:val="nil"/>
              <w:left w:val="nil"/>
              <w:bottom w:val="nil"/>
              <w:right w:val="nil"/>
            </w:tcBorders>
            <w:shd w:val="clear" w:color="auto" w:fill="auto"/>
            <w:vAlign w:val="bottom"/>
            <w:hideMark/>
          </w:tcPr>
          <w:p w14:paraId="2FD8ACEC" w14:textId="77777777" w:rsidR="000013E2" w:rsidRPr="000013E2" w:rsidRDefault="000013E2" w:rsidP="000013E2">
            <w:pPr>
              <w:jc w:val="center"/>
              <w:rPr>
                <w:b/>
                <w:bCs/>
                <w:color w:val="000000"/>
                <w:sz w:val="20"/>
                <w:szCs w:val="20"/>
              </w:rPr>
            </w:pPr>
            <w:r w:rsidRPr="000013E2">
              <w:rPr>
                <w:b/>
                <w:bCs/>
                <w:color w:val="000000"/>
                <w:sz w:val="20"/>
                <w:szCs w:val="20"/>
              </w:rPr>
              <w:t>Estimated 2025 Revenue Collections</w:t>
            </w:r>
          </w:p>
        </w:tc>
      </w:tr>
      <w:tr w:rsidR="000013E2" w:rsidRPr="000013E2" w14:paraId="336E06F2" w14:textId="77777777" w:rsidTr="00917E8C">
        <w:trPr>
          <w:trHeight w:val="255"/>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7FD0A" w14:textId="77777777" w:rsidR="000013E2" w:rsidRPr="000013E2" w:rsidRDefault="000013E2" w:rsidP="000013E2">
            <w:pPr>
              <w:rPr>
                <w:color w:val="000000"/>
                <w:sz w:val="20"/>
                <w:szCs w:val="20"/>
              </w:rPr>
            </w:pPr>
            <w:r w:rsidRPr="000013E2">
              <w:rPr>
                <w:color w:val="000000"/>
                <w:sz w:val="20"/>
                <w:szCs w:val="20"/>
              </w:rPr>
              <w:t>R-1 (Residential</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19636AC9" w14:textId="77777777" w:rsidR="000013E2" w:rsidRPr="000013E2" w:rsidRDefault="000013E2" w:rsidP="000013E2">
            <w:pPr>
              <w:jc w:val="center"/>
              <w:rPr>
                <w:color w:val="000000"/>
                <w:sz w:val="20"/>
                <w:szCs w:val="20"/>
              </w:rPr>
            </w:pPr>
            <w:r w:rsidRPr="000013E2">
              <w:rPr>
                <w:color w:val="000000"/>
                <w:sz w:val="20"/>
                <w:szCs w:val="20"/>
              </w:rPr>
              <w:t>Base Rate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6046821" w14:textId="77777777" w:rsidR="000013E2" w:rsidRPr="000013E2" w:rsidRDefault="000013E2" w:rsidP="000013E2">
            <w:pPr>
              <w:jc w:val="right"/>
              <w:rPr>
                <w:color w:val="000000"/>
                <w:sz w:val="20"/>
                <w:szCs w:val="20"/>
              </w:rPr>
            </w:pPr>
            <w:r w:rsidRPr="000013E2">
              <w:rPr>
                <w:color w:val="000000"/>
                <w:sz w:val="20"/>
                <w:szCs w:val="20"/>
              </w:rPr>
              <w:t xml:space="preserve">$0.08 </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421B7BED" w14:textId="77777777" w:rsidR="000013E2" w:rsidRPr="000013E2" w:rsidRDefault="000013E2" w:rsidP="000013E2">
            <w:pPr>
              <w:jc w:val="right"/>
              <w:rPr>
                <w:color w:val="000000"/>
                <w:sz w:val="20"/>
                <w:szCs w:val="20"/>
              </w:rPr>
            </w:pPr>
            <w:r w:rsidRPr="000013E2">
              <w:rPr>
                <w:color w:val="000000"/>
                <w:sz w:val="20"/>
                <w:szCs w:val="20"/>
              </w:rPr>
              <w:t xml:space="preserve">$1,519,951 </w:t>
            </w:r>
          </w:p>
        </w:tc>
      </w:tr>
      <w:tr w:rsidR="000013E2" w:rsidRPr="000013E2" w14:paraId="66E946AD" w14:textId="77777777" w:rsidTr="00917E8C">
        <w:trPr>
          <w:trHeight w:val="25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1F0D2F35" w14:textId="77777777" w:rsidR="000013E2" w:rsidRPr="000013E2" w:rsidRDefault="000013E2" w:rsidP="000013E2">
            <w:pPr>
              <w:rPr>
                <w:color w:val="000000"/>
                <w:sz w:val="20"/>
                <w:szCs w:val="20"/>
              </w:rPr>
            </w:pPr>
            <w:r w:rsidRPr="000013E2">
              <w:rPr>
                <w:color w:val="000000"/>
                <w:sz w:val="20"/>
                <w:szCs w:val="20"/>
              </w:rPr>
              <w:t>G-10 (</w:t>
            </w:r>
            <w:proofErr w:type="gramStart"/>
            <w:r w:rsidRPr="000013E2">
              <w:rPr>
                <w:color w:val="000000"/>
                <w:sz w:val="20"/>
                <w:szCs w:val="20"/>
              </w:rPr>
              <w:t>Multi-Family</w:t>
            </w:r>
            <w:proofErr w:type="gramEnd"/>
            <w:r w:rsidRPr="000013E2">
              <w:rPr>
                <w:color w:val="000000"/>
                <w:sz w:val="20"/>
                <w:szCs w:val="20"/>
              </w:rPr>
              <w:t>)</w:t>
            </w:r>
          </w:p>
        </w:tc>
        <w:tc>
          <w:tcPr>
            <w:tcW w:w="2070" w:type="dxa"/>
            <w:tcBorders>
              <w:top w:val="nil"/>
              <w:left w:val="nil"/>
              <w:bottom w:val="single" w:sz="4" w:space="0" w:color="auto"/>
              <w:right w:val="single" w:sz="4" w:space="0" w:color="auto"/>
            </w:tcBorders>
            <w:shd w:val="clear" w:color="auto" w:fill="auto"/>
            <w:noWrap/>
            <w:vAlign w:val="center"/>
            <w:hideMark/>
          </w:tcPr>
          <w:p w14:paraId="57D8CE0F" w14:textId="77777777" w:rsidR="000013E2" w:rsidRPr="000013E2" w:rsidRDefault="000013E2" w:rsidP="000013E2">
            <w:pPr>
              <w:jc w:val="center"/>
              <w:rPr>
                <w:color w:val="000000"/>
                <w:sz w:val="20"/>
                <w:szCs w:val="20"/>
              </w:rPr>
            </w:pPr>
            <w:r w:rsidRPr="000013E2">
              <w:rPr>
                <w:color w:val="000000"/>
                <w:sz w:val="20"/>
                <w:szCs w:val="20"/>
              </w:rPr>
              <w:t>Base Rate</w:t>
            </w:r>
          </w:p>
        </w:tc>
        <w:tc>
          <w:tcPr>
            <w:tcW w:w="1440" w:type="dxa"/>
            <w:tcBorders>
              <w:top w:val="nil"/>
              <w:left w:val="nil"/>
              <w:bottom w:val="single" w:sz="4" w:space="0" w:color="auto"/>
              <w:right w:val="single" w:sz="4" w:space="0" w:color="auto"/>
            </w:tcBorders>
            <w:shd w:val="clear" w:color="auto" w:fill="auto"/>
            <w:noWrap/>
            <w:vAlign w:val="center"/>
            <w:hideMark/>
          </w:tcPr>
          <w:p w14:paraId="3365EC11" w14:textId="77777777" w:rsidR="000013E2" w:rsidRPr="000013E2" w:rsidRDefault="000013E2" w:rsidP="000013E2">
            <w:pPr>
              <w:jc w:val="right"/>
              <w:rPr>
                <w:color w:val="000000"/>
                <w:sz w:val="20"/>
                <w:szCs w:val="20"/>
              </w:rPr>
            </w:pPr>
            <w:r w:rsidRPr="000013E2">
              <w:rPr>
                <w:color w:val="000000"/>
                <w:sz w:val="20"/>
                <w:szCs w:val="20"/>
              </w:rPr>
              <w:t xml:space="preserve">$0.08 </w:t>
            </w:r>
          </w:p>
        </w:tc>
        <w:tc>
          <w:tcPr>
            <w:tcW w:w="1980" w:type="dxa"/>
            <w:tcBorders>
              <w:top w:val="nil"/>
              <w:left w:val="nil"/>
              <w:bottom w:val="single" w:sz="4" w:space="0" w:color="auto"/>
              <w:right w:val="single" w:sz="4" w:space="0" w:color="auto"/>
            </w:tcBorders>
            <w:shd w:val="clear" w:color="auto" w:fill="auto"/>
            <w:noWrap/>
            <w:vAlign w:val="bottom"/>
            <w:hideMark/>
          </w:tcPr>
          <w:p w14:paraId="681E211D" w14:textId="77777777" w:rsidR="000013E2" w:rsidRPr="000013E2" w:rsidRDefault="000013E2" w:rsidP="000013E2">
            <w:pPr>
              <w:jc w:val="right"/>
              <w:rPr>
                <w:color w:val="000000"/>
                <w:sz w:val="20"/>
                <w:szCs w:val="20"/>
              </w:rPr>
            </w:pPr>
            <w:r w:rsidRPr="000013E2">
              <w:rPr>
                <w:color w:val="000000"/>
                <w:sz w:val="20"/>
                <w:szCs w:val="20"/>
              </w:rPr>
              <w:t xml:space="preserve">$42,044 </w:t>
            </w:r>
          </w:p>
        </w:tc>
      </w:tr>
      <w:tr w:rsidR="000013E2" w:rsidRPr="000013E2" w14:paraId="698578A7" w14:textId="77777777" w:rsidTr="00917E8C">
        <w:trPr>
          <w:trHeight w:val="25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1E493F54" w14:textId="77777777" w:rsidR="000013E2" w:rsidRPr="000013E2" w:rsidRDefault="000013E2" w:rsidP="000013E2">
            <w:pPr>
              <w:rPr>
                <w:color w:val="000000"/>
                <w:sz w:val="20"/>
                <w:szCs w:val="20"/>
              </w:rPr>
            </w:pPr>
            <w:r w:rsidRPr="000013E2">
              <w:rPr>
                <w:color w:val="000000"/>
                <w:sz w:val="20"/>
                <w:szCs w:val="20"/>
              </w:rPr>
              <w:t>AG-1 (Agriculture)</w:t>
            </w:r>
          </w:p>
        </w:tc>
        <w:tc>
          <w:tcPr>
            <w:tcW w:w="2070" w:type="dxa"/>
            <w:tcBorders>
              <w:top w:val="nil"/>
              <w:left w:val="nil"/>
              <w:bottom w:val="single" w:sz="4" w:space="0" w:color="auto"/>
              <w:right w:val="single" w:sz="4" w:space="0" w:color="auto"/>
            </w:tcBorders>
            <w:shd w:val="clear" w:color="auto" w:fill="auto"/>
            <w:noWrap/>
            <w:vAlign w:val="center"/>
            <w:hideMark/>
          </w:tcPr>
          <w:p w14:paraId="7B0F433E" w14:textId="77777777" w:rsidR="000013E2" w:rsidRPr="000013E2" w:rsidRDefault="000013E2" w:rsidP="000013E2">
            <w:pPr>
              <w:jc w:val="center"/>
              <w:rPr>
                <w:color w:val="000000"/>
                <w:sz w:val="20"/>
                <w:szCs w:val="20"/>
              </w:rPr>
            </w:pPr>
            <w:r w:rsidRPr="000013E2">
              <w:rPr>
                <w:color w:val="000000"/>
                <w:sz w:val="20"/>
                <w:szCs w:val="20"/>
              </w:rPr>
              <w:t>Base Rate</w:t>
            </w:r>
          </w:p>
        </w:tc>
        <w:tc>
          <w:tcPr>
            <w:tcW w:w="1440" w:type="dxa"/>
            <w:tcBorders>
              <w:top w:val="nil"/>
              <w:left w:val="nil"/>
              <w:bottom w:val="single" w:sz="4" w:space="0" w:color="auto"/>
              <w:right w:val="single" w:sz="4" w:space="0" w:color="auto"/>
            </w:tcBorders>
            <w:shd w:val="clear" w:color="auto" w:fill="auto"/>
            <w:noWrap/>
            <w:vAlign w:val="center"/>
            <w:hideMark/>
          </w:tcPr>
          <w:p w14:paraId="1393978A" w14:textId="77777777" w:rsidR="000013E2" w:rsidRPr="000013E2" w:rsidRDefault="000013E2" w:rsidP="000013E2">
            <w:pPr>
              <w:jc w:val="right"/>
              <w:rPr>
                <w:color w:val="000000"/>
                <w:sz w:val="20"/>
                <w:szCs w:val="20"/>
              </w:rPr>
            </w:pPr>
            <w:r w:rsidRPr="000013E2">
              <w:rPr>
                <w:color w:val="000000"/>
                <w:sz w:val="20"/>
                <w:szCs w:val="20"/>
              </w:rPr>
              <w:t xml:space="preserve">$0.08 </w:t>
            </w:r>
          </w:p>
        </w:tc>
        <w:tc>
          <w:tcPr>
            <w:tcW w:w="1980" w:type="dxa"/>
            <w:tcBorders>
              <w:top w:val="nil"/>
              <w:left w:val="nil"/>
              <w:bottom w:val="single" w:sz="4" w:space="0" w:color="auto"/>
              <w:right w:val="single" w:sz="4" w:space="0" w:color="auto"/>
            </w:tcBorders>
            <w:shd w:val="clear" w:color="auto" w:fill="auto"/>
            <w:noWrap/>
            <w:vAlign w:val="bottom"/>
            <w:hideMark/>
          </w:tcPr>
          <w:p w14:paraId="20293FE8" w14:textId="77777777" w:rsidR="000013E2" w:rsidRPr="000013E2" w:rsidRDefault="000013E2" w:rsidP="000013E2">
            <w:pPr>
              <w:jc w:val="right"/>
              <w:rPr>
                <w:color w:val="000000"/>
                <w:sz w:val="20"/>
                <w:szCs w:val="20"/>
              </w:rPr>
            </w:pPr>
            <w:r w:rsidRPr="000013E2">
              <w:rPr>
                <w:color w:val="000000"/>
                <w:sz w:val="20"/>
                <w:szCs w:val="20"/>
              </w:rPr>
              <w:t xml:space="preserve">$336 </w:t>
            </w:r>
          </w:p>
        </w:tc>
      </w:tr>
      <w:tr w:rsidR="000013E2" w:rsidRPr="000013E2" w14:paraId="45B5BA47" w14:textId="77777777" w:rsidTr="00917E8C">
        <w:trPr>
          <w:trHeight w:val="25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4072828C" w14:textId="77777777" w:rsidR="000013E2" w:rsidRPr="000013E2" w:rsidRDefault="000013E2" w:rsidP="000013E2">
            <w:pPr>
              <w:rPr>
                <w:color w:val="000000"/>
                <w:sz w:val="20"/>
                <w:szCs w:val="20"/>
              </w:rPr>
            </w:pPr>
            <w:r w:rsidRPr="000013E2">
              <w:rPr>
                <w:color w:val="000000"/>
                <w:sz w:val="20"/>
                <w:szCs w:val="20"/>
              </w:rPr>
              <w:t>S-51</w:t>
            </w:r>
          </w:p>
        </w:tc>
        <w:tc>
          <w:tcPr>
            <w:tcW w:w="2070" w:type="dxa"/>
            <w:tcBorders>
              <w:top w:val="nil"/>
              <w:left w:val="nil"/>
              <w:bottom w:val="single" w:sz="4" w:space="0" w:color="auto"/>
              <w:right w:val="single" w:sz="4" w:space="0" w:color="auto"/>
            </w:tcBorders>
            <w:shd w:val="clear" w:color="auto" w:fill="auto"/>
            <w:noWrap/>
            <w:vAlign w:val="center"/>
            <w:hideMark/>
          </w:tcPr>
          <w:p w14:paraId="04071393" w14:textId="77777777" w:rsidR="000013E2" w:rsidRPr="000013E2" w:rsidRDefault="000013E2" w:rsidP="000013E2">
            <w:pPr>
              <w:jc w:val="center"/>
              <w:rPr>
                <w:color w:val="000000"/>
                <w:sz w:val="20"/>
                <w:szCs w:val="20"/>
              </w:rPr>
            </w:pPr>
            <w:r w:rsidRPr="000013E2">
              <w:rPr>
                <w:color w:val="000000"/>
                <w:sz w:val="20"/>
                <w:szCs w:val="20"/>
              </w:rPr>
              <w:t>Base Rate</w:t>
            </w:r>
          </w:p>
        </w:tc>
        <w:tc>
          <w:tcPr>
            <w:tcW w:w="1440" w:type="dxa"/>
            <w:tcBorders>
              <w:top w:val="nil"/>
              <w:left w:val="nil"/>
              <w:bottom w:val="single" w:sz="4" w:space="0" w:color="auto"/>
              <w:right w:val="single" w:sz="4" w:space="0" w:color="auto"/>
            </w:tcBorders>
            <w:shd w:val="clear" w:color="auto" w:fill="auto"/>
            <w:noWrap/>
            <w:vAlign w:val="center"/>
            <w:hideMark/>
          </w:tcPr>
          <w:p w14:paraId="1E86924C" w14:textId="77777777" w:rsidR="000013E2" w:rsidRPr="000013E2" w:rsidRDefault="000013E2" w:rsidP="000013E2">
            <w:pPr>
              <w:jc w:val="right"/>
              <w:rPr>
                <w:color w:val="000000"/>
                <w:sz w:val="20"/>
                <w:szCs w:val="20"/>
              </w:rPr>
            </w:pPr>
            <w:r w:rsidRPr="000013E2">
              <w:rPr>
                <w:color w:val="000000"/>
                <w:sz w:val="20"/>
                <w:szCs w:val="20"/>
              </w:rPr>
              <w:t xml:space="preserve">$0.08 </w:t>
            </w:r>
          </w:p>
        </w:tc>
        <w:tc>
          <w:tcPr>
            <w:tcW w:w="1980" w:type="dxa"/>
            <w:tcBorders>
              <w:top w:val="nil"/>
              <w:left w:val="nil"/>
              <w:bottom w:val="single" w:sz="4" w:space="0" w:color="auto"/>
              <w:right w:val="single" w:sz="4" w:space="0" w:color="auto"/>
            </w:tcBorders>
            <w:shd w:val="clear" w:color="auto" w:fill="auto"/>
            <w:noWrap/>
            <w:vAlign w:val="bottom"/>
            <w:hideMark/>
          </w:tcPr>
          <w:p w14:paraId="2BA72150" w14:textId="77777777" w:rsidR="000013E2" w:rsidRPr="000013E2" w:rsidRDefault="000013E2" w:rsidP="000013E2">
            <w:pPr>
              <w:jc w:val="right"/>
              <w:rPr>
                <w:color w:val="000000"/>
                <w:sz w:val="20"/>
                <w:szCs w:val="20"/>
              </w:rPr>
            </w:pPr>
            <w:r w:rsidRPr="000013E2">
              <w:rPr>
                <w:color w:val="000000"/>
                <w:sz w:val="20"/>
                <w:szCs w:val="20"/>
              </w:rPr>
              <w:t xml:space="preserve">$4 </w:t>
            </w:r>
          </w:p>
        </w:tc>
      </w:tr>
      <w:tr w:rsidR="000013E2" w:rsidRPr="000013E2" w14:paraId="740AB4FA" w14:textId="77777777" w:rsidTr="00917E8C">
        <w:trPr>
          <w:trHeight w:val="25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67B802D1" w14:textId="77777777" w:rsidR="000013E2" w:rsidRPr="000013E2" w:rsidRDefault="000013E2" w:rsidP="000013E2">
            <w:pPr>
              <w:rPr>
                <w:color w:val="000000"/>
                <w:sz w:val="20"/>
                <w:szCs w:val="20"/>
              </w:rPr>
            </w:pPr>
            <w:r w:rsidRPr="000013E2">
              <w:rPr>
                <w:color w:val="000000"/>
                <w:sz w:val="20"/>
                <w:szCs w:val="20"/>
              </w:rPr>
              <w:t>G-11 (Commercial/</w:t>
            </w:r>
          </w:p>
          <w:p w14:paraId="195101A4" w14:textId="77777777" w:rsidR="000013E2" w:rsidRPr="000013E2" w:rsidRDefault="000013E2" w:rsidP="000013E2">
            <w:pPr>
              <w:rPr>
                <w:color w:val="000000"/>
                <w:sz w:val="20"/>
                <w:szCs w:val="20"/>
              </w:rPr>
            </w:pPr>
            <w:r w:rsidRPr="000013E2">
              <w:rPr>
                <w:color w:val="000000"/>
                <w:sz w:val="20"/>
                <w:szCs w:val="20"/>
              </w:rPr>
              <w:t>Industrial)</w:t>
            </w:r>
          </w:p>
        </w:tc>
        <w:tc>
          <w:tcPr>
            <w:tcW w:w="2070" w:type="dxa"/>
            <w:tcBorders>
              <w:top w:val="nil"/>
              <w:left w:val="nil"/>
              <w:bottom w:val="single" w:sz="4" w:space="0" w:color="auto"/>
              <w:right w:val="single" w:sz="4" w:space="0" w:color="auto"/>
            </w:tcBorders>
            <w:shd w:val="clear" w:color="auto" w:fill="auto"/>
            <w:noWrap/>
            <w:vAlign w:val="center"/>
            <w:hideMark/>
          </w:tcPr>
          <w:p w14:paraId="53B8B1C4" w14:textId="77777777" w:rsidR="000013E2" w:rsidRPr="000013E2" w:rsidRDefault="000013E2" w:rsidP="000013E2">
            <w:pPr>
              <w:jc w:val="center"/>
              <w:rPr>
                <w:color w:val="000000"/>
                <w:sz w:val="20"/>
                <w:szCs w:val="20"/>
              </w:rPr>
            </w:pPr>
            <w:r w:rsidRPr="000013E2">
              <w:rPr>
                <w:color w:val="000000"/>
                <w:sz w:val="20"/>
                <w:szCs w:val="20"/>
              </w:rPr>
              <w:t>3 x Base Rate</w:t>
            </w:r>
          </w:p>
        </w:tc>
        <w:tc>
          <w:tcPr>
            <w:tcW w:w="1440" w:type="dxa"/>
            <w:tcBorders>
              <w:top w:val="nil"/>
              <w:left w:val="nil"/>
              <w:bottom w:val="single" w:sz="4" w:space="0" w:color="auto"/>
              <w:right w:val="single" w:sz="4" w:space="0" w:color="auto"/>
            </w:tcBorders>
            <w:shd w:val="clear" w:color="auto" w:fill="auto"/>
            <w:noWrap/>
            <w:vAlign w:val="center"/>
            <w:hideMark/>
          </w:tcPr>
          <w:p w14:paraId="6F888717" w14:textId="77777777" w:rsidR="000013E2" w:rsidRPr="000013E2" w:rsidRDefault="000013E2" w:rsidP="000013E2">
            <w:pPr>
              <w:jc w:val="right"/>
              <w:rPr>
                <w:color w:val="000000"/>
                <w:sz w:val="20"/>
                <w:szCs w:val="20"/>
              </w:rPr>
            </w:pPr>
            <w:r w:rsidRPr="000013E2">
              <w:rPr>
                <w:color w:val="000000"/>
                <w:sz w:val="20"/>
                <w:szCs w:val="20"/>
              </w:rPr>
              <w:t xml:space="preserve">$0.24 </w:t>
            </w:r>
          </w:p>
        </w:tc>
        <w:tc>
          <w:tcPr>
            <w:tcW w:w="1980" w:type="dxa"/>
            <w:tcBorders>
              <w:top w:val="nil"/>
              <w:left w:val="nil"/>
              <w:bottom w:val="single" w:sz="4" w:space="0" w:color="auto"/>
              <w:right w:val="single" w:sz="4" w:space="0" w:color="auto"/>
            </w:tcBorders>
            <w:shd w:val="clear" w:color="auto" w:fill="auto"/>
            <w:noWrap/>
            <w:vAlign w:val="bottom"/>
            <w:hideMark/>
          </w:tcPr>
          <w:p w14:paraId="63B363DB" w14:textId="77777777" w:rsidR="000013E2" w:rsidRPr="000013E2" w:rsidRDefault="000013E2" w:rsidP="000013E2">
            <w:pPr>
              <w:jc w:val="right"/>
              <w:rPr>
                <w:color w:val="000000"/>
                <w:sz w:val="20"/>
                <w:szCs w:val="20"/>
              </w:rPr>
            </w:pPr>
            <w:r w:rsidRPr="000013E2">
              <w:rPr>
                <w:color w:val="000000"/>
                <w:sz w:val="20"/>
                <w:szCs w:val="20"/>
              </w:rPr>
              <w:t xml:space="preserve">$278,806 </w:t>
            </w:r>
          </w:p>
        </w:tc>
      </w:tr>
      <w:tr w:rsidR="000013E2" w:rsidRPr="000013E2" w14:paraId="0B74A6A4" w14:textId="77777777" w:rsidTr="00917E8C">
        <w:trPr>
          <w:trHeight w:val="255"/>
        </w:trPr>
        <w:tc>
          <w:tcPr>
            <w:tcW w:w="3150" w:type="dxa"/>
            <w:tcBorders>
              <w:top w:val="nil"/>
              <w:left w:val="single" w:sz="4" w:space="0" w:color="auto"/>
              <w:bottom w:val="single" w:sz="4" w:space="0" w:color="auto"/>
              <w:right w:val="single" w:sz="4" w:space="0" w:color="auto"/>
            </w:tcBorders>
            <w:shd w:val="clear" w:color="auto" w:fill="auto"/>
            <w:noWrap/>
            <w:vAlign w:val="center"/>
            <w:hideMark/>
          </w:tcPr>
          <w:p w14:paraId="59CDD4A7" w14:textId="77777777" w:rsidR="000013E2" w:rsidRPr="000013E2" w:rsidRDefault="000013E2" w:rsidP="000013E2">
            <w:pPr>
              <w:rPr>
                <w:color w:val="000000"/>
                <w:sz w:val="20"/>
                <w:szCs w:val="20"/>
              </w:rPr>
            </w:pPr>
            <w:r w:rsidRPr="000013E2">
              <w:rPr>
                <w:color w:val="000000"/>
                <w:sz w:val="20"/>
                <w:szCs w:val="20"/>
              </w:rPr>
              <w:t>G-12 (High Demand – Com/Ind)</w:t>
            </w:r>
          </w:p>
        </w:tc>
        <w:tc>
          <w:tcPr>
            <w:tcW w:w="2070" w:type="dxa"/>
            <w:tcBorders>
              <w:top w:val="nil"/>
              <w:left w:val="nil"/>
              <w:bottom w:val="single" w:sz="4" w:space="0" w:color="auto"/>
              <w:right w:val="single" w:sz="4" w:space="0" w:color="auto"/>
            </w:tcBorders>
            <w:shd w:val="clear" w:color="auto" w:fill="auto"/>
            <w:noWrap/>
            <w:vAlign w:val="center"/>
            <w:hideMark/>
          </w:tcPr>
          <w:p w14:paraId="4863F1FE" w14:textId="77777777" w:rsidR="000013E2" w:rsidRPr="000013E2" w:rsidRDefault="000013E2" w:rsidP="000013E2">
            <w:pPr>
              <w:jc w:val="center"/>
              <w:rPr>
                <w:color w:val="000000"/>
                <w:sz w:val="20"/>
                <w:szCs w:val="20"/>
              </w:rPr>
            </w:pPr>
            <w:r w:rsidRPr="000013E2">
              <w:rPr>
                <w:color w:val="000000"/>
                <w:sz w:val="20"/>
                <w:szCs w:val="20"/>
              </w:rPr>
              <w:t>25 x Base Rate</w:t>
            </w:r>
          </w:p>
        </w:tc>
        <w:tc>
          <w:tcPr>
            <w:tcW w:w="1440" w:type="dxa"/>
            <w:tcBorders>
              <w:top w:val="nil"/>
              <w:left w:val="nil"/>
              <w:bottom w:val="single" w:sz="4" w:space="0" w:color="auto"/>
              <w:right w:val="single" w:sz="4" w:space="0" w:color="auto"/>
            </w:tcBorders>
            <w:shd w:val="clear" w:color="auto" w:fill="auto"/>
            <w:noWrap/>
            <w:vAlign w:val="center"/>
            <w:hideMark/>
          </w:tcPr>
          <w:p w14:paraId="3D47899F" w14:textId="77777777" w:rsidR="000013E2" w:rsidRPr="000013E2" w:rsidRDefault="000013E2" w:rsidP="000013E2">
            <w:pPr>
              <w:jc w:val="right"/>
              <w:rPr>
                <w:color w:val="000000"/>
                <w:sz w:val="20"/>
                <w:szCs w:val="20"/>
              </w:rPr>
            </w:pPr>
            <w:r w:rsidRPr="000013E2">
              <w:rPr>
                <w:color w:val="000000"/>
                <w:sz w:val="20"/>
                <w:szCs w:val="20"/>
              </w:rPr>
              <w:t xml:space="preserve">$2.00 </w:t>
            </w:r>
          </w:p>
        </w:tc>
        <w:tc>
          <w:tcPr>
            <w:tcW w:w="1980" w:type="dxa"/>
            <w:tcBorders>
              <w:top w:val="nil"/>
              <w:left w:val="nil"/>
              <w:bottom w:val="single" w:sz="4" w:space="0" w:color="auto"/>
              <w:right w:val="single" w:sz="4" w:space="0" w:color="auto"/>
            </w:tcBorders>
            <w:shd w:val="clear" w:color="auto" w:fill="auto"/>
            <w:noWrap/>
            <w:vAlign w:val="bottom"/>
            <w:hideMark/>
          </w:tcPr>
          <w:p w14:paraId="7C776543" w14:textId="77777777" w:rsidR="000013E2" w:rsidRPr="000013E2" w:rsidRDefault="000013E2" w:rsidP="000013E2">
            <w:pPr>
              <w:jc w:val="right"/>
              <w:rPr>
                <w:color w:val="000000"/>
                <w:sz w:val="20"/>
                <w:szCs w:val="20"/>
              </w:rPr>
            </w:pPr>
            <w:r w:rsidRPr="000013E2">
              <w:rPr>
                <w:color w:val="000000"/>
                <w:sz w:val="20"/>
                <w:szCs w:val="20"/>
              </w:rPr>
              <w:t xml:space="preserve">$120 </w:t>
            </w:r>
          </w:p>
        </w:tc>
      </w:tr>
      <w:tr w:rsidR="000013E2" w:rsidRPr="000013E2" w14:paraId="415F14BE" w14:textId="77777777" w:rsidTr="00917E8C">
        <w:trPr>
          <w:trHeight w:val="359"/>
        </w:trPr>
        <w:tc>
          <w:tcPr>
            <w:tcW w:w="66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99941" w14:textId="77777777" w:rsidR="000013E2" w:rsidRPr="000013E2" w:rsidRDefault="000013E2" w:rsidP="000013E2">
            <w:pPr>
              <w:jc w:val="center"/>
              <w:rPr>
                <w:b/>
                <w:bCs/>
                <w:color w:val="000000"/>
                <w:sz w:val="20"/>
                <w:szCs w:val="20"/>
              </w:rPr>
            </w:pPr>
            <w:r w:rsidRPr="000013E2">
              <w:rPr>
                <w:b/>
                <w:bCs/>
                <w:color w:val="000000"/>
                <w:sz w:val="20"/>
                <w:szCs w:val="20"/>
              </w:rPr>
              <w:t>Total 2025 Estimated Revenue Collections</w:t>
            </w:r>
          </w:p>
        </w:tc>
        <w:tc>
          <w:tcPr>
            <w:tcW w:w="1980" w:type="dxa"/>
            <w:tcBorders>
              <w:top w:val="nil"/>
              <w:left w:val="nil"/>
              <w:bottom w:val="single" w:sz="4" w:space="0" w:color="auto"/>
              <w:right w:val="single" w:sz="4" w:space="0" w:color="auto"/>
            </w:tcBorders>
            <w:shd w:val="clear" w:color="auto" w:fill="auto"/>
            <w:noWrap/>
            <w:vAlign w:val="bottom"/>
            <w:hideMark/>
          </w:tcPr>
          <w:p w14:paraId="77E90483" w14:textId="77777777" w:rsidR="000013E2" w:rsidRPr="000013E2" w:rsidRDefault="000013E2" w:rsidP="000013E2">
            <w:pPr>
              <w:jc w:val="right"/>
              <w:rPr>
                <w:b/>
                <w:bCs/>
                <w:color w:val="000000"/>
                <w:sz w:val="20"/>
                <w:szCs w:val="20"/>
              </w:rPr>
            </w:pPr>
            <w:r w:rsidRPr="000013E2">
              <w:rPr>
                <w:b/>
                <w:bCs/>
                <w:color w:val="000000"/>
                <w:sz w:val="20"/>
                <w:szCs w:val="20"/>
              </w:rPr>
              <w:t xml:space="preserve">$1,841,261 </w:t>
            </w:r>
          </w:p>
        </w:tc>
      </w:tr>
    </w:tbl>
    <w:p w14:paraId="77ABA04D" w14:textId="77777777" w:rsidR="000013E2" w:rsidRPr="000013E2" w:rsidRDefault="000013E2" w:rsidP="000013E2">
      <w:pPr>
        <w:spacing w:after="200"/>
        <w:contextualSpacing/>
        <w:rPr>
          <w:snapToGrid w:val="0"/>
        </w:rPr>
      </w:pPr>
    </w:p>
    <w:p w14:paraId="0E319DAA" w14:textId="77777777" w:rsidR="000013E2" w:rsidRPr="000013E2" w:rsidRDefault="000013E2" w:rsidP="000013E2">
      <w:pPr>
        <w:spacing w:after="200"/>
        <w:contextualSpacing/>
        <w:rPr>
          <w:snapToGrid w:val="0"/>
        </w:rPr>
      </w:pPr>
      <w:r w:rsidRPr="000013E2">
        <w:rPr>
          <w:snapToGrid w:val="0"/>
        </w:rPr>
        <w:lastRenderedPageBreak/>
        <w:tab/>
        <w:t xml:space="preserve">AGL will file quarterly reporting with the Commission. The Staff will examine the reporting to determine if the Rider rates are providing the proper recovery for the ECON-1 rate base. </w:t>
      </w:r>
    </w:p>
    <w:p w14:paraId="207A479F" w14:textId="77777777" w:rsidR="000013E2" w:rsidRPr="000013E2" w:rsidRDefault="000013E2" w:rsidP="000013E2">
      <w:pPr>
        <w:spacing w:after="200"/>
        <w:contextualSpacing/>
        <w:rPr>
          <w:snapToGrid w:val="0"/>
        </w:rPr>
      </w:pPr>
    </w:p>
    <w:p w14:paraId="0E1A4F78" w14:textId="77777777" w:rsidR="000013E2" w:rsidRPr="000013E2" w:rsidRDefault="000013E2" w:rsidP="000013E2">
      <w:pPr>
        <w:numPr>
          <w:ilvl w:val="0"/>
          <w:numId w:val="2"/>
        </w:numPr>
        <w:spacing w:after="200"/>
        <w:contextualSpacing/>
        <w:jc w:val="center"/>
        <w:rPr>
          <w:b/>
          <w:bCs/>
        </w:rPr>
      </w:pPr>
      <w:r w:rsidRPr="000013E2">
        <w:rPr>
          <w:b/>
          <w:bCs/>
        </w:rPr>
        <w:t>Discussion on ECON-1 Rider Format</w:t>
      </w:r>
    </w:p>
    <w:p w14:paraId="2267649F" w14:textId="77777777" w:rsidR="000013E2" w:rsidRPr="000013E2" w:rsidRDefault="000013E2" w:rsidP="000013E2">
      <w:pPr>
        <w:spacing w:after="200"/>
        <w:ind w:firstLine="720"/>
        <w:contextualSpacing/>
        <w:rPr>
          <w:snapToGrid w:val="0"/>
        </w:rPr>
      </w:pPr>
    </w:p>
    <w:p w14:paraId="738BD9D0" w14:textId="77777777" w:rsidR="000013E2" w:rsidRPr="000013E2" w:rsidRDefault="000013E2" w:rsidP="000013E2">
      <w:pPr>
        <w:spacing w:after="200"/>
        <w:ind w:firstLine="720"/>
        <w:contextualSpacing/>
        <w:rPr>
          <w:snapToGrid w:val="0"/>
        </w:rPr>
      </w:pPr>
      <w:r w:rsidRPr="000013E2">
        <w:rPr>
          <w:snapToGrid w:val="0"/>
        </w:rPr>
        <w:t>On September 4, 2024, AGL filed its 2025 Department of Transportation (“DOT”) Rider in Docket No. 43820. As part of Staff’s examination, it was found that AGL was proposing a quarterly reporting format for the 2025 DOT Rider Recovery Mechanism (“RRM”) that was different from the current System Reliability Rider (“SRR”) RRM provided in Docket No. 43820. In communications with AGL, it was determined that AGL intended to change the current SRR quarterly reporting format beginning the 1</w:t>
      </w:r>
      <w:r w:rsidRPr="000013E2">
        <w:rPr>
          <w:snapToGrid w:val="0"/>
          <w:vertAlign w:val="superscript"/>
        </w:rPr>
        <w:t>st</w:t>
      </w:r>
      <w:r w:rsidRPr="000013E2">
        <w:rPr>
          <w:snapToGrid w:val="0"/>
        </w:rPr>
        <w:t xml:space="preserve"> Q 2025. The Staff did not accept this change. It was Staff conclusion that this would also impact the ECON-1 RRM and the DOT RRM. The Staff and AGL had numerous meetings on this issue. </w:t>
      </w:r>
    </w:p>
    <w:p w14:paraId="572FE74A" w14:textId="77777777" w:rsidR="000013E2" w:rsidRPr="000013E2" w:rsidRDefault="000013E2" w:rsidP="000013E2">
      <w:pPr>
        <w:spacing w:after="200"/>
        <w:ind w:firstLine="720"/>
        <w:contextualSpacing/>
        <w:rPr>
          <w:snapToGrid w:val="0"/>
        </w:rPr>
      </w:pPr>
    </w:p>
    <w:p w14:paraId="63C8DCEB" w14:textId="77777777" w:rsidR="000013E2" w:rsidRPr="000013E2" w:rsidRDefault="000013E2" w:rsidP="000013E2">
      <w:pPr>
        <w:spacing w:after="200"/>
        <w:ind w:firstLine="720"/>
        <w:contextualSpacing/>
        <w:rPr>
          <w:snapToGrid w:val="0"/>
        </w:rPr>
      </w:pPr>
      <w:r w:rsidRPr="000013E2">
        <w:rPr>
          <w:snapToGrid w:val="0"/>
        </w:rPr>
        <w:t>On September 22, 2024, the Staff issued its 22</w:t>
      </w:r>
      <w:r w:rsidRPr="000013E2">
        <w:rPr>
          <w:snapToGrid w:val="0"/>
          <w:vertAlign w:val="superscript"/>
        </w:rPr>
        <w:t>nd</w:t>
      </w:r>
      <w:r w:rsidRPr="000013E2">
        <w:rPr>
          <w:snapToGrid w:val="0"/>
        </w:rPr>
        <w:t xml:space="preserve"> Set of Data Requests in Docket No. 43820 to gather additional information on the DOT Rider filing. As part of STF-22-3, the Staff sought a universal RRM format for all three Riders and their reporting. On October 17, 2024, AGL filed responses to Staff’s 22</w:t>
      </w:r>
      <w:r w:rsidRPr="000013E2">
        <w:rPr>
          <w:snapToGrid w:val="0"/>
          <w:vertAlign w:val="superscript"/>
        </w:rPr>
        <w:t>nd</w:t>
      </w:r>
      <w:r w:rsidRPr="000013E2">
        <w:rPr>
          <w:snapToGrid w:val="0"/>
        </w:rPr>
        <w:t xml:space="preserve"> Set of Data Requests. In response to STF-22-3, AGL agreed to use the current SRR RRM format for all RRM’s to include the SRR, DOT, and ECON-1. The Staff agreed with this outcome. </w:t>
      </w:r>
    </w:p>
    <w:p w14:paraId="2BD017D0" w14:textId="77777777" w:rsidR="000013E2" w:rsidRPr="000013E2" w:rsidRDefault="000013E2" w:rsidP="000013E2">
      <w:pPr>
        <w:spacing w:after="200"/>
        <w:contextualSpacing/>
        <w:jc w:val="both"/>
        <w:rPr>
          <w:snapToGrid w:val="0"/>
        </w:rPr>
      </w:pPr>
    </w:p>
    <w:p w14:paraId="692E4460" w14:textId="77777777" w:rsidR="000013E2" w:rsidRPr="000013E2" w:rsidRDefault="000013E2" w:rsidP="000013E2">
      <w:pPr>
        <w:numPr>
          <w:ilvl w:val="0"/>
          <w:numId w:val="2"/>
        </w:numPr>
        <w:spacing w:after="220"/>
        <w:contextualSpacing/>
        <w:jc w:val="center"/>
        <w:rPr>
          <w:b/>
        </w:rPr>
      </w:pPr>
      <w:r w:rsidRPr="000013E2">
        <w:rPr>
          <w:b/>
        </w:rPr>
        <w:t>Commission Decision</w:t>
      </w:r>
    </w:p>
    <w:p w14:paraId="2F021176" w14:textId="77777777" w:rsidR="000013E2" w:rsidRPr="000013E2" w:rsidRDefault="000013E2" w:rsidP="000013E2">
      <w:pPr>
        <w:spacing w:after="220"/>
        <w:contextualSpacing/>
        <w:jc w:val="both"/>
      </w:pPr>
      <w:r w:rsidRPr="000013E2">
        <w:tab/>
        <w:t>During the December 3, 2024 Administrative Session, the Commission approved AGL’s 2025 ECON-1 Rider petition with a base Rider amount of $0.08 per R-1 Residential customer per month. The G-11 Commercial/Industrial customers shall pay three-times the base amount, or $0.24 per customer per month. The high demand gas users, or G-12, shall pay twenty-five times the base amount or, $2.00 per customer per month. The 2025 Rider will be effective on January 1, 2025.</w:t>
      </w:r>
    </w:p>
    <w:p w14:paraId="7D6495A2" w14:textId="77777777" w:rsidR="000013E2" w:rsidRPr="000013E2" w:rsidRDefault="000013E2" w:rsidP="000013E2">
      <w:pPr>
        <w:spacing w:after="220"/>
        <w:contextualSpacing/>
        <w:jc w:val="center"/>
      </w:pPr>
    </w:p>
    <w:bookmarkEnd w:id="0"/>
    <w:p w14:paraId="16CD69C8" w14:textId="77777777" w:rsidR="000013E2" w:rsidRPr="000013E2" w:rsidRDefault="000013E2" w:rsidP="000013E2">
      <w:pPr>
        <w:spacing w:after="220"/>
        <w:ind w:firstLine="720"/>
        <w:contextualSpacing/>
        <w:jc w:val="center"/>
        <w:rPr>
          <w:snapToGrid w:val="0"/>
        </w:rPr>
      </w:pPr>
      <w:r w:rsidRPr="000013E2">
        <w:rPr>
          <w:snapToGrid w:val="0"/>
        </w:rPr>
        <w:t>*   *   *   *   *</w:t>
      </w:r>
    </w:p>
    <w:p w14:paraId="615FCFEE" w14:textId="77777777" w:rsidR="000013E2" w:rsidRPr="000013E2" w:rsidRDefault="000013E2" w:rsidP="000013E2">
      <w:pPr>
        <w:spacing w:after="220"/>
        <w:contextualSpacing/>
        <w:jc w:val="both"/>
        <w:rPr>
          <w:snapToGrid w:val="0"/>
        </w:rPr>
      </w:pPr>
    </w:p>
    <w:p w14:paraId="33B8D918" w14:textId="77777777" w:rsidR="000013E2" w:rsidRPr="000013E2" w:rsidRDefault="000013E2" w:rsidP="000013E2">
      <w:pPr>
        <w:numPr>
          <w:ilvl w:val="0"/>
          <w:numId w:val="2"/>
        </w:numPr>
        <w:spacing w:after="200"/>
        <w:contextualSpacing/>
        <w:jc w:val="center"/>
        <w:rPr>
          <w:b/>
        </w:rPr>
      </w:pPr>
      <w:r w:rsidRPr="000013E2">
        <w:rPr>
          <w:b/>
        </w:rPr>
        <w:t>Ordering Paragraphs</w:t>
      </w:r>
    </w:p>
    <w:p w14:paraId="556D3C51" w14:textId="77777777" w:rsidR="000013E2" w:rsidRPr="000013E2" w:rsidRDefault="000013E2" w:rsidP="000013E2">
      <w:pPr>
        <w:widowControl w:val="0"/>
        <w:contextualSpacing/>
        <w:jc w:val="both"/>
        <w:rPr>
          <w:snapToGrid w:val="0"/>
          <w:szCs w:val="20"/>
        </w:rPr>
      </w:pPr>
    </w:p>
    <w:p w14:paraId="5AAFDE05" w14:textId="77777777" w:rsidR="000013E2" w:rsidRPr="000013E2" w:rsidRDefault="000013E2" w:rsidP="000013E2">
      <w:pPr>
        <w:spacing w:after="220"/>
        <w:ind w:firstLine="720"/>
        <w:contextualSpacing/>
        <w:jc w:val="both"/>
      </w:pPr>
      <w:r w:rsidRPr="000013E2">
        <w:rPr>
          <w:b/>
          <w:snapToGrid w:val="0"/>
        </w:rPr>
        <w:t xml:space="preserve">WHEREFORE IT IS </w:t>
      </w:r>
      <w:proofErr w:type="gramStart"/>
      <w:r w:rsidRPr="000013E2">
        <w:rPr>
          <w:b/>
          <w:snapToGrid w:val="0"/>
        </w:rPr>
        <w:t>ORDERED,</w:t>
      </w:r>
      <w:proofErr w:type="gramEnd"/>
      <w:r w:rsidRPr="000013E2">
        <w:rPr>
          <w:snapToGrid w:val="0"/>
        </w:rPr>
        <w:t xml:space="preserve"> that </w:t>
      </w:r>
      <w:r w:rsidRPr="000013E2">
        <w:t>the Commission approves AGL’s petition in Docket No. 41559 for the 2025 ECON-1 Rider.</w:t>
      </w:r>
    </w:p>
    <w:p w14:paraId="27E5438E" w14:textId="77777777" w:rsidR="000013E2" w:rsidRPr="000013E2" w:rsidRDefault="000013E2" w:rsidP="000013E2">
      <w:pPr>
        <w:ind w:firstLine="720"/>
        <w:contextualSpacing/>
        <w:jc w:val="both"/>
        <w:rPr>
          <w:b/>
        </w:rPr>
      </w:pPr>
    </w:p>
    <w:p w14:paraId="215D5AFB" w14:textId="77777777" w:rsidR="000013E2" w:rsidRPr="000013E2" w:rsidRDefault="000013E2" w:rsidP="000013E2">
      <w:pPr>
        <w:ind w:firstLine="720"/>
        <w:contextualSpacing/>
        <w:jc w:val="both"/>
      </w:pPr>
      <w:r w:rsidRPr="000013E2">
        <w:rPr>
          <w:b/>
        </w:rPr>
        <w:t xml:space="preserve">ORDERED FURTHER, </w:t>
      </w:r>
      <w:r w:rsidRPr="000013E2">
        <w:t>that the R-1 Residential customers shall pay a base amount of $0.08 per customer per month.</w:t>
      </w:r>
    </w:p>
    <w:p w14:paraId="15781219" w14:textId="77777777" w:rsidR="000013E2" w:rsidRPr="000013E2" w:rsidRDefault="000013E2" w:rsidP="000013E2">
      <w:pPr>
        <w:ind w:firstLine="720"/>
        <w:contextualSpacing/>
        <w:jc w:val="both"/>
        <w:rPr>
          <w:b/>
        </w:rPr>
      </w:pPr>
    </w:p>
    <w:p w14:paraId="3A5B046D" w14:textId="77777777" w:rsidR="000013E2" w:rsidRPr="000013E2" w:rsidRDefault="000013E2" w:rsidP="000013E2">
      <w:pPr>
        <w:ind w:firstLine="720"/>
        <w:contextualSpacing/>
        <w:jc w:val="both"/>
      </w:pPr>
      <w:r w:rsidRPr="000013E2">
        <w:rPr>
          <w:b/>
        </w:rPr>
        <w:t xml:space="preserve">ORDERED FURTHER, </w:t>
      </w:r>
      <w:r w:rsidRPr="000013E2">
        <w:t>that the G-11 Commercial/Industrial customers shall pay a three-times the base amount, $0.24 per customer per month.</w:t>
      </w:r>
    </w:p>
    <w:p w14:paraId="50C59E0B" w14:textId="77777777" w:rsidR="000013E2" w:rsidRPr="000013E2" w:rsidRDefault="000013E2" w:rsidP="000013E2">
      <w:pPr>
        <w:ind w:firstLine="720"/>
        <w:contextualSpacing/>
        <w:jc w:val="both"/>
        <w:rPr>
          <w:b/>
        </w:rPr>
      </w:pPr>
    </w:p>
    <w:p w14:paraId="484CDAAC" w14:textId="77777777" w:rsidR="000013E2" w:rsidRPr="000013E2" w:rsidRDefault="000013E2" w:rsidP="000013E2">
      <w:pPr>
        <w:ind w:firstLine="720"/>
        <w:contextualSpacing/>
        <w:jc w:val="both"/>
      </w:pPr>
      <w:r w:rsidRPr="000013E2">
        <w:rPr>
          <w:b/>
        </w:rPr>
        <w:t xml:space="preserve">ORDERED FURTHER, </w:t>
      </w:r>
      <w:r w:rsidRPr="000013E2">
        <w:t>that the G-12 high demand gas users shall pay twenty-five times the base amount, $2.00 per customer per month.</w:t>
      </w:r>
    </w:p>
    <w:p w14:paraId="476DC7AF" w14:textId="77777777" w:rsidR="000013E2" w:rsidRPr="000013E2" w:rsidRDefault="000013E2" w:rsidP="000013E2">
      <w:pPr>
        <w:ind w:firstLine="720"/>
        <w:contextualSpacing/>
        <w:jc w:val="both"/>
      </w:pPr>
    </w:p>
    <w:p w14:paraId="59925E30" w14:textId="77777777" w:rsidR="000013E2" w:rsidRPr="000013E2" w:rsidRDefault="000013E2" w:rsidP="000013E2">
      <w:pPr>
        <w:ind w:firstLine="720"/>
        <w:contextualSpacing/>
        <w:jc w:val="both"/>
      </w:pPr>
      <w:r w:rsidRPr="000013E2">
        <w:rPr>
          <w:b/>
        </w:rPr>
        <w:lastRenderedPageBreak/>
        <w:t xml:space="preserve">ORDERED FURTHER, </w:t>
      </w:r>
      <w:r w:rsidRPr="000013E2">
        <w:t>that the 2025 ECON-1 Rider shall be effective January 1, 2025.</w:t>
      </w:r>
    </w:p>
    <w:p w14:paraId="5F343A91" w14:textId="77777777" w:rsidR="000013E2" w:rsidRPr="000013E2" w:rsidRDefault="000013E2" w:rsidP="000013E2">
      <w:pPr>
        <w:ind w:firstLine="720"/>
        <w:contextualSpacing/>
        <w:jc w:val="both"/>
      </w:pPr>
    </w:p>
    <w:p w14:paraId="71B7B26D" w14:textId="77777777" w:rsidR="000013E2" w:rsidRPr="000013E2" w:rsidRDefault="000013E2" w:rsidP="000013E2">
      <w:pPr>
        <w:ind w:firstLine="720"/>
        <w:contextualSpacing/>
        <w:jc w:val="both"/>
      </w:pPr>
      <w:r w:rsidRPr="000013E2">
        <w:rPr>
          <w:b/>
          <w:bCs/>
        </w:rPr>
        <w:t>ORDERED FURTHER</w:t>
      </w:r>
      <w:r w:rsidRPr="000013E2">
        <w:t>, that the current SRR RRM quarterly filing format will be followed and used for the ECON-1 quarterly filings.</w:t>
      </w:r>
    </w:p>
    <w:p w14:paraId="2F44F310" w14:textId="77777777" w:rsidR="000013E2" w:rsidRPr="000013E2" w:rsidRDefault="000013E2" w:rsidP="000013E2">
      <w:pPr>
        <w:ind w:firstLine="720"/>
        <w:contextualSpacing/>
        <w:jc w:val="both"/>
        <w:rPr>
          <w:b/>
        </w:rPr>
      </w:pPr>
    </w:p>
    <w:p w14:paraId="032D8335" w14:textId="77777777" w:rsidR="000013E2" w:rsidRPr="000013E2" w:rsidRDefault="000013E2" w:rsidP="000013E2">
      <w:pPr>
        <w:ind w:firstLine="720"/>
        <w:contextualSpacing/>
        <w:jc w:val="both"/>
      </w:pPr>
      <w:r w:rsidRPr="000013E2">
        <w:rPr>
          <w:b/>
        </w:rPr>
        <w:t xml:space="preserve">ORDERED FURTHER, </w:t>
      </w:r>
      <w:r w:rsidRPr="000013E2">
        <w:t>that all findings, conclusions, statements, and directives made by the Commission and contained in the foregoing sections of this Order are hereby adopted as findings of fact, conclusions of law, statements of regulatory policy, and orders of this Commission.</w:t>
      </w:r>
    </w:p>
    <w:p w14:paraId="040F4C4B" w14:textId="77777777" w:rsidR="000013E2" w:rsidRPr="000013E2" w:rsidRDefault="000013E2" w:rsidP="000013E2">
      <w:pPr>
        <w:contextualSpacing/>
        <w:jc w:val="both"/>
      </w:pPr>
    </w:p>
    <w:p w14:paraId="59EE8A07" w14:textId="77777777" w:rsidR="000013E2" w:rsidRPr="000013E2" w:rsidRDefault="000013E2" w:rsidP="000013E2">
      <w:pPr>
        <w:ind w:firstLine="720"/>
        <w:contextualSpacing/>
        <w:jc w:val="both"/>
      </w:pPr>
      <w:r w:rsidRPr="000013E2">
        <w:rPr>
          <w:b/>
        </w:rPr>
        <w:t>ORDERED FURTHER,</w:t>
      </w:r>
      <w:r w:rsidRPr="000013E2">
        <w:t xml:space="preserve"> that a motion for reconsideration, rehearing, oral argument, or any other motion shall not stay the effective date of this Order, unless otherwise ordered by the Commission.</w:t>
      </w:r>
    </w:p>
    <w:p w14:paraId="2F320288" w14:textId="77777777" w:rsidR="000013E2" w:rsidRPr="000013E2" w:rsidRDefault="000013E2" w:rsidP="000013E2">
      <w:pPr>
        <w:tabs>
          <w:tab w:val="left" w:pos="0"/>
        </w:tabs>
        <w:spacing w:after="120"/>
        <w:contextualSpacing/>
        <w:jc w:val="both"/>
        <w:rPr>
          <w:snapToGrid w:val="0"/>
          <w:sz w:val="16"/>
          <w:szCs w:val="16"/>
        </w:rPr>
      </w:pPr>
    </w:p>
    <w:p w14:paraId="2C97D75A" w14:textId="77777777" w:rsidR="000013E2" w:rsidRPr="000013E2" w:rsidRDefault="000013E2" w:rsidP="000013E2">
      <w:pPr>
        <w:widowControl w:val="0"/>
        <w:ind w:firstLine="720"/>
        <w:contextualSpacing/>
        <w:jc w:val="both"/>
        <w:rPr>
          <w:b/>
          <w:bCs/>
          <w:snapToGrid w:val="0"/>
        </w:rPr>
      </w:pPr>
      <w:r w:rsidRPr="000013E2">
        <w:rPr>
          <w:b/>
          <w:bCs/>
          <w:snapToGrid w:val="0"/>
        </w:rPr>
        <w:t>ORDERED FURTHER</w:t>
      </w:r>
      <w:r w:rsidRPr="000013E2">
        <w:rPr>
          <w:bCs/>
          <w:snapToGrid w:val="0"/>
        </w:rPr>
        <w:t>,</w:t>
      </w:r>
      <w:r w:rsidRPr="000013E2">
        <w:rPr>
          <w:b/>
          <w:bCs/>
          <w:snapToGrid w:val="0"/>
        </w:rPr>
        <w:t xml:space="preserve"> </w:t>
      </w:r>
      <w:r w:rsidRPr="000013E2">
        <w:rPr>
          <w:bCs/>
          <w:snapToGrid w:val="0"/>
        </w:rPr>
        <w:t xml:space="preserve">that jurisdiction over this matter is expressly retained for the purpose of entering such further Order or Orders as the Commission may deem just and proper. </w:t>
      </w:r>
    </w:p>
    <w:p w14:paraId="582D5729" w14:textId="77777777" w:rsidR="000013E2" w:rsidRPr="000013E2" w:rsidRDefault="000013E2" w:rsidP="000013E2">
      <w:pPr>
        <w:widowControl w:val="0"/>
        <w:contextualSpacing/>
        <w:jc w:val="both"/>
        <w:rPr>
          <w:b/>
          <w:bCs/>
          <w:snapToGrid w:val="0"/>
        </w:rPr>
      </w:pPr>
    </w:p>
    <w:p w14:paraId="5E7593F6" w14:textId="77777777" w:rsidR="000013E2" w:rsidRPr="000013E2" w:rsidRDefault="000013E2" w:rsidP="000013E2">
      <w:pPr>
        <w:widowControl w:val="0"/>
        <w:contextualSpacing/>
        <w:jc w:val="both"/>
        <w:rPr>
          <w:snapToGrid w:val="0"/>
          <w:szCs w:val="20"/>
        </w:rPr>
      </w:pPr>
    </w:p>
    <w:p w14:paraId="5FBA3CED" w14:textId="77777777" w:rsidR="000013E2" w:rsidRPr="000013E2" w:rsidRDefault="000013E2" w:rsidP="000013E2">
      <w:pPr>
        <w:widowControl w:val="0"/>
        <w:ind w:firstLine="720"/>
        <w:contextualSpacing/>
        <w:jc w:val="both"/>
        <w:rPr>
          <w:bCs/>
          <w:snapToGrid w:val="0"/>
        </w:rPr>
      </w:pPr>
      <w:r w:rsidRPr="000013E2">
        <w:rPr>
          <w:bCs/>
          <w:snapToGrid w:val="0"/>
        </w:rPr>
        <w:t>The above by action of the Commission in Administrative Session on the 3</w:t>
      </w:r>
      <w:r w:rsidRPr="000013E2">
        <w:rPr>
          <w:bCs/>
          <w:snapToGrid w:val="0"/>
          <w:vertAlign w:val="superscript"/>
        </w:rPr>
        <w:t>rd</w:t>
      </w:r>
      <w:r w:rsidRPr="000013E2">
        <w:rPr>
          <w:bCs/>
          <w:snapToGrid w:val="0"/>
        </w:rPr>
        <w:t xml:space="preserve"> day of December 2024.</w:t>
      </w:r>
    </w:p>
    <w:p w14:paraId="06C033E8" w14:textId="77777777" w:rsidR="000013E2" w:rsidRPr="000013E2" w:rsidRDefault="000013E2" w:rsidP="000013E2">
      <w:pPr>
        <w:widowControl w:val="0"/>
        <w:ind w:left="360"/>
        <w:contextualSpacing/>
        <w:jc w:val="both"/>
        <w:rPr>
          <w:snapToGrid w:val="0"/>
        </w:rPr>
      </w:pPr>
    </w:p>
    <w:p w14:paraId="1693FCA9" w14:textId="77777777" w:rsidR="000013E2" w:rsidRPr="000013E2" w:rsidRDefault="000013E2" w:rsidP="000013E2">
      <w:pPr>
        <w:widowControl w:val="0"/>
        <w:contextualSpacing/>
        <w:jc w:val="both"/>
        <w:rPr>
          <w:snapToGrid w:val="0"/>
        </w:rPr>
      </w:pPr>
    </w:p>
    <w:p w14:paraId="4650ADC5" w14:textId="77777777" w:rsidR="000013E2" w:rsidRPr="000013E2" w:rsidRDefault="000013E2" w:rsidP="000013E2">
      <w:pPr>
        <w:widowControl w:val="0"/>
        <w:contextualSpacing/>
        <w:jc w:val="both"/>
        <w:rPr>
          <w:snapToGrid w:val="0"/>
          <w:u w:val="single"/>
        </w:rPr>
      </w:pPr>
      <w:r w:rsidRPr="000013E2">
        <w:rPr>
          <w:snapToGrid w:val="0"/>
          <w:u w:val="single"/>
        </w:rPr>
        <w:tab/>
      </w:r>
      <w:r w:rsidRPr="000013E2">
        <w:rPr>
          <w:snapToGrid w:val="0"/>
          <w:u w:val="single"/>
        </w:rPr>
        <w:tab/>
      </w:r>
      <w:r w:rsidRPr="000013E2">
        <w:rPr>
          <w:snapToGrid w:val="0"/>
          <w:u w:val="single"/>
        </w:rPr>
        <w:tab/>
      </w:r>
      <w:r w:rsidRPr="000013E2">
        <w:rPr>
          <w:snapToGrid w:val="0"/>
          <w:u w:val="single"/>
        </w:rPr>
        <w:tab/>
      </w:r>
      <w:r w:rsidRPr="000013E2">
        <w:rPr>
          <w:snapToGrid w:val="0"/>
          <w:u w:val="single"/>
        </w:rPr>
        <w:tab/>
      </w:r>
      <w:r w:rsidRPr="000013E2">
        <w:rPr>
          <w:snapToGrid w:val="0"/>
        </w:rPr>
        <w:tab/>
      </w:r>
      <w:r w:rsidRPr="000013E2">
        <w:rPr>
          <w:snapToGrid w:val="0"/>
        </w:rPr>
        <w:tab/>
      </w:r>
      <w:r w:rsidRPr="000013E2">
        <w:rPr>
          <w:snapToGrid w:val="0"/>
        </w:rPr>
        <w:tab/>
      </w:r>
      <w:r w:rsidRPr="000013E2">
        <w:rPr>
          <w:snapToGrid w:val="0"/>
          <w:u w:val="single"/>
        </w:rPr>
        <w:tab/>
      </w:r>
      <w:r w:rsidRPr="000013E2">
        <w:rPr>
          <w:snapToGrid w:val="0"/>
          <w:u w:val="single"/>
        </w:rPr>
        <w:tab/>
      </w:r>
      <w:r w:rsidRPr="000013E2">
        <w:rPr>
          <w:snapToGrid w:val="0"/>
          <w:u w:val="single"/>
        </w:rPr>
        <w:tab/>
      </w:r>
      <w:r w:rsidRPr="000013E2">
        <w:rPr>
          <w:snapToGrid w:val="0"/>
          <w:u w:val="single"/>
        </w:rPr>
        <w:tab/>
      </w:r>
      <w:r w:rsidRPr="000013E2">
        <w:rPr>
          <w:snapToGrid w:val="0"/>
          <w:u w:val="single"/>
        </w:rPr>
        <w:tab/>
      </w:r>
    </w:p>
    <w:p w14:paraId="20273842" w14:textId="77777777" w:rsidR="000013E2" w:rsidRPr="000013E2" w:rsidRDefault="000013E2" w:rsidP="000013E2">
      <w:pPr>
        <w:widowControl w:val="0"/>
        <w:contextualSpacing/>
        <w:jc w:val="both"/>
        <w:rPr>
          <w:bCs/>
          <w:snapToGrid w:val="0"/>
        </w:rPr>
      </w:pPr>
      <w:r w:rsidRPr="000013E2">
        <w:rPr>
          <w:bCs/>
          <w:snapToGrid w:val="0"/>
        </w:rPr>
        <w:t>Sallie Tanner</w:t>
      </w:r>
      <w:r w:rsidRPr="000013E2">
        <w:rPr>
          <w:bCs/>
          <w:snapToGrid w:val="0"/>
        </w:rPr>
        <w:tab/>
      </w:r>
      <w:r w:rsidRPr="000013E2">
        <w:rPr>
          <w:bCs/>
          <w:snapToGrid w:val="0"/>
        </w:rPr>
        <w:tab/>
      </w:r>
      <w:r w:rsidRPr="000013E2">
        <w:rPr>
          <w:bCs/>
          <w:snapToGrid w:val="0"/>
        </w:rPr>
        <w:tab/>
      </w:r>
      <w:r w:rsidRPr="000013E2">
        <w:rPr>
          <w:bCs/>
          <w:snapToGrid w:val="0"/>
        </w:rPr>
        <w:tab/>
      </w:r>
      <w:r w:rsidRPr="000013E2">
        <w:rPr>
          <w:bCs/>
          <w:snapToGrid w:val="0"/>
        </w:rPr>
        <w:tab/>
      </w:r>
      <w:r w:rsidRPr="000013E2">
        <w:rPr>
          <w:bCs/>
          <w:snapToGrid w:val="0"/>
        </w:rPr>
        <w:tab/>
      </w:r>
      <w:r w:rsidRPr="000013E2">
        <w:rPr>
          <w:bCs/>
          <w:snapToGrid w:val="0"/>
        </w:rPr>
        <w:tab/>
        <w:t>Jason Shaw</w:t>
      </w:r>
    </w:p>
    <w:p w14:paraId="1BA5FFB7" w14:textId="77777777" w:rsidR="000013E2" w:rsidRPr="000013E2" w:rsidRDefault="000013E2" w:rsidP="000013E2">
      <w:pPr>
        <w:widowControl w:val="0"/>
        <w:contextualSpacing/>
        <w:jc w:val="both"/>
        <w:rPr>
          <w:bCs/>
          <w:snapToGrid w:val="0"/>
        </w:rPr>
      </w:pPr>
      <w:r w:rsidRPr="000013E2">
        <w:rPr>
          <w:bCs/>
          <w:snapToGrid w:val="0"/>
        </w:rPr>
        <w:t>Executive Secretary</w:t>
      </w:r>
      <w:r w:rsidRPr="000013E2">
        <w:rPr>
          <w:bCs/>
          <w:snapToGrid w:val="0"/>
        </w:rPr>
        <w:tab/>
      </w:r>
      <w:r w:rsidRPr="000013E2">
        <w:rPr>
          <w:bCs/>
          <w:snapToGrid w:val="0"/>
        </w:rPr>
        <w:tab/>
      </w:r>
      <w:r w:rsidRPr="000013E2">
        <w:rPr>
          <w:bCs/>
          <w:snapToGrid w:val="0"/>
        </w:rPr>
        <w:tab/>
      </w:r>
      <w:r w:rsidRPr="000013E2">
        <w:rPr>
          <w:bCs/>
          <w:snapToGrid w:val="0"/>
        </w:rPr>
        <w:tab/>
      </w:r>
      <w:r w:rsidRPr="000013E2">
        <w:rPr>
          <w:bCs/>
          <w:snapToGrid w:val="0"/>
        </w:rPr>
        <w:tab/>
      </w:r>
      <w:r w:rsidRPr="000013E2">
        <w:rPr>
          <w:bCs/>
          <w:snapToGrid w:val="0"/>
        </w:rPr>
        <w:tab/>
        <w:t>Chairman</w:t>
      </w:r>
    </w:p>
    <w:p w14:paraId="4A4FCAC0" w14:textId="77777777" w:rsidR="000013E2" w:rsidRPr="000013E2" w:rsidRDefault="000013E2" w:rsidP="000013E2">
      <w:pPr>
        <w:widowControl w:val="0"/>
        <w:ind w:left="360"/>
        <w:contextualSpacing/>
        <w:jc w:val="both"/>
        <w:rPr>
          <w:snapToGrid w:val="0"/>
          <w:szCs w:val="20"/>
        </w:rPr>
      </w:pPr>
    </w:p>
    <w:p w14:paraId="7221F539" w14:textId="77777777" w:rsidR="000013E2" w:rsidRPr="000013E2" w:rsidRDefault="000013E2" w:rsidP="000013E2">
      <w:pPr>
        <w:widowControl w:val="0"/>
        <w:contextualSpacing/>
        <w:jc w:val="both"/>
        <w:rPr>
          <w:snapToGrid w:val="0"/>
          <w:u w:val="single"/>
        </w:rPr>
      </w:pPr>
    </w:p>
    <w:p w14:paraId="1BC984DE" w14:textId="77777777" w:rsidR="000013E2" w:rsidRPr="000013E2" w:rsidRDefault="000013E2" w:rsidP="000013E2">
      <w:pPr>
        <w:widowControl w:val="0"/>
        <w:contextualSpacing/>
        <w:jc w:val="both"/>
        <w:rPr>
          <w:snapToGrid w:val="0"/>
          <w:u w:val="single"/>
        </w:rPr>
      </w:pPr>
      <w:r w:rsidRPr="000013E2">
        <w:rPr>
          <w:snapToGrid w:val="0"/>
          <w:u w:val="single"/>
        </w:rPr>
        <w:tab/>
      </w:r>
      <w:r w:rsidRPr="000013E2">
        <w:rPr>
          <w:snapToGrid w:val="0"/>
          <w:u w:val="single"/>
        </w:rPr>
        <w:tab/>
      </w:r>
      <w:r w:rsidRPr="000013E2">
        <w:rPr>
          <w:snapToGrid w:val="0"/>
          <w:u w:val="single"/>
        </w:rPr>
        <w:tab/>
      </w:r>
      <w:r w:rsidRPr="000013E2">
        <w:rPr>
          <w:snapToGrid w:val="0"/>
          <w:u w:val="single"/>
        </w:rPr>
        <w:tab/>
      </w:r>
      <w:r w:rsidRPr="000013E2">
        <w:rPr>
          <w:snapToGrid w:val="0"/>
          <w:u w:val="single"/>
        </w:rPr>
        <w:tab/>
      </w:r>
      <w:r w:rsidRPr="000013E2">
        <w:rPr>
          <w:snapToGrid w:val="0"/>
        </w:rPr>
        <w:tab/>
      </w:r>
      <w:r w:rsidRPr="000013E2">
        <w:rPr>
          <w:snapToGrid w:val="0"/>
        </w:rPr>
        <w:tab/>
      </w:r>
      <w:r w:rsidRPr="000013E2">
        <w:rPr>
          <w:snapToGrid w:val="0"/>
        </w:rPr>
        <w:tab/>
      </w:r>
      <w:r w:rsidRPr="000013E2">
        <w:rPr>
          <w:snapToGrid w:val="0"/>
          <w:u w:val="single"/>
        </w:rPr>
        <w:tab/>
      </w:r>
      <w:r w:rsidRPr="000013E2">
        <w:rPr>
          <w:snapToGrid w:val="0"/>
          <w:u w:val="single"/>
        </w:rPr>
        <w:tab/>
      </w:r>
      <w:r w:rsidRPr="000013E2">
        <w:rPr>
          <w:snapToGrid w:val="0"/>
          <w:u w:val="single"/>
        </w:rPr>
        <w:tab/>
      </w:r>
      <w:r w:rsidRPr="000013E2">
        <w:rPr>
          <w:snapToGrid w:val="0"/>
          <w:u w:val="single"/>
        </w:rPr>
        <w:tab/>
      </w:r>
      <w:r w:rsidRPr="000013E2">
        <w:rPr>
          <w:snapToGrid w:val="0"/>
          <w:u w:val="single"/>
        </w:rPr>
        <w:tab/>
      </w:r>
    </w:p>
    <w:p w14:paraId="1CFB078D" w14:textId="77777777" w:rsidR="000013E2" w:rsidRPr="000013E2" w:rsidRDefault="000013E2" w:rsidP="000013E2">
      <w:pPr>
        <w:widowControl w:val="0"/>
        <w:contextualSpacing/>
        <w:jc w:val="both"/>
        <w:rPr>
          <w:snapToGrid w:val="0"/>
          <w:szCs w:val="20"/>
        </w:rPr>
      </w:pPr>
      <w:r w:rsidRPr="000013E2">
        <w:rPr>
          <w:bCs/>
          <w:snapToGrid w:val="0"/>
          <w:szCs w:val="20"/>
        </w:rPr>
        <w:t>Date</w:t>
      </w:r>
      <w:r w:rsidRPr="000013E2">
        <w:rPr>
          <w:snapToGrid w:val="0"/>
          <w:szCs w:val="20"/>
        </w:rPr>
        <w:tab/>
      </w:r>
      <w:r w:rsidRPr="000013E2">
        <w:rPr>
          <w:snapToGrid w:val="0"/>
          <w:szCs w:val="20"/>
        </w:rPr>
        <w:tab/>
      </w:r>
      <w:r w:rsidRPr="000013E2">
        <w:rPr>
          <w:snapToGrid w:val="0"/>
          <w:szCs w:val="20"/>
        </w:rPr>
        <w:tab/>
      </w:r>
      <w:r w:rsidRPr="000013E2">
        <w:rPr>
          <w:snapToGrid w:val="0"/>
          <w:szCs w:val="20"/>
        </w:rPr>
        <w:tab/>
      </w:r>
      <w:r w:rsidRPr="000013E2">
        <w:rPr>
          <w:snapToGrid w:val="0"/>
          <w:szCs w:val="20"/>
        </w:rPr>
        <w:tab/>
      </w:r>
      <w:r w:rsidRPr="000013E2">
        <w:rPr>
          <w:snapToGrid w:val="0"/>
          <w:szCs w:val="20"/>
        </w:rPr>
        <w:tab/>
      </w:r>
      <w:r w:rsidRPr="000013E2">
        <w:rPr>
          <w:snapToGrid w:val="0"/>
          <w:szCs w:val="20"/>
        </w:rPr>
        <w:tab/>
      </w:r>
      <w:r w:rsidRPr="000013E2">
        <w:rPr>
          <w:snapToGrid w:val="0"/>
          <w:szCs w:val="20"/>
        </w:rPr>
        <w:tab/>
      </w:r>
      <w:proofErr w:type="spellStart"/>
      <w:r w:rsidRPr="000013E2">
        <w:rPr>
          <w:bCs/>
          <w:snapToGrid w:val="0"/>
          <w:szCs w:val="20"/>
        </w:rPr>
        <w:t>Date</w:t>
      </w:r>
      <w:proofErr w:type="spellEnd"/>
    </w:p>
    <w:p w14:paraId="655D69F6" w14:textId="77777777" w:rsidR="000013E2" w:rsidRPr="000013E2" w:rsidRDefault="000013E2" w:rsidP="000013E2">
      <w:pPr>
        <w:spacing w:after="200"/>
        <w:contextualSpacing/>
        <w:jc w:val="both"/>
        <w:rPr>
          <w:snapToGrid w:val="0"/>
        </w:rPr>
      </w:pPr>
    </w:p>
    <w:p w14:paraId="4BB6F5FB" w14:textId="77777777" w:rsidR="000013E2" w:rsidRPr="000013E2" w:rsidRDefault="000013E2" w:rsidP="000013E2">
      <w:pPr>
        <w:spacing w:after="200"/>
        <w:contextualSpacing/>
        <w:jc w:val="both"/>
        <w:rPr>
          <w:snapToGrid w:val="0"/>
        </w:rPr>
      </w:pPr>
    </w:p>
    <w:p w14:paraId="45078270" w14:textId="77777777" w:rsidR="000013E2" w:rsidRPr="000013E2" w:rsidRDefault="000013E2" w:rsidP="000013E2">
      <w:pPr>
        <w:spacing w:after="200"/>
        <w:contextualSpacing/>
        <w:jc w:val="both"/>
        <w:rPr>
          <w:snapToGrid w:val="0"/>
        </w:rPr>
      </w:pPr>
    </w:p>
    <w:p w14:paraId="4C23DDE0" w14:textId="77777777" w:rsidR="000013E2" w:rsidRPr="000013E2" w:rsidRDefault="000013E2" w:rsidP="000013E2">
      <w:pPr>
        <w:spacing w:after="200"/>
        <w:contextualSpacing/>
        <w:jc w:val="both"/>
        <w:rPr>
          <w:snapToGrid w:val="0"/>
        </w:rPr>
      </w:pPr>
    </w:p>
    <w:p w14:paraId="1703B664" w14:textId="77777777" w:rsidR="000013E2" w:rsidRPr="000013E2" w:rsidRDefault="000013E2" w:rsidP="000013E2">
      <w:pPr>
        <w:spacing w:after="200"/>
        <w:contextualSpacing/>
        <w:jc w:val="both"/>
        <w:rPr>
          <w:snapToGrid w:val="0"/>
        </w:rPr>
      </w:pPr>
    </w:p>
    <w:p w14:paraId="4A5A2F24" w14:textId="77777777" w:rsidR="009E6D0D" w:rsidRDefault="009E6D0D" w:rsidP="009E6D0D">
      <w:pPr>
        <w:rPr>
          <w:rFonts w:ascii="Arial" w:hAnsi="Arial"/>
        </w:rPr>
      </w:pPr>
      <w:r>
        <w:rPr>
          <w:rFonts w:ascii="Arial" w:hAnsi="Arial"/>
        </w:rPr>
        <w:tab/>
      </w:r>
    </w:p>
    <w:p w14:paraId="39660166" w14:textId="77777777" w:rsidR="009E6D0D" w:rsidRPr="009E6D0D" w:rsidRDefault="009E6D0D" w:rsidP="009E6D0D"/>
    <w:sectPr w:rsidR="009E6D0D" w:rsidRPr="009E6D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83682" w14:textId="77777777" w:rsidR="00DF3C6A" w:rsidRDefault="00DF3C6A" w:rsidP="000013E2">
      <w:r>
        <w:separator/>
      </w:r>
    </w:p>
  </w:endnote>
  <w:endnote w:type="continuationSeparator" w:id="0">
    <w:p w14:paraId="5DB969B4" w14:textId="77777777" w:rsidR="00DF3C6A" w:rsidRDefault="00DF3C6A" w:rsidP="0000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4BECE" w14:textId="77777777" w:rsidR="000013E2" w:rsidRDefault="00001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764DA" w14:textId="77777777" w:rsidR="005A7632" w:rsidRDefault="005A7632" w:rsidP="005A7632">
    <w:pPr>
      <w:spacing w:after="200"/>
      <w:contextualSpacing/>
      <w:jc w:val="center"/>
      <w:rPr>
        <w:color w:val="4F81BD" w:themeColor="accent1"/>
        <w:sz w:val="20"/>
        <w:szCs w:val="20"/>
      </w:rPr>
    </w:pPr>
  </w:p>
  <w:p w14:paraId="5A46F9FD" w14:textId="17AD064D" w:rsidR="005A7632" w:rsidRPr="005A7632" w:rsidRDefault="000013E2" w:rsidP="005A7632">
    <w:pPr>
      <w:spacing w:after="200"/>
      <w:contextualSpacing/>
      <w:jc w:val="center"/>
      <w:rPr>
        <w:sz w:val="20"/>
        <w:szCs w:val="20"/>
      </w:rPr>
    </w:pPr>
    <w:r w:rsidRPr="005A7632">
      <w:rPr>
        <w:sz w:val="20"/>
        <w:szCs w:val="20"/>
      </w:rPr>
      <w:t>DN 41559 ECON – 1 Rider Final Order</w:t>
    </w:r>
    <w:r w:rsidR="005A7632" w:rsidRPr="005A7632">
      <w:rPr>
        <w:sz w:val="20"/>
        <w:szCs w:val="20"/>
      </w:rPr>
      <w:t xml:space="preserve"> Approving Atlanta Gas Light Company’s 2025 Annual Economic </w:t>
    </w:r>
  </w:p>
  <w:p w14:paraId="12BB6892" w14:textId="6ABC70F9" w:rsidR="000013E2" w:rsidRPr="005A7632" w:rsidRDefault="000013E2" w:rsidP="005A7632">
    <w:pPr>
      <w:spacing w:after="200"/>
      <w:contextualSpacing/>
      <w:jc w:val="center"/>
      <w:rPr>
        <w:color w:val="4F81BD" w:themeColor="accent1"/>
        <w:sz w:val="20"/>
        <w:szCs w:val="20"/>
      </w:rPr>
    </w:pPr>
    <w:r w:rsidRPr="005A7632">
      <w:rPr>
        <w:sz w:val="20"/>
        <w:szCs w:val="20"/>
      </w:rPr>
      <w:t xml:space="preserve">Page </w:t>
    </w:r>
    <w:r w:rsidRPr="005A7632">
      <w:rPr>
        <w:sz w:val="20"/>
        <w:szCs w:val="20"/>
      </w:rPr>
      <w:fldChar w:fldCharType="begin"/>
    </w:r>
    <w:r w:rsidRPr="005A7632">
      <w:rPr>
        <w:sz w:val="20"/>
        <w:szCs w:val="20"/>
      </w:rPr>
      <w:instrText xml:space="preserve"> PAGE  \* Arabic  \* MERGEFORMAT </w:instrText>
    </w:r>
    <w:r w:rsidRPr="005A7632">
      <w:rPr>
        <w:sz w:val="20"/>
        <w:szCs w:val="20"/>
      </w:rPr>
      <w:fldChar w:fldCharType="separate"/>
    </w:r>
    <w:r w:rsidRPr="005A7632">
      <w:rPr>
        <w:noProof/>
        <w:sz w:val="20"/>
        <w:szCs w:val="20"/>
      </w:rPr>
      <w:t>2</w:t>
    </w:r>
    <w:r w:rsidRPr="005A7632">
      <w:rPr>
        <w:sz w:val="20"/>
        <w:szCs w:val="20"/>
      </w:rPr>
      <w:fldChar w:fldCharType="end"/>
    </w:r>
    <w:r w:rsidRPr="005A7632">
      <w:rPr>
        <w:sz w:val="20"/>
        <w:szCs w:val="20"/>
      </w:rPr>
      <w:t xml:space="preserve"> of </w:t>
    </w:r>
    <w:r w:rsidRPr="005A7632">
      <w:rPr>
        <w:color w:val="4F81BD" w:themeColor="accent1"/>
        <w:sz w:val="20"/>
        <w:szCs w:val="20"/>
      </w:rPr>
      <w:fldChar w:fldCharType="begin"/>
    </w:r>
    <w:r w:rsidRPr="005A7632">
      <w:rPr>
        <w:color w:val="4F81BD" w:themeColor="accent1"/>
        <w:sz w:val="20"/>
        <w:szCs w:val="20"/>
      </w:rPr>
      <w:instrText xml:space="preserve"> NUMPAGES  \* Arabic  \* MERGEFORMAT </w:instrText>
    </w:r>
    <w:r w:rsidRPr="005A7632">
      <w:rPr>
        <w:color w:val="4F81BD" w:themeColor="accent1"/>
        <w:sz w:val="20"/>
        <w:szCs w:val="20"/>
      </w:rPr>
      <w:fldChar w:fldCharType="separate"/>
    </w:r>
    <w:r w:rsidRPr="005A7632">
      <w:rPr>
        <w:noProof/>
        <w:color w:val="4F81BD" w:themeColor="accent1"/>
        <w:sz w:val="20"/>
        <w:szCs w:val="20"/>
      </w:rPr>
      <w:t>2</w:t>
    </w:r>
    <w:r w:rsidRPr="005A7632">
      <w:rPr>
        <w:color w:val="4F81BD" w:themeColor="accent1"/>
        <w:sz w:val="20"/>
        <w:szCs w:val="20"/>
      </w:rPr>
      <w:fldChar w:fldCharType="end"/>
    </w:r>
  </w:p>
  <w:p w14:paraId="2EAF9B23" w14:textId="77777777" w:rsidR="000013E2" w:rsidRDefault="00001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52939" w14:textId="77777777" w:rsidR="000013E2" w:rsidRDefault="0000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846D4" w14:textId="77777777" w:rsidR="00DF3C6A" w:rsidRDefault="00DF3C6A" w:rsidP="000013E2">
      <w:r>
        <w:separator/>
      </w:r>
    </w:p>
  </w:footnote>
  <w:footnote w:type="continuationSeparator" w:id="0">
    <w:p w14:paraId="6FE2AF86" w14:textId="77777777" w:rsidR="00DF3C6A" w:rsidRDefault="00DF3C6A" w:rsidP="00001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DC26E" w14:textId="77777777" w:rsidR="000013E2" w:rsidRDefault="00001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60F4" w14:textId="77777777" w:rsidR="000013E2" w:rsidRDefault="00001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B5DDE" w14:textId="77777777" w:rsidR="000013E2" w:rsidRDefault="00001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D1AD3"/>
    <w:multiLevelType w:val="hybridMultilevel"/>
    <w:tmpl w:val="ACDABF0C"/>
    <w:lvl w:ilvl="0" w:tplc="DCC4E51C">
      <w:start w:val="1"/>
      <w:numFmt w:val="upperRoman"/>
      <w:lvlText w:val="%1."/>
      <w:lvlJc w:val="left"/>
      <w:pPr>
        <w:ind w:left="1080" w:hanging="72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2754C"/>
    <w:multiLevelType w:val="hybridMultilevel"/>
    <w:tmpl w:val="6602C6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8377376">
    <w:abstractNumId w:val="2"/>
  </w:num>
  <w:num w:numId="2" w16cid:durableId="584922113">
    <w:abstractNumId w:val="0"/>
  </w:num>
  <w:num w:numId="3" w16cid:durableId="1589735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013E2"/>
    <w:rsid w:val="000112CB"/>
    <w:rsid w:val="0005442F"/>
    <w:rsid w:val="0006325A"/>
    <w:rsid w:val="000C2F62"/>
    <w:rsid w:val="0010753E"/>
    <w:rsid w:val="001078BC"/>
    <w:rsid w:val="0011770D"/>
    <w:rsid w:val="001704C0"/>
    <w:rsid w:val="001C4F42"/>
    <w:rsid w:val="001D0747"/>
    <w:rsid w:val="001F00F3"/>
    <w:rsid w:val="00237B30"/>
    <w:rsid w:val="00291C03"/>
    <w:rsid w:val="002A3D95"/>
    <w:rsid w:val="002A61FE"/>
    <w:rsid w:val="002B5184"/>
    <w:rsid w:val="002C6DD1"/>
    <w:rsid w:val="003A0D04"/>
    <w:rsid w:val="003B1182"/>
    <w:rsid w:val="003F2763"/>
    <w:rsid w:val="00467B71"/>
    <w:rsid w:val="00476AA2"/>
    <w:rsid w:val="0048564B"/>
    <w:rsid w:val="00494A05"/>
    <w:rsid w:val="004C622C"/>
    <w:rsid w:val="004D75CE"/>
    <w:rsid w:val="004D7BC6"/>
    <w:rsid w:val="00521687"/>
    <w:rsid w:val="00521FEE"/>
    <w:rsid w:val="005529E4"/>
    <w:rsid w:val="005A7632"/>
    <w:rsid w:val="005F2927"/>
    <w:rsid w:val="005F7054"/>
    <w:rsid w:val="00611A1D"/>
    <w:rsid w:val="006465C2"/>
    <w:rsid w:val="00670AF6"/>
    <w:rsid w:val="00673564"/>
    <w:rsid w:val="006862E4"/>
    <w:rsid w:val="006952CD"/>
    <w:rsid w:val="006A4919"/>
    <w:rsid w:val="006A5FC2"/>
    <w:rsid w:val="006D6992"/>
    <w:rsid w:val="006E65D8"/>
    <w:rsid w:val="00761035"/>
    <w:rsid w:val="007B5931"/>
    <w:rsid w:val="007C40EE"/>
    <w:rsid w:val="007D1A4F"/>
    <w:rsid w:val="00810B63"/>
    <w:rsid w:val="00886BED"/>
    <w:rsid w:val="00897E9B"/>
    <w:rsid w:val="008F38EF"/>
    <w:rsid w:val="00936FA1"/>
    <w:rsid w:val="00945A5F"/>
    <w:rsid w:val="009572C5"/>
    <w:rsid w:val="00994AB6"/>
    <w:rsid w:val="009A4D99"/>
    <w:rsid w:val="009A6D98"/>
    <w:rsid w:val="009E6D0D"/>
    <w:rsid w:val="00A958CB"/>
    <w:rsid w:val="00AF7496"/>
    <w:rsid w:val="00B11BEB"/>
    <w:rsid w:val="00BA2A06"/>
    <w:rsid w:val="00BC27C0"/>
    <w:rsid w:val="00BD2F2B"/>
    <w:rsid w:val="00C36999"/>
    <w:rsid w:val="00D25FFF"/>
    <w:rsid w:val="00DC7E18"/>
    <w:rsid w:val="00DE40A2"/>
    <w:rsid w:val="00DF3C6A"/>
    <w:rsid w:val="00E112AD"/>
    <w:rsid w:val="00E664BF"/>
    <w:rsid w:val="00E87C44"/>
    <w:rsid w:val="00E92FA4"/>
    <w:rsid w:val="00F721DF"/>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013E2"/>
    <w:pPr>
      <w:tabs>
        <w:tab w:val="center" w:pos="4680"/>
        <w:tab w:val="right" w:pos="9360"/>
      </w:tabs>
    </w:pPr>
  </w:style>
  <w:style w:type="character" w:customStyle="1" w:styleId="HeaderChar">
    <w:name w:val="Header Char"/>
    <w:basedOn w:val="DefaultParagraphFont"/>
    <w:link w:val="Header"/>
    <w:uiPriority w:val="99"/>
    <w:rsid w:val="000013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13E2"/>
    <w:pPr>
      <w:tabs>
        <w:tab w:val="center" w:pos="4680"/>
        <w:tab w:val="right" w:pos="9360"/>
      </w:tabs>
    </w:pPr>
  </w:style>
  <w:style w:type="character" w:customStyle="1" w:styleId="FooterChar">
    <w:name w:val="Footer Char"/>
    <w:basedOn w:val="DefaultParagraphFont"/>
    <w:link w:val="Footer"/>
    <w:uiPriority w:val="99"/>
    <w:rsid w:val="000013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Diana Cain</cp:lastModifiedBy>
  <cp:revision>3</cp:revision>
  <cp:lastPrinted>2023-07-19T17:45:00Z</cp:lastPrinted>
  <dcterms:created xsi:type="dcterms:W3CDTF">2024-12-19T15:32:00Z</dcterms:created>
  <dcterms:modified xsi:type="dcterms:W3CDTF">2024-12-19T15:49:00Z</dcterms:modified>
</cp:coreProperties>
</file>