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D4585" w14:textId="581F0C62" w:rsidR="003C72CC" w:rsidRDefault="0092493B" w:rsidP="003C72CC">
      <w:pPr>
        <w:spacing w:line="254" w:lineRule="auto"/>
        <w:jc w:val="center"/>
        <w:rPr>
          <w:b/>
          <w:bCs/>
        </w:rPr>
      </w:pPr>
      <w:r>
        <w:rPr>
          <w:b/>
          <w:bCs/>
        </w:rPr>
        <w:t>B</w:t>
      </w:r>
      <w:r w:rsidR="003C72CC" w:rsidRPr="422241C6">
        <w:rPr>
          <w:b/>
          <w:bCs/>
        </w:rPr>
        <w:t xml:space="preserve">EFORE THE </w:t>
      </w:r>
    </w:p>
    <w:p w14:paraId="3EF0E4B2" w14:textId="77777777" w:rsidR="003C72CC" w:rsidRDefault="003C72CC" w:rsidP="003C72CC">
      <w:pPr>
        <w:spacing w:line="254" w:lineRule="auto"/>
        <w:jc w:val="center"/>
        <w:rPr>
          <w:b/>
          <w:bCs/>
        </w:rPr>
      </w:pPr>
      <w:r w:rsidRPr="422241C6">
        <w:rPr>
          <w:b/>
          <w:bCs/>
        </w:rPr>
        <w:t>GEORGIA PUBLIC SERVICE COMMISSION</w:t>
      </w:r>
    </w:p>
    <w:p w14:paraId="3A82514A" w14:textId="77777777" w:rsidR="003C72CC" w:rsidRDefault="003C72CC" w:rsidP="003C72CC">
      <w:pPr>
        <w:spacing w:line="360" w:lineRule="auto"/>
        <w:rPr>
          <w:b/>
          <w:bCs/>
        </w:rPr>
      </w:pPr>
      <w:r w:rsidRPr="422241C6">
        <w:rPr>
          <w:b/>
          <w:bCs/>
        </w:rPr>
        <w:t>In Re:</w:t>
      </w:r>
    </w:p>
    <w:p w14:paraId="100F0A9F" w14:textId="77777777" w:rsidR="002A45C1" w:rsidRDefault="002A45C1" w:rsidP="002A45C1">
      <w:pPr>
        <w:spacing w:line="254" w:lineRule="auto"/>
        <w:rPr>
          <w:b/>
          <w:bCs/>
        </w:rPr>
      </w:pPr>
    </w:p>
    <w:p w14:paraId="5DB3BF2C" w14:textId="77777777" w:rsidR="00E806C3" w:rsidRPr="009C28CC" w:rsidRDefault="00E806C3" w:rsidP="00E806C3">
      <w:pPr>
        <w:spacing w:line="254" w:lineRule="auto"/>
        <w:rPr>
          <w:b/>
          <w:bCs/>
          <w:caps/>
        </w:rPr>
      </w:pPr>
      <w:r w:rsidRPr="009C28CC">
        <w:rPr>
          <w:b/>
          <w:bCs/>
          <w:caps/>
        </w:rPr>
        <w:t>Georgia Power Company’s Application</w:t>
      </w:r>
      <w:r w:rsidRPr="009C28CC">
        <w:rPr>
          <w:b/>
          <w:bCs/>
          <w:caps/>
        </w:rPr>
        <w:tab/>
        <w:t xml:space="preserve">) </w:t>
      </w:r>
      <w:r w:rsidRPr="009C28CC">
        <w:rPr>
          <w:b/>
          <w:bCs/>
          <w:caps/>
        </w:rPr>
        <w:tab/>
      </w:r>
    </w:p>
    <w:p w14:paraId="53B9DBF1" w14:textId="77777777" w:rsidR="00E806C3" w:rsidRPr="009C28CC" w:rsidRDefault="00E806C3" w:rsidP="00E806C3">
      <w:pPr>
        <w:spacing w:line="254" w:lineRule="auto"/>
        <w:rPr>
          <w:b/>
          <w:bCs/>
          <w:caps/>
        </w:rPr>
      </w:pPr>
      <w:r w:rsidRPr="009C28CC">
        <w:rPr>
          <w:b/>
          <w:bCs/>
          <w:caps/>
        </w:rPr>
        <w:t xml:space="preserve">for Certification of the </w:t>
      </w:r>
      <w:r>
        <w:rPr>
          <w:b/>
          <w:bCs/>
          <w:caps/>
        </w:rPr>
        <w:t>robins, moody,</w:t>
      </w:r>
      <w:r>
        <w:rPr>
          <w:b/>
          <w:bCs/>
          <w:caps/>
        </w:rPr>
        <w:tab/>
      </w:r>
      <w:r w:rsidRPr="009C28CC">
        <w:rPr>
          <w:b/>
          <w:bCs/>
          <w:caps/>
        </w:rPr>
        <w:t>)</w:t>
      </w:r>
      <w:r w:rsidRPr="009C28CC">
        <w:rPr>
          <w:b/>
          <w:bCs/>
          <w:caps/>
        </w:rPr>
        <w:tab/>
        <w:t xml:space="preserve">Docket No. </w:t>
      </w:r>
      <w:r>
        <w:rPr>
          <w:b/>
          <w:bCs/>
          <w:caps/>
        </w:rPr>
        <w:t>55378</w:t>
      </w:r>
    </w:p>
    <w:p w14:paraId="1C379F0B" w14:textId="77777777" w:rsidR="00E806C3" w:rsidRDefault="00E806C3" w:rsidP="00E806C3">
      <w:pPr>
        <w:spacing w:line="254" w:lineRule="auto"/>
        <w:rPr>
          <w:b/>
          <w:bCs/>
          <w:caps/>
        </w:rPr>
      </w:pPr>
      <w:r>
        <w:rPr>
          <w:b/>
          <w:bCs/>
          <w:caps/>
        </w:rPr>
        <w:t>hammond, and mcgrau ford phase I and</w:t>
      </w:r>
      <w:r>
        <w:rPr>
          <w:b/>
          <w:bCs/>
          <w:caps/>
        </w:rPr>
        <w:tab/>
        <w:t>)</w:t>
      </w:r>
    </w:p>
    <w:p w14:paraId="1CDD3174" w14:textId="77777777" w:rsidR="00E806C3" w:rsidRDefault="00E806C3" w:rsidP="00E806C3">
      <w:pPr>
        <w:spacing w:line="254" w:lineRule="auto"/>
        <w:rPr>
          <w:b/>
          <w:bCs/>
        </w:rPr>
      </w:pPr>
      <w:r>
        <w:rPr>
          <w:b/>
          <w:bCs/>
          <w:caps/>
        </w:rPr>
        <w:t>II battery energy storage systems</w:t>
      </w:r>
      <w:r w:rsidRPr="009C28CC">
        <w:rPr>
          <w:b/>
          <w:bCs/>
          <w:caps/>
        </w:rPr>
        <w:t xml:space="preserve"> </w:t>
      </w:r>
      <w:r w:rsidRPr="009C28CC">
        <w:rPr>
          <w:b/>
          <w:bCs/>
          <w:caps/>
        </w:rPr>
        <w:tab/>
      </w:r>
      <w:r>
        <w:rPr>
          <w:b/>
          <w:bCs/>
          <w:caps/>
        </w:rPr>
        <w:tab/>
      </w:r>
      <w:r w:rsidRPr="009C28CC">
        <w:rPr>
          <w:b/>
          <w:bCs/>
          <w:caps/>
        </w:rPr>
        <w:t>)</w:t>
      </w:r>
    </w:p>
    <w:p w14:paraId="17F2CDA1" w14:textId="77777777" w:rsidR="002A45C1" w:rsidRDefault="002A45C1" w:rsidP="009C28CC">
      <w:pPr>
        <w:spacing w:line="254" w:lineRule="auto"/>
        <w:rPr>
          <w:b/>
          <w:bCs/>
          <w:caps/>
        </w:rPr>
      </w:pPr>
    </w:p>
    <w:p w14:paraId="60163F2E" w14:textId="5DBC1D1A" w:rsidR="003C72CC" w:rsidRDefault="003C72CC" w:rsidP="003C72CC">
      <w:pPr>
        <w:spacing w:line="254" w:lineRule="auto"/>
        <w:jc w:val="center"/>
        <w:rPr>
          <w:b/>
          <w:bCs/>
        </w:rPr>
      </w:pPr>
    </w:p>
    <w:p w14:paraId="50829EA1" w14:textId="77777777" w:rsidR="003C72CC" w:rsidRDefault="003C72CC" w:rsidP="003C72CC">
      <w:pPr>
        <w:spacing w:line="254" w:lineRule="auto"/>
        <w:jc w:val="center"/>
        <w:rPr>
          <w:b/>
          <w:bCs/>
        </w:rPr>
      </w:pPr>
    </w:p>
    <w:p w14:paraId="49D24092" w14:textId="77777777" w:rsidR="00294D4C" w:rsidRDefault="00294D4C" w:rsidP="003C72CC">
      <w:pPr>
        <w:spacing w:line="254" w:lineRule="auto"/>
        <w:jc w:val="center"/>
        <w:rPr>
          <w:b/>
          <w:bCs/>
        </w:rPr>
      </w:pPr>
    </w:p>
    <w:p w14:paraId="0DCABAC4" w14:textId="77777777" w:rsidR="00294D4C" w:rsidRDefault="00294D4C" w:rsidP="003C72CC">
      <w:pPr>
        <w:spacing w:line="254" w:lineRule="auto"/>
        <w:jc w:val="center"/>
        <w:rPr>
          <w:b/>
          <w:bCs/>
        </w:rPr>
      </w:pPr>
    </w:p>
    <w:p w14:paraId="3E0C54F0" w14:textId="77777777" w:rsidR="003C72CC" w:rsidRDefault="003C72CC" w:rsidP="003C72CC">
      <w:pPr>
        <w:spacing w:line="254" w:lineRule="auto"/>
        <w:jc w:val="center"/>
        <w:rPr>
          <w:b/>
          <w:bCs/>
        </w:rPr>
      </w:pPr>
      <w:r w:rsidRPr="422241C6">
        <w:rPr>
          <w:b/>
          <w:bCs/>
        </w:rPr>
        <w:t xml:space="preserve"> </w:t>
      </w:r>
    </w:p>
    <w:tbl>
      <w:tblPr>
        <w:tblW w:w="0" w:type="auto"/>
        <w:tblLayout w:type="fixed"/>
        <w:tblLook w:val="06A0" w:firstRow="1" w:lastRow="0" w:firstColumn="1" w:lastColumn="0" w:noHBand="1" w:noVBand="1"/>
      </w:tblPr>
      <w:tblGrid>
        <w:gridCol w:w="2879"/>
        <w:gridCol w:w="3602"/>
        <w:gridCol w:w="2879"/>
      </w:tblGrid>
      <w:tr w:rsidR="003C72CC" w14:paraId="6833BF0F" w14:textId="77777777" w:rsidTr="00E62A30">
        <w:trPr>
          <w:trHeight w:val="300"/>
        </w:trPr>
        <w:tc>
          <w:tcPr>
            <w:tcW w:w="2879" w:type="dxa"/>
            <w:tcBorders>
              <w:top w:val="nil"/>
              <w:left w:val="nil"/>
              <w:bottom w:val="nil"/>
              <w:right w:val="double" w:sz="4" w:space="0" w:color="auto"/>
            </w:tcBorders>
            <w:tcMar>
              <w:left w:w="108" w:type="dxa"/>
              <w:right w:w="108" w:type="dxa"/>
            </w:tcMar>
          </w:tcPr>
          <w:p w14:paraId="7A235BD7" w14:textId="77777777" w:rsidR="003C72CC" w:rsidRDefault="003C72CC" w:rsidP="00E62A30">
            <w:pPr>
              <w:spacing w:line="254" w:lineRule="auto"/>
              <w:jc w:val="center"/>
              <w:rPr>
                <w:b/>
                <w:bCs/>
              </w:rPr>
            </w:pPr>
            <w:r w:rsidRPr="422241C6">
              <w:rPr>
                <w:b/>
                <w:bCs/>
              </w:rPr>
              <w:t xml:space="preserve"> </w:t>
            </w:r>
          </w:p>
        </w:tc>
        <w:tc>
          <w:tcPr>
            <w:tcW w:w="3602" w:type="dxa"/>
            <w:tcBorders>
              <w:top w:val="double" w:sz="4" w:space="0" w:color="auto"/>
              <w:left w:val="double" w:sz="4" w:space="0" w:color="auto"/>
              <w:bottom w:val="nil"/>
              <w:right w:val="double" w:sz="4" w:space="0" w:color="auto"/>
            </w:tcBorders>
            <w:tcMar>
              <w:left w:w="108" w:type="dxa"/>
              <w:right w:w="108" w:type="dxa"/>
            </w:tcMar>
          </w:tcPr>
          <w:p w14:paraId="39875372" w14:textId="77777777" w:rsidR="003C72CC" w:rsidRDefault="003C72CC" w:rsidP="00E62A30">
            <w:pPr>
              <w:spacing w:line="254" w:lineRule="auto"/>
              <w:jc w:val="center"/>
              <w:rPr>
                <w:b/>
                <w:bCs/>
              </w:rPr>
            </w:pPr>
            <w:r w:rsidRPr="422241C6">
              <w:rPr>
                <w:b/>
                <w:bCs/>
              </w:rPr>
              <w:t xml:space="preserve"> </w:t>
            </w:r>
          </w:p>
        </w:tc>
        <w:tc>
          <w:tcPr>
            <w:tcW w:w="2879" w:type="dxa"/>
            <w:tcBorders>
              <w:top w:val="nil"/>
              <w:left w:val="double" w:sz="4" w:space="0" w:color="auto"/>
              <w:bottom w:val="nil"/>
              <w:right w:val="nil"/>
            </w:tcBorders>
            <w:tcMar>
              <w:left w:w="108" w:type="dxa"/>
              <w:right w:w="108" w:type="dxa"/>
            </w:tcMar>
          </w:tcPr>
          <w:p w14:paraId="17991E7F" w14:textId="77777777" w:rsidR="003C72CC" w:rsidRDefault="003C72CC" w:rsidP="00E62A30">
            <w:pPr>
              <w:spacing w:line="254" w:lineRule="auto"/>
              <w:jc w:val="center"/>
              <w:rPr>
                <w:b/>
                <w:bCs/>
              </w:rPr>
            </w:pPr>
            <w:r w:rsidRPr="422241C6">
              <w:rPr>
                <w:b/>
                <w:bCs/>
              </w:rPr>
              <w:t xml:space="preserve"> </w:t>
            </w:r>
          </w:p>
        </w:tc>
      </w:tr>
      <w:tr w:rsidR="003C72CC" w14:paraId="5F8C0AE3" w14:textId="77777777" w:rsidTr="00E62A30">
        <w:trPr>
          <w:trHeight w:val="300"/>
        </w:trPr>
        <w:tc>
          <w:tcPr>
            <w:tcW w:w="2879" w:type="dxa"/>
            <w:tcBorders>
              <w:top w:val="nil"/>
              <w:left w:val="nil"/>
              <w:bottom w:val="nil"/>
              <w:right w:val="double" w:sz="4" w:space="0" w:color="auto"/>
            </w:tcBorders>
            <w:tcMar>
              <w:left w:w="108" w:type="dxa"/>
              <w:right w:w="108" w:type="dxa"/>
            </w:tcMar>
          </w:tcPr>
          <w:p w14:paraId="243582E2" w14:textId="77777777" w:rsidR="003C72CC" w:rsidRDefault="003C72CC" w:rsidP="00E62A30">
            <w:pPr>
              <w:spacing w:line="254" w:lineRule="auto"/>
              <w:jc w:val="center"/>
              <w:rPr>
                <w:b/>
                <w:bCs/>
              </w:rPr>
            </w:pPr>
            <w:r w:rsidRPr="422241C6">
              <w:rPr>
                <w:b/>
                <w:bCs/>
              </w:rPr>
              <w:t xml:space="preserve"> </w:t>
            </w:r>
          </w:p>
        </w:tc>
        <w:tc>
          <w:tcPr>
            <w:tcW w:w="3602" w:type="dxa"/>
            <w:tcBorders>
              <w:top w:val="nil"/>
              <w:left w:val="double" w:sz="4" w:space="0" w:color="auto"/>
              <w:bottom w:val="nil"/>
              <w:right w:val="double" w:sz="4" w:space="0" w:color="auto"/>
            </w:tcBorders>
            <w:tcMar>
              <w:left w:w="108" w:type="dxa"/>
              <w:right w:w="108" w:type="dxa"/>
            </w:tcMar>
          </w:tcPr>
          <w:p w14:paraId="542423CB" w14:textId="77777777" w:rsidR="003C72CC" w:rsidRDefault="003C72CC" w:rsidP="00E62A30">
            <w:pPr>
              <w:spacing w:line="254" w:lineRule="auto"/>
              <w:jc w:val="center"/>
              <w:rPr>
                <w:b/>
                <w:bCs/>
              </w:rPr>
            </w:pPr>
            <w:r w:rsidRPr="422241C6">
              <w:rPr>
                <w:b/>
                <w:bCs/>
              </w:rPr>
              <w:t>DIRECT TESTIMONY</w:t>
            </w:r>
          </w:p>
          <w:p w14:paraId="33336CD1" w14:textId="77777777" w:rsidR="008E1B02" w:rsidRDefault="008E1B02" w:rsidP="00E62A30">
            <w:pPr>
              <w:spacing w:line="254" w:lineRule="auto"/>
              <w:jc w:val="center"/>
              <w:rPr>
                <w:b/>
                <w:bCs/>
              </w:rPr>
            </w:pPr>
          </w:p>
          <w:p w14:paraId="7759EE60" w14:textId="67503A4A" w:rsidR="008E1B02" w:rsidRDefault="008E1B02" w:rsidP="00E62A30">
            <w:pPr>
              <w:spacing w:line="254" w:lineRule="auto"/>
              <w:jc w:val="center"/>
              <w:rPr>
                <w:b/>
                <w:bCs/>
              </w:rPr>
            </w:pPr>
            <w:r>
              <w:rPr>
                <w:b/>
                <w:bCs/>
              </w:rPr>
              <w:t>AND EXHIBITS</w:t>
            </w:r>
          </w:p>
          <w:p w14:paraId="33EAE92D" w14:textId="77777777" w:rsidR="00D6414E" w:rsidRDefault="00D6414E" w:rsidP="00E62A30">
            <w:pPr>
              <w:spacing w:line="254" w:lineRule="auto"/>
              <w:jc w:val="center"/>
              <w:rPr>
                <w:b/>
                <w:bCs/>
              </w:rPr>
            </w:pPr>
          </w:p>
        </w:tc>
        <w:tc>
          <w:tcPr>
            <w:tcW w:w="2879" w:type="dxa"/>
            <w:tcBorders>
              <w:top w:val="nil"/>
              <w:left w:val="double" w:sz="4" w:space="0" w:color="auto"/>
              <w:bottom w:val="nil"/>
              <w:right w:val="nil"/>
            </w:tcBorders>
            <w:tcMar>
              <w:left w:w="108" w:type="dxa"/>
              <w:right w:w="108" w:type="dxa"/>
            </w:tcMar>
          </w:tcPr>
          <w:p w14:paraId="56002B5A" w14:textId="77777777" w:rsidR="003C72CC" w:rsidRDefault="003C72CC" w:rsidP="00E62A30">
            <w:pPr>
              <w:spacing w:line="254" w:lineRule="auto"/>
              <w:jc w:val="center"/>
              <w:rPr>
                <w:b/>
                <w:bCs/>
              </w:rPr>
            </w:pPr>
            <w:r w:rsidRPr="422241C6">
              <w:rPr>
                <w:b/>
                <w:bCs/>
              </w:rPr>
              <w:t xml:space="preserve"> </w:t>
            </w:r>
          </w:p>
        </w:tc>
      </w:tr>
      <w:tr w:rsidR="003C72CC" w14:paraId="2011A6B6" w14:textId="77777777" w:rsidTr="00E62A30">
        <w:trPr>
          <w:trHeight w:val="300"/>
        </w:trPr>
        <w:tc>
          <w:tcPr>
            <w:tcW w:w="2879" w:type="dxa"/>
            <w:tcBorders>
              <w:top w:val="nil"/>
              <w:left w:val="nil"/>
              <w:bottom w:val="nil"/>
              <w:right w:val="double" w:sz="4" w:space="0" w:color="auto"/>
            </w:tcBorders>
            <w:tcMar>
              <w:left w:w="108" w:type="dxa"/>
              <w:right w:w="108" w:type="dxa"/>
            </w:tcMar>
          </w:tcPr>
          <w:p w14:paraId="1A8A9596" w14:textId="77777777" w:rsidR="003C72CC" w:rsidRDefault="003C72CC" w:rsidP="00E62A30">
            <w:pPr>
              <w:spacing w:line="254" w:lineRule="auto"/>
              <w:jc w:val="center"/>
              <w:rPr>
                <w:b/>
                <w:bCs/>
              </w:rPr>
            </w:pPr>
            <w:r w:rsidRPr="422241C6">
              <w:rPr>
                <w:b/>
                <w:bCs/>
              </w:rPr>
              <w:t xml:space="preserve"> </w:t>
            </w:r>
          </w:p>
        </w:tc>
        <w:tc>
          <w:tcPr>
            <w:tcW w:w="3602" w:type="dxa"/>
            <w:tcBorders>
              <w:top w:val="nil"/>
              <w:left w:val="double" w:sz="4" w:space="0" w:color="auto"/>
              <w:bottom w:val="nil"/>
              <w:right w:val="double" w:sz="4" w:space="0" w:color="auto"/>
            </w:tcBorders>
            <w:tcMar>
              <w:left w:w="108" w:type="dxa"/>
              <w:right w:w="108" w:type="dxa"/>
            </w:tcMar>
          </w:tcPr>
          <w:p w14:paraId="41B75382" w14:textId="77777777" w:rsidR="003C72CC" w:rsidRDefault="003C72CC" w:rsidP="00E62A30">
            <w:pPr>
              <w:spacing w:line="254" w:lineRule="auto"/>
              <w:jc w:val="center"/>
              <w:rPr>
                <w:b/>
                <w:bCs/>
              </w:rPr>
            </w:pPr>
            <w:r w:rsidRPr="422241C6">
              <w:rPr>
                <w:b/>
                <w:bCs/>
              </w:rPr>
              <w:t>OF</w:t>
            </w:r>
          </w:p>
          <w:p w14:paraId="51995D47" w14:textId="77777777" w:rsidR="00D6414E" w:rsidRDefault="00D6414E" w:rsidP="00E62A30">
            <w:pPr>
              <w:spacing w:line="254" w:lineRule="auto"/>
              <w:jc w:val="center"/>
              <w:rPr>
                <w:b/>
                <w:bCs/>
              </w:rPr>
            </w:pPr>
          </w:p>
        </w:tc>
        <w:tc>
          <w:tcPr>
            <w:tcW w:w="2879" w:type="dxa"/>
            <w:tcBorders>
              <w:top w:val="nil"/>
              <w:left w:val="double" w:sz="4" w:space="0" w:color="auto"/>
              <w:bottom w:val="nil"/>
              <w:right w:val="nil"/>
            </w:tcBorders>
            <w:tcMar>
              <w:left w:w="108" w:type="dxa"/>
              <w:right w:w="108" w:type="dxa"/>
            </w:tcMar>
          </w:tcPr>
          <w:p w14:paraId="039C5912" w14:textId="77777777" w:rsidR="003C72CC" w:rsidRDefault="003C72CC" w:rsidP="00E62A30">
            <w:pPr>
              <w:spacing w:line="254" w:lineRule="auto"/>
              <w:jc w:val="center"/>
              <w:rPr>
                <w:b/>
                <w:bCs/>
              </w:rPr>
            </w:pPr>
            <w:r w:rsidRPr="422241C6">
              <w:rPr>
                <w:b/>
                <w:bCs/>
              </w:rPr>
              <w:t xml:space="preserve"> </w:t>
            </w:r>
          </w:p>
        </w:tc>
      </w:tr>
      <w:tr w:rsidR="003C72CC" w14:paraId="2F489C0B" w14:textId="77777777" w:rsidTr="00E62A30">
        <w:trPr>
          <w:trHeight w:val="300"/>
        </w:trPr>
        <w:tc>
          <w:tcPr>
            <w:tcW w:w="2879" w:type="dxa"/>
            <w:tcBorders>
              <w:top w:val="nil"/>
              <w:left w:val="nil"/>
              <w:bottom w:val="nil"/>
              <w:right w:val="double" w:sz="4" w:space="0" w:color="auto"/>
            </w:tcBorders>
            <w:tcMar>
              <w:left w:w="108" w:type="dxa"/>
              <w:right w:w="108" w:type="dxa"/>
            </w:tcMar>
          </w:tcPr>
          <w:p w14:paraId="60355D2C" w14:textId="77777777" w:rsidR="003C72CC" w:rsidRDefault="003C72CC" w:rsidP="00E62A30">
            <w:pPr>
              <w:spacing w:line="254" w:lineRule="auto"/>
              <w:jc w:val="center"/>
              <w:rPr>
                <w:b/>
                <w:bCs/>
              </w:rPr>
            </w:pPr>
            <w:r w:rsidRPr="422241C6">
              <w:rPr>
                <w:b/>
                <w:bCs/>
              </w:rPr>
              <w:t xml:space="preserve"> </w:t>
            </w:r>
          </w:p>
        </w:tc>
        <w:tc>
          <w:tcPr>
            <w:tcW w:w="3602" w:type="dxa"/>
            <w:tcBorders>
              <w:top w:val="nil"/>
              <w:left w:val="double" w:sz="4" w:space="0" w:color="auto"/>
              <w:bottom w:val="nil"/>
              <w:right w:val="double" w:sz="4" w:space="0" w:color="auto"/>
            </w:tcBorders>
            <w:tcMar>
              <w:left w:w="108" w:type="dxa"/>
              <w:right w:w="108" w:type="dxa"/>
            </w:tcMar>
          </w:tcPr>
          <w:p w14:paraId="44AF9EE8" w14:textId="77777777" w:rsidR="00ED3B9F" w:rsidRDefault="00EE4FD3" w:rsidP="00872E13">
            <w:pPr>
              <w:spacing w:line="480" w:lineRule="auto"/>
              <w:jc w:val="center"/>
              <w:rPr>
                <w:b/>
                <w:bCs/>
              </w:rPr>
            </w:pPr>
            <w:r>
              <w:rPr>
                <w:b/>
                <w:bCs/>
              </w:rPr>
              <w:t>BOBBY ISELEY</w:t>
            </w:r>
          </w:p>
          <w:p w14:paraId="54B5228A" w14:textId="77777777" w:rsidR="00EE4FD3" w:rsidRDefault="00EE4FD3" w:rsidP="00872E13">
            <w:pPr>
              <w:spacing w:line="480" w:lineRule="auto"/>
              <w:jc w:val="center"/>
              <w:rPr>
                <w:b/>
                <w:bCs/>
              </w:rPr>
            </w:pPr>
            <w:r>
              <w:rPr>
                <w:b/>
                <w:bCs/>
              </w:rPr>
              <w:t>AND</w:t>
            </w:r>
          </w:p>
          <w:p w14:paraId="7A443EA4" w14:textId="3A4899B4" w:rsidR="00EE4FD3" w:rsidRDefault="00EE4FD3" w:rsidP="00872E13">
            <w:pPr>
              <w:spacing w:line="480" w:lineRule="auto"/>
              <w:jc w:val="center"/>
              <w:rPr>
                <w:b/>
                <w:bCs/>
              </w:rPr>
            </w:pPr>
            <w:r>
              <w:rPr>
                <w:b/>
                <w:bCs/>
              </w:rPr>
              <w:t>JEFF</w:t>
            </w:r>
            <w:r w:rsidR="00801D26">
              <w:rPr>
                <w:b/>
                <w:bCs/>
              </w:rPr>
              <w:t>REY D.</w:t>
            </w:r>
            <w:r>
              <w:rPr>
                <w:b/>
                <w:bCs/>
              </w:rPr>
              <w:t xml:space="preserve"> BOWER</w:t>
            </w:r>
          </w:p>
        </w:tc>
        <w:tc>
          <w:tcPr>
            <w:tcW w:w="2879" w:type="dxa"/>
            <w:tcBorders>
              <w:top w:val="nil"/>
              <w:left w:val="double" w:sz="4" w:space="0" w:color="auto"/>
              <w:bottom w:val="nil"/>
              <w:right w:val="nil"/>
            </w:tcBorders>
            <w:tcMar>
              <w:left w:w="108" w:type="dxa"/>
              <w:right w:w="108" w:type="dxa"/>
            </w:tcMar>
          </w:tcPr>
          <w:p w14:paraId="27241BBB" w14:textId="77777777" w:rsidR="003C72CC" w:rsidRDefault="003C72CC" w:rsidP="00E62A30">
            <w:pPr>
              <w:spacing w:line="254" w:lineRule="auto"/>
              <w:jc w:val="center"/>
              <w:rPr>
                <w:b/>
                <w:bCs/>
              </w:rPr>
            </w:pPr>
            <w:r w:rsidRPr="422241C6">
              <w:rPr>
                <w:b/>
                <w:bCs/>
              </w:rPr>
              <w:t xml:space="preserve"> </w:t>
            </w:r>
          </w:p>
        </w:tc>
      </w:tr>
      <w:tr w:rsidR="003C72CC" w14:paraId="4BAA5619" w14:textId="77777777" w:rsidTr="00E62A30">
        <w:trPr>
          <w:trHeight w:val="300"/>
        </w:trPr>
        <w:tc>
          <w:tcPr>
            <w:tcW w:w="2879" w:type="dxa"/>
            <w:tcBorders>
              <w:top w:val="nil"/>
              <w:left w:val="nil"/>
              <w:bottom w:val="nil"/>
              <w:right w:val="double" w:sz="4" w:space="0" w:color="auto"/>
            </w:tcBorders>
            <w:tcMar>
              <w:left w:w="108" w:type="dxa"/>
              <w:right w:w="108" w:type="dxa"/>
            </w:tcMar>
          </w:tcPr>
          <w:p w14:paraId="0F9713F0" w14:textId="77777777" w:rsidR="003C72CC" w:rsidRDefault="003C72CC" w:rsidP="00E62A30">
            <w:pPr>
              <w:spacing w:line="254" w:lineRule="auto"/>
              <w:jc w:val="center"/>
              <w:rPr>
                <w:b/>
                <w:bCs/>
              </w:rPr>
            </w:pPr>
            <w:r w:rsidRPr="422241C6">
              <w:rPr>
                <w:b/>
                <w:bCs/>
              </w:rPr>
              <w:t xml:space="preserve"> </w:t>
            </w:r>
          </w:p>
        </w:tc>
        <w:tc>
          <w:tcPr>
            <w:tcW w:w="3602" w:type="dxa"/>
            <w:tcBorders>
              <w:top w:val="nil"/>
              <w:left w:val="double" w:sz="4" w:space="0" w:color="auto"/>
              <w:bottom w:val="double" w:sz="4" w:space="0" w:color="auto"/>
              <w:right w:val="double" w:sz="4" w:space="0" w:color="auto"/>
            </w:tcBorders>
            <w:tcMar>
              <w:left w:w="108" w:type="dxa"/>
              <w:right w:w="108" w:type="dxa"/>
            </w:tcMar>
          </w:tcPr>
          <w:p w14:paraId="31E48BAC" w14:textId="77777777" w:rsidR="003C72CC" w:rsidRDefault="003C72CC" w:rsidP="00E62A30">
            <w:pPr>
              <w:spacing w:line="254" w:lineRule="auto"/>
              <w:jc w:val="center"/>
              <w:rPr>
                <w:b/>
                <w:bCs/>
              </w:rPr>
            </w:pPr>
            <w:r w:rsidRPr="422241C6">
              <w:rPr>
                <w:b/>
                <w:bCs/>
              </w:rPr>
              <w:t xml:space="preserve"> </w:t>
            </w:r>
          </w:p>
        </w:tc>
        <w:tc>
          <w:tcPr>
            <w:tcW w:w="2879" w:type="dxa"/>
            <w:tcBorders>
              <w:top w:val="nil"/>
              <w:left w:val="double" w:sz="4" w:space="0" w:color="auto"/>
              <w:bottom w:val="nil"/>
              <w:right w:val="nil"/>
            </w:tcBorders>
            <w:tcMar>
              <w:left w:w="108" w:type="dxa"/>
              <w:right w:w="108" w:type="dxa"/>
            </w:tcMar>
          </w:tcPr>
          <w:p w14:paraId="27CF02C7" w14:textId="77777777" w:rsidR="003C72CC" w:rsidRDefault="003C72CC" w:rsidP="00E62A30">
            <w:pPr>
              <w:spacing w:line="254" w:lineRule="auto"/>
              <w:jc w:val="center"/>
              <w:rPr>
                <w:b/>
                <w:bCs/>
              </w:rPr>
            </w:pPr>
            <w:r w:rsidRPr="422241C6">
              <w:rPr>
                <w:b/>
                <w:bCs/>
              </w:rPr>
              <w:t xml:space="preserve"> </w:t>
            </w:r>
          </w:p>
        </w:tc>
      </w:tr>
    </w:tbl>
    <w:p w14:paraId="60B5D3B3" w14:textId="77777777" w:rsidR="003C72CC" w:rsidRDefault="003C72CC" w:rsidP="003C72CC">
      <w:pPr>
        <w:spacing w:line="254" w:lineRule="auto"/>
        <w:jc w:val="center"/>
        <w:rPr>
          <w:b/>
          <w:bCs/>
        </w:rPr>
      </w:pPr>
      <w:r w:rsidRPr="5B1512A3">
        <w:rPr>
          <w:b/>
          <w:bCs/>
        </w:rPr>
        <w:t xml:space="preserve"> </w:t>
      </w:r>
    </w:p>
    <w:p w14:paraId="3A8752F8" w14:textId="77777777" w:rsidR="003C72CC" w:rsidRDefault="003C72CC" w:rsidP="003C72CC">
      <w:pPr>
        <w:spacing w:line="254" w:lineRule="auto"/>
        <w:jc w:val="center"/>
        <w:rPr>
          <w:b/>
          <w:bCs/>
        </w:rPr>
      </w:pPr>
    </w:p>
    <w:p w14:paraId="06496EBE" w14:textId="0B8CCF2B" w:rsidR="00294D4C" w:rsidRPr="00F56848" w:rsidRDefault="00F56848" w:rsidP="003C72CC">
      <w:pPr>
        <w:spacing w:line="254" w:lineRule="auto"/>
        <w:jc w:val="center"/>
        <w:rPr>
          <w:b/>
          <w:bCs/>
          <w:color w:val="000000" w:themeColor="text1"/>
        </w:rPr>
      </w:pPr>
      <w:r w:rsidRPr="00F56848">
        <w:rPr>
          <w:b/>
          <w:bCs/>
          <w:color w:val="000000" w:themeColor="text1"/>
        </w:rPr>
        <w:t>PUBLIC DISCLOSURE</w:t>
      </w:r>
    </w:p>
    <w:p w14:paraId="1BC20B0F" w14:textId="77777777" w:rsidR="00D6414E" w:rsidRDefault="00D6414E" w:rsidP="003C72CC">
      <w:pPr>
        <w:spacing w:line="254" w:lineRule="auto"/>
        <w:jc w:val="center"/>
        <w:rPr>
          <w:b/>
          <w:bCs/>
        </w:rPr>
      </w:pPr>
    </w:p>
    <w:p w14:paraId="4C2CE92C" w14:textId="77777777" w:rsidR="00294D4C" w:rsidRDefault="00294D4C" w:rsidP="003C72CC">
      <w:pPr>
        <w:spacing w:line="254" w:lineRule="auto"/>
        <w:jc w:val="center"/>
        <w:rPr>
          <w:b/>
          <w:bCs/>
        </w:rPr>
      </w:pPr>
    </w:p>
    <w:p w14:paraId="7486BEDF" w14:textId="77777777" w:rsidR="003C72CC" w:rsidRDefault="003C72CC" w:rsidP="003C72CC">
      <w:pPr>
        <w:spacing w:line="254" w:lineRule="auto"/>
        <w:jc w:val="center"/>
        <w:rPr>
          <w:b/>
          <w:bCs/>
        </w:rPr>
      </w:pPr>
    </w:p>
    <w:p w14:paraId="7055557D" w14:textId="77777777" w:rsidR="003C72CC" w:rsidRDefault="003C72CC" w:rsidP="003C72CC">
      <w:pPr>
        <w:spacing w:line="254" w:lineRule="auto"/>
        <w:jc w:val="center"/>
        <w:rPr>
          <w:b/>
          <w:bCs/>
        </w:rPr>
      </w:pPr>
      <w:r w:rsidRPr="422241C6">
        <w:rPr>
          <w:b/>
          <w:bCs/>
        </w:rPr>
        <w:t>On Behalf of the</w:t>
      </w:r>
    </w:p>
    <w:p w14:paraId="14BD8C95" w14:textId="77777777" w:rsidR="003C72CC" w:rsidRDefault="003C72CC" w:rsidP="003C72CC">
      <w:pPr>
        <w:jc w:val="center"/>
        <w:rPr>
          <w:b/>
          <w:bCs/>
        </w:rPr>
      </w:pPr>
      <w:r w:rsidRPr="422241C6">
        <w:rPr>
          <w:b/>
          <w:bCs/>
        </w:rPr>
        <w:t xml:space="preserve">Georgia Public Service Commission </w:t>
      </w:r>
    </w:p>
    <w:p w14:paraId="46C6E075" w14:textId="77777777" w:rsidR="003C72CC" w:rsidRDefault="003C72CC" w:rsidP="003C72CC">
      <w:pPr>
        <w:jc w:val="center"/>
        <w:rPr>
          <w:b/>
          <w:bCs/>
        </w:rPr>
      </w:pPr>
      <w:r w:rsidRPr="422241C6">
        <w:rPr>
          <w:b/>
          <w:bCs/>
        </w:rPr>
        <w:t>Public Interest Advocacy Staff</w:t>
      </w:r>
    </w:p>
    <w:p w14:paraId="20C427E5" w14:textId="3963E4AC" w:rsidR="003C72CC" w:rsidRDefault="003C72CC" w:rsidP="00D6414E">
      <w:pPr>
        <w:spacing w:line="254" w:lineRule="auto"/>
        <w:jc w:val="center"/>
        <w:rPr>
          <w:b/>
          <w:bCs/>
        </w:rPr>
      </w:pPr>
      <w:r w:rsidRPr="422241C6">
        <w:rPr>
          <w:b/>
          <w:bCs/>
        </w:rPr>
        <w:t xml:space="preserve"> </w:t>
      </w:r>
    </w:p>
    <w:p w14:paraId="3694C35E" w14:textId="77777777" w:rsidR="0005636F" w:rsidRDefault="0005636F" w:rsidP="00D6414E">
      <w:pPr>
        <w:spacing w:line="254" w:lineRule="auto"/>
        <w:jc w:val="center"/>
        <w:rPr>
          <w:b/>
          <w:bCs/>
        </w:rPr>
      </w:pPr>
    </w:p>
    <w:p w14:paraId="1FEEC170" w14:textId="77777777" w:rsidR="0005636F" w:rsidRDefault="0005636F" w:rsidP="00D6414E">
      <w:pPr>
        <w:spacing w:line="254" w:lineRule="auto"/>
        <w:jc w:val="center"/>
        <w:rPr>
          <w:b/>
          <w:bCs/>
        </w:rPr>
      </w:pPr>
    </w:p>
    <w:p w14:paraId="19C8E68F" w14:textId="77777777" w:rsidR="00DF2EC5" w:rsidRDefault="007072A2" w:rsidP="00DF2EC5">
      <w:pPr>
        <w:spacing w:line="254" w:lineRule="auto"/>
        <w:jc w:val="center"/>
        <w:rPr>
          <w:b/>
          <w:bCs/>
        </w:rPr>
        <w:sectPr w:rsidR="00DF2EC5" w:rsidSect="00DF2EC5">
          <w:headerReference w:type="default" r:id="rId8"/>
          <w:footerReference w:type="default" r:id="rId9"/>
          <w:pgSz w:w="12240" w:h="15840" w:code="1"/>
          <w:pgMar w:top="1440" w:right="1440" w:bottom="1440" w:left="1440" w:header="720" w:footer="720" w:gutter="0"/>
          <w:pgNumType w:start="1"/>
          <w:cols w:space="720"/>
          <w:titlePg/>
          <w:docGrid w:linePitch="360"/>
        </w:sectPr>
      </w:pPr>
      <w:r>
        <w:rPr>
          <w:b/>
          <w:bCs/>
        </w:rPr>
        <w:t>October 11</w:t>
      </w:r>
      <w:r w:rsidR="003C72CC" w:rsidRPr="422241C6">
        <w:rPr>
          <w:b/>
          <w:bCs/>
        </w:rPr>
        <w:t>, 2024</w:t>
      </w:r>
    </w:p>
    <w:p w14:paraId="6F6DEF5E" w14:textId="1F887E47" w:rsidR="003C72CC" w:rsidRDefault="00E806C3" w:rsidP="00E806C3">
      <w:pPr>
        <w:spacing w:line="254" w:lineRule="auto"/>
        <w:jc w:val="center"/>
        <w:rPr>
          <w:b/>
          <w:bCs/>
        </w:rPr>
      </w:pPr>
      <w:r>
        <w:rPr>
          <w:b/>
          <w:bCs/>
        </w:rPr>
        <w:lastRenderedPageBreak/>
        <w:t>D</w:t>
      </w:r>
      <w:r w:rsidR="003C72CC" w:rsidRPr="5B1512A3">
        <w:rPr>
          <w:b/>
          <w:bCs/>
        </w:rPr>
        <w:t>IRECT TESTIMONY OF</w:t>
      </w:r>
    </w:p>
    <w:p w14:paraId="6784CC6D" w14:textId="37C86795" w:rsidR="003C72CC" w:rsidRDefault="00EE4FD3" w:rsidP="003C72CC">
      <w:pPr>
        <w:spacing w:after="240"/>
        <w:jc w:val="center"/>
        <w:rPr>
          <w:b/>
          <w:bCs/>
        </w:rPr>
      </w:pPr>
      <w:r>
        <w:rPr>
          <w:b/>
          <w:bCs/>
        </w:rPr>
        <w:t>BOBBY ISELEY AND JEFF</w:t>
      </w:r>
      <w:r w:rsidR="00801D26">
        <w:rPr>
          <w:b/>
          <w:bCs/>
        </w:rPr>
        <w:t>REY D.</w:t>
      </w:r>
      <w:r>
        <w:rPr>
          <w:b/>
          <w:bCs/>
        </w:rPr>
        <w:t xml:space="preserve"> BOWER</w:t>
      </w:r>
    </w:p>
    <w:p w14:paraId="6CA3655C" w14:textId="558638FD" w:rsidR="003C72CC" w:rsidRDefault="003C72CC" w:rsidP="00352049">
      <w:pPr>
        <w:spacing w:line="254" w:lineRule="auto"/>
        <w:jc w:val="both"/>
        <w:rPr>
          <w:b/>
          <w:bCs/>
          <w:caps/>
        </w:rPr>
      </w:pPr>
      <w:r w:rsidRPr="5B1512A3">
        <w:rPr>
          <w:b/>
          <w:bCs/>
        </w:rPr>
        <w:t xml:space="preserve">IN THE MATTER OF </w:t>
      </w:r>
      <w:r w:rsidRPr="5B1512A3">
        <w:rPr>
          <w:b/>
          <w:bCs/>
          <w:caps/>
        </w:rPr>
        <w:t xml:space="preserve">Georgia Power Company’s </w:t>
      </w:r>
      <w:r w:rsidR="00783CC5" w:rsidRPr="00783CC5">
        <w:rPr>
          <w:b/>
          <w:bCs/>
          <w:caps/>
        </w:rPr>
        <w:t>APPLICATION</w:t>
      </w:r>
      <w:r w:rsidR="00807FBA">
        <w:rPr>
          <w:b/>
          <w:bCs/>
          <w:caps/>
        </w:rPr>
        <w:t xml:space="preserve"> </w:t>
      </w:r>
      <w:r w:rsidR="00783CC5" w:rsidRPr="00783CC5">
        <w:rPr>
          <w:b/>
          <w:bCs/>
          <w:caps/>
        </w:rPr>
        <w:t xml:space="preserve">FOR THE CERTIFICATION OF THE </w:t>
      </w:r>
      <w:r w:rsidR="007072A2">
        <w:rPr>
          <w:b/>
          <w:bCs/>
          <w:caps/>
        </w:rPr>
        <w:t>Robins, Moody, Hammond, and Mcgrau Ford Phase I and II battery energy storage systems</w:t>
      </w:r>
    </w:p>
    <w:p w14:paraId="62E5CAE4" w14:textId="77777777" w:rsidR="00807FBA" w:rsidRDefault="00807FBA" w:rsidP="00783CC5">
      <w:pPr>
        <w:spacing w:line="254" w:lineRule="auto"/>
        <w:rPr>
          <w:b/>
          <w:bCs/>
        </w:rPr>
      </w:pPr>
    </w:p>
    <w:p w14:paraId="53746C9D" w14:textId="2080757E" w:rsidR="003C72CC" w:rsidRDefault="003C72CC" w:rsidP="003C72CC">
      <w:pPr>
        <w:jc w:val="center"/>
        <w:rPr>
          <w:b/>
          <w:bCs/>
        </w:rPr>
      </w:pPr>
      <w:r w:rsidRPr="5B1512A3">
        <w:rPr>
          <w:b/>
          <w:bCs/>
        </w:rPr>
        <w:t xml:space="preserve">DOCKET NO. </w:t>
      </w:r>
      <w:r w:rsidR="007072A2">
        <w:rPr>
          <w:b/>
          <w:bCs/>
        </w:rPr>
        <w:t>55378</w:t>
      </w:r>
    </w:p>
    <w:p w14:paraId="0BB65FAE" w14:textId="77777777" w:rsidR="00CF78B7" w:rsidRDefault="00CF78B7" w:rsidP="00CF78B7">
      <w:pPr>
        <w:spacing w:before="480" w:line="480" w:lineRule="auto"/>
        <w:jc w:val="both"/>
        <w:rPr>
          <w:b/>
          <w:bCs/>
          <w:u w:val="single"/>
        </w:rPr>
      </w:pPr>
      <w:r>
        <w:rPr>
          <w:b/>
          <w:bCs/>
        </w:rPr>
        <w:t>I.</w:t>
      </w:r>
      <w:r>
        <w:rPr>
          <w:b/>
          <w:bCs/>
        </w:rPr>
        <w:tab/>
      </w:r>
      <w:r>
        <w:rPr>
          <w:b/>
          <w:bCs/>
          <w:u w:val="single"/>
        </w:rPr>
        <w:t>INTRODUCTION</w:t>
      </w:r>
    </w:p>
    <w:p w14:paraId="6E815E11" w14:textId="6CD3BA51" w:rsidR="00CF78B7" w:rsidRPr="008C5B6C" w:rsidRDefault="00CF78B7" w:rsidP="00CF78B7">
      <w:pPr>
        <w:spacing w:before="480" w:line="480" w:lineRule="auto"/>
        <w:ind w:left="720" w:hanging="720"/>
        <w:jc w:val="both"/>
        <w:rPr>
          <w:b/>
          <w:bCs/>
        </w:rPr>
      </w:pPr>
      <w:r>
        <w:rPr>
          <w:b/>
          <w:bCs/>
        </w:rPr>
        <w:t>Q.</w:t>
      </w:r>
      <w:r>
        <w:rPr>
          <w:b/>
          <w:bCs/>
        </w:rPr>
        <w:tab/>
      </w:r>
      <w:r w:rsidR="00CA5A21">
        <w:rPr>
          <w:b/>
          <w:lang w:val="en-CA"/>
        </w:rPr>
        <w:t xml:space="preserve">MR. ISELEY, </w:t>
      </w:r>
      <w:r w:rsidRPr="008C5B6C">
        <w:rPr>
          <w:b/>
          <w:bCs/>
        </w:rPr>
        <w:t>PLEASE STATE YOUR NAME</w:t>
      </w:r>
      <w:r w:rsidR="00CA5A21">
        <w:rPr>
          <w:b/>
          <w:bCs/>
        </w:rPr>
        <w:t>,</w:t>
      </w:r>
      <w:r w:rsidRPr="008C5B6C">
        <w:rPr>
          <w:b/>
          <w:bCs/>
        </w:rPr>
        <w:t xml:space="preserve"> </w:t>
      </w:r>
      <w:r w:rsidR="00CA5A21">
        <w:rPr>
          <w:b/>
          <w:bCs/>
        </w:rPr>
        <w:t>TITLE</w:t>
      </w:r>
      <w:r w:rsidR="00C44BB8">
        <w:rPr>
          <w:b/>
          <w:bCs/>
        </w:rPr>
        <w:t xml:space="preserve">, EMPLOYER, </w:t>
      </w:r>
      <w:r w:rsidRPr="008C5B6C">
        <w:rPr>
          <w:b/>
          <w:bCs/>
        </w:rPr>
        <w:t>AND BUSINESS ADDRESS.</w:t>
      </w:r>
    </w:p>
    <w:p w14:paraId="3556D274" w14:textId="263D1E42" w:rsidR="00803C1F" w:rsidRDefault="00CF78B7" w:rsidP="00872E13">
      <w:pPr>
        <w:spacing w:after="240" w:line="480" w:lineRule="auto"/>
        <w:ind w:left="720" w:hanging="720"/>
        <w:jc w:val="both"/>
      </w:pPr>
      <w:r>
        <w:t>A.</w:t>
      </w:r>
      <w:r>
        <w:tab/>
      </w:r>
      <w:r w:rsidR="00803C1F" w:rsidRPr="00636B83">
        <w:t>My name is</w:t>
      </w:r>
      <w:r w:rsidR="00803C1F">
        <w:t xml:space="preserve"> Bobby Iseley, and I am a Public Utilities Engineer</w:t>
      </w:r>
      <w:r w:rsidR="00315464" w:rsidRPr="00315464">
        <w:rPr>
          <w:lang w:val="en-CA"/>
        </w:rPr>
        <w:t xml:space="preserve"> </w:t>
      </w:r>
      <w:r w:rsidR="00315464">
        <w:rPr>
          <w:lang w:val="en-CA"/>
        </w:rPr>
        <w:t xml:space="preserve">in the Energy Efficiency and Renewable Energy Unit with the </w:t>
      </w:r>
      <w:r w:rsidR="005C5CB9">
        <w:t>Georgia Public Service Commission (“</w:t>
      </w:r>
      <w:r w:rsidR="00803C1F">
        <w:t>Commission</w:t>
      </w:r>
      <w:r w:rsidR="005C5CB9">
        <w:t>”)</w:t>
      </w:r>
      <w:r w:rsidR="00803C1F">
        <w:t xml:space="preserve">. </w:t>
      </w:r>
      <w:r w:rsidR="00803C1F" w:rsidRPr="00636B83">
        <w:t>My business address is</w:t>
      </w:r>
      <w:r w:rsidR="00803C1F">
        <w:t xml:space="preserve"> 244 Washington Street SW, Atlanta</w:t>
      </w:r>
      <w:r w:rsidR="00803C1F" w:rsidRPr="00636B83">
        <w:t>, GA 30</w:t>
      </w:r>
      <w:r w:rsidR="00803C1F">
        <w:t>334</w:t>
      </w:r>
      <w:r w:rsidR="00803C1F" w:rsidRPr="00636B83">
        <w:t>.</w:t>
      </w:r>
    </w:p>
    <w:p w14:paraId="728D2452" w14:textId="26A22B58" w:rsidR="00B7364F" w:rsidRPr="008B5092" w:rsidRDefault="00B7364F" w:rsidP="00803C1F">
      <w:pPr>
        <w:spacing w:line="480" w:lineRule="auto"/>
        <w:ind w:left="720" w:hanging="720"/>
        <w:jc w:val="both"/>
        <w:rPr>
          <w:b/>
          <w:lang w:val="en-CA"/>
        </w:rPr>
      </w:pPr>
      <w:r>
        <w:rPr>
          <w:b/>
          <w:lang w:val="en-CA"/>
        </w:rPr>
        <w:t>Q.</w:t>
      </w:r>
      <w:r>
        <w:rPr>
          <w:b/>
          <w:lang w:val="en-CA"/>
        </w:rPr>
        <w:tab/>
      </w:r>
      <w:r w:rsidR="008B78C6">
        <w:rPr>
          <w:b/>
          <w:lang w:val="en-CA"/>
        </w:rPr>
        <w:t xml:space="preserve">MR. ISELEY, </w:t>
      </w:r>
      <w:r w:rsidRPr="008B5092">
        <w:rPr>
          <w:b/>
          <w:lang w:val="en-CA"/>
        </w:rPr>
        <w:t>PLEASE STATE YOUR EDUCATIONAL BACKGROUND AND WORK EXPERIENCE.</w:t>
      </w:r>
    </w:p>
    <w:p w14:paraId="4E6828E5" w14:textId="51C5312B" w:rsidR="008B78C6" w:rsidRDefault="00B7364F" w:rsidP="00FB736B">
      <w:pPr>
        <w:tabs>
          <w:tab w:val="left" w:pos="720"/>
        </w:tabs>
        <w:spacing w:after="240" w:line="480" w:lineRule="auto"/>
        <w:ind w:left="720" w:hanging="720"/>
        <w:jc w:val="both"/>
        <w:rPr>
          <w:lang w:val="en-CA"/>
        </w:rPr>
      </w:pPr>
      <w:r w:rsidRPr="008B5092">
        <w:rPr>
          <w:lang w:val="en-CA"/>
        </w:rPr>
        <w:t>A.</w:t>
      </w:r>
      <w:r w:rsidRPr="008B5092">
        <w:rPr>
          <w:lang w:val="en-CA"/>
        </w:rPr>
        <w:tab/>
      </w:r>
      <w:r w:rsidR="008B78C6" w:rsidRPr="008B5092">
        <w:rPr>
          <w:lang w:val="en-CA"/>
        </w:rPr>
        <w:t xml:space="preserve">My educational background and work experience are provided in my resume, which is attached as </w:t>
      </w:r>
      <w:r w:rsidR="008B78C6">
        <w:rPr>
          <w:lang w:val="en-CA"/>
        </w:rPr>
        <w:t xml:space="preserve">Public Interest Advocacy </w:t>
      </w:r>
      <w:r w:rsidR="008B78C6" w:rsidRPr="008B78C6">
        <w:rPr>
          <w:lang w:val="en-CA"/>
        </w:rPr>
        <w:t>Staff (“</w:t>
      </w:r>
      <w:r w:rsidR="00801D26">
        <w:rPr>
          <w:lang w:val="en-CA"/>
        </w:rPr>
        <w:t xml:space="preserve">PIA </w:t>
      </w:r>
      <w:r w:rsidR="008B78C6" w:rsidRPr="008B78C6">
        <w:rPr>
          <w:lang w:val="en-CA"/>
        </w:rPr>
        <w:t>Staff”) Exhibit_ (IB</w:t>
      </w:r>
      <w:r w:rsidR="008B78C6" w:rsidRPr="00A01A35">
        <w:rPr>
          <w:lang w:val="en-CA"/>
        </w:rPr>
        <w:t>-1</w:t>
      </w:r>
      <w:r w:rsidR="008B78C6" w:rsidRPr="008B78C6">
        <w:rPr>
          <w:lang w:val="en-CA"/>
        </w:rPr>
        <w:t>).</w:t>
      </w:r>
    </w:p>
    <w:p w14:paraId="2550F6AF" w14:textId="7B83C2D6" w:rsidR="00CF78B7" w:rsidRPr="008B5092" w:rsidRDefault="00B577D5" w:rsidP="00FB736B">
      <w:pPr>
        <w:spacing w:line="480" w:lineRule="auto"/>
        <w:ind w:left="720" w:hanging="720"/>
        <w:jc w:val="both"/>
        <w:rPr>
          <w:b/>
          <w:lang w:val="en-CA"/>
        </w:rPr>
      </w:pPr>
      <w:r>
        <w:rPr>
          <w:b/>
          <w:lang w:val="en-CA"/>
        </w:rPr>
        <w:t>Q</w:t>
      </w:r>
      <w:r w:rsidR="00CF78B7">
        <w:rPr>
          <w:b/>
          <w:lang w:val="en-CA"/>
        </w:rPr>
        <w:t>.</w:t>
      </w:r>
      <w:r w:rsidR="00CF78B7">
        <w:rPr>
          <w:b/>
          <w:lang w:val="en-CA"/>
        </w:rPr>
        <w:tab/>
      </w:r>
      <w:r w:rsidR="008B78C6">
        <w:rPr>
          <w:b/>
          <w:lang w:val="en-CA"/>
        </w:rPr>
        <w:t xml:space="preserve">MR. BOWER, </w:t>
      </w:r>
      <w:r w:rsidR="00CF78B7" w:rsidRPr="008B5092">
        <w:rPr>
          <w:b/>
          <w:lang w:val="en-CA"/>
        </w:rPr>
        <w:t xml:space="preserve">PLEASE STATE YOUR </w:t>
      </w:r>
      <w:r w:rsidR="00C44BB8">
        <w:rPr>
          <w:b/>
          <w:lang w:val="en-CA"/>
        </w:rPr>
        <w:t xml:space="preserve">NAME, </w:t>
      </w:r>
      <w:r w:rsidR="00CF78B7" w:rsidRPr="008B5092">
        <w:rPr>
          <w:b/>
          <w:lang w:val="en-CA"/>
        </w:rPr>
        <w:t xml:space="preserve">TITLE, EMPLOYER, </w:t>
      </w:r>
      <w:r w:rsidR="00C44BB8">
        <w:rPr>
          <w:b/>
          <w:lang w:val="en-CA"/>
        </w:rPr>
        <w:t>AND BUSINESS ADDRESS</w:t>
      </w:r>
      <w:r w:rsidR="00CF78B7" w:rsidRPr="008B5092">
        <w:rPr>
          <w:b/>
          <w:lang w:val="en-CA"/>
        </w:rPr>
        <w:t>.</w:t>
      </w:r>
    </w:p>
    <w:p w14:paraId="7D4A5D4F" w14:textId="426352E2" w:rsidR="00317B43" w:rsidRPr="009A018B" w:rsidRDefault="00CF78B7" w:rsidP="00FB736B">
      <w:pPr>
        <w:spacing w:after="240" w:line="480" w:lineRule="auto"/>
        <w:ind w:left="720" w:hanging="720"/>
        <w:jc w:val="both"/>
        <w:rPr>
          <w:lang w:eastAsia="zh-CN" w:bidi="hi-IN"/>
        </w:rPr>
      </w:pPr>
      <w:r w:rsidRPr="008B5092">
        <w:rPr>
          <w:lang w:val="en-CA"/>
        </w:rPr>
        <w:t>A.</w:t>
      </w:r>
      <w:r w:rsidR="008B78C6">
        <w:rPr>
          <w:lang w:val="en-CA"/>
        </w:rPr>
        <w:t xml:space="preserve"> </w:t>
      </w:r>
      <w:r w:rsidR="003F5CBA">
        <w:rPr>
          <w:lang w:val="en-CA"/>
        </w:rPr>
        <w:tab/>
      </w:r>
      <w:r w:rsidR="00317B43" w:rsidRPr="006E593A">
        <w:rPr>
          <w:lang w:eastAsia="zh-CN" w:bidi="hi-IN"/>
        </w:rPr>
        <w:t xml:space="preserve">My name is Jeffrey D. Bower. I am a Managing Consultant at Daymark Energy Advisors (“Daymark”), which provides energy planning, market analysis, and regulatory policy consulting and advisory services to support decision making within the electricity and </w:t>
      </w:r>
      <w:r w:rsidR="00317B43" w:rsidRPr="006E593A">
        <w:rPr>
          <w:lang w:eastAsia="zh-CN" w:bidi="hi-IN"/>
        </w:rPr>
        <w:lastRenderedPageBreak/>
        <w:t>natural gas industries</w:t>
      </w:r>
      <w:r w:rsidR="00317B43">
        <w:rPr>
          <w:lang w:eastAsia="zh-CN" w:bidi="hi-IN"/>
        </w:rPr>
        <w:t xml:space="preserve">. </w:t>
      </w:r>
      <w:r w:rsidR="00317B43" w:rsidRPr="006E593A">
        <w:rPr>
          <w:lang w:eastAsia="zh-CN" w:bidi="hi-IN"/>
        </w:rPr>
        <w:t>We serve a broad range of clients in North America, including private and public utilities, energy producers and traders, energy consumers and consumer advocates, regulatory agencies, and public policy and energy research organizations, and other industry stakeholders</w:t>
      </w:r>
      <w:r w:rsidR="00317B43">
        <w:rPr>
          <w:lang w:eastAsia="zh-CN" w:bidi="hi-IN"/>
        </w:rPr>
        <w:t xml:space="preserve">. </w:t>
      </w:r>
      <w:r w:rsidR="00317B43" w:rsidRPr="006E593A">
        <w:rPr>
          <w:lang w:eastAsia="zh-CN" w:bidi="hi-IN"/>
        </w:rPr>
        <w:t>Our technical skills include power market forecasting models and methods, economics, management, planning, rates and pricing, and energy procurement, and contracting</w:t>
      </w:r>
      <w:r w:rsidR="00317B43">
        <w:rPr>
          <w:lang w:eastAsia="zh-CN" w:bidi="hi-IN"/>
        </w:rPr>
        <w:t xml:space="preserve">. </w:t>
      </w:r>
      <w:r w:rsidR="00317B43" w:rsidRPr="006E593A">
        <w:rPr>
          <w:lang w:eastAsia="zh-CN" w:bidi="hi-IN"/>
        </w:rPr>
        <w:t>Our experience includes detailed analyses of energy and environmental performance of the electric systems, economic planning for transmission, and market analytics</w:t>
      </w:r>
      <w:r w:rsidR="00317B43">
        <w:rPr>
          <w:lang w:eastAsia="zh-CN" w:bidi="hi-IN"/>
        </w:rPr>
        <w:t xml:space="preserve">. </w:t>
      </w:r>
      <w:r w:rsidR="00317B43" w:rsidRPr="006E593A">
        <w:rPr>
          <w:lang w:eastAsia="zh-CN" w:bidi="hi-IN"/>
        </w:rPr>
        <w:t>My business address is 370 Main Street, Suite 325, Worcester, MA 01608.</w:t>
      </w:r>
    </w:p>
    <w:p w14:paraId="1DEB813E" w14:textId="7C88D647" w:rsidR="00C44BB8" w:rsidRPr="008B5092" w:rsidRDefault="00C44BB8" w:rsidP="00FB736B">
      <w:pPr>
        <w:spacing w:line="480" w:lineRule="auto"/>
        <w:ind w:left="720" w:hanging="720"/>
        <w:jc w:val="both"/>
        <w:rPr>
          <w:b/>
          <w:lang w:val="en-CA"/>
        </w:rPr>
      </w:pPr>
      <w:r>
        <w:rPr>
          <w:b/>
          <w:lang w:val="en-CA"/>
        </w:rPr>
        <w:t>Q.</w:t>
      </w:r>
      <w:r>
        <w:rPr>
          <w:b/>
          <w:lang w:val="en-CA"/>
        </w:rPr>
        <w:tab/>
        <w:t xml:space="preserve">MR. BOWER, </w:t>
      </w:r>
      <w:r w:rsidRPr="008B5092">
        <w:rPr>
          <w:b/>
          <w:lang w:val="en-CA"/>
        </w:rPr>
        <w:t>PLEASE STATE YOUR EDUCATIONAL BACKGROUND AND WORK EXPERIENCE.</w:t>
      </w:r>
    </w:p>
    <w:p w14:paraId="18C6BB38" w14:textId="0AE2720E" w:rsidR="00C44BB8" w:rsidRDefault="00C44BB8" w:rsidP="00FB736B">
      <w:pPr>
        <w:tabs>
          <w:tab w:val="left" w:pos="720"/>
        </w:tabs>
        <w:spacing w:after="240" w:line="480" w:lineRule="auto"/>
        <w:ind w:left="720" w:hanging="720"/>
        <w:jc w:val="both"/>
        <w:rPr>
          <w:lang w:val="en-CA"/>
        </w:rPr>
      </w:pPr>
      <w:r w:rsidRPr="008B5092">
        <w:rPr>
          <w:lang w:val="en-CA"/>
        </w:rPr>
        <w:t>A.</w:t>
      </w:r>
      <w:r>
        <w:rPr>
          <w:lang w:val="en-CA"/>
        </w:rPr>
        <w:t xml:space="preserve"> </w:t>
      </w:r>
      <w:r>
        <w:rPr>
          <w:lang w:val="en-CA"/>
        </w:rPr>
        <w:tab/>
      </w:r>
      <w:r w:rsidRPr="008B5092">
        <w:rPr>
          <w:lang w:val="en-CA"/>
        </w:rPr>
        <w:t xml:space="preserve">My educational background and work experience are provided in my resume, which is attached as </w:t>
      </w:r>
      <w:r w:rsidR="00586975">
        <w:rPr>
          <w:lang w:val="en-CA"/>
        </w:rPr>
        <w:t xml:space="preserve">PIA </w:t>
      </w:r>
      <w:r w:rsidRPr="008B78C6">
        <w:rPr>
          <w:lang w:val="en-CA"/>
        </w:rPr>
        <w:t>Staff Exhibit_ (IB</w:t>
      </w:r>
      <w:r w:rsidRPr="00A01A35">
        <w:rPr>
          <w:lang w:val="en-CA"/>
        </w:rPr>
        <w:t>-</w:t>
      </w:r>
      <w:r w:rsidR="00741550">
        <w:rPr>
          <w:lang w:val="en-CA"/>
        </w:rPr>
        <w:t>2</w:t>
      </w:r>
      <w:r w:rsidRPr="008B78C6">
        <w:rPr>
          <w:lang w:val="en-CA"/>
        </w:rPr>
        <w:t>).</w:t>
      </w:r>
    </w:p>
    <w:p w14:paraId="51C97F6C" w14:textId="5E6C4E34" w:rsidR="001C2356" w:rsidRPr="008C5B6C" w:rsidRDefault="001C2356" w:rsidP="00FB736B">
      <w:pPr>
        <w:tabs>
          <w:tab w:val="left" w:pos="720"/>
        </w:tabs>
        <w:spacing w:line="480" w:lineRule="auto"/>
        <w:ind w:left="720" w:hanging="720"/>
        <w:jc w:val="both"/>
      </w:pPr>
      <w:r w:rsidRPr="008C5B6C">
        <w:rPr>
          <w:lang w:val="en-CA"/>
        </w:rPr>
        <w:fldChar w:fldCharType="begin"/>
      </w:r>
      <w:r w:rsidRPr="008C5B6C">
        <w:rPr>
          <w:lang w:val="en-CA"/>
        </w:rPr>
        <w:instrText xml:space="preserve"> SEQ CHAPTER \h \r 1</w:instrText>
      </w:r>
      <w:r w:rsidRPr="008C5B6C">
        <w:rPr>
          <w:lang w:val="en-CA"/>
        </w:rPr>
        <w:fldChar w:fldCharType="end"/>
      </w:r>
      <w:r w:rsidRPr="008C5B6C">
        <w:rPr>
          <w:b/>
          <w:bCs/>
        </w:rPr>
        <w:t>Q.</w:t>
      </w:r>
      <w:r w:rsidRPr="008C5B6C">
        <w:rPr>
          <w:b/>
          <w:bCs/>
        </w:rPr>
        <w:tab/>
      </w:r>
      <w:r w:rsidR="008B78C6">
        <w:rPr>
          <w:b/>
          <w:bCs/>
        </w:rPr>
        <w:t xml:space="preserve">MR. ISELEY, </w:t>
      </w:r>
      <w:r w:rsidRPr="008C5B6C">
        <w:rPr>
          <w:b/>
        </w:rPr>
        <w:t>HAVE YOU PREVIOUSLY TESTIFIED BEFORE THIS COMMISSION?</w:t>
      </w:r>
    </w:p>
    <w:p w14:paraId="3A2A396A" w14:textId="1F721E53" w:rsidR="001C2356" w:rsidRPr="008F57CD" w:rsidRDefault="001C2356" w:rsidP="00FB736B">
      <w:pPr>
        <w:spacing w:after="240" w:line="480" w:lineRule="auto"/>
        <w:ind w:left="720" w:hanging="720"/>
        <w:jc w:val="both"/>
      </w:pPr>
      <w:r>
        <w:t>A.</w:t>
      </w:r>
      <w:r>
        <w:tab/>
      </w:r>
      <w:r w:rsidR="008B78C6">
        <w:t>No. I have not.</w:t>
      </w:r>
    </w:p>
    <w:p w14:paraId="00E95B06" w14:textId="7D174536" w:rsidR="001C2356" w:rsidRPr="008C5B6C" w:rsidRDefault="001C2356" w:rsidP="00FB736B">
      <w:pPr>
        <w:tabs>
          <w:tab w:val="left" w:pos="720"/>
        </w:tabs>
        <w:spacing w:line="480" w:lineRule="auto"/>
        <w:ind w:left="720" w:hanging="720"/>
        <w:jc w:val="both"/>
      </w:pPr>
      <w:r w:rsidRPr="008C5B6C">
        <w:rPr>
          <w:lang w:val="en-CA"/>
        </w:rPr>
        <w:fldChar w:fldCharType="begin"/>
      </w:r>
      <w:r w:rsidRPr="008C5B6C">
        <w:rPr>
          <w:lang w:val="en-CA"/>
        </w:rPr>
        <w:instrText xml:space="preserve"> SEQ CHAPTER \h \r 1</w:instrText>
      </w:r>
      <w:r w:rsidRPr="008C5B6C">
        <w:rPr>
          <w:lang w:val="en-CA"/>
        </w:rPr>
        <w:fldChar w:fldCharType="end"/>
      </w:r>
      <w:r w:rsidRPr="008C5B6C">
        <w:rPr>
          <w:b/>
          <w:bCs/>
        </w:rPr>
        <w:t>Q.</w:t>
      </w:r>
      <w:r w:rsidRPr="008C5B6C">
        <w:rPr>
          <w:b/>
          <w:bCs/>
        </w:rPr>
        <w:tab/>
      </w:r>
      <w:r w:rsidR="008B78C6">
        <w:rPr>
          <w:b/>
          <w:bCs/>
        </w:rPr>
        <w:t xml:space="preserve">MR. BOWER, </w:t>
      </w:r>
      <w:r w:rsidRPr="008C5B6C">
        <w:rPr>
          <w:b/>
        </w:rPr>
        <w:t>HAVE YOU PREVIOUSLY TESTIFIED BEFORE THIS COMMISSION?</w:t>
      </w:r>
    </w:p>
    <w:p w14:paraId="5C5BACA0" w14:textId="660DEF3C" w:rsidR="00317B43" w:rsidRDefault="001C2356" w:rsidP="00FB736B">
      <w:pPr>
        <w:spacing w:after="240" w:line="480" w:lineRule="auto"/>
        <w:ind w:left="720" w:hanging="720"/>
        <w:jc w:val="both"/>
      </w:pPr>
      <w:r>
        <w:t>A.</w:t>
      </w:r>
      <w:r>
        <w:tab/>
      </w:r>
      <w:r w:rsidR="00317B43" w:rsidRPr="006E593A">
        <w:t>Yes</w:t>
      </w:r>
      <w:r w:rsidR="00317B43">
        <w:t xml:space="preserve">. </w:t>
      </w:r>
      <w:r w:rsidR="00317B43" w:rsidRPr="006E593A">
        <w:t>I testified in Docket</w:t>
      </w:r>
      <w:r w:rsidR="00317B43">
        <w:t xml:space="preserve"> Nos. </w:t>
      </w:r>
      <w:r w:rsidR="00317B43" w:rsidRPr="006E593A">
        <w:t xml:space="preserve">4822, 16573, </w:t>
      </w:r>
      <w:r w:rsidR="00D65423">
        <w:t xml:space="preserve">and </w:t>
      </w:r>
      <w:r w:rsidR="00317B43" w:rsidRPr="006E593A">
        <w:t>19279</w:t>
      </w:r>
      <w:r w:rsidR="00317B43">
        <w:t xml:space="preserve"> </w:t>
      </w:r>
      <w:r w:rsidR="00317B43" w:rsidRPr="006E593A">
        <w:t xml:space="preserve">regarding the application of Georgia Power Company’s Renewable Cost Benefit Framework (“RCB Framework”) to </w:t>
      </w:r>
      <w:r w:rsidR="00317B43" w:rsidRPr="00A90198">
        <w:t>Public Utility Regulatory Policies Act of 1978</w:t>
      </w:r>
      <w:r w:rsidR="00317B43">
        <w:t xml:space="preserve"> (“</w:t>
      </w:r>
      <w:r w:rsidR="00317B43" w:rsidRPr="006E593A">
        <w:t>PURPA</w:t>
      </w:r>
      <w:r w:rsidR="00317B43">
        <w:t>”)</w:t>
      </w:r>
      <w:r w:rsidR="00317B43" w:rsidRPr="006E593A">
        <w:t xml:space="preserve"> qualifying facilities</w:t>
      </w:r>
      <w:r w:rsidR="00317B43">
        <w:t xml:space="preserve"> (“QFs”). </w:t>
      </w:r>
      <w:r w:rsidR="00D65423" w:rsidRPr="00D65423">
        <w:t xml:space="preserve">I </w:t>
      </w:r>
      <w:r w:rsidR="00D65423" w:rsidRPr="00D65423">
        <w:lastRenderedPageBreak/>
        <w:t>also testified in Docket No. 44160</w:t>
      </w:r>
      <w:r w:rsidR="00315464">
        <w:t xml:space="preserve">, </w:t>
      </w:r>
      <w:r w:rsidR="00315464" w:rsidRPr="00D65423">
        <w:t xml:space="preserve">Georgia Power Company’s 2022 </w:t>
      </w:r>
      <w:r w:rsidR="00431D14">
        <w:t>Integrated Resource Plan (“</w:t>
      </w:r>
      <w:r w:rsidR="00315464" w:rsidRPr="00D65423">
        <w:t>IRP</w:t>
      </w:r>
      <w:r w:rsidR="00431D14">
        <w:t>”)</w:t>
      </w:r>
      <w:r w:rsidR="00315464">
        <w:t>,</w:t>
      </w:r>
      <w:r w:rsidR="00D65423" w:rsidRPr="00D65423">
        <w:t xml:space="preserve"> regarding multiple issues related to renewable and battery storage proposals. </w:t>
      </w:r>
      <w:r w:rsidR="00317B43" w:rsidRPr="006E593A">
        <w:t>In addition, I have testified before regulatory commissions in other states</w:t>
      </w:r>
      <w:r w:rsidR="00D65423">
        <w:t xml:space="preserve"> and Canadian provinces</w:t>
      </w:r>
      <w:r w:rsidR="00317B43">
        <w:t>.</w:t>
      </w:r>
      <w:r w:rsidR="00317B43" w:rsidRPr="006E593A">
        <w:t xml:space="preserve"> I have </w:t>
      </w:r>
      <w:r w:rsidR="00D65423">
        <w:t xml:space="preserve">also </w:t>
      </w:r>
      <w:r w:rsidR="00317B43" w:rsidRPr="006E593A">
        <w:t xml:space="preserve">supported Commission Staff’s evaluation of </w:t>
      </w:r>
      <w:r w:rsidR="00317B43">
        <w:t>Georgia Power</w:t>
      </w:r>
      <w:r w:rsidR="00317B43" w:rsidRPr="006E593A">
        <w:t xml:space="preserve"> Company’s</w:t>
      </w:r>
      <w:r w:rsidR="00431D14">
        <w:t xml:space="preserve"> (“Georgia Power” or “Company”)</w:t>
      </w:r>
      <w:r w:rsidR="00317B43" w:rsidRPr="006E593A">
        <w:t xml:space="preserve"> RCB Framework since 2016</w:t>
      </w:r>
      <w:r w:rsidR="00317B43">
        <w:rPr>
          <w:lang w:eastAsia="zh-CN" w:bidi="hi-IN"/>
        </w:rPr>
        <w:t>.</w:t>
      </w:r>
    </w:p>
    <w:p w14:paraId="26FF35E8" w14:textId="2F15CEF1" w:rsidR="00472DAE" w:rsidRPr="00472DAE" w:rsidRDefault="00472DAE" w:rsidP="00FB736B">
      <w:pPr>
        <w:spacing w:line="480" w:lineRule="auto"/>
        <w:ind w:left="720" w:hanging="720"/>
        <w:jc w:val="both"/>
        <w:rPr>
          <w:b/>
          <w:bCs/>
        </w:rPr>
      </w:pPr>
      <w:r w:rsidRPr="00472DAE">
        <w:rPr>
          <w:b/>
          <w:bCs/>
        </w:rPr>
        <w:t>Q.</w:t>
      </w:r>
      <w:r w:rsidRPr="00472DAE">
        <w:rPr>
          <w:b/>
          <w:bCs/>
        </w:rPr>
        <w:tab/>
        <w:t>ON WHOSE BEHALF ARE YOU TESTIFYING?</w:t>
      </w:r>
    </w:p>
    <w:p w14:paraId="2E145E62" w14:textId="1F186A67" w:rsidR="00CF78B7" w:rsidRDefault="00472DAE" w:rsidP="00FB736B">
      <w:pPr>
        <w:tabs>
          <w:tab w:val="left" w:pos="720"/>
        </w:tabs>
        <w:spacing w:after="240" w:line="480" w:lineRule="auto"/>
        <w:ind w:left="720" w:hanging="720"/>
        <w:jc w:val="both"/>
        <w:rPr>
          <w:lang w:val="en-CA"/>
        </w:rPr>
      </w:pPr>
      <w:r>
        <w:rPr>
          <w:lang w:val="en-CA"/>
        </w:rPr>
        <w:t>A.</w:t>
      </w:r>
      <w:r>
        <w:rPr>
          <w:lang w:val="en-CA"/>
        </w:rPr>
        <w:tab/>
        <w:t xml:space="preserve">We are presenting testimony on behalf of the Commission </w:t>
      </w:r>
      <w:r w:rsidR="00586975">
        <w:rPr>
          <w:lang w:val="en-CA"/>
        </w:rPr>
        <w:t xml:space="preserve">PIA </w:t>
      </w:r>
      <w:r>
        <w:rPr>
          <w:lang w:val="en-CA"/>
        </w:rPr>
        <w:t>Staff.</w:t>
      </w:r>
    </w:p>
    <w:p w14:paraId="61D4AF2B" w14:textId="1E5A9607" w:rsidR="00CF78B7" w:rsidRPr="008C5B6C" w:rsidRDefault="00CF78B7" w:rsidP="00FB736B">
      <w:pPr>
        <w:tabs>
          <w:tab w:val="left" w:pos="720"/>
        </w:tabs>
        <w:spacing w:line="480" w:lineRule="auto"/>
        <w:ind w:left="720" w:hanging="720"/>
        <w:jc w:val="both"/>
      </w:pPr>
      <w:r w:rsidRPr="008C5B6C">
        <w:rPr>
          <w:lang w:val="en-CA"/>
        </w:rPr>
        <w:fldChar w:fldCharType="begin"/>
      </w:r>
      <w:r w:rsidRPr="008C5B6C">
        <w:rPr>
          <w:lang w:val="en-CA"/>
        </w:rPr>
        <w:instrText xml:space="preserve"> SEQ CHAPTER \h \r 1</w:instrText>
      </w:r>
      <w:r w:rsidRPr="008C5B6C">
        <w:rPr>
          <w:lang w:val="en-CA"/>
        </w:rPr>
        <w:fldChar w:fldCharType="end"/>
      </w:r>
      <w:r w:rsidRPr="008C5B6C">
        <w:rPr>
          <w:b/>
          <w:bCs/>
        </w:rPr>
        <w:t>Q.</w:t>
      </w:r>
      <w:r w:rsidRPr="008C5B6C">
        <w:rPr>
          <w:b/>
          <w:bCs/>
        </w:rPr>
        <w:tab/>
        <w:t>WHAT IS THE PURPOSE OF YOUR TESTIMONY IN THIS PROCEEDING?</w:t>
      </w:r>
    </w:p>
    <w:p w14:paraId="5DE611ED" w14:textId="007C247E" w:rsidR="00801D26" w:rsidRDefault="00CF78B7" w:rsidP="00B818BA">
      <w:pPr>
        <w:spacing w:after="240" w:line="480" w:lineRule="auto"/>
        <w:ind w:left="720" w:hanging="720"/>
        <w:jc w:val="both"/>
      </w:pPr>
      <w:r>
        <w:t>A.</w:t>
      </w:r>
      <w:r>
        <w:tab/>
      </w:r>
      <w:r w:rsidR="00585D58">
        <w:t xml:space="preserve">The primary purpose of </w:t>
      </w:r>
      <w:r w:rsidR="008B78C6">
        <w:t>our</w:t>
      </w:r>
      <w:r w:rsidR="00585D58">
        <w:t xml:space="preserve"> testimony is to address Georgia Power</w:t>
      </w:r>
      <w:r w:rsidR="00431D14">
        <w:t>’s</w:t>
      </w:r>
      <w:r w:rsidR="00585D58">
        <w:t xml:space="preserve"> </w:t>
      </w:r>
      <w:r w:rsidR="004142F9">
        <w:t xml:space="preserve">request to certify </w:t>
      </w:r>
      <w:r w:rsidR="00CE1ADD">
        <w:t xml:space="preserve">500 </w:t>
      </w:r>
      <w:r w:rsidR="00B577D5">
        <w:t>megawatts (“</w:t>
      </w:r>
      <w:r w:rsidR="00CE1ADD">
        <w:t>MW</w:t>
      </w:r>
      <w:r w:rsidR="00B577D5">
        <w:t>”)</w:t>
      </w:r>
      <w:r w:rsidR="00CE1ADD">
        <w:t xml:space="preserve"> of </w:t>
      </w:r>
      <w:r w:rsidR="00B577D5">
        <w:t>Battery Energy Storage Systems (“</w:t>
      </w:r>
      <w:r w:rsidR="00CE1ADD">
        <w:t>BESS</w:t>
      </w:r>
      <w:r w:rsidR="00B577D5">
        <w:t>”)</w:t>
      </w:r>
      <w:r w:rsidR="00CE1ADD">
        <w:t xml:space="preserve"> </w:t>
      </w:r>
      <w:r w:rsidR="004142F9">
        <w:t xml:space="preserve">described in </w:t>
      </w:r>
      <w:r w:rsidR="005B76EB">
        <w:t xml:space="preserve">its </w:t>
      </w:r>
      <w:r w:rsidR="00E025EF">
        <w:t xml:space="preserve">August 16, 2024 </w:t>
      </w:r>
      <w:r w:rsidR="009E778B">
        <w:t>Application</w:t>
      </w:r>
      <w:r w:rsidR="00585D58">
        <w:t xml:space="preserve"> for the </w:t>
      </w:r>
      <w:r w:rsidR="009E778B">
        <w:t>C</w:t>
      </w:r>
      <w:r w:rsidR="00585D58">
        <w:t>ertification of Robins, Moody, Hammond, and McGrau Ford Phase II B</w:t>
      </w:r>
      <w:r w:rsidR="001C2356">
        <w:t>attery Energy Storage System</w:t>
      </w:r>
      <w:r w:rsidR="009E778B">
        <w:t xml:space="preserve"> </w:t>
      </w:r>
      <w:r w:rsidR="000C4ADD">
        <w:t xml:space="preserve">in Docket No. 55378 </w:t>
      </w:r>
      <w:r w:rsidR="001C2356">
        <w:t>(“Application”)</w:t>
      </w:r>
      <w:r w:rsidR="00586975">
        <w:t xml:space="preserve">. In addition, our testimony will also address </w:t>
      </w:r>
      <w:r w:rsidR="00F15E3F">
        <w:t xml:space="preserve">Georgia Power’s </w:t>
      </w:r>
      <w:r w:rsidR="00700125">
        <w:t xml:space="preserve">request to </w:t>
      </w:r>
      <w:r w:rsidR="00700125" w:rsidRPr="00700125">
        <w:t>proceed with the</w:t>
      </w:r>
      <w:r w:rsidR="00700125">
        <w:t xml:space="preserve"> </w:t>
      </w:r>
      <w:r w:rsidR="00586975">
        <w:t>McGrau Ford Phase I BESS</w:t>
      </w:r>
      <w:r w:rsidR="006E3B3C">
        <w:t>,</w:t>
      </w:r>
      <w:r w:rsidR="001C2356">
        <w:t xml:space="preserve"> </w:t>
      </w:r>
      <w:r w:rsidR="00586975">
        <w:t>which is</w:t>
      </w:r>
      <w:r w:rsidR="001C2356">
        <w:t xml:space="preserve"> </w:t>
      </w:r>
      <w:r w:rsidR="00CE1ADD">
        <w:t>a 265 MW BESS project</w:t>
      </w:r>
      <w:r w:rsidR="006E3B3C">
        <w:t xml:space="preserve"> </w:t>
      </w:r>
      <w:r w:rsidR="00CE1ADD">
        <w:t xml:space="preserve">described in </w:t>
      </w:r>
      <w:r w:rsidR="006E3B3C">
        <w:t xml:space="preserve">its August </w:t>
      </w:r>
      <w:r w:rsidR="00823BB2">
        <w:t>9, 2024</w:t>
      </w:r>
      <w:r w:rsidR="006E3B3C">
        <w:t xml:space="preserve"> </w:t>
      </w:r>
      <w:r w:rsidR="001C2356">
        <w:t xml:space="preserve">Engineering, Procurement, and Construction </w:t>
      </w:r>
      <w:r w:rsidR="00DA49B5">
        <w:t xml:space="preserve">(“EPC”) </w:t>
      </w:r>
      <w:r w:rsidR="001C2356">
        <w:t>Agreement Compliance Filing</w:t>
      </w:r>
      <w:r w:rsidR="000C4ADD">
        <w:t xml:space="preserve"> in Docket No. 44160</w:t>
      </w:r>
      <w:r w:rsidR="001C2356">
        <w:t xml:space="preserve"> (“Compliance Filing”). </w:t>
      </w:r>
      <w:r w:rsidR="003B0E49">
        <w:t xml:space="preserve">The specific issues that we address in our testimony include the review of the costs </w:t>
      </w:r>
      <w:r w:rsidR="00431D14">
        <w:t xml:space="preserve">estimated </w:t>
      </w:r>
      <w:r w:rsidR="003B0E49">
        <w:t>to build the BESS projects</w:t>
      </w:r>
      <w:r w:rsidR="00F706ED">
        <w:t xml:space="preserve">, the Company’s requested certified amount, </w:t>
      </w:r>
      <w:r w:rsidR="003B0E49">
        <w:t xml:space="preserve">and the reporting requirements associated with the </w:t>
      </w:r>
      <w:r w:rsidR="00431D14">
        <w:t>construction of these projects</w:t>
      </w:r>
      <w:r w:rsidR="003B0E49">
        <w:t>.</w:t>
      </w:r>
    </w:p>
    <w:p w14:paraId="7184B2EA" w14:textId="12C12F48" w:rsidR="004515F2" w:rsidRDefault="00530B9F" w:rsidP="003F5AA0">
      <w:pPr>
        <w:spacing w:line="480" w:lineRule="auto"/>
        <w:ind w:left="720"/>
        <w:jc w:val="both"/>
      </w:pPr>
      <w:r w:rsidRPr="00530B9F">
        <w:t>On September 4, 2024, the Commission approved</w:t>
      </w:r>
      <w:r w:rsidR="00F24706" w:rsidRPr="00530B9F">
        <w:t xml:space="preserve"> </w:t>
      </w:r>
      <w:r w:rsidR="00801D26">
        <w:t xml:space="preserve">a </w:t>
      </w:r>
      <w:r w:rsidRPr="00530B9F">
        <w:t xml:space="preserve">Procedural and Scheduling Order </w:t>
      </w:r>
      <w:r w:rsidR="00801D26">
        <w:t xml:space="preserve">that </w:t>
      </w:r>
      <w:r w:rsidR="00631C80">
        <w:t>consolidate</w:t>
      </w:r>
      <w:r w:rsidR="00F30FE5">
        <w:t>d</w:t>
      </w:r>
      <w:r w:rsidR="00631C80">
        <w:t xml:space="preserve"> consideration of the Company’s Application and the Company’s </w:t>
      </w:r>
      <w:r w:rsidR="00B818BA">
        <w:t xml:space="preserve">Compliance </w:t>
      </w:r>
      <w:r w:rsidR="00631C80">
        <w:lastRenderedPageBreak/>
        <w:t xml:space="preserve">Filing </w:t>
      </w:r>
      <w:r w:rsidR="00605272">
        <w:t xml:space="preserve">from </w:t>
      </w:r>
      <w:r w:rsidR="00631C80">
        <w:t xml:space="preserve">Docket No. 44160 into the evidentiary proceedings under </w:t>
      </w:r>
      <w:r w:rsidR="00801D26">
        <w:t>this docket</w:t>
      </w:r>
      <w:r w:rsidRPr="00530B9F">
        <w:t xml:space="preserve">. </w:t>
      </w:r>
      <w:r w:rsidR="00E90FC1">
        <w:t xml:space="preserve">The Robins, Moody, Hammond, </w:t>
      </w:r>
      <w:r w:rsidR="00F30FE5">
        <w:t xml:space="preserve">and </w:t>
      </w:r>
      <w:r w:rsidR="00E90FC1">
        <w:t>Mc</w:t>
      </w:r>
      <w:r w:rsidR="00CE1ADD">
        <w:t>G</w:t>
      </w:r>
      <w:r w:rsidR="00E90FC1">
        <w:t>rau Ford Phase</w:t>
      </w:r>
      <w:r w:rsidR="00F30FE5">
        <w:t>s</w:t>
      </w:r>
      <w:r w:rsidR="00E90FC1">
        <w:t xml:space="preserve"> I</w:t>
      </w:r>
      <w:r w:rsidR="00CE1ADD">
        <w:t xml:space="preserve"> </w:t>
      </w:r>
      <w:r w:rsidR="00567923">
        <w:t xml:space="preserve">and </w:t>
      </w:r>
      <w:r w:rsidR="00E90FC1">
        <w:t xml:space="preserve">II </w:t>
      </w:r>
      <w:r w:rsidR="0071091E">
        <w:t xml:space="preserve">projects will collectively be referred </w:t>
      </w:r>
      <w:r w:rsidR="0018463D">
        <w:t>as the “Five BESS Projects”</w:t>
      </w:r>
      <w:r w:rsidR="00E90FC1">
        <w:t xml:space="preserve"> </w:t>
      </w:r>
      <w:r w:rsidR="00F30FE5">
        <w:t>for</w:t>
      </w:r>
      <w:r w:rsidR="00E90FC1">
        <w:t xml:space="preserve"> th</w:t>
      </w:r>
      <w:r w:rsidR="008B78C6">
        <w:t xml:space="preserve">e remainder of </w:t>
      </w:r>
      <w:r w:rsidR="00117FFD">
        <w:t xml:space="preserve">our </w:t>
      </w:r>
      <w:r w:rsidR="00E90FC1">
        <w:t>testimony</w:t>
      </w:r>
      <w:r w:rsidR="0018463D">
        <w:t xml:space="preserve">.  </w:t>
      </w:r>
    </w:p>
    <w:p w14:paraId="5874E400" w14:textId="598EAB9F" w:rsidR="00F706ED" w:rsidRPr="008C5B6C" w:rsidRDefault="00CF78B7" w:rsidP="00F706ED">
      <w:pPr>
        <w:spacing w:before="480" w:line="480" w:lineRule="auto"/>
        <w:ind w:left="720" w:hanging="720"/>
        <w:jc w:val="both"/>
        <w:rPr>
          <w:b/>
        </w:rPr>
      </w:pPr>
      <w:r w:rsidRPr="008C5B6C">
        <w:rPr>
          <w:b/>
        </w:rPr>
        <w:t xml:space="preserve">Q. </w:t>
      </w:r>
      <w:r w:rsidRPr="008C5B6C">
        <w:rPr>
          <w:b/>
        </w:rPr>
        <w:tab/>
      </w:r>
      <w:r w:rsidR="00F706ED" w:rsidRPr="008C5B6C">
        <w:rPr>
          <w:b/>
        </w:rPr>
        <w:t>PLEASE SUMMARIZE YOUR CONCLUSIONS AND</w:t>
      </w:r>
      <w:r w:rsidR="007550E2">
        <w:rPr>
          <w:b/>
        </w:rPr>
        <w:t xml:space="preserve"> </w:t>
      </w:r>
      <w:r w:rsidR="00F706ED" w:rsidRPr="008C5B6C">
        <w:rPr>
          <w:b/>
        </w:rPr>
        <w:t>RECOMMENDATIONS.</w:t>
      </w:r>
    </w:p>
    <w:p w14:paraId="472324D5" w14:textId="248206E5" w:rsidR="008F0735" w:rsidRDefault="00CF78B7" w:rsidP="007072A2">
      <w:pPr>
        <w:spacing w:line="480" w:lineRule="auto"/>
        <w:ind w:left="720" w:hanging="720"/>
        <w:jc w:val="both"/>
      </w:pPr>
      <w:r w:rsidRPr="008C5B6C">
        <w:t>A.</w:t>
      </w:r>
      <w:r w:rsidRPr="008C5B6C">
        <w:tab/>
      </w:r>
      <w:r w:rsidR="00472DAE">
        <w:t xml:space="preserve">Based on our review of the Company’s filings, testimony, data request responses, and other pertinent information for this case, we have the following recommendations for the Commission’s consideration: </w:t>
      </w:r>
    </w:p>
    <w:p w14:paraId="08F13AAE" w14:textId="07A52307" w:rsidR="003958AD" w:rsidRDefault="00870F8A" w:rsidP="003958AD">
      <w:pPr>
        <w:pStyle w:val="ListParagraph"/>
        <w:numPr>
          <w:ilvl w:val="0"/>
          <w:numId w:val="5"/>
        </w:numPr>
        <w:spacing w:line="480" w:lineRule="auto"/>
        <w:jc w:val="both"/>
      </w:pPr>
      <w:r>
        <w:t>T</w:t>
      </w:r>
      <w:r w:rsidR="003958AD">
        <w:t xml:space="preserve">he Company </w:t>
      </w:r>
      <w:r>
        <w:t xml:space="preserve">should </w:t>
      </w:r>
      <w:r w:rsidR="00376CF2">
        <w:t>provide</w:t>
      </w:r>
      <w:r w:rsidR="003958AD">
        <w:t xml:space="preserve"> </w:t>
      </w:r>
      <w:r w:rsidR="000F6590">
        <w:t xml:space="preserve">updated </w:t>
      </w:r>
      <w:r w:rsidR="000F6590" w:rsidRPr="000F6590">
        <w:t>costs of augmentation, actual decline rates in duration, and performance of BESS pre- and post-augmentation</w:t>
      </w:r>
      <w:r w:rsidR="000F6590">
        <w:t xml:space="preserve"> </w:t>
      </w:r>
      <w:r w:rsidR="003958AD">
        <w:t xml:space="preserve">in </w:t>
      </w:r>
      <w:r w:rsidR="00376CF2">
        <w:t>an</w:t>
      </w:r>
      <w:r w:rsidR="003958AD">
        <w:t xml:space="preserve"> Annual BESS</w:t>
      </w:r>
      <w:r w:rsidR="00376CF2">
        <w:t xml:space="preserve"> Report</w:t>
      </w:r>
      <w:r w:rsidR="003958AD">
        <w:t xml:space="preserve">. </w:t>
      </w:r>
    </w:p>
    <w:p w14:paraId="086A28CA" w14:textId="2F6CEE9B" w:rsidR="003958AD" w:rsidRDefault="008B4534" w:rsidP="003958AD">
      <w:pPr>
        <w:pStyle w:val="ListParagraph"/>
        <w:numPr>
          <w:ilvl w:val="0"/>
          <w:numId w:val="5"/>
        </w:numPr>
        <w:spacing w:line="480" w:lineRule="auto"/>
        <w:jc w:val="both"/>
      </w:pPr>
      <w:r>
        <w:t xml:space="preserve">The Company should </w:t>
      </w:r>
      <w:r w:rsidR="00003E65">
        <w:t xml:space="preserve">be required to </w:t>
      </w:r>
      <w:r w:rsidR="003958AD">
        <w:t>file quarterly Construction Monitoring Reports for the Five BESS Projects.</w:t>
      </w:r>
    </w:p>
    <w:p w14:paraId="0A54B767" w14:textId="087BCD1A" w:rsidR="003958AD" w:rsidRDefault="008B4534" w:rsidP="003958AD">
      <w:pPr>
        <w:pStyle w:val="ListParagraph"/>
        <w:numPr>
          <w:ilvl w:val="0"/>
          <w:numId w:val="5"/>
        </w:numPr>
        <w:spacing w:line="480" w:lineRule="auto"/>
        <w:jc w:val="both"/>
      </w:pPr>
      <w:r>
        <w:t>The</w:t>
      </w:r>
      <w:r w:rsidR="003958AD">
        <w:t xml:space="preserve"> </w:t>
      </w:r>
      <w:r w:rsidR="00003E65">
        <w:t xml:space="preserve">Commission should approve the </w:t>
      </w:r>
      <w:r w:rsidR="003958AD">
        <w:t xml:space="preserve">Company’s proposal to include </w:t>
      </w:r>
      <w:r w:rsidR="00DA6883" w:rsidRPr="00DA6883">
        <w:t>information on capital expenditures and financial cost data, detailed schedule reporting on critical path activities, status updates on the procurement of any new licenses and permits, variances in major contracts, and the procurement status of long-lead time equipmen</w:t>
      </w:r>
      <w:r w:rsidR="00DA6883">
        <w:t xml:space="preserve">t </w:t>
      </w:r>
      <w:r w:rsidR="003958AD">
        <w:t xml:space="preserve">in </w:t>
      </w:r>
      <w:r w:rsidR="00376CF2">
        <w:t>the</w:t>
      </w:r>
      <w:r w:rsidR="003958AD">
        <w:t xml:space="preserve"> Construction Monitoring Reports. </w:t>
      </w:r>
      <w:r w:rsidR="000F6590">
        <w:t xml:space="preserve">The </w:t>
      </w:r>
      <w:r w:rsidR="00376CF2">
        <w:t xml:space="preserve">Company </w:t>
      </w:r>
      <w:r w:rsidR="000F6590">
        <w:t>should</w:t>
      </w:r>
      <w:r w:rsidR="00376CF2">
        <w:t xml:space="preserve"> </w:t>
      </w:r>
      <w:r w:rsidR="00431D14">
        <w:t xml:space="preserve">also </w:t>
      </w:r>
      <w:r w:rsidR="00C72A7F">
        <w:t xml:space="preserve">be required to </w:t>
      </w:r>
      <w:r w:rsidR="00376CF2">
        <w:t xml:space="preserve">include </w:t>
      </w:r>
      <w:r w:rsidR="00DA6883" w:rsidRPr="00DA6883">
        <w:t>information</w:t>
      </w:r>
      <w:r w:rsidR="00003E65">
        <w:t xml:space="preserve"> in the Construction Monitoring Reports</w:t>
      </w:r>
      <w:r w:rsidR="00376CF2">
        <w:t xml:space="preserve"> regarding</w:t>
      </w:r>
      <w:r w:rsidR="00DA6883" w:rsidRPr="00DA6883">
        <w:t xml:space="preserve"> contingency assessment, construction work in progress</w:t>
      </w:r>
      <w:r w:rsidR="00376CF2">
        <w:t xml:space="preserve"> (“CWIP”)</w:t>
      </w:r>
      <w:r w:rsidR="00DA6883" w:rsidRPr="00DA6883">
        <w:t>, allowance for funds used during construction</w:t>
      </w:r>
      <w:r w:rsidR="00376CF2">
        <w:t xml:space="preserve"> (“AFUDC”)</w:t>
      </w:r>
      <w:r w:rsidR="00DA6883" w:rsidRPr="00DA6883">
        <w:t>, and Ad Valorem balances</w:t>
      </w:r>
      <w:r w:rsidR="00003E65">
        <w:t>.</w:t>
      </w:r>
      <w:r w:rsidR="00376CF2">
        <w:t xml:space="preserve"> </w:t>
      </w:r>
    </w:p>
    <w:p w14:paraId="5B738637" w14:textId="45DF9B36" w:rsidR="00DA6883" w:rsidRDefault="008B4534" w:rsidP="003958AD">
      <w:pPr>
        <w:pStyle w:val="ListParagraph"/>
        <w:numPr>
          <w:ilvl w:val="0"/>
          <w:numId w:val="5"/>
        </w:numPr>
        <w:spacing w:line="480" w:lineRule="auto"/>
        <w:jc w:val="both"/>
      </w:pPr>
      <w:r>
        <w:lastRenderedPageBreak/>
        <w:t>The</w:t>
      </w:r>
      <w:r w:rsidR="00DA6883">
        <w:t xml:space="preserve"> Company’s request to proceed with the McGrau Ford Phase I BESS Project</w:t>
      </w:r>
      <w:r w:rsidR="000F6590">
        <w:t xml:space="preserve"> should be approved</w:t>
      </w:r>
      <w:r w:rsidR="00DA6883">
        <w:t>.</w:t>
      </w:r>
    </w:p>
    <w:p w14:paraId="75F503D0" w14:textId="63F1D971" w:rsidR="00DA6883" w:rsidRDefault="008B4534" w:rsidP="00DA6883">
      <w:pPr>
        <w:pStyle w:val="ListParagraph"/>
        <w:numPr>
          <w:ilvl w:val="0"/>
          <w:numId w:val="5"/>
        </w:numPr>
        <w:spacing w:line="480" w:lineRule="auto"/>
        <w:jc w:val="both"/>
      </w:pPr>
      <w:r>
        <w:t>Th</w:t>
      </w:r>
      <w:r w:rsidR="000F6590">
        <w:t xml:space="preserve">e </w:t>
      </w:r>
      <w:r w:rsidR="00DA6883">
        <w:t>Company’s request to certify the Robins, Moody, Hammond, and McGrau Ford Phase II BESS Projects</w:t>
      </w:r>
      <w:r w:rsidR="000F6590">
        <w:t xml:space="preserve"> should be approved</w:t>
      </w:r>
      <w:r w:rsidR="00DA6883">
        <w:t>.</w:t>
      </w:r>
    </w:p>
    <w:p w14:paraId="5852EAC9" w14:textId="7A1348B1" w:rsidR="00DA6883" w:rsidRDefault="000F6590" w:rsidP="00DA6883">
      <w:pPr>
        <w:pStyle w:val="ListParagraph"/>
        <w:numPr>
          <w:ilvl w:val="0"/>
          <w:numId w:val="5"/>
        </w:numPr>
        <w:spacing w:line="480" w:lineRule="auto"/>
        <w:jc w:val="both"/>
      </w:pPr>
      <w:r>
        <w:t xml:space="preserve">The </w:t>
      </w:r>
      <w:r w:rsidR="00DA6883">
        <w:t>Company’s requested certified amounts for the Five BESS Projects</w:t>
      </w:r>
      <w:r>
        <w:t xml:space="preserve"> should be </w:t>
      </w:r>
      <w:r w:rsidR="00431D14">
        <w:t xml:space="preserve">reduced by the </w:t>
      </w:r>
      <w:r w:rsidR="00E376CD">
        <w:t xml:space="preserve">contingency </w:t>
      </w:r>
      <w:r w:rsidR="00431D14">
        <w:t xml:space="preserve">amount </w:t>
      </w:r>
      <w:r w:rsidR="002B4A5D" w:rsidRPr="009F601E">
        <w:t xml:space="preserve">of </w:t>
      </w:r>
      <w:r w:rsidR="002E5485" w:rsidRPr="000816F8">
        <w:rPr>
          <w:highlight w:val="black"/>
        </w:rPr>
        <w:t>XXXXXXX</w:t>
      </w:r>
      <w:r w:rsidR="002B4A5D" w:rsidRPr="009F601E">
        <w:t xml:space="preserve"> </w:t>
      </w:r>
      <w:r w:rsidR="00431D14">
        <w:t xml:space="preserve">for </w:t>
      </w:r>
      <w:r w:rsidR="007E1164" w:rsidRPr="007E1164">
        <w:t>Changes in Import Tariffs or other Regulatory Impacts.</w:t>
      </w:r>
      <w:r w:rsidR="002B4A5D">
        <w:t xml:space="preserve"> T</w:t>
      </w:r>
      <w:r w:rsidR="00DA2F43">
        <w:t>herefore</w:t>
      </w:r>
      <w:r w:rsidR="00674685">
        <w:t>,</w:t>
      </w:r>
      <w:r w:rsidR="00DA2F43">
        <w:t xml:space="preserve"> Staff’s recommended total certified cost amount</w:t>
      </w:r>
      <w:r w:rsidR="007305AA">
        <w:t xml:space="preserve"> for the Five BESS Projects</w:t>
      </w:r>
      <w:r w:rsidR="00DA2F43">
        <w:t xml:space="preserve">, </w:t>
      </w:r>
      <w:r w:rsidR="00674685">
        <w:t>provided</w:t>
      </w:r>
      <w:r w:rsidR="00DA2F43">
        <w:t xml:space="preserve"> in Table </w:t>
      </w:r>
      <w:r w:rsidR="001F1912">
        <w:t>10</w:t>
      </w:r>
      <w:r w:rsidR="00674685" w:rsidRPr="001F1912">
        <w:t>, is</w:t>
      </w:r>
      <w:r w:rsidR="001F1912" w:rsidRPr="001F1912">
        <w:t xml:space="preserve"> </w:t>
      </w:r>
      <w:r w:rsidR="000816F8" w:rsidRPr="000816F8">
        <w:rPr>
          <w:highlight w:val="black"/>
        </w:rPr>
        <w:t>XXXXXXXX</w:t>
      </w:r>
      <w:r w:rsidR="00DA6883">
        <w:t>.</w:t>
      </w:r>
      <w:r w:rsidR="009F601E">
        <w:t xml:space="preserve">  </w:t>
      </w:r>
      <w:r w:rsidR="009F601E" w:rsidRPr="009F601E">
        <w:t>Staff will monitor the status of the risks identified along with the cumulative contingency spending through the Construction Monitoring Reports.</w:t>
      </w:r>
    </w:p>
    <w:p w14:paraId="731AC3C4" w14:textId="22D942D3" w:rsidR="00CF78B7" w:rsidRDefault="00CF78B7" w:rsidP="00CF78B7">
      <w:pPr>
        <w:spacing w:before="480" w:line="480" w:lineRule="auto"/>
        <w:ind w:left="720" w:hanging="720"/>
        <w:jc w:val="both"/>
        <w:rPr>
          <w:b/>
          <w:bCs/>
        </w:rPr>
      </w:pPr>
      <w:r>
        <w:rPr>
          <w:b/>
          <w:bCs/>
        </w:rPr>
        <w:t>II.</w:t>
      </w:r>
      <w:r>
        <w:rPr>
          <w:b/>
          <w:bCs/>
        </w:rPr>
        <w:tab/>
      </w:r>
      <w:r w:rsidR="00CE1ADD">
        <w:rPr>
          <w:b/>
          <w:bCs/>
        </w:rPr>
        <w:t>BACKGROUND</w:t>
      </w:r>
    </w:p>
    <w:p w14:paraId="4C20FB85" w14:textId="6BF68309" w:rsidR="00F30FE5" w:rsidRDefault="00CF78B7" w:rsidP="00FB736B">
      <w:pPr>
        <w:spacing w:before="480" w:line="480" w:lineRule="auto"/>
        <w:ind w:left="720" w:hanging="720"/>
        <w:jc w:val="both"/>
        <w:rPr>
          <w:b/>
          <w:bCs/>
        </w:rPr>
      </w:pPr>
      <w:r w:rsidRPr="001933C1">
        <w:rPr>
          <w:b/>
          <w:bCs/>
        </w:rPr>
        <w:t>Q.</w:t>
      </w:r>
      <w:r w:rsidRPr="001933C1">
        <w:rPr>
          <w:b/>
          <w:bCs/>
        </w:rPr>
        <w:tab/>
      </w:r>
      <w:r w:rsidR="00F30FE5">
        <w:rPr>
          <w:b/>
          <w:bCs/>
        </w:rPr>
        <w:t xml:space="preserve">PLEASE DESCRIBE THE COMPANY’S </w:t>
      </w:r>
      <w:r w:rsidR="004F0772">
        <w:rPr>
          <w:b/>
          <w:bCs/>
        </w:rPr>
        <w:t xml:space="preserve">SPECIFIC REQUESTS </w:t>
      </w:r>
      <w:r w:rsidR="000917B4">
        <w:rPr>
          <w:b/>
          <w:bCs/>
        </w:rPr>
        <w:t xml:space="preserve">CONTAINED </w:t>
      </w:r>
      <w:r w:rsidR="004F0772">
        <w:rPr>
          <w:b/>
          <w:bCs/>
        </w:rPr>
        <w:t xml:space="preserve">IN </w:t>
      </w:r>
      <w:r w:rsidR="00376ACC">
        <w:rPr>
          <w:b/>
          <w:bCs/>
        </w:rPr>
        <w:t>THE</w:t>
      </w:r>
      <w:r w:rsidR="00DC6749">
        <w:rPr>
          <w:b/>
          <w:bCs/>
        </w:rPr>
        <w:t xml:space="preserve"> </w:t>
      </w:r>
      <w:r w:rsidR="00F30FE5">
        <w:rPr>
          <w:b/>
          <w:bCs/>
        </w:rPr>
        <w:t>APPLICATION</w:t>
      </w:r>
      <w:r w:rsidR="004F0772">
        <w:rPr>
          <w:b/>
          <w:bCs/>
        </w:rPr>
        <w:t xml:space="preserve"> AND COMPLIANCE </w:t>
      </w:r>
      <w:r w:rsidR="00CF2659">
        <w:rPr>
          <w:b/>
          <w:bCs/>
        </w:rPr>
        <w:t>FILING</w:t>
      </w:r>
      <w:r w:rsidR="000917B4">
        <w:rPr>
          <w:b/>
          <w:bCs/>
        </w:rPr>
        <w:t>S</w:t>
      </w:r>
      <w:r w:rsidR="00CF2659">
        <w:rPr>
          <w:b/>
          <w:bCs/>
        </w:rPr>
        <w:t>.</w:t>
      </w:r>
    </w:p>
    <w:p w14:paraId="320247AE" w14:textId="1EEB479A" w:rsidR="00F30FE5" w:rsidRPr="0086569D" w:rsidRDefault="016EA954" w:rsidP="00FB736B">
      <w:pPr>
        <w:spacing w:after="240" w:line="480" w:lineRule="auto"/>
        <w:ind w:left="720" w:hanging="720"/>
        <w:jc w:val="both"/>
      </w:pPr>
      <w:r>
        <w:t>A.</w:t>
      </w:r>
      <w:r w:rsidR="00F30FE5">
        <w:tab/>
      </w:r>
      <w:r w:rsidR="7E78800C">
        <w:t xml:space="preserve">In </w:t>
      </w:r>
      <w:r w:rsidR="16ABE0E2">
        <w:t>the</w:t>
      </w:r>
      <w:r w:rsidR="7E78800C">
        <w:t xml:space="preserve"> Application, t</w:t>
      </w:r>
      <w:r w:rsidR="4C849CDA">
        <w:t xml:space="preserve">he Company </w:t>
      </w:r>
      <w:r w:rsidR="00092E02">
        <w:t>requested</w:t>
      </w:r>
      <w:r w:rsidR="7E78800C">
        <w:t xml:space="preserve"> that the Commission certify</w:t>
      </w:r>
      <w:r w:rsidR="4DD2CCE6">
        <w:t xml:space="preserve"> </w:t>
      </w:r>
      <w:r w:rsidR="6C2EA23F">
        <w:t xml:space="preserve">500 MW of Company-owned BESS projects </w:t>
      </w:r>
      <w:r w:rsidR="16ABE0E2">
        <w:t xml:space="preserve">located </w:t>
      </w:r>
      <w:r w:rsidR="6C2EA23F">
        <w:t>at</w:t>
      </w:r>
      <w:r w:rsidR="7E78800C">
        <w:t xml:space="preserve"> Robins, Moody, Hammond, </w:t>
      </w:r>
      <w:r w:rsidR="6C2EA23F">
        <w:t xml:space="preserve">and </w:t>
      </w:r>
      <w:r w:rsidR="7E78800C">
        <w:t xml:space="preserve">McGrau Ford Phase II </w:t>
      </w:r>
      <w:r w:rsidR="6C2EA23F">
        <w:t>sites</w:t>
      </w:r>
      <w:r w:rsidR="7E78800C">
        <w:t xml:space="preserve"> and approve </w:t>
      </w:r>
      <w:r w:rsidR="72471FE2" w:rsidRPr="71A8969D">
        <w:rPr>
          <w:rStyle w:val="normaltextrun"/>
          <w:rFonts w:eastAsiaTheme="minorEastAsia"/>
        </w:rPr>
        <w:t>the total certified amounts</w:t>
      </w:r>
      <w:r w:rsidR="72471FE2" w:rsidRPr="71A8969D">
        <w:rPr>
          <w:rStyle w:val="normaltextrun"/>
          <w:rFonts w:ascii="Calibri" w:eastAsiaTheme="minorEastAsia" w:hAnsi="Calibri" w:cs="Calibri"/>
          <w:sz w:val="22"/>
          <w:szCs w:val="22"/>
        </w:rPr>
        <w:t xml:space="preserve"> </w:t>
      </w:r>
      <w:r w:rsidR="00092E02">
        <w:t>for each BESS project</w:t>
      </w:r>
      <w:r w:rsidR="7E78800C">
        <w:t>. In its Compliance Filing, the Company request</w:t>
      </w:r>
      <w:r w:rsidR="00092E02">
        <w:t>ed</w:t>
      </w:r>
      <w:r w:rsidR="7E78800C">
        <w:t xml:space="preserve"> that the Commission allow the Company to proceed with the McGrau Ford Phase I BESS Project and approve </w:t>
      </w:r>
      <w:r w:rsidR="16ABE0E2">
        <w:t>the</w:t>
      </w:r>
      <w:r w:rsidR="7E78800C">
        <w:t xml:space="preserve"> </w:t>
      </w:r>
      <w:r w:rsidR="1A4DD619">
        <w:t xml:space="preserve">deemed </w:t>
      </w:r>
      <w:r w:rsidR="7E78800C">
        <w:t xml:space="preserve">certified </w:t>
      </w:r>
      <w:r w:rsidR="391F5673">
        <w:t>cost</w:t>
      </w:r>
      <w:r w:rsidR="16ABE0E2">
        <w:t xml:space="preserve"> contained in the filing</w:t>
      </w:r>
      <w:r w:rsidR="7E78800C">
        <w:t xml:space="preserve">. </w:t>
      </w:r>
    </w:p>
    <w:p w14:paraId="64D53129" w14:textId="60928EF1" w:rsidR="00CF78B7" w:rsidRDefault="0086569D" w:rsidP="00FB736B">
      <w:pPr>
        <w:spacing w:line="480" w:lineRule="auto"/>
        <w:ind w:left="720" w:hanging="720"/>
        <w:jc w:val="both"/>
        <w:rPr>
          <w:b/>
          <w:bCs/>
        </w:rPr>
      </w:pPr>
      <w:r>
        <w:rPr>
          <w:b/>
          <w:bCs/>
        </w:rPr>
        <w:lastRenderedPageBreak/>
        <w:t>Q.</w:t>
      </w:r>
      <w:r>
        <w:rPr>
          <w:b/>
          <w:bCs/>
        </w:rPr>
        <w:tab/>
      </w:r>
      <w:r w:rsidR="00591E2C">
        <w:rPr>
          <w:b/>
          <w:bCs/>
        </w:rPr>
        <w:t xml:space="preserve">HAS </w:t>
      </w:r>
      <w:r w:rsidR="003F1834">
        <w:rPr>
          <w:b/>
          <w:bCs/>
        </w:rPr>
        <w:t>THE COMMI</w:t>
      </w:r>
      <w:r w:rsidR="00F71482">
        <w:rPr>
          <w:b/>
          <w:bCs/>
        </w:rPr>
        <w:t>S</w:t>
      </w:r>
      <w:r w:rsidR="003F1834">
        <w:rPr>
          <w:b/>
          <w:bCs/>
        </w:rPr>
        <w:t xml:space="preserve">SION </w:t>
      </w:r>
      <w:r w:rsidR="006E7A59">
        <w:rPr>
          <w:b/>
          <w:bCs/>
        </w:rPr>
        <w:t xml:space="preserve">ALREADY </w:t>
      </w:r>
      <w:r w:rsidR="00F30FE5">
        <w:rPr>
          <w:b/>
          <w:bCs/>
        </w:rPr>
        <w:t xml:space="preserve">AUTHORIZED </w:t>
      </w:r>
      <w:r w:rsidR="003F1834">
        <w:rPr>
          <w:b/>
          <w:bCs/>
        </w:rPr>
        <w:t xml:space="preserve">THE COMPANY TO DEVELOP </w:t>
      </w:r>
      <w:r w:rsidR="003D585A">
        <w:rPr>
          <w:b/>
          <w:bCs/>
        </w:rPr>
        <w:t>500 MW OF BESS PROJECTS?</w:t>
      </w:r>
    </w:p>
    <w:p w14:paraId="5A55816A" w14:textId="6BFE7DCF" w:rsidR="009E65F7" w:rsidRDefault="6886112D" w:rsidP="00FB736B">
      <w:pPr>
        <w:spacing w:line="480" w:lineRule="auto"/>
        <w:ind w:left="720" w:hanging="720"/>
        <w:jc w:val="both"/>
        <w:rPr>
          <w:color w:val="000000" w:themeColor="text1"/>
        </w:rPr>
      </w:pPr>
      <w:r>
        <w:t>A.</w:t>
      </w:r>
      <w:r w:rsidRPr="71A8969D">
        <w:rPr>
          <w:b/>
          <w:bCs/>
        </w:rPr>
        <w:t xml:space="preserve"> </w:t>
      </w:r>
      <w:r w:rsidR="00CF78B7">
        <w:tab/>
      </w:r>
      <w:r w:rsidR="1C4F9A62">
        <w:t>Yes.</w:t>
      </w:r>
      <w:r w:rsidR="1C4F9A62" w:rsidRPr="71A8969D">
        <w:rPr>
          <w:b/>
          <w:bCs/>
        </w:rPr>
        <w:t xml:space="preserve"> </w:t>
      </w:r>
      <w:r w:rsidR="772668BD">
        <w:t xml:space="preserve">On April 26, 2024, </w:t>
      </w:r>
      <w:r w:rsidR="34605BD8">
        <w:t xml:space="preserve">the Commission </w:t>
      </w:r>
      <w:r w:rsidR="6C50FA8B">
        <w:t xml:space="preserve">issued </w:t>
      </w:r>
      <w:r w:rsidR="72471FE2">
        <w:t>the</w:t>
      </w:r>
      <w:r w:rsidR="6C50FA8B">
        <w:t xml:space="preserve"> </w:t>
      </w:r>
      <w:r w:rsidR="34605BD8">
        <w:t>2023 IRP Update Order Adopting Stipulat</w:t>
      </w:r>
      <w:r w:rsidR="47B318B0">
        <w:t>ed A</w:t>
      </w:r>
      <w:r w:rsidR="533BBF92">
        <w:t>greement</w:t>
      </w:r>
      <w:r w:rsidR="772668BD">
        <w:t xml:space="preserve"> </w:t>
      </w:r>
      <w:r w:rsidR="45AE4D81">
        <w:t>in Docket No. 55378</w:t>
      </w:r>
      <w:r w:rsidR="72471FE2">
        <w:t xml:space="preserve"> (“IRP Update Order”)</w:t>
      </w:r>
      <w:r w:rsidR="45AE4D81">
        <w:t xml:space="preserve">, </w:t>
      </w:r>
      <w:r w:rsidR="72471FE2">
        <w:t xml:space="preserve">which </w:t>
      </w:r>
      <w:r w:rsidR="772668BD">
        <w:t>authoriz</w:t>
      </w:r>
      <w:r w:rsidR="72471FE2">
        <w:t>ed</w:t>
      </w:r>
      <w:r w:rsidR="772668BD">
        <w:t xml:space="preserve"> the Company to develop, own, and operate up to 500 MW of BESS resources. </w:t>
      </w:r>
      <w:r w:rsidR="40350E7C">
        <w:t xml:space="preserve">Specifically, </w:t>
      </w:r>
      <w:r w:rsidR="7D758497" w:rsidRPr="71A8969D">
        <w:rPr>
          <w:color w:val="000000" w:themeColor="text1"/>
        </w:rPr>
        <w:t>Paragraph</w:t>
      </w:r>
      <w:r w:rsidR="1C4F9A62" w:rsidRPr="71A8969D">
        <w:rPr>
          <w:color w:val="000000" w:themeColor="text1"/>
        </w:rPr>
        <w:t xml:space="preserve"> </w:t>
      </w:r>
      <w:r w:rsidR="0AE188DF" w:rsidRPr="71A8969D">
        <w:rPr>
          <w:color w:val="000000" w:themeColor="text1"/>
        </w:rPr>
        <w:t>7</w:t>
      </w:r>
      <w:r w:rsidR="7D758497" w:rsidRPr="71A8969D">
        <w:rPr>
          <w:color w:val="000000" w:themeColor="text1"/>
        </w:rPr>
        <w:t xml:space="preserve"> of th</w:t>
      </w:r>
      <w:r w:rsidR="4B58A69E" w:rsidRPr="71A8969D">
        <w:rPr>
          <w:color w:val="000000" w:themeColor="text1"/>
        </w:rPr>
        <w:t>e</w:t>
      </w:r>
      <w:r w:rsidR="7DFD5054" w:rsidRPr="71A8969D">
        <w:rPr>
          <w:color w:val="000000" w:themeColor="text1"/>
        </w:rPr>
        <w:t xml:space="preserve"> </w:t>
      </w:r>
      <w:r w:rsidR="025D9F66" w:rsidRPr="71A8969D">
        <w:rPr>
          <w:color w:val="000000" w:themeColor="text1"/>
        </w:rPr>
        <w:t xml:space="preserve">Commission </w:t>
      </w:r>
      <w:r w:rsidR="0DFFBAB6" w:rsidRPr="71A8969D">
        <w:rPr>
          <w:color w:val="000000" w:themeColor="text1"/>
        </w:rPr>
        <w:t xml:space="preserve">approved </w:t>
      </w:r>
      <w:r w:rsidR="72471FE2" w:rsidRPr="71A8969D">
        <w:rPr>
          <w:color w:val="000000" w:themeColor="text1"/>
        </w:rPr>
        <w:t>s</w:t>
      </w:r>
      <w:r w:rsidR="7D758497" w:rsidRPr="71A8969D">
        <w:rPr>
          <w:color w:val="000000" w:themeColor="text1"/>
        </w:rPr>
        <w:t xml:space="preserve">tipulation </w:t>
      </w:r>
      <w:r w:rsidR="7236C489" w:rsidRPr="71A8969D">
        <w:rPr>
          <w:color w:val="000000" w:themeColor="text1"/>
        </w:rPr>
        <w:t>states the following</w:t>
      </w:r>
      <w:r w:rsidR="2539BC79" w:rsidRPr="71A8969D">
        <w:rPr>
          <w:color w:val="000000" w:themeColor="text1"/>
        </w:rPr>
        <w:t>:</w:t>
      </w:r>
    </w:p>
    <w:p w14:paraId="4E92E065" w14:textId="59B38D7F" w:rsidR="002803C8" w:rsidRPr="00FA38FA" w:rsidRDefault="009E65F7" w:rsidP="00FB736B">
      <w:pPr>
        <w:spacing w:after="240" w:line="276" w:lineRule="auto"/>
        <w:ind w:left="1440" w:right="720"/>
        <w:jc w:val="both"/>
        <w:rPr>
          <w:i/>
          <w:iCs/>
          <w:color w:val="000000" w:themeColor="text1"/>
        </w:rPr>
      </w:pPr>
      <w:r w:rsidRPr="00FA38FA">
        <w:rPr>
          <w:i/>
          <w:iCs/>
          <w:color w:val="000000" w:themeColor="text1"/>
        </w:rPr>
        <w:t xml:space="preserve">The Company’s request to own and operate up to a total of 1,000 MW of Battery Energy Storage Systems (“BESS”) is not approved. The Company is granted authority to develop, own, and operate up to 500 MW of BESS resources at various sites that will be identified by the Company to help meet the needs of economic development customer loads in the winter of 2026/2027. This BESS development will be exempted from the RFP process under Commission Rules 515-3-4-.04(3)(f)(6) and (7). The Company shall file for expedited certification of projects once EPC agreements for the projects have been executed. Specific reporting requirements will be determined in the certification proceeding. Should the projects not be certified, the Commission will consider, during the certification proceeding, whether any incurred project cost not useful or transferable to other potential future projects shall be deferred to a regulatory asset for recovery in the next base rate case.  The Commission will monitor the load growth under the reporting provided in Paragraph 2 and the Company or Staff may request an adjustment to the amount of BESS resources procured under this paragraph as needed to ensure that customers’ needs can be met in the winter of 2026/2027.  </w:t>
      </w:r>
    </w:p>
    <w:p w14:paraId="53343026" w14:textId="0BE3FE9C" w:rsidR="002803C8" w:rsidRDefault="002803C8" w:rsidP="007454B0">
      <w:pPr>
        <w:spacing w:before="480" w:line="480" w:lineRule="auto"/>
        <w:ind w:left="720" w:hanging="720"/>
        <w:jc w:val="both"/>
        <w:rPr>
          <w:b/>
          <w:bCs/>
          <w:color w:val="000000" w:themeColor="text1"/>
        </w:rPr>
      </w:pPr>
      <w:r w:rsidRPr="002803C8">
        <w:rPr>
          <w:b/>
          <w:bCs/>
          <w:color w:val="000000" w:themeColor="text1"/>
        </w:rPr>
        <w:t>Q.</w:t>
      </w:r>
      <w:r w:rsidRPr="002803C8">
        <w:rPr>
          <w:b/>
          <w:bCs/>
          <w:color w:val="000000" w:themeColor="text1"/>
        </w:rPr>
        <w:tab/>
      </w:r>
      <w:r w:rsidR="00F30FE5">
        <w:rPr>
          <w:b/>
          <w:bCs/>
          <w:color w:val="000000" w:themeColor="text1"/>
        </w:rPr>
        <w:t>H</w:t>
      </w:r>
      <w:r>
        <w:rPr>
          <w:b/>
          <w:bCs/>
          <w:color w:val="000000" w:themeColor="text1"/>
        </w:rPr>
        <w:t xml:space="preserve">AS THE COMPANY’S </w:t>
      </w:r>
      <w:r w:rsidR="00D1641C">
        <w:rPr>
          <w:b/>
          <w:bCs/>
          <w:color w:val="000000" w:themeColor="text1"/>
        </w:rPr>
        <w:t xml:space="preserve">SPECIFIC </w:t>
      </w:r>
      <w:r>
        <w:rPr>
          <w:b/>
          <w:bCs/>
          <w:color w:val="000000" w:themeColor="text1"/>
        </w:rPr>
        <w:t xml:space="preserve">REQUEST TO ADD BESS </w:t>
      </w:r>
      <w:r w:rsidR="0058061B">
        <w:rPr>
          <w:b/>
          <w:bCs/>
          <w:color w:val="000000" w:themeColor="text1"/>
        </w:rPr>
        <w:t>PROJECTS</w:t>
      </w:r>
      <w:r w:rsidR="004142F9">
        <w:rPr>
          <w:b/>
          <w:bCs/>
          <w:color w:val="000000" w:themeColor="text1"/>
        </w:rPr>
        <w:t xml:space="preserve"> </w:t>
      </w:r>
      <w:r w:rsidR="0058061B">
        <w:rPr>
          <w:b/>
          <w:bCs/>
          <w:color w:val="000000" w:themeColor="text1"/>
        </w:rPr>
        <w:t xml:space="preserve">AT </w:t>
      </w:r>
      <w:r>
        <w:rPr>
          <w:b/>
          <w:bCs/>
          <w:color w:val="000000" w:themeColor="text1"/>
        </w:rPr>
        <w:t xml:space="preserve">ROBINS AND MOODY AIR FORCE BASES </w:t>
      </w:r>
      <w:r w:rsidR="00F30FE5">
        <w:rPr>
          <w:b/>
          <w:bCs/>
          <w:color w:val="000000" w:themeColor="text1"/>
        </w:rPr>
        <w:t xml:space="preserve">ALREADY BEEN </w:t>
      </w:r>
      <w:r>
        <w:rPr>
          <w:b/>
          <w:bCs/>
          <w:color w:val="000000" w:themeColor="text1"/>
        </w:rPr>
        <w:t>APPROVED</w:t>
      </w:r>
      <w:r w:rsidR="00F30FE5">
        <w:rPr>
          <w:b/>
          <w:bCs/>
          <w:color w:val="000000" w:themeColor="text1"/>
        </w:rPr>
        <w:t xml:space="preserve"> BY THE COMMISSION</w:t>
      </w:r>
      <w:r>
        <w:rPr>
          <w:b/>
          <w:bCs/>
          <w:color w:val="000000" w:themeColor="text1"/>
        </w:rPr>
        <w:t>?</w:t>
      </w:r>
    </w:p>
    <w:p w14:paraId="760E995B" w14:textId="52EDBA3E" w:rsidR="002803C8" w:rsidRDefault="002803C8" w:rsidP="002803C8">
      <w:pPr>
        <w:spacing w:line="480" w:lineRule="auto"/>
        <w:ind w:left="720" w:hanging="720"/>
        <w:jc w:val="both"/>
      </w:pPr>
      <w:r>
        <w:rPr>
          <w:color w:val="000000" w:themeColor="text1"/>
        </w:rPr>
        <w:t>A.</w:t>
      </w:r>
      <w:r>
        <w:tab/>
        <w:t>Yes.</w:t>
      </w:r>
      <w:r w:rsidR="00772BD0">
        <w:t xml:space="preserve"> </w:t>
      </w:r>
      <w:r w:rsidR="000E0DFE">
        <w:t xml:space="preserve"> Paragraph 8 of the</w:t>
      </w:r>
      <w:r w:rsidR="00A414DB">
        <w:t xml:space="preserve"> </w:t>
      </w:r>
      <w:r w:rsidR="001E6672">
        <w:t xml:space="preserve">Commission </w:t>
      </w:r>
      <w:r w:rsidR="00C96BC4">
        <w:t xml:space="preserve">approved </w:t>
      </w:r>
      <w:r w:rsidR="008050AE">
        <w:t>s</w:t>
      </w:r>
      <w:r w:rsidR="000E0DFE">
        <w:t xml:space="preserve">tipulation </w:t>
      </w:r>
      <w:r w:rsidR="0058061B">
        <w:t xml:space="preserve">states </w:t>
      </w:r>
      <w:r w:rsidR="00A414DB">
        <w:t>the following</w:t>
      </w:r>
      <w:r w:rsidR="000E0DFE">
        <w:t>:</w:t>
      </w:r>
    </w:p>
    <w:p w14:paraId="63D94AF0" w14:textId="1B155E2F" w:rsidR="000E0DFE" w:rsidRPr="003C7BBB" w:rsidRDefault="000E0DFE" w:rsidP="00FB736B">
      <w:pPr>
        <w:spacing w:after="240" w:line="276" w:lineRule="auto"/>
        <w:ind w:left="1440" w:right="720"/>
        <w:jc w:val="both"/>
        <w:rPr>
          <w:i/>
          <w:iCs/>
        </w:rPr>
      </w:pPr>
      <w:r w:rsidRPr="004142F9">
        <w:rPr>
          <w:i/>
          <w:iCs/>
          <w:color w:val="000000" w:themeColor="text1"/>
        </w:rPr>
        <w:lastRenderedPageBreak/>
        <w:t>The Company’s specific request for Battery Energy Storage System (“BESS”) projects at Robins and Moody Air Force Bases are exempted from the Commission’s RFP process under Commission Rules 515-3-4-.04(3)(f)(6) and (7) and approved. The capacity of these projects is included in the 500 MW of BESS resources approved for development in Paragraph 7. The Company shall file for expedited certification of the Robins and Moody projects once the EPC agreements for the projects have been executed. The Company will file semi-annual construction monitoring reports from the date construction begins through the date of commercial operation. Specific reporting requirements will be determined in the certification proceeding. Should the projects not be certified, the Commission will consider, during the certification proceeding, whether any incurred project cost not useful or transferable to other potential future projects shall be deferred to a regulatory asset for recovery in the next base rate case.  </w:t>
      </w:r>
    </w:p>
    <w:p w14:paraId="390BED2B" w14:textId="32439872" w:rsidR="002803C8" w:rsidRDefault="002803C8" w:rsidP="007454B0">
      <w:pPr>
        <w:spacing w:before="480" w:line="480" w:lineRule="auto"/>
        <w:ind w:left="720" w:hanging="720"/>
        <w:jc w:val="both"/>
        <w:rPr>
          <w:b/>
          <w:bCs/>
          <w:color w:val="000000" w:themeColor="text1"/>
        </w:rPr>
      </w:pPr>
      <w:r w:rsidRPr="002803C8">
        <w:rPr>
          <w:b/>
          <w:bCs/>
          <w:color w:val="000000" w:themeColor="text1"/>
        </w:rPr>
        <w:t>Q.</w:t>
      </w:r>
      <w:r>
        <w:rPr>
          <w:b/>
          <w:bCs/>
          <w:color w:val="000000" w:themeColor="text1"/>
        </w:rPr>
        <w:tab/>
      </w:r>
      <w:r w:rsidR="00195C68">
        <w:rPr>
          <w:b/>
          <w:bCs/>
          <w:color w:val="000000" w:themeColor="text1"/>
        </w:rPr>
        <w:t xml:space="preserve">HAS THE COMPANY INCLUDED </w:t>
      </w:r>
      <w:r w:rsidR="00DD66E5">
        <w:rPr>
          <w:b/>
          <w:bCs/>
          <w:color w:val="000000" w:themeColor="text1"/>
        </w:rPr>
        <w:t xml:space="preserve">THE CAPACITY </w:t>
      </w:r>
      <w:r w:rsidR="003F1834">
        <w:rPr>
          <w:b/>
          <w:bCs/>
          <w:color w:val="000000" w:themeColor="text1"/>
        </w:rPr>
        <w:t>FOR</w:t>
      </w:r>
      <w:r w:rsidR="00DD66E5">
        <w:rPr>
          <w:b/>
          <w:bCs/>
          <w:color w:val="000000" w:themeColor="text1"/>
        </w:rPr>
        <w:t xml:space="preserve"> THE ROBINS AND MOODY PROJECTS </w:t>
      </w:r>
      <w:r w:rsidR="008050AE">
        <w:rPr>
          <w:b/>
          <w:bCs/>
          <w:color w:val="000000" w:themeColor="text1"/>
        </w:rPr>
        <w:t xml:space="preserve">IN </w:t>
      </w:r>
      <w:r w:rsidR="00F30FE5">
        <w:rPr>
          <w:b/>
          <w:bCs/>
          <w:color w:val="000000" w:themeColor="text1"/>
        </w:rPr>
        <w:t xml:space="preserve">ITS </w:t>
      </w:r>
      <w:r w:rsidR="00DD66E5">
        <w:rPr>
          <w:b/>
          <w:bCs/>
          <w:color w:val="000000" w:themeColor="text1"/>
        </w:rPr>
        <w:t>500 MW</w:t>
      </w:r>
      <w:r w:rsidR="0058061B">
        <w:rPr>
          <w:b/>
          <w:bCs/>
          <w:color w:val="000000" w:themeColor="text1"/>
        </w:rPr>
        <w:t xml:space="preserve"> </w:t>
      </w:r>
      <w:r w:rsidR="008050AE">
        <w:rPr>
          <w:b/>
          <w:bCs/>
          <w:color w:val="000000" w:themeColor="text1"/>
        </w:rPr>
        <w:t xml:space="preserve">BESS </w:t>
      </w:r>
      <w:r w:rsidR="0058061B">
        <w:rPr>
          <w:b/>
          <w:bCs/>
          <w:color w:val="000000" w:themeColor="text1"/>
        </w:rPr>
        <w:t>CERTIFICATION REQUEST</w:t>
      </w:r>
      <w:r w:rsidR="00F94DE1">
        <w:rPr>
          <w:b/>
          <w:bCs/>
          <w:color w:val="000000" w:themeColor="text1"/>
        </w:rPr>
        <w:t>?</w:t>
      </w:r>
    </w:p>
    <w:p w14:paraId="7A13D199" w14:textId="389D1752" w:rsidR="00383354" w:rsidRDefault="00DD66E5" w:rsidP="00F71482">
      <w:pPr>
        <w:spacing w:after="240" w:line="480" w:lineRule="auto"/>
        <w:ind w:left="720" w:hanging="720"/>
        <w:jc w:val="both"/>
        <w:rPr>
          <w:color w:val="000000" w:themeColor="text1"/>
        </w:rPr>
      </w:pPr>
      <w:r>
        <w:rPr>
          <w:color w:val="000000" w:themeColor="text1"/>
        </w:rPr>
        <w:t>A.</w:t>
      </w:r>
      <w:r>
        <w:rPr>
          <w:color w:val="000000" w:themeColor="text1"/>
        </w:rPr>
        <w:tab/>
        <w:t xml:space="preserve">Yes. </w:t>
      </w:r>
      <w:r w:rsidR="00946303">
        <w:rPr>
          <w:color w:val="000000" w:themeColor="text1"/>
        </w:rPr>
        <w:t xml:space="preserve">The capacity for </w:t>
      </w:r>
      <w:r w:rsidR="006E1B42">
        <w:rPr>
          <w:color w:val="000000" w:themeColor="text1"/>
        </w:rPr>
        <w:t xml:space="preserve">the </w:t>
      </w:r>
      <w:r w:rsidR="00946303">
        <w:rPr>
          <w:color w:val="000000" w:themeColor="text1"/>
        </w:rPr>
        <w:t xml:space="preserve">Robins and Moody BESS </w:t>
      </w:r>
      <w:r w:rsidR="00376ACC">
        <w:rPr>
          <w:color w:val="000000" w:themeColor="text1"/>
        </w:rPr>
        <w:t>P</w:t>
      </w:r>
      <w:r w:rsidR="00946303">
        <w:rPr>
          <w:color w:val="000000" w:themeColor="text1"/>
        </w:rPr>
        <w:t xml:space="preserve">rojects </w:t>
      </w:r>
      <w:r w:rsidR="008050AE">
        <w:rPr>
          <w:color w:val="000000" w:themeColor="text1"/>
        </w:rPr>
        <w:t xml:space="preserve">was included in the Company’s </w:t>
      </w:r>
      <w:r w:rsidR="00946303">
        <w:rPr>
          <w:color w:val="000000" w:themeColor="text1"/>
        </w:rPr>
        <w:t xml:space="preserve">500 MW </w:t>
      </w:r>
      <w:r w:rsidR="008050AE">
        <w:rPr>
          <w:color w:val="000000" w:themeColor="text1"/>
        </w:rPr>
        <w:t xml:space="preserve">BESS Certification </w:t>
      </w:r>
      <w:r w:rsidR="00946303">
        <w:rPr>
          <w:color w:val="000000" w:themeColor="text1"/>
        </w:rPr>
        <w:t>request</w:t>
      </w:r>
      <w:r w:rsidR="008050AE">
        <w:rPr>
          <w:color w:val="000000" w:themeColor="text1"/>
        </w:rPr>
        <w:t>.</w:t>
      </w:r>
    </w:p>
    <w:p w14:paraId="253E8F20" w14:textId="6A5A48E1" w:rsidR="00C24A35" w:rsidRPr="00383354" w:rsidRDefault="00C24A35" w:rsidP="00383354">
      <w:pPr>
        <w:spacing w:line="480" w:lineRule="auto"/>
        <w:ind w:left="720" w:hanging="720"/>
        <w:jc w:val="both"/>
        <w:rPr>
          <w:color w:val="000000" w:themeColor="text1"/>
        </w:rPr>
      </w:pPr>
      <w:r>
        <w:rPr>
          <w:b/>
          <w:bCs/>
          <w:color w:val="000000" w:themeColor="text1"/>
        </w:rPr>
        <w:t>Q.</w:t>
      </w:r>
      <w:r>
        <w:rPr>
          <w:b/>
          <w:bCs/>
          <w:color w:val="000000" w:themeColor="text1"/>
        </w:rPr>
        <w:tab/>
      </w:r>
      <w:r w:rsidR="00F30FE5">
        <w:rPr>
          <w:b/>
          <w:bCs/>
          <w:color w:val="000000" w:themeColor="text1"/>
        </w:rPr>
        <w:t xml:space="preserve">REGARDING </w:t>
      </w:r>
      <w:r w:rsidR="00F30FE5">
        <w:rPr>
          <w:b/>
          <w:bCs/>
        </w:rPr>
        <w:t xml:space="preserve">MCGRAU FORD PHASE I, </w:t>
      </w:r>
      <w:r w:rsidR="00AD35EB">
        <w:rPr>
          <w:b/>
          <w:bCs/>
        </w:rPr>
        <w:t xml:space="preserve">WHEN DID THE COMMISSION </w:t>
      </w:r>
      <w:r w:rsidR="00ED0843">
        <w:rPr>
          <w:b/>
          <w:bCs/>
        </w:rPr>
        <w:t xml:space="preserve">AUTHORIZE </w:t>
      </w:r>
      <w:r w:rsidR="00AD35EB">
        <w:rPr>
          <w:b/>
          <w:bCs/>
        </w:rPr>
        <w:t xml:space="preserve">THE COMPANY TO </w:t>
      </w:r>
      <w:r w:rsidR="00F30FE5">
        <w:rPr>
          <w:b/>
          <w:bCs/>
        </w:rPr>
        <w:t>DEVELOP THIS PROJECT</w:t>
      </w:r>
      <w:r w:rsidR="00AD35EB">
        <w:rPr>
          <w:b/>
          <w:bCs/>
        </w:rPr>
        <w:t>?</w:t>
      </w:r>
    </w:p>
    <w:p w14:paraId="6CB48182" w14:textId="22E5F259" w:rsidR="00C24A35" w:rsidRDefault="00C24A35" w:rsidP="002803C8">
      <w:pPr>
        <w:spacing w:line="480" w:lineRule="auto"/>
        <w:ind w:left="720" w:hanging="720"/>
        <w:jc w:val="both"/>
        <w:rPr>
          <w:color w:val="000000" w:themeColor="text1"/>
        </w:rPr>
      </w:pPr>
      <w:r>
        <w:rPr>
          <w:color w:val="000000" w:themeColor="text1"/>
        </w:rPr>
        <w:t>A.</w:t>
      </w:r>
      <w:r>
        <w:rPr>
          <w:color w:val="000000" w:themeColor="text1"/>
        </w:rPr>
        <w:tab/>
      </w:r>
      <w:r w:rsidR="00577041">
        <w:rPr>
          <w:color w:val="000000" w:themeColor="text1"/>
        </w:rPr>
        <w:t>On</w:t>
      </w:r>
      <w:r w:rsidR="00A414DB">
        <w:rPr>
          <w:color w:val="000000" w:themeColor="text1"/>
        </w:rPr>
        <w:t xml:space="preserve"> </w:t>
      </w:r>
      <w:r w:rsidR="00311D74">
        <w:rPr>
          <w:color w:val="000000" w:themeColor="text1"/>
        </w:rPr>
        <w:t>July 2</w:t>
      </w:r>
      <w:r w:rsidR="00F71482">
        <w:rPr>
          <w:color w:val="000000" w:themeColor="text1"/>
        </w:rPr>
        <w:t>9</w:t>
      </w:r>
      <w:r w:rsidR="00311D74">
        <w:rPr>
          <w:color w:val="000000" w:themeColor="text1"/>
        </w:rPr>
        <w:t>, 2022</w:t>
      </w:r>
      <w:r w:rsidR="00577041">
        <w:rPr>
          <w:color w:val="000000" w:themeColor="text1"/>
        </w:rPr>
        <w:t>,</w:t>
      </w:r>
      <w:r w:rsidR="00A414DB">
        <w:rPr>
          <w:color w:val="000000" w:themeColor="text1"/>
        </w:rPr>
        <w:t xml:space="preserve"> the Commission approved the 2022 IRP Order Adopting Stipulation</w:t>
      </w:r>
      <w:r w:rsidR="00376ACC">
        <w:rPr>
          <w:color w:val="000000" w:themeColor="text1"/>
        </w:rPr>
        <w:t xml:space="preserve"> (“2022 IRP Order”)</w:t>
      </w:r>
      <w:r w:rsidR="00A414DB">
        <w:rPr>
          <w:color w:val="000000" w:themeColor="text1"/>
        </w:rPr>
        <w:t xml:space="preserve"> which provisionally authorized the Company to own and operate the McGrau Ford Phase I BESS Project. Paragraph 13 of the </w:t>
      </w:r>
      <w:r w:rsidR="00E0281B">
        <w:rPr>
          <w:color w:val="000000" w:themeColor="text1"/>
        </w:rPr>
        <w:t xml:space="preserve">Commission approved </w:t>
      </w:r>
      <w:r w:rsidR="00376ACC">
        <w:rPr>
          <w:color w:val="000000" w:themeColor="text1"/>
        </w:rPr>
        <w:t>s</w:t>
      </w:r>
      <w:r w:rsidR="00A414DB">
        <w:rPr>
          <w:color w:val="000000" w:themeColor="text1"/>
        </w:rPr>
        <w:t>tipulation states the following:</w:t>
      </w:r>
    </w:p>
    <w:p w14:paraId="3AEC0CA5" w14:textId="77777777" w:rsidR="00F9449F" w:rsidRDefault="00A414DB" w:rsidP="00FB736B">
      <w:pPr>
        <w:spacing w:after="120" w:line="276" w:lineRule="auto"/>
        <w:ind w:left="1440" w:right="720"/>
        <w:jc w:val="both"/>
        <w:rPr>
          <w:i/>
          <w:iCs/>
          <w:color w:val="000000" w:themeColor="text1"/>
        </w:rPr>
      </w:pPr>
      <w:r w:rsidRPr="00A414DB">
        <w:rPr>
          <w:i/>
          <w:iCs/>
          <w:color w:val="000000" w:themeColor="text1"/>
        </w:rPr>
        <w:t xml:space="preserve">The Company is provisionally authorized to develop, own, and operate the McGrau Ford Battery Facility (the “McGrau Ford Project”). The Company will be required to provide the final McGrau Ford Engineering </w:t>
      </w:r>
      <w:r w:rsidRPr="00A414DB">
        <w:rPr>
          <w:i/>
          <w:iCs/>
          <w:color w:val="000000" w:themeColor="text1"/>
        </w:rPr>
        <w:lastRenderedPageBreak/>
        <w:t>Procurement and Construction (“EPC”) agreement (or agreements if more than one) to the Commission prior to undertaking procurement for or construction of the McGrau Ford Project. Following the Company’s provision of the EPC agreement to the Commission, the Commission will determine whether to proceed with the McGrau Ford Project and provide a deemed certified amount for the McGrau Ford Project. If the Company exceeds the deemed certified amount, the Company has the burden of showing that such costs were prudently incurred. The Company will also file quarterly construction monitoring reports from the date construction begins through the date of commercial operation.</w:t>
      </w:r>
    </w:p>
    <w:p w14:paraId="02D53896" w14:textId="663C86FF" w:rsidR="00F9449F" w:rsidRDefault="00F9449F" w:rsidP="007454B0">
      <w:pPr>
        <w:spacing w:before="480" w:line="480" w:lineRule="auto"/>
        <w:ind w:left="720" w:hanging="720"/>
        <w:jc w:val="both"/>
        <w:rPr>
          <w:b/>
          <w:bCs/>
          <w:color w:val="000000" w:themeColor="text1"/>
        </w:rPr>
      </w:pPr>
      <w:r>
        <w:rPr>
          <w:b/>
          <w:bCs/>
          <w:color w:val="000000" w:themeColor="text1"/>
        </w:rPr>
        <w:t>Q.</w:t>
      </w:r>
      <w:r>
        <w:rPr>
          <w:b/>
          <w:bCs/>
          <w:color w:val="000000" w:themeColor="text1"/>
        </w:rPr>
        <w:tab/>
        <w:t>HAS THE COMPANY MET THE REQUIREMENT</w:t>
      </w:r>
      <w:r w:rsidR="005150D1">
        <w:rPr>
          <w:b/>
          <w:bCs/>
          <w:color w:val="000000" w:themeColor="text1"/>
        </w:rPr>
        <w:t xml:space="preserve"> </w:t>
      </w:r>
      <w:r>
        <w:rPr>
          <w:b/>
          <w:bCs/>
          <w:color w:val="000000" w:themeColor="text1"/>
        </w:rPr>
        <w:t>TO FILE FOR AN EXPEDITED CERTIFICATION?</w:t>
      </w:r>
    </w:p>
    <w:p w14:paraId="486D1D42" w14:textId="074F187E" w:rsidR="00A414DB" w:rsidRPr="00F9449F" w:rsidRDefault="00F9449F" w:rsidP="00C91DE3">
      <w:pPr>
        <w:spacing w:after="480" w:line="480" w:lineRule="auto"/>
        <w:ind w:left="720" w:hanging="720"/>
        <w:jc w:val="both"/>
        <w:rPr>
          <w:color w:val="000000" w:themeColor="text1"/>
        </w:rPr>
      </w:pPr>
      <w:r>
        <w:rPr>
          <w:color w:val="000000" w:themeColor="text1"/>
        </w:rPr>
        <w:t xml:space="preserve"> A.</w:t>
      </w:r>
      <w:r>
        <w:rPr>
          <w:color w:val="000000" w:themeColor="text1"/>
        </w:rPr>
        <w:tab/>
        <w:t xml:space="preserve">Yes. </w:t>
      </w:r>
      <w:r w:rsidR="005150D1">
        <w:rPr>
          <w:color w:val="000000" w:themeColor="text1"/>
        </w:rPr>
        <w:t xml:space="preserve">In order to file for an </w:t>
      </w:r>
      <w:r w:rsidRPr="00103CD3">
        <w:rPr>
          <w:color w:val="000000" w:themeColor="text1"/>
        </w:rPr>
        <w:t>expedited certification</w:t>
      </w:r>
      <w:r w:rsidR="005150D1">
        <w:rPr>
          <w:color w:val="000000" w:themeColor="text1"/>
        </w:rPr>
        <w:t>, the Company was required to file</w:t>
      </w:r>
      <w:r w:rsidRPr="00103CD3">
        <w:rPr>
          <w:color w:val="000000" w:themeColor="text1"/>
        </w:rPr>
        <w:t xml:space="preserve"> </w:t>
      </w:r>
      <w:r w:rsidR="005150D1">
        <w:rPr>
          <w:color w:val="000000" w:themeColor="text1"/>
        </w:rPr>
        <w:t xml:space="preserve">executed </w:t>
      </w:r>
      <w:r w:rsidRPr="00103CD3">
        <w:rPr>
          <w:color w:val="000000" w:themeColor="text1"/>
        </w:rPr>
        <w:t xml:space="preserve">EPC agreements for </w:t>
      </w:r>
      <w:r>
        <w:rPr>
          <w:color w:val="000000" w:themeColor="text1"/>
        </w:rPr>
        <w:t xml:space="preserve">the </w:t>
      </w:r>
      <w:r w:rsidR="00222E3A">
        <w:rPr>
          <w:color w:val="000000" w:themeColor="text1"/>
        </w:rPr>
        <w:t xml:space="preserve">Five </w:t>
      </w:r>
      <w:r>
        <w:rPr>
          <w:color w:val="000000" w:themeColor="text1"/>
        </w:rPr>
        <w:t>BESS Projects</w:t>
      </w:r>
      <w:r w:rsidR="005150D1">
        <w:rPr>
          <w:color w:val="000000" w:themeColor="text1"/>
        </w:rPr>
        <w:t>.</w:t>
      </w:r>
      <w:r>
        <w:rPr>
          <w:color w:val="000000" w:themeColor="text1"/>
        </w:rPr>
        <w:t xml:space="preserve"> In </w:t>
      </w:r>
      <w:r w:rsidR="00376ACC">
        <w:rPr>
          <w:color w:val="000000" w:themeColor="text1"/>
        </w:rPr>
        <w:t>the</w:t>
      </w:r>
      <w:r>
        <w:rPr>
          <w:color w:val="000000" w:themeColor="text1"/>
        </w:rPr>
        <w:t xml:space="preserve"> Application and Compliance Filing, the Company provided executed EPC Agreements for all Five BESS Projects</w:t>
      </w:r>
      <w:r w:rsidR="005150D1">
        <w:rPr>
          <w:color w:val="000000" w:themeColor="text1"/>
        </w:rPr>
        <w:t>.</w:t>
      </w:r>
    </w:p>
    <w:p w14:paraId="0FF73F67" w14:textId="6BE2DE2E" w:rsidR="00F9449F" w:rsidRPr="00F9449F" w:rsidRDefault="00F9449F" w:rsidP="00F9449F">
      <w:pPr>
        <w:spacing w:after="480" w:line="480" w:lineRule="auto"/>
        <w:jc w:val="both"/>
        <w:rPr>
          <w:b/>
          <w:bCs/>
          <w:color w:val="000000" w:themeColor="text1"/>
        </w:rPr>
      </w:pPr>
      <w:r w:rsidRPr="00F9449F">
        <w:rPr>
          <w:b/>
          <w:bCs/>
          <w:color w:val="000000" w:themeColor="text1"/>
        </w:rPr>
        <w:t xml:space="preserve">III. </w:t>
      </w:r>
      <w:r>
        <w:rPr>
          <w:b/>
          <w:bCs/>
          <w:color w:val="000000" w:themeColor="text1"/>
        </w:rPr>
        <w:tab/>
      </w:r>
      <w:r w:rsidR="00195C68">
        <w:rPr>
          <w:b/>
          <w:bCs/>
          <w:color w:val="000000" w:themeColor="text1"/>
        </w:rPr>
        <w:t xml:space="preserve">BESS </w:t>
      </w:r>
      <w:r w:rsidRPr="00F9449F">
        <w:rPr>
          <w:b/>
          <w:bCs/>
          <w:color w:val="000000" w:themeColor="text1"/>
        </w:rPr>
        <w:t>PROJECT SPECIFICS</w:t>
      </w:r>
    </w:p>
    <w:p w14:paraId="4A11551B" w14:textId="1A9B7FFB" w:rsidR="00C14315" w:rsidRDefault="00C14315" w:rsidP="00C14315">
      <w:pPr>
        <w:spacing w:line="480" w:lineRule="auto"/>
        <w:ind w:left="720" w:hanging="720"/>
        <w:jc w:val="both"/>
        <w:rPr>
          <w:b/>
          <w:bCs/>
          <w:color w:val="000000" w:themeColor="text1"/>
        </w:rPr>
      </w:pPr>
      <w:r>
        <w:rPr>
          <w:b/>
          <w:bCs/>
          <w:color w:val="000000" w:themeColor="text1"/>
        </w:rPr>
        <w:t xml:space="preserve">Q. </w:t>
      </w:r>
      <w:r>
        <w:rPr>
          <w:b/>
          <w:bCs/>
          <w:color w:val="000000" w:themeColor="text1"/>
        </w:rPr>
        <w:tab/>
        <w:t xml:space="preserve">PLEASE </w:t>
      </w:r>
      <w:r w:rsidR="00170E45">
        <w:rPr>
          <w:b/>
          <w:bCs/>
          <w:color w:val="000000" w:themeColor="text1"/>
        </w:rPr>
        <w:t>D</w:t>
      </w:r>
      <w:r w:rsidR="00494C85">
        <w:rPr>
          <w:b/>
          <w:bCs/>
          <w:color w:val="000000" w:themeColor="text1"/>
        </w:rPr>
        <w:t>E</w:t>
      </w:r>
      <w:r w:rsidR="00170E45">
        <w:rPr>
          <w:b/>
          <w:bCs/>
          <w:color w:val="000000" w:themeColor="text1"/>
        </w:rPr>
        <w:t xml:space="preserve">SCRIBE IN MORE DETAIL </w:t>
      </w:r>
      <w:r>
        <w:rPr>
          <w:b/>
          <w:bCs/>
          <w:color w:val="000000" w:themeColor="text1"/>
        </w:rPr>
        <w:t xml:space="preserve">THE FIVE BESS PROJECTS THAT </w:t>
      </w:r>
      <w:r w:rsidR="00E74764">
        <w:rPr>
          <w:b/>
          <w:bCs/>
          <w:color w:val="000000" w:themeColor="text1"/>
        </w:rPr>
        <w:t>COMPRISE</w:t>
      </w:r>
      <w:r>
        <w:rPr>
          <w:b/>
          <w:bCs/>
          <w:color w:val="000000" w:themeColor="text1"/>
        </w:rPr>
        <w:t xml:space="preserve"> THE COMPANY’S CERTIFICATION</w:t>
      </w:r>
      <w:r w:rsidR="00170E45" w:rsidRPr="00170E45">
        <w:rPr>
          <w:b/>
          <w:bCs/>
          <w:color w:val="000000" w:themeColor="text1"/>
        </w:rPr>
        <w:t xml:space="preserve"> </w:t>
      </w:r>
      <w:r w:rsidR="00170E45">
        <w:rPr>
          <w:b/>
          <w:bCs/>
          <w:color w:val="000000" w:themeColor="text1"/>
        </w:rPr>
        <w:t>REQUEST</w:t>
      </w:r>
      <w:r>
        <w:rPr>
          <w:b/>
          <w:bCs/>
          <w:color w:val="000000" w:themeColor="text1"/>
        </w:rPr>
        <w:t>.</w:t>
      </w:r>
    </w:p>
    <w:p w14:paraId="15FACFF1" w14:textId="73A0BBEF" w:rsidR="00C14315" w:rsidRPr="00D349BC" w:rsidRDefault="00C14315" w:rsidP="00C14315">
      <w:pPr>
        <w:spacing w:line="480" w:lineRule="auto"/>
        <w:ind w:left="720" w:hanging="720"/>
        <w:jc w:val="both"/>
        <w:rPr>
          <w:color w:val="000000" w:themeColor="text1"/>
        </w:rPr>
      </w:pPr>
      <w:r>
        <w:rPr>
          <w:color w:val="000000" w:themeColor="text1"/>
        </w:rPr>
        <w:t xml:space="preserve">A. </w:t>
      </w:r>
      <w:r>
        <w:rPr>
          <w:color w:val="000000" w:themeColor="text1"/>
        </w:rPr>
        <w:tab/>
      </w:r>
      <w:r w:rsidR="00170E45">
        <w:rPr>
          <w:color w:val="000000" w:themeColor="text1"/>
        </w:rPr>
        <w:t>The Five BESS Projects</w:t>
      </w:r>
      <w:r w:rsidR="00A47E4D">
        <w:rPr>
          <w:color w:val="000000" w:themeColor="text1"/>
        </w:rPr>
        <w:t xml:space="preserve"> will</w:t>
      </w:r>
      <w:r w:rsidR="00170E45">
        <w:rPr>
          <w:color w:val="000000" w:themeColor="text1"/>
        </w:rPr>
        <w:t xml:space="preserve"> </w:t>
      </w:r>
      <w:r w:rsidR="00A609EA">
        <w:rPr>
          <w:color w:val="000000" w:themeColor="text1"/>
        </w:rPr>
        <w:t>utilize</w:t>
      </w:r>
      <w:r>
        <w:rPr>
          <w:color w:val="000000" w:themeColor="text1"/>
        </w:rPr>
        <w:t xml:space="preserve"> </w:t>
      </w:r>
      <w:r w:rsidR="00D65423">
        <w:rPr>
          <w:color w:val="000000" w:themeColor="text1"/>
        </w:rPr>
        <w:t xml:space="preserve">the </w:t>
      </w:r>
      <w:r>
        <w:rPr>
          <w:color w:val="000000" w:themeColor="text1"/>
        </w:rPr>
        <w:t xml:space="preserve">Tesla Megapack </w:t>
      </w:r>
      <w:r w:rsidR="00D65423">
        <w:rPr>
          <w:color w:val="000000" w:themeColor="text1"/>
        </w:rPr>
        <w:t>2 XL battery storage unit</w:t>
      </w:r>
      <w:r>
        <w:rPr>
          <w:color w:val="000000" w:themeColor="text1"/>
        </w:rPr>
        <w:t xml:space="preserve">. </w:t>
      </w:r>
      <w:r w:rsidR="00B52DDD">
        <w:rPr>
          <w:color w:val="000000" w:themeColor="text1"/>
        </w:rPr>
        <w:t>As part of</w:t>
      </w:r>
      <w:r w:rsidR="00376CF2">
        <w:rPr>
          <w:color w:val="000000" w:themeColor="text1"/>
        </w:rPr>
        <w:t xml:space="preserve"> the </w:t>
      </w:r>
      <w:r w:rsidR="00170E45">
        <w:rPr>
          <w:color w:val="000000" w:themeColor="text1"/>
        </w:rPr>
        <w:t>Application and Compliance Filing, t</w:t>
      </w:r>
      <w:r>
        <w:rPr>
          <w:color w:val="000000" w:themeColor="text1"/>
        </w:rPr>
        <w:t xml:space="preserve">he Company </w:t>
      </w:r>
      <w:r w:rsidR="00690546">
        <w:rPr>
          <w:color w:val="000000" w:themeColor="text1"/>
        </w:rPr>
        <w:t>provid</w:t>
      </w:r>
      <w:r>
        <w:rPr>
          <w:color w:val="000000" w:themeColor="text1"/>
        </w:rPr>
        <w:t>ed the executed Battery Energy Supply Agreements (“BESA”)</w:t>
      </w:r>
      <w:r w:rsidR="00FE32B4">
        <w:rPr>
          <w:color w:val="000000" w:themeColor="text1"/>
        </w:rPr>
        <w:t xml:space="preserve"> for each </w:t>
      </w:r>
      <w:r w:rsidR="00C40DB4">
        <w:rPr>
          <w:color w:val="000000" w:themeColor="text1"/>
        </w:rPr>
        <w:t xml:space="preserve">BESS </w:t>
      </w:r>
      <w:r w:rsidR="00FE32B4">
        <w:rPr>
          <w:color w:val="000000" w:themeColor="text1"/>
        </w:rPr>
        <w:t>project</w:t>
      </w:r>
      <w:r>
        <w:rPr>
          <w:color w:val="000000" w:themeColor="text1"/>
        </w:rPr>
        <w:t xml:space="preserve">. </w:t>
      </w:r>
      <w:r w:rsidR="00946303">
        <w:rPr>
          <w:color w:val="000000" w:themeColor="text1"/>
        </w:rPr>
        <w:t xml:space="preserve">Specific </w:t>
      </w:r>
      <w:r>
        <w:rPr>
          <w:color w:val="000000" w:themeColor="text1"/>
        </w:rPr>
        <w:t xml:space="preserve">project </w:t>
      </w:r>
      <w:r w:rsidR="00170E45">
        <w:rPr>
          <w:color w:val="000000" w:themeColor="text1"/>
        </w:rPr>
        <w:t>details</w:t>
      </w:r>
      <w:r w:rsidR="00376ACC">
        <w:rPr>
          <w:color w:val="000000" w:themeColor="text1"/>
        </w:rPr>
        <w:t xml:space="preserve"> for the Five BESS Projects</w:t>
      </w:r>
      <w:r w:rsidR="00170E45">
        <w:rPr>
          <w:color w:val="000000" w:themeColor="text1"/>
        </w:rPr>
        <w:t xml:space="preserve"> </w:t>
      </w:r>
      <w:r>
        <w:rPr>
          <w:color w:val="000000" w:themeColor="text1"/>
        </w:rPr>
        <w:t>are as follows:</w:t>
      </w:r>
    </w:p>
    <w:p w14:paraId="6B0AF7CF" w14:textId="41903D03" w:rsidR="00CB02CC" w:rsidRPr="00CB02CC" w:rsidRDefault="00CB02CC" w:rsidP="00CB02CC">
      <w:pPr>
        <w:pStyle w:val="ListParagraph"/>
        <w:numPr>
          <w:ilvl w:val="0"/>
          <w:numId w:val="4"/>
        </w:numPr>
        <w:spacing w:line="480" w:lineRule="auto"/>
        <w:jc w:val="both"/>
        <w:rPr>
          <w:color w:val="000000" w:themeColor="text1"/>
        </w:rPr>
      </w:pPr>
      <w:r>
        <w:rPr>
          <w:color w:val="000000" w:themeColor="text1"/>
        </w:rPr>
        <w:t xml:space="preserve">Robins is a 128 MW, 4-hour duration, BESS facility located in Warner Robins, Georgia. The BESS will be collocated with the existing 128 MW Robins solar </w:t>
      </w:r>
      <w:r>
        <w:rPr>
          <w:color w:val="000000" w:themeColor="text1"/>
        </w:rPr>
        <w:lastRenderedPageBreak/>
        <w:t xml:space="preserve">facility. The Company has executed an EPC agreement with Burns and McDonnell for the construction of the facility. </w:t>
      </w:r>
    </w:p>
    <w:p w14:paraId="0CDA9B6E" w14:textId="589AC777" w:rsidR="00170E45" w:rsidRDefault="00170E45" w:rsidP="00170E45">
      <w:pPr>
        <w:pStyle w:val="ListParagraph"/>
        <w:numPr>
          <w:ilvl w:val="0"/>
          <w:numId w:val="4"/>
        </w:numPr>
        <w:spacing w:line="480" w:lineRule="auto"/>
        <w:jc w:val="both"/>
        <w:rPr>
          <w:color w:val="000000" w:themeColor="text1"/>
        </w:rPr>
      </w:pPr>
      <w:r>
        <w:rPr>
          <w:color w:val="000000" w:themeColor="text1"/>
        </w:rPr>
        <w:t xml:space="preserve">Moody is a 49.5 MW, 4-hour duration, BESS facility located in Valdosta, Georgia. The BESS will be </w:t>
      </w:r>
      <w:r w:rsidR="00820C70">
        <w:rPr>
          <w:color w:val="000000" w:themeColor="text1"/>
        </w:rPr>
        <w:t>collocated</w:t>
      </w:r>
      <w:r>
        <w:rPr>
          <w:color w:val="000000" w:themeColor="text1"/>
        </w:rPr>
        <w:t xml:space="preserve"> with the existing </w:t>
      </w:r>
      <w:r w:rsidR="00773732">
        <w:rPr>
          <w:color w:val="000000" w:themeColor="text1"/>
        </w:rPr>
        <w:t xml:space="preserve">49.5 </w:t>
      </w:r>
      <w:r>
        <w:rPr>
          <w:color w:val="000000" w:themeColor="text1"/>
        </w:rPr>
        <w:t xml:space="preserve">MW Moody solar </w:t>
      </w:r>
      <w:r w:rsidR="00820C70">
        <w:rPr>
          <w:color w:val="000000" w:themeColor="text1"/>
        </w:rPr>
        <w:t>facility</w:t>
      </w:r>
      <w:r>
        <w:rPr>
          <w:color w:val="000000" w:themeColor="text1"/>
        </w:rPr>
        <w:t>. The Company has executed an EPC agreement with Crowder for the construction of th</w:t>
      </w:r>
      <w:r w:rsidR="00376ACC">
        <w:rPr>
          <w:color w:val="000000" w:themeColor="text1"/>
        </w:rPr>
        <w:t xml:space="preserve">e </w:t>
      </w:r>
      <w:r>
        <w:rPr>
          <w:color w:val="000000" w:themeColor="text1"/>
        </w:rPr>
        <w:t xml:space="preserve">facility. </w:t>
      </w:r>
    </w:p>
    <w:p w14:paraId="6F195134" w14:textId="2D5357B0" w:rsidR="00CB02CC" w:rsidRPr="00CB02CC" w:rsidRDefault="00CB02CC" w:rsidP="00CB02CC">
      <w:pPr>
        <w:pStyle w:val="ListParagraph"/>
        <w:numPr>
          <w:ilvl w:val="0"/>
          <w:numId w:val="4"/>
        </w:numPr>
        <w:spacing w:after="240" w:line="480" w:lineRule="auto"/>
        <w:jc w:val="both"/>
        <w:rPr>
          <w:color w:val="000000" w:themeColor="text1"/>
        </w:rPr>
      </w:pPr>
      <w:r>
        <w:rPr>
          <w:color w:val="000000" w:themeColor="text1"/>
        </w:rPr>
        <w:t>Hammond is a 57.5 MW, 4-hour duration, standalone BESS facility located in Rome, Georgia. The Company has executed an EPC agreement with Crowder for the construction of the facility.</w:t>
      </w:r>
    </w:p>
    <w:p w14:paraId="65A597FA" w14:textId="50342644" w:rsidR="00C14315" w:rsidRDefault="401BD743" w:rsidP="00C14315">
      <w:pPr>
        <w:pStyle w:val="ListParagraph"/>
        <w:numPr>
          <w:ilvl w:val="0"/>
          <w:numId w:val="4"/>
        </w:numPr>
        <w:spacing w:line="480" w:lineRule="auto"/>
        <w:jc w:val="both"/>
        <w:rPr>
          <w:color w:val="000000" w:themeColor="text1"/>
        </w:rPr>
      </w:pPr>
      <w:r w:rsidRPr="71A8969D">
        <w:rPr>
          <w:color w:val="000000" w:themeColor="text1"/>
        </w:rPr>
        <w:t>McGrau Ford Phase I is a 265 MW, 2-hour duration, standalone BESS facility located in Ball Ground, Georgia. The Company has executed an EPC agreement with Burns and McDonnell for the construction of th</w:t>
      </w:r>
      <w:r w:rsidR="16ABE0E2" w:rsidRPr="71A8969D">
        <w:rPr>
          <w:color w:val="000000" w:themeColor="text1"/>
        </w:rPr>
        <w:t xml:space="preserve">e </w:t>
      </w:r>
      <w:r w:rsidRPr="71A8969D">
        <w:rPr>
          <w:color w:val="000000" w:themeColor="text1"/>
        </w:rPr>
        <w:t>facility.</w:t>
      </w:r>
    </w:p>
    <w:p w14:paraId="11B62400" w14:textId="65685608" w:rsidR="00F9449F" w:rsidRDefault="00C14315" w:rsidP="00F9449F">
      <w:pPr>
        <w:pStyle w:val="ListParagraph"/>
        <w:numPr>
          <w:ilvl w:val="0"/>
          <w:numId w:val="4"/>
        </w:numPr>
        <w:spacing w:after="240" w:line="480" w:lineRule="auto"/>
        <w:jc w:val="both"/>
        <w:rPr>
          <w:color w:val="000000" w:themeColor="text1"/>
        </w:rPr>
      </w:pPr>
      <w:r>
        <w:rPr>
          <w:color w:val="000000" w:themeColor="text1"/>
        </w:rPr>
        <w:t>McGrau Ford Phase II is a 265 MW, 4-hour duration, standalone BESS facility located in Ball Ground, Georgia. The Company has executed an EPC agreement with Burns and McDonnell for the construction of th</w:t>
      </w:r>
      <w:r w:rsidR="00376ACC">
        <w:rPr>
          <w:color w:val="000000" w:themeColor="text1"/>
        </w:rPr>
        <w:t xml:space="preserve">e </w:t>
      </w:r>
      <w:r>
        <w:rPr>
          <w:color w:val="000000" w:themeColor="text1"/>
        </w:rPr>
        <w:t xml:space="preserve">facility. </w:t>
      </w:r>
    </w:p>
    <w:p w14:paraId="19E36660" w14:textId="628A7E38" w:rsidR="00C72A7F" w:rsidRDefault="00C14315" w:rsidP="00C14315">
      <w:pPr>
        <w:spacing w:line="480" w:lineRule="auto"/>
        <w:ind w:left="720" w:hanging="720"/>
        <w:jc w:val="both"/>
        <w:rPr>
          <w:b/>
          <w:bCs/>
          <w:color w:val="000000" w:themeColor="text1"/>
        </w:rPr>
      </w:pPr>
      <w:r>
        <w:rPr>
          <w:b/>
          <w:bCs/>
          <w:color w:val="000000" w:themeColor="text1"/>
        </w:rPr>
        <w:t>Q.</w:t>
      </w:r>
      <w:r>
        <w:rPr>
          <w:b/>
          <w:bCs/>
          <w:color w:val="000000" w:themeColor="text1"/>
        </w:rPr>
        <w:tab/>
      </w:r>
      <w:r w:rsidR="00641E6F">
        <w:rPr>
          <w:b/>
          <w:bCs/>
          <w:color w:val="000000" w:themeColor="text1"/>
        </w:rPr>
        <w:t>HOW DID THE COMPANY DETERMINE WHERE TO SITE THESE BESS PROJECTS</w:t>
      </w:r>
      <w:r w:rsidR="00C72A7F">
        <w:rPr>
          <w:b/>
          <w:bCs/>
          <w:color w:val="000000" w:themeColor="text1"/>
        </w:rPr>
        <w:t>?</w:t>
      </w:r>
    </w:p>
    <w:p w14:paraId="2B3DD948" w14:textId="33480BA0" w:rsidR="00C72A7F" w:rsidRDefault="00C72A7F" w:rsidP="00772754">
      <w:pPr>
        <w:pStyle w:val="Answers"/>
        <w:spacing w:after="240"/>
      </w:pPr>
      <w:r w:rsidRPr="00641E6F">
        <w:rPr>
          <w:color w:val="000000" w:themeColor="text1"/>
        </w:rPr>
        <w:t>A.</w:t>
      </w:r>
      <w:r w:rsidRPr="00641E6F">
        <w:rPr>
          <w:color w:val="000000" w:themeColor="text1"/>
        </w:rPr>
        <w:tab/>
      </w:r>
      <w:r w:rsidR="00641E6F">
        <w:rPr>
          <w:color w:val="000000" w:themeColor="text1"/>
        </w:rPr>
        <w:t xml:space="preserve">The Company sited the Five BESS Projects in locations that allowed it to meet the required </w:t>
      </w:r>
      <w:r w:rsidR="00DC17EC" w:rsidRPr="71A8969D">
        <w:rPr>
          <w:color w:val="000000" w:themeColor="text1"/>
        </w:rPr>
        <w:t xml:space="preserve">Commercial Operation Date (“COD”) </w:t>
      </w:r>
      <w:r w:rsidR="00641E6F">
        <w:rPr>
          <w:color w:val="000000" w:themeColor="text1"/>
        </w:rPr>
        <w:t>and would have limited transmission impacts (</w:t>
      </w:r>
      <w:r w:rsidR="003506B3" w:rsidRPr="003506B3">
        <w:rPr>
          <w:color w:val="000000" w:themeColor="text1"/>
          <w:lang w:val="en-US"/>
        </w:rPr>
        <w:t>Direct Testimony of Jeffrey R. Grubb, Michael A. Bush, and Steven M. Goedjen</w:t>
      </w:r>
      <w:r w:rsidR="003506B3">
        <w:rPr>
          <w:color w:val="000000" w:themeColor="text1"/>
          <w:lang w:val="en-US"/>
        </w:rPr>
        <w:t xml:space="preserve">, </w:t>
      </w:r>
      <w:r w:rsidR="00B15110">
        <w:t xml:space="preserve">page (“p”). </w:t>
      </w:r>
      <w:r w:rsidR="00D66B1D">
        <w:rPr>
          <w:color w:val="000000" w:themeColor="text1"/>
          <w:lang w:val="en-US"/>
        </w:rPr>
        <w:t>6, lines 3-7</w:t>
      </w:r>
      <w:r w:rsidR="00641E6F">
        <w:rPr>
          <w:color w:val="000000" w:themeColor="text1"/>
        </w:rPr>
        <w:t xml:space="preserve">). </w:t>
      </w:r>
      <w:r w:rsidRPr="00641E6F">
        <w:rPr>
          <w:color w:val="000000" w:themeColor="text1"/>
        </w:rPr>
        <w:t>The</w:t>
      </w:r>
      <w:r w:rsidR="00205CC2">
        <w:rPr>
          <w:color w:val="000000" w:themeColor="text1"/>
        </w:rPr>
        <w:t xml:space="preserve"> review of the siting of the projects and associated transmission </w:t>
      </w:r>
      <w:r w:rsidR="00205CC2">
        <w:rPr>
          <w:color w:val="000000" w:themeColor="text1"/>
        </w:rPr>
        <w:lastRenderedPageBreak/>
        <w:t>review</w:t>
      </w:r>
      <w:r w:rsidR="00641E6F">
        <w:rPr>
          <w:color w:val="000000" w:themeColor="text1"/>
        </w:rPr>
        <w:t xml:space="preserve"> will be addressed in </w:t>
      </w:r>
      <w:r w:rsidR="00AD111F">
        <w:rPr>
          <w:color w:val="000000" w:themeColor="text1"/>
        </w:rPr>
        <w:t xml:space="preserve">the </w:t>
      </w:r>
      <w:r w:rsidR="00AD111F" w:rsidRPr="00641E6F">
        <w:rPr>
          <w:color w:val="000000" w:themeColor="text1"/>
        </w:rPr>
        <w:t>testimony</w:t>
      </w:r>
      <w:r>
        <w:rPr>
          <w:color w:val="000000" w:themeColor="text1"/>
        </w:rPr>
        <w:t xml:space="preserve"> of </w:t>
      </w:r>
      <w:r w:rsidRPr="00641E6F">
        <w:rPr>
          <w:color w:val="000000" w:themeColor="text1"/>
        </w:rPr>
        <w:t xml:space="preserve">PIA Staff panel </w:t>
      </w:r>
      <w:r w:rsidR="001055F0">
        <w:rPr>
          <w:color w:val="000000" w:themeColor="text1"/>
        </w:rPr>
        <w:t xml:space="preserve">of </w:t>
      </w:r>
      <w:r w:rsidRPr="005D04EE">
        <w:t>Douglas A. Smith and Katherine Palacios</w:t>
      </w:r>
      <w:r w:rsidR="00641E6F">
        <w:t>.</w:t>
      </w:r>
      <w:r>
        <w:t xml:space="preserve"> </w:t>
      </w:r>
    </w:p>
    <w:p w14:paraId="2D02619C" w14:textId="7CE4088C" w:rsidR="00C14315" w:rsidRDefault="00C72A7F" w:rsidP="00C14315">
      <w:pPr>
        <w:spacing w:line="480" w:lineRule="auto"/>
        <w:ind w:left="720" w:hanging="720"/>
        <w:jc w:val="both"/>
        <w:rPr>
          <w:b/>
          <w:bCs/>
          <w:color w:val="000000" w:themeColor="text1"/>
        </w:rPr>
      </w:pPr>
      <w:r>
        <w:rPr>
          <w:b/>
          <w:bCs/>
          <w:color w:val="000000" w:themeColor="text1"/>
        </w:rPr>
        <w:t>Q.</w:t>
      </w:r>
      <w:r>
        <w:rPr>
          <w:b/>
          <w:bCs/>
          <w:color w:val="000000" w:themeColor="text1"/>
        </w:rPr>
        <w:tab/>
      </w:r>
      <w:r w:rsidR="00903D2A">
        <w:rPr>
          <w:b/>
          <w:bCs/>
          <w:color w:val="000000" w:themeColor="text1"/>
        </w:rPr>
        <w:t xml:space="preserve">ARE </w:t>
      </w:r>
      <w:r w:rsidR="00C14315">
        <w:rPr>
          <w:b/>
          <w:bCs/>
          <w:color w:val="000000" w:themeColor="text1"/>
        </w:rPr>
        <w:t>THE</w:t>
      </w:r>
      <w:r w:rsidR="00690546">
        <w:rPr>
          <w:b/>
          <w:bCs/>
          <w:color w:val="000000" w:themeColor="text1"/>
        </w:rPr>
        <w:t xml:space="preserve"> </w:t>
      </w:r>
      <w:r w:rsidR="00D703C4">
        <w:rPr>
          <w:b/>
          <w:bCs/>
          <w:color w:val="000000" w:themeColor="text1"/>
        </w:rPr>
        <w:t xml:space="preserve">FIVE </w:t>
      </w:r>
      <w:r w:rsidR="00C14315">
        <w:rPr>
          <w:b/>
          <w:bCs/>
          <w:color w:val="000000" w:themeColor="text1"/>
        </w:rPr>
        <w:t xml:space="preserve">BESS PROJECTS </w:t>
      </w:r>
      <w:r w:rsidR="00903D2A">
        <w:rPr>
          <w:b/>
          <w:bCs/>
          <w:color w:val="000000" w:themeColor="text1"/>
        </w:rPr>
        <w:t xml:space="preserve">FORECASTED TO </w:t>
      </w:r>
      <w:r w:rsidR="00C14315">
        <w:rPr>
          <w:b/>
          <w:bCs/>
          <w:color w:val="000000" w:themeColor="text1"/>
        </w:rPr>
        <w:t>HELP MEET THE COMPANY’S CAPACITY NEEDS IN THE WINTER OF 2026/2027?</w:t>
      </w:r>
    </w:p>
    <w:p w14:paraId="73ECF554" w14:textId="2312E616" w:rsidR="007454B0" w:rsidRDefault="401BD743" w:rsidP="007454B0">
      <w:pPr>
        <w:spacing w:line="480" w:lineRule="auto"/>
        <w:ind w:left="720" w:hanging="720"/>
        <w:jc w:val="both"/>
        <w:rPr>
          <w:color w:val="000000" w:themeColor="text1"/>
        </w:rPr>
      </w:pPr>
      <w:r w:rsidRPr="71A8969D">
        <w:rPr>
          <w:color w:val="000000" w:themeColor="text1"/>
        </w:rPr>
        <w:t>A.</w:t>
      </w:r>
      <w:r w:rsidR="00C14315">
        <w:tab/>
      </w:r>
      <w:r w:rsidRPr="71A8969D">
        <w:rPr>
          <w:color w:val="000000" w:themeColor="text1"/>
        </w:rPr>
        <w:t>Yes</w:t>
      </w:r>
      <w:r w:rsidR="0763CC22" w:rsidRPr="71A8969D">
        <w:rPr>
          <w:color w:val="000000" w:themeColor="text1"/>
        </w:rPr>
        <w:t>. All</w:t>
      </w:r>
      <w:r w:rsidRPr="71A8969D">
        <w:rPr>
          <w:color w:val="000000" w:themeColor="text1"/>
        </w:rPr>
        <w:t xml:space="preserve"> </w:t>
      </w:r>
      <w:r w:rsidR="49EE1122" w:rsidRPr="71A8969D">
        <w:rPr>
          <w:color w:val="000000" w:themeColor="text1"/>
        </w:rPr>
        <w:t>of the F</w:t>
      </w:r>
      <w:r w:rsidRPr="71A8969D">
        <w:rPr>
          <w:color w:val="000000" w:themeColor="text1"/>
        </w:rPr>
        <w:t xml:space="preserve">ive BESS Projects are anticipated to be online by the </w:t>
      </w:r>
      <w:r w:rsidR="30F5D196" w:rsidRPr="71A8969D">
        <w:rPr>
          <w:color w:val="000000" w:themeColor="text1"/>
        </w:rPr>
        <w:t>w</w:t>
      </w:r>
      <w:r w:rsidRPr="71A8969D">
        <w:rPr>
          <w:color w:val="000000" w:themeColor="text1"/>
        </w:rPr>
        <w:t>inter of 2026/2027</w:t>
      </w:r>
      <w:r w:rsidR="49EE1122" w:rsidRPr="71A8969D">
        <w:rPr>
          <w:color w:val="000000" w:themeColor="text1"/>
        </w:rPr>
        <w:t xml:space="preserve"> </w:t>
      </w:r>
      <w:r w:rsidR="25D42435" w:rsidRPr="71A8969D">
        <w:rPr>
          <w:color w:val="000000" w:themeColor="text1"/>
        </w:rPr>
        <w:t>and will help meet the needs of economic development customer loads in the winter of 2026/2027</w:t>
      </w:r>
      <w:r w:rsidRPr="71A8969D">
        <w:rPr>
          <w:color w:val="000000" w:themeColor="text1"/>
        </w:rPr>
        <w:t xml:space="preserve">. The table below </w:t>
      </w:r>
      <w:r w:rsidR="25D42435" w:rsidRPr="71A8969D">
        <w:rPr>
          <w:color w:val="000000" w:themeColor="text1"/>
        </w:rPr>
        <w:t xml:space="preserve">provides </w:t>
      </w:r>
      <w:r w:rsidRPr="71A8969D">
        <w:rPr>
          <w:color w:val="000000" w:themeColor="text1"/>
        </w:rPr>
        <w:t>the anticipated COD for each of the Five BESS Projects:</w:t>
      </w:r>
    </w:p>
    <w:p w14:paraId="43654D4D" w14:textId="20218EDA" w:rsidR="00CB02CC" w:rsidRPr="00CB02CC" w:rsidRDefault="00CB02CC" w:rsidP="00CB02CC">
      <w:pPr>
        <w:spacing w:line="480" w:lineRule="auto"/>
        <w:ind w:left="720" w:hanging="720"/>
        <w:jc w:val="center"/>
        <w:rPr>
          <w:i/>
          <w:iCs/>
          <w:color w:val="000000" w:themeColor="text1"/>
        </w:rPr>
      </w:pPr>
      <w:r w:rsidRPr="00CB02CC">
        <w:rPr>
          <w:i/>
          <w:iCs/>
          <w:color w:val="000000" w:themeColor="text1"/>
        </w:rPr>
        <w:t>Table 1. BESS C</w:t>
      </w:r>
      <w:r>
        <w:rPr>
          <w:i/>
          <w:iCs/>
          <w:color w:val="000000" w:themeColor="text1"/>
        </w:rPr>
        <w:t>ommercial Operation Date</w:t>
      </w:r>
      <w:r w:rsidR="00E454D2">
        <w:rPr>
          <w:i/>
          <w:iCs/>
          <w:color w:val="000000" w:themeColor="text1"/>
        </w:rPr>
        <w:t>s</w:t>
      </w:r>
    </w:p>
    <w:tbl>
      <w:tblPr>
        <w:tblStyle w:val="TableGrid"/>
        <w:tblW w:w="0" w:type="auto"/>
        <w:jc w:val="center"/>
        <w:tblLook w:val="04A0" w:firstRow="1" w:lastRow="0" w:firstColumn="1" w:lastColumn="0" w:noHBand="0" w:noVBand="1"/>
      </w:tblPr>
      <w:tblGrid>
        <w:gridCol w:w="2661"/>
        <w:gridCol w:w="2439"/>
      </w:tblGrid>
      <w:tr w:rsidR="00CB02CC" w14:paraId="616BAB12" w14:textId="77777777" w:rsidTr="003215F5">
        <w:trPr>
          <w:trHeight w:val="267"/>
          <w:jc w:val="center"/>
        </w:trPr>
        <w:tc>
          <w:tcPr>
            <w:tcW w:w="2661" w:type="dxa"/>
          </w:tcPr>
          <w:p w14:paraId="2E3A8472" w14:textId="73F606D3" w:rsidR="00CB02CC" w:rsidRPr="00FC371B" w:rsidRDefault="00CB02CC" w:rsidP="003215F5">
            <w:pPr>
              <w:spacing w:line="360" w:lineRule="auto"/>
              <w:jc w:val="center"/>
              <w:rPr>
                <w:b/>
                <w:bCs/>
                <w:color w:val="000000" w:themeColor="text1"/>
              </w:rPr>
            </w:pPr>
            <w:r>
              <w:rPr>
                <w:b/>
                <w:bCs/>
                <w:color w:val="000000" w:themeColor="text1"/>
              </w:rPr>
              <w:t xml:space="preserve">BESS </w:t>
            </w:r>
            <w:r w:rsidRPr="00FC371B">
              <w:rPr>
                <w:b/>
                <w:bCs/>
                <w:color w:val="000000" w:themeColor="text1"/>
              </w:rPr>
              <w:t>Project</w:t>
            </w:r>
          </w:p>
        </w:tc>
        <w:tc>
          <w:tcPr>
            <w:tcW w:w="2439" w:type="dxa"/>
          </w:tcPr>
          <w:p w14:paraId="15F7E07C" w14:textId="77777777" w:rsidR="00CB02CC" w:rsidRPr="00FC371B" w:rsidRDefault="00CB02CC" w:rsidP="003215F5">
            <w:pPr>
              <w:spacing w:line="360" w:lineRule="auto"/>
              <w:jc w:val="center"/>
              <w:rPr>
                <w:b/>
                <w:bCs/>
                <w:color w:val="000000" w:themeColor="text1"/>
              </w:rPr>
            </w:pPr>
            <w:r w:rsidRPr="00FC371B">
              <w:rPr>
                <w:b/>
                <w:bCs/>
                <w:color w:val="000000" w:themeColor="text1"/>
              </w:rPr>
              <w:t>COD</w:t>
            </w:r>
          </w:p>
        </w:tc>
      </w:tr>
      <w:tr w:rsidR="00CB02CC" w14:paraId="7784DD2F" w14:textId="77777777" w:rsidTr="003215F5">
        <w:trPr>
          <w:trHeight w:val="281"/>
          <w:jc w:val="center"/>
        </w:trPr>
        <w:tc>
          <w:tcPr>
            <w:tcW w:w="2661" w:type="dxa"/>
          </w:tcPr>
          <w:p w14:paraId="7A8EA9F4" w14:textId="784C8F9F" w:rsidR="00CB02CC" w:rsidRDefault="00CB02CC" w:rsidP="00CB02CC">
            <w:pPr>
              <w:spacing w:line="360" w:lineRule="auto"/>
              <w:jc w:val="center"/>
              <w:rPr>
                <w:color w:val="000000" w:themeColor="text1"/>
              </w:rPr>
            </w:pPr>
            <w:r>
              <w:rPr>
                <w:color w:val="000000" w:themeColor="text1"/>
              </w:rPr>
              <w:t>Robins</w:t>
            </w:r>
          </w:p>
        </w:tc>
        <w:tc>
          <w:tcPr>
            <w:tcW w:w="2439" w:type="dxa"/>
          </w:tcPr>
          <w:p w14:paraId="4E1ADC5E" w14:textId="15E7CDB2" w:rsidR="00CB02CC" w:rsidRDefault="00CB02CC" w:rsidP="00CB02CC">
            <w:pPr>
              <w:spacing w:line="360" w:lineRule="auto"/>
              <w:jc w:val="center"/>
              <w:rPr>
                <w:color w:val="000000" w:themeColor="text1"/>
              </w:rPr>
            </w:pPr>
            <w:r>
              <w:rPr>
                <w:color w:val="000000" w:themeColor="text1"/>
              </w:rPr>
              <w:t>June 2026</w:t>
            </w:r>
          </w:p>
        </w:tc>
      </w:tr>
      <w:tr w:rsidR="00CB02CC" w14:paraId="59F4F287" w14:textId="77777777" w:rsidTr="003215F5">
        <w:trPr>
          <w:trHeight w:val="281"/>
          <w:jc w:val="center"/>
        </w:trPr>
        <w:tc>
          <w:tcPr>
            <w:tcW w:w="2661" w:type="dxa"/>
          </w:tcPr>
          <w:p w14:paraId="3F264883" w14:textId="4E5C81DE" w:rsidR="00CB02CC" w:rsidRDefault="00CB02CC" w:rsidP="00CB02CC">
            <w:pPr>
              <w:spacing w:line="360" w:lineRule="auto"/>
              <w:jc w:val="center"/>
              <w:rPr>
                <w:color w:val="000000" w:themeColor="text1"/>
              </w:rPr>
            </w:pPr>
            <w:r>
              <w:rPr>
                <w:color w:val="000000" w:themeColor="text1"/>
              </w:rPr>
              <w:t>Moody</w:t>
            </w:r>
          </w:p>
        </w:tc>
        <w:tc>
          <w:tcPr>
            <w:tcW w:w="2439" w:type="dxa"/>
          </w:tcPr>
          <w:p w14:paraId="3AB8ADEB" w14:textId="64525AA8" w:rsidR="00CB02CC" w:rsidRDefault="00CB02CC" w:rsidP="00CB02CC">
            <w:pPr>
              <w:spacing w:line="360" w:lineRule="auto"/>
              <w:jc w:val="center"/>
              <w:rPr>
                <w:color w:val="000000" w:themeColor="text1"/>
              </w:rPr>
            </w:pPr>
            <w:r>
              <w:rPr>
                <w:color w:val="000000" w:themeColor="text1"/>
              </w:rPr>
              <w:t>May 2026</w:t>
            </w:r>
          </w:p>
        </w:tc>
      </w:tr>
      <w:tr w:rsidR="00CB02CC" w14:paraId="6F88C529" w14:textId="77777777" w:rsidTr="003215F5">
        <w:trPr>
          <w:trHeight w:val="281"/>
          <w:jc w:val="center"/>
        </w:trPr>
        <w:tc>
          <w:tcPr>
            <w:tcW w:w="2661" w:type="dxa"/>
          </w:tcPr>
          <w:p w14:paraId="2508FCF0" w14:textId="1E3D5A30" w:rsidR="00CB02CC" w:rsidRDefault="00CB02CC" w:rsidP="00CB02CC">
            <w:pPr>
              <w:spacing w:line="360" w:lineRule="auto"/>
              <w:jc w:val="center"/>
              <w:rPr>
                <w:color w:val="000000" w:themeColor="text1"/>
              </w:rPr>
            </w:pPr>
            <w:r>
              <w:rPr>
                <w:color w:val="000000" w:themeColor="text1"/>
              </w:rPr>
              <w:t>Hammond</w:t>
            </w:r>
          </w:p>
        </w:tc>
        <w:tc>
          <w:tcPr>
            <w:tcW w:w="2439" w:type="dxa"/>
          </w:tcPr>
          <w:p w14:paraId="64DC3922" w14:textId="16550FDF" w:rsidR="00CB02CC" w:rsidRDefault="00CB02CC" w:rsidP="00CB02CC">
            <w:pPr>
              <w:spacing w:line="360" w:lineRule="auto"/>
              <w:jc w:val="center"/>
              <w:rPr>
                <w:color w:val="000000" w:themeColor="text1"/>
              </w:rPr>
            </w:pPr>
            <w:r>
              <w:rPr>
                <w:color w:val="000000" w:themeColor="text1"/>
              </w:rPr>
              <w:t>November 2026</w:t>
            </w:r>
          </w:p>
        </w:tc>
      </w:tr>
      <w:tr w:rsidR="00CB02CC" w14:paraId="071CD87C" w14:textId="77777777" w:rsidTr="003215F5">
        <w:trPr>
          <w:trHeight w:val="436"/>
          <w:jc w:val="center"/>
        </w:trPr>
        <w:tc>
          <w:tcPr>
            <w:tcW w:w="2661" w:type="dxa"/>
          </w:tcPr>
          <w:p w14:paraId="6D00A0BD" w14:textId="7584FA72" w:rsidR="00CB02CC" w:rsidRDefault="00CB02CC" w:rsidP="00CB02CC">
            <w:pPr>
              <w:spacing w:line="360" w:lineRule="auto"/>
              <w:jc w:val="center"/>
              <w:rPr>
                <w:color w:val="000000" w:themeColor="text1"/>
              </w:rPr>
            </w:pPr>
            <w:r>
              <w:rPr>
                <w:color w:val="000000" w:themeColor="text1"/>
              </w:rPr>
              <w:t>McGrau Ford Phase I</w:t>
            </w:r>
          </w:p>
        </w:tc>
        <w:tc>
          <w:tcPr>
            <w:tcW w:w="2439" w:type="dxa"/>
          </w:tcPr>
          <w:p w14:paraId="4C2373C3" w14:textId="61CEC54D" w:rsidR="00CB02CC" w:rsidRDefault="00CB02CC" w:rsidP="00CB02CC">
            <w:pPr>
              <w:spacing w:line="360" w:lineRule="auto"/>
              <w:jc w:val="center"/>
              <w:rPr>
                <w:color w:val="000000" w:themeColor="text1"/>
              </w:rPr>
            </w:pPr>
            <w:r>
              <w:rPr>
                <w:color w:val="000000" w:themeColor="text1"/>
              </w:rPr>
              <w:t>November 2026</w:t>
            </w:r>
          </w:p>
        </w:tc>
      </w:tr>
      <w:tr w:rsidR="00CB02CC" w14:paraId="617268D4" w14:textId="77777777" w:rsidTr="003215F5">
        <w:trPr>
          <w:trHeight w:val="413"/>
          <w:jc w:val="center"/>
        </w:trPr>
        <w:tc>
          <w:tcPr>
            <w:tcW w:w="2661" w:type="dxa"/>
          </w:tcPr>
          <w:p w14:paraId="78A9BBF3" w14:textId="03B3D100" w:rsidR="00CB02CC" w:rsidRDefault="00CB02CC" w:rsidP="00CB02CC">
            <w:pPr>
              <w:spacing w:line="360" w:lineRule="auto"/>
              <w:jc w:val="center"/>
              <w:rPr>
                <w:color w:val="000000" w:themeColor="text1"/>
              </w:rPr>
            </w:pPr>
            <w:r>
              <w:rPr>
                <w:color w:val="000000" w:themeColor="text1"/>
              </w:rPr>
              <w:t>McGrau Ford Phase II</w:t>
            </w:r>
          </w:p>
        </w:tc>
        <w:tc>
          <w:tcPr>
            <w:tcW w:w="2439" w:type="dxa"/>
          </w:tcPr>
          <w:p w14:paraId="229C4E3E" w14:textId="69545F4B" w:rsidR="00CB02CC" w:rsidRDefault="00CB02CC" w:rsidP="00CB02CC">
            <w:pPr>
              <w:spacing w:line="360" w:lineRule="auto"/>
              <w:jc w:val="center"/>
              <w:rPr>
                <w:color w:val="000000" w:themeColor="text1"/>
              </w:rPr>
            </w:pPr>
            <w:r>
              <w:rPr>
                <w:color w:val="000000" w:themeColor="text1"/>
              </w:rPr>
              <w:t>September 2026</w:t>
            </w:r>
          </w:p>
        </w:tc>
      </w:tr>
    </w:tbl>
    <w:p w14:paraId="4BE84F6C" w14:textId="114AF2FC" w:rsidR="0063432D" w:rsidRDefault="0063432D" w:rsidP="007454B0">
      <w:pPr>
        <w:spacing w:before="480" w:line="480" w:lineRule="auto"/>
        <w:ind w:left="720" w:hanging="720"/>
        <w:jc w:val="both"/>
        <w:rPr>
          <w:b/>
          <w:bCs/>
          <w:color w:val="000000" w:themeColor="text1"/>
        </w:rPr>
      </w:pPr>
      <w:r w:rsidRPr="0063432D">
        <w:rPr>
          <w:b/>
          <w:bCs/>
          <w:color w:val="000000" w:themeColor="text1"/>
        </w:rPr>
        <w:t>Q.</w:t>
      </w:r>
      <w:r>
        <w:rPr>
          <w:b/>
          <w:bCs/>
          <w:color w:val="000000" w:themeColor="text1"/>
        </w:rPr>
        <w:tab/>
      </w:r>
      <w:r w:rsidR="00B57CF7">
        <w:rPr>
          <w:b/>
          <w:bCs/>
          <w:color w:val="000000" w:themeColor="text1"/>
        </w:rPr>
        <w:t xml:space="preserve">WHAT </w:t>
      </w:r>
      <w:r w:rsidR="00170E45">
        <w:rPr>
          <w:b/>
          <w:bCs/>
          <w:color w:val="000000" w:themeColor="text1"/>
        </w:rPr>
        <w:t>TOTAL</w:t>
      </w:r>
      <w:r w:rsidR="00376CF2">
        <w:rPr>
          <w:b/>
          <w:bCs/>
          <w:color w:val="000000" w:themeColor="text1"/>
        </w:rPr>
        <w:t xml:space="preserve"> </w:t>
      </w:r>
      <w:r w:rsidR="00B57CF7">
        <w:rPr>
          <w:b/>
          <w:bCs/>
          <w:color w:val="000000" w:themeColor="text1"/>
        </w:rPr>
        <w:t xml:space="preserve">CERTIFIED </w:t>
      </w:r>
      <w:r w:rsidR="00641E6F">
        <w:rPr>
          <w:b/>
          <w:bCs/>
          <w:color w:val="000000" w:themeColor="text1"/>
        </w:rPr>
        <w:t xml:space="preserve">COST </w:t>
      </w:r>
      <w:r w:rsidR="00B57CF7">
        <w:rPr>
          <w:b/>
          <w:bCs/>
          <w:color w:val="000000" w:themeColor="text1"/>
        </w:rPr>
        <w:t xml:space="preserve">HAS THE COMPANY REQUESTED FOR EACH OF THE </w:t>
      </w:r>
      <w:r w:rsidR="00CB13B3">
        <w:rPr>
          <w:b/>
          <w:bCs/>
          <w:color w:val="000000" w:themeColor="text1"/>
        </w:rPr>
        <w:t xml:space="preserve">FIVE </w:t>
      </w:r>
      <w:r w:rsidR="00B57CF7">
        <w:rPr>
          <w:b/>
          <w:bCs/>
          <w:color w:val="000000" w:themeColor="text1"/>
        </w:rPr>
        <w:t>BESS PROJECTS?</w:t>
      </w:r>
    </w:p>
    <w:p w14:paraId="29EBEB6C" w14:textId="43010FA4" w:rsidR="00882909" w:rsidRDefault="0063432D" w:rsidP="00882909">
      <w:pPr>
        <w:spacing w:line="480" w:lineRule="auto"/>
        <w:ind w:left="720" w:hanging="720"/>
        <w:jc w:val="both"/>
        <w:rPr>
          <w:color w:val="000000" w:themeColor="text1"/>
        </w:rPr>
      </w:pPr>
      <w:r>
        <w:rPr>
          <w:color w:val="000000" w:themeColor="text1"/>
        </w:rPr>
        <w:t>A.</w:t>
      </w:r>
      <w:r>
        <w:rPr>
          <w:color w:val="000000" w:themeColor="text1"/>
        </w:rPr>
        <w:tab/>
      </w:r>
      <w:r w:rsidR="00376ACC">
        <w:rPr>
          <w:color w:val="000000" w:themeColor="text1"/>
        </w:rPr>
        <w:t>As contained in the Application and Compliance Filing, t</w:t>
      </w:r>
      <w:r w:rsidR="00690546">
        <w:rPr>
          <w:color w:val="000000" w:themeColor="text1"/>
        </w:rPr>
        <w:t xml:space="preserve">he </w:t>
      </w:r>
      <w:r w:rsidR="00DF5962">
        <w:rPr>
          <w:color w:val="000000" w:themeColor="text1"/>
        </w:rPr>
        <w:t>Company requested</w:t>
      </w:r>
      <w:r w:rsidR="00690546">
        <w:rPr>
          <w:color w:val="000000" w:themeColor="text1"/>
        </w:rPr>
        <w:t xml:space="preserve"> the </w:t>
      </w:r>
      <w:r w:rsidR="004F0772">
        <w:rPr>
          <w:color w:val="000000" w:themeColor="text1"/>
        </w:rPr>
        <w:t xml:space="preserve">following </w:t>
      </w:r>
      <w:r w:rsidR="00170E45">
        <w:rPr>
          <w:color w:val="000000" w:themeColor="text1"/>
        </w:rPr>
        <w:t xml:space="preserve">total </w:t>
      </w:r>
      <w:r w:rsidR="004F0772">
        <w:rPr>
          <w:color w:val="000000" w:themeColor="text1"/>
        </w:rPr>
        <w:t>certified</w:t>
      </w:r>
      <w:r w:rsidR="006301AD">
        <w:rPr>
          <w:color w:val="000000" w:themeColor="text1"/>
        </w:rPr>
        <w:t xml:space="preserve"> </w:t>
      </w:r>
      <w:r w:rsidR="00641E6F">
        <w:rPr>
          <w:color w:val="000000" w:themeColor="text1"/>
        </w:rPr>
        <w:t xml:space="preserve">cost </w:t>
      </w:r>
      <w:r w:rsidR="006301AD">
        <w:rPr>
          <w:color w:val="000000" w:themeColor="text1"/>
        </w:rPr>
        <w:t>amount</w:t>
      </w:r>
      <w:r w:rsidR="00170E45">
        <w:rPr>
          <w:color w:val="000000" w:themeColor="text1"/>
        </w:rPr>
        <w:t>s:</w:t>
      </w:r>
      <w:r w:rsidR="00882909">
        <w:rPr>
          <w:color w:val="000000" w:themeColor="text1"/>
        </w:rPr>
        <w:br w:type="page"/>
      </w:r>
    </w:p>
    <w:p w14:paraId="045C7454" w14:textId="7B817D02" w:rsidR="00CB02CC" w:rsidRPr="00CB02CC" w:rsidRDefault="00CB02CC" w:rsidP="00CB02CC">
      <w:pPr>
        <w:spacing w:line="480" w:lineRule="auto"/>
        <w:ind w:left="720" w:hanging="720"/>
        <w:jc w:val="center"/>
        <w:rPr>
          <w:i/>
          <w:iCs/>
          <w:color w:val="000000" w:themeColor="text1"/>
        </w:rPr>
      </w:pPr>
      <w:r>
        <w:rPr>
          <w:i/>
          <w:iCs/>
          <w:color w:val="000000" w:themeColor="text1"/>
        </w:rPr>
        <w:lastRenderedPageBreak/>
        <w:t xml:space="preserve">Table 2. </w:t>
      </w:r>
      <w:r w:rsidR="00870F8A">
        <w:rPr>
          <w:i/>
          <w:iCs/>
          <w:color w:val="000000" w:themeColor="text1"/>
        </w:rPr>
        <w:t>Requested</w:t>
      </w:r>
      <w:r>
        <w:rPr>
          <w:i/>
          <w:iCs/>
          <w:color w:val="000000" w:themeColor="text1"/>
        </w:rPr>
        <w:t xml:space="preserve"> Certified Cost</w:t>
      </w:r>
    </w:p>
    <w:tbl>
      <w:tblPr>
        <w:tblStyle w:val="TableGrid"/>
        <w:tblW w:w="0" w:type="auto"/>
        <w:jc w:val="center"/>
        <w:tblLook w:val="04A0" w:firstRow="1" w:lastRow="0" w:firstColumn="1" w:lastColumn="0" w:noHBand="0" w:noVBand="1"/>
      </w:tblPr>
      <w:tblGrid>
        <w:gridCol w:w="3055"/>
        <w:gridCol w:w="1350"/>
        <w:gridCol w:w="2366"/>
        <w:gridCol w:w="1594"/>
      </w:tblGrid>
      <w:tr w:rsidR="00CB02CC" w14:paraId="51D2734C" w14:textId="77777777" w:rsidTr="003215F5">
        <w:trPr>
          <w:jc w:val="center"/>
        </w:trPr>
        <w:tc>
          <w:tcPr>
            <w:tcW w:w="3055" w:type="dxa"/>
          </w:tcPr>
          <w:p w14:paraId="087E31A0" w14:textId="54492DE8" w:rsidR="00CB02CC" w:rsidRPr="00A251CB" w:rsidRDefault="00CB02CC" w:rsidP="003215F5">
            <w:pPr>
              <w:pStyle w:val="paragraph"/>
              <w:spacing w:before="0" w:beforeAutospacing="0" w:after="0" w:afterAutospacing="0" w:line="276" w:lineRule="auto"/>
              <w:textAlignment w:val="baseline"/>
              <w:rPr>
                <w:rStyle w:val="normaltextrun"/>
                <w:rFonts w:eastAsiaTheme="minorEastAsia"/>
                <w:b/>
                <w:bCs/>
              </w:rPr>
            </w:pPr>
            <w:r>
              <w:rPr>
                <w:rStyle w:val="normaltextrun"/>
                <w:rFonts w:eastAsiaTheme="minorEastAsia"/>
                <w:b/>
                <w:bCs/>
              </w:rPr>
              <w:t>B</w:t>
            </w:r>
            <w:r w:rsidRPr="00DF5962">
              <w:rPr>
                <w:rStyle w:val="normaltextrun"/>
                <w:rFonts w:eastAsiaTheme="minorEastAsia"/>
                <w:b/>
                <w:bCs/>
              </w:rPr>
              <w:t xml:space="preserve">ESS </w:t>
            </w:r>
            <w:r w:rsidRPr="00A251CB">
              <w:rPr>
                <w:rStyle w:val="normaltextrun"/>
                <w:rFonts w:eastAsiaTheme="minorEastAsia"/>
                <w:b/>
                <w:bCs/>
              </w:rPr>
              <w:t>Project</w:t>
            </w:r>
          </w:p>
        </w:tc>
        <w:tc>
          <w:tcPr>
            <w:tcW w:w="1350" w:type="dxa"/>
          </w:tcPr>
          <w:p w14:paraId="6C4275BA" w14:textId="77777777" w:rsidR="00CB02CC" w:rsidRPr="00A251CB" w:rsidRDefault="00CB02CC" w:rsidP="003215F5">
            <w:pPr>
              <w:pStyle w:val="paragraph"/>
              <w:spacing w:before="0" w:beforeAutospacing="0" w:after="0" w:afterAutospacing="0" w:line="276" w:lineRule="auto"/>
              <w:jc w:val="center"/>
              <w:textAlignment w:val="baseline"/>
              <w:rPr>
                <w:rStyle w:val="normaltextrun"/>
                <w:rFonts w:eastAsiaTheme="minorEastAsia"/>
                <w:b/>
                <w:bCs/>
              </w:rPr>
            </w:pPr>
            <w:r>
              <w:rPr>
                <w:rStyle w:val="normaltextrun"/>
                <w:rFonts w:eastAsiaTheme="minorEastAsia"/>
                <w:b/>
                <w:bCs/>
              </w:rPr>
              <w:t>Capacity</w:t>
            </w:r>
            <w:r>
              <w:rPr>
                <w:rStyle w:val="normaltextrun"/>
                <w:rFonts w:eastAsiaTheme="minorEastAsia"/>
                <w:b/>
                <w:bCs/>
              </w:rPr>
              <w:br/>
              <w:t>(MW)</w:t>
            </w:r>
          </w:p>
        </w:tc>
        <w:tc>
          <w:tcPr>
            <w:tcW w:w="2366" w:type="dxa"/>
          </w:tcPr>
          <w:p w14:paraId="4CAB6006" w14:textId="77777777" w:rsidR="00CB02CC" w:rsidRPr="00A251CB" w:rsidRDefault="00CB02CC" w:rsidP="003215F5">
            <w:pPr>
              <w:pStyle w:val="paragraph"/>
              <w:spacing w:before="0" w:beforeAutospacing="0" w:after="0" w:afterAutospacing="0" w:line="276" w:lineRule="auto"/>
              <w:jc w:val="center"/>
              <w:textAlignment w:val="baseline"/>
              <w:rPr>
                <w:rStyle w:val="normaltextrun"/>
                <w:rFonts w:eastAsiaTheme="minorEastAsia"/>
                <w:b/>
                <w:bCs/>
              </w:rPr>
            </w:pPr>
            <w:r w:rsidRPr="00A251CB">
              <w:rPr>
                <w:rStyle w:val="normaltextrun"/>
                <w:rFonts w:eastAsiaTheme="minorEastAsia"/>
                <w:b/>
                <w:bCs/>
              </w:rPr>
              <w:t>Requested Certified Cost</w:t>
            </w:r>
          </w:p>
        </w:tc>
        <w:tc>
          <w:tcPr>
            <w:tcW w:w="1594" w:type="dxa"/>
          </w:tcPr>
          <w:p w14:paraId="658F9EF8" w14:textId="77777777" w:rsidR="00CB02CC" w:rsidRPr="00A251CB" w:rsidRDefault="00CB02CC" w:rsidP="003215F5">
            <w:pPr>
              <w:pStyle w:val="paragraph"/>
              <w:spacing w:before="0" w:beforeAutospacing="0" w:after="0" w:afterAutospacing="0" w:line="276" w:lineRule="auto"/>
              <w:jc w:val="center"/>
              <w:textAlignment w:val="baseline"/>
              <w:rPr>
                <w:rStyle w:val="normaltextrun"/>
                <w:rFonts w:eastAsiaTheme="minorEastAsia"/>
                <w:b/>
                <w:bCs/>
              </w:rPr>
            </w:pPr>
            <w:r>
              <w:rPr>
                <w:rStyle w:val="normaltextrun"/>
                <w:rFonts w:eastAsiaTheme="minorEastAsia"/>
                <w:b/>
                <w:bCs/>
              </w:rPr>
              <w:t>Cost per MW</w:t>
            </w:r>
          </w:p>
        </w:tc>
      </w:tr>
      <w:tr w:rsidR="00CB02CC" w14:paraId="2C571685" w14:textId="77777777" w:rsidTr="003215F5">
        <w:trPr>
          <w:jc w:val="center"/>
        </w:trPr>
        <w:tc>
          <w:tcPr>
            <w:tcW w:w="3055" w:type="dxa"/>
          </w:tcPr>
          <w:p w14:paraId="119E1755" w14:textId="76D6CBD7" w:rsidR="00CB02CC" w:rsidRPr="00A251CB" w:rsidRDefault="00CB02CC" w:rsidP="00CB02CC">
            <w:pPr>
              <w:pStyle w:val="paragraph"/>
              <w:spacing w:before="0" w:beforeAutospacing="0" w:after="0" w:afterAutospacing="0" w:line="276" w:lineRule="auto"/>
              <w:textAlignment w:val="baseline"/>
              <w:rPr>
                <w:rStyle w:val="normaltextrun"/>
                <w:rFonts w:eastAsiaTheme="minorEastAsia"/>
              </w:rPr>
            </w:pPr>
            <w:r w:rsidRPr="00A251CB">
              <w:rPr>
                <w:rStyle w:val="normaltextrun"/>
                <w:rFonts w:eastAsiaTheme="minorEastAsia"/>
              </w:rPr>
              <w:t>Robins</w:t>
            </w:r>
          </w:p>
        </w:tc>
        <w:tc>
          <w:tcPr>
            <w:tcW w:w="1350" w:type="dxa"/>
          </w:tcPr>
          <w:p w14:paraId="78F1E0DB" w14:textId="04EDAAF8" w:rsidR="00CB02CC" w:rsidRPr="00A63B86" w:rsidRDefault="00CB02CC" w:rsidP="00CB02CC">
            <w:pPr>
              <w:pStyle w:val="paragraph"/>
              <w:spacing w:before="0" w:beforeAutospacing="0" w:after="0" w:afterAutospacing="0" w:line="276" w:lineRule="auto"/>
              <w:jc w:val="right"/>
              <w:textAlignment w:val="baseline"/>
              <w:rPr>
                <w:rStyle w:val="normaltextrun"/>
                <w:rFonts w:eastAsiaTheme="minorEastAsia"/>
              </w:rPr>
            </w:pPr>
            <w:r w:rsidRPr="00A63B86">
              <w:rPr>
                <w:rStyle w:val="normaltextrun"/>
                <w:rFonts w:eastAsiaTheme="minorEastAsia"/>
              </w:rPr>
              <w:t>128</w:t>
            </w:r>
          </w:p>
        </w:tc>
        <w:tc>
          <w:tcPr>
            <w:tcW w:w="2366" w:type="dxa"/>
          </w:tcPr>
          <w:p w14:paraId="724C2E9C" w14:textId="018D8559" w:rsidR="00CB02CC" w:rsidRPr="000816F8" w:rsidRDefault="000816F8" w:rsidP="00CB02CC">
            <w:pPr>
              <w:pStyle w:val="paragraph"/>
              <w:spacing w:before="0" w:beforeAutospacing="0" w:after="0" w:afterAutospacing="0" w:line="276" w:lineRule="auto"/>
              <w:jc w:val="right"/>
              <w:textAlignment w:val="baseline"/>
              <w:rPr>
                <w:rStyle w:val="normaltextrun"/>
                <w:rFonts w:eastAsiaTheme="minorEastAsia"/>
                <w:highlight w:val="black"/>
              </w:rPr>
            </w:pPr>
            <w:r w:rsidRPr="000816F8">
              <w:rPr>
                <w:rStyle w:val="normaltextrun"/>
                <w:rFonts w:eastAsiaTheme="minorEastAsia"/>
                <w:highlight w:val="black"/>
              </w:rPr>
              <w:t>XXXXXXXX</w:t>
            </w:r>
          </w:p>
        </w:tc>
        <w:tc>
          <w:tcPr>
            <w:tcW w:w="1594" w:type="dxa"/>
            <w:vAlign w:val="bottom"/>
          </w:tcPr>
          <w:p w14:paraId="6FA51D04" w14:textId="5FC1439B" w:rsidR="00CB02CC" w:rsidRPr="000816F8" w:rsidRDefault="000816F8" w:rsidP="00CB02CC">
            <w:pPr>
              <w:pStyle w:val="paragraph"/>
              <w:spacing w:before="0" w:beforeAutospacing="0" w:after="0" w:afterAutospacing="0" w:line="276" w:lineRule="auto"/>
              <w:jc w:val="right"/>
              <w:textAlignment w:val="baseline"/>
              <w:rPr>
                <w:rStyle w:val="normaltextrun"/>
                <w:rFonts w:eastAsiaTheme="minorEastAsia"/>
                <w:highlight w:val="black"/>
              </w:rPr>
            </w:pPr>
            <w:r w:rsidRPr="000816F8">
              <w:rPr>
                <w:rStyle w:val="normaltextrun"/>
                <w:rFonts w:eastAsiaTheme="minorEastAsia"/>
                <w:highlight w:val="black"/>
              </w:rPr>
              <w:t>XXXXXXX</w:t>
            </w:r>
            <w:r w:rsidR="00CB02CC" w:rsidRPr="000816F8">
              <w:rPr>
                <w:rStyle w:val="normaltextrun"/>
                <w:rFonts w:eastAsiaTheme="minorEastAsia"/>
                <w:highlight w:val="black"/>
              </w:rPr>
              <w:t xml:space="preserve"> </w:t>
            </w:r>
          </w:p>
        </w:tc>
      </w:tr>
      <w:tr w:rsidR="00CB02CC" w14:paraId="5394EB10" w14:textId="77777777" w:rsidTr="003215F5">
        <w:trPr>
          <w:jc w:val="center"/>
        </w:trPr>
        <w:tc>
          <w:tcPr>
            <w:tcW w:w="3055" w:type="dxa"/>
          </w:tcPr>
          <w:p w14:paraId="2407ADBB" w14:textId="337D421D" w:rsidR="00CB02CC" w:rsidRPr="00A251CB" w:rsidRDefault="00CB02CC" w:rsidP="00CB02CC">
            <w:pPr>
              <w:pStyle w:val="paragraph"/>
              <w:spacing w:before="0" w:beforeAutospacing="0" w:after="0" w:afterAutospacing="0" w:line="276" w:lineRule="auto"/>
              <w:textAlignment w:val="baseline"/>
              <w:rPr>
                <w:rStyle w:val="normaltextrun"/>
                <w:rFonts w:eastAsiaTheme="minorEastAsia"/>
              </w:rPr>
            </w:pPr>
            <w:r w:rsidRPr="00A251CB">
              <w:rPr>
                <w:rStyle w:val="normaltextrun"/>
                <w:rFonts w:eastAsiaTheme="minorEastAsia"/>
              </w:rPr>
              <w:t>Moody</w:t>
            </w:r>
          </w:p>
        </w:tc>
        <w:tc>
          <w:tcPr>
            <w:tcW w:w="1350" w:type="dxa"/>
          </w:tcPr>
          <w:p w14:paraId="55A0A85D" w14:textId="675E14B2" w:rsidR="00CB02CC" w:rsidRPr="00A63B86" w:rsidRDefault="00CB02CC" w:rsidP="00CB02CC">
            <w:pPr>
              <w:pStyle w:val="paragraph"/>
              <w:spacing w:before="0" w:beforeAutospacing="0" w:after="0" w:afterAutospacing="0" w:line="276" w:lineRule="auto"/>
              <w:jc w:val="right"/>
              <w:textAlignment w:val="baseline"/>
              <w:rPr>
                <w:rStyle w:val="normaltextrun"/>
                <w:rFonts w:eastAsiaTheme="minorEastAsia"/>
              </w:rPr>
            </w:pPr>
            <w:r w:rsidRPr="00A63B86">
              <w:rPr>
                <w:rStyle w:val="normaltextrun"/>
                <w:rFonts w:eastAsiaTheme="minorEastAsia"/>
              </w:rPr>
              <w:t>49.5</w:t>
            </w:r>
          </w:p>
        </w:tc>
        <w:tc>
          <w:tcPr>
            <w:tcW w:w="2366" w:type="dxa"/>
          </w:tcPr>
          <w:p w14:paraId="0F67D1ED" w14:textId="4894D055" w:rsidR="00CB02CC" w:rsidRPr="000816F8" w:rsidRDefault="000816F8" w:rsidP="00CB02CC">
            <w:pPr>
              <w:pStyle w:val="paragraph"/>
              <w:spacing w:before="0" w:beforeAutospacing="0" w:after="0" w:afterAutospacing="0" w:line="276" w:lineRule="auto"/>
              <w:jc w:val="right"/>
              <w:textAlignment w:val="baseline"/>
              <w:rPr>
                <w:rStyle w:val="normaltextrun"/>
                <w:rFonts w:eastAsiaTheme="minorEastAsia"/>
                <w:highlight w:val="black"/>
              </w:rPr>
            </w:pPr>
            <w:r w:rsidRPr="000816F8">
              <w:rPr>
                <w:rStyle w:val="normaltextrun"/>
                <w:rFonts w:eastAsiaTheme="minorEastAsia"/>
                <w:highlight w:val="black"/>
              </w:rPr>
              <w:t>XXXXXXXX</w:t>
            </w:r>
          </w:p>
        </w:tc>
        <w:tc>
          <w:tcPr>
            <w:tcW w:w="1594" w:type="dxa"/>
            <w:vAlign w:val="bottom"/>
          </w:tcPr>
          <w:p w14:paraId="1CED3848" w14:textId="43400448" w:rsidR="00CB02CC" w:rsidRPr="000816F8" w:rsidRDefault="000816F8" w:rsidP="00CB02CC">
            <w:pPr>
              <w:pStyle w:val="paragraph"/>
              <w:spacing w:before="0" w:beforeAutospacing="0" w:after="0" w:afterAutospacing="0" w:line="276" w:lineRule="auto"/>
              <w:jc w:val="right"/>
              <w:textAlignment w:val="baseline"/>
              <w:rPr>
                <w:rStyle w:val="normaltextrun"/>
                <w:rFonts w:eastAsiaTheme="minorEastAsia"/>
                <w:highlight w:val="black"/>
              </w:rPr>
            </w:pPr>
            <w:r w:rsidRPr="000816F8">
              <w:rPr>
                <w:rStyle w:val="normaltextrun"/>
                <w:rFonts w:eastAsiaTheme="minorEastAsia"/>
                <w:highlight w:val="black"/>
              </w:rPr>
              <w:t>XXXXXXX</w:t>
            </w:r>
            <w:r w:rsidR="00CB02CC" w:rsidRPr="000816F8">
              <w:rPr>
                <w:rStyle w:val="normaltextrun"/>
                <w:rFonts w:eastAsiaTheme="minorEastAsia"/>
                <w:highlight w:val="black"/>
              </w:rPr>
              <w:t xml:space="preserve"> </w:t>
            </w:r>
          </w:p>
        </w:tc>
      </w:tr>
      <w:tr w:rsidR="00CB02CC" w14:paraId="43637339" w14:textId="77777777" w:rsidTr="004955D4">
        <w:trPr>
          <w:jc w:val="center"/>
        </w:trPr>
        <w:tc>
          <w:tcPr>
            <w:tcW w:w="3055" w:type="dxa"/>
          </w:tcPr>
          <w:p w14:paraId="130A948A" w14:textId="7BCB8578" w:rsidR="00CB02CC" w:rsidRPr="00A251CB" w:rsidRDefault="00CB02CC" w:rsidP="00CB02CC">
            <w:pPr>
              <w:pStyle w:val="paragraph"/>
              <w:spacing w:before="0" w:beforeAutospacing="0" w:after="0" w:afterAutospacing="0" w:line="276" w:lineRule="auto"/>
              <w:textAlignment w:val="baseline"/>
              <w:rPr>
                <w:rStyle w:val="normaltextrun"/>
                <w:rFonts w:eastAsiaTheme="minorEastAsia"/>
              </w:rPr>
            </w:pPr>
            <w:r w:rsidRPr="00A251CB">
              <w:rPr>
                <w:rStyle w:val="normaltextrun"/>
                <w:rFonts w:eastAsiaTheme="minorEastAsia"/>
              </w:rPr>
              <w:t>Hammond</w:t>
            </w:r>
          </w:p>
        </w:tc>
        <w:tc>
          <w:tcPr>
            <w:tcW w:w="1350" w:type="dxa"/>
          </w:tcPr>
          <w:p w14:paraId="17F12FCD" w14:textId="3F31EE45" w:rsidR="00CB02CC" w:rsidRPr="00A63B86" w:rsidRDefault="00CB02CC" w:rsidP="00CB02CC">
            <w:pPr>
              <w:pStyle w:val="paragraph"/>
              <w:spacing w:before="0" w:beforeAutospacing="0" w:after="0" w:afterAutospacing="0" w:line="276" w:lineRule="auto"/>
              <w:jc w:val="right"/>
              <w:textAlignment w:val="baseline"/>
              <w:rPr>
                <w:rStyle w:val="normaltextrun"/>
                <w:rFonts w:eastAsiaTheme="minorEastAsia"/>
              </w:rPr>
            </w:pPr>
            <w:r w:rsidRPr="00A63B86">
              <w:rPr>
                <w:rStyle w:val="normaltextrun"/>
                <w:rFonts w:eastAsiaTheme="minorEastAsia"/>
              </w:rPr>
              <w:t>57.5</w:t>
            </w:r>
          </w:p>
        </w:tc>
        <w:tc>
          <w:tcPr>
            <w:tcW w:w="2366" w:type="dxa"/>
          </w:tcPr>
          <w:p w14:paraId="1AC391C2" w14:textId="09487CDF" w:rsidR="00CB02CC" w:rsidRPr="000816F8" w:rsidRDefault="000816F8" w:rsidP="00CB02CC">
            <w:pPr>
              <w:pStyle w:val="paragraph"/>
              <w:spacing w:before="0" w:beforeAutospacing="0" w:after="0" w:afterAutospacing="0" w:line="276" w:lineRule="auto"/>
              <w:jc w:val="right"/>
              <w:textAlignment w:val="baseline"/>
              <w:rPr>
                <w:rStyle w:val="normaltextrun"/>
                <w:rFonts w:eastAsiaTheme="minorEastAsia"/>
                <w:highlight w:val="black"/>
              </w:rPr>
            </w:pPr>
            <w:r w:rsidRPr="000816F8">
              <w:rPr>
                <w:rStyle w:val="normaltextrun"/>
                <w:rFonts w:eastAsiaTheme="minorEastAsia"/>
                <w:highlight w:val="black"/>
              </w:rPr>
              <w:t>XXXXXXXX</w:t>
            </w:r>
          </w:p>
        </w:tc>
        <w:tc>
          <w:tcPr>
            <w:tcW w:w="1594" w:type="dxa"/>
          </w:tcPr>
          <w:p w14:paraId="5BBB817D" w14:textId="30319A19" w:rsidR="00CB02CC" w:rsidRPr="000816F8" w:rsidRDefault="000816F8" w:rsidP="00CB02CC">
            <w:pPr>
              <w:pStyle w:val="paragraph"/>
              <w:spacing w:before="0" w:beforeAutospacing="0" w:after="0" w:afterAutospacing="0" w:line="276" w:lineRule="auto"/>
              <w:jc w:val="right"/>
              <w:textAlignment w:val="baseline"/>
              <w:rPr>
                <w:rStyle w:val="normaltextrun"/>
                <w:rFonts w:eastAsiaTheme="minorEastAsia"/>
                <w:highlight w:val="black"/>
              </w:rPr>
            </w:pPr>
            <w:r w:rsidRPr="000816F8">
              <w:rPr>
                <w:rStyle w:val="normaltextrun"/>
                <w:rFonts w:eastAsiaTheme="minorEastAsia"/>
                <w:highlight w:val="black"/>
              </w:rPr>
              <w:t>XXXXXXX</w:t>
            </w:r>
            <w:r w:rsidR="00CB02CC" w:rsidRPr="000816F8">
              <w:rPr>
                <w:rStyle w:val="normaltextrun"/>
                <w:rFonts w:eastAsiaTheme="minorEastAsia"/>
                <w:highlight w:val="black"/>
              </w:rPr>
              <w:t xml:space="preserve"> </w:t>
            </w:r>
          </w:p>
        </w:tc>
      </w:tr>
      <w:tr w:rsidR="00CB02CC" w14:paraId="5D052009" w14:textId="77777777" w:rsidTr="003215F5">
        <w:trPr>
          <w:jc w:val="center"/>
        </w:trPr>
        <w:tc>
          <w:tcPr>
            <w:tcW w:w="3055" w:type="dxa"/>
          </w:tcPr>
          <w:p w14:paraId="5948313D" w14:textId="2A598518" w:rsidR="00CB02CC" w:rsidRPr="00A251CB" w:rsidRDefault="00CB02CC" w:rsidP="00CB02CC">
            <w:pPr>
              <w:pStyle w:val="paragraph"/>
              <w:spacing w:before="0" w:beforeAutospacing="0" w:after="0" w:afterAutospacing="0" w:line="276" w:lineRule="auto"/>
              <w:textAlignment w:val="baseline"/>
              <w:rPr>
                <w:rStyle w:val="normaltextrun"/>
                <w:rFonts w:eastAsiaTheme="minorEastAsia"/>
              </w:rPr>
            </w:pPr>
            <w:r w:rsidRPr="00A251CB">
              <w:rPr>
                <w:rStyle w:val="normaltextrun"/>
                <w:rFonts w:eastAsiaTheme="minorEastAsia"/>
              </w:rPr>
              <w:t>McGrau Ford Phase I</w:t>
            </w:r>
          </w:p>
        </w:tc>
        <w:tc>
          <w:tcPr>
            <w:tcW w:w="1350" w:type="dxa"/>
          </w:tcPr>
          <w:p w14:paraId="4195E1B4" w14:textId="738AB63B" w:rsidR="00CB02CC" w:rsidRPr="00A63B86" w:rsidRDefault="00CB02CC" w:rsidP="00CB02CC">
            <w:pPr>
              <w:pStyle w:val="paragraph"/>
              <w:spacing w:before="0" w:beforeAutospacing="0" w:after="0" w:afterAutospacing="0" w:line="276" w:lineRule="auto"/>
              <w:jc w:val="right"/>
              <w:textAlignment w:val="baseline"/>
              <w:rPr>
                <w:rStyle w:val="normaltextrun"/>
                <w:rFonts w:eastAsiaTheme="minorEastAsia"/>
              </w:rPr>
            </w:pPr>
            <w:r w:rsidRPr="00A63B86">
              <w:rPr>
                <w:rStyle w:val="normaltextrun"/>
                <w:rFonts w:eastAsiaTheme="minorEastAsia"/>
              </w:rPr>
              <w:t>265</w:t>
            </w:r>
          </w:p>
        </w:tc>
        <w:tc>
          <w:tcPr>
            <w:tcW w:w="2366" w:type="dxa"/>
          </w:tcPr>
          <w:p w14:paraId="2E00897D" w14:textId="2C3D92E7" w:rsidR="00CB02CC" w:rsidRPr="000816F8" w:rsidRDefault="000816F8" w:rsidP="00CB02CC">
            <w:pPr>
              <w:pStyle w:val="paragraph"/>
              <w:spacing w:before="0" w:beforeAutospacing="0" w:after="0" w:afterAutospacing="0" w:line="276" w:lineRule="auto"/>
              <w:jc w:val="right"/>
              <w:textAlignment w:val="baseline"/>
              <w:rPr>
                <w:rStyle w:val="normaltextrun"/>
                <w:rFonts w:eastAsiaTheme="minorEastAsia"/>
                <w:highlight w:val="black"/>
              </w:rPr>
            </w:pPr>
            <w:r w:rsidRPr="000816F8">
              <w:rPr>
                <w:rStyle w:val="normaltextrun"/>
                <w:rFonts w:eastAsiaTheme="minorEastAsia"/>
                <w:highlight w:val="black"/>
              </w:rPr>
              <w:t>XXXXXXXX</w:t>
            </w:r>
          </w:p>
        </w:tc>
        <w:tc>
          <w:tcPr>
            <w:tcW w:w="1594" w:type="dxa"/>
            <w:vAlign w:val="bottom"/>
          </w:tcPr>
          <w:p w14:paraId="65A744BE" w14:textId="3D444422" w:rsidR="00CB02CC" w:rsidRPr="000816F8" w:rsidRDefault="000816F8" w:rsidP="00CB02CC">
            <w:pPr>
              <w:pStyle w:val="paragraph"/>
              <w:spacing w:before="0" w:beforeAutospacing="0" w:after="0" w:afterAutospacing="0" w:line="276" w:lineRule="auto"/>
              <w:jc w:val="right"/>
              <w:textAlignment w:val="baseline"/>
              <w:rPr>
                <w:rStyle w:val="normaltextrun"/>
                <w:rFonts w:eastAsiaTheme="minorEastAsia"/>
                <w:highlight w:val="black"/>
              </w:rPr>
            </w:pPr>
            <w:r w:rsidRPr="000816F8">
              <w:rPr>
                <w:rStyle w:val="normaltextrun"/>
                <w:rFonts w:eastAsiaTheme="minorEastAsia"/>
                <w:highlight w:val="black"/>
              </w:rPr>
              <w:t>XXXXXXX</w:t>
            </w:r>
            <w:r w:rsidR="00CB02CC" w:rsidRPr="000816F8">
              <w:rPr>
                <w:rStyle w:val="normaltextrun"/>
                <w:rFonts w:eastAsiaTheme="minorEastAsia"/>
                <w:highlight w:val="black"/>
              </w:rPr>
              <w:t xml:space="preserve"> </w:t>
            </w:r>
          </w:p>
        </w:tc>
      </w:tr>
      <w:tr w:rsidR="00CB02CC" w14:paraId="797B6C3D" w14:textId="77777777" w:rsidTr="003215F5">
        <w:trPr>
          <w:jc w:val="center"/>
        </w:trPr>
        <w:tc>
          <w:tcPr>
            <w:tcW w:w="3055" w:type="dxa"/>
          </w:tcPr>
          <w:p w14:paraId="28AAF281" w14:textId="1CD75FE8" w:rsidR="00CB02CC" w:rsidRPr="00A251CB" w:rsidRDefault="00CB02CC" w:rsidP="00CB02CC">
            <w:pPr>
              <w:pStyle w:val="paragraph"/>
              <w:spacing w:before="0" w:beforeAutospacing="0" w:after="0" w:afterAutospacing="0" w:line="276" w:lineRule="auto"/>
              <w:textAlignment w:val="baseline"/>
              <w:rPr>
                <w:rStyle w:val="normaltextrun"/>
                <w:rFonts w:eastAsiaTheme="minorEastAsia"/>
              </w:rPr>
            </w:pPr>
            <w:r w:rsidRPr="00A251CB">
              <w:rPr>
                <w:rStyle w:val="normaltextrun"/>
                <w:rFonts w:eastAsiaTheme="minorEastAsia"/>
              </w:rPr>
              <w:t>McGrau Ford Phase II</w:t>
            </w:r>
          </w:p>
        </w:tc>
        <w:tc>
          <w:tcPr>
            <w:tcW w:w="1350" w:type="dxa"/>
          </w:tcPr>
          <w:p w14:paraId="412614A8" w14:textId="131A1EEE" w:rsidR="00CB02CC" w:rsidRPr="00A63B86" w:rsidRDefault="00CB02CC" w:rsidP="00CB02CC">
            <w:pPr>
              <w:pStyle w:val="paragraph"/>
              <w:spacing w:before="0" w:beforeAutospacing="0" w:after="0" w:afterAutospacing="0" w:line="276" w:lineRule="auto"/>
              <w:jc w:val="right"/>
              <w:textAlignment w:val="baseline"/>
              <w:rPr>
                <w:rStyle w:val="normaltextrun"/>
                <w:rFonts w:eastAsiaTheme="minorEastAsia"/>
              </w:rPr>
            </w:pPr>
            <w:r w:rsidRPr="00A63B86">
              <w:rPr>
                <w:rStyle w:val="normaltextrun"/>
                <w:rFonts w:eastAsiaTheme="minorEastAsia"/>
              </w:rPr>
              <w:t>265</w:t>
            </w:r>
          </w:p>
        </w:tc>
        <w:tc>
          <w:tcPr>
            <w:tcW w:w="2366" w:type="dxa"/>
          </w:tcPr>
          <w:p w14:paraId="6CF34A0B" w14:textId="3C05E5E2" w:rsidR="00CB02CC" w:rsidRPr="000816F8" w:rsidRDefault="000816F8" w:rsidP="00CB02CC">
            <w:pPr>
              <w:pStyle w:val="paragraph"/>
              <w:spacing w:before="0" w:beforeAutospacing="0" w:after="0" w:afterAutospacing="0" w:line="276" w:lineRule="auto"/>
              <w:jc w:val="right"/>
              <w:textAlignment w:val="baseline"/>
              <w:rPr>
                <w:rStyle w:val="normaltextrun"/>
                <w:rFonts w:eastAsiaTheme="minorEastAsia"/>
                <w:highlight w:val="black"/>
              </w:rPr>
            </w:pPr>
            <w:r w:rsidRPr="000816F8">
              <w:rPr>
                <w:rStyle w:val="normaltextrun"/>
                <w:rFonts w:eastAsiaTheme="minorEastAsia"/>
                <w:highlight w:val="black"/>
              </w:rPr>
              <w:t>XXXXXXXX</w:t>
            </w:r>
          </w:p>
        </w:tc>
        <w:tc>
          <w:tcPr>
            <w:tcW w:w="1594" w:type="dxa"/>
            <w:vAlign w:val="bottom"/>
          </w:tcPr>
          <w:p w14:paraId="4C6C801B" w14:textId="3F393DC1" w:rsidR="00CB02CC" w:rsidRPr="000816F8" w:rsidRDefault="000816F8" w:rsidP="00CB02CC">
            <w:pPr>
              <w:pStyle w:val="paragraph"/>
              <w:spacing w:before="0" w:beforeAutospacing="0" w:after="0" w:afterAutospacing="0" w:line="276" w:lineRule="auto"/>
              <w:jc w:val="right"/>
              <w:textAlignment w:val="baseline"/>
              <w:rPr>
                <w:rStyle w:val="normaltextrun"/>
                <w:rFonts w:eastAsiaTheme="minorEastAsia"/>
                <w:highlight w:val="black"/>
              </w:rPr>
            </w:pPr>
            <w:r w:rsidRPr="000816F8">
              <w:rPr>
                <w:rStyle w:val="normaltextrun"/>
                <w:rFonts w:eastAsiaTheme="minorEastAsia"/>
                <w:highlight w:val="black"/>
              </w:rPr>
              <w:t>XXXXXXX</w:t>
            </w:r>
            <w:r w:rsidR="00CB02CC" w:rsidRPr="000816F8">
              <w:rPr>
                <w:rStyle w:val="normaltextrun"/>
                <w:rFonts w:eastAsiaTheme="minorEastAsia"/>
                <w:highlight w:val="black"/>
              </w:rPr>
              <w:t xml:space="preserve"> </w:t>
            </w:r>
          </w:p>
        </w:tc>
      </w:tr>
    </w:tbl>
    <w:p w14:paraId="4649C53A" w14:textId="144DB66F" w:rsidR="003A77BD" w:rsidRDefault="00F47220" w:rsidP="007454B0">
      <w:pPr>
        <w:spacing w:before="480" w:line="480" w:lineRule="auto"/>
        <w:ind w:left="720" w:hanging="720"/>
        <w:jc w:val="both"/>
        <w:rPr>
          <w:b/>
          <w:bCs/>
          <w:color w:val="000000" w:themeColor="text1"/>
        </w:rPr>
      </w:pPr>
      <w:r w:rsidRPr="00103CD3">
        <w:rPr>
          <w:b/>
          <w:bCs/>
          <w:color w:val="000000" w:themeColor="text1"/>
        </w:rPr>
        <w:t>Q.</w:t>
      </w:r>
      <w:r w:rsidRPr="00103CD3">
        <w:rPr>
          <w:b/>
          <w:bCs/>
          <w:color w:val="000000" w:themeColor="text1"/>
        </w:rPr>
        <w:tab/>
      </w:r>
      <w:r w:rsidR="003A77BD">
        <w:rPr>
          <w:b/>
          <w:bCs/>
          <w:color w:val="000000" w:themeColor="text1"/>
        </w:rPr>
        <w:t xml:space="preserve">PLEASE DESCRIBE THE COST CATEGORIES </w:t>
      </w:r>
      <w:r w:rsidR="00170E45">
        <w:rPr>
          <w:b/>
          <w:bCs/>
          <w:color w:val="000000" w:themeColor="text1"/>
        </w:rPr>
        <w:t xml:space="preserve">THAT WERE </w:t>
      </w:r>
      <w:r w:rsidR="003A77BD">
        <w:rPr>
          <w:b/>
          <w:bCs/>
          <w:color w:val="000000" w:themeColor="text1"/>
        </w:rPr>
        <w:t xml:space="preserve">INCLUDED IN THE COMPANY’S </w:t>
      </w:r>
      <w:r w:rsidR="00170E45">
        <w:rPr>
          <w:b/>
          <w:bCs/>
          <w:color w:val="000000" w:themeColor="text1"/>
        </w:rPr>
        <w:t xml:space="preserve">REQUESTED </w:t>
      </w:r>
      <w:r w:rsidR="003A77BD">
        <w:rPr>
          <w:b/>
          <w:bCs/>
          <w:color w:val="000000" w:themeColor="text1"/>
        </w:rPr>
        <w:t>CERTIF</w:t>
      </w:r>
      <w:r w:rsidR="00A01A35">
        <w:rPr>
          <w:b/>
          <w:bCs/>
          <w:color w:val="000000" w:themeColor="text1"/>
        </w:rPr>
        <w:t>IE</w:t>
      </w:r>
      <w:r w:rsidR="003A77BD">
        <w:rPr>
          <w:b/>
          <w:bCs/>
          <w:color w:val="000000" w:themeColor="text1"/>
        </w:rPr>
        <w:t>D COST</w:t>
      </w:r>
      <w:r w:rsidR="00C91DE3">
        <w:rPr>
          <w:b/>
          <w:bCs/>
          <w:color w:val="000000" w:themeColor="text1"/>
        </w:rPr>
        <w:t>.</w:t>
      </w:r>
    </w:p>
    <w:p w14:paraId="5547F0F1" w14:textId="7B046C73" w:rsidR="003A77BD" w:rsidRDefault="003A77BD" w:rsidP="00FB736B">
      <w:pPr>
        <w:spacing w:after="240" w:line="480" w:lineRule="auto"/>
        <w:ind w:left="720" w:hanging="720"/>
        <w:jc w:val="both"/>
        <w:rPr>
          <w:color w:val="000000" w:themeColor="text1"/>
        </w:rPr>
      </w:pPr>
      <w:r w:rsidRPr="00923B37">
        <w:rPr>
          <w:color w:val="000000" w:themeColor="text1"/>
        </w:rPr>
        <w:t>A.</w:t>
      </w:r>
      <w:r w:rsidRPr="00923B37">
        <w:rPr>
          <w:color w:val="000000" w:themeColor="text1"/>
        </w:rPr>
        <w:tab/>
      </w:r>
      <w:r w:rsidR="00767908">
        <w:rPr>
          <w:color w:val="000000" w:themeColor="text1"/>
        </w:rPr>
        <w:t xml:space="preserve">The Company separated the </w:t>
      </w:r>
      <w:r w:rsidR="00BC4E07">
        <w:rPr>
          <w:color w:val="000000" w:themeColor="text1"/>
        </w:rPr>
        <w:t>r</w:t>
      </w:r>
      <w:r w:rsidR="00767908">
        <w:rPr>
          <w:color w:val="000000" w:themeColor="text1"/>
        </w:rPr>
        <w:t xml:space="preserve">equested </w:t>
      </w:r>
      <w:r w:rsidR="00BC4E07">
        <w:rPr>
          <w:color w:val="000000" w:themeColor="text1"/>
        </w:rPr>
        <w:t>c</w:t>
      </w:r>
      <w:r w:rsidR="00767908">
        <w:rPr>
          <w:color w:val="000000" w:themeColor="text1"/>
        </w:rPr>
        <w:t xml:space="preserve">ertified </w:t>
      </w:r>
      <w:r w:rsidR="00BC4E07">
        <w:rPr>
          <w:color w:val="000000" w:themeColor="text1"/>
        </w:rPr>
        <w:t>c</w:t>
      </w:r>
      <w:r w:rsidR="00767908">
        <w:rPr>
          <w:color w:val="000000" w:themeColor="text1"/>
        </w:rPr>
        <w:t xml:space="preserve">ost into the following </w:t>
      </w:r>
      <w:r w:rsidR="00C81E8E">
        <w:rPr>
          <w:color w:val="000000" w:themeColor="text1"/>
        </w:rPr>
        <w:t>categories:</w:t>
      </w:r>
      <w:r w:rsidR="00534A34">
        <w:rPr>
          <w:color w:val="000000" w:themeColor="text1"/>
        </w:rPr>
        <w:t xml:space="preserve"> </w:t>
      </w:r>
      <w:r w:rsidR="00767908">
        <w:rPr>
          <w:color w:val="000000" w:themeColor="text1"/>
        </w:rPr>
        <w:t>Planning, Licensing, EPC Contract, BESA Contract, Engineering and Construction, Start-Up, Transmission, Contingency, Financing</w:t>
      </w:r>
      <w:r w:rsidR="00FD7E68">
        <w:rPr>
          <w:color w:val="000000" w:themeColor="text1"/>
        </w:rPr>
        <w:t xml:space="preserve"> (AFUDC)</w:t>
      </w:r>
      <w:r w:rsidR="00767908">
        <w:rPr>
          <w:color w:val="000000" w:themeColor="text1"/>
        </w:rPr>
        <w:t>, and Ad Valorem Taxes.</w:t>
      </w:r>
      <w:r w:rsidR="00BC4E07">
        <w:rPr>
          <w:color w:val="000000" w:themeColor="text1"/>
        </w:rPr>
        <w:t xml:space="preserve"> </w:t>
      </w:r>
    </w:p>
    <w:p w14:paraId="276D6652" w14:textId="454D6F51" w:rsidR="00AF52CB" w:rsidRPr="00AF52CB" w:rsidRDefault="00AF52CB" w:rsidP="007454B0">
      <w:pPr>
        <w:spacing w:before="240" w:line="480" w:lineRule="auto"/>
        <w:ind w:left="720" w:hanging="720"/>
        <w:jc w:val="both"/>
        <w:rPr>
          <w:b/>
          <w:bCs/>
          <w:color w:val="000000" w:themeColor="text1"/>
        </w:rPr>
      </w:pPr>
      <w:r w:rsidRPr="00AF52CB">
        <w:rPr>
          <w:b/>
          <w:bCs/>
          <w:color w:val="000000" w:themeColor="text1"/>
        </w:rPr>
        <w:t>Q.</w:t>
      </w:r>
      <w:r w:rsidRPr="00AF52CB">
        <w:rPr>
          <w:b/>
          <w:bCs/>
          <w:color w:val="000000" w:themeColor="text1"/>
        </w:rPr>
        <w:tab/>
        <w:t xml:space="preserve">IN ADDITION TO THE REQUESTED CERTIFIED COST, ARE THERE OTHER </w:t>
      </w:r>
      <w:r w:rsidR="00376ACC">
        <w:rPr>
          <w:b/>
          <w:bCs/>
          <w:color w:val="000000" w:themeColor="text1"/>
        </w:rPr>
        <w:t xml:space="preserve">EXPENSES </w:t>
      </w:r>
      <w:r w:rsidRPr="00AF52CB">
        <w:rPr>
          <w:b/>
          <w:bCs/>
          <w:color w:val="000000" w:themeColor="text1"/>
        </w:rPr>
        <w:t xml:space="preserve">THAT MUST BE CONSIDERED </w:t>
      </w:r>
      <w:r w:rsidR="00C84B1C">
        <w:rPr>
          <w:b/>
          <w:bCs/>
          <w:color w:val="000000" w:themeColor="text1"/>
        </w:rPr>
        <w:t xml:space="preserve">DURING </w:t>
      </w:r>
      <w:r w:rsidRPr="00AF52CB">
        <w:rPr>
          <w:b/>
          <w:bCs/>
          <w:color w:val="000000" w:themeColor="text1"/>
        </w:rPr>
        <w:t>THE LIFE OF THE BESS PROJ</w:t>
      </w:r>
      <w:r w:rsidR="00773732">
        <w:rPr>
          <w:b/>
          <w:bCs/>
          <w:color w:val="000000" w:themeColor="text1"/>
        </w:rPr>
        <w:t>E</w:t>
      </w:r>
      <w:r w:rsidRPr="00AF52CB">
        <w:rPr>
          <w:b/>
          <w:bCs/>
          <w:color w:val="000000" w:themeColor="text1"/>
        </w:rPr>
        <w:t>CTS?</w:t>
      </w:r>
    </w:p>
    <w:p w14:paraId="6657C11C" w14:textId="0E1DEB34" w:rsidR="00CE4EB2" w:rsidRPr="00117C81" w:rsidRDefault="00AF52CB" w:rsidP="00FB736B">
      <w:pPr>
        <w:spacing w:after="240" w:line="480" w:lineRule="auto"/>
        <w:ind w:left="720" w:hanging="720"/>
        <w:jc w:val="both"/>
        <w:rPr>
          <w:color w:val="000000" w:themeColor="text1"/>
        </w:rPr>
      </w:pPr>
      <w:r w:rsidRPr="00415A17">
        <w:rPr>
          <w:color w:val="000000" w:themeColor="text1"/>
        </w:rPr>
        <w:t>A</w:t>
      </w:r>
      <w:r w:rsidRPr="00AF52CB">
        <w:rPr>
          <w:b/>
          <w:bCs/>
          <w:color w:val="000000" w:themeColor="text1"/>
        </w:rPr>
        <w:t>.</w:t>
      </w:r>
      <w:r w:rsidRPr="00AF52CB">
        <w:rPr>
          <w:b/>
          <w:bCs/>
          <w:color w:val="000000" w:themeColor="text1"/>
        </w:rPr>
        <w:tab/>
      </w:r>
      <w:r w:rsidR="008E16A0" w:rsidRPr="008E16A0">
        <w:rPr>
          <w:color w:val="000000" w:themeColor="text1"/>
        </w:rPr>
        <w:t>Yes.</w:t>
      </w:r>
      <w:r w:rsidR="008E16A0">
        <w:rPr>
          <w:color w:val="000000" w:themeColor="text1"/>
        </w:rPr>
        <w:t xml:space="preserve"> </w:t>
      </w:r>
      <w:r w:rsidR="00CE4EB2">
        <w:rPr>
          <w:color w:val="000000" w:themeColor="text1"/>
        </w:rPr>
        <w:t>In the Application and Compliance Filing</w:t>
      </w:r>
      <w:r w:rsidR="00376ACC">
        <w:rPr>
          <w:color w:val="000000" w:themeColor="text1"/>
        </w:rPr>
        <w:t>,</w:t>
      </w:r>
      <w:r w:rsidR="00CE4EB2">
        <w:rPr>
          <w:color w:val="000000" w:themeColor="text1"/>
        </w:rPr>
        <w:t xml:space="preserve"> t</w:t>
      </w:r>
      <w:r w:rsidR="008E16A0">
        <w:rPr>
          <w:color w:val="000000" w:themeColor="text1"/>
        </w:rPr>
        <w:t xml:space="preserve">he Company </w:t>
      </w:r>
      <w:r w:rsidR="00BE0E0A">
        <w:rPr>
          <w:color w:val="000000" w:themeColor="text1"/>
        </w:rPr>
        <w:t>provided</w:t>
      </w:r>
      <w:r w:rsidR="008E16A0">
        <w:rPr>
          <w:color w:val="000000" w:themeColor="text1"/>
        </w:rPr>
        <w:t xml:space="preserve"> estimated annual costs that include the following categories: Depreciation, Debt and Equity Financing Costs on Capital Investment, Income Taxes on Capital Investment, Fixed Operations and Maintenance (“O&amp;M”), Insurance, Property Taxes, and Capital Additions. </w:t>
      </w:r>
      <w:r w:rsidR="00987759">
        <w:rPr>
          <w:color w:val="000000" w:themeColor="text1"/>
        </w:rPr>
        <w:t>T</w:t>
      </w:r>
      <w:r w:rsidR="008E16A0">
        <w:rPr>
          <w:color w:val="000000" w:themeColor="text1"/>
        </w:rPr>
        <w:t xml:space="preserve">he Company </w:t>
      </w:r>
      <w:r w:rsidR="00987759">
        <w:rPr>
          <w:color w:val="000000" w:themeColor="text1"/>
        </w:rPr>
        <w:t>also provided</w:t>
      </w:r>
      <w:r w:rsidR="00376CF2">
        <w:rPr>
          <w:color w:val="000000" w:themeColor="text1"/>
        </w:rPr>
        <w:t xml:space="preserve"> </w:t>
      </w:r>
      <w:r w:rsidR="00987759">
        <w:rPr>
          <w:color w:val="000000" w:themeColor="text1"/>
        </w:rPr>
        <w:t>a list of transmission projects attributable to the McGrau Ford Phase II Project</w:t>
      </w:r>
      <w:r w:rsidR="00376CF2">
        <w:rPr>
          <w:color w:val="000000" w:themeColor="text1"/>
        </w:rPr>
        <w:t xml:space="preserve"> (Attachment F, Application)</w:t>
      </w:r>
      <w:r w:rsidR="00376ACC">
        <w:rPr>
          <w:color w:val="000000" w:themeColor="text1"/>
        </w:rPr>
        <w:t>.</w:t>
      </w:r>
    </w:p>
    <w:p w14:paraId="2A1FE891" w14:textId="565CAEC1" w:rsidR="00BC4E07" w:rsidRDefault="557871C7" w:rsidP="00FB736B">
      <w:pPr>
        <w:spacing w:line="480" w:lineRule="auto"/>
        <w:ind w:left="720" w:hanging="720"/>
        <w:jc w:val="both"/>
        <w:rPr>
          <w:b/>
          <w:bCs/>
          <w:color w:val="000000" w:themeColor="text1"/>
        </w:rPr>
      </w:pPr>
      <w:r w:rsidRPr="71A8969D">
        <w:rPr>
          <w:b/>
          <w:bCs/>
          <w:color w:val="000000" w:themeColor="text1"/>
        </w:rPr>
        <w:t>Q.</w:t>
      </w:r>
      <w:r w:rsidR="00BC4E07">
        <w:tab/>
      </w:r>
      <w:r w:rsidRPr="71A8969D">
        <w:rPr>
          <w:b/>
          <w:bCs/>
          <w:color w:val="000000" w:themeColor="text1"/>
        </w:rPr>
        <w:t xml:space="preserve">PLEASE DESCRIBE </w:t>
      </w:r>
      <w:r w:rsidR="15D0E802" w:rsidRPr="71A8969D">
        <w:rPr>
          <w:b/>
          <w:bCs/>
          <w:color w:val="000000" w:themeColor="text1"/>
        </w:rPr>
        <w:t xml:space="preserve">IN DETAIL </w:t>
      </w:r>
      <w:r w:rsidRPr="71A8969D">
        <w:rPr>
          <w:b/>
          <w:bCs/>
          <w:color w:val="000000" w:themeColor="text1"/>
        </w:rPr>
        <w:t xml:space="preserve">THE </w:t>
      </w:r>
      <w:r w:rsidR="16ABE0E2" w:rsidRPr="71A8969D">
        <w:rPr>
          <w:b/>
          <w:bCs/>
          <w:color w:val="000000" w:themeColor="text1"/>
        </w:rPr>
        <w:t xml:space="preserve">INTENDED PURPOSE OF </w:t>
      </w:r>
      <w:r w:rsidRPr="71A8969D">
        <w:rPr>
          <w:b/>
          <w:bCs/>
          <w:color w:val="000000" w:themeColor="text1"/>
        </w:rPr>
        <w:t xml:space="preserve">FIXED </w:t>
      </w:r>
      <w:r w:rsidR="749B2A16" w:rsidRPr="71A8969D">
        <w:rPr>
          <w:b/>
          <w:bCs/>
          <w:color w:val="000000" w:themeColor="text1"/>
        </w:rPr>
        <w:t>O&amp;M</w:t>
      </w:r>
      <w:r w:rsidR="16ABE0E2" w:rsidRPr="71A8969D">
        <w:rPr>
          <w:b/>
          <w:bCs/>
          <w:color w:val="000000" w:themeColor="text1"/>
        </w:rPr>
        <w:t>.</w:t>
      </w:r>
    </w:p>
    <w:p w14:paraId="490BC761" w14:textId="4864775E" w:rsidR="00BC4E07" w:rsidRDefault="00BC4E07" w:rsidP="00280BA8">
      <w:pPr>
        <w:spacing w:after="240" w:line="480" w:lineRule="auto"/>
        <w:ind w:left="720" w:hanging="720"/>
        <w:jc w:val="both"/>
      </w:pPr>
      <w:r w:rsidRPr="00BC4E07">
        <w:rPr>
          <w:color w:val="000000" w:themeColor="text1"/>
        </w:rPr>
        <w:lastRenderedPageBreak/>
        <w:t>A.</w:t>
      </w:r>
      <w:r>
        <w:rPr>
          <w:color w:val="000000" w:themeColor="text1"/>
        </w:rPr>
        <w:tab/>
      </w:r>
      <w:r w:rsidR="00FB2F2B">
        <w:rPr>
          <w:color w:val="000000" w:themeColor="text1"/>
        </w:rPr>
        <w:t>In response to a data request, t</w:t>
      </w:r>
      <w:r w:rsidR="00591FD1">
        <w:rPr>
          <w:color w:val="000000" w:themeColor="text1"/>
        </w:rPr>
        <w:t>he Company state</w:t>
      </w:r>
      <w:r w:rsidR="00FB2F2B">
        <w:rPr>
          <w:color w:val="000000" w:themeColor="text1"/>
        </w:rPr>
        <w:t>d</w:t>
      </w:r>
      <w:r w:rsidR="00591FD1">
        <w:rPr>
          <w:color w:val="000000" w:themeColor="text1"/>
        </w:rPr>
        <w:t xml:space="preserve"> that Fixed O&amp;M include</w:t>
      </w:r>
      <w:r w:rsidR="00FB2F2B">
        <w:rPr>
          <w:color w:val="000000" w:themeColor="text1"/>
        </w:rPr>
        <w:t>s</w:t>
      </w:r>
      <w:r w:rsidR="00591FD1">
        <w:rPr>
          <w:color w:val="000000" w:themeColor="text1"/>
        </w:rPr>
        <w:t xml:space="preserve"> </w:t>
      </w:r>
      <w:r w:rsidR="00CB384E">
        <w:rPr>
          <w:color w:val="000000" w:themeColor="text1"/>
        </w:rPr>
        <w:t xml:space="preserve">the following annual expense categories: </w:t>
      </w:r>
      <w:r w:rsidR="00806557" w:rsidRPr="00806557">
        <w:rPr>
          <w:color w:val="000000" w:themeColor="text1"/>
          <w:highlight w:val="black"/>
        </w:rPr>
        <w:t>XXXXXXXXXXXXXXXXXXXXXXXXXXXXXXXXX</w:t>
      </w:r>
      <w:r w:rsidR="00CB384E" w:rsidRPr="00806557">
        <w:rPr>
          <w:color w:val="000000" w:themeColor="text1"/>
          <w:highlight w:val="black"/>
        </w:rPr>
        <w:t xml:space="preserve"> </w:t>
      </w:r>
      <w:r w:rsidR="00806557" w:rsidRPr="00806557">
        <w:rPr>
          <w:color w:val="000000" w:themeColor="text1"/>
          <w:highlight w:val="black"/>
        </w:rPr>
        <w:t>XXXXXXXXXXXXXXXXX</w:t>
      </w:r>
      <w:r w:rsidR="00CB384E">
        <w:rPr>
          <w:color w:val="000000" w:themeColor="text1"/>
        </w:rPr>
        <w:t xml:space="preserve">. </w:t>
      </w:r>
      <w:r w:rsidR="00A33D95">
        <w:rPr>
          <w:color w:val="000000" w:themeColor="text1"/>
        </w:rPr>
        <w:t xml:space="preserve">The </w:t>
      </w:r>
      <w:r w:rsidR="00CB384E">
        <w:rPr>
          <w:color w:val="000000" w:themeColor="text1"/>
        </w:rPr>
        <w:t xml:space="preserve">Robins </w:t>
      </w:r>
      <w:r w:rsidR="00FB2F2B">
        <w:rPr>
          <w:color w:val="000000" w:themeColor="text1"/>
        </w:rPr>
        <w:t xml:space="preserve">BESS </w:t>
      </w:r>
      <w:r w:rsidR="00CB384E">
        <w:rPr>
          <w:color w:val="000000" w:themeColor="text1"/>
        </w:rPr>
        <w:t xml:space="preserve">Project </w:t>
      </w:r>
      <w:r w:rsidR="00182FA1">
        <w:rPr>
          <w:color w:val="000000" w:themeColor="text1"/>
        </w:rPr>
        <w:t>uniquely</w:t>
      </w:r>
      <w:r w:rsidR="00A33D95">
        <w:rPr>
          <w:color w:val="000000" w:themeColor="text1"/>
        </w:rPr>
        <w:t xml:space="preserve"> </w:t>
      </w:r>
      <w:r w:rsidR="00CB384E">
        <w:rPr>
          <w:color w:val="000000" w:themeColor="text1"/>
        </w:rPr>
        <w:t xml:space="preserve">has an annual </w:t>
      </w:r>
      <w:r w:rsidR="009167C8" w:rsidRPr="009167C8">
        <w:rPr>
          <w:color w:val="000000" w:themeColor="text1"/>
        </w:rPr>
        <w:t xml:space="preserve">Administrative Fee for the Central Georgia Joint Development Authority </w:t>
      </w:r>
      <w:r w:rsidR="00CB384E">
        <w:rPr>
          <w:color w:val="000000" w:themeColor="text1"/>
        </w:rPr>
        <w:t xml:space="preserve">included in </w:t>
      </w:r>
      <w:r w:rsidR="00FB2F2B">
        <w:rPr>
          <w:color w:val="000000" w:themeColor="text1"/>
        </w:rPr>
        <w:t>the</w:t>
      </w:r>
      <w:r w:rsidR="00CB384E">
        <w:rPr>
          <w:color w:val="000000" w:themeColor="text1"/>
        </w:rPr>
        <w:t xml:space="preserve"> Fixed O&amp;M</w:t>
      </w:r>
      <w:r w:rsidR="00A33D95">
        <w:rPr>
          <w:color w:val="000000" w:themeColor="text1"/>
        </w:rPr>
        <w:t xml:space="preserve"> </w:t>
      </w:r>
      <w:r w:rsidR="00A33D95">
        <w:t>(Company</w:t>
      </w:r>
      <w:r w:rsidR="00FB2F2B">
        <w:t>’s</w:t>
      </w:r>
      <w:r w:rsidR="00A33D95">
        <w:t xml:space="preserve"> Response to STF-PIA-17-1</w:t>
      </w:r>
      <w:r w:rsidR="004D41B4">
        <w:t>1</w:t>
      </w:r>
      <w:r w:rsidR="00376ACC">
        <w:t>).</w:t>
      </w:r>
      <w:r w:rsidR="00CB384E">
        <w:rPr>
          <w:color w:val="000000" w:themeColor="text1"/>
        </w:rPr>
        <w:t xml:space="preserve"> </w:t>
      </w:r>
      <w:r w:rsidR="00182FA1">
        <w:rPr>
          <w:color w:val="000000" w:themeColor="text1"/>
        </w:rPr>
        <w:t xml:space="preserve">Additionally, in the final year of life </w:t>
      </w:r>
      <w:r w:rsidR="00690546">
        <w:rPr>
          <w:color w:val="000000" w:themeColor="text1"/>
        </w:rPr>
        <w:t>for</w:t>
      </w:r>
      <w:r w:rsidR="00AF52CB">
        <w:rPr>
          <w:color w:val="000000" w:themeColor="text1"/>
        </w:rPr>
        <w:t xml:space="preserve"> </w:t>
      </w:r>
      <w:r w:rsidR="005D7D64">
        <w:rPr>
          <w:color w:val="000000" w:themeColor="text1"/>
        </w:rPr>
        <w:t xml:space="preserve">each </w:t>
      </w:r>
      <w:r w:rsidR="00182FA1">
        <w:rPr>
          <w:color w:val="000000" w:themeColor="text1"/>
        </w:rPr>
        <w:t xml:space="preserve">project, the Company </w:t>
      </w:r>
      <w:r w:rsidR="00FB2F2B">
        <w:rPr>
          <w:color w:val="000000" w:themeColor="text1"/>
        </w:rPr>
        <w:t>included</w:t>
      </w:r>
      <w:r w:rsidR="00376ACC">
        <w:rPr>
          <w:color w:val="000000" w:themeColor="text1"/>
        </w:rPr>
        <w:t xml:space="preserve"> in Fixed O&amp;M</w:t>
      </w:r>
      <w:r w:rsidR="004911D8">
        <w:rPr>
          <w:color w:val="000000" w:themeColor="text1"/>
        </w:rPr>
        <w:t>,</w:t>
      </w:r>
      <w:r w:rsidR="00182FA1">
        <w:rPr>
          <w:color w:val="000000" w:themeColor="text1"/>
        </w:rPr>
        <w:t xml:space="preserve"> cost</w:t>
      </w:r>
      <w:r w:rsidR="00690546">
        <w:rPr>
          <w:color w:val="000000" w:themeColor="text1"/>
        </w:rPr>
        <w:t>s</w:t>
      </w:r>
      <w:r w:rsidR="00182FA1">
        <w:rPr>
          <w:color w:val="000000" w:themeColor="text1"/>
        </w:rPr>
        <w:t xml:space="preserve"> for the removal and remediation of the project site </w:t>
      </w:r>
      <w:r w:rsidR="00182FA1">
        <w:t>(Company</w:t>
      </w:r>
      <w:r w:rsidR="00FB2F2B">
        <w:t>’s</w:t>
      </w:r>
      <w:r w:rsidR="00182FA1">
        <w:t xml:space="preserve"> Response to STF-PIA-15-15</w:t>
      </w:r>
      <w:r w:rsidR="00FB736B">
        <w:t>)</w:t>
      </w:r>
      <w:r w:rsidR="00182FA1">
        <w:t>.</w:t>
      </w:r>
    </w:p>
    <w:p w14:paraId="4F962C92" w14:textId="77777777" w:rsidR="00204900" w:rsidRDefault="00204900" w:rsidP="00204900">
      <w:pPr>
        <w:spacing w:line="480" w:lineRule="auto"/>
        <w:ind w:left="720" w:hanging="720"/>
        <w:jc w:val="both"/>
        <w:rPr>
          <w:b/>
          <w:bCs/>
          <w:color w:val="000000" w:themeColor="text1"/>
        </w:rPr>
      </w:pPr>
      <w:r>
        <w:rPr>
          <w:b/>
          <w:bCs/>
          <w:color w:val="000000" w:themeColor="text1"/>
        </w:rPr>
        <w:t>Q.</w:t>
      </w:r>
      <w:r>
        <w:rPr>
          <w:b/>
          <w:bCs/>
          <w:color w:val="000000" w:themeColor="text1"/>
        </w:rPr>
        <w:tab/>
        <w:t>DID THE COMPANY INCLUDE CONTINGENCY IN ITS COST ESTIMATES AND IF SO, WHAT IS THE PURPOSE OF CONTINGENCY?</w:t>
      </w:r>
    </w:p>
    <w:p w14:paraId="5B0D3906" w14:textId="5A900025" w:rsidR="00882909" w:rsidRDefault="00204900" w:rsidP="00882909">
      <w:pPr>
        <w:spacing w:line="480" w:lineRule="auto"/>
        <w:ind w:left="720" w:hanging="720"/>
        <w:jc w:val="both"/>
        <w:rPr>
          <w:color w:val="000000" w:themeColor="text1"/>
        </w:rPr>
      </w:pPr>
      <w:r w:rsidRPr="00305F64">
        <w:rPr>
          <w:color w:val="000000" w:themeColor="text1"/>
        </w:rPr>
        <w:t>A.</w:t>
      </w:r>
      <w:r>
        <w:rPr>
          <w:color w:val="000000" w:themeColor="text1"/>
        </w:rPr>
        <w:tab/>
        <w:t xml:space="preserve">Yes. The Company included contingency in its total certified cost requests to address risks associated with the completion of the projects. The Company stated that it considered multiple risk factors in its determination of the contingency amount and that any unused contingency funds will not be included in the final cost of the projects. The Company also stated that it </w:t>
      </w:r>
      <w:r w:rsidRPr="005D66DB">
        <w:rPr>
          <w:color w:val="000000" w:themeColor="text1"/>
        </w:rPr>
        <w:t xml:space="preserve">expects to report on contingency as part of </w:t>
      </w:r>
      <w:r>
        <w:rPr>
          <w:color w:val="000000" w:themeColor="text1"/>
        </w:rPr>
        <w:t>its</w:t>
      </w:r>
      <w:r w:rsidRPr="005D66DB">
        <w:rPr>
          <w:color w:val="000000" w:themeColor="text1"/>
        </w:rPr>
        <w:t xml:space="preserve"> </w:t>
      </w:r>
      <w:r>
        <w:rPr>
          <w:color w:val="000000" w:themeColor="text1"/>
        </w:rPr>
        <w:t>c</w:t>
      </w:r>
      <w:r w:rsidRPr="005D66DB">
        <w:rPr>
          <w:color w:val="000000" w:themeColor="text1"/>
        </w:rPr>
        <w:t xml:space="preserve">onstruction </w:t>
      </w:r>
      <w:r>
        <w:rPr>
          <w:color w:val="000000" w:themeColor="text1"/>
        </w:rPr>
        <w:t>m</w:t>
      </w:r>
      <w:r w:rsidRPr="005D66DB">
        <w:rPr>
          <w:color w:val="000000" w:themeColor="text1"/>
        </w:rPr>
        <w:t>onitoring requirements</w:t>
      </w:r>
      <w:r>
        <w:rPr>
          <w:color w:val="000000" w:themeColor="text1"/>
        </w:rPr>
        <w:t xml:space="preserve"> (Company’s Response to </w:t>
      </w:r>
      <w:r>
        <w:t>STF-PIA-15-12)</w:t>
      </w:r>
      <w:r>
        <w:rPr>
          <w:color w:val="000000" w:themeColor="text1"/>
        </w:rPr>
        <w:t xml:space="preserve">. The Company provided the following contingency amounts in its risk register spreadsheet tool for each of the Five BESS Projects (Company’s Response to </w:t>
      </w:r>
      <w:r>
        <w:t>STF-PIA-18-6)</w:t>
      </w:r>
      <w:r>
        <w:rPr>
          <w:color w:val="000000" w:themeColor="text1"/>
        </w:rPr>
        <w:t>:</w:t>
      </w:r>
      <w:r>
        <w:rPr>
          <w:color w:val="000000" w:themeColor="text1"/>
        </w:rPr>
        <w:tab/>
      </w:r>
      <w:r w:rsidR="00882909">
        <w:rPr>
          <w:color w:val="000000" w:themeColor="text1"/>
        </w:rPr>
        <w:br w:type="page"/>
      </w:r>
    </w:p>
    <w:p w14:paraId="4DE3A660" w14:textId="6ACF1734" w:rsidR="00204900" w:rsidRPr="00522C90" w:rsidRDefault="00204900" w:rsidP="00204900">
      <w:pPr>
        <w:spacing w:line="480" w:lineRule="auto"/>
        <w:ind w:left="720" w:hanging="720"/>
        <w:jc w:val="center"/>
        <w:rPr>
          <w:i/>
          <w:iCs/>
          <w:color w:val="000000" w:themeColor="text1"/>
        </w:rPr>
      </w:pPr>
      <w:r w:rsidRPr="00522C90">
        <w:rPr>
          <w:i/>
          <w:iCs/>
          <w:color w:val="000000" w:themeColor="text1"/>
        </w:rPr>
        <w:lastRenderedPageBreak/>
        <w:t xml:space="preserve">Table </w:t>
      </w:r>
      <w:r w:rsidR="001F1912">
        <w:rPr>
          <w:i/>
          <w:iCs/>
          <w:color w:val="000000" w:themeColor="text1"/>
        </w:rPr>
        <w:t>3</w:t>
      </w:r>
      <w:r w:rsidRPr="00522C90">
        <w:rPr>
          <w:i/>
          <w:iCs/>
          <w:color w:val="000000" w:themeColor="text1"/>
        </w:rPr>
        <w:t xml:space="preserve">. Risk </w:t>
      </w:r>
      <w:r>
        <w:rPr>
          <w:i/>
          <w:iCs/>
          <w:color w:val="000000" w:themeColor="text1"/>
        </w:rPr>
        <w:t>identification</w:t>
      </w:r>
    </w:p>
    <w:tbl>
      <w:tblPr>
        <w:tblStyle w:val="TableGrid"/>
        <w:tblW w:w="7585" w:type="dxa"/>
        <w:jc w:val="center"/>
        <w:tblLook w:val="04A0" w:firstRow="1" w:lastRow="0" w:firstColumn="1" w:lastColumn="0" w:noHBand="0" w:noVBand="1"/>
      </w:tblPr>
      <w:tblGrid>
        <w:gridCol w:w="1568"/>
        <w:gridCol w:w="1653"/>
        <w:gridCol w:w="1653"/>
        <w:gridCol w:w="2711"/>
      </w:tblGrid>
      <w:tr w:rsidR="00204900" w14:paraId="247EB575" w14:textId="77777777" w:rsidTr="009530DD">
        <w:trPr>
          <w:trHeight w:val="462"/>
          <w:jc w:val="center"/>
        </w:trPr>
        <w:tc>
          <w:tcPr>
            <w:tcW w:w="1568" w:type="dxa"/>
            <w:vAlign w:val="center"/>
          </w:tcPr>
          <w:p w14:paraId="31728FA9" w14:textId="77777777" w:rsidR="00204900" w:rsidRPr="009460A8" w:rsidRDefault="00204900" w:rsidP="009530DD">
            <w:pPr>
              <w:spacing w:after="240"/>
              <w:jc w:val="center"/>
              <w:rPr>
                <w:b/>
                <w:bCs/>
                <w:color w:val="000000" w:themeColor="text1"/>
              </w:rPr>
            </w:pPr>
            <w:r w:rsidRPr="009460A8">
              <w:rPr>
                <w:b/>
                <w:bCs/>
                <w:color w:val="000000" w:themeColor="text1"/>
              </w:rPr>
              <w:t>BESS Project</w:t>
            </w:r>
          </w:p>
        </w:tc>
        <w:tc>
          <w:tcPr>
            <w:tcW w:w="1653" w:type="dxa"/>
            <w:vAlign w:val="center"/>
          </w:tcPr>
          <w:p w14:paraId="12FE179F" w14:textId="77777777" w:rsidR="00204900" w:rsidRPr="009460A8" w:rsidRDefault="00204900" w:rsidP="009530DD">
            <w:pPr>
              <w:spacing w:after="240"/>
              <w:jc w:val="center"/>
              <w:rPr>
                <w:b/>
                <w:bCs/>
                <w:color w:val="000000" w:themeColor="text1"/>
              </w:rPr>
            </w:pPr>
            <w:r w:rsidRPr="009460A8">
              <w:rPr>
                <w:b/>
                <w:bCs/>
                <w:color w:val="000000" w:themeColor="text1"/>
              </w:rPr>
              <w:t>Project Estimate (Excluding Contingency)</w:t>
            </w:r>
          </w:p>
        </w:tc>
        <w:tc>
          <w:tcPr>
            <w:tcW w:w="1653" w:type="dxa"/>
            <w:vAlign w:val="center"/>
          </w:tcPr>
          <w:p w14:paraId="38DCDE58" w14:textId="77777777" w:rsidR="00204900" w:rsidRPr="009460A8" w:rsidRDefault="00204900" w:rsidP="009530DD">
            <w:pPr>
              <w:spacing w:after="240"/>
              <w:jc w:val="center"/>
              <w:rPr>
                <w:b/>
                <w:bCs/>
                <w:color w:val="000000" w:themeColor="text1"/>
              </w:rPr>
            </w:pPr>
            <w:r w:rsidRPr="009460A8">
              <w:rPr>
                <w:b/>
                <w:bCs/>
                <w:color w:val="000000" w:themeColor="text1"/>
              </w:rPr>
              <w:t>Total Contingency</w:t>
            </w:r>
          </w:p>
        </w:tc>
        <w:tc>
          <w:tcPr>
            <w:tcW w:w="2711" w:type="dxa"/>
            <w:vAlign w:val="center"/>
          </w:tcPr>
          <w:p w14:paraId="0C4A968F" w14:textId="3555509B" w:rsidR="00204900" w:rsidRPr="009460A8" w:rsidRDefault="00806557" w:rsidP="009530DD">
            <w:pPr>
              <w:spacing w:after="240"/>
              <w:jc w:val="center"/>
              <w:rPr>
                <w:b/>
                <w:bCs/>
                <w:color w:val="000000" w:themeColor="text1"/>
              </w:rPr>
            </w:pPr>
            <w:r w:rsidRPr="00806557">
              <w:rPr>
                <w:b/>
                <w:bCs/>
                <w:color w:val="000000" w:themeColor="text1"/>
                <w:highlight w:val="black"/>
              </w:rPr>
              <w:t>XXXXXXXXXXXX</w:t>
            </w:r>
            <w:r w:rsidR="00204900" w:rsidRPr="00806557">
              <w:rPr>
                <w:b/>
                <w:bCs/>
                <w:color w:val="000000" w:themeColor="text1"/>
                <w:highlight w:val="black"/>
              </w:rPr>
              <w:t xml:space="preserve"> </w:t>
            </w:r>
            <w:r w:rsidRPr="00806557">
              <w:rPr>
                <w:b/>
                <w:bCs/>
                <w:color w:val="000000" w:themeColor="text1"/>
                <w:highlight w:val="black"/>
              </w:rPr>
              <w:t>XXXXXXXXXXXXXX</w:t>
            </w:r>
            <w:r w:rsidR="00204900" w:rsidRPr="00806557">
              <w:rPr>
                <w:b/>
                <w:bCs/>
                <w:color w:val="000000" w:themeColor="text1"/>
                <w:highlight w:val="black"/>
              </w:rPr>
              <w:t xml:space="preserve"> </w:t>
            </w:r>
            <w:r w:rsidRPr="00806557">
              <w:rPr>
                <w:b/>
                <w:bCs/>
                <w:color w:val="000000" w:themeColor="text1"/>
                <w:highlight w:val="black"/>
              </w:rPr>
              <w:t>XXXXXXXXXX</w:t>
            </w:r>
          </w:p>
        </w:tc>
      </w:tr>
      <w:tr w:rsidR="00204900" w14:paraId="52306F68" w14:textId="77777777" w:rsidTr="009530DD">
        <w:trPr>
          <w:trHeight w:val="163"/>
          <w:jc w:val="center"/>
        </w:trPr>
        <w:tc>
          <w:tcPr>
            <w:tcW w:w="1568" w:type="dxa"/>
            <w:vAlign w:val="center"/>
          </w:tcPr>
          <w:p w14:paraId="2C040440" w14:textId="77777777" w:rsidR="00204900" w:rsidRPr="009460A8" w:rsidRDefault="00204900" w:rsidP="009530DD">
            <w:pPr>
              <w:spacing w:after="240"/>
              <w:jc w:val="center"/>
              <w:rPr>
                <w:color w:val="000000" w:themeColor="text1"/>
              </w:rPr>
            </w:pPr>
            <w:r w:rsidRPr="009460A8">
              <w:rPr>
                <w:color w:val="000000" w:themeColor="text1"/>
              </w:rPr>
              <w:t>Robins</w:t>
            </w:r>
          </w:p>
        </w:tc>
        <w:tc>
          <w:tcPr>
            <w:tcW w:w="1653" w:type="dxa"/>
            <w:vAlign w:val="center"/>
          </w:tcPr>
          <w:p w14:paraId="3123CE50" w14:textId="7E00C722" w:rsidR="00204900" w:rsidRPr="00806557" w:rsidRDefault="00806557" w:rsidP="009530DD">
            <w:pPr>
              <w:jc w:val="center"/>
              <w:rPr>
                <w:color w:val="000000" w:themeColor="text1"/>
                <w:highlight w:val="black"/>
              </w:rPr>
            </w:pPr>
            <w:r w:rsidRPr="00806557">
              <w:rPr>
                <w:color w:val="000000"/>
                <w:highlight w:val="black"/>
              </w:rPr>
              <w:t>XXXXXXX</w:t>
            </w:r>
          </w:p>
        </w:tc>
        <w:tc>
          <w:tcPr>
            <w:tcW w:w="1653" w:type="dxa"/>
            <w:vAlign w:val="center"/>
          </w:tcPr>
          <w:p w14:paraId="45AE9C58" w14:textId="05BAAF85" w:rsidR="00204900" w:rsidRPr="00806557" w:rsidRDefault="00806557" w:rsidP="009530DD">
            <w:pPr>
              <w:jc w:val="center"/>
              <w:rPr>
                <w:color w:val="000000"/>
                <w:highlight w:val="black"/>
              </w:rPr>
            </w:pPr>
            <w:r w:rsidRPr="00806557">
              <w:rPr>
                <w:color w:val="000000"/>
                <w:highlight w:val="black"/>
              </w:rPr>
              <w:t>XXXXXXX</w:t>
            </w:r>
          </w:p>
        </w:tc>
        <w:tc>
          <w:tcPr>
            <w:tcW w:w="2711" w:type="dxa"/>
            <w:vAlign w:val="center"/>
          </w:tcPr>
          <w:p w14:paraId="56B0A82B" w14:textId="1A105D4D" w:rsidR="00204900" w:rsidRPr="00806557" w:rsidRDefault="00806557" w:rsidP="009530DD">
            <w:pPr>
              <w:jc w:val="center"/>
              <w:rPr>
                <w:color w:val="000000"/>
                <w:highlight w:val="black"/>
              </w:rPr>
            </w:pPr>
            <w:r w:rsidRPr="00806557">
              <w:rPr>
                <w:color w:val="000000"/>
                <w:highlight w:val="black"/>
              </w:rPr>
              <w:t>XXXXXXX</w:t>
            </w:r>
          </w:p>
        </w:tc>
      </w:tr>
      <w:tr w:rsidR="00204900" w14:paraId="1E975D5A" w14:textId="77777777" w:rsidTr="009530DD">
        <w:trPr>
          <w:trHeight w:val="123"/>
          <w:jc w:val="center"/>
        </w:trPr>
        <w:tc>
          <w:tcPr>
            <w:tcW w:w="1568" w:type="dxa"/>
            <w:vAlign w:val="center"/>
          </w:tcPr>
          <w:p w14:paraId="272ED74D" w14:textId="77777777" w:rsidR="00204900" w:rsidRPr="009460A8" w:rsidRDefault="00204900" w:rsidP="009530DD">
            <w:pPr>
              <w:spacing w:after="240"/>
              <w:jc w:val="center"/>
              <w:rPr>
                <w:color w:val="000000" w:themeColor="text1"/>
              </w:rPr>
            </w:pPr>
            <w:r w:rsidRPr="009460A8">
              <w:rPr>
                <w:color w:val="000000" w:themeColor="text1"/>
              </w:rPr>
              <w:t>Moody</w:t>
            </w:r>
          </w:p>
        </w:tc>
        <w:tc>
          <w:tcPr>
            <w:tcW w:w="1653" w:type="dxa"/>
            <w:vAlign w:val="center"/>
          </w:tcPr>
          <w:p w14:paraId="4B067BBD" w14:textId="3ABAE04A" w:rsidR="00204900" w:rsidRPr="00806557" w:rsidRDefault="00806557" w:rsidP="009530DD">
            <w:pPr>
              <w:jc w:val="center"/>
              <w:rPr>
                <w:color w:val="000000" w:themeColor="text1"/>
                <w:highlight w:val="black"/>
              </w:rPr>
            </w:pPr>
            <w:r w:rsidRPr="00806557">
              <w:rPr>
                <w:color w:val="000000"/>
                <w:highlight w:val="black"/>
              </w:rPr>
              <w:t>XXXXXXX</w:t>
            </w:r>
          </w:p>
        </w:tc>
        <w:tc>
          <w:tcPr>
            <w:tcW w:w="1653" w:type="dxa"/>
            <w:vAlign w:val="center"/>
          </w:tcPr>
          <w:p w14:paraId="52C5E889" w14:textId="32D1947D" w:rsidR="00204900" w:rsidRPr="00806557" w:rsidRDefault="00806557" w:rsidP="009530DD">
            <w:pPr>
              <w:jc w:val="center"/>
              <w:rPr>
                <w:color w:val="000000"/>
                <w:highlight w:val="black"/>
              </w:rPr>
            </w:pPr>
            <w:r w:rsidRPr="00806557">
              <w:rPr>
                <w:color w:val="000000"/>
                <w:highlight w:val="black"/>
              </w:rPr>
              <w:t>XXXXXXX</w:t>
            </w:r>
          </w:p>
        </w:tc>
        <w:tc>
          <w:tcPr>
            <w:tcW w:w="2711" w:type="dxa"/>
            <w:vAlign w:val="center"/>
          </w:tcPr>
          <w:p w14:paraId="0D76B8AC" w14:textId="546E9DD0" w:rsidR="00204900" w:rsidRPr="00806557" w:rsidRDefault="00806557" w:rsidP="009530DD">
            <w:pPr>
              <w:jc w:val="center"/>
              <w:rPr>
                <w:color w:val="000000"/>
                <w:highlight w:val="black"/>
              </w:rPr>
            </w:pPr>
            <w:r w:rsidRPr="00806557">
              <w:rPr>
                <w:color w:val="000000"/>
                <w:highlight w:val="black"/>
              </w:rPr>
              <w:t>XXXXXXX</w:t>
            </w:r>
          </w:p>
        </w:tc>
      </w:tr>
      <w:tr w:rsidR="00204900" w14:paraId="778F4306" w14:textId="77777777" w:rsidTr="009530DD">
        <w:trPr>
          <w:trHeight w:val="123"/>
          <w:jc w:val="center"/>
        </w:trPr>
        <w:tc>
          <w:tcPr>
            <w:tcW w:w="1568" w:type="dxa"/>
            <w:vAlign w:val="center"/>
          </w:tcPr>
          <w:p w14:paraId="2FE50862" w14:textId="77777777" w:rsidR="00204900" w:rsidRPr="009460A8" w:rsidRDefault="00204900" w:rsidP="009530DD">
            <w:pPr>
              <w:spacing w:after="240"/>
              <w:jc w:val="center"/>
              <w:rPr>
                <w:color w:val="000000" w:themeColor="text1"/>
              </w:rPr>
            </w:pPr>
            <w:r w:rsidRPr="009460A8">
              <w:rPr>
                <w:color w:val="000000" w:themeColor="text1"/>
              </w:rPr>
              <w:t>Hammond</w:t>
            </w:r>
          </w:p>
        </w:tc>
        <w:tc>
          <w:tcPr>
            <w:tcW w:w="1653" w:type="dxa"/>
            <w:vAlign w:val="center"/>
          </w:tcPr>
          <w:p w14:paraId="007F6468" w14:textId="328F3229" w:rsidR="00204900" w:rsidRPr="00806557" w:rsidRDefault="00806557" w:rsidP="009530DD">
            <w:pPr>
              <w:jc w:val="center"/>
              <w:rPr>
                <w:color w:val="000000" w:themeColor="text1"/>
                <w:highlight w:val="black"/>
              </w:rPr>
            </w:pPr>
            <w:r w:rsidRPr="00806557">
              <w:rPr>
                <w:color w:val="000000"/>
                <w:highlight w:val="black"/>
              </w:rPr>
              <w:t>XXXXXXX</w:t>
            </w:r>
          </w:p>
        </w:tc>
        <w:tc>
          <w:tcPr>
            <w:tcW w:w="1653" w:type="dxa"/>
            <w:vAlign w:val="center"/>
          </w:tcPr>
          <w:p w14:paraId="323BA43A" w14:textId="2E292FD8" w:rsidR="00204900" w:rsidRPr="00806557" w:rsidRDefault="00806557" w:rsidP="009530DD">
            <w:pPr>
              <w:jc w:val="center"/>
              <w:rPr>
                <w:color w:val="000000"/>
                <w:highlight w:val="black"/>
              </w:rPr>
            </w:pPr>
            <w:r w:rsidRPr="00806557">
              <w:rPr>
                <w:color w:val="000000"/>
                <w:highlight w:val="black"/>
              </w:rPr>
              <w:t>XXXXXXX</w:t>
            </w:r>
          </w:p>
        </w:tc>
        <w:tc>
          <w:tcPr>
            <w:tcW w:w="2711" w:type="dxa"/>
            <w:vAlign w:val="center"/>
          </w:tcPr>
          <w:p w14:paraId="351812A0" w14:textId="586B61DB" w:rsidR="00204900" w:rsidRPr="00806557" w:rsidRDefault="00806557" w:rsidP="009530DD">
            <w:pPr>
              <w:jc w:val="center"/>
              <w:rPr>
                <w:color w:val="000000"/>
                <w:highlight w:val="black"/>
              </w:rPr>
            </w:pPr>
            <w:r w:rsidRPr="00806557">
              <w:rPr>
                <w:color w:val="000000"/>
                <w:highlight w:val="black"/>
              </w:rPr>
              <w:t>XXXXXXX</w:t>
            </w:r>
          </w:p>
        </w:tc>
      </w:tr>
      <w:tr w:rsidR="00204900" w14:paraId="0450DA1E" w14:textId="77777777" w:rsidTr="009530DD">
        <w:trPr>
          <w:trHeight w:val="123"/>
          <w:jc w:val="center"/>
        </w:trPr>
        <w:tc>
          <w:tcPr>
            <w:tcW w:w="1568" w:type="dxa"/>
            <w:vAlign w:val="center"/>
          </w:tcPr>
          <w:p w14:paraId="4E0B3CE5" w14:textId="77777777" w:rsidR="00204900" w:rsidRPr="009460A8" w:rsidRDefault="00204900" w:rsidP="009530DD">
            <w:pPr>
              <w:spacing w:after="240"/>
              <w:jc w:val="center"/>
              <w:rPr>
                <w:color w:val="000000" w:themeColor="text1"/>
              </w:rPr>
            </w:pPr>
            <w:r w:rsidRPr="009460A8">
              <w:rPr>
                <w:color w:val="000000" w:themeColor="text1"/>
              </w:rPr>
              <w:t>McGrau Ford Phase I</w:t>
            </w:r>
          </w:p>
        </w:tc>
        <w:tc>
          <w:tcPr>
            <w:tcW w:w="1653" w:type="dxa"/>
            <w:vAlign w:val="center"/>
          </w:tcPr>
          <w:p w14:paraId="202BFB3B" w14:textId="7738F2B6" w:rsidR="00204900" w:rsidRPr="00806557" w:rsidRDefault="00806557" w:rsidP="009530DD">
            <w:pPr>
              <w:jc w:val="center"/>
              <w:rPr>
                <w:color w:val="000000" w:themeColor="text1"/>
                <w:highlight w:val="black"/>
              </w:rPr>
            </w:pPr>
            <w:r w:rsidRPr="00806557">
              <w:rPr>
                <w:color w:val="000000"/>
                <w:highlight w:val="black"/>
              </w:rPr>
              <w:t>XXXXXXX</w:t>
            </w:r>
          </w:p>
        </w:tc>
        <w:tc>
          <w:tcPr>
            <w:tcW w:w="1653" w:type="dxa"/>
            <w:vAlign w:val="center"/>
          </w:tcPr>
          <w:p w14:paraId="5251B856" w14:textId="64BA0B95" w:rsidR="00204900" w:rsidRPr="00806557" w:rsidRDefault="00806557" w:rsidP="009530DD">
            <w:pPr>
              <w:jc w:val="center"/>
              <w:rPr>
                <w:color w:val="000000"/>
                <w:highlight w:val="black"/>
              </w:rPr>
            </w:pPr>
            <w:r w:rsidRPr="00806557">
              <w:rPr>
                <w:color w:val="000000"/>
                <w:highlight w:val="black"/>
              </w:rPr>
              <w:t>XXXXXXX</w:t>
            </w:r>
          </w:p>
        </w:tc>
        <w:tc>
          <w:tcPr>
            <w:tcW w:w="2711" w:type="dxa"/>
            <w:vAlign w:val="center"/>
          </w:tcPr>
          <w:p w14:paraId="24199409" w14:textId="672DB4C6" w:rsidR="00204900" w:rsidRPr="00806557" w:rsidRDefault="00806557" w:rsidP="009530DD">
            <w:pPr>
              <w:jc w:val="center"/>
              <w:rPr>
                <w:color w:val="000000"/>
                <w:highlight w:val="black"/>
              </w:rPr>
            </w:pPr>
            <w:r w:rsidRPr="00806557">
              <w:rPr>
                <w:color w:val="000000"/>
                <w:highlight w:val="black"/>
              </w:rPr>
              <w:t>XXXXXXX</w:t>
            </w:r>
          </w:p>
        </w:tc>
      </w:tr>
      <w:tr w:rsidR="00204900" w14:paraId="703A2522" w14:textId="77777777" w:rsidTr="009530DD">
        <w:trPr>
          <w:trHeight w:val="123"/>
          <w:jc w:val="center"/>
        </w:trPr>
        <w:tc>
          <w:tcPr>
            <w:tcW w:w="1568" w:type="dxa"/>
            <w:vAlign w:val="center"/>
          </w:tcPr>
          <w:p w14:paraId="2CCC50E5" w14:textId="77777777" w:rsidR="00204900" w:rsidRPr="009460A8" w:rsidRDefault="00204900" w:rsidP="009530DD">
            <w:pPr>
              <w:spacing w:after="240"/>
              <w:jc w:val="center"/>
              <w:rPr>
                <w:color w:val="000000" w:themeColor="text1"/>
              </w:rPr>
            </w:pPr>
            <w:r w:rsidRPr="009460A8">
              <w:rPr>
                <w:color w:val="000000" w:themeColor="text1"/>
              </w:rPr>
              <w:t>McGrau Ford Phase II</w:t>
            </w:r>
          </w:p>
        </w:tc>
        <w:tc>
          <w:tcPr>
            <w:tcW w:w="1653" w:type="dxa"/>
            <w:vAlign w:val="center"/>
          </w:tcPr>
          <w:p w14:paraId="35482A2C" w14:textId="28648131" w:rsidR="00204900" w:rsidRPr="00806557" w:rsidRDefault="00806557" w:rsidP="009530DD">
            <w:pPr>
              <w:jc w:val="center"/>
              <w:rPr>
                <w:color w:val="000000" w:themeColor="text1"/>
                <w:highlight w:val="black"/>
              </w:rPr>
            </w:pPr>
            <w:r w:rsidRPr="00806557">
              <w:rPr>
                <w:color w:val="000000"/>
                <w:highlight w:val="black"/>
              </w:rPr>
              <w:t>XXXXXXX</w:t>
            </w:r>
          </w:p>
        </w:tc>
        <w:tc>
          <w:tcPr>
            <w:tcW w:w="1653" w:type="dxa"/>
            <w:vAlign w:val="center"/>
          </w:tcPr>
          <w:p w14:paraId="2C86B0AE" w14:textId="5540731C" w:rsidR="00204900" w:rsidRPr="00806557" w:rsidRDefault="00806557" w:rsidP="009530DD">
            <w:pPr>
              <w:jc w:val="center"/>
              <w:rPr>
                <w:color w:val="000000"/>
                <w:highlight w:val="black"/>
              </w:rPr>
            </w:pPr>
            <w:r w:rsidRPr="00806557">
              <w:rPr>
                <w:color w:val="000000"/>
                <w:highlight w:val="black"/>
              </w:rPr>
              <w:t>XXXXXXX</w:t>
            </w:r>
          </w:p>
        </w:tc>
        <w:tc>
          <w:tcPr>
            <w:tcW w:w="2711" w:type="dxa"/>
            <w:vAlign w:val="center"/>
          </w:tcPr>
          <w:p w14:paraId="4634BCC1" w14:textId="567FB70E" w:rsidR="00204900" w:rsidRPr="00806557" w:rsidRDefault="00806557" w:rsidP="009530DD">
            <w:pPr>
              <w:jc w:val="center"/>
              <w:rPr>
                <w:color w:val="000000"/>
                <w:highlight w:val="black"/>
              </w:rPr>
            </w:pPr>
            <w:r w:rsidRPr="00806557">
              <w:rPr>
                <w:color w:val="000000"/>
                <w:highlight w:val="black"/>
              </w:rPr>
              <w:t>XXXXXXX</w:t>
            </w:r>
          </w:p>
        </w:tc>
      </w:tr>
      <w:tr w:rsidR="00204900" w14:paraId="0073C4A7" w14:textId="77777777" w:rsidTr="009530DD">
        <w:trPr>
          <w:trHeight w:val="123"/>
          <w:jc w:val="center"/>
        </w:trPr>
        <w:tc>
          <w:tcPr>
            <w:tcW w:w="1568" w:type="dxa"/>
            <w:vAlign w:val="center"/>
          </w:tcPr>
          <w:p w14:paraId="01AF6E36" w14:textId="77777777" w:rsidR="00204900" w:rsidRPr="009460A8" w:rsidRDefault="00204900" w:rsidP="009530DD">
            <w:pPr>
              <w:spacing w:after="240"/>
              <w:jc w:val="center"/>
              <w:rPr>
                <w:b/>
                <w:bCs/>
                <w:color w:val="000000" w:themeColor="text1"/>
              </w:rPr>
            </w:pPr>
            <w:r w:rsidRPr="009460A8">
              <w:rPr>
                <w:b/>
                <w:bCs/>
                <w:color w:val="000000" w:themeColor="text1"/>
              </w:rPr>
              <w:t>Total</w:t>
            </w:r>
          </w:p>
        </w:tc>
        <w:tc>
          <w:tcPr>
            <w:tcW w:w="1653" w:type="dxa"/>
            <w:vAlign w:val="center"/>
          </w:tcPr>
          <w:p w14:paraId="4223AD9D" w14:textId="1777B751" w:rsidR="00204900" w:rsidRPr="00806557" w:rsidRDefault="00806557" w:rsidP="009530DD">
            <w:pPr>
              <w:jc w:val="center"/>
              <w:rPr>
                <w:color w:val="000000"/>
                <w:highlight w:val="black"/>
              </w:rPr>
            </w:pPr>
            <w:r w:rsidRPr="00806557">
              <w:rPr>
                <w:color w:val="000000"/>
                <w:highlight w:val="black"/>
              </w:rPr>
              <w:t>XXXXXXX</w:t>
            </w:r>
          </w:p>
        </w:tc>
        <w:tc>
          <w:tcPr>
            <w:tcW w:w="1653" w:type="dxa"/>
            <w:vAlign w:val="center"/>
          </w:tcPr>
          <w:p w14:paraId="6DC82904" w14:textId="4A3A23BE" w:rsidR="00204900" w:rsidRPr="00806557" w:rsidRDefault="00806557" w:rsidP="009530DD">
            <w:pPr>
              <w:jc w:val="center"/>
              <w:rPr>
                <w:color w:val="000000"/>
                <w:highlight w:val="black"/>
              </w:rPr>
            </w:pPr>
            <w:r w:rsidRPr="00806557">
              <w:rPr>
                <w:color w:val="000000"/>
                <w:highlight w:val="black"/>
              </w:rPr>
              <w:t>XXXXXXX</w:t>
            </w:r>
          </w:p>
        </w:tc>
        <w:tc>
          <w:tcPr>
            <w:tcW w:w="2711" w:type="dxa"/>
            <w:vAlign w:val="center"/>
          </w:tcPr>
          <w:p w14:paraId="32DA6C26" w14:textId="6DBC1F3A" w:rsidR="00204900" w:rsidRPr="00806557" w:rsidRDefault="00806557" w:rsidP="009530DD">
            <w:pPr>
              <w:jc w:val="center"/>
              <w:rPr>
                <w:b/>
                <w:bCs/>
                <w:color w:val="000000"/>
                <w:highlight w:val="black"/>
              </w:rPr>
            </w:pPr>
            <w:r w:rsidRPr="00806557">
              <w:rPr>
                <w:color w:val="000000"/>
                <w:highlight w:val="black"/>
              </w:rPr>
              <w:t>XXXXXXX</w:t>
            </w:r>
          </w:p>
        </w:tc>
      </w:tr>
    </w:tbl>
    <w:p w14:paraId="744BDBC9" w14:textId="77777777" w:rsidR="00204900" w:rsidRPr="005F63FB" w:rsidRDefault="00204900" w:rsidP="00CB05BF">
      <w:pPr>
        <w:spacing w:before="480" w:line="480" w:lineRule="auto"/>
        <w:ind w:left="720" w:hanging="720"/>
        <w:jc w:val="both"/>
        <w:rPr>
          <w:b/>
          <w:bCs/>
          <w:color w:val="000000" w:themeColor="text1"/>
        </w:rPr>
      </w:pPr>
      <w:r w:rsidRPr="005F63FB">
        <w:rPr>
          <w:b/>
          <w:bCs/>
          <w:color w:val="000000" w:themeColor="text1"/>
        </w:rPr>
        <w:t>Q.</w:t>
      </w:r>
      <w:r w:rsidRPr="005F63FB">
        <w:rPr>
          <w:b/>
          <w:bCs/>
          <w:color w:val="000000" w:themeColor="text1"/>
        </w:rPr>
        <w:tab/>
        <w:t xml:space="preserve">PLEASE DESCRIBE </w:t>
      </w:r>
      <w:r>
        <w:rPr>
          <w:b/>
          <w:bCs/>
          <w:color w:val="000000" w:themeColor="text1"/>
        </w:rPr>
        <w:t xml:space="preserve">THE RISK FACTORS USED BY THE COMPANY TO DETERMINE THE </w:t>
      </w:r>
      <w:r w:rsidRPr="005F63FB">
        <w:rPr>
          <w:b/>
          <w:bCs/>
          <w:color w:val="000000" w:themeColor="text1"/>
        </w:rPr>
        <w:t xml:space="preserve">CONTINGENCY </w:t>
      </w:r>
      <w:r>
        <w:rPr>
          <w:b/>
          <w:bCs/>
          <w:color w:val="000000" w:themeColor="text1"/>
        </w:rPr>
        <w:t>FOR THE FIVE BESS PROJECTS.</w:t>
      </w:r>
    </w:p>
    <w:p w14:paraId="1D3B92CD" w14:textId="17A60042" w:rsidR="00204900" w:rsidRPr="00CC4271" w:rsidRDefault="00204900" w:rsidP="00204900">
      <w:pPr>
        <w:spacing w:after="240" w:line="480" w:lineRule="auto"/>
        <w:ind w:left="720" w:hanging="720"/>
        <w:jc w:val="both"/>
        <w:rPr>
          <w:color w:val="000000" w:themeColor="text1"/>
          <w:highlight w:val="yellow"/>
        </w:rPr>
      </w:pPr>
      <w:r>
        <w:rPr>
          <w:color w:val="000000" w:themeColor="text1"/>
        </w:rPr>
        <w:t>A.</w:t>
      </w:r>
      <w:r>
        <w:rPr>
          <w:color w:val="000000" w:themeColor="text1"/>
        </w:rPr>
        <w:tab/>
        <w:t xml:space="preserve">The risks factors that were considered by the Company in the contingency calculation include: market fluctuations, project complexity, supplier lead times, contractual terms, clarity and stability of the project scope, rapid development, complexity of managing multiple interdependent agreements, and the need for a 2026 COD. The Company provided a detailed breakdown of the risk categories and then assigned probabilities for each of the Five BESS Projects (Company’s Response to STF-PIA-18-6). Worth noting, for the Five BESS Projects, the Company identified several risk categories </w:t>
      </w:r>
      <w:r w:rsidR="00536762" w:rsidRPr="00536762">
        <w:rPr>
          <w:color w:val="000000" w:themeColor="text1"/>
          <w:highlight w:val="black"/>
        </w:rPr>
        <w:t>XXXXXXXXXXXXX</w:t>
      </w:r>
      <w:r w:rsidRPr="00536762">
        <w:rPr>
          <w:color w:val="000000" w:themeColor="text1"/>
          <w:highlight w:val="black"/>
        </w:rPr>
        <w:t xml:space="preserve"> </w:t>
      </w:r>
      <w:r w:rsidR="00536762" w:rsidRPr="00536762">
        <w:rPr>
          <w:color w:val="000000" w:themeColor="text1"/>
          <w:highlight w:val="black"/>
        </w:rPr>
        <w:t>XXXXX</w:t>
      </w:r>
      <w:r w:rsidRPr="00042BC4">
        <w:rPr>
          <w:color w:val="000000" w:themeColor="text1"/>
        </w:rPr>
        <w:t>.</w:t>
      </w:r>
      <w:r>
        <w:rPr>
          <w:color w:val="000000" w:themeColor="text1"/>
        </w:rPr>
        <w:t xml:space="preserve">  The risks that are outside of the Company’s control include: </w:t>
      </w:r>
      <w:r w:rsidR="00536762" w:rsidRPr="00536762">
        <w:rPr>
          <w:color w:val="000000" w:themeColor="text1"/>
          <w:highlight w:val="black"/>
        </w:rPr>
        <w:t>XXXXXXXX</w:t>
      </w:r>
      <w:r w:rsidR="004B2A76" w:rsidRPr="004B2A76">
        <w:rPr>
          <w:color w:val="000000" w:themeColor="text1"/>
          <w:highlight w:val="cyan"/>
        </w:rPr>
        <w:t xml:space="preserve"> </w:t>
      </w:r>
      <w:r w:rsidR="004B2A76" w:rsidRPr="001B32E2">
        <w:rPr>
          <w:color w:val="000000" w:themeColor="text1"/>
        </w:rPr>
        <w:t>Index Impact</w:t>
      </w:r>
      <w:r w:rsidR="005976C7" w:rsidRPr="001B32E2">
        <w:rPr>
          <w:color w:val="000000" w:themeColor="text1"/>
        </w:rPr>
        <w:t xml:space="preserve"> </w:t>
      </w:r>
      <w:r w:rsidR="005976C7" w:rsidRPr="00271102">
        <w:rPr>
          <w:color w:val="000000" w:themeColor="text1"/>
          <w:highlight w:val="black"/>
        </w:rPr>
        <w:t>XXX</w:t>
      </w:r>
      <w:r w:rsidR="00271102" w:rsidRPr="00271102">
        <w:rPr>
          <w:color w:val="000000" w:themeColor="text1"/>
          <w:highlight w:val="black"/>
        </w:rPr>
        <w:t>XXXX</w:t>
      </w:r>
      <w:r w:rsidR="005976C7" w:rsidRPr="00271102">
        <w:rPr>
          <w:color w:val="000000" w:themeColor="text1"/>
          <w:highlight w:val="black"/>
        </w:rPr>
        <w:t>XX</w:t>
      </w:r>
      <w:r w:rsidRPr="00271102">
        <w:rPr>
          <w:color w:val="000000" w:themeColor="text1"/>
          <w:highlight w:val="black"/>
        </w:rPr>
        <w:t xml:space="preserve"> </w:t>
      </w:r>
      <w:r w:rsidR="005976C7" w:rsidRPr="001B32E2">
        <w:rPr>
          <w:color w:val="000000" w:themeColor="text1"/>
        </w:rPr>
        <w:t xml:space="preserve">EPC Cost Relief for Force Majeure, and Changes in Import </w:t>
      </w:r>
      <w:r w:rsidR="00E2026F" w:rsidRPr="00E2026F">
        <w:rPr>
          <w:color w:val="000000" w:themeColor="text1"/>
        </w:rPr>
        <w:lastRenderedPageBreak/>
        <w:t xml:space="preserve">Tariffs or other Regulatory Impacts. The risks that the Company has some control over are Vendor-caused Schedule Delays and Controls Integration. The risks the Company has primary control over is Quality Issues, Transmission Facilities Cost Increase, and Owner-caused Schedule Delays. The only risk category that was identified as </w:t>
      </w:r>
      <w:r w:rsidR="00E2026F" w:rsidRPr="00E2026F">
        <w:rPr>
          <w:color w:val="000000" w:themeColor="text1"/>
          <w:highlight w:val="black"/>
        </w:rPr>
        <w:t>XXXX</w:t>
      </w:r>
      <w:r w:rsidR="00E2026F" w:rsidRPr="00E2026F">
        <w:rPr>
          <w:color w:val="000000" w:themeColor="text1"/>
        </w:rPr>
        <w:t xml:space="preserve"> is Changes in Import Tariffs or other Regulatory Impacts</w:t>
      </w:r>
      <w:r>
        <w:rPr>
          <w:color w:val="000000" w:themeColor="text1"/>
        </w:rPr>
        <w:t xml:space="preserve">.  This risk is outside of the Company’s control and makes up a significant portion of the Company’s total contingency request. </w:t>
      </w:r>
    </w:p>
    <w:p w14:paraId="117B8D54" w14:textId="77777777" w:rsidR="00204900" w:rsidRDefault="00204900" w:rsidP="00E108DF">
      <w:pPr>
        <w:spacing w:line="480" w:lineRule="auto"/>
        <w:ind w:left="720" w:hanging="720"/>
        <w:jc w:val="both"/>
        <w:rPr>
          <w:b/>
          <w:bCs/>
          <w:color w:val="000000" w:themeColor="text1"/>
        </w:rPr>
      </w:pPr>
      <w:r>
        <w:rPr>
          <w:b/>
          <w:bCs/>
          <w:color w:val="000000" w:themeColor="text1"/>
        </w:rPr>
        <w:t>Q.</w:t>
      </w:r>
      <w:r>
        <w:rPr>
          <w:b/>
          <w:bCs/>
          <w:color w:val="000000" w:themeColor="text1"/>
        </w:rPr>
        <w:tab/>
        <w:t xml:space="preserve">WHAT CONCERNS </w:t>
      </w:r>
      <w:r w:rsidRPr="00642269">
        <w:rPr>
          <w:b/>
          <w:bCs/>
          <w:caps/>
          <w:color w:val="000000" w:themeColor="text1"/>
        </w:rPr>
        <w:t xml:space="preserve">Does Staff have regarding the contingency amount </w:t>
      </w:r>
      <w:r>
        <w:rPr>
          <w:b/>
          <w:bCs/>
          <w:caps/>
          <w:color w:val="000000" w:themeColor="text1"/>
        </w:rPr>
        <w:t>REQUESTED BY the COMPANY As part of the certified cost for the five bess projects</w:t>
      </w:r>
      <w:r w:rsidRPr="00642269">
        <w:rPr>
          <w:b/>
          <w:bCs/>
          <w:caps/>
          <w:color w:val="000000" w:themeColor="text1"/>
        </w:rPr>
        <w:t>?</w:t>
      </w:r>
    </w:p>
    <w:p w14:paraId="4BE99499" w14:textId="74E477A3" w:rsidR="00204900" w:rsidRDefault="00204900" w:rsidP="00204900">
      <w:pPr>
        <w:spacing w:after="240" w:line="480" w:lineRule="auto"/>
        <w:ind w:left="720" w:hanging="720"/>
        <w:jc w:val="both"/>
        <w:rPr>
          <w:color w:val="000000" w:themeColor="text1"/>
        </w:rPr>
      </w:pPr>
      <w:r w:rsidRPr="00305F64">
        <w:rPr>
          <w:color w:val="000000" w:themeColor="text1"/>
        </w:rPr>
        <w:t>A.</w:t>
      </w:r>
      <w:r>
        <w:rPr>
          <w:color w:val="000000" w:themeColor="text1"/>
        </w:rPr>
        <w:tab/>
        <w:t>Staff has concerns regarding the risk category</w:t>
      </w:r>
      <w:r w:rsidRPr="00E21D4D">
        <w:rPr>
          <w:color w:val="000000" w:themeColor="text1"/>
        </w:rPr>
        <w:t xml:space="preserve"> </w:t>
      </w:r>
      <w:r w:rsidR="00952F1E" w:rsidRPr="00952F1E">
        <w:rPr>
          <w:color w:val="000000" w:themeColor="text1"/>
        </w:rPr>
        <w:t>Changes in Import Tariffs or other Regulatory Impacts</w:t>
      </w:r>
      <w:r>
        <w:rPr>
          <w:color w:val="000000" w:themeColor="text1"/>
        </w:rPr>
        <w:t xml:space="preserve"> being included in the Company’s contingency request. If a </w:t>
      </w:r>
      <w:r w:rsidR="00BA4F85" w:rsidRPr="00BA4F85">
        <w:rPr>
          <w:color w:val="000000" w:themeColor="text1"/>
        </w:rPr>
        <w:t>change in law</w:t>
      </w:r>
      <w:r>
        <w:rPr>
          <w:color w:val="000000" w:themeColor="text1"/>
        </w:rPr>
        <w:t xml:space="preserve"> does occur and Georgia Power incurs costs associated with </w:t>
      </w:r>
      <w:r w:rsidR="00AF1DBD" w:rsidRPr="00AF1DBD">
        <w:rPr>
          <w:color w:val="000000" w:themeColor="text1"/>
        </w:rPr>
        <w:t>changes in tariffs or other regulatory impacts being implemented</w:t>
      </w:r>
      <w:r>
        <w:rPr>
          <w:color w:val="000000" w:themeColor="text1"/>
        </w:rPr>
        <w:t xml:space="preserve">, under the </w:t>
      </w:r>
      <w:r w:rsidR="007200CF">
        <w:rPr>
          <w:color w:val="000000" w:themeColor="text1"/>
        </w:rPr>
        <w:t xml:space="preserve">Commission’s </w:t>
      </w:r>
      <w:r w:rsidR="00AF618B">
        <w:rPr>
          <w:color w:val="000000" w:themeColor="text1"/>
        </w:rPr>
        <w:t>IRP</w:t>
      </w:r>
      <w:r>
        <w:rPr>
          <w:color w:val="000000" w:themeColor="text1"/>
        </w:rPr>
        <w:t xml:space="preserve"> Act,</w:t>
      </w:r>
      <w:r w:rsidR="00B13FAE">
        <w:rPr>
          <w:color w:val="000000" w:themeColor="text1"/>
        </w:rPr>
        <w:t xml:space="preserve"> </w:t>
      </w:r>
      <w:r>
        <w:rPr>
          <w:color w:val="000000" w:themeColor="text1"/>
        </w:rPr>
        <w:t xml:space="preserve">the Company would be allowed to request recovery of such costs even if the costs are not included in the certified amount. </w:t>
      </w:r>
      <w:r w:rsidRPr="00E70F92">
        <w:rPr>
          <w:color w:val="000000"/>
        </w:rPr>
        <w:t xml:space="preserve">Staff would likely support the recovery of such costs if associated directly with the implementation of </w:t>
      </w:r>
      <w:r>
        <w:rPr>
          <w:color w:val="000000"/>
        </w:rPr>
        <w:t xml:space="preserve">the </w:t>
      </w:r>
      <w:r w:rsidR="00417C04" w:rsidRPr="00417C04">
        <w:rPr>
          <w:color w:val="000000"/>
        </w:rPr>
        <w:t>change in law</w:t>
      </w:r>
      <w:r>
        <w:rPr>
          <w:color w:val="000000"/>
        </w:rPr>
        <w:t xml:space="preserve">.  </w:t>
      </w:r>
      <w:r w:rsidRPr="00C3069B">
        <w:rPr>
          <w:color w:val="000000" w:themeColor="text1"/>
        </w:rPr>
        <w:t>However</w:t>
      </w:r>
      <w:r>
        <w:rPr>
          <w:color w:val="000000" w:themeColor="text1"/>
        </w:rPr>
        <w:t xml:space="preserve">, if the </w:t>
      </w:r>
      <w:r w:rsidR="003472F4" w:rsidRPr="003472F4">
        <w:rPr>
          <w:color w:val="000000" w:themeColor="text1"/>
        </w:rPr>
        <w:t>change in law</w:t>
      </w:r>
      <w:r>
        <w:rPr>
          <w:color w:val="000000" w:themeColor="text1"/>
        </w:rPr>
        <w:t xml:space="preserve"> does not occur but the contingency for those costs has been included in the certified cost, there is no mechanism available to challenge the reasonableness of any project cost unless the project costs exceed the approved certified amount. In other words, if Georgia Power spends the contingency amount on something different, ratepayers would have no opportunity to challenge the reasonableness of such costs.</w:t>
      </w:r>
      <w:r w:rsidRPr="00C3069B">
        <w:rPr>
          <w:color w:val="000000" w:themeColor="text1"/>
        </w:rPr>
        <w:t xml:space="preserve"> The Commission should </w:t>
      </w:r>
      <w:r w:rsidRPr="00E70F92">
        <w:rPr>
          <w:color w:val="000000"/>
        </w:rPr>
        <w:t>preserve the right of the ratepayers to challenge costs based on the legal standard of reasonableness.</w:t>
      </w:r>
      <w:r>
        <w:rPr>
          <w:color w:val="000000" w:themeColor="text1"/>
        </w:rPr>
        <w:t xml:space="preserve"> </w:t>
      </w:r>
    </w:p>
    <w:p w14:paraId="5AF69D8D" w14:textId="77777777" w:rsidR="00204900" w:rsidRDefault="00204900" w:rsidP="00C914A9">
      <w:pPr>
        <w:spacing w:line="480" w:lineRule="auto"/>
        <w:ind w:left="720" w:hanging="720"/>
        <w:jc w:val="both"/>
        <w:rPr>
          <w:b/>
          <w:bCs/>
          <w:color w:val="000000" w:themeColor="text1"/>
        </w:rPr>
      </w:pPr>
      <w:r w:rsidRPr="000F41AD">
        <w:rPr>
          <w:b/>
          <w:bCs/>
          <w:color w:val="000000" w:themeColor="text1"/>
        </w:rPr>
        <w:lastRenderedPageBreak/>
        <w:t>Q.</w:t>
      </w:r>
      <w:r w:rsidRPr="000F41AD">
        <w:rPr>
          <w:b/>
          <w:bCs/>
          <w:color w:val="000000" w:themeColor="text1"/>
        </w:rPr>
        <w:tab/>
        <w:t>WHAT IS STAFF’S RECOMMENDATION REGARDING THE CONTINGENCY AMOUNT REQUESTED BY THE COMPANY?</w:t>
      </w:r>
    </w:p>
    <w:p w14:paraId="4207209C" w14:textId="23081C7D" w:rsidR="00204900" w:rsidRPr="005F63FB" w:rsidRDefault="00204900" w:rsidP="00204900">
      <w:pPr>
        <w:spacing w:after="240" w:line="480" w:lineRule="auto"/>
        <w:ind w:left="720" w:hanging="720"/>
        <w:jc w:val="both"/>
        <w:rPr>
          <w:color w:val="000000" w:themeColor="text1"/>
        </w:rPr>
      </w:pPr>
      <w:r w:rsidRPr="000F41AD">
        <w:rPr>
          <w:color w:val="000000" w:themeColor="text1"/>
        </w:rPr>
        <w:t>A.</w:t>
      </w:r>
      <w:r w:rsidRPr="000F41AD">
        <w:rPr>
          <w:color w:val="000000" w:themeColor="text1"/>
        </w:rPr>
        <w:tab/>
      </w:r>
      <w:r>
        <w:rPr>
          <w:color w:val="000000" w:themeColor="text1"/>
        </w:rPr>
        <w:t xml:space="preserve">Staff recommends that the contingency amount requested for </w:t>
      </w:r>
      <w:r w:rsidR="00FC7F8D" w:rsidRPr="00FC7F8D">
        <w:rPr>
          <w:color w:val="000000" w:themeColor="text1"/>
        </w:rPr>
        <w:t>Changes in Import Tariffs or other Regulatory Impacts</w:t>
      </w:r>
      <w:r>
        <w:rPr>
          <w:color w:val="000000" w:themeColor="text1"/>
        </w:rPr>
        <w:t xml:space="preserve">, in the cumulative amount </w:t>
      </w:r>
      <w:r w:rsidRPr="000F41AD">
        <w:rPr>
          <w:color w:val="000000" w:themeColor="text1"/>
        </w:rPr>
        <w:t xml:space="preserve">of </w:t>
      </w:r>
      <w:r w:rsidR="008E7494" w:rsidRPr="004B037A">
        <w:rPr>
          <w:color w:val="000000"/>
          <w:highlight w:val="black"/>
        </w:rPr>
        <w:t>XXXXXXX</w:t>
      </w:r>
      <w:r>
        <w:rPr>
          <w:color w:val="000000"/>
        </w:rPr>
        <w:t xml:space="preserve"> for the Five BESS Projects, </w:t>
      </w:r>
      <w:r>
        <w:rPr>
          <w:color w:val="000000" w:themeColor="text1"/>
        </w:rPr>
        <w:t xml:space="preserve">not be approved as part of the total certified cost. For the other contingency items, the Company has provided Staff the risk registers for each project.  Staff will monitor the status of the risks identified along with the cumulative contingency spending through the Construction Monitoring Reports. </w:t>
      </w:r>
    </w:p>
    <w:p w14:paraId="02DC7956" w14:textId="05058409" w:rsidR="006326DB" w:rsidRDefault="006326DB" w:rsidP="006326DB">
      <w:pPr>
        <w:spacing w:line="480" w:lineRule="auto"/>
        <w:ind w:left="720" w:hanging="720"/>
        <w:jc w:val="both"/>
        <w:rPr>
          <w:b/>
          <w:bCs/>
          <w:color w:val="000000" w:themeColor="text1"/>
        </w:rPr>
      </w:pPr>
      <w:r>
        <w:rPr>
          <w:b/>
          <w:bCs/>
          <w:color w:val="000000" w:themeColor="text1"/>
        </w:rPr>
        <w:t>Q.</w:t>
      </w:r>
      <w:r>
        <w:rPr>
          <w:b/>
          <w:bCs/>
          <w:color w:val="000000" w:themeColor="text1"/>
        </w:rPr>
        <w:tab/>
        <w:t xml:space="preserve">PLEASE DESCRIBE HOW </w:t>
      </w:r>
      <w:r w:rsidR="00DF321C">
        <w:rPr>
          <w:b/>
          <w:bCs/>
          <w:color w:val="000000" w:themeColor="text1"/>
        </w:rPr>
        <w:t xml:space="preserve">THE COMPANY SELECTED </w:t>
      </w:r>
      <w:r>
        <w:rPr>
          <w:b/>
          <w:bCs/>
          <w:color w:val="000000" w:themeColor="text1"/>
        </w:rPr>
        <w:t>THE EPC CONTRACTORS FOR THE FIVE BESS PROJECTS</w:t>
      </w:r>
      <w:r w:rsidR="00DF321C">
        <w:rPr>
          <w:b/>
          <w:bCs/>
          <w:color w:val="000000" w:themeColor="text1"/>
        </w:rPr>
        <w:t>.</w:t>
      </w:r>
    </w:p>
    <w:p w14:paraId="5F277A55" w14:textId="39CAE5B3" w:rsidR="006326DB" w:rsidRDefault="006326DB" w:rsidP="006326DB">
      <w:pPr>
        <w:spacing w:after="240" w:line="480" w:lineRule="auto"/>
        <w:ind w:left="720" w:hanging="720"/>
        <w:jc w:val="both"/>
        <w:rPr>
          <w:color w:val="000000" w:themeColor="text1"/>
        </w:rPr>
      </w:pPr>
      <w:r w:rsidRPr="00923B37">
        <w:rPr>
          <w:color w:val="000000" w:themeColor="text1"/>
        </w:rPr>
        <w:t>A.</w:t>
      </w:r>
      <w:r>
        <w:rPr>
          <w:b/>
          <w:bCs/>
          <w:color w:val="000000" w:themeColor="text1"/>
        </w:rPr>
        <w:tab/>
      </w:r>
      <w:r>
        <w:rPr>
          <w:color w:val="000000" w:themeColor="text1"/>
        </w:rPr>
        <w:t xml:space="preserve">In November 2023, the Company issued a Request for Proposals (“RFP”) for an EPC contractor for the Robins, Moody, and McGrau Ford Phase I BESS Projects. The responses to the RFP were to include all installation and equipment costs excluding the procurement of the BESS. Once the responses were received and reviewed, the Company ranked each proposal considering quantitative and qualitative factors which included weighted categories such as the bidder’s </w:t>
      </w:r>
      <w:r w:rsidR="004B037A" w:rsidRPr="004B037A">
        <w:rPr>
          <w:color w:val="000000" w:themeColor="text1"/>
          <w:highlight w:val="black"/>
        </w:rPr>
        <w:t>XXXXXXXXXXXXXXXXXXXXXXXXXXXXXXXX</w:t>
      </w:r>
      <w:r w:rsidRPr="004B037A">
        <w:rPr>
          <w:color w:val="000000" w:themeColor="text1"/>
          <w:highlight w:val="black"/>
        </w:rPr>
        <w:t xml:space="preserve"> </w:t>
      </w:r>
      <w:r w:rsidR="004B037A" w:rsidRPr="004B037A">
        <w:rPr>
          <w:color w:val="000000" w:themeColor="text1"/>
          <w:highlight w:val="black"/>
        </w:rPr>
        <w:t>XXXXXXXXXXXXXXXXXXXXXXXXXXXX</w:t>
      </w:r>
      <w:r>
        <w:rPr>
          <w:color w:val="000000" w:themeColor="text1"/>
        </w:rPr>
        <w:t xml:space="preserve"> </w:t>
      </w:r>
      <w:r>
        <w:t>(Company’s Response to TS STF-PIA-15-3 Attachment C)</w:t>
      </w:r>
      <w:r>
        <w:rPr>
          <w:color w:val="000000" w:themeColor="text1"/>
        </w:rPr>
        <w:t xml:space="preserve">. </w:t>
      </w:r>
    </w:p>
    <w:p w14:paraId="660C7F72" w14:textId="77777777" w:rsidR="006326DB" w:rsidRDefault="006326DB" w:rsidP="006326DB">
      <w:pPr>
        <w:spacing w:line="480" w:lineRule="auto"/>
        <w:ind w:left="720" w:hanging="720"/>
        <w:jc w:val="both"/>
        <w:rPr>
          <w:b/>
          <w:bCs/>
          <w:color w:val="000000" w:themeColor="text1"/>
        </w:rPr>
      </w:pPr>
      <w:r>
        <w:rPr>
          <w:b/>
          <w:bCs/>
          <w:color w:val="000000" w:themeColor="text1"/>
        </w:rPr>
        <w:t>Q.</w:t>
      </w:r>
      <w:r>
        <w:rPr>
          <w:b/>
          <w:bCs/>
          <w:color w:val="000000" w:themeColor="text1"/>
        </w:rPr>
        <w:tab/>
        <w:t>PLEASE DESCRIBE THE PROCRESS USED BY THE COMPANY TO SELECT TESLA AS THE SOLE BESS SUPPLIER.</w:t>
      </w:r>
    </w:p>
    <w:p w14:paraId="088236BF" w14:textId="0C4BC59B" w:rsidR="006326DB" w:rsidRDefault="006326DB" w:rsidP="006326DB">
      <w:pPr>
        <w:spacing w:after="240" w:line="480" w:lineRule="auto"/>
        <w:ind w:left="720" w:hanging="720"/>
        <w:jc w:val="both"/>
        <w:rPr>
          <w:color w:val="000000" w:themeColor="text1"/>
        </w:rPr>
      </w:pPr>
      <w:r w:rsidRPr="00C14315">
        <w:rPr>
          <w:color w:val="000000" w:themeColor="text1"/>
        </w:rPr>
        <w:lastRenderedPageBreak/>
        <w:t>A.</w:t>
      </w:r>
      <w:r w:rsidRPr="00C14315">
        <w:rPr>
          <w:color w:val="000000" w:themeColor="text1"/>
        </w:rPr>
        <w:tab/>
      </w:r>
      <w:r>
        <w:rPr>
          <w:color w:val="000000" w:themeColor="text1"/>
        </w:rPr>
        <w:t xml:space="preserve">In November 2023, the Company issued an RFP for a BESS supplier for the Robins, Moody, and McGrau Ford Phase I BESS Projects. In response to a data request, the Company provided the total cost with breakout of cost categories submitted in each vendor’s bid </w:t>
      </w:r>
      <w:r>
        <w:t xml:space="preserve">(Company’s Response to TS STF-PIA-15-3 Attachment A). </w:t>
      </w:r>
      <w:r>
        <w:rPr>
          <w:color w:val="000000" w:themeColor="text1"/>
        </w:rPr>
        <w:t xml:space="preserve">Similar to the EPC RFP, bidders from this RFP were ranked considering several qualitative and quantitative factors </w:t>
      </w:r>
      <w:r w:rsidR="00E9762E" w:rsidRPr="00E9762E">
        <w:rPr>
          <w:color w:val="000000" w:themeColor="text1"/>
          <w:highlight w:val="black"/>
        </w:rPr>
        <w:t>XXXXXXXXXXXXXXXXXXXXXXXXXXXXXXXXXXXXXXX</w:t>
      </w:r>
      <w:r w:rsidRPr="00E9762E">
        <w:rPr>
          <w:color w:val="000000" w:themeColor="text1"/>
          <w:highlight w:val="black"/>
        </w:rPr>
        <w:t xml:space="preserve"> </w:t>
      </w:r>
      <w:proofErr w:type="spellStart"/>
      <w:r w:rsidR="00E9762E" w:rsidRPr="00E9762E">
        <w:rPr>
          <w:color w:val="000000" w:themeColor="text1"/>
          <w:highlight w:val="black"/>
        </w:rPr>
        <w:t>XXXXXXXXXXXXXXXXXXXXXXXXXXXXXXXXXXXXXXX</w:t>
      </w:r>
      <w:proofErr w:type="spellEnd"/>
      <w:r>
        <w:rPr>
          <w:color w:val="000000" w:themeColor="text1"/>
        </w:rPr>
        <w:t xml:space="preserve">. </w:t>
      </w:r>
      <w:r>
        <w:t xml:space="preserve"> </w:t>
      </w:r>
    </w:p>
    <w:p w14:paraId="6B37877C" w14:textId="77777777" w:rsidR="00290297" w:rsidRDefault="46EC2AD0" w:rsidP="71A8969D">
      <w:pPr>
        <w:keepNext/>
        <w:spacing w:before="240" w:line="480" w:lineRule="auto"/>
        <w:ind w:left="720" w:hanging="720"/>
        <w:jc w:val="both"/>
        <w:rPr>
          <w:b/>
          <w:bCs/>
          <w:color w:val="000000" w:themeColor="text1"/>
        </w:rPr>
      </w:pPr>
      <w:r w:rsidRPr="71A8969D">
        <w:rPr>
          <w:b/>
          <w:bCs/>
          <w:color w:val="000000" w:themeColor="text1"/>
        </w:rPr>
        <w:t>Q.</w:t>
      </w:r>
      <w:r w:rsidR="00290297">
        <w:tab/>
      </w:r>
      <w:r w:rsidRPr="71A8969D">
        <w:rPr>
          <w:b/>
          <w:bCs/>
          <w:color w:val="000000" w:themeColor="text1"/>
        </w:rPr>
        <w:t>PLEASE DESCRIBE THE COMPANY’S ECONOMIC EVALUATION OF THE FIVE BESS PROJECTS.</w:t>
      </w:r>
    </w:p>
    <w:p w14:paraId="4C55A292" w14:textId="5FBB32EE" w:rsidR="00290297" w:rsidRDefault="46EC2AD0" w:rsidP="00324E44">
      <w:pPr>
        <w:spacing w:after="240" w:line="480" w:lineRule="auto"/>
        <w:ind w:left="720" w:hanging="720"/>
        <w:jc w:val="both"/>
        <w:rPr>
          <w:color w:val="000000" w:themeColor="text1"/>
        </w:rPr>
      </w:pPr>
      <w:r w:rsidRPr="71A8969D">
        <w:rPr>
          <w:color w:val="000000" w:themeColor="text1"/>
        </w:rPr>
        <w:t>A.</w:t>
      </w:r>
      <w:r w:rsidR="00290297">
        <w:tab/>
      </w:r>
      <w:r w:rsidR="00622092">
        <w:t xml:space="preserve">As part of the </w:t>
      </w:r>
      <w:r w:rsidR="00DC2CB5">
        <w:t>Application</w:t>
      </w:r>
      <w:r w:rsidR="00622092">
        <w:t xml:space="preserve">, </w:t>
      </w:r>
      <w:r w:rsidR="00622092">
        <w:rPr>
          <w:color w:val="000000" w:themeColor="text1"/>
        </w:rPr>
        <w:t>t</w:t>
      </w:r>
      <w:r w:rsidRPr="71A8969D">
        <w:rPr>
          <w:color w:val="000000" w:themeColor="text1"/>
        </w:rPr>
        <w:t xml:space="preserve">he Company conducted an economic evaluation </w:t>
      </w:r>
      <w:r w:rsidR="7D905578" w:rsidRPr="71A8969D">
        <w:rPr>
          <w:color w:val="000000" w:themeColor="text1"/>
        </w:rPr>
        <w:t xml:space="preserve">for four </w:t>
      </w:r>
      <w:r w:rsidRPr="71A8969D">
        <w:rPr>
          <w:color w:val="000000" w:themeColor="text1"/>
        </w:rPr>
        <w:t>of the Five BESS Projects,</w:t>
      </w:r>
      <w:r w:rsidR="7D905578" w:rsidRPr="71A8969D">
        <w:rPr>
          <w:color w:val="000000" w:themeColor="text1"/>
        </w:rPr>
        <w:t xml:space="preserve"> excluding McGrau Ford Phase I</w:t>
      </w:r>
      <w:r w:rsidR="792E086B" w:rsidRPr="71A8969D">
        <w:rPr>
          <w:color w:val="000000" w:themeColor="text1"/>
        </w:rPr>
        <w:t xml:space="preserve">. This evaluation </w:t>
      </w:r>
      <w:r w:rsidRPr="71A8969D">
        <w:rPr>
          <w:color w:val="000000" w:themeColor="text1"/>
        </w:rPr>
        <w:t>assess</w:t>
      </w:r>
      <w:r w:rsidR="792E086B" w:rsidRPr="71A8969D">
        <w:rPr>
          <w:color w:val="000000" w:themeColor="text1"/>
        </w:rPr>
        <w:t>ed</w:t>
      </w:r>
      <w:r w:rsidRPr="71A8969D">
        <w:rPr>
          <w:color w:val="000000" w:themeColor="text1"/>
        </w:rPr>
        <w:t xml:space="preserve"> the costs and benefits of the projects over time. The economic analysis provided in the Application is structured to be consistent with the 2023 IRP Update Economic Analysis</w:t>
      </w:r>
      <w:bookmarkStart w:id="0" w:name="_Hlk179211451"/>
      <w:r w:rsidR="792E086B">
        <w:t xml:space="preserve"> (Application, Attachment A: 500 MW BESS Economic Analysis, p. 2).</w:t>
      </w:r>
      <w:bookmarkEnd w:id="0"/>
      <w:r w:rsidR="792E086B" w:rsidRPr="71A8969D">
        <w:rPr>
          <w:color w:val="000000" w:themeColor="text1"/>
        </w:rPr>
        <w:t xml:space="preserve"> </w:t>
      </w:r>
      <w:r w:rsidRPr="71A8969D">
        <w:rPr>
          <w:color w:val="000000" w:themeColor="text1"/>
        </w:rPr>
        <w:t>The period of analysis covers the 20-year assumed life of the asset, plus additional years using the “term equalization” method which used in the 2023 IRP Update filing. This method allowed the comparison of assets of varying lifespans. The Company conducted the analysis using five scenarios: Medium Gas Price, Zero Carbon Price (MG0); Low Gas, Zero Carbon Price (LG0); High Gas Price, Zero Carbon Price (HG0); Medium Gas Price, $20 Carbon Price (MG20); and Medium Gas Price, $50 Carbon Price (MG50).</w:t>
      </w:r>
    </w:p>
    <w:p w14:paraId="4FC1F50B" w14:textId="46759742" w:rsidR="008C5DFF" w:rsidRDefault="008C5DFF" w:rsidP="00290297">
      <w:pPr>
        <w:spacing w:line="480" w:lineRule="auto"/>
        <w:ind w:left="720" w:hanging="720"/>
        <w:jc w:val="both"/>
        <w:rPr>
          <w:color w:val="000000" w:themeColor="text1"/>
        </w:rPr>
      </w:pPr>
      <w:r>
        <w:rPr>
          <w:color w:val="000000" w:themeColor="text1"/>
        </w:rPr>
        <w:lastRenderedPageBreak/>
        <w:tab/>
      </w:r>
      <w:r w:rsidRPr="008C5DFF">
        <w:rPr>
          <w:color w:val="000000" w:themeColor="text1"/>
        </w:rPr>
        <w:t>The Company did not provide an updated economic benefits analysis for McGrau Ford Phase I BESS in the Compliance Filing. In the 2022 IRP, when the project was initially approved, the Company conducted a generic analysis of the economic costs and benefits of incremental battery storage resources. The analysis</w:t>
      </w:r>
      <w:r>
        <w:rPr>
          <w:color w:val="000000" w:themeColor="text1"/>
        </w:rPr>
        <w:t>, provided in Technical Appendix 2 of</w:t>
      </w:r>
      <w:r w:rsidRPr="008C5DFF">
        <w:rPr>
          <w:color w:val="000000" w:themeColor="text1"/>
        </w:rPr>
        <w:t xml:space="preserve"> </w:t>
      </w:r>
      <w:r>
        <w:rPr>
          <w:color w:val="000000" w:themeColor="text1"/>
        </w:rPr>
        <w:t xml:space="preserve">the 2022 IRP filing, </w:t>
      </w:r>
      <w:r w:rsidRPr="008C5DFF">
        <w:rPr>
          <w:color w:val="000000" w:themeColor="text1"/>
        </w:rPr>
        <w:t>was structurally similar to the analysis included in the Application, including energy benefits from the Aurora model and benefits related to reducing the cost of integrating renewable resources. While the Company did not provide an updated economic analysis in the Compliance Filing, the analysis conducted on McGrau Ford Phase II BESS provides an indication of the potential benefits, with the caveat that McGrau Ford Phase I is a 2-hour battery and Phase II is a 4-hour battery.</w:t>
      </w:r>
    </w:p>
    <w:p w14:paraId="0C4AA511" w14:textId="77777777" w:rsidR="00290297" w:rsidRDefault="46EC2AD0" w:rsidP="71A8969D">
      <w:pPr>
        <w:keepNext/>
        <w:spacing w:before="240" w:line="480" w:lineRule="auto"/>
        <w:ind w:left="720" w:hanging="720"/>
        <w:jc w:val="both"/>
        <w:rPr>
          <w:b/>
          <w:bCs/>
          <w:color w:val="000000" w:themeColor="text1"/>
        </w:rPr>
      </w:pPr>
      <w:r w:rsidRPr="71A8969D">
        <w:rPr>
          <w:b/>
          <w:bCs/>
          <w:color w:val="000000" w:themeColor="text1"/>
        </w:rPr>
        <w:t>Q.</w:t>
      </w:r>
      <w:r w:rsidR="00290297">
        <w:tab/>
      </w:r>
      <w:r w:rsidRPr="71A8969D">
        <w:rPr>
          <w:b/>
          <w:bCs/>
          <w:color w:val="000000" w:themeColor="text1"/>
        </w:rPr>
        <w:t>WHAT ARE THE PRIMARY COMPONENTS OF THE PROJECT COSTS OVER THE LIFE OF THE ASSETS?</w:t>
      </w:r>
    </w:p>
    <w:p w14:paraId="26AB317A" w14:textId="518AE0DE" w:rsidR="00290297" w:rsidRDefault="46EC2AD0" w:rsidP="00290297">
      <w:pPr>
        <w:spacing w:line="480" w:lineRule="auto"/>
        <w:ind w:left="720" w:hanging="720"/>
        <w:jc w:val="both"/>
        <w:rPr>
          <w:color w:val="000000" w:themeColor="text1"/>
        </w:rPr>
      </w:pPr>
      <w:r w:rsidRPr="71A8969D">
        <w:rPr>
          <w:color w:val="000000" w:themeColor="text1"/>
        </w:rPr>
        <w:t>A.</w:t>
      </w:r>
      <w:r w:rsidR="00290297">
        <w:tab/>
      </w:r>
      <w:r w:rsidRPr="71A8969D">
        <w:rPr>
          <w:color w:val="000000" w:themeColor="text1"/>
        </w:rPr>
        <w:t>The table below provides the cost and benefit components reproduced from the Company’s economic analysis summary</w:t>
      </w:r>
      <w:r w:rsidR="792E086B" w:rsidRPr="71A8969D">
        <w:rPr>
          <w:color w:val="000000" w:themeColor="text1"/>
        </w:rPr>
        <w:t xml:space="preserve"> (Application, PD Attachment A </w:t>
      </w:r>
      <w:r w:rsidR="792E086B">
        <w:t xml:space="preserve">500 MW BESS Economic Analysis, p. 4). </w:t>
      </w:r>
      <w:r w:rsidRPr="71A8969D">
        <w:rPr>
          <w:color w:val="000000" w:themeColor="text1"/>
        </w:rPr>
        <w:t>The table includes cost component categories grouped into asset costs</w:t>
      </w:r>
      <w:r w:rsidR="00DB6781">
        <w:rPr>
          <w:color w:val="000000" w:themeColor="text1"/>
        </w:rPr>
        <w:t>,</w:t>
      </w:r>
      <w:r w:rsidRPr="71A8969D">
        <w:rPr>
          <w:color w:val="000000" w:themeColor="text1"/>
        </w:rPr>
        <w:t xml:space="preserve"> system costs</w:t>
      </w:r>
      <w:r w:rsidR="00DB6781">
        <w:rPr>
          <w:color w:val="000000" w:themeColor="text1"/>
        </w:rPr>
        <w:t>,</w:t>
      </w:r>
      <w:r w:rsidRPr="71A8969D">
        <w:rPr>
          <w:color w:val="000000" w:themeColor="text1"/>
        </w:rPr>
        <w:t xml:space="preserve"> and benefits categories.</w:t>
      </w:r>
    </w:p>
    <w:p w14:paraId="1095E6EC" w14:textId="2E7FB131" w:rsidR="00290297" w:rsidRPr="00DF321C" w:rsidRDefault="00290297" w:rsidP="00290297">
      <w:pPr>
        <w:pStyle w:val="Caption"/>
        <w:keepNext/>
        <w:jc w:val="center"/>
        <w:rPr>
          <w:color w:val="auto"/>
          <w:sz w:val="24"/>
          <w:szCs w:val="24"/>
        </w:rPr>
      </w:pPr>
      <w:r w:rsidRPr="00DF321C">
        <w:rPr>
          <w:color w:val="auto"/>
          <w:sz w:val="24"/>
          <w:szCs w:val="24"/>
        </w:rPr>
        <w:t xml:space="preserve">Table </w:t>
      </w:r>
      <w:r w:rsidR="001F1912">
        <w:rPr>
          <w:color w:val="auto"/>
          <w:sz w:val="24"/>
          <w:szCs w:val="24"/>
        </w:rPr>
        <w:t>4</w:t>
      </w:r>
      <w:r w:rsidRPr="00DF321C">
        <w:rPr>
          <w:color w:val="auto"/>
          <w:sz w:val="24"/>
          <w:szCs w:val="24"/>
        </w:rPr>
        <w:t xml:space="preserve">. Economic </w:t>
      </w:r>
      <w:r w:rsidR="00BC136C">
        <w:rPr>
          <w:color w:val="auto"/>
          <w:sz w:val="24"/>
          <w:szCs w:val="24"/>
        </w:rPr>
        <w:t>A</w:t>
      </w:r>
      <w:r w:rsidRPr="00DF321C">
        <w:rPr>
          <w:color w:val="auto"/>
          <w:sz w:val="24"/>
          <w:szCs w:val="24"/>
        </w:rPr>
        <w:t xml:space="preserve">nalysis </w:t>
      </w:r>
      <w:r w:rsidR="00BC136C">
        <w:rPr>
          <w:color w:val="auto"/>
          <w:sz w:val="24"/>
          <w:szCs w:val="24"/>
        </w:rPr>
        <w:t>C</w:t>
      </w:r>
      <w:r w:rsidRPr="00DF321C">
        <w:rPr>
          <w:color w:val="auto"/>
          <w:sz w:val="24"/>
          <w:szCs w:val="24"/>
        </w:rPr>
        <w:t xml:space="preserve">ost and </w:t>
      </w:r>
      <w:r w:rsidR="00BC136C">
        <w:rPr>
          <w:color w:val="auto"/>
          <w:sz w:val="24"/>
          <w:szCs w:val="24"/>
        </w:rPr>
        <w:t>B</w:t>
      </w:r>
      <w:r w:rsidRPr="00DF321C">
        <w:rPr>
          <w:color w:val="auto"/>
          <w:sz w:val="24"/>
          <w:szCs w:val="24"/>
        </w:rPr>
        <w:t xml:space="preserve">enefit </w:t>
      </w:r>
      <w:r w:rsidR="00BC136C">
        <w:rPr>
          <w:color w:val="auto"/>
          <w:sz w:val="24"/>
          <w:szCs w:val="24"/>
        </w:rPr>
        <w:t>C</w:t>
      </w:r>
      <w:r w:rsidRPr="00DF321C">
        <w:rPr>
          <w:color w:val="auto"/>
          <w:sz w:val="24"/>
          <w:szCs w:val="24"/>
        </w:rPr>
        <w:t>ategories</w:t>
      </w:r>
    </w:p>
    <w:tbl>
      <w:tblPr>
        <w:tblStyle w:val="TableGrid"/>
        <w:tblW w:w="0" w:type="auto"/>
        <w:tblInd w:w="720" w:type="dxa"/>
        <w:tblLook w:val="04A0" w:firstRow="1" w:lastRow="0" w:firstColumn="1" w:lastColumn="0" w:noHBand="0" w:noVBand="1"/>
      </w:tblPr>
      <w:tblGrid>
        <w:gridCol w:w="2605"/>
        <w:gridCol w:w="2700"/>
        <w:gridCol w:w="3325"/>
      </w:tblGrid>
      <w:tr w:rsidR="00290297" w14:paraId="76798394" w14:textId="77777777" w:rsidTr="000C4F99">
        <w:tc>
          <w:tcPr>
            <w:tcW w:w="2605" w:type="dxa"/>
          </w:tcPr>
          <w:p w14:paraId="61C897CA" w14:textId="77777777" w:rsidR="00290297" w:rsidRPr="007B10A8" w:rsidRDefault="00290297" w:rsidP="000C4F99">
            <w:pPr>
              <w:pStyle w:val="NoSpacing"/>
              <w:rPr>
                <w:b/>
                <w:bCs/>
              </w:rPr>
            </w:pPr>
            <w:r w:rsidRPr="007B10A8">
              <w:rPr>
                <w:b/>
                <w:bCs/>
              </w:rPr>
              <w:t>Asset Costs</w:t>
            </w:r>
          </w:p>
        </w:tc>
        <w:tc>
          <w:tcPr>
            <w:tcW w:w="2700" w:type="dxa"/>
          </w:tcPr>
          <w:p w14:paraId="67741917" w14:textId="77777777" w:rsidR="00290297" w:rsidRPr="007B10A8" w:rsidRDefault="00290297" w:rsidP="000C4F99">
            <w:pPr>
              <w:pStyle w:val="NoSpacing"/>
              <w:rPr>
                <w:b/>
                <w:bCs/>
              </w:rPr>
            </w:pPr>
            <w:r w:rsidRPr="007B10A8">
              <w:rPr>
                <w:b/>
                <w:bCs/>
              </w:rPr>
              <w:t>System Costs</w:t>
            </w:r>
          </w:p>
        </w:tc>
        <w:tc>
          <w:tcPr>
            <w:tcW w:w="3325" w:type="dxa"/>
          </w:tcPr>
          <w:p w14:paraId="6BF37918" w14:textId="77777777" w:rsidR="00290297" w:rsidRPr="007B10A8" w:rsidRDefault="00290297" w:rsidP="000C4F99">
            <w:pPr>
              <w:pStyle w:val="NoSpacing"/>
              <w:rPr>
                <w:b/>
                <w:bCs/>
              </w:rPr>
            </w:pPr>
            <w:r w:rsidRPr="007B10A8">
              <w:rPr>
                <w:b/>
                <w:bCs/>
              </w:rPr>
              <w:t>Benefits</w:t>
            </w:r>
          </w:p>
        </w:tc>
      </w:tr>
      <w:tr w:rsidR="00290297" w14:paraId="4FD83275" w14:textId="77777777" w:rsidTr="000C4F99">
        <w:tc>
          <w:tcPr>
            <w:tcW w:w="2605" w:type="dxa"/>
          </w:tcPr>
          <w:p w14:paraId="2EB9BA54" w14:textId="77777777" w:rsidR="00290297" w:rsidRDefault="00290297" w:rsidP="000C4F99">
            <w:pPr>
              <w:pStyle w:val="NoSpacing"/>
            </w:pPr>
            <w:r>
              <w:t>Capacity Costs</w:t>
            </w:r>
          </w:p>
          <w:p w14:paraId="262E0235" w14:textId="77777777" w:rsidR="00290297" w:rsidRDefault="00290297" w:rsidP="000C4F99">
            <w:pPr>
              <w:pStyle w:val="NoSpacing"/>
            </w:pPr>
            <w:r>
              <w:t>Accounting Lease</w:t>
            </w:r>
          </w:p>
          <w:p w14:paraId="4E176EFD" w14:textId="77777777" w:rsidR="00290297" w:rsidRDefault="00290297" w:rsidP="000C4F99">
            <w:pPr>
              <w:pStyle w:val="NoSpacing"/>
            </w:pPr>
            <w:r>
              <w:t>Additional Sum</w:t>
            </w:r>
          </w:p>
          <w:p w14:paraId="7409C18A" w14:textId="77777777" w:rsidR="00290297" w:rsidRDefault="00290297" w:rsidP="000C4F99">
            <w:pPr>
              <w:pStyle w:val="NoSpacing"/>
            </w:pPr>
            <w:r>
              <w:t>In-Service Capital</w:t>
            </w:r>
          </w:p>
          <w:p w14:paraId="3552BEF9" w14:textId="77777777" w:rsidR="00290297" w:rsidRDefault="00290297" w:rsidP="000C4F99">
            <w:pPr>
              <w:pStyle w:val="NoSpacing"/>
            </w:pPr>
            <w:r>
              <w:t>Environmental</w:t>
            </w:r>
          </w:p>
          <w:p w14:paraId="42752967" w14:textId="77777777" w:rsidR="00290297" w:rsidRDefault="00290297" w:rsidP="000C4F99">
            <w:pPr>
              <w:pStyle w:val="NoSpacing"/>
            </w:pPr>
            <w:r>
              <w:t>Maintenance Capital</w:t>
            </w:r>
          </w:p>
          <w:p w14:paraId="23C2312E" w14:textId="77777777" w:rsidR="00290297" w:rsidRDefault="00290297" w:rsidP="000C4F99">
            <w:pPr>
              <w:pStyle w:val="NoSpacing"/>
            </w:pPr>
            <w:r>
              <w:t>Fixed O&amp;M</w:t>
            </w:r>
          </w:p>
          <w:p w14:paraId="6BE5869A" w14:textId="77777777" w:rsidR="00290297" w:rsidRDefault="00290297" w:rsidP="000C4F99">
            <w:pPr>
              <w:pStyle w:val="NoSpacing"/>
            </w:pPr>
            <w:r>
              <w:t>FT</w:t>
            </w:r>
          </w:p>
        </w:tc>
        <w:tc>
          <w:tcPr>
            <w:tcW w:w="2700" w:type="dxa"/>
          </w:tcPr>
          <w:p w14:paraId="5F69BA6E" w14:textId="77777777" w:rsidR="00290297" w:rsidRDefault="00290297" w:rsidP="000C4F99">
            <w:pPr>
              <w:pStyle w:val="NoSpacing"/>
            </w:pPr>
            <w:r>
              <w:t>Transmission</w:t>
            </w:r>
          </w:p>
          <w:p w14:paraId="7621EACB" w14:textId="77777777" w:rsidR="00290297" w:rsidRDefault="00290297" w:rsidP="000C4F99">
            <w:pPr>
              <w:pStyle w:val="NoSpacing"/>
            </w:pPr>
            <w:r>
              <w:t>Term Equalization</w:t>
            </w:r>
          </w:p>
        </w:tc>
        <w:tc>
          <w:tcPr>
            <w:tcW w:w="3325" w:type="dxa"/>
          </w:tcPr>
          <w:p w14:paraId="0E396FFA" w14:textId="77777777" w:rsidR="00290297" w:rsidRDefault="00290297" w:rsidP="000C4F99">
            <w:pPr>
              <w:pStyle w:val="NoSpacing"/>
            </w:pPr>
            <w:r>
              <w:t>Energy Benefit</w:t>
            </w:r>
          </w:p>
          <w:p w14:paraId="4C89719B" w14:textId="77777777" w:rsidR="00290297" w:rsidRDefault="00290297" w:rsidP="000C4F99">
            <w:pPr>
              <w:pStyle w:val="NoSpacing"/>
            </w:pPr>
            <w:r>
              <w:t>Renewable Integration Benefit</w:t>
            </w:r>
          </w:p>
        </w:tc>
      </w:tr>
    </w:tbl>
    <w:p w14:paraId="3414829A" w14:textId="39958669" w:rsidR="00290297" w:rsidRDefault="00E9762E" w:rsidP="00290297">
      <w:pPr>
        <w:spacing w:before="240" w:line="480" w:lineRule="auto"/>
        <w:ind w:left="720"/>
        <w:jc w:val="both"/>
        <w:rPr>
          <w:b/>
          <w:bCs/>
          <w:color w:val="000000" w:themeColor="text1"/>
        </w:rPr>
      </w:pPr>
      <w:r w:rsidRPr="00E9762E">
        <w:rPr>
          <w:color w:val="000000" w:themeColor="text1"/>
          <w:highlight w:val="black"/>
        </w:rPr>
        <w:lastRenderedPageBreak/>
        <w:t>XXXXXXXXXXXXXXXXXXXX XXXXXXXXXXXXXXXXXXXXXXXXXXXXX</w:t>
      </w:r>
      <w:r w:rsidR="00290297" w:rsidRPr="00E9762E">
        <w:rPr>
          <w:color w:val="000000" w:themeColor="text1"/>
          <w:highlight w:val="black"/>
        </w:rPr>
        <w:t xml:space="preserve"> </w:t>
      </w:r>
      <w:r w:rsidRPr="00E9762E">
        <w:rPr>
          <w:color w:val="000000" w:themeColor="text1"/>
          <w:highlight w:val="black"/>
        </w:rPr>
        <w:t>XXXXXXXXXXXXXXXXXXXX XXXXXXXXXXXXXXXXXXXXXXXXXXXXX</w:t>
      </w:r>
      <w:r w:rsidR="00290297" w:rsidRPr="00E9762E">
        <w:rPr>
          <w:color w:val="000000" w:themeColor="text1"/>
          <w:highlight w:val="black"/>
        </w:rPr>
        <w:t xml:space="preserve"> </w:t>
      </w:r>
      <w:r w:rsidRPr="00E9762E">
        <w:rPr>
          <w:color w:val="000000" w:themeColor="text1"/>
          <w:highlight w:val="black"/>
        </w:rPr>
        <w:t>XXXXXXXXXXXXXXXXXXXX XXXXXXXXXXXXXXXXXXXXXXXXXXXXX</w:t>
      </w:r>
      <w:r w:rsidR="00290297" w:rsidRPr="00E9762E">
        <w:rPr>
          <w:color w:val="000000" w:themeColor="text1"/>
          <w:highlight w:val="black"/>
        </w:rPr>
        <w:t xml:space="preserve"> </w:t>
      </w:r>
      <w:r w:rsidRPr="00E9762E">
        <w:rPr>
          <w:color w:val="000000" w:themeColor="text1"/>
          <w:highlight w:val="black"/>
        </w:rPr>
        <w:t>XXXXXXXXXXXXXXXXXXXX XXXXXXXXXXXXXXXXXXXXXXXXXXXXX</w:t>
      </w:r>
      <w:r w:rsidR="00290297" w:rsidRPr="00E9762E">
        <w:rPr>
          <w:color w:val="000000" w:themeColor="text1"/>
          <w:highlight w:val="black"/>
        </w:rPr>
        <w:t xml:space="preserve"> </w:t>
      </w:r>
      <w:r w:rsidRPr="00E9762E">
        <w:rPr>
          <w:color w:val="000000" w:themeColor="text1"/>
          <w:highlight w:val="black"/>
        </w:rPr>
        <w:t>XXXXX</w:t>
      </w:r>
    </w:p>
    <w:p w14:paraId="11E32E75" w14:textId="77777777" w:rsidR="00290297" w:rsidRDefault="46EC2AD0" w:rsidP="71A8969D">
      <w:pPr>
        <w:keepNext/>
        <w:spacing w:before="240" w:line="480" w:lineRule="auto"/>
        <w:ind w:left="720" w:hanging="720"/>
        <w:jc w:val="both"/>
        <w:rPr>
          <w:b/>
          <w:bCs/>
          <w:color w:val="000000" w:themeColor="text1"/>
        </w:rPr>
      </w:pPr>
      <w:r w:rsidRPr="71A8969D">
        <w:rPr>
          <w:b/>
          <w:bCs/>
          <w:color w:val="000000" w:themeColor="text1"/>
        </w:rPr>
        <w:t>Q.</w:t>
      </w:r>
      <w:r w:rsidR="00290297">
        <w:tab/>
      </w:r>
      <w:r w:rsidRPr="71A8969D">
        <w:rPr>
          <w:b/>
          <w:bCs/>
          <w:color w:val="000000" w:themeColor="text1"/>
        </w:rPr>
        <w:t>PLEASE DESCRIBE THE COMPANY’S TREATMENT OF TAX CREDITS IN ITS APPLICATION AND COMPLIANCE FILINGS.</w:t>
      </w:r>
    </w:p>
    <w:p w14:paraId="07FFFEF7" w14:textId="5C6DB558" w:rsidR="00290297" w:rsidRDefault="46EC2AD0" w:rsidP="00290297">
      <w:pPr>
        <w:spacing w:line="480" w:lineRule="auto"/>
        <w:ind w:left="720" w:hanging="720"/>
        <w:jc w:val="both"/>
        <w:rPr>
          <w:color w:val="000000" w:themeColor="text1"/>
        </w:rPr>
      </w:pPr>
      <w:r w:rsidRPr="71A8969D">
        <w:rPr>
          <w:color w:val="000000" w:themeColor="text1"/>
        </w:rPr>
        <w:t>A.</w:t>
      </w:r>
      <w:r w:rsidR="00290297">
        <w:tab/>
      </w:r>
      <w:r w:rsidRPr="71A8969D">
        <w:rPr>
          <w:color w:val="000000" w:themeColor="text1"/>
        </w:rPr>
        <w:t>The value of federal and state investment tax credits (“ITC</w:t>
      </w:r>
      <w:r w:rsidR="792E086B" w:rsidRPr="71A8969D">
        <w:rPr>
          <w:color w:val="000000" w:themeColor="text1"/>
        </w:rPr>
        <w:t>s</w:t>
      </w:r>
      <w:r w:rsidRPr="71A8969D">
        <w:rPr>
          <w:color w:val="000000" w:themeColor="text1"/>
        </w:rPr>
        <w:t>”) is included as an element of the In-Service Capital line item. The Company used project-specific tax credit qualification assumptions based on the specific circumstances of each project</w:t>
      </w:r>
      <w:r w:rsidR="449B38CF" w:rsidRPr="71A8969D">
        <w:rPr>
          <w:color w:val="000000" w:themeColor="text1"/>
        </w:rPr>
        <w:t xml:space="preserve"> (Company’s Response to </w:t>
      </w:r>
      <w:r w:rsidR="449B38CF">
        <w:t>STF-PIA-17-6)</w:t>
      </w:r>
      <w:r w:rsidRPr="71A8969D">
        <w:rPr>
          <w:color w:val="000000" w:themeColor="text1"/>
        </w:rPr>
        <w:t>. The table below summarizes the tax credit assumptions for each project:</w:t>
      </w:r>
    </w:p>
    <w:p w14:paraId="234B87E0" w14:textId="7AD470ED" w:rsidR="00E307CF" w:rsidRPr="00864FA3" w:rsidRDefault="00290297" w:rsidP="00864FA3">
      <w:pPr>
        <w:pStyle w:val="Caption"/>
        <w:keepNext/>
        <w:jc w:val="center"/>
        <w:rPr>
          <w:color w:val="auto"/>
          <w:sz w:val="24"/>
          <w:szCs w:val="24"/>
        </w:rPr>
      </w:pPr>
      <w:r w:rsidRPr="00DF321C">
        <w:rPr>
          <w:color w:val="auto"/>
          <w:sz w:val="24"/>
          <w:szCs w:val="24"/>
        </w:rPr>
        <w:t xml:space="preserve">Table </w:t>
      </w:r>
      <w:r w:rsidR="001F1912">
        <w:rPr>
          <w:color w:val="auto"/>
          <w:sz w:val="24"/>
          <w:szCs w:val="24"/>
        </w:rPr>
        <w:t>5</w:t>
      </w:r>
      <w:r w:rsidRPr="00DF321C">
        <w:rPr>
          <w:color w:val="auto"/>
          <w:sz w:val="24"/>
          <w:szCs w:val="24"/>
        </w:rPr>
        <w:t xml:space="preserve">. Federal and State ITC </w:t>
      </w:r>
      <w:r w:rsidR="00BC136C">
        <w:rPr>
          <w:color w:val="auto"/>
          <w:sz w:val="24"/>
          <w:szCs w:val="24"/>
        </w:rPr>
        <w:t>A</w:t>
      </w:r>
      <w:r w:rsidRPr="00DF321C">
        <w:rPr>
          <w:color w:val="auto"/>
          <w:sz w:val="24"/>
          <w:szCs w:val="24"/>
        </w:rPr>
        <w:t>ssumptions</w:t>
      </w:r>
    </w:p>
    <w:tbl>
      <w:tblPr>
        <w:tblStyle w:val="TableGrid"/>
        <w:tblW w:w="5982" w:type="dxa"/>
        <w:jc w:val="center"/>
        <w:tblLook w:val="04A0" w:firstRow="1" w:lastRow="0" w:firstColumn="1" w:lastColumn="0" w:noHBand="0" w:noVBand="1"/>
      </w:tblPr>
      <w:tblGrid>
        <w:gridCol w:w="2907"/>
        <w:gridCol w:w="1650"/>
        <w:gridCol w:w="1425"/>
      </w:tblGrid>
      <w:tr w:rsidR="00864FA3" w14:paraId="3F5F49E2" w14:textId="77777777" w:rsidTr="003215F5">
        <w:trPr>
          <w:trHeight w:val="300"/>
          <w:jc w:val="center"/>
        </w:trPr>
        <w:tc>
          <w:tcPr>
            <w:tcW w:w="2907" w:type="dxa"/>
          </w:tcPr>
          <w:p w14:paraId="64EEEA54" w14:textId="77777777" w:rsidR="00864FA3" w:rsidRPr="007B10A8" w:rsidRDefault="00864FA3" w:rsidP="003215F5">
            <w:pPr>
              <w:pStyle w:val="NoSpacing"/>
              <w:keepNext/>
              <w:rPr>
                <w:b/>
                <w:bCs/>
              </w:rPr>
            </w:pPr>
            <w:r w:rsidRPr="13F3DD18">
              <w:rPr>
                <w:b/>
                <w:bCs/>
              </w:rPr>
              <w:t>Project</w:t>
            </w:r>
          </w:p>
        </w:tc>
        <w:tc>
          <w:tcPr>
            <w:tcW w:w="1650" w:type="dxa"/>
          </w:tcPr>
          <w:p w14:paraId="3CA08EC1" w14:textId="77777777" w:rsidR="00864FA3" w:rsidRPr="007B10A8" w:rsidRDefault="00864FA3" w:rsidP="003215F5">
            <w:pPr>
              <w:pStyle w:val="NoSpacing"/>
              <w:keepNext/>
              <w:rPr>
                <w:b/>
                <w:bCs/>
              </w:rPr>
            </w:pPr>
            <w:r w:rsidRPr="007B10A8">
              <w:rPr>
                <w:b/>
                <w:bCs/>
              </w:rPr>
              <w:t>Federal ITC</w:t>
            </w:r>
          </w:p>
        </w:tc>
        <w:tc>
          <w:tcPr>
            <w:tcW w:w="1425" w:type="dxa"/>
          </w:tcPr>
          <w:p w14:paraId="76914DB7" w14:textId="77777777" w:rsidR="00864FA3" w:rsidRPr="007B10A8" w:rsidRDefault="00864FA3" w:rsidP="003215F5">
            <w:pPr>
              <w:pStyle w:val="NoSpacing"/>
              <w:keepNext/>
              <w:rPr>
                <w:b/>
                <w:bCs/>
              </w:rPr>
            </w:pPr>
            <w:r w:rsidRPr="007B10A8">
              <w:rPr>
                <w:b/>
                <w:bCs/>
              </w:rPr>
              <w:t>State ITC</w:t>
            </w:r>
          </w:p>
        </w:tc>
      </w:tr>
      <w:tr w:rsidR="00864FA3" w14:paraId="19679DC0" w14:textId="77777777" w:rsidTr="003215F5">
        <w:trPr>
          <w:trHeight w:val="300"/>
          <w:jc w:val="center"/>
        </w:trPr>
        <w:tc>
          <w:tcPr>
            <w:tcW w:w="2907" w:type="dxa"/>
          </w:tcPr>
          <w:p w14:paraId="45A24C3A" w14:textId="6A629202" w:rsidR="00864FA3" w:rsidRDefault="00864FA3" w:rsidP="00864FA3">
            <w:pPr>
              <w:pStyle w:val="NoSpacing"/>
            </w:pPr>
            <w:r>
              <w:t>Robins</w:t>
            </w:r>
          </w:p>
        </w:tc>
        <w:tc>
          <w:tcPr>
            <w:tcW w:w="1650" w:type="dxa"/>
          </w:tcPr>
          <w:p w14:paraId="7E5320D6" w14:textId="22F1C058" w:rsidR="00864FA3" w:rsidRDefault="00864FA3" w:rsidP="00864FA3">
            <w:pPr>
              <w:pStyle w:val="NoSpacing"/>
            </w:pPr>
            <w:r>
              <w:t>30%</w:t>
            </w:r>
          </w:p>
        </w:tc>
        <w:tc>
          <w:tcPr>
            <w:tcW w:w="1425" w:type="dxa"/>
          </w:tcPr>
          <w:p w14:paraId="561FB4CA" w14:textId="769BD483" w:rsidR="00864FA3" w:rsidRDefault="00864FA3" w:rsidP="00864FA3">
            <w:pPr>
              <w:pStyle w:val="NoSpacing"/>
            </w:pPr>
            <w:r>
              <w:t>5%</w:t>
            </w:r>
          </w:p>
        </w:tc>
      </w:tr>
      <w:tr w:rsidR="00864FA3" w14:paraId="09AC2FDC" w14:textId="77777777" w:rsidTr="003215F5">
        <w:trPr>
          <w:trHeight w:val="300"/>
          <w:jc w:val="center"/>
        </w:trPr>
        <w:tc>
          <w:tcPr>
            <w:tcW w:w="2907" w:type="dxa"/>
          </w:tcPr>
          <w:p w14:paraId="371B8599" w14:textId="61C2F0CE" w:rsidR="00864FA3" w:rsidRDefault="00864FA3" w:rsidP="00864FA3">
            <w:pPr>
              <w:pStyle w:val="NoSpacing"/>
            </w:pPr>
            <w:r>
              <w:t>Moody</w:t>
            </w:r>
          </w:p>
        </w:tc>
        <w:tc>
          <w:tcPr>
            <w:tcW w:w="1650" w:type="dxa"/>
          </w:tcPr>
          <w:p w14:paraId="35E116EC" w14:textId="376B65EE" w:rsidR="00864FA3" w:rsidRDefault="00864FA3" w:rsidP="00864FA3">
            <w:pPr>
              <w:pStyle w:val="NoSpacing"/>
            </w:pPr>
            <w:r>
              <w:t>30%</w:t>
            </w:r>
          </w:p>
        </w:tc>
        <w:tc>
          <w:tcPr>
            <w:tcW w:w="1425" w:type="dxa"/>
          </w:tcPr>
          <w:p w14:paraId="17393B7F" w14:textId="56BAE213" w:rsidR="00864FA3" w:rsidRDefault="00864FA3" w:rsidP="00864FA3">
            <w:pPr>
              <w:pStyle w:val="NoSpacing"/>
            </w:pPr>
            <w:r>
              <w:t>5%</w:t>
            </w:r>
          </w:p>
        </w:tc>
      </w:tr>
      <w:tr w:rsidR="00864FA3" w14:paraId="752327B3" w14:textId="77777777" w:rsidTr="003215F5">
        <w:trPr>
          <w:trHeight w:val="300"/>
          <w:jc w:val="center"/>
        </w:trPr>
        <w:tc>
          <w:tcPr>
            <w:tcW w:w="2907" w:type="dxa"/>
          </w:tcPr>
          <w:p w14:paraId="2DB4D1A8" w14:textId="4ECB868E" w:rsidR="00864FA3" w:rsidRDefault="00864FA3" w:rsidP="00864FA3">
            <w:pPr>
              <w:pStyle w:val="NoSpacing"/>
            </w:pPr>
            <w:r>
              <w:t>Hammond</w:t>
            </w:r>
          </w:p>
        </w:tc>
        <w:tc>
          <w:tcPr>
            <w:tcW w:w="1650" w:type="dxa"/>
          </w:tcPr>
          <w:p w14:paraId="0CDBDF7E" w14:textId="204EA3D8" w:rsidR="00864FA3" w:rsidRDefault="00864FA3" w:rsidP="00864FA3">
            <w:pPr>
              <w:pStyle w:val="NoSpacing"/>
            </w:pPr>
            <w:r>
              <w:t>40%</w:t>
            </w:r>
          </w:p>
        </w:tc>
        <w:tc>
          <w:tcPr>
            <w:tcW w:w="1425" w:type="dxa"/>
          </w:tcPr>
          <w:p w14:paraId="6A19A6DC" w14:textId="33CF41BA" w:rsidR="00864FA3" w:rsidRDefault="00864FA3" w:rsidP="00864FA3">
            <w:pPr>
              <w:pStyle w:val="NoSpacing"/>
            </w:pPr>
            <w:r>
              <w:t>5%</w:t>
            </w:r>
          </w:p>
        </w:tc>
      </w:tr>
      <w:tr w:rsidR="00864FA3" w14:paraId="4441DF03" w14:textId="77777777" w:rsidTr="003215F5">
        <w:trPr>
          <w:trHeight w:val="300"/>
          <w:jc w:val="center"/>
        </w:trPr>
        <w:tc>
          <w:tcPr>
            <w:tcW w:w="2907" w:type="dxa"/>
          </w:tcPr>
          <w:p w14:paraId="60B6FFCD" w14:textId="2CE02D89" w:rsidR="00864FA3" w:rsidRDefault="00864FA3" w:rsidP="00864FA3">
            <w:pPr>
              <w:pStyle w:val="NoSpacing"/>
            </w:pPr>
            <w:r>
              <w:t>McGrau Ford Phase I</w:t>
            </w:r>
          </w:p>
        </w:tc>
        <w:tc>
          <w:tcPr>
            <w:tcW w:w="1650" w:type="dxa"/>
          </w:tcPr>
          <w:p w14:paraId="67804C63" w14:textId="39BBD1CB" w:rsidR="00864FA3" w:rsidRDefault="00864FA3" w:rsidP="00864FA3">
            <w:pPr>
              <w:pStyle w:val="NoSpacing"/>
            </w:pPr>
            <w:r>
              <w:t>30%</w:t>
            </w:r>
          </w:p>
        </w:tc>
        <w:tc>
          <w:tcPr>
            <w:tcW w:w="1425" w:type="dxa"/>
          </w:tcPr>
          <w:p w14:paraId="3FFF67E7" w14:textId="53C92B8F" w:rsidR="00864FA3" w:rsidRDefault="00864FA3" w:rsidP="00864FA3">
            <w:pPr>
              <w:pStyle w:val="NoSpacing"/>
            </w:pPr>
            <w:r>
              <w:t>3%</w:t>
            </w:r>
          </w:p>
        </w:tc>
      </w:tr>
      <w:tr w:rsidR="00864FA3" w14:paraId="7A306CA1" w14:textId="77777777" w:rsidTr="003215F5">
        <w:trPr>
          <w:trHeight w:val="300"/>
          <w:jc w:val="center"/>
        </w:trPr>
        <w:tc>
          <w:tcPr>
            <w:tcW w:w="2907" w:type="dxa"/>
          </w:tcPr>
          <w:p w14:paraId="2E15449E" w14:textId="5F678186" w:rsidR="00864FA3" w:rsidRDefault="00864FA3" w:rsidP="00864FA3">
            <w:pPr>
              <w:pStyle w:val="NoSpacing"/>
            </w:pPr>
            <w:r>
              <w:t>McGrau Ford Phase II</w:t>
            </w:r>
          </w:p>
        </w:tc>
        <w:tc>
          <w:tcPr>
            <w:tcW w:w="1650" w:type="dxa"/>
          </w:tcPr>
          <w:p w14:paraId="00F622AA" w14:textId="6A76A44A" w:rsidR="00864FA3" w:rsidRDefault="00864FA3" w:rsidP="00864FA3">
            <w:pPr>
              <w:pStyle w:val="NoSpacing"/>
            </w:pPr>
            <w:r>
              <w:t>30%</w:t>
            </w:r>
          </w:p>
        </w:tc>
        <w:tc>
          <w:tcPr>
            <w:tcW w:w="1425" w:type="dxa"/>
          </w:tcPr>
          <w:p w14:paraId="7D9C8F3F" w14:textId="0CF744E3" w:rsidR="00864FA3" w:rsidRDefault="00864FA3" w:rsidP="00864FA3">
            <w:pPr>
              <w:pStyle w:val="NoSpacing"/>
            </w:pPr>
            <w:r>
              <w:t>3%</w:t>
            </w:r>
          </w:p>
        </w:tc>
      </w:tr>
    </w:tbl>
    <w:p w14:paraId="2070FD9B" w14:textId="366D89C8" w:rsidR="00290297" w:rsidRDefault="46EC2AD0" w:rsidP="007454B0">
      <w:pPr>
        <w:spacing w:before="240" w:line="480" w:lineRule="auto"/>
        <w:ind w:left="720"/>
        <w:jc w:val="both"/>
        <w:rPr>
          <w:b/>
          <w:bCs/>
          <w:color w:val="000000" w:themeColor="text1"/>
        </w:rPr>
      </w:pPr>
      <w:r>
        <w:rPr>
          <w:color w:val="000000" w:themeColor="text1"/>
        </w:rPr>
        <w:t xml:space="preserve">The difference in the </w:t>
      </w:r>
      <w:r w:rsidR="07C218AD">
        <w:rPr>
          <w:color w:val="000000" w:themeColor="text1"/>
        </w:rPr>
        <w:t>F</w:t>
      </w:r>
      <w:r>
        <w:rPr>
          <w:color w:val="000000" w:themeColor="text1"/>
        </w:rPr>
        <w:t>ederal ITC amount</w:t>
      </w:r>
      <w:r w:rsidR="449B38CF">
        <w:rPr>
          <w:color w:val="000000" w:themeColor="text1"/>
        </w:rPr>
        <w:t>s</w:t>
      </w:r>
      <w:r>
        <w:rPr>
          <w:color w:val="000000" w:themeColor="text1"/>
        </w:rPr>
        <w:t xml:space="preserve"> is due to the siting of the Hammond project at a retired coal plant. The </w:t>
      </w:r>
      <w:r w:rsidR="07C218AD">
        <w:rPr>
          <w:color w:val="000000" w:themeColor="text1"/>
        </w:rPr>
        <w:t>F</w:t>
      </w:r>
      <w:r>
        <w:rPr>
          <w:color w:val="000000" w:themeColor="text1"/>
        </w:rPr>
        <w:t>ederal Inflation Reduction Act (</w:t>
      </w:r>
      <w:r w:rsidRPr="13F3DD18">
        <w:rPr>
          <w:color w:val="000000" w:themeColor="text1"/>
        </w:rPr>
        <w:t>“</w:t>
      </w:r>
      <w:r>
        <w:rPr>
          <w:color w:val="000000" w:themeColor="text1"/>
        </w:rPr>
        <w:t>IRA</w:t>
      </w:r>
      <w:r w:rsidRPr="13F3DD18">
        <w:rPr>
          <w:color w:val="000000" w:themeColor="text1"/>
        </w:rPr>
        <w:t>”</w:t>
      </w:r>
      <w:r>
        <w:rPr>
          <w:color w:val="000000" w:themeColor="text1"/>
        </w:rPr>
        <w:t>) provides a bonus 10% tax credit for projects sited within “energy communities,” defined as U</w:t>
      </w:r>
      <w:r w:rsidR="07C218AD">
        <w:rPr>
          <w:color w:val="000000" w:themeColor="text1"/>
        </w:rPr>
        <w:t>nited States (“US”)</w:t>
      </w:r>
      <w:r>
        <w:rPr>
          <w:color w:val="000000" w:themeColor="text1"/>
        </w:rPr>
        <w:t xml:space="preserve"> census tracts near where a coal-fired generating plant was retired after 2009. The difference in the state tax credits for the McGrau Ford </w:t>
      </w:r>
      <w:r w:rsidRPr="13F3DD18">
        <w:rPr>
          <w:color w:val="000000" w:themeColor="text1"/>
        </w:rPr>
        <w:t xml:space="preserve">Phase I and II </w:t>
      </w:r>
      <w:r>
        <w:rPr>
          <w:color w:val="000000" w:themeColor="text1"/>
        </w:rPr>
        <w:t>Project</w:t>
      </w:r>
      <w:r w:rsidRPr="13F3DD18">
        <w:rPr>
          <w:color w:val="000000" w:themeColor="text1"/>
        </w:rPr>
        <w:t>s</w:t>
      </w:r>
      <w:r>
        <w:rPr>
          <w:color w:val="000000" w:themeColor="text1"/>
        </w:rPr>
        <w:t xml:space="preserve"> and the other BESS </w:t>
      </w:r>
      <w:r>
        <w:rPr>
          <w:color w:val="000000" w:themeColor="text1"/>
        </w:rPr>
        <w:lastRenderedPageBreak/>
        <w:t xml:space="preserve">Projects is </w:t>
      </w:r>
      <w:r w:rsidR="07C218AD">
        <w:rPr>
          <w:color w:val="000000" w:themeColor="text1"/>
        </w:rPr>
        <w:t xml:space="preserve">due to the </w:t>
      </w:r>
      <w:r>
        <w:rPr>
          <w:color w:val="000000" w:themeColor="text1"/>
        </w:rPr>
        <w:t>county in which the project</w:t>
      </w:r>
      <w:r w:rsidRPr="13F3DD18">
        <w:rPr>
          <w:color w:val="000000" w:themeColor="text1"/>
        </w:rPr>
        <w:t>s</w:t>
      </w:r>
      <w:r>
        <w:rPr>
          <w:color w:val="000000" w:themeColor="text1"/>
        </w:rPr>
        <w:t xml:space="preserve"> </w:t>
      </w:r>
      <w:r w:rsidRPr="13F3DD18">
        <w:rPr>
          <w:color w:val="000000" w:themeColor="text1"/>
        </w:rPr>
        <w:t>are</w:t>
      </w:r>
      <w:r>
        <w:rPr>
          <w:color w:val="000000" w:themeColor="text1"/>
        </w:rPr>
        <w:t xml:space="preserve"> located</w:t>
      </w:r>
      <w:r w:rsidR="07C218AD">
        <w:rPr>
          <w:color w:val="000000" w:themeColor="text1"/>
        </w:rPr>
        <w:t xml:space="preserve"> (Company’s Response to </w:t>
      </w:r>
      <w:r w:rsidR="07C218AD">
        <w:t>STF-PIA-17-6)</w:t>
      </w:r>
      <w:r>
        <w:rPr>
          <w:color w:val="000000" w:themeColor="text1"/>
        </w:rPr>
        <w:t>.</w:t>
      </w:r>
    </w:p>
    <w:p w14:paraId="29BDDB22" w14:textId="77777777" w:rsidR="00290297" w:rsidRDefault="00290297" w:rsidP="007454B0">
      <w:pPr>
        <w:keepNext/>
        <w:spacing w:before="240" w:line="480" w:lineRule="auto"/>
        <w:ind w:left="720" w:hanging="720"/>
        <w:jc w:val="both"/>
        <w:rPr>
          <w:b/>
          <w:bCs/>
          <w:color w:val="000000" w:themeColor="text1"/>
        </w:rPr>
      </w:pPr>
      <w:r w:rsidRPr="00103CD3">
        <w:rPr>
          <w:b/>
          <w:bCs/>
          <w:color w:val="000000" w:themeColor="text1"/>
        </w:rPr>
        <w:t>Q.</w:t>
      </w:r>
      <w:r w:rsidRPr="00103CD3">
        <w:rPr>
          <w:b/>
          <w:bCs/>
          <w:color w:val="000000" w:themeColor="text1"/>
        </w:rPr>
        <w:tab/>
      </w:r>
      <w:r>
        <w:rPr>
          <w:b/>
          <w:bCs/>
          <w:color w:val="000000" w:themeColor="text1"/>
        </w:rPr>
        <w:t>ARE THERE NOTABLE RISKS ASSOCIATED WITH THE TAX CREDIT ASSUMPTIONS?</w:t>
      </w:r>
    </w:p>
    <w:p w14:paraId="6C5F9359" w14:textId="04A5F043" w:rsidR="00290297" w:rsidRDefault="46EC2AD0" w:rsidP="007454B0">
      <w:pPr>
        <w:spacing w:line="480" w:lineRule="auto"/>
        <w:ind w:left="720" w:hanging="720"/>
        <w:jc w:val="both"/>
        <w:rPr>
          <w:color w:val="000000" w:themeColor="text1"/>
        </w:rPr>
      </w:pPr>
      <w:r w:rsidRPr="71A8969D">
        <w:rPr>
          <w:color w:val="000000" w:themeColor="text1"/>
        </w:rPr>
        <w:t>A.</w:t>
      </w:r>
      <w:r w:rsidR="00290297">
        <w:tab/>
      </w:r>
      <w:r w:rsidRPr="71A8969D">
        <w:rPr>
          <w:color w:val="000000" w:themeColor="text1"/>
        </w:rPr>
        <w:t>Yes. There are risks related to qualification for specific tax credits. Tax credits are subject to specific tax code provisions that are driven by polic</w:t>
      </w:r>
      <w:r w:rsidR="07C218AD" w:rsidRPr="71A8969D">
        <w:rPr>
          <w:color w:val="000000" w:themeColor="text1"/>
        </w:rPr>
        <w:t>ies of the Federal Government</w:t>
      </w:r>
      <w:r w:rsidRPr="71A8969D">
        <w:rPr>
          <w:color w:val="000000" w:themeColor="text1"/>
        </w:rPr>
        <w:t xml:space="preserve">. Qualification for specific credits is based on compliance with the provisions of the regulations, some of which are outside of the control of the Company. For example, the </w:t>
      </w:r>
      <w:r w:rsidR="007464D7">
        <w:rPr>
          <w:color w:val="000000" w:themeColor="text1"/>
        </w:rPr>
        <w:t>F</w:t>
      </w:r>
      <w:r w:rsidRPr="71A8969D">
        <w:rPr>
          <w:color w:val="000000" w:themeColor="text1"/>
        </w:rPr>
        <w:t>ederal ITC under the IRA has specific Prevailing Wage and Apprenticeship (“PWA”) requirements,” which set threshold requirements in order to qualify for the maximum credit amounts. The Company has confirmed that the vendors are “guaranteeing compliance with [PWA] requirements relevant to their works scope for the Company to remain eligible” for the assumed ITC levels</w:t>
      </w:r>
      <w:r w:rsidR="07C218AD" w:rsidRPr="71A8969D">
        <w:rPr>
          <w:color w:val="000000" w:themeColor="text1"/>
        </w:rPr>
        <w:t xml:space="preserve"> (Company’s Response to </w:t>
      </w:r>
      <w:bookmarkStart w:id="1" w:name="_Hlk179267449"/>
      <w:r w:rsidR="07C218AD" w:rsidRPr="71A8969D">
        <w:rPr>
          <w:color w:val="000000" w:themeColor="text1"/>
        </w:rPr>
        <w:t>STF-PIA-17-10-a</w:t>
      </w:r>
      <w:bookmarkEnd w:id="1"/>
      <w:r w:rsidR="07C218AD" w:rsidRPr="71A8969D">
        <w:rPr>
          <w:color w:val="000000" w:themeColor="text1"/>
        </w:rPr>
        <w:t>).</w:t>
      </w:r>
      <w:r w:rsidRPr="71A8969D">
        <w:rPr>
          <w:color w:val="000000" w:themeColor="text1"/>
        </w:rPr>
        <w:t xml:space="preserve"> Furthermore, the Company has stated that </w:t>
      </w:r>
      <w:r w:rsidR="003B0884" w:rsidRPr="003B0884">
        <w:rPr>
          <w:color w:val="000000" w:themeColor="text1"/>
          <w:highlight w:val="black"/>
        </w:rPr>
        <w:t>XXXXXXXXXXXXXXXXXXXXXXXXXXXXXXXXXXX</w:t>
      </w:r>
      <w:r w:rsidRPr="003B0884">
        <w:rPr>
          <w:color w:val="000000" w:themeColor="text1"/>
          <w:highlight w:val="black"/>
        </w:rPr>
        <w:t xml:space="preserve"> </w:t>
      </w:r>
      <w:r w:rsidR="003B0884" w:rsidRPr="003B0884">
        <w:rPr>
          <w:color w:val="000000" w:themeColor="text1"/>
          <w:highlight w:val="black"/>
        </w:rPr>
        <w:t>XXXXXXXXXXXXXXXXXXXX XXXXXXXXXXXXXXXXXXXXXXXXXXXXX</w:t>
      </w:r>
      <w:r w:rsidRPr="003B0884">
        <w:rPr>
          <w:color w:val="000000" w:themeColor="text1"/>
          <w:highlight w:val="black"/>
        </w:rPr>
        <w:t xml:space="preserve"> </w:t>
      </w:r>
      <w:r w:rsidR="003B0884" w:rsidRPr="003B0884">
        <w:rPr>
          <w:color w:val="000000" w:themeColor="text1"/>
          <w:highlight w:val="black"/>
        </w:rPr>
        <w:t>XXXXXXXXXXXXXXXXXXXXXXXXXXXXXXX</w:t>
      </w:r>
      <w:r w:rsidR="21782DAA" w:rsidRPr="71A8969D">
        <w:rPr>
          <w:color w:val="000000" w:themeColor="text1"/>
        </w:rPr>
        <w:t xml:space="preserve"> </w:t>
      </w:r>
      <w:r w:rsidR="00517001">
        <w:rPr>
          <w:color w:val="000000" w:themeColor="text1"/>
        </w:rPr>
        <w:t>(</w:t>
      </w:r>
      <w:r w:rsidR="21782DAA" w:rsidRPr="71A8969D">
        <w:rPr>
          <w:color w:val="000000" w:themeColor="text1"/>
        </w:rPr>
        <w:t>T</w:t>
      </w:r>
      <w:r w:rsidR="71A11121" w:rsidRPr="71A8969D">
        <w:rPr>
          <w:color w:val="000000" w:themeColor="text1"/>
        </w:rPr>
        <w:t xml:space="preserve">rade </w:t>
      </w:r>
      <w:r w:rsidR="21782DAA" w:rsidRPr="71A8969D">
        <w:rPr>
          <w:color w:val="000000" w:themeColor="text1"/>
        </w:rPr>
        <w:t>S</w:t>
      </w:r>
      <w:r w:rsidR="71A11121" w:rsidRPr="71A8969D">
        <w:rPr>
          <w:color w:val="000000" w:themeColor="text1"/>
        </w:rPr>
        <w:t>ecret (“TS”)</w:t>
      </w:r>
      <w:r w:rsidR="21782DAA" w:rsidRPr="71A8969D">
        <w:rPr>
          <w:color w:val="000000" w:themeColor="text1"/>
        </w:rPr>
        <w:t xml:space="preserve"> Company’s Response to STF-PIA-17-10-a).</w:t>
      </w:r>
      <w:r w:rsidR="007B496C">
        <w:rPr>
          <w:color w:val="000000" w:themeColor="text1"/>
        </w:rPr>
        <w:t xml:space="preserve"> </w:t>
      </w:r>
      <w:r w:rsidR="00290297">
        <w:rPr>
          <w:color w:val="000000" w:themeColor="text1"/>
        </w:rPr>
        <w:t xml:space="preserve">Therefore, while there are still </w:t>
      </w:r>
      <w:r w:rsidR="00290297" w:rsidRPr="13F3DD18">
        <w:rPr>
          <w:color w:val="000000" w:themeColor="text1"/>
        </w:rPr>
        <w:t xml:space="preserve">some </w:t>
      </w:r>
      <w:r w:rsidR="00290297">
        <w:rPr>
          <w:color w:val="000000" w:themeColor="text1"/>
        </w:rPr>
        <w:t xml:space="preserve">risks associated with full qualification for the tax credits, the Company </w:t>
      </w:r>
      <w:r w:rsidR="003B0884" w:rsidRPr="003B0884">
        <w:rPr>
          <w:color w:val="000000" w:themeColor="text1"/>
          <w:highlight w:val="black"/>
        </w:rPr>
        <w:t>XXXXXXXXXXXXXXXXXXXXX</w:t>
      </w:r>
      <w:r w:rsidR="00290297" w:rsidRPr="003B0884">
        <w:rPr>
          <w:color w:val="000000" w:themeColor="text1"/>
          <w:highlight w:val="black"/>
        </w:rPr>
        <w:t xml:space="preserve"> </w:t>
      </w:r>
      <w:r w:rsidR="003B0884" w:rsidRPr="003B0884">
        <w:rPr>
          <w:color w:val="000000" w:themeColor="text1"/>
          <w:highlight w:val="black"/>
        </w:rPr>
        <w:t>XXXXXX</w:t>
      </w:r>
      <w:r w:rsidR="00290297">
        <w:rPr>
          <w:color w:val="000000" w:themeColor="text1"/>
        </w:rPr>
        <w:t>.</w:t>
      </w:r>
    </w:p>
    <w:p w14:paraId="29A4A15D" w14:textId="77777777" w:rsidR="00290297" w:rsidRDefault="00290297" w:rsidP="007454B0">
      <w:pPr>
        <w:keepNext/>
        <w:spacing w:before="240" w:line="480" w:lineRule="auto"/>
        <w:ind w:left="720" w:hanging="720"/>
        <w:jc w:val="both"/>
        <w:rPr>
          <w:b/>
          <w:bCs/>
          <w:color w:val="000000" w:themeColor="text1"/>
        </w:rPr>
      </w:pPr>
      <w:r w:rsidRPr="00103CD3">
        <w:rPr>
          <w:b/>
          <w:bCs/>
          <w:color w:val="000000" w:themeColor="text1"/>
        </w:rPr>
        <w:lastRenderedPageBreak/>
        <w:t>Q.</w:t>
      </w:r>
      <w:r w:rsidRPr="00103CD3">
        <w:rPr>
          <w:b/>
          <w:bCs/>
          <w:color w:val="000000" w:themeColor="text1"/>
        </w:rPr>
        <w:tab/>
      </w:r>
      <w:r>
        <w:rPr>
          <w:b/>
          <w:bCs/>
          <w:color w:val="000000" w:themeColor="text1"/>
        </w:rPr>
        <w:t>ARE THERE SIGNIFICANT DIFFERENCES IN THE COSTS BETWEEN THE PROJECTS?</w:t>
      </w:r>
    </w:p>
    <w:p w14:paraId="2BCF3325" w14:textId="7D155233" w:rsidR="00290297" w:rsidRDefault="46EC2AD0" w:rsidP="00290297">
      <w:pPr>
        <w:spacing w:line="480" w:lineRule="auto"/>
        <w:ind w:left="720" w:hanging="720"/>
        <w:jc w:val="both"/>
        <w:rPr>
          <w:color w:val="000000" w:themeColor="text1"/>
        </w:rPr>
      </w:pPr>
      <w:r w:rsidRPr="71A8969D">
        <w:rPr>
          <w:color w:val="000000" w:themeColor="text1"/>
        </w:rPr>
        <w:t>A.</w:t>
      </w:r>
      <w:r w:rsidR="00290297">
        <w:tab/>
      </w:r>
      <w:r w:rsidRPr="71A8969D">
        <w:rPr>
          <w:color w:val="000000" w:themeColor="text1"/>
        </w:rPr>
        <w:t>Yes. While many of the cost elements are very similar, there are some notable exceptions which resulted in a meaningful difference in the relative costs of the projects. The Company provided a breakdown of costs on a $/kilowatt</w:t>
      </w:r>
      <w:r w:rsidR="4666E8CA" w:rsidRPr="71A8969D">
        <w:rPr>
          <w:color w:val="000000" w:themeColor="text1"/>
        </w:rPr>
        <w:t xml:space="preserve"> </w:t>
      </w:r>
      <w:r w:rsidRPr="71A8969D">
        <w:rPr>
          <w:color w:val="000000" w:themeColor="text1"/>
        </w:rPr>
        <w:t>(“kW”) basis for the aggregated cost categories with the economic analysis</w:t>
      </w:r>
      <w:r w:rsidR="21782DAA" w:rsidRPr="71A8969D">
        <w:rPr>
          <w:color w:val="000000" w:themeColor="text1"/>
        </w:rPr>
        <w:t xml:space="preserve"> (Application, TS Attachment A: 500 MW BESS Economic Analysis, p.4).</w:t>
      </w:r>
      <w:r w:rsidR="40F747BA" w:rsidRPr="71A8969D">
        <w:rPr>
          <w:color w:val="000000" w:themeColor="text1"/>
        </w:rPr>
        <w:t xml:space="preserve"> </w:t>
      </w:r>
      <w:r w:rsidRPr="71A8969D">
        <w:rPr>
          <w:color w:val="000000" w:themeColor="text1"/>
        </w:rPr>
        <w:t xml:space="preserve">In </w:t>
      </w:r>
      <w:r w:rsidR="007643DA">
        <w:rPr>
          <w:color w:val="000000" w:themeColor="text1"/>
        </w:rPr>
        <w:t>the table below</w:t>
      </w:r>
      <w:r w:rsidRPr="71A8969D">
        <w:rPr>
          <w:color w:val="000000" w:themeColor="text1"/>
        </w:rPr>
        <w:t>, we have expanded the table to highlight key sub-categories:</w:t>
      </w:r>
    </w:p>
    <w:p w14:paraId="15152955" w14:textId="7C598F55" w:rsidR="00E307CF" w:rsidRPr="00864FA3" w:rsidRDefault="00290297" w:rsidP="00864FA3">
      <w:pPr>
        <w:pStyle w:val="Caption"/>
        <w:keepNext/>
        <w:jc w:val="center"/>
        <w:rPr>
          <w:color w:val="auto"/>
          <w:sz w:val="24"/>
          <w:szCs w:val="24"/>
        </w:rPr>
      </w:pPr>
      <w:r w:rsidRPr="00E13DEC">
        <w:rPr>
          <w:color w:val="auto"/>
          <w:sz w:val="24"/>
          <w:szCs w:val="24"/>
        </w:rPr>
        <w:t xml:space="preserve">Table </w:t>
      </w:r>
      <w:r w:rsidR="001F1912">
        <w:rPr>
          <w:color w:val="auto"/>
          <w:sz w:val="24"/>
          <w:szCs w:val="24"/>
        </w:rPr>
        <w:t>6</w:t>
      </w:r>
      <w:r w:rsidRPr="00E13DEC">
        <w:rPr>
          <w:color w:val="auto"/>
          <w:sz w:val="24"/>
          <w:szCs w:val="24"/>
        </w:rPr>
        <w:t>.</w:t>
      </w:r>
      <w:r w:rsidR="003025C6">
        <w:rPr>
          <w:color w:val="auto"/>
          <w:sz w:val="24"/>
          <w:szCs w:val="24"/>
        </w:rPr>
        <w:t xml:space="preserve"> </w:t>
      </w:r>
      <w:r w:rsidRPr="00E13DEC">
        <w:rPr>
          <w:color w:val="auto"/>
          <w:sz w:val="24"/>
          <w:szCs w:val="24"/>
        </w:rPr>
        <w:t xml:space="preserve">Cost </w:t>
      </w:r>
      <w:r w:rsidR="00BC136C">
        <w:rPr>
          <w:color w:val="auto"/>
          <w:sz w:val="24"/>
          <w:szCs w:val="24"/>
        </w:rPr>
        <w:t>C</w:t>
      </w:r>
      <w:r w:rsidRPr="00E13DEC">
        <w:rPr>
          <w:color w:val="auto"/>
          <w:sz w:val="24"/>
          <w:szCs w:val="24"/>
        </w:rPr>
        <w:t xml:space="preserve">omponents by </w:t>
      </w:r>
      <w:r w:rsidR="00BC136C">
        <w:rPr>
          <w:color w:val="auto"/>
          <w:sz w:val="24"/>
          <w:szCs w:val="24"/>
        </w:rPr>
        <w:t>P</w:t>
      </w:r>
      <w:r w:rsidRPr="00E13DEC">
        <w:rPr>
          <w:color w:val="auto"/>
          <w:sz w:val="24"/>
          <w:szCs w:val="24"/>
        </w:rPr>
        <w:t>roject (NPV $/kW, 2024$)</w:t>
      </w:r>
    </w:p>
    <w:tbl>
      <w:tblPr>
        <w:tblStyle w:val="TableGrid"/>
        <w:tblW w:w="8827" w:type="dxa"/>
        <w:tblInd w:w="720" w:type="dxa"/>
        <w:tblLook w:val="04A0" w:firstRow="1" w:lastRow="0" w:firstColumn="1" w:lastColumn="0" w:noHBand="0" w:noVBand="1"/>
      </w:tblPr>
      <w:tblGrid>
        <w:gridCol w:w="1550"/>
        <w:gridCol w:w="1763"/>
        <w:gridCol w:w="1006"/>
        <w:gridCol w:w="1006"/>
        <w:gridCol w:w="1310"/>
        <w:gridCol w:w="1096"/>
        <w:gridCol w:w="1096"/>
      </w:tblGrid>
      <w:tr w:rsidR="00C0065B" w:rsidRPr="00E13DEC" w14:paraId="0198F4A6" w14:textId="77777777" w:rsidTr="00722F07">
        <w:trPr>
          <w:trHeight w:val="300"/>
        </w:trPr>
        <w:tc>
          <w:tcPr>
            <w:tcW w:w="3313" w:type="dxa"/>
            <w:gridSpan w:val="2"/>
          </w:tcPr>
          <w:p w14:paraId="6343098D" w14:textId="77777777" w:rsidR="00C0065B" w:rsidRPr="00E13DEC" w:rsidRDefault="00C0065B" w:rsidP="00864FA3">
            <w:pPr>
              <w:pStyle w:val="NoSpacing"/>
              <w:keepNext/>
            </w:pPr>
          </w:p>
        </w:tc>
        <w:tc>
          <w:tcPr>
            <w:tcW w:w="1006" w:type="dxa"/>
            <w:vAlign w:val="center"/>
          </w:tcPr>
          <w:p w14:paraId="2F3F30D6" w14:textId="22608C8A" w:rsidR="00C0065B" w:rsidRPr="00E13DEC" w:rsidRDefault="00C0065B" w:rsidP="00864FA3">
            <w:pPr>
              <w:pStyle w:val="NoSpacing"/>
              <w:keepNext/>
            </w:pPr>
            <w:r w:rsidRPr="00E13DEC">
              <w:rPr>
                <w:b/>
                <w:bCs/>
                <w:color w:val="000000"/>
              </w:rPr>
              <w:t>Robins</w:t>
            </w:r>
          </w:p>
        </w:tc>
        <w:tc>
          <w:tcPr>
            <w:tcW w:w="1006" w:type="dxa"/>
            <w:vAlign w:val="center"/>
          </w:tcPr>
          <w:p w14:paraId="5231DC21" w14:textId="4BAED901" w:rsidR="00C0065B" w:rsidRPr="00E13DEC" w:rsidRDefault="00C0065B" w:rsidP="00864FA3">
            <w:pPr>
              <w:pStyle w:val="NoSpacing"/>
              <w:keepNext/>
            </w:pPr>
            <w:r w:rsidRPr="00E13DEC">
              <w:rPr>
                <w:b/>
                <w:bCs/>
                <w:color w:val="000000"/>
              </w:rPr>
              <w:t>Moody</w:t>
            </w:r>
          </w:p>
        </w:tc>
        <w:tc>
          <w:tcPr>
            <w:tcW w:w="1310" w:type="dxa"/>
            <w:vAlign w:val="center"/>
          </w:tcPr>
          <w:p w14:paraId="4BFFDAD7" w14:textId="66C8246C" w:rsidR="00C0065B" w:rsidRPr="00E13DEC" w:rsidRDefault="00C0065B" w:rsidP="00864FA3">
            <w:pPr>
              <w:pStyle w:val="NoSpacing"/>
              <w:keepNext/>
            </w:pPr>
            <w:r w:rsidRPr="00E13DEC">
              <w:rPr>
                <w:b/>
                <w:bCs/>
                <w:color w:val="000000"/>
              </w:rPr>
              <w:t>Hammond</w:t>
            </w:r>
          </w:p>
        </w:tc>
        <w:tc>
          <w:tcPr>
            <w:tcW w:w="1096" w:type="dxa"/>
            <w:vAlign w:val="center"/>
          </w:tcPr>
          <w:p w14:paraId="023B381F" w14:textId="2E95FE8F" w:rsidR="00C0065B" w:rsidRPr="00E13DEC" w:rsidRDefault="00C0065B" w:rsidP="00864FA3">
            <w:pPr>
              <w:pStyle w:val="NoSpacing"/>
              <w:keepNext/>
            </w:pPr>
            <w:r w:rsidRPr="00E13DEC">
              <w:rPr>
                <w:b/>
                <w:bCs/>
                <w:color w:val="000000"/>
              </w:rPr>
              <w:t>McGrau Ford I</w:t>
            </w:r>
          </w:p>
        </w:tc>
        <w:tc>
          <w:tcPr>
            <w:tcW w:w="1096" w:type="dxa"/>
            <w:vAlign w:val="center"/>
          </w:tcPr>
          <w:p w14:paraId="47F51D6E" w14:textId="323019B5" w:rsidR="00C0065B" w:rsidRPr="00E13DEC" w:rsidRDefault="00C0065B" w:rsidP="00864FA3">
            <w:pPr>
              <w:pStyle w:val="NoSpacing"/>
              <w:keepNext/>
            </w:pPr>
            <w:r w:rsidRPr="00E13DEC">
              <w:rPr>
                <w:b/>
                <w:bCs/>
                <w:color w:val="000000"/>
              </w:rPr>
              <w:t>McGrau Ford II</w:t>
            </w:r>
          </w:p>
        </w:tc>
      </w:tr>
      <w:tr w:rsidR="00273ED5" w:rsidRPr="00E13DEC" w14:paraId="38364AC7" w14:textId="77777777" w:rsidTr="002C3C1F">
        <w:trPr>
          <w:trHeight w:val="300"/>
        </w:trPr>
        <w:tc>
          <w:tcPr>
            <w:tcW w:w="3313" w:type="dxa"/>
            <w:gridSpan w:val="2"/>
          </w:tcPr>
          <w:p w14:paraId="29780856" w14:textId="1F491675" w:rsidR="00273ED5" w:rsidRPr="00E13DEC" w:rsidRDefault="00273ED5" w:rsidP="00864FA3">
            <w:pPr>
              <w:pStyle w:val="NoSpacing"/>
              <w:keepNext/>
            </w:pPr>
            <w:r>
              <w:t xml:space="preserve">Nameplate Capacity </w:t>
            </w:r>
            <w:r w:rsidR="00C0065B">
              <w:t>(MW)</w:t>
            </w:r>
          </w:p>
        </w:tc>
        <w:tc>
          <w:tcPr>
            <w:tcW w:w="1006" w:type="dxa"/>
            <w:vAlign w:val="center"/>
          </w:tcPr>
          <w:p w14:paraId="7CE4A707" w14:textId="74A8B545" w:rsidR="00273ED5" w:rsidRPr="00565105" w:rsidRDefault="00C0065B" w:rsidP="00565105">
            <w:pPr>
              <w:pStyle w:val="NoSpacing"/>
              <w:keepNext/>
              <w:jc w:val="right"/>
              <w:rPr>
                <w:color w:val="000000"/>
              </w:rPr>
            </w:pPr>
            <w:r w:rsidRPr="00565105">
              <w:rPr>
                <w:color w:val="000000"/>
              </w:rPr>
              <w:t>128</w:t>
            </w:r>
          </w:p>
        </w:tc>
        <w:tc>
          <w:tcPr>
            <w:tcW w:w="1006" w:type="dxa"/>
            <w:vAlign w:val="center"/>
          </w:tcPr>
          <w:p w14:paraId="6AE8A4F0" w14:textId="7C97AD00" w:rsidR="00273ED5" w:rsidRPr="00565105" w:rsidRDefault="00C0065B" w:rsidP="00565105">
            <w:pPr>
              <w:pStyle w:val="NoSpacing"/>
              <w:keepNext/>
              <w:jc w:val="right"/>
              <w:rPr>
                <w:color w:val="000000"/>
              </w:rPr>
            </w:pPr>
            <w:r w:rsidRPr="00565105">
              <w:rPr>
                <w:color w:val="000000"/>
              </w:rPr>
              <w:t>49.5</w:t>
            </w:r>
          </w:p>
        </w:tc>
        <w:tc>
          <w:tcPr>
            <w:tcW w:w="1310" w:type="dxa"/>
            <w:vAlign w:val="center"/>
          </w:tcPr>
          <w:p w14:paraId="7A0C6C84" w14:textId="7889CA15" w:rsidR="00273ED5" w:rsidRPr="00565105" w:rsidRDefault="00C0065B" w:rsidP="00565105">
            <w:pPr>
              <w:pStyle w:val="NoSpacing"/>
              <w:keepNext/>
              <w:jc w:val="right"/>
              <w:rPr>
                <w:color w:val="000000"/>
              </w:rPr>
            </w:pPr>
            <w:r w:rsidRPr="00565105">
              <w:rPr>
                <w:color w:val="000000"/>
              </w:rPr>
              <w:t>57.5</w:t>
            </w:r>
          </w:p>
        </w:tc>
        <w:tc>
          <w:tcPr>
            <w:tcW w:w="1096" w:type="dxa"/>
            <w:vAlign w:val="center"/>
          </w:tcPr>
          <w:p w14:paraId="49AC025B" w14:textId="45966A5E" w:rsidR="00273ED5" w:rsidRPr="00565105" w:rsidRDefault="00C0065B" w:rsidP="00565105">
            <w:pPr>
              <w:pStyle w:val="NoSpacing"/>
              <w:keepNext/>
              <w:jc w:val="right"/>
              <w:rPr>
                <w:color w:val="000000"/>
              </w:rPr>
            </w:pPr>
            <w:r w:rsidRPr="00565105">
              <w:rPr>
                <w:color w:val="000000"/>
              </w:rPr>
              <w:t>265</w:t>
            </w:r>
          </w:p>
        </w:tc>
        <w:tc>
          <w:tcPr>
            <w:tcW w:w="1096" w:type="dxa"/>
            <w:vAlign w:val="center"/>
          </w:tcPr>
          <w:p w14:paraId="66E34761" w14:textId="16E4AB44" w:rsidR="00273ED5" w:rsidRPr="00565105" w:rsidRDefault="00C0065B" w:rsidP="00565105">
            <w:pPr>
              <w:pStyle w:val="NoSpacing"/>
              <w:keepNext/>
              <w:jc w:val="right"/>
              <w:rPr>
                <w:color w:val="000000"/>
              </w:rPr>
            </w:pPr>
            <w:r w:rsidRPr="00565105">
              <w:rPr>
                <w:color w:val="000000"/>
              </w:rPr>
              <w:t>265</w:t>
            </w:r>
          </w:p>
        </w:tc>
      </w:tr>
      <w:tr w:rsidR="00864FA3" w:rsidRPr="00E13DEC" w14:paraId="1A28061D" w14:textId="77777777" w:rsidTr="00864FA3">
        <w:trPr>
          <w:trHeight w:val="300"/>
        </w:trPr>
        <w:tc>
          <w:tcPr>
            <w:tcW w:w="1550" w:type="dxa"/>
            <w:vMerge w:val="restart"/>
            <w:vAlign w:val="center"/>
          </w:tcPr>
          <w:p w14:paraId="63EE2E6A" w14:textId="77777777" w:rsidR="00864FA3" w:rsidRPr="00E13DEC" w:rsidRDefault="00864FA3" w:rsidP="00864FA3">
            <w:pPr>
              <w:pStyle w:val="NoSpacing"/>
              <w:keepNext/>
              <w:rPr>
                <w:b/>
                <w:bCs/>
              </w:rPr>
            </w:pPr>
            <w:r w:rsidRPr="00E13DEC">
              <w:rPr>
                <w:b/>
                <w:bCs/>
              </w:rPr>
              <w:t>In-Service Capital</w:t>
            </w:r>
          </w:p>
        </w:tc>
        <w:tc>
          <w:tcPr>
            <w:tcW w:w="1763" w:type="dxa"/>
          </w:tcPr>
          <w:p w14:paraId="4377757F" w14:textId="742B6123" w:rsidR="00864FA3" w:rsidRPr="00F3056A" w:rsidRDefault="00D0237B" w:rsidP="00864FA3">
            <w:pPr>
              <w:pStyle w:val="NoSpacing"/>
              <w:keepNext/>
              <w:rPr>
                <w:highlight w:val="black"/>
              </w:rPr>
            </w:pPr>
            <w:r w:rsidRPr="00F3056A">
              <w:rPr>
                <w:highlight w:val="black"/>
              </w:rPr>
              <w:t>XXXXXX</w:t>
            </w:r>
            <w:r w:rsidR="00864FA3" w:rsidRPr="00F3056A">
              <w:rPr>
                <w:highlight w:val="black"/>
              </w:rPr>
              <w:t xml:space="preserve"> </w:t>
            </w:r>
            <w:proofErr w:type="spellStart"/>
            <w:r w:rsidRPr="00F3056A">
              <w:rPr>
                <w:highlight w:val="black"/>
              </w:rPr>
              <w:t>XXXXXX</w:t>
            </w:r>
            <w:proofErr w:type="spellEnd"/>
          </w:p>
        </w:tc>
        <w:tc>
          <w:tcPr>
            <w:tcW w:w="1006" w:type="dxa"/>
            <w:vAlign w:val="center"/>
          </w:tcPr>
          <w:p w14:paraId="4BC740EB" w14:textId="29CEE277" w:rsidR="00864FA3" w:rsidRPr="00F3056A" w:rsidRDefault="00F3056A" w:rsidP="00864FA3">
            <w:pPr>
              <w:pStyle w:val="NoSpacing"/>
              <w:keepNext/>
              <w:jc w:val="right"/>
              <w:rPr>
                <w:highlight w:val="black"/>
              </w:rPr>
            </w:pPr>
            <w:r w:rsidRPr="00F3056A">
              <w:rPr>
                <w:highlight w:val="black"/>
              </w:rPr>
              <w:t>XXX</w:t>
            </w:r>
          </w:p>
        </w:tc>
        <w:tc>
          <w:tcPr>
            <w:tcW w:w="1006" w:type="dxa"/>
            <w:vAlign w:val="center"/>
          </w:tcPr>
          <w:p w14:paraId="6AF30A51" w14:textId="1054C536" w:rsidR="00864FA3" w:rsidRPr="00F3056A" w:rsidRDefault="00F3056A" w:rsidP="00864FA3">
            <w:pPr>
              <w:pStyle w:val="NoSpacing"/>
              <w:keepNext/>
              <w:jc w:val="right"/>
              <w:rPr>
                <w:highlight w:val="black"/>
              </w:rPr>
            </w:pPr>
            <w:r w:rsidRPr="00F3056A">
              <w:rPr>
                <w:highlight w:val="black"/>
              </w:rPr>
              <w:t>XXX</w:t>
            </w:r>
          </w:p>
        </w:tc>
        <w:tc>
          <w:tcPr>
            <w:tcW w:w="1310" w:type="dxa"/>
            <w:vAlign w:val="center"/>
          </w:tcPr>
          <w:p w14:paraId="25D9C230" w14:textId="648A4A9F" w:rsidR="00864FA3" w:rsidRPr="00F3056A" w:rsidRDefault="00F3056A" w:rsidP="00864FA3">
            <w:pPr>
              <w:pStyle w:val="NoSpacing"/>
              <w:keepNext/>
              <w:jc w:val="right"/>
              <w:rPr>
                <w:highlight w:val="black"/>
              </w:rPr>
            </w:pPr>
            <w:r w:rsidRPr="00F3056A">
              <w:rPr>
                <w:highlight w:val="black"/>
              </w:rPr>
              <w:t>XXX</w:t>
            </w:r>
          </w:p>
        </w:tc>
        <w:tc>
          <w:tcPr>
            <w:tcW w:w="1096" w:type="dxa"/>
            <w:vAlign w:val="center"/>
          </w:tcPr>
          <w:p w14:paraId="54076BEB" w14:textId="643E85D2" w:rsidR="00864FA3" w:rsidRPr="00F3056A" w:rsidRDefault="00F3056A" w:rsidP="00864FA3">
            <w:pPr>
              <w:pStyle w:val="NoSpacing"/>
              <w:keepNext/>
              <w:jc w:val="right"/>
              <w:rPr>
                <w:highlight w:val="black"/>
              </w:rPr>
            </w:pPr>
            <w:r w:rsidRPr="00F3056A">
              <w:rPr>
                <w:highlight w:val="black"/>
              </w:rPr>
              <w:t>XXX</w:t>
            </w:r>
          </w:p>
        </w:tc>
        <w:tc>
          <w:tcPr>
            <w:tcW w:w="1096" w:type="dxa"/>
            <w:vAlign w:val="center"/>
          </w:tcPr>
          <w:p w14:paraId="1D32D5E7" w14:textId="2B674164" w:rsidR="00864FA3" w:rsidRPr="00F3056A" w:rsidRDefault="00F3056A" w:rsidP="00864FA3">
            <w:pPr>
              <w:pStyle w:val="NoSpacing"/>
              <w:keepNext/>
              <w:jc w:val="right"/>
              <w:rPr>
                <w:highlight w:val="black"/>
              </w:rPr>
            </w:pPr>
            <w:r w:rsidRPr="00F3056A">
              <w:rPr>
                <w:highlight w:val="black"/>
              </w:rPr>
              <w:t>XXX</w:t>
            </w:r>
          </w:p>
        </w:tc>
      </w:tr>
      <w:tr w:rsidR="00864FA3" w:rsidRPr="00E13DEC" w14:paraId="557DC693" w14:textId="77777777" w:rsidTr="00864FA3">
        <w:trPr>
          <w:trHeight w:val="300"/>
        </w:trPr>
        <w:tc>
          <w:tcPr>
            <w:tcW w:w="1550" w:type="dxa"/>
            <w:vMerge/>
            <w:vAlign w:val="center"/>
          </w:tcPr>
          <w:p w14:paraId="0C7F3C1D" w14:textId="77777777" w:rsidR="00864FA3" w:rsidRPr="00E13DEC" w:rsidRDefault="00864FA3" w:rsidP="00864FA3">
            <w:pPr>
              <w:pStyle w:val="NoSpacing"/>
              <w:keepNext/>
              <w:rPr>
                <w:b/>
                <w:bCs/>
              </w:rPr>
            </w:pPr>
          </w:p>
        </w:tc>
        <w:tc>
          <w:tcPr>
            <w:tcW w:w="1763" w:type="dxa"/>
          </w:tcPr>
          <w:p w14:paraId="0831D325" w14:textId="39CEB481" w:rsidR="00864FA3" w:rsidRPr="00F3056A" w:rsidRDefault="00D0237B" w:rsidP="00864FA3">
            <w:pPr>
              <w:pStyle w:val="NoSpacing"/>
              <w:keepNext/>
              <w:rPr>
                <w:highlight w:val="black"/>
              </w:rPr>
            </w:pPr>
            <w:r w:rsidRPr="00F3056A">
              <w:rPr>
                <w:highlight w:val="black"/>
              </w:rPr>
              <w:t>XXXXXX</w:t>
            </w:r>
          </w:p>
        </w:tc>
        <w:tc>
          <w:tcPr>
            <w:tcW w:w="1006" w:type="dxa"/>
            <w:vAlign w:val="center"/>
          </w:tcPr>
          <w:p w14:paraId="64F96905" w14:textId="4ADB3028" w:rsidR="00864FA3" w:rsidRPr="00F3056A" w:rsidRDefault="00F3056A" w:rsidP="00864FA3">
            <w:pPr>
              <w:pStyle w:val="NoSpacing"/>
              <w:keepNext/>
              <w:jc w:val="right"/>
              <w:rPr>
                <w:highlight w:val="black"/>
              </w:rPr>
            </w:pPr>
            <w:r w:rsidRPr="00F3056A">
              <w:rPr>
                <w:highlight w:val="black"/>
              </w:rPr>
              <w:t>XXX</w:t>
            </w:r>
          </w:p>
        </w:tc>
        <w:tc>
          <w:tcPr>
            <w:tcW w:w="1006" w:type="dxa"/>
            <w:vAlign w:val="center"/>
          </w:tcPr>
          <w:p w14:paraId="2DE51FA7" w14:textId="6BE50932" w:rsidR="00864FA3" w:rsidRPr="00F3056A" w:rsidRDefault="00F3056A" w:rsidP="00864FA3">
            <w:pPr>
              <w:pStyle w:val="NoSpacing"/>
              <w:keepNext/>
              <w:jc w:val="right"/>
              <w:rPr>
                <w:highlight w:val="black"/>
              </w:rPr>
            </w:pPr>
            <w:r w:rsidRPr="00F3056A">
              <w:rPr>
                <w:highlight w:val="black"/>
              </w:rPr>
              <w:t>XXX</w:t>
            </w:r>
          </w:p>
        </w:tc>
        <w:tc>
          <w:tcPr>
            <w:tcW w:w="1310" w:type="dxa"/>
            <w:vAlign w:val="center"/>
          </w:tcPr>
          <w:p w14:paraId="72B6401A" w14:textId="2E00B791" w:rsidR="00864FA3" w:rsidRPr="00F3056A" w:rsidRDefault="00F3056A" w:rsidP="00864FA3">
            <w:pPr>
              <w:pStyle w:val="NoSpacing"/>
              <w:keepNext/>
              <w:jc w:val="right"/>
              <w:rPr>
                <w:highlight w:val="black"/>
              </w:rPr>
            </w:pPr>
            <w:r w:rsidRPr="00F3056A">
              <w:rPr>
                <w:highlight w:val="black"/>
              </w:rPr>
              <w:t>XXX</w:t>
            </w:r>
          </w:p>
        </w:tc>
        <w:tc>
          <w:tcPr>
            <w:tcW w:w="1096" w:type="dxa"/>
            <w:vAlign w:val="center"/>
          </w:tcPr>
          <w:p w14:paraId="4F07570D" w14:textId="27D28CD3" w:rsidR="00864FA3" w:rsidRPr="00F3056A" w:rsidRDefault="00F3056A" w:rsidP="00864FA3">
            <w:pPr>
              <w:pStyle w:val="NoSpacing"/>
              <w:keepNext/>
              <w:jc w:val="right"/>
              <w:rPr>
                <w:highlight w:val="black"/>
              </w:rPr>
            </w:pPr>
            <w:r w:rsidRPr="00F3056A">
              <w:rPr>
                <w:highlight w:val="black"/>
              </w:rPr>
              <w:t>XXX</w:t>
            </w:r>
          </w:p>
        </w:tc>
        <w:tc>
          <w:tcPr>
            <w:tcW w:w="1096" w:type="dxa"/>
            <w:vAlign w:val="center"/>
          </w:tcPr>
          <w:p w14:paraId="5E9E0C25" w14:textId="2E1ADB76" w:rsidR="00864FA3" w:rsidRPr="00F3056A" w:rsidRDefault="00F3056A" w:rsidP="00864FA3">
            <w:pPr>
              <w:pStyle w:val="NoSpacing"/>
              <w:keepNext/>
              <w:jc w:val="right"/>
              <w:rPr>
                <w:highlight w:val="black"/>
              </w:rPr>
            </w:pPr>
            <w:r w:rsidRPr="00F3056A">
              <w:rPr>
                <w:highlight w:val="black"/>
              </w:rPr>
              <w:t>XXX</w:t>
            </w:r>
          </w:p>
        </w:tc>
      </w:tr>
      <w:tr w:rsidR="00864FA3" w:rsidRPr="00E13DEC" w14:paraId="280F39A3" w14:textId="77777777" w:rsidTr="00864FA3">
        <w:trPr>
          <w:trHeight w:val="300"/>
        </w:trPr>
        <w:tc>
          <w:tcPr>
            <w:tcW w:w="1550" w:type="dxa"/>
            <w:vAlign w:val="center"/>
          </w:tcPr>
          <w:p w14:paraId="5537CA85" w14:textId="77777777" w:rsidR="00864FA3" w:rsidRPr="00E13DEC" w:rsidRDefault="00864FA3" w:rsidP="00864FA3">
            <w:pPr>
              <w:pStyle w:val="NoSpacing"/>
              <w:keepNext/>
              <w:rPr>
                <w:b/>
                <w:bCs/>
              </w:rPr>
            </w:pPr>
            <w:r w:rsidRPr="00E13DEC">
              <w:rPr>
                <w:b/>
                <w:bCs/>
              </w:rPr>
              <w:t>Maintenance Capital</w:t>
            </w:r>
          </w:p>
        </w:tc>
        <w:tc>
          <w:tcPr>
            <w:tcW w:w="1763" w:type="dxa"/>
            <w:vAlign w:val="center"/>
          </w:tcPr>
          <w:p w14:paraId="58613757" w14:textId="332883BA" w:rsidR="00864FA3" w:rsidRPr="00F3056A" w:rsidRDefault="00D0237B" w:rsidP="00864FA3">
            <w:pPr>
              <w:pStyle w:val="NoSpacing"/>
              <w:keepNext/>
              <w:rPr>
                <w:highlight w:val="black"/>
              </w:rPr>
            </w:pPr>
            <w:r w:rsidRPr="00F3056A">
              <w:rPr>
                <w:highlight w:val="black"/>
              </w:rPr>
              <w:t>XXXXXX</w:t>
            </w:r>
          </w:p>
        </w:tc>
        <w:tc>
          <w:tcPr>
            <w:tcW w:w="1006" w:type="dxa"/>
            <w:vAlign w:val="center"/>
          </w:tcPr>
          <w:p w14:paraId="6F938453" w14:textId="281E7892" w:rsidR="00864FA3" w:rsidRPr="00F3056A" w:rsidRDefault="00F3056A" w:rsidP="00864FA3">
            <w:pPr>
              <w:pStyle w:val="NoSpacing"/>
              <w:keepNext/>
              <w:jc w:val="right"/>
              <w:rPr>
                <w:highlight w:val="black"/>
              </w:rPr>
            </w:pPr>
            <w:r w:rsidRPr="00F3056A">
              <w:rPr>
                <w:highlight w:val="black"/>
              </w:rPr>
              <w:t>XXX</w:t>
            </w:r>
          </w:p>
        </w:tc>
        <w:tc>
          <w:tcPr>
            <w:tcW w:w="1006" w:type="dxa"/>
            <w:vAlign w:val="center"/>
          </w:tcPr>
          <w:p w14:paraId="6DE49230" w14:textId="01E7BCD5" w:rsidR="00864FA3" w:rsidRPr="00F3056A" w:rsidRDefault="00F3056A" w:rsidP="00864FA3">
            <w:pPr>
              <w:pStyle w:val="NoSpacing"/>
              <w:keepNext/>
              <w:jc w:val="right"/>
              <w:rPr>
                <w:highlight w:val="black"/>
              </w:rPr>
            </w:pPr>
            <w:r w:rsidRPr="00F3056A">
              <w:rPr>
                <w:highlight w:val="black"/>
              </w:rPr>
              <w:t>XXX</w:t>
            </w:r>
          </w:p>
        </w:tc>
        <w:tc>
          <w:tcPr>
            <w:tcW w:w="1310" w:type="dxa"/>
            <w:vAlign w:val="center"/>
          </w:tcPr>
          <w:p w14:paraId="2B90AC29" w14:textId="4710EF99" w:rsidR="00864FA3" w:rsidRPr="00F3056A" w:rsidRDefault="00F3056A" w:rsidP="00864FA3">
            <w:pPr>
              <w:pStyle w:val="NoSpacing"/>
              <w:keepNext/>
              <w:jc w:val="right"/>
              <w:rPr>
                <w:highlight w:val="black"/>
              </w:rPr>
            </w:pPr>
            <w:r w:rsidRPr="00F3056A">
              <w:rPr>
                <w:highlight w:val="black"/>
              </w:rPr>
              <w:t>XXX</w:t>
            </w:r>
          </w:p>
        </w:tc>
        <w:tc>
          <w:tcPr>
            <w:tcW w:w="1096" w:type="dxa"/>
            <w:vAlign w:val="center"/>
          </w:tcPr>
          <w:p w14:paraId="6AC615B0" w14:textId="3ADAB8F1" w:rsidR="00864FA3" w:rsidRPr="00F3056A" w:rsidRDefault="00F3056A" w:rsidP="00864FA3">
            <w:pPr>
              <w:pStyle w:val="NoSpacing"/>
              <w:keepNext/>
              <w:jc w:val="right"/>
              <w:rPr>
                <w:highlight w:val="black"/>
              </w:rPr>
            </w:pPr>
            <w:r w:rsidRPr="00F3056A">
              <w:rPr>
                <w:highlight w:val="black"/>
              </w:rPr>
              <w:t>XXX</w:t>
            </w:r>
          </w:p>
        </w:tc>
        <w:tc>
          <w:tcPr>
            <w:tcW w:w="1096" w:type="dxa"/>
            <w:vAlign w:val="center"/>
          </w:tcPr>
          <w:p w14:paraId="09EBDBED" w14:textId="60069834" w:rsidR="00864FA3" w:rsidRPr="00F3056A" w:rsidRDefault="00F3056A" w:rsidP="00864FA3">
            <w:pPr>
              <w:pStyle w:val="NoSpacing"/>
              <w:keepNext/>
              <w:jc w:val="right"/>
              <w:rPr>
                <w:highlight w:val="black"/>
              </w:rPr>
            </w:pPr>
            <w:r w:rsidRPr="00F3056A">
              <w:rPr>
                <w:highlight w:val="black"/>
              </w:rPr>
              <w:t>XXX</w:t>
            </w:r>
          </w:p>
        </w:tc>
      </w:tr>
      <w:tr w:rsidR="00864FA3" w:rsidRPr="00E13DEC" w14:paraId="6BD759E2" w14:textId="77777777" w:rsidTr="00864FA3">
        <w:trPr>
          <w:trHeight w:val="300"/>
        </w:trPr>
        <w:tc>
          <w:tcPr>
            <w:tcW w:w="1550" w:type="dxa"/>
            <w:vMerge w:val="restart"/>
            <w:vAlign w:val="center"/>
          </w:tcPr>
          <w:p w14:paraId="6B22D996" w14:textId="77777777" w:rsidR="00864FA3" w:rsidRPr="00E13DEC" w:rsidRDefault="00864FA3" w:rsidP="00864FA3">
            <w:pPr>
              <w:pStyle w:val="NoSpacing"/>
              <w:keepNext/>
              <w:rPr>
                <w:b/>
                <w:bCs/>
              </w:rPr>
            </w:pPr>
            <w:r w:rsidRPr="00E13DEC">
              <w:rPr>
                <w:b/>
                <w:bCs/>
              </w:rPr>
              <w:t>Fixed O&amp;M</w:t>
            </w:r>
          </w:p>
        </w:tc>
        <w:tc>
          <w:tcPr>
            <w:tcW w:w="1763" w:type="dxa"/>
          </w:tcPr>
          <w:p w14:paraId="33023240" w14:textId="1DDBA9E5" w:rsidR="00864FA3" w:rsidRPr="00F3056A" w:rsidRDefault="00D0237B" w:rsidP="00864FA3">
            <w:pPr>
              <w:pStyle w:val="NoSpacing"/>
              <w:keepNext/>
              <w:rPr>
                <w:highlight w:val="black"/>
              </w:rPr>
            </w:pPr>
            <w:r w:rsidRPr="00F3056A">
              <w:rPr>
                <w:highlight w:val="black"/>
              </w:rPr>
              <w:t>XXXXXX</w:t>
            </w:r>
          </w:p>
        </w:tc>
        <w:tc>
          <w:tcPr>
            <w:tcW w:w="1006" w:type="dxa"/>
            <w:vAlign w:val="center"/>
          </w:tcPr>
          <w:p w14:paraId="7D862315" w14:textId="21689BE4" w:rsidR="00864FA3" w:rsidRPr="00F3056A" w:rsidRDefault="00F3056A" w:rsidP="00864FA3">
            <w:pPr>
              <w:pStyle w:val="NoSpacing"/>
              <w:keepNext/>
              <w:jc w:val="right"/>
              <w:rPr>
                <w:highlight w:val="black"/>
              </w:rPr>
            </w:pPr>
            <w:r w:rsidRPr="00F3056A">
              <w:rPr>
                <w:highlight w:val="black"/>
              </w:rPr>
              <w:t>XXX</w:t>
            </w:r>
          </w:p>
        </w:tc>
        <w:tc>
          <w:tcPr>
            <w:tcW w:w="1006" w:type="dxa"/>
            <w:vAlign w:val="center"/>
          </w:tcPr>
          <w:p w14:paraId="668F04FB" w14:textId="6F6DE992" w:rsidR="00864FA3" w:rsidRPr="00F3056A" w:rsidRDefault="00F3056A" w:rsidP="00864FA3">
            <w:pPr>
              <w:pStyle w:val="NoSpacing"/>
              <w:keepNext/>
              <w:jc w:val="right"/>
              <w:rPr>
                <w:highlight w:val="black"/>
              </w:rPr>
            </w:pPr>
            <w:r w:rsidRPr="00F3056A">
              <w:rPr>
                <w:highlight w:val="black"/>
              </w:rPr>
              <w:t>XXX</w:t>
            </w:r>
          </w:p>
        </w:tc>
        <w:tc>
          <w:tcPr>
            <w:tcW w:w="1310" w:type="dxa"/>
            <w:vAlign w:val="center"/>
          </w:tcPr>
          <w:p w14:paraId="2D00494B" w14:textId="670B5462" w:rsidR="00864FA3" w:rsidRPr="00F3056A" w:rsidRDefault="00F3056A" w:rsidP="00864FA3">
            <w:pPr>
              <w:pStyle w:val="NoSpacing"/>
              <w:keepNext/>
              <w:jc w:val="right"/>
              <w:rPr>
                <w:highlight w:val="black"/>
              </w:rPr>
            </w:pPr>
            <w:r w:rsidRPr="00F3056A">
              <w:rPr>
                <w:highlight w:val="black"/>
              </w:rPr>
              <w:t>XXX</w:t>
            </w:r>
          </w:p>
        </w:tc>
        <w:tc>
          <w:tcPr>
            <w:tcW w:w="1096" w:type="dxa"/>
            <w:vAlign w:val="center"/>
          </w:tcPr>
          <w:p w14:paraId="360EC595" w14:textId="370B2D8C" w:rsidR="00864FA3" w:rsidRPr="00F3056A" w:rsidRDefault="00F3056A" w:rsidP="00864FA3">
            <w:pPr>
              <w:pStyle w:val="NoSpacing"/>
              <w:keepNext/>
              <w:jc w:val="right"/>
              <w:rPr>
                <w:highlight w:val="black"/>
              </w:rPr>
            </w:pPr>
            <w:r w:rsidRPr="00F3056A">
              <w:rPr>
                <w:highlight w:val="black"/>
              </w:rPr>
              <w:t>XXX</w:t>
            </w:r>
          </w:p>
        </w:tc>
        <w:tc>
          <w:tcPr>
            <w:tcW w:w="1096" w:type="dxa"/>
            <w:vAlign w:val="center"/>
          </w:tcPr>
          <w:p w14:paraId="2DFB9D1A" w14:textId="64BC3FE5" w:rsidR="00864FA3" w:rsidRPr="00F3056A" w:rsidRDefault="00F3056A" w:rsidP="00864FA3">
            <w:pPr>
              <w:pStyle w:val="NoSpacing"/>
              <w:keepNext/>
              <w:jc w:val="right"/>
              <w:rPr>
                <w:highlight w:val="black"/>
              </w:rPr>
            </w:pPr>
            <w:r w:rsidRPr="00F3056A">
              <w:rPr>
                <w:highlight w:val="black"/>
              </w:rPr>
              <w:t>XXX</w:t>
            </w:r>
          </w:p>
        </w:tc>
      </w:tr>
      <w:tr w:rsidR="00864FA3" w:rsidRPr="00E13DEC" w14:paraId="7988F9D9" w14:textId="77777777" w:rsidTr="00864FA3">
        <w:trPr>
          <w:trHeight w:val="300"/>
        </w:trPr>
        <w:tc>
          <w:tcPr>
            <w:tcW w:w="1550" w:type="dxa"/>
            <w:vMerge/>
          </w:tcPr>
          <w:p w14:paraId="3FA03135" w14:textId="77777777" w:rsidR="00864FA3" w:rsidRPr="00E13DEC" w:rsidRDefault="00864FA3" w:rsidP="00864FA3">
            <w:pPr>
              <w:pStyle w:val="NoSpacing"/>
              <w:keepNext/>
            </w:pPr>
          </w:p>
        </w:tc>
        <w:tc>
          <w:tcPr>
            <w:tcW w:w="1763" w:type="dxa"/>
          </w:tcPr>
          <w:p w14:paraId="7F8C8CB3" w14:textId="29D059A4" w:rsidR="00864FA3" w:rsidRPr="00F3056A" w:rsidRDefault="00D0237B" w:rsidP="00864FA3">
            <w:pPr>
              <w:pStyle w:val="NoSpacing"/>
              <w:keepNext/>
              <w:rPr>
                <w:highlight w:val="black"/>
              </w:rPr>
            </w:pPr>
            <w:r w:rsidRPr="00F3056A">
              <w:rPr>
                <w:highlight w:val="black"/>
              </w:rPr>
              <w:t>XXXXXX</w:t>
            </w:r>
          </w:p>
        </w:tc>
        <w:tc>
          <w:tcPr>
            <w:tcW w:w="1006" w:type="dxa"/>
            <w:vAlign w:val="center"/>
          </w:tcPr>
          <w:p w14:paraId="6AC0C1CE" w14:textId="0E279288" w:rsidR="00864FA3" w:rsidRPr="00F3056A" w:rsidRDefault="00F3056A" w:rsidP="00864FA3">
            <w:pPr>
              <w:pStyle w:val="NoSpacing"/>
              <w:keepNext/>
              <w:jc w:val="right"/>
              <w:rPr>
                <w:highlight w:val="black"/>
              </w:rPr>
            </w:pPr>
            <w:r w:rsidRPr="00F3056A">
              <w:rPr>
                <w:highlight w:val="black"/>
              </w:rPr>
              <w:t>XXX</w:t>
            </w:r>
          </w:p>
        </w:tc>
        <w:tc>
          <w:tcPr>
            <w:tcW w:w="1006" w:type="dxa"/>
            <w:vAlign w:val="center"/>
          </w:tcPr>
          <w:p w14:paraId="4E78D711" w14:textId="1C2B5946" w:rsidR="00864FA3" w:rsidRPr="00F3056A" w:rsidRDefault="00F3056A" w:rsidP="00864FA3">
            <w:pPr>
              <w:pStyle w:val="NoSpacing"/>
              <w:keepNext/>
              <w:jc w:val="right"/>
              <w:rPr>
                <w:highlight w:val="black"/>
              </w:rPr>
            </w:pPr>
            <w:r w:rsidRPr="00F3056A">
              <w:rPr>
                <w:highlight w:val="black"/>
              </w:rPr>
              <w:t>XXX</w:t>
            </w:r>
          </w:p>
        </w:tc>
        <w:tc>
          <w:tcPr>
            <w:tcW w:w="1310" w:type="dxa"/>
            <w:vAlign w:val="center"/>
          </w:tcPr>
          <w:p w14:paraId="157D5700" w14:textId="7F0C4F4D" w:rsidR="00864FA3" w:rsidRPr="00F3056A" w:rsidRDefault="00F3056A" w:rsidP="00864FA3">
            <w:pPr>
              <w:pStyle w:val="NoSpacing"/>
              <w:keepNext/>
              <w:jc w:val="right"/>
              <w:rPr>
                <w:highlight w:val="black"/>
              </w:rPr>
            </w:pPr>
            <w:r w:rsidRPr="00F3056A">
              <w:rPr>
                <w:highlight w:val="black"/>
              </w:rPr>
              <w:t>XXX</w:t>
            </w:r>
          </w:p>
        </w:tc>
        <w:tc>
          <w:tcPr>
            <w:tcW w:w="1096" w:type="dxa"/>
            <w:vAlign w:val="center"/>
          </w:tcPr>
          <w:p w14:paraId="128F76B5" w14:textId="75FD69FC" w:rsidR="00864FA3" w:rsidRPr="00F3056A" w:rsidRDefault="00F3056A" w:rsidP="00864FA3">
            <w:pPr>
              <w:pStyle w:val="NoSpacing"/>
              <w:keepNext/>
              <w:jc w:val="right"/>
              <w:rPr>
                <w:highlight w:val="black"/>
              </w:rPr>
            </w:pPr>
            <w:r w:rsidRPr="00F3056A">
              <w:rPr>
                <w:highlight w:val="black"/>
              </w:rPr>
              <w:t>XXX</w:t>
            </w:r>
          </w:p>
        </w:tc>
        <w:tc>
          <w:tcPr>
            <w:tcW w:w="1096" w:type="dxa"/>
            <w:vAlign w:val="center"/>
          </w:tcPr>
          <w:p w14:paraId="5687C474" w14:textId="4F9ECECF" w:rsidR="00864FA3" w:rsidRPr="00F3056A" w:rsidRDefault="00F3056A" w:rsidP="00864FA3">
            <w:pPr>
              <w:pStyle w:val="NoSpacing"/>
              <w:keepNext/>
              <w:jc w:val="right"/>
              <w:rPr>
                <w:highlight w:val="black"/>
              </w:rPr>
            </w:pPr>
            <w:r w:rsidRPr="00F3056A">
              <w:rPr>
                <w:highlight w:val="black"/>
              </w:rPr>
              <w:t>XXX</w:t>
            </w:r>
          </w:p>
        </w:tc>
      </w:tr>
      <w:tr w:rsidR="00864FA3" w:rsidRPr="00E13DEC" w14:paraId="799A4836" w14:textId="77777777" w:rsidTr="00864FA3">
        <w:trPr>
          <w:trHeight w:val="300"/>
        </w:trPr>
        <w:tc>
          <w:tcPr>
            <w:tcW w:w="1550" w:type="dxa"/>
            <w:vMerge/>
          </w:tcPr>
          <w:p w14:paraId="16E5E8E1" w14:textId="77777777" w:rsidR="00864FA3" w:rsidRPr="00E13DEC" w:rsidRDefault="00864FA3" w:rsidP="00864FA3">
            <w:pPr>
              <w:pStyle w:val="NoSpacing"/>
            </w:pPr>
          </w:p>
        </w:tc>
        <w:tc>
          <w:tcPr>
            <w:tcW w:w="1763" w:type="dxa"/>
          </w:tcPr>
          <w:p w14:paraId="0D23BAB6" w14:textId="606FC68C" w:rsidR="00864FA3" w:rsidRPr="00F3056A" w:rsidRDefault="00D0237B" w:rsidP="00864FA3">
            <w:pPr>
              <w:pStyle w:val="NoSpacing"/>
              <w:rPr>
                <w:highlight w:val="black"/>
              </w:rPr>
            </w:pPr>
            <w:r w:rsidRPr="00F3056A">
              <w:rPr>
                <w:highlight w:val="black"/>
              </w:rPr>
              <w:t xml:space="preserve">XXXXXX </w:t>
            </w:r>
            <w:proofErr w:type="spellStart"/>
            <w:r w:rsidRPr="00F3056A">
              <w:rPr>
                <w:highlight w:val="black"/>
              </w:rPr>
              <w:t>XXXXXX</w:t>
            </w:r>
            <w:proofErr w:type="spellEnd"/>
          </w:p>
        </w:tc>
        <w:tc>
          <w:tcPr>
            <w:tcW w:w="1006" w:type="dxa"/>
            <w:vAlign w:val="center"/>
          </w:tcPr>
          <w:p w14:paraId="22466570" w14:textId="23201D97" w:rsidR="00864FA3" w:rsidRPr="00F3056A" w:rsidRDefault="00F3056A" w:rsidP="00864FA3">
            <w:pPr>
              <w:pStyle w:val="NoSpacing"/>
              <w:jc w:val="right"/>
              <w:rPr>
                <w:highlight w:val="black"/>
              </w:rPr>
            </w:pPr>
            <w:r w:rsidRPr="00F3056A">
              <w:rPr>
                <w:highlight w:val="black"/>
              </w:rPr>
              <w:t>XXX</w:t>
            </w:r>
          </w:p>
        </w:tc>
        <w:tc>
          <w:tcPr>
            <w:tcW w:w="1006" w:type="dxa"/>
            <w:vAlign w:val="center"/>
          </w:tcPr>
          <w:p w14:paraId="29994EFC" w14:textId="6D1A5D2E" w:rsidR="00864FA3" w:rsidRPr="00F3056A" w:rsidRDefault="00F3056A" w:rsidP="00864FA3">
            <w:pPr>
              <w:pStyle w:val="NoSpacing"/>
              <w:jc w:val="right"/>
              <w:rPr>
                <w:highlight w:val="black"/>
              </w:rPr>
            </w:pPr>
            <w:r w:rsidRPr="00F3056A">
              <w:rPr>
                <w:highlight w:val="black"/>
              </w:rPr>
              <w:t>XXX</w:t>
            </w:r>
          </w:p>
        </w:tc>
        <w:tc>
          <w:tcPr>
            <w:tcW w:w="1310" w:type="dxa"/>
            <w:vAlign w:val="center"/>
          </w:tcPr>
          <w:p w14:paraId="50602434" w14:textId="5E0C8963" w:rsidR="00864FA3" w:rsidRPr="00F3056A" w:rsidRDefault="00F3056A" w:rsidP="00864FA3">
            <w:pPr>
              <w:pStyle w:val="NoSpacing"/>
              <w:jc w:val="right"/>
              <w:rPr>
                <w:highlight w:val="black"/>
              </w:rPr>
            </w:pPr>
            <w:r w:rsidRPr="00F3056A">
              <w:rPr>
                <w:highlight w:val="black"/>
              </w:rPr>
              <w:t>XXX</w:t>
            </w:r>
          </w:p>
        </w:tc>
        <w:tc>
          <w:tcPr>
            <w:tcW w:w="1096" w:type="dxa"/>
            <w:vAlign w:val="center"/>
          </w:tcPr>
          <w:p w14:paraId="3EB7CDD4" w14:textId="14627E05" w:rsidR="00864FA3" w:rsidRPr="00F3056A" w:rsidRDefault="00F3056A" w:rsidP="00864FA3">
            <w:pPr>
              <w:pStyle w:val="NoSpacing"/>
              <w:jc w:val="right"/>
              <w:rPr>
                <w:highlight w:val="black"/>
              </w:rPr>
            </w:pPr>
            <w:r w:rsidRPr="00F3056A">
              <w:rPr>
                <w:highlight w:val="black"/>
              </w:rPr>
              <w:t>XXX</w:t>
            </w:r>
          </w:p>
        </w:tc>
        <w:tc>
          <w:tcPr>
            <w:tcW w:w="1096" w:type="dxa"/>
            <w:vAlign w:val="center"/>
          </w:tcPr>
          <w:p w14:paraId="1177ACDA" w14:textId="13276970" w:rsidR="00864FA3" w:rsidRPr="00F3056A" w:rsidRDefault="00F3056A" w:rsidP="00864FA3">
            <w:pPr>
              <w:pStyle w:val="NoSpacing"/>
              <w:jc w:val="right"/>
              <w:rPr>
                <w:highlight w:val="black"/>
              </w:rPr>
            </w:pPr>
            <w:r w:rsidRPr="00F3056A">
              <w:rPr>
                <w:highlight w:val="black"/>
              </w:rPr>
              <w:t>XXX</w:t>
            </w:r>
          </w:p>
        </w:tc>
      </w:tr>
    </w:tbl>
    <w:p w14:paraId="0389CD00" w14:textId="1ABF9BB2" w:rsidR="00290297" w:rsidRDefault="46EC2AD0" w:rsidP="007454B0">
      <w:pPr>
        <w:keepNext/>
        <w:spacing w:before="240" w:line="480" w:lineRule="auto"/>
        <w:ind w:left="720"/>
        <w:jc w:val="both"/>
        <w:rPr>
          <w:color w:val="000000" w:themeColor="text1"/>
        </w:rPr>
      </w:pPr>
      <w:r>
        <w:rPr>
          <w:color w:val="000000" w:themeColor="text1"/>
        </w:rPr>
        <w:t xml:space="preserve">As </w:t>
      </w:r>
      <w:r w:rsidR="21782DAA">
        <w:rPr>
          <w:color w:val="000000" w:themeColor="text1"/>
        </w:rPr>
        <w:t xml:space="preserve">shown </w:t>
      </w:r>
      <w:r>
        <w:rPr>
          <w:color w:val="000000" w:themeColor="text1"/>
        </w:rPr>
        <w:t xml:space="preserve">in the table, there are a few notable differences between the projects. First, the McGrau Ford Phase I Project is a 2-hour BESS, while the other projects are 4-hour BESS, so the capital cost is lower on a per-kW basis. The Hammond Project has a </w:t>
      </w:r>
      <w:r w:rsidRPr="009C44A1">
        <w:rPr>
          <w:color w:val="000000" w:themeColor="text1"/>
        </w:rPr>
        <w:t>higher interconnection cost</w:t>
      </w:r>
      <w:r>
        <w:rPr>
          <w:color w:val="000000" w:themeColor="text1"/>
        </w:rPr>
        <w:t xml:space="preserve"> on a per-kW basis. The Company addressed this item, noting that:</w:t>
      </w:r>
      <w:r w:rsidRPr="71A8969D">
        <w:rPr>
          <w:rFonts w:eastAsiaTheme="minorEastAsia"/>
          <w:color w:val="000000"/>
          <w:sz w:val="23"/>
          <w:szCs w:val="23"/>
          <w14:ligatures w14:val="standardContextual"/>
        </w:rPr>
        <w:t xml:space="preserve"> “</w:t>
      </w:r>
      <w:r w:rsidRPr="00D10AB4">
        <w:rPr>
          <w:color w:val="000000" w:themeColor="text1"/>
        </w:rPr>
        <w:t xml:space="preserve">The need for a new 230 kV project level substation and associated generation tie-line, coupled with Hammond BESS being a smaller project, results in the BESS being more </w:t>
      </w:r>
      <w:r w:rsidRPr="00D10AB4">
        <w:rPr>
          <w:color w:val="000000" w:themeColor="text1"/>
        </w:rPr>
        <w:lastRenderedPageBreak/>
        <w:t>expensive on a $/kW basis than the other three projects</w:t>
      </w:r>
      <w:r>
        <w:rPr>
          <w:color w:val="000000" w:themeColor="text1"/>
        </w:rPr>
        <w:t>”</w:t>
      </w:r>
      <w:r w:rsidR="21782DAA">
        <w:rPr>
          <w:color w:val="000000" w:themeColor="text1"/>
        </w:rPr>
        <w:t xml:space="preserve"> (Company’s Response to STF-PIA-15-11). </w:t>
      </w:r>
      <w:r>
        <w:rPr>
          <w:color w:val="000000" w:themeColor="text1"/>
        </w:rPr>
        <w:t xml:space="preserve">Lastly, the augmentation cost is higher for the Robins and Moody Projects due to the strategy used by the Company for these projects. This issue will be discussed in more detail later in </w:t>
      </w:r>
      <w:r w:rsidR="00DB6781">
        <w:rPr>
          <w:color w:val="000000" w:themeColor="text1"/>
        </w:rPr>
        <w:t>our</w:t>
      </w:r>
      <w:r>
        <w:rPr>
          <w:color w:val="000000" w:themeColor="text1"/>
        </w:rPr>
        <w:t xml:space="preserve"> testimony. </w:t>
      </w:r>
    </w:p>
    <w:p w14:paraId="588A2522" w14:textId="77777777" w:rsidR="00290297" w:rsidRDefault="46EC2AD0" w:rsidP="71A8969D">
      <w:pPr>
        <w:keepNext/>
        <w:spacing w:before="240" w:line="480" w:lineRule="auto"/>
        <w:ind w:left="720" w:hanging="720"/>
        <w:jc w:val="both"/>
        <w:rPr>
          <w:b/>
          <w:bCs/>
          <w:color w:val="000000" w:themeColor="text1"/>
        </w:rPr>
      </w:pPr>
      <w:r w:rsidRPr="71A8969D">
        <w:rPr>
          <w:b/>
          <w:bCs/>
          <w:color w:val="000000" w:themeColor="text1"/>
        </w:rPr>
        <w:t>Q.</w:t>
      </w:r>
      <w:r w:rsidR="00290297">
        <w:tab/>
      </w:r>
      <w:r w:rsidRPr="71A8969D">
        <w:rPr>
          <w:b/>
          <w:bCs/>
          <w:color w:val="000000" w:themeColor="text1"/>
        </w:rPr>
        <w:t>WHAT ARE THE COMPONENTS OF THE PROJECT BENEFITS?</w:t>
      </w:r>
    </w:p>
    <w:p w14:paraId="46BF62AA" w14:textId="36C80559" w:rsidR="00290297" w:rsidRDefault="46EC2AD0" w:rsidP="00290297">
      <w:pPr>
        <w:spacing w:line="480" w:lineRule="auto"/>
        <w:ind w:left="720" w:hanging="720"/>
        <w:jc w:val="both"/>
        <w:rPr>
          <w:b/>
          <w:bCs/>
          <w:color w:val="000000" w:themeColor="text1"/>
        </w:rPr>
      </w:pPr>
      <w:r w:rsidRPr="1596C26B">
        <w:rPr>
          <w:color w:val="000000" w:themeColor="text1"/>
        </w:rPr>
        <w:t>A.</w:t>
      </w:r>
      <w:r>
        <w:tab/>
      </w:r>
      <w:r w:rsidRPr="1596C26B">
        <w:rPr>
          <w:color w:val="000000" w:themeColor="text1"/>
        </w:rPr>
        <w:t xml:space="preserve">The project benefits included in the Company’s economic evaluation consist of two elements: </w:t>
      </w:r>
      <w:r w:rsidR="4DA8A2FD" w:rsidRPr="1596C26B">
        <w:rPr>
          <w:color w:val="000000" w:themeColor="text1"/>
        </w:rPr>
        <w:t>E</w:t>
      </w:r>
      <w:r w:rsidRPr="1596C26B">
        <w:rPr>
          <w:color w:val="000000" w:themeColor="text1"/>
        </w:rPr>
        <w:t xml:space="preserve">nergy </w:t>
      </w:r>
      <w:r w:rsidR="3F4E0BEB" w:rsidRPr="1596C26B">
        <w:rPr>
          <w:color w:val="000000" w:themeColor="text1"/>
        </w:rPr>
        <w:t>B</w:t>
      </w:r>
      <w:r w:rsidRPr="1596C26B">
        <w:rPr>
          <w:color w:val="000000" w:themeColor="text1"/>
        </w:rPr>
        <w:t xml:space="preserve">enefits and </w:t>
      </w:r>
      <w:r w:rsidR="52A61EF2" w:rsidRPr="1596C26B">
        <w:rPr>
          <w:color w:val="000000" w:themeColor="text1"/>
        </w:rPr>
        <w:t>R</w:t>
      </w:r>
      <w:r w:rsidRPr="1596C26B">
        <w:rPr>
          <w:color w:val="000000" w:themeColor="text1"/>
        </w:rPr>
        <w:t xml:space="preserve">enewable </w:t>
      </w:r>
      <w:r w:rsidR="2D61FB0A" w:rsidRPr="1596C26B">
        <w:rPr>
          <w:color w:val="000000" w:themeColor="text1"/>
        </w:rPr>
        <w:t>I</w:t>
      </w:r>
      <w:r w:rsidRPr="1596C26B">
        <w:rPr>
          <w:color w:val="000000" w:themeColor="text1"/>
        </w:rPr>
        <w:t xml:space="preserve">ntegration </w:t>
      </w:r>
      <w:r w:rsidR="526ACFB4" w:rsidRPr="1596C26B">
        <w:rPr>
          <w:color w:val="000000" w:themeColor="text1"/>
        </w:rPr>
        <w:t>B</w:t>
      </w:r>
      <w:r w:rsidRPr="1596C26B">
        <w:rPr>
          <w:color w:val="000000" w:themeColor="text1"/>
        </w:rPr>
        <w:t>enefits.</w:t>
      </w:r>
    </w:p>
    <w:p w14:paraId="37390161" w14:textId="77777777" w:rsidR="00290297" w:rsidRDefault="46EC2AD0" w:rsidP="71A8969D">
      <w:pPr>
        <w:keepNext/>
        <w:spacing w:before="240" w:line="480" w:lineRule="auto"/>
        <w:ind w:left="720" w:hanging="720"/>
        <w:jc w:val="both"/>
        <w:rPr>
          <w:b/>
          <w:bCs/>
          <w:color w:val="000000" w:themeColor="text1"/>
        </w:rPr>
      </w:pPr>
      <w:r w:rsidRPr="71A8969D">
        <w:rPr>
          <w:b/>
          <w:bCs/>
          <w:color w:val="000000" w:themeColor="text1"/>
        </w:rPr>
        <w:t>Q.</w:t>
      </w:r>
      <w:r w:rsidR="00290297">
        <w:tab/>
      </w:r>
      <w:r w:rsidRPr="71A8969D">
        <w:rPr>
          <w:b/>
          <w:bCs/>
          <w:color w:val="000000" w:themeColor="text1"/>
        </w:rPr>
        <w:t>PLEASE DESCRIBE THE COMPANY’S CALCULATION OF ENERGY BENEFITS.</w:t>
      </w:r>
    </w:p>
    <w:p w14:paraId="20F6B61D" w14:textId="249F5DEC" w:rsidR="00290297" w:rsidRDefault="46EC2AD0" w:rsidP="00290297">
      <w:pPr>
        <w:spacing w:line="480" w:lineRule="auto"/>
        <w:ind w:left="720" w:hanging="720"/>
        <w:jc w:val="both"/>
        <w:rPr>
          <w:b/>
          <w:bCs/>
          <w:color w:val="000000" w:themeColor="text1"/>
        </w:rPr>
      </w:pPr>
      <w:r w:rsidRPr="1596C26B">
        <w:rPr>
          <w:color w:val="000000" w:themeColor="text1"/>
        </w:rPr>
        <w:t>A.</w:t>
      </w:r>
      <w:r>
        <w:tab/>
      </w:r>
      <w:r w:rsidRPr="1596C26B">
        <w:rPr>
          <w:color w:val="000000" w:themeColor="text1"/>
        </w:rPr>
        <w:t xml:space="preserve">Energy </w:t>
      </w:r>
      <w:r w:rsidR="00F22321">
        <w:rPr>
          <w:color w:val="000000" w:themeColor="text1"/>
        </w:rPr>
        <w:t>B</w:t>
      </w:r>
      <w:r w:rsidRPr="1596C26B">
        <w:rPr>
          <w:color w:val="000000" w:themeColor="text1"/>
        </w:rPr>
        <w:t xml:space="preserve">enefits reflect the change in overall system production cost due to the addition of the BESS project. Consistent with the 2023 IRP Update analysis, the Company used the Aurora production cost model to quantify these benefits. </w:t>
      </w:r>
      <w:r w:rsidR="21782DAA" w:rsidRPr="1596C26B">
        <w:rPr>
          <w:color w:val="000000" w:themeColor="text1"/>
        </w:rPr>
        <w:t xml:space="preserve">The Company did not provide Energy Benefit results for the McGrau Ford Phase I Project. </w:t>
      </w:r>
      <w:r w:rsidRPr="1596C26B">
        <w:rPr>
          <w:color w:val="000000" w:themeColor="text1"/>
        </w:rPr>
        <w:t>The analysis models a “Base Case” without the project in-service, and a “Change Case” with the project in service. The addition of the project results in a reduction in the total system production cost due to the reduction in fuel purchases as the battery displaces the use of less efficient peaking plants.</w:t>
      </w:r>
    </w:p>
    <w:p w14:paraId="33B54224" w14:textId="77777777" w:rsidR="00290297" w:rsidRDefault="00290297" w:rsidP="007454B0">
      <w:pPr>
        <w:keepNext/>
        <w:spacing w:before="240" w:line="480" w:lineRule="auto"/>
        <w:ind w:left="720" w:hanging="720"/>
        <w:jc w:val="both"/>
        <w:rPr>
          <w:b/>
          <w:bCs/>
          <w:color w:val="000000" w:themeColor="text1"/>
        </w:rPr>
      </w:pPr>
      <w:r w:rsidRPr="00103CD3">
        <w:rPr>
          <w:b/>
          <w:bCs/>
          <w:color w:val="000000" w:themeColor="text1"/>
        </w:rPr>
        <w:t>Q.</w:t>
      </w:r>
      <w:r w:rsidRPr="00103CD3">
        <w:rPr>
          <w:b/>
          <w:bCs/>
          <w:color w:val="000000" w:themeColor="text1"/>
        </w:rPr>
        <w:tab/>
      </w:r>
      <w:r>
        <w:rPr>
          <w:b/>
          <w:bCs/>
          <w:color w:val="000000" w:themeColor="text1"/>
        </w:rPr>
        <w:t>DO THE PROJECTS PROVIDE SIMILAR ENERGY BENEFITS?</w:t>
      </w:r>
    </w:p>
    <w:p w14:paraId="4BB71D1E" w14:textId="7EDB8EA0" w:rsidR="00290297" w:rsidRDefault="00290297" w:rsidP="00290297">
      <w:pPr>
        <w:spacing w:line="480" w:lineRule="auto"/>
        <w:ind w:left="720" w:hanging="720"/>
        <w:jc w:val="both"/>
        <w:rPr>
          <w:color w:val="000000" w:themeColor="text1"/>
        </w:rPr>
      </w:pPr>
      <w:r w:rsidRPr="1596C26B">
        <w:rPr>
          <w:color w:val="000000" w:themeColor="text1"/>
        </w:rPr>
        <w:t>A.</w:t>
      </w:r>
      <w:r>
        <w:tab/>
      </w:r>
      <w:r w:rsidRPr="1596C26B">
        <w:rPr>
          <w:color w:val="000000" w:themeColor="text1"/>
        </w:rPr>
        <w:t>Yes. The table below pr</w:t>
      </w:r>
      <w:r w:rsidR="0022605E">
        <w:rPr>
          <w:color w:val="000000" w:themeColor="text1"/>
        </w:rPr>
        <w:t>ovides</w:t>
      </w:r>
      <w:r w:rsidRPr="1596C26B">
        <w:rPr>
          <w:color w:val="000000" w:themeColor="text1"/>
        </w:rPr>
        <w:t xml:space="preserve"> the </w:t>
      </w:r>
      <w:r w:rsidR="3FFB904A" w:rsidRPr="1596C26B">
        <w:rPr>
          <w:color w:val="000000" w:themeColor="text1"/>
        </w:rPr>
        <w:t>E</w:t>
      </w:r>
      <w:r w:rsidRPr="1596C26B">
        <w:rPr>
          <w:color w:val="000000" w:themeColor="text1"/>
        </w:rPr>
        <w:t xml:space="preserve">nergy </w:t>
      </w:r>
      <w:r w:rsidR="0F046A43" w:rsidRPr="1596C26B">
        <w:rPr>
          <w:color w:val="000000" w:themeColor="text1"/>
        </w:rPr>
        <w:t>B</w:t>
      </w:r>
      <w:r w:rsidRPr="1596C26B">
        <w:rPr>
          <w:color w:val="000000" w:themeColor="text1"/>
        </w:rPr>
        <w:t>enefits on $/kW basis and demonstrates that the results are similar across the projects:</w:t>
      </w:r>
    </w:p>
    <w:p w14:paraId="68176512" w14:textId="0E71D47F" w:rsidR="00E85493" w:rsidRPr="007205F1" w:rsidRDefault="00E85493" w:rsidP="007205F1">
      <w:pPr>
        <w:keepNext/>
        <w:spacing w:line="480" w:lineRule="auto"/>
        <w:ind w:left="720" w:hanging="720"/>
        <w:jc w:val="center"/>
        <w:rPr>
          <w:i/>
          <w:iCs/>
          <w:color w:val="000000" w:themeColor="text1"/>
        </w:rPr>
      </w:pPr>
      <w:r w:rsidRPr="007205F1">
        <w:rPr>
          <w:i/>
          <w:iCs/>
          <w:color w:val="000000" w:themeColor="text1"/>
        </w:rPr>
        <w:lastRenderedPageBreak/>
        <w:t xml:space="preserve">Table </w:t>
      </w:r>
      <w:r w:rsidR="001F1912">
        <w:rPr>
          <w:i/>
          <w:iCs/>
          <w:color w:val="000000" w:themeColor="text1"/>
        </w:rPr>
        <w:t>7</w:t>
      </w:r>
      <w:r w:rsidRPr="007205F1">
        <w:rPr>
          <w:i/>
          <w:iCs/>
          <w:color w:val="000000" w:themeColor="text1"/>
        </w:rPr>
        <w:t xml:space="preserve">. Energy </w:t>
      </w:r>
      <w:r w:rsidR="00F37026">
        <w:rPr>
          <w:i/>
          <w:iCs/>
          <w:color w:val="000000" w:themeColor="text1"/>
        </w:rPr>
        <w:t>B</w:t>
      </w:r>
      <w:r w:rsidRPr="007205F1">
        <w:rPr>
          <w:i/>
          <w:iCs/>
          <w:color w:val="000000" w:themeColor="text1"/>
        </w:rPr>
        <w:t xml:space="preserve">enefit </w:t>
      </w:r>
      <w:r w:rsidR="003025C6">
        <w:rPr>
          <w:i/>
          <w:iCs/>
          <w:color w:val="000000" w:themeColor="text1"/>
        </w:rPr>
        <w:t>R</w:t>
      </w:r>
      <w:r w:rsidRPr="007205F1">
        <w:rPr>
          <w:i/>
          <w:iCs/>
          <w:color w:val="000000" w:themeColor="text1"/>
        </w:rPr>
        <w:t>esults</w:t>
      </w:r>
    </w:p>
    <w:tbl>
      <w:tblPr>
        <w:tblStyle w:val="TableGrid"/>
        <w:tblW w:w="8725" w:type="dxa"/>
        <w:tblInd w:w="720" w:type="dxa"/>
        <w:tblLook w:val="04A0" w:firstRow="1" w:lastRow="0" w:firstColumn="1" w:lastColumn="0" w:noHBand="0" w:noVBand="1"/>
      </w:tblPr>
      <w:tblGrid>
        <w:gridCol w:w="1438"/>
        <w:gridCol w:w="1438"/>
        <w:gridCol w:w="1349"/>
        <w:gridCol w:w="1350"/>
        <w:gridCol w:w="1440"/>
        <w:gridCol w:w="1710"/>
      </w:tblGrid>
      <w:tr w:rsidR="00290297" w:rsidRPr="000D0847" w14:paraId="6B50C35C" w14:textId="77777777" w:rsidTr="007454B0">
        <w:tc>
          <w:tcPr>
            <w:tcW w:w="1438" w:type="dxa"/>
            <w:vAlign w:val="bottom"/>
          </w:tcPr>
          <w:p w14:paraId="4AE4F106" w14:textId="77777777" w:rsidR="00290297" w:rsidRPr="000D0847" w:rsidRDefault="00290297" w:rsidP="000C4F99">
            <w:pPr>
              <w:pStyle w:val="NoSpacing"/>
              <w:keepNext/>
            </w:pPr>
          </w:p>
        </w:tc>
        <w:tc>
          <w:tcPr>
            <w:tcW w:w="1438" w:type="dxa"/>
            <w:vAlign w:val="bottom"/>
          </w:tcPr>
          <w:p w14:paraId="4BFF46F3" w14:textId="77777777" w:rsidR="00290297" w:rsidRPr="000D0847" w:rsidRDefault="00290297" w:rsidP="000C4F99">
            <w:pPr>
              <w:pStyle w:val="NoSpacing"/>
              <w:keepNext/>
            </w:pPr>
          </w:p>
        </w:tc>
        <w:tc>
          <w:tcPr>
            <w:tcW w:w="1349" w:type="dxa"/>
            <w:vAlign w:val="bottom"/>
          </w:tcPr>
          <w:p w14:paraId="1B51B4F7" w14:textId="77777777" w:rsidR="00290297" w:rsidRPr="000D0847" w:rsidRDefault="00290297" w:rsidP="000C4F99">
            <w:pPr>
              <w:pStyle w:val="NoSpacing"/>
              <w:keepNext/>
              <w:rPr>
                <w:b/>
                <w:bCs/>
              </w:rPr>
            </w:pPr>
            <w:r w:rsidRPr="00500804">
              <w:rPr>
                <w:b/>
                <w:bCs/>
                <w:color w:val="000000"/>
              </w:rPr>
              <w:t>Robins</w:t>
            </w:r>
          </w:p>
        </w:tc>
        <w:tc>
          <w:tcPr>
            <w:tcW w:w="1350" w:type="dxa"/>
            <w:vAlign w:val="bottom"/>
          </w:tcPr>
          <w:p w14:paraId="289835A8" w14:textId="77777777" w:rsidR="00290297" w:rsidRPr="000D0847" w:rsidRDefault="00290297" w:rsidP="000C4F99">
            <w:pPr>
              <w:pStyle w:val="NoSpacing"/>
              <w:keepNext/>
              <w:rPr>
                <w:b/>
                <w:bCs/>
              </w:rPr>
            </w:pPr>
            <w:r w:rsidRPr="00500804">
              <w:rPr>
                <w:b/>
                <w:bCs/>
                <w:color w:val="000000"/>
              </w:rPr>
              <w:t>Moody</w:t>
            </w:r>
          </w:p>
        </w:tc>
        <w:tc>
          <w:tcPr>
            <w:tcW w:w="1440" w:type="dxa"/>
            <w:vAlign w:val="bottom"/>
          </w:tcPr>
          <w:p w14:paraId="724F4445" w14:textId="77777777" w:rsidR="00290297" w:rsidRPr="000D0847" w:rsidRDefault="00290297" w:rsidP="000C4F99">
            <w:pPr>
              <w:pStyle w:val="NoSpacing"/>
              <w:keepNext/>
              <w:rPr>
                <w:b/>
                <w:bCs/>
              </w:rPr>
            </w:pPr>
            <w:r w:rsidRPr="00500804">
              <w:rPr>
                <w:b/>
                <w:bCs/>
                <w:color w:val="000000"/>
              </w:rPr>
              <w:t>Hammond</w:t>
            </w:r>
          </w:p>
        </w:tc>
        <w:tc>
          <w:tcPr>
            <w:tcW w:w="1710" w:type="dxa"/>
            <w:vAlign w:val="bottom"/>
          </w:tcPr>
          <w:p w14:paraId="65FB0DE4" w14:textId="77777777" w:rsidR="00290297" w:rsidRPr="000D0847" w:rsidRDefault="00290297" w:rsidP="000C4F99">
            <w:pPr>
              <w:pStyle w:val="NoSpacing"/>
              <w:keepNext/>
              <w:rPr>
                <w:b/>
                <w:bCs/>
              </w:rPr>
            </w:pPr>
            <w:r w:rsidRPr="00500804">
              <w:rPr>
                <w:b/>
                <w:bCs/>
                <w:color w:val="000000"/>
              </w:rPr>
              <w:t>McGrau Ford Phase II</w:t>
            </w:r>
          </w:p>
        </w:tc>
      </w:tr>
      <w:tr w:rsidR="00290297" w:rsidRPr="000D0847" w14:paraId="240B5D67" w14:textId="77777777" w:rsidTr="007454B0">
        <w:tc>
          <w:tcPr>
            <w:tcW w:w="1438" w:type="dxa"/>
            <w:vAlign w:val="bottom"/>
          </w:tcPr>
          <w:p w14:paraId="146390F8" w14:textId="77777777" w:rsidR="00290297" w:rsidRPr="000D0847" w:rsidRDefault="00290297" w:rsidP="000C4F99">
            <w:pPr>
              <w:pStyle w:val="NoSpacing"/>
              <w:keepNext/>
            </w:pPr>
            <w:r w:rsidRPr="00500804">
              <w:rPr>
                <w:color w:val="000000"/>
              </w:rPr>
              <w:t>Energy Benefit</w:t>
            </w:r>
          </w:p>
        </w:tc>
        <w:tc>
          <w:tcPr>
            <w:tcW w:w="1438" w:type="dxa"/>
            <w:vAlign w:val="bottom"/>
          </w:tcPr>
          <w:p w14:paraId="4ABD26FA" w14:textId="77777777" w:rsidR="00290297" w:rsidRPr="000D0847" w:rsidRDefault="00290297" w:rsidP="000C4F99">
            <w:pPr>
              <w:pStyle w:val="NoSpacing"/>
              <w:keepNext/>
            </w:pPr>
            <w:r w:rsidRPr="00500804">
              <w:rPr>
                <w:color w:val="000000"/>
              </w:rPr>
              <w:t>$000 NPV, 2024$</w:t>
            </w:r>
          </w:p>
        </w:tc>
        <w:tc>
          <w:tcPr>
            <w:tcW w:w="1349" w:type="dxa"/>
            <w:vAlign w:val="center"/>
          </w:tcPr>
          <w:p w14:paraId="558D1717" w14:textId="1604DF87" w:rsidR="00290297" w:rsidRPr="00F3056A" w:rsidRDefault="00F3056A" w:rsidP="003025C6">
            <w:pPr>
              <w:pStyle w:val="NoSpacing"/>
              <w:keepNext/>
              <w:jc w:val="right"/>
              <w:rPr>
                <w:highlight w:val="black"/>
              </w:rPr>
            </w:pPr>
            <w:r w:rsidRPr="00F3056A">
              <w:rPr>
                <w:highlight w:val="black"/>
              </w:rPr>
              <w:t>XXX</w:t>
            </w:r>
          </w:p>
        </w:tc>
        <w:tc>
          <w:tcPr>
            <w:tcW w:w="1350" w:type="dxa"/>
            <w:vAlign w:val="center"/>
          </w:tcPr>
          <w:p w14:paraId="20BBB821" w14:textId="2108DD24" w:rsidR="00290297" w:rsidRPr="00F3056A" w:rsidRDefault="00F3056A" w:rsidP="003025C6">
            <w:pPr>
              <w:pStyle w:val="NoSpacing"/>
              <w:keepNext/>
              <w:jc w:val="right"/>
              <w:rPr>
                <w:highlight w:val="black"/>
              </w:rPr>
            </w:pPr>
            <w:r w:rsidRPr="00F3056A">
              <w:rPr>
                <w:highlight w:val="black"/>
              </w:rPr>
              <w:t>XXX</w:t>
            </w:r>
          </w:p>
        </w:tc>
        <w:tc>
          <w:tcPr>
            <w:tcW w:w="1440" w:type="dxa"/>
            <w:vAlign w:val="center"/>
          </w:tcPr>
          <w:p w14:paraId="5C939D9B" w14:textId="7FC7C638" w:rsidR="00290297" w:rsidRPr="00F3056A" w:rsidRDefault="00F3056A" w:rsidP="003025C6">
            <w:pPr>
              <w:pStyle w:val="NoSpacing"/>
              <w:keepNext/>
              <w:jc w:val="right"/>
              <w:rPr>
                <w:highlight w:val="black"/>
              </w:rPr>
            </w:pPr>
            <w:r w:rsidRPr="00F3056A">
              <w:rPr>
                <w:highlight w:val="black"/>
              </w:rPr>
              <w:t>XXX</w:t>
            </w:r>
          </w:p>
        </w:tc>
        <w:tc>
          <w:tcPr>
            <w:tcW w:w="1710" w:type="dxa"/>
            <w:vAlign w:val="center"/>
          </w:tcPr>
          <w:p w14:paraId="2612386C" w14:textId="27E4AC56" w:rsidR="00290297" w:rsidRPr="00F3056A" w:rsidRDefault="00F3056A" w:rsidP="003025C6">
            <w:pPr>
              <w:pStyle w:val="NoSpacing"/>
              <w:keepNext/>
              <w:jc w:val="right"/>
              <w:rPr>
                <w:highlight w:val="black"/>
              </w:rPr>
            </w:pPr>
            <w:r w:rsidRPr="00F3056A">
              <w:rPr>
                <w:highlight w:val="black"/>
              </w:rPr>
              <w:t>XXX</w:t>
            </w:r>
          </w:p>
        </w:tc>
      </w:tr>
      <w:tr w:rsidR="007454B0" w:rsidRPr="000D0847" w14:paraId="0853E7BC" w14:textId="77777777" w:rsidTr="007454B0">
        <w:trPr>
          <w:trHeight w:val="422"/>
        </w:trPr>
        <w:tc>
          <w:tcPr>
            <w:tcW w:w="1438" w:type="dxa"/>
            <w:vAlign w:val="bottom"/>
          </w:tcPr>
          <w:p w14:paraId="630B0DE9" w14:textId="470B6E68" w:rsidR="00290297" w:rsidRPr="00D226A4" w:rsidRDefault="00B273B1" w:rsidP="00565105">
            <w:r>
              <w:t xml:space="preserve">Nameplate </w:t>
            </w:r>
            <w:r w:rsidR="00290297" w:rsidRPr="00D226A4">
              <w:t>Capacity</w:t>
            </w:r>
          </w:p>
        </w:tc>
        <w:tc>
          <w:tcPr>
            <w:tcW w:w="1438" w:type="dxa"/>
            <w:vAlign w:val="bottom"/>
          </w:tcPr>
          <w:p w14:paraId="3A218726" w14:textId="77777777" w:rsidR="00290297" w:rsidRPr="00D226A4" w:rsidRDefault="00290297" w:rsidP="000C4F99">
            <w:pPr>
              <w:pStyle w:val="NoSpacing"/>
              <w:keepNext/>
            </w:pPr>
            <w:r w:rsidRPr="00D226A4">
              <w:rPr>
                <w:color w:val="000000"/>
              </w:rPr>
              <w:t>MW</w:t>
            </w:r>
          </w:p>
        </w:tc>
        <w:tc>
          <w:tcPr>
            <w:tcW w:w="1349" w:type="dxa"/>
            <w:vAlign w:val="center"/>
          </w:tcPr>
          <w:p w14:paraId="334A9F09" w14:textId="77777777" w:rsidR="00290297" w:rsidRPr="00D226A4" w:rsidRDefault="00290297" w:rsidP="007454B0">
            <w:pPr>
              <w:pStyle w:val="NoSpacing"/>
              <w:keepNext/>
              <w:jc w:val="right"/>
            </w:pPr>
            <w:r w:rsidRPr="00D226A4">
              <w:rPr>
                <w:color w:val="000000"/>
              </w:rPr>
              <w:t>128</w:t>
            </w:r>
          </w:p>
        </w:tc>
        <w:tc>
          <w:tcPr>
            <w:tcW w:w="1350" w:type="dxa"/>
            <w:vAlign w:val="center"/>
          </w:tcPr>
          <w:p w14:paraId="50C3FB21" w14:textId="77777777" w:rsidR="00290297" w:rsidRPr="00D226A4" w:rsidRDefault="00290297" w:rsidP="007454B0">
            <w:pPr>
              <w:pStyle w:val="NoSpacing"/>
              <w:keepNext/>
              <w:jc w:val="right"/>
            </w:pPr>
            <w:r w:rsidRPr="00D226A4">
              <w:rPr>
                <w:color w:val="000000"/>
              </w:rPr>
              <w:t>49.5</w:t>
            </w:r>
          </w:p>
        </w:tc>
        <w:tc>
          <w:tcPr>
            <w:tcW w:w="1440" w:type="dxa"/>
            <w:vAlign w:val="center"/>
          </w:tcPr>
          <w:p w14:paraId="0985F92F" w14:textId="77777777" w:rsidR="00290297" w:rsidRPr="00D226A4" w:rsidRDefault="00290297" w:rsidP="007454B0">
            <w:pPr>
              <w:pStyle w:val="NoSpacing"/>
              <w:keepNext/>
              <w:jc w:val="right"/>
            </w:pPr>
            <w:r w:rsidRPr="00D226A4">
              <w:rPr>
                <w:color w:val="000000"/>
              </w:rPr>
              <w:t>57.5</w:t>
            </w:r>
          </w:p>
        </w:tc>
        <w:tc>
          <w:tcPr>
            <w:tcW w:w="1710" w:type="dxa"/>
            <w:vAlign w:val="center"/>
          </w:tcPr>
          <w:p w14:paraId="73B52B88" w14:textId="77777777" w:rsidR="00290297" w:rsidRPr="00D226A4" w:rsidRDefault="00290297" w:rsidP="007454B0">
            <w:pPr>
              <w:pStyle w:val="NoSpacing"/>
              <w:keepNext/>
              <w:jc w:val="right"/>
            </w:pPr>
            <w:r w:rsidRPr="00D226A4">
              <w:rPr>
                <w:color w:val="000000"/>
              </w:rPr>
              <w:t>265</w:t>
            </w:r>
          </w:p>
        </w:tc>
      </w:tr>
      <w:tr w:rsidR="00290297" w:rsidRPr="000D0847" w14:paraId="61C4DC09" w14:textId="77777777" w:rsidTr="007454B0">
        <w:tc>
          <w:tcPr>
            <w:tcW w:w="1438" w:type="dxa"/>
            <w:vAlign w:val="bottom"/>
          </w:tcPr>
          <w:p w14:paraId="15EDDD5C" w14:textId="77777777" w:rsidR="00290297" w:rsidRPr="000D0847" w:rsidRDefault="00290297" w:rsidP="000C4F99">
            <w:pPr>
              <w:pStyle w:val="NoSpacing"/>
            </w:pPr>
            <w:r w:rsidRPr="00500804">
              <w:rPr>
                <w:color w:val="000000"/>
              </w:rPr>
              <w:t>Energy Benefit</w:t>
            </w:r>
          </w:p>
        </w:tc>
        <w:tc>
          <w:tcPr>
            <w:tcW w:w="1438" w:type="dxa"/>
            <w:vAlign w:val="bottom"/>
          </w:tcPr>
          <w:p w14:paraId="6151BF87" w14:textId="77777777" w:rsidR="00290297" w:rsidRPr="000D0847" w:rsidRDefault="00290297" w:rsidP="000C4F99">
            <w:pPr>
              <w:pStyle w:val="NoSpacing"/>
            </w:pPr>
            <w:r w:rsidRPr="00500804">
              <w:rPr>
                <w:color w:val="000000"/>
              </w:rPr>
              <w:t>$/kW NPV, 2024$</w:t>
            </w:r>
          </w:p>
        </w:tc>
        <w:tc>
          <w:tcPr>
            <w:tcW w:w="1349" w:type="dxa"/>
            <w:vAlign w:val="center"/>
          </w:tcPr>
          <w:p w14:paraId="182D8539" w14:textId="3A7E0029" w:rsidR="00290297" w:rsidRPr="00F3056A" w:rsidRDefault="00F3056A" w:rsidP="003025C6">
            <w:pPr>
              <w:pStyle w:val="NoSpacing"/>
              <w:jc w:val="right"/>
              <w:rPr>
                <w:highlight w:val="black"/>
              </w:rPr>
            </w:pPr>
            <w:r w:rsidRPr="00F3056A">
              <w:rPr>
                <w:highlight w:val="black"/>
              </w:rPr>
              <w:t>XXX</w:t>
            </w:r>
          </w:p>
        </w:tc>
        <w:tc>
          <w:tcPr>
            <w:tcW w:w="1350" w:type="dxa"/>
            <w:vAlign w:val="center"/>
          </w:tcPr>
          <w:p w14:paraId="255C93C1" w14:textId="239D00E1" w:rsidR="00290297" w:rsidRPr="00F3056A" w:rsidRDefault="00F3056A" w:rsidP="003025C6">
            <w:pPr>
              <w:pStyle w:val="NoSpacing"/>
              <w:jc w:val="right"/>
              <w:rPr>
                <w:highlight w:val="black"/>
              </w:rPr>
            </w:pPr>
            <w:r w:rsidRPr="00F3056A">
              <w:rPr>
                <w:highlight w:val="black"/>
              </w:rPr>
              <w:t>XXX</w:t>
            </w:r>
          </w:p>
        </w:tc>
        <w:tc>
          <w:tcPr>
            <w:tcW w:w="1440" w:type="dxa"/>
            <w:vAlign w:val="center"/>
          </w:tcPr>
          <w:p w14:paraId="6B9D27DB" w14:textId="3E35AD5C" w:rsidR="00290297" w:rsidRPr="00F3056A" w:rsidRDefault="00F3056A" w:rsidP="003025C6">
            <w:pPr>
              <w:pStyle w:val="NoSpacing"/>
              <w:jc w:val="right"/>
              <w:rPr>
                <w:highlight w:val="black"/>
              </w:rPr>
            </w:pPr>
            <w:r w:rsidRPr="00F3056A">
              <w:rPr>
                <w:highlight w:val="black"/>
              </w:rPr>
              <w:t>XXX</w:t>
            </w:r>
          </w:p>
        </w:tc>
        <w:tc>
          <w:tcPr>
            <w:tcW w:w="1710" w:type="dxa"/>
            <w:vAlign w:val="center"/>
          </w:tcPr>
          <w:p w14:paraId="070EE71C" w14:textId="73556DB3" w:rsidR="00290297" w:rsidRPr="00F3056A" w:rsidRDefault="00F3056A" w:rsidP="003025C6">
            <w:pPr>
              <w:pStyle w:val="NoSpacing"/>
              <w:jc w:val="right"/>
              <w:rPr>
                <w:highlight w:val="black"/>
              </w:rPr>
            </w:pPr>
            <w:r w:rsidRPr="00F3056A">
              <w:rPr>
                <w:highlight w:val="black"/>
              </w:rPr>
              <w:t>XXX</w:t>
            </w:r>
          </w:p>
        </w:tc>
      </w:tr>
    </w:tbl>
    <w:p w14:paraId="4B0FCC97" w14:textId="4CBDEA6E" w:rsidR="00290297" w:rsidRPr="007B10A8" w:rsidRDefault="00290297" w:rsidP="007454B0">
      <w:pPr>
        <w:spacing w:before="240" w:line="480" w:lineRule="auto"/>
        <w:ind w:left="720"/>
        <w:jc w:val="both"/>
        <w:rPr>
          <w:color w:val="000000" w:themeColor="text1"/>
        </w:rPr>
      </w:pPr>
      <w:r w:rsidRPr="1596C26B">
        <w:rPr>
          <w:color w:val="000000" w:themeColor="text1"/>
        </w:rPr>
        <w:t xml:space="preserve">There were minor differences in how the projects were represented in the Aurora model, which helps account for the discrepancies. The Robins and Moody Projects are designed to charge from the co-located solar facility and this limitation is reflected in the Aurora modeling </w:t>
      </w:r>
      <w:r w:rsidR="00E13DEC" w:rsidRPr="1596C26B">
        <w:rPr>
          <w:color w:val="000000" w:themeColor="text1"/>
        </w:rPr>
        <w:t>(Company’s Response to STF-PIA-15-1).</w:t>
      </w:r>
      <w:r w:rsidR="012B7F7A" w:rsidRPr="1596C26B">
        <w:rPr>
          <w:color w:val="000000" w:themeColor="text1"/>
        </w:rPr>
        <w:t xml:space="preserve"> </w:t>
      </w:r>
      <w:r w:rsidRPr="1596C26B">
        <w:rPr>
          <w:color w:val="000000" w:themeColor="text1"/>
        </w:rPr>
        <w:t>This constraint on operations prevents these facilities from using the same optimized charging and discharging cycles that was used by the other facilities in the model. However, in actual operation, the Company plans to charge the battery from the grid when conditions allow. In addition, the Company plans to “investigate firm transmission deliverability service for charging in the future to expand the operational flexibility of the resources”</w:t>
      </w:r>
      <w:r w:rsidR="0010580D" w:rsidRPr="1596C26B">
        <w:rPr>
          <w:color w:val="000000" w:themeColor="text1"/>
        </w:rPr>
        <w:t xml:space="preserve"> (Company’s Response to STF-PIA-15-1)</w:t>
      </w:r>
      <w:r w:rsidR="78429399" w:rsidRPr="1596C26B">
        <w:rPr>
          <w:color w:val="000000" w:themeColor="text1"/>
        </w:rPr>
        <w:t>.</w:t>
      </w:r>
    </w:p>
    <w:p w14:paraId="38289DAA" w14:textId="77777777" w:rsidR="00290297" w:rsidRDefault="00290297" w:rsidP="1596C26B">
      <w:pPr>
        <w:keepNext/>
        <w:spacing w:before="240" w:line="480" w:lineRule="auto"/>
        <w:ind w:left="720" w:hanging="720"/>
        <w:jc w:val="both"/>
        <w:rPr>
          <w:b/>
          <w:bCs/>
          <w:color w:val="000000" w:themeColor="text1"/>
        </w:rPr>
      </w:pPr>
      <w:r w:rsidRPr="1596C26B">
        <w:rPr>
          <w:b/>
          <w:bCs/>
          <w:color w:val="000000" w:themeColor="text1"/>
        </w:rPr>
        <w:t>Q.</w:t>
      </w:r>
      <w:r>
        <w:tab/>
      </w:r>
      <w:r w:rsidRPr="1596C26B">
        <w:rPr>
          <w:b/>
          <w:bCs/>
          <w:color w:val="000000" w:themeColor="text1"/>
        </w:rPr>
        <w:t>PLEASE DESCRIBE THE RENEWABLE INTEGRATION BENEFIT.</w:t>
      </w:r>
    </w:p>
    <w:p w14:paraId="09355050" w14:textId="50018650" w:rsidR="00290297" w:rsidRDefault="00290297" w:rsidP="00290297">
      <w:pPr>
        <w:spacing w:line="480" w:lineRule="auto"/>
        <w:ind w:left="720" w:hanging="720"/>
        <w:jc w:val="both"/>
        <w:rPr>
          <w:b/>
          <w:bCs/>
          <w:color w:val="000000" w:themeColor="text1"/>
        </w:rPr>
      </w:pPr>
      <w:r w:rsidRPr="00923B37">
        <w:rPr>
          <w:color w:val="000000" w:themeColor="text1"/>
        </w:rPr>
        <w:t>A.</w:t>
      </w:r>
      <w:r>
        <w:rPr>
          <w:color w:val="000000" w:themeColor="text1"/>
        </w:rPr>
        <w:tab/>
        <w:t xml:space="preserve">The Renewable Integration Benefit derives from the operational value of BESS to a grid with more intermittent renewable resources. </w:t>
      </w:r>
      <w:r w:rsidR="0022605E">
        <w:rPr>
          <w:color w:val="000000" w:themeColor="text1"/>
        </w:rPr>
        <w:t>During</w:t>
      </w:r>
      <w:r>
        <w:rPr>
          <w:color w:val="000000" w:themeColor="text1"/>
        </w:rPr>
        <w:t xml:space="preserve"> the 2022 IRP proceeding, the Company filed the Renewable Integration Study conducted by Astrapé Consulting</w:t>
      </w:r>
      <w:r w:rsidR="0010580D">
        <w:rPr>
          <w:color w:val="000000" w:themeColor="text1"/>
        </w:rPr>
        <w:t xml:space="preserve"> (</w:t>
      </w:r>
      <w:r w:rsidR="0010580D" w:rsidRPr="0010580D">
        <w:t xml:space="preserve">Docket </w:t>
      </w:r>
      <w:r w:rsidR="0010580D">
        <w:t xml:space="preserve">No. </w:t>
      </w:r>
      <w:r w:rsidR="0010580D" w:rsidRPr="0010580D">
        <w:t xml:space="preserve">44160. Georgia Power Company 2022 Integrated Resource Plan, Volume 1. </w:t>
      </w:r>
      <w:r w:rsidR="0010580D" w:rsidRPr="0010580D">
        <w:rPr>
          <w:i/>
          <w:iCs/>
        </w:rPr>
        <w:t>Renewable Integration Study</w:t>
      </w:r>
      <w:r w:rsidR="0010580D" w:rsidRPr="0010580D">
        <w:t>. November 18, 2021</w:t>
      </w:r>
      <w:r w:rsidR="0010580D">
        <w:t>)</w:t>
      </w:r>
      <w:r w:rsidR="0010580D" w:rsidRPr="0010580D">
        <w:t xml:space="preserve">. </w:t>
      </w:r>
      <w:r>
        <w:rPr>
          <w:color w:val="000000" w:themeColor="text1"/>
        </w:rPr>
        <w:t xml:space="preserve">That study concluded that the addition </w:t>
      </w:r>
      <w:r>
        <w:rPr>
          <w:color w:val="000000" w:themeColor="text1"/>
        </w:rPr>
        <w:lastRenderedPageBreak/>
        <w:t xml:space="preserve">of battery storage resources lowers the cost of reliably integrating renewable resources. This cost reduction is </w:t>
      </w:r>
      <w:r w:rsidRPr="42009F64">
        <w:rPr>
          <w:color w:val="000000" w:themeColor="text1"/>
        </w:rPr>
        <w:t>reflected</w:t>
      </w:r>
      <w:r>
        <w:rPr>
          <w:color w:val="000000" w:themeColor="text1"/>
        </w:rPr>
        <w:t xml:space="preserve"> in the </w:t>
      </w:r>
      <w:r w:rsidR="00F37026">
        <w:rPr>
          <w:color w:val="000000" w:themeColor="text1"/>
        </w:rPr>
        <w:t>R</w:t>
      </w:r>
      <w:r>
        <w:rPr>
          <w:color w:val="000000" w:themeColor="text1"/>
        </w:rPr>
        <w:t xml:space="preserve">enewable </w:t>
      </w:r>
      <w:r w:rsidR="00F37026">
        <w:rPr>
          <w:color w:val="000000" w:themeColor="text1"/>
        </w:rPr>
        <w:t>I</w:t>
      </w:r>
      <w:r>
        <w:rPr>
          <w:color w:val="000000" w:themeColor="text1"/>
        </w:rPr>
        <w:t xml:space="preserve">ntegration </w:t>
      </w:r>
      <w:r w:rsidR="00F37026">
        <w:rPr>
          <w:color w:val="000000" w:themeColor="text1"/>
        </w:rPr>
        <w:t>B</w:t>
      </w:r>
      <w:r>
        <w:rPr>
          <w:color w:val="000000" w:themeColor="text1"/>
        </w:rPr>
        <w:t>enefit.</w:t>
      </w:r>
    </w:p>
    <w:p w14:paraId="5D56C076" w14:textId="77777777" w:rsidR="00290297" w:rsidRDefault="00290297" w:rsidP="1596C26B">
      <w:pPr>
        <w:keepNext/>
        <w:spacing w:before="240" w:line="480" w:lineRule="auto"/>
        <w:ind w:left="720" w:hanging="720"/>
        <w:jc w:val="both"/>
        <w:rPr>
          <w:b/>
          <w:bCs/>
          <w:color w:val="000000" w:themeColor="text1"/>
        </w:rPr>
      </w:pPr>
      <w:r w:rsidRPr="1596C26B">
        <w:rPr>
          <w:b/>
          <w:bCs/>
          <w:color w:val="000000" w:themeColor="text1"/>
        </w:rPr>
        <w:t>Q.</w:t>
      </w:r>
      <w:r>
        <w:tab/>
      </w:r>
      <w:r w:rsidRPr="1596C26B">
        <w:rPr>
          <w:b/>
          <w:bCs/>
          <w:color w:val="000000" w:themeColor="text1"/>
        </w:rPr>
        <w:t>HOW DID THE COMPANY QUANTIFY THE RENEWABLE INTEGRATION BENEFIT?</w:t>
      </w:r>
    </w:p>
    <w:p w14:paraId="64225FEF" w14:textId="123C0525" w:rsidR="00290297" w:rsidRDefault="00290297" w:rsidP="001D4316">
      <w:pPr>
        <w:spacing w:after="240" w:line="480" w:lineRule="auto"/>
        <w:ind w:left="720" w:hanging="720"/>
        <w:jc w:val="both"/>
        <w:rPr>
          <w:color w:val="000000" w:themeColor="text1"/>
        </w:rPr>
      </w:pPr>
      <w:r w:rsidRPr="1596C26B">
        <w:rPr>
          <w:color w:val="000000" w:themeColor="text1"/>
        </w:rPr>
        <w:t>A.</w:t>
      </w:r>
      <w:r>
        <w:tab/>
      </w:r>
      <w:r w:rsidRPr="1596C26B">
        <w:rPr>
          <w:color w:val="000000" w:themeColor="text1"/>
        </w:rPr>
        <w:t>The Company used the results of the analysis Renewable Integration Study to quantify the benefit of the BESS projects on a $/kW basis. The Company compar</w:t>
      </w:r>
      <w:r w:rsidR="2552069A" w:rsidRPr="1596C26B">
        <w:rPr>
          <w:color w:val="000000" w:themeColor="text1"/>
        </w:rPr>
        <w:t>ed</w:t>
      </w:r>
      <w:r w:rsidRPr="1596C26B">
        <w:rPr>
          <w:color w:val="000000" w:themeColor="text1"/>
        </w:rPr>
        <w:t xml:space="preserve"> the production cost deltas between two sets of Aurora model runs: a case with 3,000 MW of incremental solar and no new BESS capacity, and a case with 3,000 MW of incremental solar and 1,150 MW of BESS capacity. The Company divided the reduction in production costs due to the BESS by the total BESS capacity to yield a value of the BESS in $/kW.</w:t>
      </w:r>
    </w:p>
    <w:p w14:paraId="15C73156" w14:textId="2A047D95" w:rsidR="00290297" w:rsidRDefault="00290297" w:rsidP="1596C26B">
      <w:pPr>
        <w:spacing w:line="480" w:lineRule="auto"/>
        <w:ind w:left="720"/>
        <w:jc w:val="both"/>
        <w:rPr>
          <w:color w:val="000000" w:themeColor="text1"/>
        </w:rPr>
      </w:pPr>
      <w:r>
        <w:rPr>
          <w:color w:val="000000" w:themeColor="text1"/>
        </w:rPr>
        <w:t xml:space="preserve">In the benefits analysis, the Company credited the BESS projects with a Renewable Integration Benefit by </w:t>
      </w:r>
      <w:r w:rsidR="00E62580">
        <w:rPr>
          <w:color w:val="000000" w:themeColor="text1"/>
        </w:rPr>
        <w:t>multiplying</w:t>
      </w:r>
      <w:r>
        <w:rPr>
          <w:color w:val="000000" w:themeColor="text1"/>
        </w:rPr>
        <w:t xml:space="preserve"> the </w:t>
      </w:r>
      <w:r w:rsidR="007205F1">
        <w:rPr>
          <w:color w:val="000000" w:themeColor="text1"/>
        </w:rPr>
        <w:t xml:space="preserve">project </w:t>
      </w:r>
      <w:r>
        <w:rPr>
          <w:color w:val="000000" w:themeColor="text1"/>
        </w:rPr>
        <w:t xml:space="preserve">capacity </w:t>
      </w:r>
      <w:r w:rsidR="007205F1">
        <w:rPr>
          <w:color w:val="000000" w:themeColor="text1"/>
        </w:rPr>
        <w:t>by</w:t>
      </w:r>
      <w:r>
        <w:rPr>
          <w:color w:val="000000" w:themeColor="text1"/>
        </w:rPr>
        <w:t xml:space="preserve"> the $/kW value.</w:t>
      </w:r>
      <w:r w:rsidR="006326DB">
        <w:rPr>
          <w:color w:val="000000" w:themeColor="text1"/>
        </w:rPr>
        <w:t xml:space="preserve"> Th</w:t>
      </w:r>
      <w:r w:rsidR="009D1729">
        <w:rPr>
          <w:color w:val="000000" w:themeColor="text1"/>
        </w:rPr>
        <w:t xml:space="preserve">e methodology and result of the Renewable Integration Study is consistent with the evaluation of bids in the Company’s ongoing All-Source Capacity RFP.  </w:t>
      </w:r>
      <w:r w:rsidR="007205F1" w:rsidRPr="007205F1">
        <w:rPr>
          <w:color w:val="000000" w:themeColor="text1"/>
        </w:rPr>
        <w:t>The results of the renewable integration benefit are summarized in the table below</w:t>
      </w:r>
      <w:r w:rsidR="00DB6781">
        <w:rPr>
          <w:color w:val="000000" w:themeColor="text1"/>
        </w:rPr>
        <w:t>:</w:t>
      </w:r>
    </w:p>
    <w:p w14:paraId="2A870239" w14:textId="2847C204" w:rsidR="00D226A4" w:rsidRPr="007454B0" w:rsidRDefault="007205F1" w:rsidP="00D226A4">
      <w:pPr>
        <w:pStyle w:val="Caption"/>
        <w:keepNext/>
        <w:jc w:val="center"/>
        <w:rPr>
          <w:color w:val="auto"/>
          <w:sz w:val="24"/>
          <w:szCs w:val="24"/>
        </w:rPr>
      </w:pPr>
      <w:bookmarkStart w:id="2" w:name="_Hlk179358085"/>
      <w:r w:rsidRPr="007454B0">
        <w:rPr>
          <w:color w:val="auto"/>
          <w:sz w:val="24"/>
          <w:szCs w:val="24"/>
        </w:rPr>
        <w:t xml:space="preserve">Table </w:t>
      </w:r>
      <w:r w:rsidR="001F1912">
        <w:rPr>
          <w:color w:val="auto"/>
          <w:sz w:val="24"/>
          <w:szCs w:val="24"/>
        </w:rPr>
        <w:t>8</w:t>
      </w:r>
      <w:r w:rsidRPr="007454B0">
        <w:rPr>
          <w:color w:val="auto"/>
          <w:sz w:val="24"/>
          <w:szCs w:val="24"/>
        </w:rPr>
        <w:t xml:space="preserve">. Renewable </w:t>
      </w:r>
      <w:r w:rsidR="00E62580">
        <w:rPr>
          <w:color w:val="auto"/>
          <w:sz w:val="24"/>
          <w:szCs w:val="24"/>
        </w:rPr>
        <w:t>I</w:t>
      </w:r>
      <w:r w:rsidRPr="007454B0">
        <w:rPr>
          <w:color w:val="auto"/>
          <w:sz w:val="24"/>
          <w:szCs w:val="24"/>
        </w:rPr>
        <w:t xml:space="preserve">ntegration </w:t>
      </w:r>
      <w:r w:rsidR="00E62580">
        <w:rPr>
          <w:color w:val="auto"/>
          <w:sz w:val="24"/>
          <w:szCs w:val="24"/>
        </w:rPr>
        <w:t>B</w:t>
      </w:r>
      <w:r w:rsidRPr="007454B0">
        <w:rPr>
          <w:color w:val="auto"/>
          <w:sz w:val="24"/>
          <w:szCs w:val="24"/>
        </w:rPr>
        <w:t xml:space="preserve">enefit </w:t>
      </w:r>
      <w:r w:rsidR="00E62580">
        <w:rPr>
          <w:color w:val="auto"/>
          <w:sz w:val="24"/>
          <w:szCs w:val="24"/>
        </w:rPr>
        <w:t>R</w:t>
      </w:r>
      <w:r w:rsidRPr="007454B0">
        <w:rPr>
          <w:color w:val="auto"/>
          <w:sz w:val="24"/>
          <w:szCs w:val="24"/>
        </w:rPr>
        <w:t>esults</w:t>
      </w:r>
    </w:p>
    <w:tbl>
      <w:tblPr>
        <w:tblStyle w:val="TableGrid"/>
        <w:tblW w:w="0" w:type="auto"/>
        <w:tblInd w:w="720" w:type="dxa"/>
        <w:tblLook w:val="04A0" w:firstRow="1" w:lastRow="0" w:firstColumn="1" w:lastColumn="0" w:noHBand="0" w:noVBand="1"/>
      </w:tblPr>
      <w:tblGrid>
        <w:gridCol w:w="1438"/>
        <w:gridCol w:w="1438"/>
        <w:gridCol w:w="1259"/>
        <w:gridCol w:w="1350"/>
        <w:gridCol w:w="1350"/>
        <w:gridCol w:w="1710"/>
      </w:tblGrid>
      <w:tr w:rsidR="007205F1" w:rsidRPr="000D0847" w14:paraId="65320604" w14:textId="77777777" w:rsidTr="007454B0">
        <w:tc>
          <w:tcPr>
            <w:tcW w:w="1438" w:type="dxa"/>
            <w:vAlign w:val="bottom"/>
          </w:tcPr>
          <w:p w14:paraId="33F2C055" w14:textId="77777777" w:rsidR="007205F1" w:rsidRPr="000D0847" w:rsidRDefault="007205F1" w:rsidP="00A63B86">
            <w:pPr>
              <w:pStyle w:val="NoSpacing"/>
              <w:keepNext/>
            </w:pPr>
          </w:p>
        </w:tc>
        <w:tc>
          <w:tcPr>
            <w:tcW w:w="1438" w:type="dxa"/>
            <w:vAlign w:val="bottom"/>
          </w:tcPr>
          <w:p w14:paraId="02C95E11" w14:textId="77777777" w:rsidR="007205F1" w:rsidRPr="000D0847" w:rsidRDefault="007205F1" w:rsidP="00A63B86">
            <w:pPr>
              <w:pStyle w:val="NoSpacing"/>
              <w:keepNext/>
            </w:pPr>
          </w:p>
        </w:tc>
        <w:tc>
          <w:tcPr>
            <w:tcW w:w="1259" w:type="dxa"/>
            <w:vAlign w:val="bottom"/>
          </w:tcPr>
          <w:p w14:paraId="022A55D9" w14:textId="77777777" w:rsidR="007205F1" w:rsidRPr="000D0847" w:rsidRDefault="007205F1" w:rsidP="00A63B86">
            <w:pPr>
              <w:pStyle w:val="NoSpacing"/>
              <w:keepNext/>
              <w:rPr>
                <w:b/>
                <w:bCs/>
              </w:rPr>
            </w:pPr>
            <w:r w:rsidRPr="00500804">
              <w:rPr>
                <w:b/>
                <w:bCs/>
                <w:color w:val="000000"/>
              </w:rPr>
              <w:t>Robins</w:t>
            </w:r>
          </w:p>
        </w:tc>
        <w:tc>
          <w:tcPr>
            <w:tcW w:w="1350" w:type="dxa"/>
            <w:vAlign w:val="bottom"/>
          </w:tcPr>
          <w:p w14:paraId="2D2C04A2" w14:textId="77777777" w:rsidR="007205F1" w:rsidRPr="000D0847" w:rsidRDefault="007205F1" w:rsidP="00A63B86">
            <w:pPr>
              <w:pStyle w:val="NoSpacing"/>
              <w:keepNext/>
              <w:rPr>
                <w:b/>
                <w:bCs/>
              </w:rPr>
            </w:pPr>
            <w:r w:rsidRPr="00500804">
              <w:rPr>
                <w:b/>
                <w:bCs/>
                <w:color w:val="000000"/>
              </w:rPr>
              <w:t>Moody</w:t>
            </w:r>
          </w:p>
        </w:tc>
        <w:tc>
          <w:tcPr>
            <w:tcW w:w="1350" w:type="dxa"/>
            <w:vAlign w:val="bottom"/>
          </w:tcPr>
          <w:p w14:paraId="0CBA7811" w14:textId="77777777" w:rsidR="007205F1" w:rsidRPr="000D0847" w:rsidRDefault="007205F1" w:rsidP="00A63B86">
            <w:pPr>
              <w:pStyle w:val="NoSpacing"/>
              <w:keepNext/>
              <w:rPr>
                <w:b/>
                <w:bCs/>
              </w:rPr>
            </w:pPr>
            <w:r w:rsidRPr="00500804">
              <w:rPr>
                <w:b/>
                <w:bCs/>
                <w:color w:val="000000"/>
              </w:rPr>
              <w:t>Hammond</w:t>
            </w:r>
          </w:p>
        </w:tc>
        <w:tc>
          <w:tcPr>
            <w:tcW w:w="1710" w:type="dxa"/>
            <w:vAlign w:val="bottom"/>
          </w:tcPr>
          <w:p w14:paraId="689CDF5E" w14:textId="7AC07CBC" w:rsidR="007205F1" w:rsidRPr="000D0847" w:rsidRDefault="007205F1" w:rsidP="00A63B86">
            <w:pPr>
              <w:pStyle w:val="NoSpacing"/>
              <w:keepNext/>
              <w:rPr>
                <w:b/>
                <w:bCs/>
              </w:rPr>
            </w:pPr>
            <w:r w:rsidRPr="00500804">
              <w:rPr>
                <w:b/>
                <w:bCs/>
                <w:color w:val="000000"/>
              </w:rPr>
              <w:t xml:space="preserve">McGrau Ford </w:t>
            </w:r>
            <w:r w:rsidR="00E62580">
              <w:rPr>
                <w:b/>
                <w:bCs/>
                <w:color w:val="000000"/>
              </w:rPr>
              <w:t xml:space="preserve">Phase </w:t>
            </w:r>
            <w:r w:rsidRPr="00500804">
              <w:rPr>
                <w:b/>
                <w:bCs/>
                <w:color w:val="000000"/>
              </w:rPr>
              <w:t>II</w:t>
            </w:r>
          </w:p>
        </w:tc>
      </w:tr>
      <w:tr w:rsidR="007205F1" w:rsidRPr="000D0847" w14:paraId="0E12CD3F" w14:textId="77777777" w:rsidTr="007454B0">
        <w:tc>
          <w:tcPr>
            <w:tcW w:w="1438" w:type="dxa"/>
            <w:vAlign w:val="bottom"/>
          </w:tcPr>
          <w:p w14:paraId="4B1DC4BC" w14:textId="7731A135" w:rsidR="007205F1" w:rsidRPr="000D0847" w:rsidRDefault="00D961C2" w:rsidP="00A63B86">
            <w:pPr>
              <w:pStyle w:val="NoSpacing"/>
              <w:keepNext/>
            </w:pPr>
            <w:r>
              <w:rPr>
                <w:color w:val="000000"/>
              </w:rPr>
              <w:t>Renewable Integration</w:t>
            </w:r>
            <w:r w:rsidRPr="00500804">
              <w:rPr>
                <w:color w:val="000000"/>
              </w:rPr>
              <w:t xml:space="preserve"> </w:t>
            </w:r>
            <w:r w:rsidR="007205F1" w:rsidRPr="00500804">
              <w:rPr>
                <w:color w:val="000000"/>
              </w:rPr>
              <w:t>Benefit</w:t>
            </w:r>
          </w:p>
        </w:tc>
        <w:tc>
          <w:tcPr>
            <w:tcW w:w="1438" w:type="dxa"/>
            <w:vAlign w:val="bottom"/>
          </w:tcPr>
          <w:p w14:paraId="50112EBF" w14:textId="77777777" w:rsidR="007205F1" w:rsidRPr="000D0847" w:rsidRDefault="007205F1" w:rsidP="00A63B86">
            <w:pPr>
              <w:pStyle w:val="NoSpacing"/>
              <w:keepNext/>
            </w:pPr>
            <w:r w:rsidRPr="00500804">
              <w:rPr>
                <w:color w:val="000000"/>
              </w:rPr>
              <w:t>$000 NPV, 2024$</w:t>
            </w:r>
          </w:p>
        </w:tc>
        <w:tc>
          <w:tcPr>
            <w:tcW w:w="1259" w:type="dxa"/>
            <w:vAlign w:val="center"/>
          </w:tcPr>
          <w:p w14:paraId="3E3B360B" w14:textId="38687E46" w:rsidR="007205F1" w:rsidRPr="00F3056A" w:rsidRDefault="00F3056A" w:rsidP="00E62580">
            <w:pPr>
              <w:pStyle w:val="NoSpacing"/>
              <w:keepNext/>
              <w:jc w:val="right"/>
              <w:rPr>
                <w:highlight w:val="black"/>
              </w:rPr>
            </w:pPr>
            <w:r w:rsidRPr="00F3056A">
              <w:rPr>
                <w:highlight w:val="black"/>
              </w:rPr>
              <w:t>XXX</w:t>
            </w:r>
          </w:p>
        </w:tc>
        <w:tc>
          <w:tcPr>
            <w:tcW w:w="1350" w:type="dxa"/>
            <w:vAlign w:val="center"/>
          </w:tcPr>
          <w:p w14:paraId="009529FA" w14:textId="591CC24A" w:rsidR="007205F1" w:rsidRPr="00F3056A" w:rsidRDefault="00F3056A" w:rsidP="00E62580">
            <w:pPr>
              <w:pStyle w:val="NoSpacing"/>
              <w:keepNext/>
              <w:jc w:val="right"/>
              <w:rPr>
                <w:highlight w:val="black"/>
              </w:rPr>
            </w:pPr>
            <w:r w:rsidRPr="00F3056A">
              <w:rPr>
                <w:highlight w:val="black"/>
              </w:rPr>
              <w:t>XXX</w:t>
            </w:r>
          </w:p>
        </w:tc>
        <w:tc>
          <w:tcPr>
            <w:tcW w:w="1350" w:type="dxa"/>
            <w:vAlign w:val="center"/>
          </w:tcPr>
          <w:p w14:paraId="75781776" w14:textId="75879BFE" w:rsidR="007205F1" w:rsidRPr="00F3056A" w:rsidRDefault="00F3056A" w:rsidP="00E62580">
            <w:pPr>
              <w:pStyle w:val="NoSpacing"/>
              <w:keepNext/>
              <w:jc w:val="right"/>
              <w:rPr>
                <w:highlight w:val="black"/>
              </w:rPr>
            </w:pPr>
            <w:r w:rsidRPr="00F3056A">
              <w:rPr>
                <w:highlight w:val="black"/>
              </w:rPr>
              <w:t>XXX</w:t>
            </w:r>
          </w:p>
        </w:tc>
        <w:tc>
          <w:tcPr>
            <w:tcW w:w="1710" w:type="dxa"/>
            <w:vAlign w:val="center"/>
          </w:tcPr>
          <w:p w14:paraId="1B28FA30" w14:textId="176745F0" w:rsidR="007205F1" w:rsidRPr="00F3056A" w:rsidRDefault="00F3056A" w:rsidP="00E62580">
            <w:pPr>
              <w:pStyle w:val="NoSpacing"/>
              <w:keepNext/>
              <w:jc w:val="right"/>
              <w:rPr>
                <w:highlight w:val="black"/>
              </w:rPr>
            </w:pPr>
            <w:r w:rsidRPr="00F3056A">
              <w:rPr>
                <w:highlight w:val="black"/>
              </w:rPr>
              <w:t>XXX</w:t>
            </w:r>
          </w:p>
        </w:tc>
      </w:tr>
      <w:tr w:rsidR="007205F1" w:rsidRPr="000D0847" w14:paraId="0BAEDDF0" w14:textId="77777777" w:rsidTr="007454B0">
        <w:trPr>
          <w:trHeight w:val="395"/>
        </w:trPr>
        <w:tc>
          <w:tcPr>
            <w:tcW w:w="1438" w:type="dxa"/>
            <w:vAlign w:val="bottom"/>
          </w:tcPr>
          <w:p w14:paraId="02589A25" w14:textId="7CC3644D" w:rsidR="007205F1" w:rsidRPr="00D226A4" w:rsidRDefault="004D321A" w:rsidP="00A63B86">
            <w:pPr>
              <w:pStyle w:val="NoSpacing"/>
              <w:keepNext/>
            </w:pPr>
            <w:r>
              <w:rPr>
                <w:color w:val="000000"/>
              </w:rPr>
              <w:t xml:space="preserve">Nameplate </w:t>
            </w:r>
            <w:r w:rsidR="007205F1" w:rsidRPr="00D226A4">
              <w:rPr>
                <w:color w:val="000000"/>
              </w:rPr>
              <w:t>Capacity</w:t>
            </w:r>
          </w:p>
        </w:tc>
        <w:tc>
          <w:tcPr>
            <w:tcW w:w="1438" w:type="dxa"/>
            <w:vAlign w:val="bottom"/>
          </w:tcPr>
          <w:p w14:paraId="1C1E3005" w14:textId="77777777" w:rsidR="007205F1" w:rsidRPr="00D226A4" w:rsidRDefault="007205F1" w:rsidP="00A63B86">
            <w:pPr>
              <w:pStyle w:val="NoSpacing"/>
              <w:keepNext/>
            </w:pPr>
            <w:r w:rsidRPr="00D226A4">
              <w:rPr>
                <w:color w:val="000000"/>
              </w:rPr>
              <w:t>MW</w:t>
            </w:r>
          </w:p>
        </w:tc>
        <w:tc>
          <w:tcPr>
            <w:tcW w:w="1259" w:type="dxa"/>
            <w:vAlign w:val="center"/>
          </w:tcPr>
          <w:p w14:paraId="4D24FA99" w14:textId="77777777" w:rsidR="007205F1" w:rsidRPr="00D226A4" w:rsidRDefault="007205F1" w:rsidP="007454B0">
            <w:pPr>
              <w:pStyle w:val="NoSpacing"/>
              <w:keepNext/>
              <w:jc w:val="right"/>
            </w:pPr>
            <w:r w:rsidRPr="00D226A4">
              <w:rPr>
                <w:color w:val="000000"/>
              </w:rPr>
              <w:t>128</w:t>
            </w:r>
          </w:p>
        </w:tc>
        <w:tc>
          <w:tcPr>
            <w:tcW w:w="1350" w:type="dxa"/>
            <w:vAlign w:val="center"/>
          </w:tcPr>
          <w:p w14:paraId="1EAE94B4" w14:textId="77777777" w:rsidR="007205F1" w:rsidRPr="00D226A4" w:rsidRDefault="007205F1" w:rsidP="007454B0">
            <w:pPr>
              <w:pStyle w:val="NoSpacing"/>
              <w:keepNext/>
              <w:jc w:val="right"/>
            </w:pPr>
            <w:r w:rsidRPr="00D226A4">
              <w:rPr>
                <w:color w:val="000000"/>
              </w:rPr>
              <w:t>49.5</w:t>
            </w:r>
          </w:p>
        </w:tc>
        <w:tc>
          <w:tcPr>
            <w:tcW w:w="1350" w:type="dxa"/>
            <w:vAlign w:val="center"/>
          </w:tcPr>
          <w:p w14:paraId="2A8B7E0E" w14:textId="77777777" w:rsidR="007205F1" w:rsidRPr="00D226A4" w:rsidRDefault="007205F1" w:rsidP="007454B0">
            <w:pPr>
              <w:pStyle w:val="NoSpacing"/>
              <w:keepNext/>
              <w:jc w:val="right"/>
            </w:pPr>
            <w:r w:rsidRPr="00D226A4">
              <w:rPr>
                <w:color w:val="000000"/>
              </w:rPr>
              <w:t>57.5</w:t>
            </w:r>
          </w:p>
        </w:tc>
        <w:tc>
          <w:tcPr>
            <w:tcW w:w="1710" w:type="dxa"/>
            <w:vAlign w:val="center"/>
          </w:tcPr>
          <w:p w14:paraId="446FAF8F" w14:textId="77777777" w:rsidR="007205F1" w:rsidRPr="00D226A4" w:rsidRDefault="007205F1" w:rsidP="007454B0">
            <w:pPr>
              <w:pStyle w:val="NoSpacing"/>
              <w:keepNext/>
              <w:jc w:val="right"/>
            </w:pPr>
            <w:r w:rsidRPr="00D226A4">
              <w:rPr>
                <w:color w:val="000000"/>
              </w:rPr>
              <w:t>265</w:t>
            </w:r>
          </w:p>
        </w:tc>
      </w:tr>
      <w:tr w:rsidR="007205F1" w:rsidRPr="000D0847" w14:paraId="57D14D31" w14:textId="77777777" w:rsidTr="007454B0">
        <w:tc>
          <w:tcPr>
            <w:tcW w:w="1438" w:type="dxa"/>
            <w:vAlign w:val="bottom"/>
          </w:tcPr>
          <w:p w14:paraId="4E85039F" w14:textId="27B84F54" w:rsidR="007205F1" w:rsidRPr="000D0847" w:rsidRDefault="00D961C2" w:rsidP="00A63B86">
            <w:pPr>
              <w:pStyle w:val="NoSpacing"/>
            </w:pPr>
            <w:r>
              <w:rPr>
                <w:color w:val="000000"/>
              </w:rPr>
              <w:t>Renewable Integration</w:t>
            </w:r>
            <w:r w:rsidRPr="00500804">
              <w:rPr>
                <w:color w:val="000000"/>
              </w:rPr>
              <w:t xml:space="preserve"> </w:t>
            </w:r>
            <w:r w:rsidR="007205F1" w:rsidRPr="00500804">
              <w:rPr>
                <w:color w:val="000000"/>
              </w:rPr>
              <w:t>Benefit</w:t>
            </w:r>
          </w:p>
        </w:tc>
        <w:tc>
          <w:tcPr>
            <w:tcW w:w="1438" w:type="dxa"/>
            <w:vAlign w:val="bottom"/>
          </w:tcPr>
          <w:p w14:paraId="5FE8D6E2" w14:textId="77777777" w:rsidR="007205F1" w:rsidRPr="000D0847" w:rsidRDefault="007205F1" w:rsidP="00A63B86">
            <w:pPr>
              <w:pStyle w:val="NoSpacing"/>
            </w:pPr>
            <w:r w:rsidRPr="00500804">
              <w:rPr>
                <w:color w:val="000000"/>
              </w:rPr>
              <w:t>$/kW NPV, 2024$</w:t>
            </w:r>
          </w:p>
        </w:tc>
        <w:tc>
          <w:tcPr>
            <w:tcW w:w="1259" w:type="dxa"/>
            <w:vAlign w:val="center"/>
          </w:tcPr>
          <w:p w14:paraId="02887A11" w14:textId="4EC2B2AB" w:rsidR="007205F1" w:rsidRPr="00F3056A" w:rsidRDefault="00F3056A" w:rsidP="00E62580">
            <w:pPr>
              <w:pStyle w:val="NoSpacing"/>
              <w:jc w:val="right"/>
              <w:rPr>
                <w:highlight w:val="black"/>
              </w:rPr>
            </w:pPr>
            <w:r w:rsidRPr="00F3056A">
              <w:rPr>
                <w:highlight w:val="black"/>
              </w:rPr>
              <w:t>XXX</w:t>
            </w:r>
          </w:p>
        </w:tc>
        <w:tc>
          <w:tcPr>
            <w:tcW w:w="1350" w:type="dxa"/>
            <w:vAlign w:val="center"/>
          </w:tcPr>
          <w:p w14:paraId="48BF891C" w14:textId="138E41D5" w:rsidR="007205F1" w:rsidRPr="00F3056A" w:rsidRDefault="00F3056A" w:rsidP="00E62580">
            <w:pPr>
              <w:pStyle w:val="NoSpacing"/>
              <w:jc w:val="right"/>
              <w:rPr>
                <w:highlight w:val="black"/>
              </w:rPr>
            </w:pPr>
            <w:r w:rsidRPr="00F3056A">
              <w:rPr>
                <w:highlight w:val="black"/>
              </w:rPr>
              <w:t>XXX</w:t>
            </w:r>
          </w:p>
        </w:tc>
        <w:tc>
          <w:tcPr>
            <w:tcW w:w="1350" w:type="dxa"/>
            <w:vAlign w:val="center"/>
          </w:tcPr>
          <w:p w14:paraId="76FBD415" w14:textId="7900D82D" w:rsidR="007205F1" w:rsidRPr="00F3056A" w:rsidRDefault="00F3056A" w:rsidP="00E62580">
            <w:pPr>
              <w:pStyle w:val="NoSpacing"/>
              <w:jc w:val="right"/>
              <w:rPr>
                <w:highlight w:val="black"/>
              </w:rPr>
            </w:pPr>
            <w:r w:rsidRPr="00F3056A">
              <w:rPr>
                <w:highlight w:val="black"/>
              </w:rPr>
              <w:t>XXX</w:t>
            </w:r>
          </w:p>
        </w:tc>
        <w:tc>
          <w:tcPr>
            <w:tcW w:w="1710" w:type="dxa"/>
            <w:vAlign w:val="center"/>
          </w:tcPr>
          <w:p w14:paraId="36042377" w14:textId="283C15A0" w:rsidR="007205F1" w:rsidRPr="00F3056A" w:rsidRDefault="00F3056A" w:rsidP="00E62580">
            <w:pPr>
              <w:pStyle w:val="NoSpacing"/>
              <w:jc w:val="right"/>
              <w:rPr>
                <w:highlight w:val="black"/>
              </w:rPr>
            </w:pPr>
            <w:r w:rsidRPr="00F3056A">
              <w:rPr>
                <w:highlight w:val="black"/>
              </w:rPr>
              <w:t>XXX</w:t>
            </w:r>
          </w:p>
        </w:tc>
      </w:tr>
    </w:tbl>
    <w:bookmarkEnd w:id="2"/>
    <w:p w14:paraId="15BC7E18" w14:textId="7E266044" w:rsidR="00290297" w:rsidRDefault="00290297" w:rsidP="007454B0">
      <w:pPr>
        <w:keepNext/>
        <w:spacing w:before="480" w:line="480" w:lineRule="auto"/>
        <w:ind w:left="720" w:hanging="720"/>
        <w:jc w:val="both"/>
        <w:rPr>
          <w:b/>
          <w:bCs/>
          <w:color w:val="000000" w:themeColor="text1"/>
        </w:rPr>
      </w:pPr>
      <w:r w:rsidRPr="1596C26B">
        <w:rPr>
          <w:b/>
          <w:bCs/>
          <w:color w:val="000000" w:themeColor="text1"/>
        </w:rPr>
        <w:lastRenderedPageBreak/>
        <w:t>Q.</w:t>
      </w:r>
      <w:r>
        <w:tab/>
      </w:r>
      <w:r w:rsidRPr="1596C26B">
        <w:rPr>
          <w:b/>
          <w:bCs/>
          <w:color w:val="000000" w:themeColor="text1"/>
        </w:rPr>
        <w:t xml:space="preserve">WHAT IS THE CONCLUSION OF THE </w:t>
      </w:r>
      <w:r w:rsidR="008875BA" w:rsidRPr="1596C26B">
        <w:rPr>
          <w:b/>
          <w:bCs/>
          <w:color w:val="000000" w:themeColor="text1"/>
        </w:rPr>
        <w:t xml:space="preserve">COMPANY’S </w:t>
      </w:r>
      <w:r w:rsidRPr="1596C26B">
        <w:rPr>
          <w:b/>
          <w:bCs/>
          <w:color w:val="000000" w:themeColor="text1"/>
        </w:rPr>
        <w:t>ECONOMIC ANALYSIS?</w:t>
      </w:r>
    </w:p>
    <w:p w14:paraId="7B3E2DFD" w14:textId="438B82C0" w:rsidR="00290297" w:rsidRDefault="00290297" w:rsidP="00290297">
      <w:pPr>
        <w:spacing w:line="480" w:lineRule="auto"/>
        <w:ind w:left="720" w:hanging="720"/>
        <w:jc w:val="both"/>
        <w:rPr>
          <w:b/>
          <w:bCs/>
          <w:color w:val="000000" w:themeColor="text1"/>
        </w:rPr>
      </w:pPr>
      <w:r w:rsidRPr="1596C26B">
        <w:rPr>
          <w:color w:val="000000" w:themeColor="text1"/>
        </w:rPr>
        <w:t>A.</w:t>
      </w:r>
      <w:r>
        <w:tab/>
      </w:r>
      <w:r w:rsidRPr="1596C26B">
        <w:rPr>
          <w:color w:val="000000" w:themeColor="text1"/>
        </w:rPr>
        <w:t>When considering the asset costs, system costs, and benefits (</w:t>
      </w:r>
      <w:r w:rsidR="2508ED9E" w:rsidRPr="1596C26B">
        <w:rPr>
          <w:color w:val="000000" w:themeColor="text1"/>
        </w:rPr>
        <w:t>E</w:t>
      </w:r>
      <w:r w:rsidRPr="1596C26B">
        <w:rPr>
          <w:color w:val="000000" w:themeColor="text1"/>
        </w:rPr>
        <w:t xml:space="preserve">nergy </w:t>
      </w:r>
      <w:r w:rsidR="5EEDC513" w:rsidRPr="1596C26B">
        <w:rPr>
          <w:color w:val="000000" w:themeColor="text1"/>
        </w:rPr>
        <w:t>B</w:t>
      </w:r>
      <w:r w:rsidRPr="1596C26B">
        <w:rPr>
          <w:color w:val="000000" w:themeColor="text1"/>
        </w:rPr>
        <w:t xml:space="preserve">enefits and </w:t>
      </w:r>
      <w:r w:rsidR="69ABE759" w:rsidRPr="1596C26B">
        <w:rPr>
          <w:color w:val="000000" w:themeColor="text1"/>
        </w:rPr>
        <w:t>R</w:t>
      </w:r>
      <w:r w:rsidRPr="1596C26B">
        <w:rPr>
          <w:color w:val="000000" w:themeColor="text1"/>
        </w:rPr>
        <w:t xml:space="preserve">enewable </w:t>
      </w:r>
      <w:r w:rsidR="5C600E58" w:rsidRPr="1596C26B">
        <w:rPr>
          <w:color w:val="000000" w:themeColor="text1"/>
        </w:rPr>
        <w:t>I</w:t>
      </w:r>
      <w:r w:rsidRPr="1596C26B">
        <w:rPr>
          <w:color w:val="000000" w:themeColor="text1"/>
        </w:rPr>
        <w:t xml:space="preserve">ntegration </w:t>
      </w:r>
      <w:r w:rsidR="09B73543" w:rsidRPr="1596C26B">
        <w:rPr>
          <w:color w:val="000000" w:themeColor="text1"/>
        </w:rPr>
        <w:t>B</w:t>
      </w:r>
      <w:r w:rsidRPr="1596C26B">
        <w:rPr>
          <w:color w:val="000000" w:themeColor="text1"/>
        </w:rPr>
        <w:t>enefits), the BESS Projects</w:t>
      </w:r>
      <w:r w:rsidR="003A007C" w:rsidRPr="1596C26B">
        <w:rPr>
          <w:color w:val="000000" w:themeColor="text1"/>
        </w:rPr>
        <w:t xml:space="preserve"> </w:t>
      </w:r>
      <w:r w:rsidRPr="1596C26B">
        <w:rPr>
          <w:color w:val="000000" w:themeColor="text1"/>
        </w:rPr>
        <w:t>yield a net cost to customers, as the combined benefits are not sufficient to outweigh the costs. This outcome is expected for a resource that is needed to meet capacity requirements.</w:t>
      </w:r>
    </w:p>
    <w:p w14:paraId="5C0E258B" w14:textId="77777777" w:rsidR="00F36E02" w:rsidRDefault="00F36E02" w:rsidP="1596C26B">
      <w:pPr>
        <w:keepNext/>
        <w:spacing w:before="240" w:line="480" w:lineRule="auto"/>
        <w:ind w:left="720" w:hanging="720"/>
        <w:jc w:val="both"/>
        <w:rPr>
          <w:b/>
          <w:bCs/>
          <w:color w:val="000000" w:themeColor="text1"/>
        </w:rPr>
      </w:pPr>
      <w:r w:rsidRPr="1596C26B">
        <w:rPr>
          <w:b/>
          <w:bCs/>
          <w:color w:val="000000" w:themeColor="text1"/>
        </w:rPr>
        <w:t>Q.</w:t>
      </w:r>
      <w:r>
        <w:tab/>
      </w:r>
      <w:r w:rsidRPr="1596C26B">
        <w:rPr>
          <w:b/>
          <w:bCs/>
          <w:color w:val="000000" w:themeColor="text1"/>
        </w:rPr>
        <w:t xml:space="preserve">PLEASE DESCRIBE THE COMPANY’S AUGMENTATION PLANS FOR THE FIVE BESS PROJECTS. </w:t>
      </w:r>
    </w:p>
    <w:p w14:paraId="25C33272" w14:textId="77777777" w:rsidR="00F36E02" w:rsidRDefault="00F36E02" w:rsidP="00F36E02">
      <w:pPr>
        <w:spacing w:line="480" w:lineRule="auto"/>
        <w:ind w:left="720" w:hanging="720"/>
        <w:jc w:val="both"/>
        <w:rPr>
          <w:color w:val="000000" w:themeColor="text1"/>
        </w:rPr>
      </w:pPr>
      <w:r w:rsidRPr="1596C26B">
        <w:rPr>
          <w:color w:val="000000" w:themeColor="text1"/>
        </w:rPr>
        <w:t>A.</w:t>
      </w:r>
      <w:r>
        <w:tab/>
      </w:r>
      <w:r w:rsidRPr="1596C26B">
        <w:rPr>
          <w:color w:val="000000" w:themeColor="text1"/>
        </w:rPr>
        <w:t>“Augmentation,” in the context of battery storage projects, refers to periodic modifications to the battery storage facilities to maintain the desired performance characteristics. Over time, the ability of BESS to store energy degrades, so a project that was able to deliver four hours of output at the time of commissioning will lose a portion of that duration. The owner of a BESS can make additional capital investments in the facility to maintain the target duration. This is important such that the projects can maintain the same reliability value to the grid.</w:t>
      </w:r>
    </w:p>
    <w:p w14:paraId="4C72F6EF" w14:textId="77777777" w:rsidR="00F36E02" w:rsidRDefault="00F36E02" w:rsidP="007454B0">
      <w:pPr>
        <w:keepNext/>
        <w:spacing w:before="240" w:line="480" w:lineRule="auto"/>
        <w:ind w:left="720" w:hanging="720"/>
        <w:jc w:val="both"/>
        <w:rPr>
          <w:b/>
          <w:bCs/>
          <w:color w:val="000000" w:themeColor="text1"/>
        </w:rPr>
      </w:pPr>
      <w:r>
        <w:rPr>
          <w:b/>
          <w:bCs/>
          <w:color w:val="000000" w:themeColor="text1"/>
        </w:rPr>
        <w:t>Q.</w:t>
      </w:r>
      <w:r>
        <w:rPr>
          <w:b/>
          <w:bCs/>
          <w:color w:val="000000" w:themeColor="text1"/>
        </w:rPr>
        <w:tab/>
        <w:t>WHAT ARE THE PRIMARY AUGMENTATION STRATEGIES USED IN THE INDUSTRY?</w:t>
      </w:r>
    </w:p>
    <w:p w14:paraId="71781F84" w14:textId="77777777" w:rsidR="00F36E02" w:rsidRDefault="00F36E02" w:rsidP="00F36E02">
      <w:pPr>
        <w:spacing w:line="480" w:lineRule="auto"/>
        <w:ind w:left="720" w:hanging="720"/>
        <w:jc w:val="both"/>
        <w:rPr>
          <w:color w:val="000000" w:themeColor="text1"/>
        </w:rPr>
      </w:pPr>
      <w:r w:rsidRPr="00305F64">
        <w:rPr>
          <w:color w:val="000000" w:themeColor="text1"/>
        </w:rPr>
        <w:t>A.</w:t>
      </w:r>
      <w:r>
        <w:rPr>
          <w:color w:val="000000" w:themeColor="text1"/>
        </w:rPr>
        <w:tab/>
        <w:t xml:space="preserve">There are two primary approaches to augmentation. First, a BESS owner can overbuild the battery project at the time of commissioning, to provide a buffer for the target duration and extend the time before an augmentation investment is made. The second approach is to build the project to the desired energy level at commissioning and make augmentation </w:t>
      </w:r>
      <w:r>
        <w:rPr>
          <w:color w:val="000000" w:themeColor="text1"/>
        </w:rPr>
        <w:lastRenderedPageBreak/>
        <w:t>investments once the battery degrades and can no longer deliver the desired duration (e.g. 4 hours).</w:t>
      </w:r>
    </w:p>
    <w:p w14:paraId="285DEBFD" w14:textId="267161B2" w:rsidR="00F36E02" w:rsidRDefault="00F36E02" w:rsidP="007454B0">
      <w:pPr>
        <w:spacing w:before="240" w:line="480" w:lineRule="auto"/>
        <w:ind w:left="720" w:hanging="720"/>
        <w:jc w:val="both"/>
        <w:rPr>
          <w:b/>
          <w:bCs/>
          <w:color w:val="000000" w:themeColor="text1"/>
        </w:rPr>
      </w:pPr>
      <w:r>
        <w:rPr>
          <w:b/>
          <w:bCs/>
          <w:color w:val="000000" w:themeColor="text1"/>
        </w:rPr>
        <w:t>Q.</w:t>
      </w:r>
      <w:r>
        <w:rPr>
          <w:b/>
          <w:bCs/>
          <w:color w:val="000000" w:themeColor="text1"/>
        </w:rPr>
        <w:tab/>
        <w:t xml:space="preserve">WHICH OF THE </w:t>
      </w:r>
      <w:r w:rsidR="006F772D">
        <w:rPr>
          <w:b/>
          <w:bCs/>
          <w:color w:val="000000" w:themeColor="text1"/>
        </w:rPr>
        <w:t xml:space="preserve">AUGMENTATION </w:t>
      </w:r>
      <w:r>
        <w:rPr>
          <w:b/>
          <w:bCs/>
          <w:color w:val="000000" w:themeColor="text1"/>
        </w:rPr>
        <w:t>STRATEGIES IS THE COMPANY PROPOSING</w:t>
      </w:r>
      <w:r w:rsidR="0022605E">
        <w:rPr>
          <w:b/>
          <w:bCs/>
          <w:color w:val="000000" w:themeColor="text1"/>
        </w:rPr>
        <w:t xml:space="preserve"> TO UTILIZE</w:t>
      </w:r>
      <w:r>
        <w:rPr>
          <w:b/>
          <w:bCs/>
          <w:color w:val="000000" w:themeColor="text1"/>
        </w:rPr>
        <w:t>?</w:t>
      </w:r>
    </w:p>
    <w:p w14:paraId="36330514" w14:textId="261E762F" w:rsidR="00F36E02" w:rsidRDefault="00F36E02" w:rsidP="00565105">
      <w:pPr>
        <w:spacing w:after="240" w:line="480" w:lineRule="auto"/>
        <w:ind w:left="720" w:hanging="720"/>
        <w:jc w:val="both"/>
        <w:rPr>
          <w:color w:val="000000" w:themeColor="text1"/>
        </w:rPr>
      </w:pPr>
      <w:r w:rsidRPr="1596C26B">
        <w:rPr>
          <w:color w:val="000000" w:themeColor="text1"/>
        </w:rPr>
        <w:t>A.</w:t>
      </w:r>
      <w:r>
        <w:tab/>
      </w:r>
      <w:r w:rsidRPr="1596C26B">
        <w:rPr>
          <w:color w:val="000000" w:themeColor="text1"/>
        </w:rPr>
        <w:t xml:space="preserve">The Company </w:t>
      </w:r>
      <w:r w:rsidR="00565105" w:rsidRPr="1596C26B">
        <w:rPr>
          <w:color w:val="000000" w:themeColor="text1"/>
        </w:rPr>
        <w:t>proposes</w:t>
      </w:r>
      <w:r w:rsidRPr="1596C26B">
        <w:rPr>
          <w:color w:val="000000" w:themeColor="text1"/>
        </w:rPr>
        <w:t xml:space="preserve"> </w:t>
      </w:r>
      <w:r w:rsidR="006F772D">
        <w:rPr>
          <w:color w:val="000000" w:themeColor="text1"/>
        </w:rPr>
        <w:t xml:space="preserve">to use </w:t>
      </w:r>
      <w:r w:rsidRPr="1596C26B">
        <w:rPr>
          <w:color w:val="000000" w:themeColor="text1"/>
        </w:rPr>
        <w:t xml:space="preserve">both strategies. For the Robins and Moody Projects, the Company is sizing the projects to their full target size at commissioning and starting augmentation sooner </w:t>
      </w:r>
      <w:r w:rsidR="001E11A4" w:rsidRPr="001E11A4">
        <w:rPr>
          <w:color w:val="000000" w:themeColor="text1"/>
          <w:highlight w:val="black"/>
        </w:rPr>
        <w:t>XXXXXX</w:t>
      </w:r>
      <w:r w:rsidRPr="1596C26B">
        <w:rPr>
          <w:color w:val="000000" w:themeColor="text1"/>
        </w:rPr>
        <w:t xml:space="preserve">. For the Hammond and McGrau Ford Phases I and II Projects, the Company is slightly overbuilding the projects and beginning augmentation later </w:t>
      </w:r>
      <w:r w:rsidR="001E11A4" w:rsidRPr="001E11A4">
        <w:rPr>
          <w:color w:val="000000" w:themeColor="text1"/>
          <w:highlight w:val="black"/>
        </w:rPr>
        <w:t>XXXXXXX</w:t>
      </w:r>
      <w:r w:rsidRPr="1596C26B">
        <w:rPr>
          <w:color w:val="000000" w:themeColor="text1"/>
        </w:rPr>
        <w:t>. The Company told Staff during informal discussions that the Company is pursuing this strategy in order to provide a balanced approach. For example, the project will need to be taken out of service for a short period when the augmentation investments are put in service, and with the Company’s approach, all five of the projects will not need to be taken out of service during the same year for the investment.</w:t>
      </w:r>
    </w:p>
    <w:p w14:paraId="5E56A4A2" w14:textId="77777777" w:rsidR="00F36E02" w:rsidRDefault="00F36E02" w:rsidP="00F36E02">
      <w:pPr>
        <w:spacing w:line="480" w:lineRule="auto"/>
        <w:ind w:left="720"/>
        <w:jc w:val="both"/>
        <w:rPr>
          <w:color w:val="000000" w:themeColor="text1"/>
        </w:rPr>
      </w:pPr>
      <w:r>
        <w:rPr>
          <w:color w:val="000000" w:themeColor="text1"/>
        </w:rPr>
        <w:t>The figure below depicts the cumulative cost of the augmentation investments for each project on a $/kW basis. Note that the data is presented on a per-kW basis, so the Robins and Moody Projects trends appear similar to each other, as do the Hammond and McGrau Ford Phase II trends. The McGrau Ford Phase I Project has a lower augmentation cost due to the fact that it is a 2-hour battery rather than a 4-hour battery.</w:t>
      </w:r>
    </w:p>
    <w:p w14:paraId="3CF6C8EC" w14:textId="3AEF07A3" w:rsidR="00F36E02" w:rsidRDefault="00D961C2" w:rsidP="00F36E02">
      <w:pPr>
        <w:keepNext/>
        <w:spacing w:line="480" w:lineRule="auto"/>
        <w:ind w:left="720" w:hanging="720"/>
        <w:jc w:val="center"/>
      </w:pPr>
      <w:r>
        <w:rPr>
          <w:noProof/>
        </w:rPr>
        <w:lastRenderedPageBreak/>
        <w:drawing>
          <wp:inline distT="0" distB="0" distL="0" distR="0" wp14:anchorId="38E6E7DC" wp14:editId="05428EB9">
            <wp:extent cx="4554220" cy="2561748"/>
            <wp:effectExtent l="0" t="0" r="0" b="0"/>
            <wp:docPr id="175516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6747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554220" cy="2561748"/>
                    </a:xfrm>
                    <a:prstGeom prst="rect">
                      <a:avLst/>
                    </a:prstGeom>
                    <a:noFill/>
                  </pic:spPr>
                </pic:pic>
              </a:graphicData>
            </a:graphic>
          </wp:inline>
        </w:drawing>
      </w:r>
    </w:p>
    <w:p w14:paraId="6286D90E" w14:textId="069D8060" w:rsidR="00F36E02" w:rsidRPr="00D226A4" w:rsidRDefault="00367745" w:rsidP="00F36E02">
      <w:pPr>
        <w:pStyle w:val="Caption"/>
        <w:jc w:val="center"/>
        <w:rPr>
          <w:color w:val="auto"/>
          <w:sz w:val="24"/>
          <w:szCs w:val="24"/>
        </w:rPr>
      </w:pPr>
      <w:r w:rsidRPr="00D226A4">
        <w:rPr>
          <w:color w:val="auto"/>
          <w:sz w:val="24"/>
          <w:szCs w:val="24"/>
        </w:rPr>
        <w:t>T</w:t>
      </w:r>
      <w:r w:rsidR="003A007C" w:rsidRPr="00D226A4">
        <w:rPr>
          <w:color w:val="auto"/>
          <w:sz w:val="24"/>
          <w:szCs w:val="24"/>
        </w:rPr>
        <w:t>S</w:t>
      </w:r>
      <w:r w:rsidRPr="00D226A4">
        <w:rPr>
          <w:color w:val="auto"/>
          <w:sz w:val="24"/>
          <w:szCs w:val="24"/>
        </w:rPr>
        <w:t xml:space="preserve"> </w:t>
      </w:r>
      <w:r w:rsidR="00F36E02" w:rsidRPr="00D226A4">
        <w:rPr>
          <w:color w:val="auto"/>
          <w:sz w:val="24"/>
          <w:szCs w:val="24"/>
        </w:rPr>
        <w:t xml:space="preserve">Figure </w:t>
      </w:r>
      <w:r w:rsidRPr="00D226A4">
        <w:rPr>
          <w:color w:val="auto"/>
          <w:sz w:val="24"/>
          <w:szCs w:val="24"/>
        </w:rPr>
        <w:fldChar w:fldCharType="begin"/>
      </w:r>
      <w:r w:rsidRPr="00D226A4">
        <w:rPr>
          <w:color w:val="auto"/>
          <w:sz w:val="24"/>
          <w:szCs w:val="24"/>
        </w:rPr>
        <w:instrText xml:space="preserve"> SEQ Figure \* ARABIC </w:instrText>
      </w:r>
      <w:r w:rsidRPr="00D226A4">
        <w:rPr>
          <w:color w:val="auto"/>
          <w:sz w:val="24"/>
          <w:szCs w:val="24"/>
        </w:rPr>
        <w:fldChar w:fldCharType="separate"/>
      </w:r>
      <w:r w:rsidR="00F36E02" w:rsidRPr="00D226A4">
        <w:rPr>
          <w:noProof/>
          <w:color w:val="auto"/>
          <w:sz w:val="24"/>
          <w:szCs w:val="24"/>
        </w:rPr>
        <w:t>1</w:t>
      </w:r>
      <w:r w:rsidRPr="00D226A4">
        <w:rPr>
          <w:noProof/>
          <w:color w:val="auto"/>
          <w:sz w:val="24"/>
          <w:szCs w:val="24"/>
        </w:rPr>
        <w:fldChar w:fldCharType="end"/>
      </w:r>
      <w:r w:rsidR="00F36E02" w:rsidRPr="00D226A4">
        <w:rPr>
          <w:color w:val="auto"/>
          <w:sz w:val="24"/>
          <w:szCs w:val="24"/>
        </w:rPr>
        <w:t xml:space="preserve">. Augmentation </w:t>
      </w:r>
      <w:r w:rsidR="00AD578F">
        <w:rPr>
          <w:color w:val="auto"/>
          <w:sz w:val="24"/>
          <w:szCs w:val="24"/>
        </w:rPr>
        <w:t>C</w:t>
      </w:r>
      <w:r w:rsidR="00F36E02" w:rsidRPr="00D226A4">
        <w:rPr>
          <w:color w:val="auto"/>
          <w:sz w:val="24"/>
          <w:szCs w:val="24"/>
        </w:rPr>
        <w:t xml:space="preserve">ost, Cumulative </w:t>
      </w:r>
      <w:r w:rsidR="00AD578F">
        <w:rPr>
          <w:color w:val="auto"/>
          <w:sz w:val="24"/>
          <w:szCs w:val="24"/>
        </w:rPr>
        <w:t>P</w:t>
      </w:r>
      <w:r w:rsidR="00F36E02" w:rsidRPr="00D226A4">
        <w:rPr>
          <w:color w:val="auto"/>
          <w:sz w:val="24"/>
          <w:szCs w:val="24"/>
        </w:rPr>
        <w:t xml:space="preserve">resent </w:t>
      </w:r>
      <w:r w:rsidR="00AD578F">
        <w:rPr>
          <w:color w:val="auto"/>
          <w:sz w:val="24"/>
          <w:szCs w:val="24"/>
        </w:rPr>
        <w:t>V</w:t>
      </w:r>
      <w:r w:rsidR="00F36E02" w:rsidRPr="00D226A4">
        <w:rPr>
          <w:color w:val="auto"/>
          <w:sz w:val="24"/>
          <w:szCs w:val="24"/>
        </w:rPr>
        <w:t>alue ($/kW, 2024$)</w:t>
      </w:r>
    </w:p>
    <w:p w14:paraId="7888A1CD" w14:textId="77777777" w:rsidR="00F36E02" w:rsidRDefault="00F36E02" w:rsidP="007454B0">
      <w:pPr>
        <w:keepNext/>
        <w:spacing w:before="480" w:line="480" w:lineRule="auto"/>
        <w:ind w:left="720" w:hanging="720"/>
        <w:jc w:val="both"/>
        <w:rPr>
          <w:b/>
          <w:bCs/>
          <w:color w:val="000000" w:themeColor="text1"/>
        </w:rPr>
      </w:pPr>
      <w:r w:rsidRPr="1596C26B">
        <w:rPr>
          <w:b/>
          <w:bCs/>
          <w:color w:val="000000" w:themeColor="text1"/>
        </w:rPr>
        <w:t>Q.</w:t>
      </w:r>
      <w:r>
        <w:tab/>
      </w:r>
      <w:r w:rsidRPr="1596C26B">
        <w:rPr>
          <w:b/>
          <w:bCs/>
          <w:color w:val="000000" w:themeColor="text1"/>
        </w:rPr>
        <w:t>DOES STAFF AGREE WITH THE COMPANY’S APPROACH?</w:t>
      </w:r>
    </w:p>
    <w:p w14:paraId="2CB42FD5" w14:textId="31999A24" w:rsidR="00F36E02" w:rsidRPr="00B01CD3" w:rsidRDefault="00F36E02" w:rsidP="00F36E02">
      <w:pPr>
        <w:spacing w:line="480" w:lineRule="auto"/>
        <w:ind w:left="720" w:hanging="720"/>
        <w:jc w:val="both"/>
        <w:rPr>
          <w:color w:val="000000" w:themeColor="text1"/>
        </w:rPr>
      </w:pPr>
      <w:r w:rsidRPr="42009F64">
        <w:rPr>
          <w:color w:val="000000" w:themeColor="text1"/>
        </w:rPr>
        <w:t>A.</w:t>
      </w:r>
      <w:r>
        <w:tab/>
      </w:r>
      <w:r w:rsidRPr="42009F64">
        <w:rPr>
          <w:color w:val="000000" w:themeColor="text1"/>
        </w:rPr>
        <w:t xml:space="preserve">Yes. </w:t>
      </w:r>
      <w:r w:rsidR="003A007C">
        <w:rPr>
          <w:color w:val="000000" w:themeColor="text1"/>
        </w:rPr>
        <w:t xml:space="preserve">Staff agrees with the Company’s </w:t>
      </w:r>
      <w:r w:rsidR="0022605E">
        <w:rPr>
          <w:color w:val="000000" w:themeColor="text1"/>
        </w:rPr>
        <w:t xml:space="preserve">augmentation </w:t>
      </w:r>
      <w:r w:rsidR="00565105" w:rsidRPr="42009F64">
        <w:rPr>
          <w:color w:val="000000" w:themeColor="text1"/>
        </w:rPr>
        <w:t>strategy,</w:t>
      </w:r>
      <w:r w:rsidRPr="42009F64">
        <w:rPr>
          <w:color w:val="000000" w:themeColor="text1"/>
        </w:rPr>
        <w:t xml:space="preserve"> </w:t>
      </w:r>
      <w:r w:rsidR="003A007C">
        <w:rPr>
          <w:color w:val="000000" w:themeColor="text1"/>
        </w:rPr>
        <w:t xml:space="preserve">which </w:t>
      </w:r>
      <w:r w:rsidRPr="42009F64">
        <w:rPr>
          <w:color w:val="000000" w:themeColor="text1"/>
        </w:rPr>
        <w:t>represents a reasonable balance of risks and provides some operational benefits</w:t>
      </w:r>
      <w:r w:rsidR="003A007C">
        <w:rPr>
          <w:color w:val="000000" w:themeColor="text1"/>
        </w:rPr>
        <w:t>.</w:t>
      </w:r>
    </w:p>
    <w:p w14:paraId="179BC9AF" w14:textId="0863BFB7" w:rsidR="00F36E02" w:rsidRDefault="00F36E02" w:rsidP="1596C26B">
      <w:pPr>
        <w:keepNext/>
        <w:spacing w:before="240" w:line="480" w:lineRule="auto"/>
        <w:ind w:left="720" w:hanging="720"/>
        <w:jc w:val="both"/>
        <w:rPr>
          <w:b/>
          <w:bCs/>
          <w:color w:val="000000" w:themeColor="text1"/>
        </w:rPr>
      </w:pPr>
      <w:r w:rsidRPr="1596C26B">
        <w:rPr>
          <w:b/>
          <w:bCs/>
          <w:color w:val="000000" w:themeColor="text1"/>
        </w:rPr>
        <w:t>Q.</w:t>
      </w:r>
      <w:r>
        <w:tab/>
      </w:r>
      <w:r w:rsidRPr="1596C26B">
        <w:rPr>
          <w:b/>
          <w:bCs/>
          <w:color w:val="000000" w:themeColor="text1"/>
        </w:rPr>
        <w:t xml:space="preserve">WHAT PORTION OF THE COSTS OF THE BESS PROJECTS ARE RELATED TO </w:t>
      </w:r>
      <w:r w:rsidR="00565105" w:rsidRPr="1596C26B">
        <w:rPr>
          <w:b/>
          <w:bCs/>
          <w:color w:val="000000" w:themeColor="text1"/>
        </w:rPr>
        <w:t>THE AUGMENTATION</w:t>
      </w:r>
      <w:r w:rsidRPr="1596C26B">
        <w:rPr>
          <w:b/>
          <w:bCs/>
          <w:color w:val="000000" w:themeColor="text1"/>
        </w:rPr>
        <w:t>?</w:t>
      </w:r>
    </w:p>
    <w:p w14:paraId="4E95071B" w14:textId="685E2C82" w:rsidR="00F36E02" w:rsidDel="00F96125" w:rsidRDefault="00F36E02" w:rsidP="00F36E02">
      <w:pPr>
        <w:spacing w:line="480" w:lineRule="auto"/>
        <w:ind w:left="720" w:hanging="720"/>
        <w:jc w:val="both"/>
        <w:rPr>
          <w:color w:val="000000" w:themeColor="text1"/>
        </w:rPr>
      </w:pPr>
      <w:r w:rsidRPr="42009F64">
        <w:rPr>
          <w:color w:val="000000" w:themeColor="text1"/>
        </w:rPr>
        <w:t>A.</w:t>
      </w:r>
      <w:r>
        <w:tab/>
      </w:r>
      <w:r w:rsidRPr="42009F64">
        <w:rPr>
          <w:color w:val="000000" w:themeColor="text1"/>
        </w:rPr>
        <w:t xml:space="preserve">For the Robins and Moody </w:t>
      </w:r>
      <w:r>
        <w:rPr>
          <w:color w:val="000000" w:themeColor="text1"/>
        </w:rPr>
        <w:t>P</w:t>
      </w:r>
      <w:r w:rsidRPr="42009F64">
        <w:rPr>
          <w:color w:val="000000" w:themeColor="text1"/>
        </w:rPr>
        <w:t xml:space="preserve">rojects, the </w:t>
      </w:r>
      <w:r w:rsidR="00EE5D50">
        <w:rPr>
          <w:color w:val="000000" w:themeColor="text1"/>
        </w:rPr>
        <w:t xml:space="preserve">NPV </w:t>
      </w:r>
      <w:r w:rsidRPr="42009F64">
        <w:rPr>
          <w:color w:val="000000" w:themeColor="text1"/>
        </w:rPr>
        <w:t xml:space="preserve">of the cost of augmentation capital is approximately </w:t>
      </w:r>
      <w:r w:rsidR="00F3056A" w:rsidRPr="00F3056A">
        <w:rPr>
          <w:highlight w:val="black"/>
        </w:rPr>
        <w:t>XXXX</w:t>
      </w:r>
      <w:r w:rsidRPr="42009F64">
        <w:rPr>
          <w:color w:val="000000" w:themeColor="text1"/>
        </w:rPr>
        <w:t xml:space="preserve"> or slightly less than </w:t>
      </w:r>
      <w:r w:rsidR="00F3056A" w:rsidRPr="00F3056A">
        <w:rPr>
          <w:color w:val="000000" w:themeColor="text1"/>
          <w:highlight w:val="black"/>
        </w:rPr>
        <w:t>XX</w:t>
      </w:r>
      <w:r w:rsidRPr="42009F64">
        <w:rPr>
          <w:color w:val="000000" w:themeColor="text1"/>
        </w:rPr>
        <w:t xml:space="preserve"> of the total asset revenue </w:t>
      </w:r>
      <w:proofErr w:type="gramStart"/>
      <w:r w:rsidRPr="42009F64">
        <w:rPr>
          <w:color w:val="000000" w:themeColor="text1"/>
        </w:rPr>
        <w:t>requirement</w:t>
      </w:r>
      <w:proofErr w:type="gramEnd"/>
      <w:r w:rsidRPr="42009F64">
        <w:rPr>
          <w:color w:val="000000" w:themeColor="text1"/>
        </w:rPr>
        <w:t xml:space="preserve">. For the Hammond and McGrau Ford </w:t>
      </w:r>
      <w:r>
        <w:rPr>
          <w:color w:val="000000" w:themeColor="text1"/>
        </w:rPr>
        <w:t>P</w:t>
      </w:r>
      <w:r w:rsidRPr="42009F64">
        <w:rPr>
          <w:color w:val="000000" w:themeColor="text1"/>
        </w:rPr>
        <w:t xml:space="preserve">rojects, which are designed to be overbuilt, the cost of augmentation is </w:t>
      </w:r>
      <w:r w:rsidR="00F3056A" w:rsidRPr="00DF6619">
        <w:rPr>
          <w:color w:val="000000" w:themeColor="text1"/>
          <w:highlight w:val="black"/>
        </w:rPr>
        <w:t>XXX</w:t>
      </w:r>
      <w:r w:rsidRPr="42009F64">
        <w:rPr>
          <w:color w:val="000000" w:themeColor="text1"/>
        </w:rPr>
        <w:t>. The table below summarizes the values for each project</w:t>
      </w:r>
      <w:r>
        <w:rPr>
          <w:color w:val="000000" w:themeColor="text1"/>
        </w:rPr>
        <w:t>:</w:t>
      </w:r>
    </w:p>
    <w:p w14:paraId="463E6A0E" w14:textId="7FC0B042" w:rsidR="00F36E02" w:rsidRPr="003A007C" w:rsidRDefault="00F36E02" w:rsidP="00F36E02">
      <w:pPr>
        <w:pStyle w:val="Caption"/>
        <w:keepNext/>
        <w:jc w:val="center"/>
        <w:rPr>
          <w:color w:val="auto"/>
          <w:sz w:val="24"/>
          <w:szCs w:val="24"/>
        </w:rPr>
      </w:pPr>
      <w:r w:rsidRPr="003A007C">
        <w:rPr>
          <w:color w:val="auto"/>
          <w:sz w:val="24"/>
          <w:szCs w:val="24"/>
        </w:rPr>
        <w:lastRenderedPageBreak/>
        <w:t xml:space="preserve">Table </w:t>
      </w:r>
      <w:r w:rsidR="001F1912">
        <w:rPr>
          <w:color w:val="auto"/>
          <w:sz w:val="24"/>
          <w:szCs w:val="24"/>
        </w:rPr>
        <w:t>9</w:t>
      </w:r>
      <w:r w:rsidRPr="003A007C">
        <w:rPr>
          <w:color w:val="auto"/>
          <w:sz w:val="24"/>
          <w:szCs w:val="24"/>
        </w:rPr>
        <w:t xml:space="preserve">. Augmentation </w:t>
      </w:r>
      <w:r w:rsidR="00770ED5">
        <w:rPr>
          <w:color w:val="auto"/>
          <w:sz w:val="24"/>
          <w:szCs w:val="24"/>
        </w:rPr>
        <w:t>C</w:t>
      </w:r>
      <w:r w:rsidRPr="003A007C">
        <w:rPr>
          <w:color w:val="auto"/>
          <w:sz w:val="24"/>
          <w:szCs w:val="24"/>
        </w:rPr>
        <w:t xml:space="preserve">osts by </w:t>
      </w:r>
      <w:r w:rsidR="00770ED5">
        <w:rPr>
          <w:color w:val="auto"/>
          <w:sz w:val="24"/>
          <w:szCs w:val="24"/>
        </w:rPr>
        <w:t>P</w:t>
      </w:r>
      <w:r w:rsidRPr="003A007C">
        <w:rPr>
          <w:color w:val="auto"/>
          <w:sz w:val="24"/>
          <w:szCs w:val="24"/>
        </w:rPr>
        <w:t>roject</w:t>
      </w:r>
    </w:p>
    <w:tbl>
      <w:tblPr>
        <w:tblStyle w:val="TableGrid"/>
        <w:tblW w:w="8813" w:type="dxa"/>
        <w:tblInd w:w="720" w:type="dxa"/>
        <w:tblLook w:val="04A0" w:firstRow="1" w:lastRow="0" w:firstColumn="1" w:lastColumn="0" w:noHBand="0" w:noVBand="1"/>
      </w:tblPr>
      <w:tblGrid>
        <w:gridCol w:w="1683"/>
        <w:gridCol w:w="816"/>
        <w:gridCol w:w="1116"/>
        <w:gridCol w:w="996"/>
        <w:gridCol w:w="1310"/>
        <w:gridCol w:w="1776"/>
        <w:gridCol w:w="1116"/>
      </w:tblGrid>
      <w:tr w:rsidR="00C0065B" w14:paraId="316EFED1" w14:textId="77777777" w:rsidTr="005D6708">
        <w:trPr>
          <w:trHeight w:val="310"/>
        </w:trPr>
        <w:tc>
          <w:tcPr>
            <w:tcW w:w="2499" w:type="dxa"/>
            <w:gridSpan w:val="2"/>
            <w:vAlign w:val="bottom"/>
          </w:tcPr>
          <w:p w14:paraId="77AB26D4" w14:textId="77777777" w:rsidR="00C0065B" w:rsidRPr="00733950" w:rsidRDefault="00C0065B" w:rsidP="00864FA3">
            <w:pPr>
              <w:pStyle w:val="NoSpacing"/>
              <w:keepNext/>
            </w:pPr>
          </w:p>
        </w:tc>
        <w:tc>
          <w:tcPr>
            <w:tcW w:w="1116" w:type="dxa"/>
            <w:vAlign w:val="center"/>
          </w:tcPr>
          <w:p w14:paraId="491707C0" w14:textId="77777777" w:rsidR="00C0065B" w:rsidRPr="00733950" w:rsidRDefault="00C0065B" w:rsidP="00864FA3">
            <w:pPr>
              <w:pStyle w:val="NoSpacing"/>
              <w:keepNext/>
              <w:jc w:val="center"/>
              <w:rPr>
                <w:b/>
                <w:bCs/>
              </w:rPr>
            </w:pPr>
            <w:r w:rsidRPr="00733950">
              <w:rPr>
                <w:b/>
                <w:bCs/>
                <w:color w:val="000000"/>
              </w:rPr>
              <w:t>Robins</w:t>
            </w:r>
          </w:p>
        </w:tc>
        <w:tc>
          <w:tcPr>
            <w:tcW w:w="996" w:type="dxa"/>
            <w:vAlign w:val="center"/>
          </w:tcPr>
          <w:p w14:paraId="139126FF" w14:textId="77777777" w:rsidR="00C0065B" w:rsidRPr="00733950" w:rsidRDefault="00C0065B" w:rsidP="00864FA3">
            <w:pPr>
              <w:pStyle w:val="NoSpacing"/>
              <w:keepNext/>
              <w:jc w:val="center"/>
              <w:rPr>
                <w:b/>
                <w:bCs/>
              </w:rPr>
            </w:pPr>
            <w:r w:rsidRPr="00733950">
              <w:rPr>
                <w:b/>
                <w:bCs/>
                <w:color w:val="000000"/>
              </w:rPr>
              <w:t>Moody</w:t>
            </w:r>
          </w:p>
        </w:tc>
        <w:tc>
          <w:tcPr>
            <w:tcW w:w="1310" w:type="dxa"/>
            <w:vAlign w:val="center"/>
          </w:tcPr>
          <w:p w14:paraId="4291BABC" w14:textId="77777777" w:rsidR="00C0065B" w:rsidRPr="00733950" w:rsidRDefault="00C0065B" w:rsidP="00864FA3">
            <w:pPr>
              <w:pStyle w:val="NoSpacing"/>
              <w:keepNext/>
              <w:jc w:val="center"/>
              <w:rPr>
                <w:b/>
                <w:bCs/>
              </w:rPr>
            </w:pPr>
            <w:r w:rsidRPr="00733950">
              <w:rPr>
                <w:b/>
                <w:bCs/>
                <w:color w:val="000000"/>
              </w:rPr>
              <w:t>Hammond</w:t>
            </w:r>
          </w:p>
        </w:tc>
        <w:tc>
          <w:tcPr>
            <w:tcW w:w="1776" w:type="dxa"/>
            <w:vAlign w:val="center"/>
          </w:tcPr>
          <w:p w14:paraId="63C6156F" w14:textId="7F438F40" w:rsidR="00C0065B" w:rsidRPr="00733950" w:rsidRDefault="00C0065B" w:rsidP="00864FA3">
            <w:pPr>
              <w:pStyle w:val="NoSpacing"/>
              <w:keepNext/>
              <w:jc w:val="center"/>
              <w:rPr>
                <w:b/>
                <w:bCs/>
                <w:color w:val="000000"/>
              </w:rPr>
            </w:pPr>
            <w:r w:rsidRPr="00733950">
              <w:rPr>
                <w:b/>
                <w:bCs/>
                <w:color w:val="000000"/>
              </w:rPr>
              <w:t>McGrau Ford I</w:t>
            </w:r>
          </w:p>
        </w:tc>
        <w:tc>
          <w:tcPr>
            <w:tcW w:w="1116" w:type="dxa"/>
            <w:vAlign w:val="center"/>
          </w:tcPr>
          <w:p w14:paraId="6BB59DAE" w14:textId="2032626E" w:rsidR="00C0065B" w:rsidRPr="00733950" w:rsidRDefault="00C0065B" w:rsidP="00864FA3">
            <w:pPr>
              <w:pStyle w:val="NoSpacing"/>
              <w:keepNext/>
              <w:jc w:val="center"/>
              <w:rPr>
                <w:b/>
                <w:bCs/>
              </w:rPr>
            </w:pPr>
            <w:r w:rsidRPr="00733950">
              <w:rPr>
                <w:b/>
                <w:bCs/>
                <w:color w:val="000000"/>
              </w:rPr>
              <w:t>McGrau Ford II</w:t>
            </w:r>
          </w:p>
        </w:tc>
      </w:tr>
      <w:tr w:rsidR="00C0065B" w14:paraId="1DF8AF88" w14:textId="77777777" w:rsidTr="005D6708">
        <w:trPr>
          <w:trHeight w:val="310"/>
        </w:trPr>
        <w:tc>
          <w:tcPr>
            <w:tcW w:w="2499" w:type="dxa"/>
            <w:gridSpan w:val="2"/>
            <w:vAlign w:val="bottom"/>
          </w:tcPr>
          <w:p w14:paraId="6B6330A0" w14:textId="07857A53" w:rsidR="00C0065B" w:rsidRPr="005D6708" w:rsidRDefault="00C0065B" w:rsidP="00864FA3">
            <w:pPr>
              <w:pStyle w:val="NoSpacing"/>
              <w:keepNext/>
              <w:rPr>
                <w:b/>
                <w:bCs/>
              </w:rPr>
            </w:pPr>
            <w:r w:rsidRPr="005D6708">
              <w:rPr>
                <w:b/>
                <w:bCs/>
              </w:rPr>
              <w:t>Nameplate Capacity (MW)</w:t>
            </w:r>
          </w:p>
        </w:tc>
        <w:tc>
          <w:tcPr>
            <w:tcW w:w="1116" w:type="dxa"/>
            <w:vAlign w:val="center"/>
          </w:tcPr>
          <w:p w14:paraId="574D5918" w14:textId="5D8EB784" w:rsidR="00C0065B" w:rsidRPr="005D6708" w:rsidRDefault="00E36437" w:rsidP="005D6708">
            <w:pPr>
              <w:pStyle w:val="NoSpacing"/>
              <w:keepNext/>
              <w:jc w:val="right"/>
              <w:rPr>
                <w:color w:val="000000"/>
              </w:rPr>
            </w:pPr>
            <w:r w:rsidRPr="005D6708">
              <w:rPr>
                <w:color w:val="000000"/>
              </w:rPr>
              <w:t>128</w:t>
            </w:r>
          </w:p>
        </w:tc>
        <w:tc>
          <w:tcPr>
            <w:tcW w:w="996" w:type="dxa"/>
            <w:vAlign w:val="center"/>
          </w:tcPr>
          <w:p w14:paraId="4D5FC802" w14:textId="4BE81FE1" w:rsidR="00C0065B" w:rsidRPr="005D6708" w:rsidRDefault="00E36437" w:rsidP="005D6708">
            <w:pPr>
              <w:pStyle w:val="NoSpacing"/>
              <w:keepNext/>
              <w:jc w:val="right"/>
              <w:rPr>
                <w:color w:val="000000"/>
              </w:rPr>
            </w:pPr>
            <w:r w:rsidRPr="005D6708">
              <w:rPr>
                <w:color w:val="000000"/>
              </w:rPr>
              <w:t>49.5</w:t>
            </w:r>
          </w:p>
        </w:tc>
        <w:tc>
          <w:tcPr>
            <w:tcW w:w="1310" w:type="dxa"/>
            <w:vAlign w:val="center"/>
          </w:tcPr>
          <w:p w14:paraId="6E88C9D8" w14:textId="1F15B16B" w:rsidR="00C0065B" w:rsidRPr="005D6708" w:rsidRDefault="00E36437" w:rsidP="005D6708">
            <w:pPr>
              <w:pStyle w:val="NoSpacing"/>
              <w:keepNext/>
              <w:jc w:val="right"/>
              <w:rPr>
                <w:color w:val="000000"/>
              </w:rPr>
            </w:pPr>
            <w:r w:rsidRPr="005D6708">
              <w:rPr>
                <w:color w:val="000000"/>
              </w:rPr>
              <w:t>57.5</w:t>
            </w:r>
          </w:p>
        </w:tc>
        <w:tc>
          <w:tcPr>
            <w:tcW w:w="1776" w:type="dxa"/>
            <w:vAlign w:val="center"/>
          </w:tcPr>
          <w:p w14:paraId="10B44A80" w14:textId="7EC6760F" w:rsidR="00C0065B" w:rsidRPr="005D6708" w:rsidRDefault="00E36437" w:rsidP="005D6708">
            <w:pPr>
              <w:pStyle w:val="NoSpacing"/>
              <w:keepNext/>
              <w:jc w:val="right"/>
              <w:rPr>
                <w:color w:val="000000"/>
              </w:rPr>
            </w:pPr>
            <w:r w:rsidRPr="005D6708">
              <w:rPr>
                <w:color w:val="000000"/>
              </w:rPr>
              <w:t>265</w:t>
            </w:r>
          </w:p>
        </w:tc>
        <w:tc>
          <w:tcPr>
            <w:tcW w:w="1116" w:type="dxa"/>
            <w:vAlign w:val="center"/>
          </w:tcPr>
          <w:p w14:paraId="6F9ABAAF" w14:textId="71AB3C8A" w:rsidR="00C0065B" w:rsidRPr="005D6708" w:rsidRDefault="00E36437" w:rsidP="005D6708">
            <w:pPr>
              <w:pStyle w:val="NoSpacing"/>
              <w:keepNext/>
              <w:jc w:val="right"/>
              <w:rPr>
                <w:color w:val="000000"/>
              </w:rPr>
            </w:pPr>
            <w:r w:rsidRPr="005D6708">
              <w:rPr>
                <w:color w:val="000000"/>
              </w:rPr>
              <w:t>265</w:t>
            </w:r>
          </w:p>
        </w:tc>
      </w:tr>
      <w:tr w:rsidR="00032DCD" w14:paraId="646880F2" w14:textId="77777777" w:rsidTr="00032DCD">
        <w:trPr>
          <w:trHeight w:val="310"/>
        </w:trPr>
        <w:tc>
          <w:tcPr>
            <w:tcW w:w="1683" w:type="dxa"/>
            <w:vAlign w:val="bottom"/>
          </w:tcPr>
          <w:p w14:paraId="0A327344" w14:textId="77777777" w:rsidR="00D961C2" w:rsidRPr="00733950" w:rsidRDefault="00D961C2" w:rsidP="00D961C2">
            <w:pPr>
              <w:pStyle w:val="NoSpacing"/>
              <w:keepNext/>
              <w:rPr>
                <w:b/>
                <w:bCs/>
              </w:rPr>
            </w:pPr>
            <w:r w:rsidRPr="00733950">
              <w:rPr>
                <w:b/>
                <w:bCs/>
                <w:color w:val="000000"/>
              </w:rPr>
              <w:t>Total Revenue Requirement</w:t>
            </w:r>
          </w:p>
        </w:tc>
        <w:tc>
          <w:tcPr>
            <w:tcW w:w="816" w:type="dxa"/>
            <w:vAlign w:val="bottom"/>
          </w:tcPr>
          <w:p w14:paraId="4C7CBB4A" w14:textId="77777777" w:rsidR="00D961C2" w:rsidRPr="00733950" w:rsidRDefault="00D961C2" w:rsidP="00D961C2">
            <w:pPr>
              <w:pStyle w:val="NoSpacing"/>
              <w:keepNext/>
              <w:jc w:val="center"/>
            </w:pPr>
            <w:r w:rsidRPr="00733950">
              <w:rPr>
                <w:color w:val="000000"/>
              </w:rPr>
              <w:t>$000 NPV, 2024$</w:t>
            </w:r>
          </w:p>
        </w:tc>
        <w:tc>
          <w:tcPr>
            <w:tcW w:w="1116" w:type="dxa"/>
            <w:vAlign w:val="bottom"/>
          </w:tcPr>
          <w:p w14:paraId="288CD87C" w14:textId="3900B7B3" w:rsidR="00D961C2" w:rsidRPr="00DF6619" w:rsidRDefault="00DF6619" w:rsidP="00D961C2">
            <w:pPr>
              <w:pStyle w:val="NoSpacing"/>
              <w:keepNext/>
              <w:jc w:val="right"/>
              <w:rPr>
                <w:highlight w:val="black"/>
              </w:rPr>
            </w:pPr>
            <w:r w:rsidRPr="00DF6619">
              <w:rPr>
                <w:highlight w:val="black"/>
              </w:rPr>
              <w:t>XXX</w:t>
            </w:r>
          </w:p>
        </w:tc>
        <w:tc>
          <w:tcPr>
            <w:tcW w:w="996" w:type="dxa"/>
            <w:vAlign w:val="bottom"/>
          </w:tcPr>
          <w:p w14:paraId="3E59DF18" w14:textId="2C5D31BF" w:rsidR="00D961C2" w:rsidRPr="00DF6619" w:rsidRDefault="00DF6619" w:rsidP="00D961C2">
            <w:pPr>
              <w:pStyle w:val="NoSpacing"/>
              <w:keepNext/>
              <w:jc w:val="right"/>
              <w:rPr>
                <w:highlight w:val="black"/>
              </w:rPr>
            </w:pPr>
            <w:r w:rsidRPr="00DF6619">
              <w:rPr>
                <w:highlight w:val="black"/>
              </w:rPr>
              <w:t>XXX</w:t>
            </w:r>
          </w:p>
        </w:tc>
        <w:tc>
          <w:tcPr>
            <w:tcW w:w="1310" w:type="dxa"/>
            <w:vAlign w:val="bottom"/>
          </w:tcPr>
          <w:p w14:paraId="18D07197" w14:textId="5058890E" w:rsidR="00D961C2" w:rsidRPr="00DF6619" w:rsidRDefault="00DF6619" w:rsidP="00D961C2">
            <w:pPr>
              <w:pStyle w:val="NoSpacing"/>
              <w:keepNext/>
              <w:jc w:val="right"/>
              <w:rPr>
                <w:highlight w:val="black"/>
              </w:rPr>
            </w:pPr>
            <w:r w:rsidRPr="00DF6619">
              <w:rPr>
                <w:highlight w:val="black"/>
              </w:rPr>
              <w:t>XXX</w:t>
            </w:r>
          </w:p>
        </w:tc>
        <w:tc>
          <w:tcPr>
            <w:tcW w:w="1776" w:type="dxa"/>
            <w:vAlign w:val="bottom"/>
          </w:tcPr>
          <w:p w14:paraId="3EC9A80F" w14:textId="5241049D" w:rsidR="00D961C2" w:rsidRPr="00DF6619" w:rsidRDefault="00DF6619" w:rsidP="00D961C2">
            <w:pPr>
              <w:pStyle w:val="NoSpacing"/>
              <w:keepNext/>
              <w:jc w:val="right"/>
              <w:rPr>
                <w:color w:val="000000"/>
                <w:highlight w:val="black"/>
              </w:rPr>
            </w:pPr>
            <w:r w:rsidRPr="00DF6619">
              <w:rPr>
                <w:highlight w:val="black"/>
              </w:rPr>
              <w:t>XXX</w:t>
            </w:r>
          </w:p>
        </w:tc>
        <w:tc>
          <w:tcPr>
            <w:tcW w:w="1116" w:type="dxa"/>
            <w:vAlign w:val="bottom"/>
          </w:tcPr>
          <w:p w14:paraId="0FA2677B" w14:textId="6E046E49" w:rsidR="00D961C2" w:rsidRPr="00DF6619" w:rsidRDefault="00DF6619" w:rsidP="00D961C2">
            <w:pPr>
              <w:pStyle w:val="NoSpacing"/>
              <w:keepNext/>
              <w:jc w:val="right"/>
              <w:rPr>
                <w:highlight w:val="black"/>
              </w:rPr>
            </w:pPr>
            <w:r w:rsidRPr="00DF6619">
              <w:rPr>
                <w:highlight w:val="black"/>
              </w:rPr>
              <w:t>XXX</w:t>
            </w:r>
          </w:p>
        </w:tc>
      </w:tr>
      <w:tr w:rsidR="00032DCD" w14:paraId="5200D22A" w14:textId="77777777" w:rsidTr="00032DCD">
        <w:trPr>
          <w:trHeight w:val="310"/>
        </w:trPr>
        <w:tc>
          <w:tcPr>
            <w:tcW w:w="1683" w:type="dxa"/>
            <w:vAlign w:val="bottom"/>
          </w:tcPr>
          <w:p w14:paraId="1827A4A6" w14:textId="77777777" w:rsidR="00D961C2" w:rsidRPr="00733950" w:rsidRDefault="00D961C2" w:rsidP="00D961C2">
            <w:pPr>
              <w:pStyle w:val="NoSpacing"/>
              <w:keepNext/>
              <w:rPr>
                <w:b/>
                <w:bCs/>
              </w:rPr>
            </w:pPr>
            <w:r w:rsidRPr="00733950">
              <w:rPr>
                <w:b/>
                <w:bCs/>
                <w:color w:val="000000"/>
              </w:rPr>
              <w:t>Augmentation Cost</w:t>
            </w:r>
          </w:p>
        </w:tc>
        <w:tc>
          <w:tcPr>
            <w:tcW w:w="816" w:type="dxa"/>
            <w:vAlign w:val="bottom"/>
          </w:tcPr>
          <w:p w14:paraId="43E43AE3" w14:textId="77777777" w:rsidR="00D961C2" w:rsidRPr="00733950" w:rsidRDefault="00D961C2" w:rsidP="00D961C2">
            <w:pPr>
              <w:pStyle w:val="NoSpacing"/>
              <w:keepNext/>
              <w:jc w:val="center"/>
            </w:pPr>
            <w:r w:rsidRPr="00733950">
              <w:rPr>
                <w:color w:val="000000"/>
              </w:rPr>
              <w:t>$000 NPV, 2024$</w:t>
            </w:r>
          </w:p>
        </w:tc>
        <w:tc>
          <w:tcPr>
            <w:tcW w:w="1116" w:type="dxa"/>
            <w:vAlign w:val="bottom"/>
          </w:tcPr>
          <w:p w14:paraId="03B1EB07" w14:textId="3930D8B2" w:rsidR="00D961C2" w:rsidRPr="00DF6619" w:rsidRDefault="00DF6619" w:rsidP="00D961C2">
            <w:pPr>
              <w:pStyle w:val="NoSpacing"/>
              <w:keepNext/>
              <w:jc w:val="right"/>
              <w:rPr>
                <w:highlight w:val="black"/>
              </w:rPr>
            </w:pPr>
            <w:r w:rsidRPr="00DF6619">
              <w:rPr>
                <w:highlight w:val="black"/>
              </w:rPr>
              <w:t>XXX</w:t>
            </w:r>
          </w:p>
        </w:tc>
        <w:tc>
          <w:tcPr>
            <w:tcW w:w="996" w:type="dxa"/>
            <w:vAlign w:val="bottom"/>
          </w:tcPr>
          <w:p w14:paraId="5B922636" w14:textId="74EF4F82" w:rsidR="00D961C2" w:rsidRPr="00DF6619" w:rsidRDefault="00DF6619" w:rsidP="00D961C2">
            <w:pPr>
              <w:pStyle w:val="NoSpacing"/>
              <w:keepNext/>
              <w:jc w:val="right"/>
              <w:rPr>
                <w:highlight w:val="black"/>
              </w:rPr>
            </w:pPr>
            <w:r w:rsidRPr="00DF6619">
              <w:rPr>
                <w:highlight w:val="black"/>
              </w:rPr>
              <w:t>XXX</w:t>
            </w:r>
          </w:p>
        </w:tc>
        <w:tc>
          <w:tcPr>
            <w:tcW w:w="1310" w:type="dxa"/>
            <w:vAlign w:val="bottom"/>
          </w:tcPr>
          <w:p w14:paraId="10D0C813" w14:textId="3347C79B" w:rsidR="00D961C2" w:rsidRPr="00DF6619" w:rsidRDefault="00DF6619" w:rsidP="00D961C2">
            <w:pPr>
              <w:pStyle w:val="NoSpacing"/>
              <w:keepNext/>
              <w:jc w:val="right"/>
              <w:rPr>
                <w:highlight w:val="black"/>
              </w:rPr>
            </w:pPr>
            <w:r w:rsidRPr="00DF6619">
              <w:rPr>
                <w:highlight w:val="black"/>
              </w:rPr>
              <w:t>XXX</w:t>
            </w:r>
          </w:p>
        </w:tc>
        <w:tc>
          <w:tcPr>
            <w:tcW w:w="1776" w:type="dxa"/>
            <w:vAlign w:val="bottom"/>
          </w:tcPr>
          <w:p w14:paraId="3A56787B" w14:textId="0D0A1F5E" w:rsidR="00D961C2" w:rsidRPr="00DF6619" w:rsidRDefault="00DF6619" w:rsidP="00D961C2">
            <w:pPr>
              <w:pStyle w:val="NoSpacing"/>
              <w:keepNext/>
              <w:jc w:val="right"/>
              <w:rPr>
                <w:color w:val="000000"/>
                <w:highlight w:val="black"/>
              </w:rPr>
            </w:pPr>
            <w:r w:rsidRPr="00DF6619">
              <w:rPr>
                <w:highlight w:val="black"/>
              </w:rPr>
              <w:t>XXX</w:t>
            </w:r>
          </w:p>
        </w:tc>
        <w:tc>
          <w:tcPr>
            <w:tcW w:w="1116" w:type="dxa"/>
            <w:vAlign w:val="bottom"/>
          </w:tcPr>
          <w:p w14:paraId="34984E4E" w14:textId="4501027F" w:rsidR="00D961C2" w:rsidRPr="00DF6619" w:rsidRDefault="00DF6619" w:rsidP="00D961C2">
            <w:pPr>
              <w:pStyle w:val="NoSpacing"/>
              <w:keepNext/>
              <w:jc w:val="right"/>
              <w:rPr>
                <w:highlight w:val="black"/>
              </w:rPr>
            </w:pPr>
            <w:r w:rsidRPr="00DF6619">
              <w:rPr>
                <w:highlight w:val="black"/>
              </w:rPr>
              <w:t>XXX</w:t>
            </w:r>
          </w:p>
        </w:tc>
      </w:tr>
      <w:tr w:rsidR="00032DCD" w14:paraId="5B27B3E6" w14:textId="77777777" w:rsidTr="00032DCD">
        <w:trPr>
          <w:trHeight w:val="310"/>
        </w:trPr>
        <w:tc>
          <w:tcPr>
            <w:tcW w:w="1683" w:type="dxa"/>
            <w:vAlign w:val="bottom"/>
          </w:tcPr>
          <w:p w14:paraId="048B6835" w14:textId="77777777" w:rsidR="00D961C2" w:rsidRPr="00733950" w:rsidRDefault="00D961C2" w:rsidP="00D961C2">
            <w:pPr>
              <w:pStyle w:val="NoSpacing"/>
              <w:keepNext/>
              <w:rPr>
                <w:b/>
                <w:bCs/>
              </w:rPr>
            </w:pPr>
            <w:r w:rsidRPr="00733950">
              <w:rPr>
                <w:b/>
                <w:bCs/>
                <w:color w:val="000000"/>
              </w:rPr>
              <w:t>Percent</w:t>
            </w:r>
          </w:p>
        </w:tc>
        <w:tc>
          <w:tcPr>
            <w:tcW w:w="816" w:type="dxa"/>
            <w:vAlign w:val="bottom"/>
          </w:tcPr>
          <w:p w14:paraId="73296FA6" w14:textId="5D11B395" w:rsidR="00D961C2" w:rsidRPr="00733950" w:rsidRDefault="00D961C2" w:rsidP="00D961C2">
            <w:pPr>
              <w:pStyle w:val="NoSpacing"/>
              <w:keepNext/>
              <w:jc w:val="center"/>
            </w:pPr>
          </w:p>
        </w:tc>
        <w:tc>
          <w:tcPr>
            <w:tcW w:w="1116" w:type="dxa"/>
            <w:vAlign w:val="bottom"/>
          </w:tcPr>
          <w:p w14:paraId="69E01C82" w14:textId="190D530B" w:rsidR="00D961C2" w:rsidRPr="00DF6619" w:rsidRDefault="00DF6619" w:rsidP="00D961C2">
            <w:pPr>
              <w:pStyle w:val="NoSpacing"/>
              <w:keepNext/>
              <w:jc w:val="right"/>
              <w:rPr>
                <w:highlight w:val="black"/>
              </w:rPr>
            </w:pPr>
            <w:r w:rsidRPr="00DF6619">
              <w:rPr>
                <w:highlight w:val="black"/>
              </w:rPr>
              <w:t>XXX</w:t>
            </w:r>
          </w:p>
        </w:tc>
        <w:tc>
          <w:tcPr>
            <w:tcW w:w="996" w:type="dxa"/>
            <w:vAlign w:val="bottom"/>
          </w:tcPr>
          <w:p w14:paraId="55B28B08" w14:textId="7E87DC4A" w:rsidR="00D961C2" w:rsidRPr="00DF6619" w:rsidRDefault="00DF6619" w:rsidP="00D961C2">
            <w:pPr>
              <w:pStyle w:val="NoSpacing"/>
              <w:keepNext/>
              <w:jc w:val="right"/>
              <w:rPr>
                <w:highlight w:val="black"/>
              </w:rPr>
            </w:pPr>
            <w:r w:rsidRPr="00DF6619">
              <w:rPr>
                <w:highlight w:val="black"/>
              </w:rPr>
              <w:t>XXX</w:t>
            </w:r>
          </w:p>
        </w:tc>
        <w:tc>
          <w:tcPr>
            <w:tcW w:w="1310" w:type="dxa"/>
            <w:vAlign w:val="bottom"/>
          </w:tcPr>
          <w:p w14:paraId="3D8C89A6" w14:textId="51634887" w:rsidR="00D961C2" w:rsidRPr="00DF6619" w:rsidRDefault="00DF6619" w:rsidP="00D961C2">
            <w:pPr>
              <w:pStyle w:val="NoSpacing"/>
              <w:keepNext/>
              <w:jc w:val="right"/>
              <w:rPr>
                <w:highlight w:val="black"/>
              </w:rPr>
            </w:pPr>
            <w:r w:rsidRPr="00DF6619">
              <w:rPr>
                <w:highlight w:val="black"/>
              </w:rPr>
              <w:t>XXX</w:t>
            </w:r>
          </w:p>
        </w:tc>
        <w:tc>
          <w:tcPr>
            <w:tcW w:w="1776" w:type="dxa"/>
            <w:vAlign w:val="bottom"/>
          </w:tcPr>
          <w:p w14:paraId="2C4C9572" w14:textId="4B1E1213" w:rsidR="00D961C2" w:rsidRPr="00DF6619" w:rsidRDefault="00DF6619" w:rsidP="00D961C2">
            <w:pPr>
              <w:pStyle w:val="NoSpacing"/>
              <w:keepNext/>
              <w:jc w:val="right"/>
              <w:rPr>
                <w:color w:val="000000"/>
                <w:highlight w:val="black"/>
              </w:rPr>
            </w:pPr>
            <w:r w:rsidRPr="00DF6619">
              <w:rPr>
                <w:highlight w:val="black"/>
              </w:rPr>
              <w:t>XXX</w:t>
            </w:r>
          </w:p>
        </w:tc>
        <w:tc>
          <w:tcPr>
            <w:tcW w:w="1116" w:type="dxa"/>
            <w:vAlign w:val="bottom"/>
          </w:tcPr>
          <w:p w14:paraId="538973AE" w14:textId="5FCA7B38" w:rsidR="00D961C2" w:rsidRPr="00DF6619" w:rsidRDefault="00DF6619" w:rsidP="00D961C2">
            <w:pPr>
              <w:pStyle w:val="NoSpacing"/>
              <w:keepNext/>
              <w:jc w:val="right"/>
              <w:rPr>
                <w:highlight w:val="black"/>
              </w:rPr>
            </w:pPr>
            <w:r w:rsidRPr="00DF6619">
              <w:rPr>
                <w:highlight w:val="black"/>
              </w:rPr>
              <w:t>XXX</w:t>
            </w:r>
          </w:p>
        </w:tc>
      </w:tr>
      <w:tr w:rsidR="00032DCD" w14:paraId="65992475" w14:textId="77777777" w:rsidTr="00032DCD">
        <w:trPr>
          <w:trHeight w:val="310"/>
        </w:trPr>
        <w:tc>
          <w:tcPr>
            <w:tcW w:w="1683" w:type="dxa"/>
            <w:vAlign w:val="bottom"/>
          </w:tcPr>
          <w:p w14:paraId="37CCE3E3" w14:textId="77777777" w:rsidR="00D961C2" w:rsidRPr="00733950" w:rsidRDefault="00D961C2" w:rsidP="00032DCD">
            <w:pPr>
              <w:pStyle w:val="NoSpacing"/>
              <w:rPr>
                <w:b/>
                <w:bCs/>
              </w:rPr>
            </w:pPr>
            <w:r w:rsidRPr="00733950">
              <w:rPr>
                <w:b/>
                <w:bCs/>
                <w:color w:val="000000"/>
              </w:rPr>
              <w:t>Augmentation Cost</w:t>
            </w:r>
          </w:p>
        </w:tc>
        <w:tc>
          <w:tcPr>
            <w:tcW w:w="816" w:type="dxa"/>
            <w:vAlign w:val="bottom"/>
          </w:tcPr>
          <w:p w14:paraId="4A4F4977" w14:textId="31FC36C5" w:rsidR="00D961C2" w:rsidRPr="00733950" w:rsidRDefault="00D961C2" w:rsidP="00D961C2">
            <w:pPr>
              <w:pStyle w:val="NoSpacing"/>
              <w:jc w:val="center"/>
            </w:pPr>
            <w:r w:rsidRPr="00733950">
              <w:rPr>
                <w:color w:val="000000"/>
              </w:rPr>
              <w:t>$/kW NPV, 2024$</w:t>
            </w:r>
          </w:p>
        </w:tc>
        <w:tc>
          <w:tcPr>
            <w:tcW w:w="1116" w:type="dxa"/>
            <w:vAlign w:val="bottom"/>
          </w:tcPr>
          <w:p w14:paraId="5BD5C264" w14:textId="6EE53DF9" w:rsidR="00D961C2" w:rsidRPr="00DF6619" w:rsidRDefault="00DF6619" w:rsidP="00D961C2">
            <w:pPr>
              <w:pStyle w:val="NoSpacing"/>
              <w:jc w:val="right"/>
              <w:rPr>
                <w:highlight w:val="black"/>
              </w:rPr>
            </w:pPr>
            <w:r w:rsidRPr="00DF6619">
              <w:rPr>
                <w:highlight w:val="black"/>
              </w:rPr>
              <w:t>XXX</w:t>
            </w:r>
          </w:p>
        </w:tc>
        <w:tc>
          <w:tcPr>
            <w:tcW w:w="996" w:type="dxa"/>
            <w:vAlign w:val="bottom"/>
          </w:tcPr>
          <w:p w14:paraId="328F5616" w14:textId="746FA699" w:rsidR="00D961C2" w:rsidRPr="00DF6619" w:rsidRDefault="00DF6619" w:rsidP="00D961C2">
            <w:pPr>
              <w:pStyle w:val="NoSpacing"/>
              <w:jc w:val="right"/>
              <w:rPr>
                <w:highlight w:val="black"/>
              </w:rPr>
            </w:pPr>
            <w:r w:rsidRPr="00DF6619">
              <w:rPr>
                <w:highlight w:val="black"/>
              </w:rPr>
              <w:t>XXX</w:t>
            </w:r>
          </w:p>
        </w:tc>
        <w:tc>
          <w:tcPr>
            <w:tcW w:w="1310" w:type="dxa"/>
            <w:vAlign w:val="bottom"/>
          </w:tcPr>
          <w:p w14:paraId="3FE66914" w14:textId="72F8E97D" w:rsidR="00D961C2" w:rsidRPr="00DF6619" w:rsidRDefault="00DF6619" w:rsidP="00D961C2">
            <w:pPr>
              <w:pStyle w:val="NoSpacing"/>
              <w:jc w:val="right"/>
              <w:rPr>
                <w:highlight w:val="black"/>
              </w:rPr>
            </w:pPr>
            <w:r w:rsidRPr="00DF6619">
              <w:rPr>
                <w:highlight w:val="black"/>
              </w:rPr>
              <w:t>XXX</w:t>
            </w:r>
          </w:p>
        </w:tc>
        <w:tc>
          <w:tcPr>
            <w:tcW w:w="1776" w:type="dxa"/>
            <w:vAlign w:val="bottom"/>
          </w:tcPr>
          <w:p w14:paraId="6FC9E7E1" w14:textId="4EE2D8A1" w:rsidR="00D961C2" w:rsidRPr="00DF6619" w:rsidRDefault="00DF6619" w:rsidP="00D961C2">
            <w:pPr>
              <w:pStyle w:val="NoSpacing"/>
              <w:jc w:val="right"/>
              <w:rPr>
                <w:color w:val="000000"/>
                <w:highlight w:val="black"/>
              </w:rPr>
            </w:pPr>
            <w:r w:rsidRPr="00DF6619">
              <w:rPr>
                <w:highlight w:val="black"/>
              </w:rPr>
              <w:t>XXX</w:t>
            </w:r>
          </w:p>
        </w:tc>
        <w:tc>
          <w:tcPr>
            <w:tcW w:w="1116" w:type="dxa"/>
            <w:vAlign w:val="bottom"/>
          </w:tcPr>
          <w:p w14:paraId="0559EB00" w14:textId="1E3115EF" w:rsidR="00D961C2" w:rsidRPr="00DF6619" w:rsidRDefault="00DF6619" w:rsidP="00D961C2">
            <w:pPr>
              <w:pStyle w:val="NoSpacing"/>
              <w:jc w:val="right"/>
              <w:rPr>
                <w:highlight w:val="black"/>
              </w:rPr>
            </w:pPr>
            <w:r w:rsidRPr="00DF6619">
              <w:rPr>
                <w:highlight w:val="black"/>
              </w:rPr>
              <w:t>XXX</w:t>
            </w:r>
          </w:p>
        </w:tc>
      </w:tr>
    </w:tbl>
    <w:p w14:paraId="2AB1666C" w14:textId="77777777" w:rsidR="00F36E02" w:rsidRDefault="00F36E02" w:rsidP="007454B0">
      <w:pPr>
        <w:keepNext/>
        <w:spacing w:before="480" w:line="480" w:lineRule="auto"/>
        <w:ind w:left="720" w:hanging="720"/>
        <w:jc w:val="both"/>
        <w:rPr>
          <w:b/>
          <w:bCs/>
          <w:color w:val="000000" w:themeColor="text1"/>
        </w:rPr>
      </w:pPr>
      <w:r w:rsidRPr="1596C26B">
        <w:rPr>
          <w:b/>
          <w:bCs/>
          <w:color w:val="000000" w:themeColor="text1"/>
        </w:rPr>
        <w:t>Q.</w:t>
      </w:r>
      <w:r>
        <w:tab/>
      </w:r>
      <w:r w:rsidRPr="1596C26B">
        <w:rPr>
          <w:b/>
          <w:bCs/>
          <w:color w:val="000000" w:themeColor="text1"/>
        </w:rPr>
        <w:t>DOES STAFF HAVE ANY RECOMMENDATIONS RELATED TO AUGMENTATION?</w:t>
      </w:r>
    </w:p>
    <w:p w14:paraId="72B318A5" w14:textId="34FB3C44" w:rsidR="00F36E02" w:rsidRPr="00FA38FA" w:rsidRDefault="00F36E02" w:rsidP="00F36E02">
      <w:pPr>
        <w:spacing w:line="480" w:lineRule="auto"/>
        <w:ind w:left="720" w:hanging="720"/>
        <w:jc w:val="both"/>
        <w:rPr>
          <w:color w:val="000000" w:themeColor="text1"/>
        </w:rPr>
      </w:pPr>
      <w:r w:rsidRPr="1596C26B">
        <w:rPr>
          <w:color w:val="000000" w:themeColor="text1"/>
        </w:rPr>
        <w:t>A.</w:t>
      </w:r>
      <w:r>
        <w:tab/>
      </w:r>
      <w:r w:rsidRPr="1596C26B">
        <w:rPr>
          <w:color w:val="000000" w:themeColor="text1"/>
        </w:rPr>
        <w:t xml:space="preserve">Yes. Given that the Company is expected to add more battery storage in the future, the experience gained from these initial BESS projects provides an opportunity for the Company to refine its future strategies. Since the Company is using multiple </w:t>
      </w:r>
      <w:r w:rsidR="0022605E">
        <w:rPr>
          <w:color w:val="000000" w:themeColor="text1"/>
        </w:rPr>
        <w:t xml:space="preserve">augmentation </w:t>
      </w:r>
      <w:r w:rsidRPr="1596C26B">
        <w:rPr>
          <w:color w:val="000000" w:themeColor="text1"/>
        </w:rPr>
        <w:t xml:space="preserve">approaches, it can use the lessons learned with these projects to inform planning for future BESS projects. </w:t>
      </w:r>
      <w:r w:rsidR="003A007C">
        <w:t>Staff recommends that the Company provide information regarding its augmentation plans in an Annual BESS Report</w:t>
      </w:r>
      <w:r w:rsidR="003A007C" w:rsidRPr="1596C26B">
        <w:rPr>
          <w:color w:val="000000" w:themeColor="text1"/>
        </w:rPr>
        <w:t xml:space="preserve">. </w:t>
      </w:r>
      <w:r w:rsidRPr="1596C26B">
        <w:rPr>
          <w:color w:val="000000" w:themeColor="text1"/>
        </w:rPr>
        <w:t xml:space="preserve">Specific information provided </w:t>
      </w:r>
      <w:r w:rsidR="0022605E">
        <w:rPr>
          <w:color w:val="000000" w:themeColor="text1"/>
        </w:rPr>
        <w:t xml:space="preserve">in this report </w:t>
      </w:r>
      <w:r w:rsidRPr="1596C26B">
        <w:rPr>
          <w:color w:val="000000" w:themeColor="text1"/>
        </w:rPr>
        <w:t xml:space="preserve">should </w:t>
      </w:r>
      <w:r w:rsidR="00622092" w:rsidRPr="1596C26B">
        <w:rPr>
          <w:color w:val="000000" w:themeColor="text1"/>
        </w:rPr>
        <w:t>include</w:t>
      </w:r>
      <w:r w:rsidRPr="1596C26B">
        <w:rPr>
          <w:color w:val="000000" w:themeColor="text1"/>
        </w:rPr>
        <w:t xml:space="preserve"> costs of augmentation, actual decline rates in duration, </w:t>
      </w:r>
      <w:r w:rsidR="007205F1">
        <w:rPr>
          <w:color w:val="000000" w:themeColor="text1"/>
        </w:rPr>
        <w:t xml:space="preserve">and </w:t>
      </w:r>
      <w:r w:rsidRPr="1596C26B">
        <w:rPr>
          <w:color w:val="000000" w:themeColor="text1"/>
        </w:rPr>
        <w:t xml:space="preserve">performance of </w:t>
      </w:r>
      <w:r w:rsidR="00EE5D50">
        <w:rPr>
          <w:color w:val="000000" w:themeColor="text1"/>
        </w:rPr>
        <w:t xml:space="preserve">the </w:t>
      </w:r>
      <w:r w:rsidRPr="1596C26B">
        <w:rPr>
          <w:color w:val="000000" w:themeColor="text1"/>
        </w:rPr>
        <w:t>BESS pre- and post-augmentation.</w:t>
      </w:r>
    </w:p>
    <w:p w14:paraId="79757C79" w14:textId="1EC2103F" w:rsidR="0081144A" w:rsidRDefault="0081144A" w:rsidP="1596C26B">
      <w:pPr>
        <w:spacing w:before="240" w:line="480" w:lineRule="auto"/>
        <w:ind w:left="720" w:hanging="720"/>
        <w:jc w:val="both"/>
        <w:rPr>
          <w:b/>
          <w:bCs/>
          <w:color w:val="000000" w:themeColor="text1"/>
        </w:rPr>
      </w:pPr>
      <w:r w:rsidRPr="1596C26B">
        <w:rPr>
          <w:b/>
          <w:bCs/>
          <w:color w:val="000000" w:themeColor="text1"/>
        </w:rPr>
        <w:t>Q.</w:t>
      </w:r>
      <w:r>
        <w:tab/>
      </w:r>
      <w:r w:rsidRPr="1596C26B">
        <w:rPr>
          <w:b/>
          <w:bCs/>
          <w:color w:val="000000" w:themeColor="text1"/>
        </w:rPr>
        <w:t>PLEASE DESCRIBE THE COMPANY’S DECOMMISSIONING PLANS FOR THE FIVE BESS PROJECTS.</w:t>
      </w:r>
    </w:p>
    <w:p w14:paraId="047E5FB8" w14:textId="722FD8ED" w:rsidR="00D0367F" w:rsidRDefault="0081144A" w:rsidP="00FB736B">
      <w:pPr>
        <w:spacing w:after="240" w:line="480" w:lineRule="auto"/>
        <w:ind w:left="720" w:hanging="720"/>
        <w:jc w:val="both"/>
        <w:rPr>
          <w:color w:val="000000" w:themeColor="text1"/>
        </w:rPr>
      </w:pPr>
      <w:r w:rsidRPr="00C91DE3">
        <w:rPr>
          <w:color w:val="000000" w:themeColor="text1"/>
        </w:rPr>
        <w:lastRenderedPageBreak/>
        <w:t>A.</w:t>
      </w:r>
      <w:r>
        <w:rPr>
          <w:color w:val="000000" w:themeColor="text1"/>
        </w:rPr>
        <w:tab/>
      </w:r>
      <w:r w:rsidR="00D0367F">
        <w:rPr>
          <w:color w:val="000000" w:themeColor="text1"/>
        </w:rPr>
        <w:t xml:space="preserve">As part of the </w:t>
      </w:r>
      <w:r w:rsidR="000274C7">
        <w:rPr>
          <w:color w:val="000000" w:themeColor="text1"/>
        </w:rPr>
        <w:t>total</w:t>
      </w:r>
      <w:r w:rsidR="00D0367F">
        <w:rPr>
          <w:color w:val="000000" w:themeColor="text1"/>
        </w:rPr>
        <w:t xml:space="preserve"> certified </w:t>
      </w:r>
      <w:r w:rsidR="00EE5D50">
        <w:rPr>
          <w:color w:val="000000" w:themeColor="text1"/>
        </w:rPr>
        <w:t xml:space="preserve">cost </w:t>
      </w:r>
      <w:r w:rsidR="00D0367F">
        <w:rPr>
          <w:color w:val="000000" w:themeColor="text1"/>
        </w:rPr>
        <w:t>request</w:t>
      </w:r>
      <w:r w:rsidR="00871A1D">
        <w:rPr>
          <w:color w:val="000000" w:themeColor="text1"/>
        </w:rPr>
        <w:t>s</w:t>
      </w:r>
      <w:r w:rsidR="00DD3465">
        <w:rPr>
          <w:color w:val="000000" w:themeColor="text1"/>
        </w:rPr>
        <w:t xml:space="preserve">, the Company </w:t>
      </w:r>
      <w:r w:rsidR="00D0367F">
        <w:rPr>
          <w:color w:val="000000" w:themeColor="text1"/>
        </w:rPr>
        <w:t>includ</w:t>
      </w:r>
      <w:r w:rsidR="00DD3465">
        <w:rPr>
          <w:color w:val="000000" w:themeColor="text1"/>
        </w:rPr>
        <w:t>ed decommissioning and dismantlement costs which represent additional estimated costs at the end of the life of the BESS</w:t>
      </w:r>
      <w:r w:rsidR="00D37612">
        <w:rPr>
          <w:color w:val="000000" w:themeColor="text1"/>
        </w:rPr>
        <w:t xml:space="preserve"> for site remediation</w:t>
      </w:r>
      <w:r w:rsidR="00DD3465">
        <w:rPr>
          <w:color w:val="000000" w:themeColor="text1"/>
        </w:rPr>
        <w:t xml:space="preserve">. It is Staff’s understanding that the Company plans to recycle the </w:t>
      </w:r>
      <w:r w:rsidR="00EA5CF1">
        <w:rPr>
          <w:color w:val="000000" w:themeColor="text1"/>
        </w:rPr>
        <w:t xml:space="preserve">recyclable materials of the Tesla Megapack 2 XL </w:t>
      </w:r>
      <w:r w:rsidR="00DD3465">
        <w:rPr>
          <w:color w:val="000000" w:themeColor="text1"/>
        </w:rPr>
        <w:t xml:space="preserve">after the </w:t>
      </w:r>
      <w:r w:rsidR="00E02B69">
        <w:rPr>
          <w:color w:val="000000" w:themeColor="text1"/>
        </w:rPr>
        <w:t>20-year</w:t>
      </w:r>
      <w:r w:rsidR="000274C7">
        <w:rPr>
          <w:color w:val="000000" w:themeColor="text1"/>
        </w:rPr>
        <w:t xml:space="preserve"> expected life</w:t>
      </w:r>
      <w:r w:rsidR="00D0367F">
        <w:rPr>
          <w:color w:val="000000" w:themeColor="text1"/>
        </w:rPr>
        <w:t xml:space="preserve">. The Company </w:t>
      </w:r>
      <w:r w:rsidR="000274C7">
        <w:rPr>
          <w:color w:val="000000" w:themeColor="text1"/>
        </w:rPr>
        <w:t xml:space="preserve">did </w:t>
      </w:r>
      <w:r w:rsidR="00DA4D89">
        <w:rPr>
          <w:color w:val="000000" w:themeColor="text1"/>
        </w:rPr>
        <w:t>not include any additional value or cost of the recycled BESS in the estimated decommissioning costs</w:t>
      </w:r>
      <w:r w:rsidR="000549B0">
        <w:rPr>
          <w:color w:val="000000" w:themeColor="text1"/>
        </w:rPr>
        <w:t xml:space="preserve">. </w:t>
      </w:r>
      <w:r w:rsidR="00DA4D89">
        <w:rPr>
          <w:color w:val="000000" w:themeColor="text1"/>
        </w:rPr>
        <w:t xml:space="preserve">The Company </w:t>
      </w:r>
      <w:r w:rsidR="00D0367F">
        <w:rPr>
          <w:color w:val="000000" w:themeColor="text1"/>
        </w:rPr>
        <w:t xml:space="preserve">told </w:t>
      </w:r>
      <w:r w:rsidR="00DA4D89">
        <w:rPr>
          <w:color w:val="000000" w:themeColor="text1"/>
        </w:rPr>
        <w:t xml:space="preserve">Staff that the basis for this assumption is that the </w:t>
      </w:r>
      <w:r w:rsidR="003F14E2">
        <w:rPr>
          <w:color w:val="000000" w:themeColor="text1"/>
        </w:rPr>
        <w:t xml:space="preserve">future </w:t>
      </w:r>
      <w:r w:rsidR="00DA4D89">
        <w:rPr>
          <w:color w:val="000000" w:themeColor="text1"/>
        </w:rPr>
        <w:t xml:space="preserve">market for recycled BESS is relatively </w:t>
      </w:r>
      <w:r w:rsidR="003F14E2">
        <w:rPr>
          <w:color w:val="000000" w:themeColor="text1"/>
        </w:rPr>
        <w:t>unknown</w:t>
      </w:r>
      <w:r w:rsidR="00D0367F">
        <w:rPr>
          <w:color w:val="000000" w:themeColor="text1"/>
        </w:rPr>
        <w:t xml:space="preserve">; </w:t>
      </w:r>
      <w:r w:rsidR="00DA4D89">
        <w:rPr>
          <w:color w:val="000000" w:themeColor="text1"/>
        </w:rPr>
        <w:t>therefore</w:t>
      </w:r>
      <w:r w:rsidR="00D0367F">
        <w:rPr>
          <w:color w:val="000000" w:themeColor="text1"/>
        </w:rPr>
        <w:t xml:space="preserve">, the </w:t>
      </w:r>
      <w:r w:rsidR="00D2567D">
        <w:rPr>
          <w:color w:val="000000" w:themeColor="text1"/>
        </w:rPr>
        <w:t>Company chose</w:t>
      </w:r>
      <w:r w:rsidR="00D0367F">
        <w:rPr>
          <w:color w:val="000000" w:themeColor="text1"/>
        </w:rPr>
        <w:t xml:space="preserve"> </w:t>
      </w:r>
      <w:r w:rsidR="00DA4D89">
        <w:rPr>
          <w:color w:val="000000" w:themeColor="text1"/>
        </w:rPr>
        <w:t xml:space="preserve">not </w:t>
      </w:r>
      <w:r w:rsidR="00407ECB">
        <w:rPr>
          <w:color w:val="000000" w:themeColor="text1"/>
        </w:rPr>
        <w:t xml:space="preserve">to </w:t>
      </w:r>
      <w:r w:rsidR="006F772D">
        <w:rPr>
          <w:color w:val="000000" w:themeColor="text1"/>
        </w:rPr>
        <w:t>include</w:t>
      </w:r>
      <w:r w:rsidR="00DA4D89">
        <w:rPr>
          <w:color w:val="000000" w:themeColor="text1"/>
        </w:rPr>
        <w:t xml:space="preserve"> </w:t>
      </w:r>
      <w:r w:rsidR="0022605E">
        <w:rPr>
          <w:color w:val="000000" w:themeColor="text1"/>
        </w:rPr>
        <w:t xml:space="preserve">a </w:t>
      </w:r>
      <w:r w:rsidR="000274C7">
        <w:rPr>
          <w:color w:val="000000" w:themeColor="text1"/>
        </w:rPr>
        <w:t xml:space="preserve">salvage value </w:t>
      </w:r>
      <w:r w:rsidR="00D0367F">
        <w:rPr>
          <w:color w:val="000000" w:themeColor="text1"/>
        </w:rPr>
        <w:t xml:space="preserve">in </w:t>
      </w:r>
      <w:r w:rsidR="00EE5D50">
        <w:rPr>
          <w:color w:val="000000" w:themeColor="text1"/>
        </w:rPr>
        <w:t>its</w:t>
      </w:r>
      <w:r w:rsidR="00D0367F">
        <w:rPr>
          <w:color w:val="000000" w:themeColor="text1"/>
        </w:rPr>
        <w:t xml:space="preserve"> cost estimates</w:t>
      </w:r>
      <w:r w:rsidR="00DA4D89">
        <w:rPr>
          <w:color w:val="000000" w:themeColor="text1"/>
        </w:rPr>
        <w:t>.</w:t>
      </w:r>
    </w:p>
    <w:p w14:paraId="7A292FC2" w14:textId="5C48D7EF" w:rsidR="00B9790E" w:rsidRPr="00B9790E" w:rsidRDefault="00B9790E" w:rsidP="00C91DE3">
      <w:pPr>
        <w:spacing w:before="480" w:after="480" w:line="480" w:lineRule="auto"/>
        <w:ind w:left="720" w:hanging="720"/>
        <w:jc w:val="both"/>
        <w:rPr>
          <w:b/>
          <w:bCs/>
          <w:color w:val="000000" w:themeColor="text1"/>
        </w:rPr>
      </w:pPr>
      <w:r w:rsidRPr="00B9790E">
        <w:rPr>
          <w:b/>
          <w:bCs/>
          <w:color w:val="000000" w:themeColor="text1"/>
        </w:rPr>
        <w:t>IV. CONSTRUCTION MONITORING</w:t>
      </w:r>
      <w:r w:rsidR="005131B0">
        <w:rPr>
          <w:b/>
          <w:bCs/>
          <w:color w:val="000000" w:themeColor="text1"/>
        </w:rPr>
        <w:t xml:space="preserve"> REPORTING</w:t>
      </w:r>
    </w:p>
    <w:p w14:paraId="5C1312AB" w14:textId="31A1BECD" w:rsidR="00B01480" w:rsidRDefault="00FA38FA" w:rsidP="00A92EAC">
      <w:pPr>
        <w:spacing w:line="480" w:lineRule="auto"/>
        <w:ind w:left="720" w:hanging="720"/>
        <w:jc w:val="both"/>
        <w:rPr>
          <w:color w:val="000000" w:themeColor="text1"/>
        </w:rPr>
      </w:pPr>
      <w:r w:rsidRPr="00FA38FA">
        <w:rPr>
          <w:b/>
          <w:bCs/>
          <w:color w:val="000000" w:themeColor="text1"/>
        </w:rPr>
        <w:t>Q.</w:t>
      </w:r>
      <w:r>
        <w:rPr>
          <w:b/>
          <w:bCs/>
          <w:color w:val="000000" w:themeColor="text1"/>
        </w:rPr>
        <w:tab/>
      </w:r>
      <w:r w:rsidR="003A77BD">
        <w:rPr>
          <w:b/>
          <w:bCs/>
          <w:color w:val="000000" w:themeColor="text1"/>
        </w:rPr>
        <w:t xml:space="preserve">PLEASE DESCRIBE </w:t>
      </w:r>
      <w:r w:rsidR="000274C7">
        <w:rPr>
          <w:b/>
          <w:bCs/>
          <w:color w:val="000000" w:themeColor="text1"/>
        </w:rPr>
        <w:t xml:space="preserve">THE </w:t>
      </w:r>
      <w:r w:rsidR="003A77BD">
        <w:rPr>
          <w:b/>
          <w:bCs/>
          <w:color w:val="000000" w:themeColor="text1"/>
        </w:rPr>
        <w:t xml:space="preserve">REPORTING REQUIREMENTS </w:t>
      </w:r>
      <w:r w:rsidR="005D7FF7">
        <w:rPr>
          <w:b/>
          <w:bCs/>
          <w:color w:val="000000" w:themeColor="text1"/>
        </w:rPr>
        <w:t xml:space="preserve">FOR THE </w:t>
      </w:r>
      <w:r w:rsidR="00183DDC">
        <w:rPr>
          <w:b/>
          <w:bCs/>
          <w:color w:val="000000" w:themeColor="text1"/>
        </w:rPr>
        <w:t xml:space="preserve">FIVE </w:t>
      </w:r>
      <w:r w:rsidR="005D7FF7">
        <w:rPr>
          <w:b/>
          <w:bCs/>
          <w:color w:val="000000" w:themeColor="text1"/>
        </w:rPr>
        <w:t xml:space="preserve">BESS PROJECTS </w:t>
      </w:r>
      <w:r w:rsidR="000274C7">
        <w:rPr>
          <w:b/>
          <w:bCs/>
          <w:color w:val="000000" w:themeColor="text1"/>
        </w:rPr>
        <w:t xml:space="preserve">THAT </w:t>
      </w:r>
      <w:r w:rsidR="003A77BD">
        <w:rPr>
          <w:b/>
          <w:bCs/>
          <w:color w:val="000000" w:themeColor="text1"/>
        </w:rPr>
        <w:t xml:space="preserve">HAVE </w:t>
      </w:r>
      <w:r w:rsidR="00A92EAC">
        <w:rPr>
          <w:b/>
          <w:bCs/>
          <w:color w:val="000000" w:themeColor="text1"/>
        </w:rPr>
        <w:t xml:space="preserve">ALREADY </w:t>
      </w:r>
      <w:r w:rsidR="003A77BD">
        <w:rPr>
          <w:b/>
          <w:bCs/>
          <w:color w:val="000000" w:themeColor="text1"/>
        </w:rPr>
        <w:t xml:space="preserve">BEEN </w:t>
      </w:r>
      <w:r w:rsidR="000274C7">
        <w:rPr>
          <w:b/>
          <w:bCs/>
          <w:color w:val="000000" w:themeColor="text1"/>
        </w:rPr>
        <w:t>APPROVED</w:t>
      </w:r>
      <w:r w:rsidR="00183DDC">
        <w:rPr>
          <w:b/>
          <w:bCs/>
          <w:color w:val="000000" w:themeColor="text1"/>
        </w:rPr>
        <w:t xml:space="preserve"> </w:t>
      </w:r>
      <w:r w:rsidR="003A77BD">
        <w:rPr>
          <w:b/>
          <w:bCs/>
          <w:color w:val="000000" w:themeColor="text1"/>
        </w:rPr>
        <w:t xml:space="preserve">BY </w:t>
      </w:r>
      <w:r w:rsidR="00502785">
        <w:rPr>
          <w:b/>
          <w:bCs/>
          <w:color w:val="000000" w:themeColor="text1"/>
        </w:rPr>
        <w:t>THE</w:t>
      </w:r>
      <w:r w:rsidR="0015754B">
        <w:rPr>
          <w:b/>
          <w:bCs/>
          <w:color w:val="000000" w:themeColor="text1"/>
        </w:rPr>
        <w:t xml:space="preserve"> COMMISSION</w:t>
      </w:r>
      <w:r w:rsidR="00502F0A">
        <w:rPr>
          <w:b/>
          <w:bCs/>
          <w:color w:val="000000" w:themeColor="text1"/>
        </w:rPr>
        <w:t>.</w:t>
      </w:r>
      <w:r w:rsidR="00F22E4B">
        <w:rPr>
          <w:color w:val="000000" w:themeColor="text1"/>
        </w:rPr>
        <w:t xml:space="preserve"> </w:t>
      </w:r>
    </w:p>
    <w:p w14:paraId="0FA53CB0" w14:textId="3D441838" w:rsidR="00BB7ECA" w:rsidRPr="00B9790E" w:rsidRDefault="003A77BD" w:rsidP="00FB736B">
      <w:pPr>
        <w:spacing w:after="240" w:line="480" w:lineRule="auto"/>
        <w:ind w:left="720" w:hanging="720"/>
        <w:jc w:val="both"/>
        <w:rPr>
          <w:color w:val="000000" w:themeColor="text1"/>
        </w:rPr>
      </w:pPr>
      <w:r w:rsidRPr="1596C26B">
        <w:rPr>
          <w:color w:val="000000" w:themeColor="text1"/>
        </w:rPr>
        <w:t>A</w:t>
      </w:r>
      <w:r w:rsidR="00B01480" w:rsidRPr="1596C26B">
        <w:rPr>
          <w:color w:val="000000" w:themeColor="text1"/>
        </w:rPr>
        <w:t>.</w:t>
      </w:r>
      <w:r>
        <w:tab/>
      </w:r>
      <w:r w:rsidR="00B01480" w:rsidRPr="1596C26B">
        <w:rPr>
          <w:color w:val="000000" w:themeColor="text1"/>
        </w:rPr>
        <w:t>A</w:t>
      </w:r>
      <w:r w:rsidRPr="1596C26B">
        <w:rPr>
          <w:color w:val="000000" w:themeColor="text1"/>
        </w:rPr>
        <w:t>s part of the 2023 IRP Update</w:t>
      </w:r>
      <w:r w:rsidR="00D0367F" w:rsidRPr="1596C26B">
        <w:rPr>
          <w:color w:val="000000" w:themeColor="text1"/>
        </w:rPr>
        <w:t xml:space="preserve"> Order</w:t>
      </w:r>
      <w:r w:rsidRPr="1596C26B">
        <w:rPr>
          <w:color w:val="000000" w:themeColor="text1"/>
        </w:rPr>
        <w:t>, the</w:t>
      </w:r>
      <w:r w:rsidR="00A01A35" w:rsidRPr="1596C26B">
        <w:rPr>
          <w:color w:val="000000" w:themeColor="text1"/>
        </w:rPr>
        <w:t xml:space="preserve"> Commission </w:t>
      </w:r>
      <w:r w:rsidR="00183DDC" w:rsidRPr="1596C26B">
        <w:rPr>
          <w:color w:val="000000" w:themeColor="text1"/>
        </w:rPr>
        <w:t>ordered</w:t>
      </w:r>
      <w:r w:rsidR="00B06341" w:rsidRPr="1596C26B">
        <w:rPr>
          <w:color w:val="000000" w:themeColor="text1"/>
        </w:rPr>
        <w:t xml:space="preserve"> </w:t>
      </w:r>
      <w:r w:rsidR="00321EEB" w:rsidRPr="1596C26B">
        <w:rPr>
          <w:color w:val="000000" w:themeColor="text1"/>
        </w:rPr>
        <w:t xml:space="preserve">the Company </w:t>
      </w:r>
      <w:r w:rsidR="004D4B3F">
        <w:rPr>
          <w:color w:val="000000" w:themeColor="text1"/>
        </w:rPr>
        <w:t xml:space="preserve">to </w:t>
      </w:r>
      <w:r w:rsidR="00321EEB" w:rsidRPr="1596C26B">
        <w:rPr>
          <w:color w:val="000000" w:themeColor="text1"/>
        </w:rPr>
        <w:t>file semi-annually</w:t>
      </w:r>
      <w:r w:rsidR="00AC03C5">
        <w:rPr>
          <w:color w:val="000000" w:themeColor="text1"/>
        </w:rPr>
        <w:t xml:space="preserve">, </w:t>
      </w:r>
      <w:r w:rsidR="009D1729" w:rsidRPr="1596C26B">
        <w:rPr>
          <w:color w:val="000000" w:themeColor="text1"/>
        </w:rPr>
        <w:t>C</w:t>
      </w:r>
      <w:r w:rsidR="00321EEB" w:rsidRPr="1596C26B">
        <w:rPr>
          <w:color w:val="000000" w:themeColor="text1"/>
        </w:rPr>
        <w:t xml:space="preserve">onstruction </w:t>
      </w:r>
      <w:r w:rsidR="009D1729" w:rsidRPr="1596C26B">
        <w:rPr>
          <w:color w:val="000000" w:themeColor="text1"/>
        </w:rPr>
        <w:t>M</w:t>
      </w:r>
      <w:r w:rsidR="00321EEB" w:rsidRPr="1596C26B">
        <w:rPr>
          <w:color w:val="000000" w:themeColor="text1"/>
        </w:rPr>
        <w:t xml:space="preserve">onitoring </w:t>
      </w:r>
      <w:r w:rsidR="009D1729" w:rsidRPr="1596C26B">
        <w:rPr>
          <w:color w:val="000000" w:themeColor="text1"/>
        </w:rPr>
        <w:t>R</w:t>
      </w:r>
      <w:r w:rsidR="00321EEB" w:rsidRPr="1596C26B">
        <w:rPr>
          <w:color w:val="000000" w:themeColor="text1"/>
        </w:rPr>
        <w:t>eports for the Robins and Moody BESS Project</w:t>
      </w:r>
      <w:r w:rsidR="006F772D">
        <w:rPr>
          <w:color w:val="000000" w:themeColor="text1"/>
        </w:rPr>
        <w:t>s</w:t>
      </w:r>
      <w:r w:rsidR="00321EEB" w:rsidRPr="1596C26B">
        <w:rPr>
          <w:color w:val="000000" w:themeColor="text1"/>
        </w:rPr>
        <w:t xml:space="preserve">; however, the Order stated that specific </w:t>
      </w:r>
      <w:r w:rsidR="00415A17" w:rsidRPr="1596C26B">
        <w:rPr>
          <w:color w:val="000000" w:themeColor="text1"/>
        </w:rPr>
        <w:t>r</w:t>
      </w:r>
      <w:r w:rsidR="00A01A35" w:rsidRPr="1596C26B">
        <w:rPr>
          <w:color w:val="000000" w:themeColor="text1"/>
        </w:rPr>
        <w:t xml:space="preserve">eporting requirements for the 500 MW of </w:t>
      </w:r>
      <w:r w:rsidR="002D07AA" w:rsidRPr="1596C26B">
        <w:rPr>
          <w:color w:val="000000" w:themeColor="text1"/>
        </w:rPr>
        <w:t>BESS would</w:t>
      </w:r>
      <w:r w:rsidR="00A01A35" w:rsidRPr="1596C26B">
        <w:rPr>
          <w:color w:val="000000" w:themeColor="text1"/>
        </w:rPr>
        <w:t xml:space="preserve"> be determined </w:t>
      </w:r>
      <w:r w:rsidR="00321EEB" w:rsidRPr="1596C26B">
        <w:rPr>
          <w:color w:val="000000" w:themeColor="text1"/>
        </w:rPr>
        <w:t xml:space="preserve">during </w:t>
      </w:r>
      <w:r w:rsidR="004877C5" w:rsidRPr="1596C26B">
        <w:rPr>
          <w:color w:val="000000" w:themeColor="text1"/>
        </w:rPr>
        <w:t>the certification</w:t>
      </w:r>
      <w:r w:rsidR="00A01A35" w:rsidRPr="1596C26B">
        <w:rPr>
          <w:color w:val="000000" w:themeColor="text1"/>
        </w:rPr>
        <w:t xml:space="preserve"> </w:t>
      </w:r>
      <w:r w:rsidR="00EA5CF1" w:rsidRPr="1596C26B">
        <w:rPr>
          <w:color w:val="000000" w:themeColor="text1"/>
        </w:rPr>
        <w:t>p</w:t>
      </w:r>
      <w:r w:rsidR="00A01A35" w:rsidRPr="1596C26B">
        <w:rPr>
          <w:color w:val="000000" w:themeColor="text1"/>
        </w:rPr>
        <w:t>roceeding</w:t>
      </w:r>
      <w:r w:rsidR="00321EEB" w:rsidRPr="1596C26B">
        <w:rPr>
          <w:color w:val="000000" w:themeColor="text1"/>
        </w:rPr>
        <w:t>.</w:t>
      </w:r>
      <w:r w:rsidR="00A01A35" w:rsidRPr="1596C26B">
        <w:rPr>
          <w:color w:val="000000" w:themeColor="text1"/>
        </w:rPr>
        <w:t xml:space="preserve"> </w:t>
      </w:r>
      <w:r w:rsidR="0043617D" w:rsidRPr="1596C26B">
        <w:rPr>
          <w:color w:val="000000" w:themeColor="text1"/>
        </w:rPr>
        <w:t xml:space="preserve">For </w:t>
      </w:r>
      <w:r w:rsidR="000274C7" w:rsidRPr="1596C26B">
        <w:rPr>
          <w:color w:val="000000" w:themeColor="text1"/>
        </w:rPr>
        <w:t xml:space="preserve">the </w:t>
      </w:r>
      <w:r w:rsidR="0043617D" w:rsidRPr="1596C26B">
        <w:rPr>
          <w:color w:val="000000" w:themeColor="text1"/>
        </w:rPr>
        <w:t>McGrau Ford Phase I</w:t>
      </w:r>
      <w:r w:rsidR="000274C7" w:rsidRPr="1596C26B">
        <w:rPr>
          <w:color w:val="000000" w:themeColor="text1"/>
        </w:rPr>
        <w:t xml:space="preserve"> Project</w:t>
      </w:r>
      <w:r w:rsidR="0043617D" w:rsidRPr="1596C26B">
        <w:rPr>
          <w:color w:val="000000" w:themeColor="text1"/>
        </w:rPr>
        <w:t xml:space="preserve">, the </w:t>
      </w:r>
      <w:r w:rsidR="006F772D">
        <w:rPr>
          <w:color w:val="000000" w:themeColor="text1"/>
        </w:rPr>
        <w:t xml:space="preserve">approved </w:t>
      </w:r>
      <w:r w:rsidR="0043617D" w:rsidRPr="1596C26B">
        <w:rPr>
          <w:color w:val="000000" w:themeColor="text1"/>
        </w:rPr>
        <w:t xml:space="preserve">2022 IRP </w:t>
      </w:r>
      <w:r w:rsidR="00D2567D" w:rsidRPr="1596C26B">
        <w:rPr>
          <w:color w:val="000000" w:themeColor="text1"/>
        </w:rPr>
        <w:t xml:space="preserve">Stipulation </w:t>
      </w:r>
      <w:r w:rsidR="00D2567D">
        <w:rPr>
          <w:color w:val="000000" w:themeColor="text1"/>
        </w:rPr>
        <w:t>requires</w:t>
      </w:r>
      <w:r w:rsidR="008010EC">
        <w:rPr>
          <w:color w:val="000000" w:themeColor="text1"/>
        </w:rPr>
        <w:t xml:space="preserve"> quarterly filings </w:t>
      </w:r>
      <w:r w:rsidR="004D4B3F">
        <w:rPr>
          <w:color w:val="000000" w:themeColor="text1"/>
        </w:rPr>
        <w:t xml:space="preserve">but </w:t>
      </w:r>
      <w:r w:rsidR="00D2567D">
        <w:rPr>
          <w:color w:val="000000" w:themeColor="text1"/>
        </w:rPr>
        <w:t xml:space="preserve">did </w:t>
      </w:r>
      <w:r w:rsidR="008010EC">
        <w:rPr>
          <w:color w:val="000000" w:themeColor="text1"/>
        </w:rPr>
        <w:t>not specify</w:t>
      </w:r>
      <w:r w:rsidR="00D226A4">
        <w:rPr>
          <w:color w:val="000000" w:themeColor="text1"/>
        </w:rPr>
        <w:t xml:space="preserve"> </w:t>
      </w:r>
      <w:r w:rsidR="0043617D" w:rsidRPr="1596C26B">
        <w:rPr>
          <w:color w:val="000000" w:themeColor="text1"/>
        </w:rPr>
        <w:t>reporting requirements</w:t>
      </w:r>
      <w:r w:rsidR="008010EC">
        <w:rPr>
          <w:color w:val="000000" w:themeColor="text1"/>
        </w:rPr>
        <w:t>.</w:t>
      </w:r>
      <w:r w:rsidR="00D37612" w:rsidRPr="1596C26B">
        <w:rPr>
          <w:color w:val="000000" w:themeColor="text1"/>
        </w:rPr>
        <w:t xml:space="preserve"> </w:t>
      </w:r>
    </w:p>
    <w:p w14:paraId="07C599FB" w14:textId="1FDF8300" w:rsidR="00BB7ECA" w:rsidRDefault="00BB7ECA" w:rsidP="00FB736B">
      <w:pPr>
        <w:spacing w:line="480" w:lineRule="auto"/>
        <w:ind w:left="720" w:hanging="720"/>
        <w:jc w:val="both"/>
        <w:rPr>
          <w:b/>
          <w:bCs/>
          <w:color w:val="000000" w:themeColor="text1"/>
        </w:rPr>
      </w:pPr>
      <w:r>
        <w:rPr>
          <w:b/>
          <w:bCs/>
          <w:color w:val="000000" w:themeColor="text1"/>
        </w:rPr>
        <w:t>Q.</w:t>
      </w:r>
      <w:r>
        <w:rPr>
          <w:b/>
          <w:bCs/>
          <w:color w:val="000000" w:themeColor="text1"/>
        </w:rPr>
        <w:tab/>
        <w:t xml:space="preserve">HOW </w:t>
      </w:r>
      <w:r w:rsidR="0043617D">
        <w:rPr>
          <w:b/>
          <w:bCs/>
          <w:color w:val="000000" w:themeColor="text1"/>
        </w:rPr>
        <w:t>FREQUENT</w:t>
      </w:r>
      <w:r w:rsidR="00304514">
        <w:rPr>
          <w:b/>
          <w:bCs/>
          <w:color w:val="000000" w:themeColor="text1"/>
        </w:rPr>
        <w:t>LY</w:t>
      </w:r>
      <w:r w:rsidR="0043617D">
        <w:rPr>
          <w:b/>
          <w:bCs/>
          <w:color w:val="000000" w:themeColor="text1"/>
        </w:rPr>
        <w:t xml:space="preserve"> D</w:t>
      </w:r>
      <w:r w:rsidR="00D0367F">
        <w:rPr>
          <w:b/>
          <w:bCs/>
          <w:color w:val="000000" w:themeColor="text1"/>
        </w:rPr>
        <w:t>ID</w:t>
      </w:r>
      <w:r w:rsidR="0043617D">
        <w:rPr>
          <w:b/>
          <w:bCs/>
          <w:color w:val="000000" w:themeColor="text1"/>
        </w:rPr>
        <w:t xml:space="preserve"> THE COMPANY PROPOSE TO FILE</w:t>
      </w:r>
      <w:r w:rsidR="003F14E2">
        <w:rPr>
          <w:b/>
          <w:bCs/>
          <w:color w:val="000000" w:themeColor="text1"/>
        </w:rPr>
        <w:t xml:space="preserve"> </w:t>
      </w:r>
      <w:r>
        <w:rPr>
          <w:b/>
          <w:bCs/>
          <w:color w:val="000000" w:themeColor="text1"/>
        </w:rPr>
        <w:t>THE CONSTRUCTION MONITORING REPORTS</w:t>
      </w:r>
      <w:r w:rsidR="00D0367F">
        <w:rPr>
          <w:b/>
          <w:bCs/>
          <w:color w:val="000000" w:themeColor="text1"/>
        </w:rPr>
        <w:t xml:space="preserve"> </w:t>
      </w:r>
      <w:r>
        <w:rPr>
          <w:b/>
          <w:bCs/>
          <w:color w:val="000000" w:themeColor="text1"/>
        </w:rPr>
        <w:t>FOR THE FIVE BESS PROJECTS?</w:t>
      </w:r>
    </w:p>
    <w:p w14:paraId="259A3539" w14:textId="6B24BCD9" w:rsidR="00BB7ECA" w:rsidRPr="00C91DE3" w:rsidRDefault="00BB7ECA" w:rsidP="00FB736B">
      <w:pPr>
        <w:spacing w:after="240" w:line="480" w:lineRule="auto"/>
        <w:ind w:left="720" w:hanging="720"/>
        <w:jc w:val="both"/>
        <w:rPr>
          <w:color w:val="000000" w:themeColor="text1"/>
        </w:rPr>
      </w:pPr>
      <w:r w:rsidRPr="00BB7ECA">
        <w:rPr>
          <w:color w:val="000000" w:themeColor="text1"/>
        </w:rPr>
        <w:lastRenderedPageBreak/>
        <w:t>A.</w:t>
      </w:r>
      <w:r w:rsidRPr="00BB7ECA">
        <w:rPr>
          <w:color w:val="000000" w:themeColor="text1"/>
        </w:rPr>
        <w:tab/>
      </w:r>
      <w:r w:rsidR="004D4B3F">
        <w:rPr>
          <w:color w:val="000000" w:themeColor="text1"/>
        </w:rPr>
        <w:t>In the Compliance Filing, t</w:t>
      </w:r>
      <w:r w:rsidRPr="00BB7ECA">
        <w:rPr>
          <w:color w:val="000000" w:themeColor="text1"/>
        </w:rPr>
        <w:t>he Company state</w:t>
      </w:r>
      <w:r w:rsidR="00D0367F">
        <w:rPr>
          <w:color w:val="000000" w:themeColor="text1"/>
        </w:rPr>
        <w:t>d</w:t>
      </w:r>
      <w:r w:rsidR="00E956F7">
        <w:rPr>
          <w:color w:val="000000" w:themeColor="text1"/>
        </w:rPr>
        <w:t xml:space="preserve"> </w:t>
      </w:r>
      <w:r w:rsidR="00D0367F">
        <w:rPr>
          <w:color w:val="000000" w:themeColor="text1"/>
        </w:rPr>
        <w:t>that</w:t>
      </w:r>
      <w:r w:rsidR="006E3768">
        <w:rPr>
          <w:color w:val="000000" w:themeColor="text1"/>
        </w:rPr>
        <w:t xml:space="preserve"> </w:t>
      </w:r>
      <w:r w:rsidR="002F1C87">
        <w:rPr>
          <w:color w:val="000000" w:themeColor="text1"/>
        </w:rPr>
        <w:t xml:space="preserve">it </w:t>
      </w:r>
      <w:r w:rsidRPr="00BB7ECA">
        <w:rPr>
          <w:color w:val="000000" w:themeColor="text1"/>
        </w:rPr>
        <w:t xml:space="preserve">will file quarterly </w:t>
      </w:r>
      <w:r w:rsidR="009D1729">
        <w:rPr>
          <w:color w:val="000000" w:themeColor="text1"/>
        </w:rPr>
        <w:t>C</w:t>
      </w:r>
      <w:r w:rsidRPr="00BB7ECA">
        <w:rPr>
          <w:color w:val="000000" w:themeColor="text1"/>
        </w:rPr>
        <w:t xml:space="preserve">onstruction </w:t>
      </w:r>
      <w:r w:rsidR="009D1729">
        <w:rPr>
          <w:color w:val="000000" w:themeColor="text1"/>
        </w:rPr>
        <w:t>M</w:t>
      </w:r>
      <w:r w:rsidRPr="00BB7ECA">
        <w:rPr>
          <w:color w:val="000000" w:themeColor="text1"/>
        </w:rPr>
        <w:t xml:space="preserve">onitoring </w:t>
      </w:r>
      <w:r w:rsidR="009D1729">
        <w:rPr>
          <w:color w:val="000000" w:themeColor="text1"/>
        </w:rPr>
        <w:t>R</w:t>
      </w:r>
      <w:r w:rsidRPr="00BB7ECA">
        <w:rPr>
          <w:color w:val="000000" w:themeColor="text1"/>
        </w:rPr>
        <w:t>eports for the McGrau Ford Phase I Project</w:t>
      </w:r>
      <w:r w:rsidR="002F1C87">
        <w:rPr>
          <w:color w:val="000000" w:themeColor="text1"/>
        </w:rPr>
        <w:t xml:space="preserve">; however, the Compliance Filing </w:t>
      </w:r>
      <w:r w:rsidR="008010EC">
        <w:rPr>
          <w:color w:val="000000" w:themeColor="text1"/>
        </w:rPr>
        <w:t xml:space="preserve">was silent on </w:t>
      </w:r>
      <w:r w:rsidRPr="00BB7ECA">
        <w:rPr>
          <w:color w:val="000000" w:themeColor="text1"/>
        </w:rPr>
        <w:t xml:space="preserve">what information would be </w:t>
      </w:r>
      <w:r w:rsidR="002F1C87">
        <w:rPr>
          <w:color w:val="000000" w:themeColor="text1"/>
        </w:rPr>
        <w:t>provid</w:t>
      </w:r>
      <w:r w:rsidRPr="00BB7ECA">
        <w:rPr>
          <w:color w:val="000000" w:themeColor="text1"/>
        </w:rPr>
        <w:t>ed in th</w:t>
      </w:r>
      <w:r w:rsidR="005D7FF7">
        <w:rPr>
          <w:color w:val="000000" w:themeColor="text1"/>
        </w:rPr>
        <w:t>e</w:t>
      </w:r>
      <w:r w:rsidRPr="00BB7ECA">
        <w:rPr>
          <w:color w:val="000000" w:themeColor="text1"/>
        </w:rPr>
        <w:t xml:space="preserve"> reports</w:t>
      </w:r>
      <w:r w:rsidR="00A67E02">
        <w:rPr>
          <w:color w:val="000000" w:themeColor="text1"/>
        </w:rPr>
        <w:t>.</w:t>
      </w:r>
      <w:r>
        <w:rPr>
          <w:color w:val="000000" w:themeColor="text1"/>
        </w:rPr>
        <w:t xml:space="preserve"> </w:t>
      </w:r>
      <w:r w:rsidR="00A67E02">
        <w:rPr>
          <w:color w:val="000000" w:themeColor="text1"/>
        </w:rPr>
        <w:t xml:space="preserve">For the Robins, Moody, Hammond, and McGrau Ford Phase II Projects, the Company </w:t>
      </w:r>
      <w:r w:rsidR="00A92EAC">
        <w:rPr>
          <w:color w:val="000000" w:themeColor="text1"/>
        </w:rPr>
        <w:t>propose</w:t>
      </w:r>
      <w:r w:rsidR="00D0367F">
        <w:rPr>
          <w:color w:val="000000" w:themeColor="text1"/>
        </w:rPr>
        <w:t>d</w:t>
      </w:r>
      <w:r w:rsidR="00A92EAC">
        <w:rPr>
          <w:color w:val="000000" w:themeColor="text1"/>
        </w:rPr>
        <w:t xml:space="preserve"> </w:t>
      </w:r>
      <w:r w:rsidR="00DF65D7">
        <w:rPr>
          <w:color w:val="000000" w:themeColor="text1"/>
        </w:rPr>
        <w:t>to file</w:t>
      </w:r>
      <w:r w:rsidR="00536A32">
        <w:rPr>
          <w:color w:val="000000" w:themeColor="text1"/>
        </w:rPr>
        <w:t xml:space="preserve"> semi-annual </w:t>
      </w:r>
      <w:r w:rsidR="009D1729">
        <w:rPr>
          <w:color w:val="000000" w:themeColor="text1"/>
        </w:rPr>
        <w:t>C</w:t>
      </w:r>
      <w:r w:rsidR="00536A32">
        <w:rPr>
          <w:color w:val="000000" w:themeColor="text1"/>
        </w:rPr>
        <w:t xml:space="preserve">onstruction </w:t>
      </w:r>
      <w:r w:rsidR="009D1729">
        <w:rPr>
          <w:color w:val="000000" w:themeColor="text1"/>
        </w:rPr>
        <w:t>M</w:t>
      </w:r>
      <w:r w:rsidR="00536A32">
        <w:rPr>
          <w:color w:val="000000" w:themeColor="text1"/>
        </w:rPr>
        <w:t xml:space="preserve">onitoring </w:t>
      </w:r>
      <w:r w:rsidR="009D1729">
        <w:rPr>
          <w:color w:val="000000" w:themeColor="text1"/>
        </w:rPr>
        <w:t>R</w:t>
      </w:r>
      <w:r w:rsidR="00536A32">
        <w:rPr>
          <w:color w:val="000000" w:themeColor="text1"/>
        </w:rPr>
        <w:t xml:space="preserve">eports </w:t>
      </w:r>
      <w:r w:rsidR="006E3768">
        <w:rPr>
          <w:color w:val="000000" w:themeColor="text1"/>
        </w:rPr>
        <w:t xml:space="preserve">and </w:t>
      </w:r>
      <w:r w:rsidR="00D0367F">
        <w:rPr>
          <w:color w:val="000000" w:themeColor="text1"/>
        </w:rPr>
        <w:t xml:space="preserve">provide </w:t>
      </w:r>
      <w:r w:rsidR="006E3768">
        <w:rPr>
          <w:color w:val="000000" w:themeColor="text1"/>
        </w:rPr>
        <w:t xml:space="preserve">information </w:t>
      </w:r>
      <w:r w:rsidR="002F1C87">
        <w:rPr>
          <w:color w:val="000000" w:themeColor="text1"/>
        </w:rPr>
        <w:t>regarding</w:t>
      </w:r>
      <w:r w:rsidR="006E3768">
        <w:rPr>
          <w:color w:val="000000" w:themeColor="text1"/>
        </w:rPr>
        <w:t xml:space="preserve"> </w:t>
      </w:r>
      <w:r w:rsidR="006E3768" w:rsidRPr="006E3768">
        <w:rPr>
          <w:color w:val="000000" w:themeColor="text1"/>
        </w:rPr>
        <w:t xml:space="preserve">capital expenditures and financial cost data, detailed schedule reporting on critical path activities, status updates on the procurement of any new licenses and permits, variances in major </w:t>
      </w:r>
      <w:r w:rsidR="006E3768" w:rsidRPr="00F37026">
        <w:rPr>
          <w:color w:val="000000" w:themeColor="text1"/>
        </w:rPr>
        <w:t xml:space="preserve">contracts, and the procurement status of long-lead time equipment </w:t>
      </w:r>
      <w:r w:rsidR="00536A32" w:rsidRPr="00F37026">
        <w:rPr>
          <w:color w:val="000000" w:themeColor="text1"/>
        </w:rPr>
        <w:t>(</w:t>
      </w:r>
      <w:r w:rsidR="006E3768" w:rsidRPr="00F37026">
        <w:rPr>
          <w:color w:val="000000" w:themeColor="text1"/>
        </w:rPr>
        <w:t xml:space="preserve">Company’s </w:t>
      </w:r>
      <w:r w:rsidR="00A92EAC" w:rsidRPr="00F37026">
        <w:rPr>
          <w:color w:val="000000" w:themeColor="text1"/>
        </w:rPr>
        <w:t xml:space="preserve">Direct </w:t>
      </w:r>
      <w:r w:rsidR="00536A32" w:rsidRPr="00F37026">
        <w:rPr>
          <w:color w:val="000000" w:themeColor="text1"/>
        </w:rPr>
        <w:t>Testimony, p</w:t>
      </w:r>
      <w:r w:rsidR="004D4B3F">
        <w:rPr>
          <w:color w:val="000000" w:themeColor="text1"/>
        </w:rPr>
        <w:t>.</w:t>
      </w:r>
      <w:r w:rsidR="00536A32" w:rsidRPr="00F37026">
        <w:rPr>
          <w:color w:val="000000" w:themeColor="text1"/>
        </w:rPr>
        <w:t xml:space="preserve"> 17</w:t>
      </w:r>
      <w:r w:rsidR="00A92EAC" w:rsidRPr="00F37026">
        <w:rPr>
          <w:color w:val="000000" w:themeColor="text1"/>
        </w:rPr>
        <w:t>,</w:t>
      </w:r>
      <w:r w:rsidR="00A92EAC">
        <w:rPr>
          <w:color w:val="000000" w:themeColor="text1"/>
        </w:rPr>
        <w:t xml:space="preserve"> lines </w:t>
      </w:r>
      <w:r w:rsidR="006E3768">
        <w:rPr>
          <w:color w:val="000000" w:themeColor="text1"/>
        </w:rPr>
        <w:t>12-</w:t>
      </w:r>
      <w:r w:rsidR="00CF2659">
        <w:rPr>
          <w:color w:val="000000" w:themeColor="text1"/>
        </w:rPr>
        <w:t>21</w:t>
      </w:r>
      <w:r w:rsidR="00536A32">
        <w:rPr>
          <w:color w:val="000000" w:themeColor="text1"/>
        </w:rPr>
        <w:t xml:space="preserve">). </w:t>
      </w:r>
    </w:p>
    <w:p w14:paraId="779A2B7A" w14:textId="5ACC6BE8" w:rsidR="003A77BD" w:rsidRDefault="003A77BD" w:rsidP="00FB736B">
      <w:pPr>
        <w:spacing w:line="480" w:lineRule="auto"/>
        <w:ind w:left="720" w:hanging="720"/>
        <w:jc w:val="both"/>
        <w:rPr>
          <w:b/>
          <w:bCs/>
          <w:color w:val="000000" w:themeColor="text1"/>
        </w:rPr>
      </w:pPr>
      <w:r>
        <w:rPr>
          <w:b/>
          <w:bCs/>
          <w:color w:val="000000" w:themeColor="text1"/>
        </w:rPr>
        <w:t>Q.</w:t>
      </w:r>
      <w:r>
        <w:rPr>
          <w:b/>
          <w:bCs/>
          <w:color w:val="000000" w:themeColor="text1"/>
        </w:rPr>
        <w:tab/>
        <w:t>DOES STAFF AGREE THAT SEMI-ANNUAL REPORTING REQUIREM</w:t>
      </w:r>
      <w:r w:rsidR="008151B2">
        <w:rPr>
          <w:b/>
          <w:bCs/>
          <w:color w:val="000000" w:themeColor="text1"/>
        </w:rPr>
        <w:t>E</w:t>
      </w:r>
      <w:r>
        <w:rPr>
          <w:b/>
          <w:bCs/>
          <w:color w:val="000000" w:themeColor="text1"/>
        </w:rPr>
        <w:t>NTS ARE SUFFICENT GIVEN THE FAST CONSTRUCTION</w:t>
      </w:r>
      <w:r w:rsidR="005D7FF7">
        <w:rPr>
          <w:b/>
          <w:bCs/>
          <w:color w:val="000000" w:themeColor="text1"/>
        </w:rPr>
        <w:t xml:space="preserve"> TIMELINE</w:t>
      </w:r>
      <w:r w:rsidR="00A92EAC">
        <w:rPr>
          <w:b/>
          <w:bCs/>
          <w:color w:val="000000" w:themeColor="text1"/>
        </w:rPr>
        <w:t xml:space="preserve"> AND </w:t>
      </w:r>
      <w:r w:rsidR="00D0367F">
        <w:rPr>
          <w:b/>
          <w:bCs/>
          <w:color w:val="000000" w:themeColor="text1"/>
        </w:rPr>
        <w:t>CAPITAL-INTENSIVE</w:t>
      </w:r>
      <w:r w:rsidR="00A92EAC">
        <w:rPr>
          <w:b/>
          <w:bCs/>
          <w:color w:val="000000" w:themeColor="text1"/>
        </w:rPr>
        <w:t xml:space="preserve"> NATURE</w:t>
      </w:r>
      <w:r>
        <w:rPr>
          <w:b/>
          <w:bCs/>
          <w:color w:val="000000" w:themeColor="text1"/>
        </w:rPr>
        <w:t xml:space="preserve"> OF THE</w:t>
      </w:r>
      <w:r w:rsidR="002F1C87">
        <w:rPr>
          <w:b/>
          <w:bCs/>
          <w:color w:val="000000" w:themeColor="text1"/>
        </w:rPr>
        <w:t xml:space="preserve"> BESS</w:t>
      </w:r>
      <w:r>
        <w:rPr>
          <w:b/>
          <w:bCs/>
          <w:color w:val="000000" w:themeColor="text1"/>
        </w:rPr>
        <w:t xml:space="preserve"> PROJECTS?</w:t>
      </w:r>
    </w:p>
    <w:p w14:paraId="3E748467" w14:textId="1EC52070" w:rsidR="00D0367F" w:rsidRPr="00B9790E" w:rsidRDefault="003A77BD" w:rsidP="003D189C">
      <w:pPr>
        <w:spacing w:line="480" w:lineRule="auto"/>
        <w:ind w:left="720" w:hanging="720"/>
        <w:jc w:val="both"/>
        <w:rPr>
          <w:color w:val="000000" w:themeColor="text1"/>
        </w:rPr>
      </w:pPr>
      <w:r w:rsidRPr="1596C26B">
        <w:rPr>
          <w:color w:val="000000" w:themeColor="text1"/>
        </w:rPr>
        <w:t>A.</w:t>
      </w:r>
      <w:r>
        <w:tab/>
      </w:r>
      <w:r w:rsidRPr="1596C26B">
        <w:rPr>
          <w:color w:val="000000" w:themeColor="text1"/>
        </w:rPr>
        <w:t xml:space="preserve">No. </w:t>
      </w:r>
      <w:r w:rsidR="00D0367F" w:rsidRPr="1596C26B">
        <w:rPr>
          <w:color w:val="000000" w:themeColor="text1"/>
        </w:rPr>
        <w:t>Staff does not agree that semi-annual reporting is sufficient when considering</w:t>
      </w:r>
      <w:r w:rsidR="00304514" w:rsidRPr="1596C26B">
        <w:rPr>
          <w:color w:val="000000" w:themeColor="text1"/>
        </w:rPr>
        <w:t xml:space="preserve"> </w:t>
      </w:r>
      <w:r w:rsidR="00B01480" w:rsidRPr="1596C26B">
        <w:rPr>
          <w:color w:val="000000" w:themeColor="text1"/>
        </w:rPr>
        <w:t xml:space="preserve">the </w:t>
      </w:r>
      <w:r w:rsidR="003D189C" w:rsidRPr="1596C26B">
        <w:rPr>
          <w:color w:val="000000" w:themeColor="text1"/>
        </w:rPr>
        <w:t>fast-approaching</w:t>
      </w:r>
      <w:r w:rsidRPr="1596C26B">
        <w:rPr>
          <w:color w:val="000000" w:themeColor="text1"/>
        </w:rPr>
        <w:t xml:space="preserve"> COD and capital-intensive projects</w:t>
      </w:r>
      <w:r w:rsidR="00D0367F" w:rsidRPr="1596C26B">
        <w:rPr>
          <w:color w:val="000000" w:themeColor="text1"/>
        </w:rPr>
        <w:t>.</w:t>
      </w:r>
      <w:r w:rsidRPr="1596C26B">
        <w:rPr>
          <w:color w:val="000000" w:themeColor="text1"/>
        </w:rPr>
        <w:t xml:space="preserve"> It is </w:t>
      </w:r>
      <w:r w:rsidR="00D0367F" w:rsidRPr="1596C26B">
        <w:rPr>
          <w:color w:val="000000" w:themeColor="text1"/>
        </w:rPr>
        <w:t xml:space="preserve">Staff’s </w:t>
      </w:r>
      <w:r w:rsidRPr="1596C26B">
        <w:rPr>
          <w:color w:val="000000" w:themeColor="text1"/>
        </w:rPr>
        <w:t>position</w:t>
      </w:r>
      <w:r w:rsidR="00D0367F" w:rsidRPr="1596C26B">
        <w:rPr>
          <w:color w:val="000000" w:themeColor="text1"/>
        </w:rPr>
        <w:t xml:space="preserve"> that </w:t>
      </w:r>
      <w:r w:rsidR="009D1729" w:rsidRPr="1596C26B">
        <w:rPr>
          <w:color w:val="000000" w:themeColor="text1"/>
        </w:rPr>
        <w:t>C</w:t>
      </w:r>
      <w:r w:rsidR="00304514" w:rsidRPr="1596C26B">
        <w:rPr>
          <w:color w:val="000000" w:themeColor="text1"/>
        </w:rPr>
        <w:t xml:space="preserve">onstruction </w:t>
      </w:r>
      <w:r w:rsidR="009D1729" w:rsidRPr="1596C26B">
        <w:rPr>
          <w:color w:val="000000" w:themeColor="text1"/>
        </w:rPr>
        <w:t>M</w:t>
      </w:r>
      <w:r w:rsidR="00304514" w:rsidRPr="1596C26B">
        <w:rPr>
          <w:color w:val="000000" w:themeColor="text1"/>
        </w:rPr>
        <w:t xml:space="preserve">onitoring </w:t>
      </w:r>
      <w:r w:rsidR="009D1729" w:rsidRPr="1596C26B">
        <w:rPr>
          <w:color w:val="000000" w:themeColor="text1"/>
        </w:rPr>
        <w:t>R</w:t>
      </w:r>
      <w:r w:rsidRPr="1596C26B">
        <w:rPr>
          <w:color w:val="000000" w:themeColor="text1"/>
        </w:rPr>
        <w:t xml:space="preserve">eporting </w:t>
      </w:r>
      <w:r w:rsidR="00304514" w:rsidRPr="1596C26B">
        <w:rPr>
          <w:color w:val="000000" w:themeColor="text1"/>
        </w:rPr>
        <w:t xml:space="preserve">for these projects </w:t>
      </w:r>
      <w:r w:rsidRPr="1596C26B">
        <w:rPr>
          <w:color w:val="000000" w:themeColor="text1"/>
        </w:rPr>
        <w:t xml:space="preserve">should be done more often than twice a year. </w:t>
      </w:r>
    </w:p>
    <w:p w14:paraId="404EEBD9" w14:textId="46478F2B" w:rsidR="00FA38FA" w:rsidRDefault="00305F64" w:rsidP="007454B0">
      <w:pPr>
        <w:spacing w:before="240" w:line="480" w:lineRule="auto"/>
        <w:ind w:left="720" w:hanging="720"/>
        <w:jc w:val="both"/>
        <w:rPr>
          <w:b/>
          <w:bCs/>
          <w:color w:val="000000" w:themeColor="text1"/>
        </w:rPr>
      </w:pPr>
      <w:r>
        <w:rPr>
          <w:b/>
          <w:bCs/>
          <w:color w:val="000000" w:themeColor="text1"/>
        </w:rPr>
        <w:t>Q.</w:t>
      </w:r>
      <w:r>
        <w:rPr>
          <w:b/>
          <w:bCs/>
          <w:color w:val="000000" w:themeColor="text1"/>
        </w:rPr>
        <w:tab/>
      </w:r>
      <w:r w:rsidR="00FA38FA">
        <w:rPr>
          <w:b/>
          <w:bCs/>
          <w:color w:val="000000" w:themeColor="text1"/>
        </w:rPr>
        <w:t xml:space="preserve">WHAT IS STAFF’S RECOMMENDATION REGARDING THE FREQUENCY OF CONSTRUCTION </w:t>
      </w:r>
      <w:r w:rsidR="003A77BD">
        <w:rPr>
          <w:b/>
          <w:bCs/>
          <w:color w:val="000000" w:themeColor="text1"/>
        </w:rPr>
        <w:t xml:space="preserve">MONITORING </w:t>
      </w:r>
      <w:r w:rsidR="00FA38FA">
        <w:rPr>
          <w:b/>
          <w:bCs/>
          <w:color w:val="000000" w:themeColor="text1"/>
        </w:rPr>
        <w:t>REPORTING</w:t>
      </w:r>
      <w:r w:rsidR="003A77BD">
        <w:rPr>
          <w:b/>
          <w:bCs/>
          <w:color w:val="000000" w:themeColor="text1"/>
        </w:rPr>
        <w:t xml:space="preserve"> AND THE INFORMATION TO BE PROVIDED IN THE REPORT</w:t>
      </w:r>
      <w:r w:rsidR="00FA38FA">
        <w:rPr>
          <w:b/>
          <w:bCs/>
          <w:color w:val="000000" w:themeColor="text1"/>
        </w:rPr>
        <w:t>?</w:t>
      </w:r>
    </w:p>
    <w:p w14:paraId="3A6BFD5A" w14:textId="0F6DE25F" w:rsidR="00230614" w:rsidRDefault="00FA38FA" w:rsidP="003F14E2">
      <w:pPr>
        <w:spacing w:line="480" w:lineRule="auto"/>
        <w:ind w:left="720" w:hanging="720"/>
        <w:jc w:val="both"/>
        <w:rPr>
          <w:color w:val="000000" w:themeColor="text1"/>
        </w:rPr>
      </w:pPr>
      <w:r>
        <w:rPr>
          <w:color w:val="000000" w:themeColor="text1"/>
        </w:rPr>
        <w:t>A.</w:t>
      </w:r>
      <w:r>
        <w:rPr>
          <w:color w:val="000000" w:themeColor="text1"/>
        </w:rPr>
        <w:tab/>
      </w:r>
      <w:r w:rsidR="003A77BD" w:rsidRPr="005B3E59">
        <w:rPr>
          <w:color w:val="000000" w:themeColor="text1"/>
        </w:rPr>
        <w:t xml:space="preserve">Staff recommends quarterly </w:t>
      </w:r>
      <w:r w:rsidR="003A77BD" w:rsidRPr="003A77BD">
        <w:rPr>
          <w:color w:val="000000" w:themeColor="text1"/>
        </w:rPr>
        <w:t>Construction</w:t>
      </w:r>
      <w:r w:rsidR="003A77BD" w:rsidRPr="005B3E59">
        <w:rPr>
          <w:color w:val="000000" w:themeColor="text1"/>
        </w:rPr>
        <w:t xml:space="preserve"> </w:t>
      </w:r>
      <w:r w:rsidR="003A77BD">
        <w:rPr>
          <w:color w:val="000000" w:themeColor="text1"/>
        </w:rPr>
        <w:t xml:space="preserve">Monitoring </w:t>
      </w:r>
      <w:r w:rsidR="00B259C9" w:rsidRPr="003A77BD">
        <w:rPr>
          <w:color w:val="000000" w:themeColor="text1"/>
        </w:rPr>
        <w:t>Reporting</w:t>
      </w:r>
      <w:r w:rsidR="00B259C9">
        <w:rPr>
          <w:color w:val="000000" w:themeColor="text1"/>
        </w:rPr>
        <w:t xml:space="preserve"> for</w:t>
      </w:r>
      <w:r w:rsidR="00E853D0">
        <w:rPr>
          <w:color w:val="000000" w:themeColor="text1"/>
        </w:rPr>
        <w:t xml:space="preserve"> the Robins, Moody, Hammond and McGrau Ford Phase II </w:t>
      </w:r>
      <w:r w:rsidR="00B259C9">
        <w:rPr>
          <w:color w:val="000000" w:themeColor="text1"/>
        </w:rPr>
        <w:t xml:space="preserve">BESS Projects to allow </w:t>
      </w:r>
      <w:r w:rsidR="00461303">
        <w:rPr>
          <w:color w:val="000000" w:themeColor="text1"/>
        </w:rPr>
        <w:t xml:space="preserve">the Commission to stay </w:t>
      </w:r>
      <w:r w:rsidR="0090436B">
        <w:rPr>
          <w:color w:val="000000" w:themeColor="text1"/>
        </w:rPr>
        <w:t>properly</w:t>
      </w:r>
      <w:r w:rsidR="00E502CF">
        <w:rPr>
          <w:color w:val="000000" w:themeColor="text1"/>
        </w:rPr>
        <w:t xml:space="preserve"> </w:t>
      </w:r>
      <w:r w:rsidR="00461303">
        <w:rPr>
          <w:color w:val="000000" w:themeColor="text1"/>
        </w:rPr>
        <w:t xml:space="preserve">informed </w:t>
      </w:r>
      <w:r w:rsidR="002F1C87">
        <w:rPr>
          <w:color w:val="000000" w:themeColor="text1"/>
        </w:rPr>
        <w:t xml:space="preserve">regarding </w:t>
      </w:r>
      <w:r w:rsidR="00461303">
        <w:rPr>
          <w:color w:val="000000" w:themeColor="text1"/>
        </w:rPr>
        <w:t xml:space="preserve">the </w:t>
      </w:r>
      <w:r w:rsidR="00E502CF">
        <w:rPr>
          <w:color w:val="000000" w:themeColor="text1"/>
        </w:rPr>
        <w:t xml:space="preserve">status of </w:t>
      </w:r>
      <w:r w:rsidR="002F1C87">
        <w:rPr>
          <w:color w:val="000000" w:themeColor="text1"/>
        </w:rPr>
        <w:t>the construction</w:t>
      </w:r>
      <w:r w:rsidR="006F697A">
        <w:rPr>
          <w:color w:val="000000" w:themeColor="text1"/>
        </w:rPr>
        <w:t xml:space="preserve"> and associated spending</w:t>
      </w:r>
      <w:r w:rsidR="002F1C87">
        <w:rPr>
          <w:color w:val="000000" w:themeColor="text1"/>
        </w:rPr>
        <w:t xml:space="preserve"> for </w:t>
      </w:r>
      <w:r w:rsidR="00E502CF">
        <w:rPr>
          <w:color w:val="000000" w:themeColor="text1"/>
        </w:rPr>
        <w:lastRenderedPageBreak/>
        <w:t>the</w:t>
      </w:r>
      <w:r w:rsidR="00EE5D50">
        <w:rPr>
          <w:color w:val="000000" w:themeColor="text1"/>
        </w:rPr>
        <w:t>se p</w:t>
      </w:r>
      <w:r w:rsidR="00E502CF">
        <w:rPr>
          <w:color w:val="000000" w:themeColor="text1"/>
        </w:rPr>
        <w:t>rojects</w:t>
      </w:r>
      <w:r w:rsidR="00A92EAC">
        <w:rPr>
          <w:color w:val="000000" w:themeColor="text1"/>
        </w:rPr>
        <w:t xml:space="preserve">. </w:t>
      </w:r>
      <w:r w:rsidR="00D0367F">
        <w:rPr>
          <w:color w:val="000000" w:themeColor="text1"/>
        </w:rPr>
        <w:t xml:space="preserve">The Commission has already approved </w:t>
      </w:r>
      <w:r w:rsidR="004D4B3F">
        <w:rPr>
          <w:color w:val="000000" w:themeColor="text1"/>
        </w:rPr>
        <w:t xml:space="preserve">a </w:t>
      </w:r>
      <w:r w:rsidR="00D0367F">
        <w:rPr>
          <w:color w:val="000000" w:themeColor="text1"/>
        </w:rPr>
        <w:t xml:space="preserve">quarterly </w:t>
      </w:r>
      <w:r w:rsidR="00304514">
        <w:rPr>
          <w:color w:val="000000" w:themeColor="text1"/>
        </w:rPr>
        <w:t>reporting requirement for</w:t>
      </w:r>
      <w:r w:rsidR="00B259C9">
        <w:rPr>
          <w:color w:val="000000" w:themeColor="text1"/>
        </w:rPr>
        <w:t xml:space="preserve"> </w:t>
      </w:r>
      <w:r w:rsidR="006F697A">
        <w:rPr>
          <w:color w:val="000000" w:themeColor="text1"/>
        </w:rPr>
        <w:t xml:space="preserve">the </w:t>
      </w:r>
      <w:r w:rsidR="00B259C9">
        <w:rPr>
          <w:color w:val="000000" w:themeColor="text1"/>
        </w:rPr>
        <w:t>McGrau Ford Phase I</w:t>
      </w:r>
      <w:r w:rsidR="006F697A">
        <w:rPr>
          <w:color w:val="000000" w:themeColor="text1"/>
        </w:rPr>
        <w:t xml:space="preserve"> Project</w:t>
      </w:r>
      <w:r w:rsidR="00B259C9">
        <w:rPr>
          <w:color w:val="000000" w:themeColor="text1"/>
        </w:rPr>
        <w:t>.</w:t>
      </w:r>
      <w:r w:rsidR="006518F5" w:rsidRPr="006518F5">
        <w:rPr>
          <w:color w:val="000000" w:themeColor="text1"/>
        </w:rPr>
        <w:t xml:space="preserve"> </w:t>
      </w:r>
      <w:r w:rsidR="003A4F88">
        <w:rPr>
          <w:color w:val="000000" w:themeColor="text1"/>
        </w:rPr>
        <w:t>In addition to th</w:t>
      </w:r>
      <w:r w:rsidR="004877C5">
        <w:rPr>
          <w:color w:val="000000" w:themeColor="text1"/>
        </w:rPr>
        <w:t>e</w:t>
      </w:r>
      <w:r w:rsidR="003A4F88">
        <w:rPr>
          <w:color w:val="000000" w:themeColor="text1"/>
        </w:rPr>
        <w:t xml:space="preserve"> information</w:t>
      </w:r>
      <w:r w:rsidR="004877C5">
        <w:rPr>
          <w:color w:val="000000" w:themeColor="text1"/>
        </w:rPr>
        <w:t xml:space="preserve"> </w:t>
      </w:r>
      <w:r w:rsidR="008010EC">
        <w:rPr>
          <w:color w:val="000000" w:themeColor="text1"/>
        </w:rPr>
        <w:t xml:space="preserve">that </w:t>
      </w:r>
      <w:r w:rsidR="004877C5">
        <w:rPr>
          <w:color w:val="000000" w:themeColor="text1"/>
        </w:rPr>
        <w:t xml:space="preserve">the Company </w:t>
      </w:r>
      <w:r w:rsidR="008010EC">
        <w:rPr>
          <w:color w:val="000000" w:themeColor="text1"/>
        </w:rPr>
        <w:t xml:space="preserve">has </w:t>
      </w:r>
      <w:r w:rsidR="00486690">
        <w:rPr>
          <w:color w:val="000000" w:themeColor="text1"/>
        </w:rPr>
        <w:t>agreed to</w:t>
      </w:r>
      <w:r w:rsidR="004877C5">
        <w:rPr>
          <w:color w:val="000000" w:themeColor="text1"/>
        </w:rPr>
        <w:t xml:space="preserve"> provide</w:t>
      </w:r>
      <w:r w:rsidR="00464176">
        <w:rPr>
          <w:color w:val="000000" w:themeColor="text1"/>
        </w:rPr>
        <w:t xml:space="preserve">, </w:t>
      </w:r>
      <w:r w:rsidR="00304514">
        <w:rPr>
          <w:color w:val="000000" w:themeColor="text1"/>
        </w:rPr>
        <w:t xml:space="preserve">Staff recommends that </w:t>
      </w:r>
      <w:r w:rsidR="004D4B3F">
        <w:rPr>
          <w:color w:val="000000" w:themeColor="text1"/>
        </w:rPr>
        <w:t xml:space="preserve">the following </w:t>
      </w:r>
      <w:r w:rsidR="00D0367F">
        <w:rPr>
          <w:color w:val="000000" w:themeColor="text1"/>
        </w:rPr>
        <w:t>information</w:t>
      </w:r>
      <w:r w:rsidR="004D4B3F">
        <w:rPr>
          <w:color w:val="000000" w:themeColor="text1"/>
        </w:rPr>
        <w:t xml:space="preserve"> also </w:t>
      </w:r>
      <w:r w:rsidR="00D0367F">
        <w:rPr>
          <w:color w:val="000000" w:themeColor="text1"/>
        </w:rPr>
        <w:t>be provided</w:t>
      </w:r>
      <w:r w:rsidR="00EE5D50">
        <w:rPr>
          <w:color w:val="000000" w:themeColor="text1"/>
        </w:rPr>
        <w:t xml:space="preserve"> in the quarterly reports</w:t>
      </w:r>
      <w:r w:rsidR="004D4B3F">
        <w:rPr>
          <w:color w:val="000000" w:themeColor="text1"/>
        </w:rPr>
        <w:t xml:space="preserve">: </w:t>
      </w:r>
      <w:r w:rsidR="007E5A1D">
        <w:rPr>
          <w:color w:val="000000" w:themeColor="text1"/>
        </w:rPr>
        <w:t xml:space="preserve">contingency assessment, </w:t>
      </w:r>
      <w:r w:rsidR="004D4B3F">
        <w:rPr>
          <w:color w:val="000000" w:themeColor="text1"/>
        </w:rPr>
        <w:t>CWIP</w:t>
      </w:r>
      <w:r w:rsidR="00D65F41">
        <w:rPr>
          <w:color w:val="000000" w:themeColor="text1"/>
        </w:rPr>
        <w:t xml:space="preserve">, </w:t>
      </w:r>
      <w:r w:rsidR="008010EC">
        <w:rPr>
          <w:color w:val="000000" w:themeColor="text1"/>
        </w:rPr>
        <w:t>AFUDC</w:t>
      </w:r>
      <w:r w:rsidR="00D65F41">
        <w:rPr>
          <w:color w:val="000000" w:themeColor="text1"/>
        </w:rPr>
        <w:t>, and Ad Valorem balances</w:t>
      </w:r>
      <w:r w:rsidR="00304514">
        <w:rPr>
          <w:color w:val="000000" w:themeColor="text1"/>
        </w:rPr>
        <w:t>.</w:t>
      </w:r>
      <w:r w:rsidR="00D65F41">
        <w:rPr>
          <w:color w:val="000000" w:themeColor="text1"/>
        </w:rPr>
        <w:t xml:space="preserve"> </w:t>
      </w:r>
    </w:p>
    <w:p w14:paraId="6615468A" w14:textId="014455D3" w:rsidR="009B26E3" w:rsidRDefault="00AD7FC5" w:rsidP="007454B0">
      <w:pPr>
        <w:spacing w:before="240" w:line="480" w:lineRule="auto"/>
        <w:ind w:left="720" w:hanging="720"/>
        <w:jc w:val="both"/>
        <w:rPr>
          <w:b/>
          <w:bCs/>
          <w:color w:val="000000" w:themeColor="text1"/>
        </w:rPr>
      </w:pPr>
      <w:bookmarkStart w:id="3" w:name="_Hlk178859799"/>
      <w:r>
        <w:rPr>
          <w:b/>
          <w:bCs/>
          <w:color w:val="000000" w:themeColor="text1"/>
        </w:rPr>
        <w:t xml:space="preserve">Q. </w:t>
      </w:r>
      <w:r>
        <w:rPr>
          <w:b/>
          <w:bCs/>
          <w:color w:val="000000" w:themeColor="text1"/>
        </w:rPr>
        <w:tab/>
      </w:r>
      <w:r w:rsidR="00D0367F">
        <w:rPr>
          <w:b/>
          <w:bCs/>
          <w:color w:val="000000" w:themeColor="text1"/>
        </w:rPr>
        <w:t>DOES STAFF</w:t>
      </w:r>
      <w:r>
        <w:rPr>
          <w:b/>
          <w:bCs/>
          <w:color w:val="000000" w:themeColor="text1"/>
        </w:rPr>
        <w:t xml:space="preserve"> RECOMMEND</w:t>
      </w:r>
      <w:r w:rsidR="00A27961">
        <w:rPr>
          <w:b/>
          <w:bCs/>
          <w:color w:val="000000" w:themeColor="text1"/>
        </w:rPr>
        <w:t xml:space="preserve"> </w:t>
      </w:r>
      <w:r w:rsidR="00D0367F">
        <w:rPr>
          <w:b/>
          <w:bCs/>
          <w:color w:val="000000" w:themeColor="text1"/>
        </w:rPr>
        <w:t xml:space="preserve">APPROVAL </w:t>
      </w:r>
      <w:r w:rsidR="00B26188">
        <w:rPr>
          <w:b/>
          <w:bCs/>
          <w:color w:val="000000" w:themeColor="text1"/>
        </w:rPr>
        <w:t xml:space="preserve">OF THE COMPANY’S REQUEST </w:t>
      </w:r>
      <w:r w:rsidR="00D0367F">
        <w:rPr>
          <w:b/>
          <w:bCs/>
          <w:color w:val="000000" w:themeColor="text1"/>
        </w:rPr>
        <w:t>TO</w:t>
      </w:r>
      <w:r w:rsidR="002D07AA">
        <w:rPr>
          <w:b/>
          <w:bCs/>
          <w:color w:val="000000" w:themeColor="text1"/>
        </w:rPr>
        <w:t xml:space="preserve"> PROCEED WITH THE MCGRAU FORD PHASE I BESS PROJECT</w:t>
      </w:r>
      <w:r>
        <w:rPr>
          <w:b/>
          <w:bCs/>
          <w:color w:val="000000" w:themeColor="text1"/>
        </w:rPr>
        <w:t>?</w:t>
      </w:r>
    </w:p>
    <w:p w14:paraId="4D4D4B1B" w14:textId="40B437A0" w:rsidR="00AD7FC5" w:rsidRDefault="007831AF" w:rsidP="00AD7FC5">
      <w:pPr>
        <w:spacing w:line="480" w:lineRule="auto"/>
        <w:ind w:left="720" w:hanging="720"/>
        <w:jc w:val="both"/>
        <w:rPr>
          <w:color w:val="000000" w:themeColor="text1"/>
        </w:rPr>
      </w:pPr>
      <w:r w:rsidRPr="00FA38FA">
        <w:rPr>
          <w:color w:val="000000" w:themeColor="text1"/>
        </w:rPr>
        <w:t>A.</w:t>
      </w:r>
      <w:r w:rsidRPr="00FA38FA">
        <w:rPr>
          <w:color w:val="000000" w:themeColor="text1"/>
        </w:rPr>
        <w:tab/>
      </w:r>
      <w:bookmarkEnd w:id="3"/>
      <w:r w:rsidR="00082263">
        <w:rPr>
          <w:color w:val="000000" w:themeColor="text1"/>
        </w:rPr>
        <w:t>Yes.</w:t>
      </w:r>
      <w:r w:rsidR="003A007C">
        <w:rPr>
          <w:color w:val="000000" w:themeColor="text1"/>
        </w:rPr>
        <w:t xml:space="preserve"> Staff recommends approval of the Company’s request to proceed with the 265 MW McGrau Ford Phase I Project.</w:t>
      </w:r>
    </w:p>
    <w:p w14:paraId="627C0DF2" w14:textId="77777777" w:rsidR="002D07AA" w:rsidRDefault="002D07AA" w:rsidP="007454B0">
      <w:pPr>
        <w:spacing w:before="240" w:line="480" w:lineRule="auto"/>
        <w:ind w:left="720" w:hanging="720"/>
        <w:jc w:val="both"/>
        <w:rPr>
          <w:b/>
          <w:bCs/>
          <w:color w:val="000000" w:themeColor="text1"/>
        </w:rPr>
      </w:pPr>
      <w:r>
        <w:rPr>
          <w:b/>
          <w:bCs/>
          <w:color w:val="000000" w:themeColor="text1"/>
        </w:rPr>
        <w:t xml:space="preserve">Q. </w:t>
      </w:r>
      <w:r>
        <w:rPr>
          <w:b/>
          <w:bCs/>
          <w:color w:val="000000" w:themeColor="text1"/>
        </w:rPr>
        <w:tab/>
        <w:t>DOES STAFF RECOMMEND APPROVAL OF THE COMPANY’S REQUEST TO CERTIFY THE ROBINS, MOODY, HAMMOND, AND MCGRAU FORD PHASE II BESS PROJECTS?</w:t>
      </w:r>
    </w:p>
    <w:p w14:paraId="4C2FF9BF" w14:textId="296EF3CC" w:rsidR="002D07AA" w:rsidRDefault="002D07AA" w:rsidP="002D07AA">
      <w:pPr>
        <w:spacing w:line="480" w:lineRule="auto"/>
        <w:ind w:left="720" w:hanging="720"/>
        <w:jc w:val="both"/>
        <w:rPr>
          <w:color w:val="000000" w:themeColor="text1"/>
        </w:rPr>
      </w:pPr>
      <w:r w:rsidRPr="00FA38FA">
        <w:rPr>
          <w:color w:val="000000" w:themeColor="text1"/>
        </w:rPr>
        <w:t>A.</w:t>
      </w:r>
      <w:r w:rsidRPr="00FA38FA">
        <w:rPr>
          <w:color w:val="000000" w:themeColor="text1"/>
        </w:rPr>
        <w:tab/>
      </w:r>
      <w:r w:rsidR="002D497A" w:rsidRPr="002D497A">
        <w:rPr>
          <w:color w:val="000000" w:themeColor="text1"/>
        </w:rPr>
        <w:t xml:space="preserve">Yes. As provided in the testimony of PIA Staff panel </w:t>
      </w:r>
      <w:r w:rsidR="005D6CAC">
        <w:rPr>
          <w:color w:val="000000" w:themeColor="text1"/>
        </w:rPr>
        <w:t xml:space="preserve">of </w:t>
      </w:r>
      <w:r w:rsidR="002D497A" w:rsidRPr="002D497A">
        <w:rPr>
          <w:color w:val="000000" w:themeColor="text1"/>
        </w:rPr>
        <w:t xml:space="preserve">Douglas A. Smith and Katherine Palacios, Staff agrees with the Company’s siting of the Five BESS Projects. Since these projects are anticipated to be online by </w:t>
      </w:r>
      <w:r w:rsidR="00B92517">
        <w:rPr>
          <w:color w:val="000000" w:themeColor="text1"/>
        </w:rPr>
        <w:t xml:space="preserve">the </w:t>
      </w:r>
      <w:r w:rsidR="002D497A" w:rsidRPr="002D497A">
        <w:rPr>
          <w:color w:val="000000" w:themeColor="text1"/>
        </w:rPr>
        <w:t>winter of 2026/</w:t>
      </w:r>
      <w:r w:rsidR="009D5020">
        <w:rPr>
          <w:color w:val="000000" w:themeColor="text1"/>
        </w:rPr>
        <w:t>20</w:t>
      </w:r>
      <w:r w:rsidR="002D497A" w:rsidRPr="002D497A">
        <w:rPr>
          <w:color w:val="000000" w:themeColor="text1"/>
        </w:rPr>
        <w:t>27 to meet the needs of economic development customers and are sited at locations that should have minimal transmission impacts, Staff recommends approval of the Company’s request to certify Robins, Moody, Hammond and McGrau Ford Phase II BESS Projects</w:t>
      </w:r>
      <w:r w:rsidR="003A007C">
        <w:rPr>
          <w:color w:val="000000" w:themeColor="text1"/>
        </w:rPr>
        <w:t>.</w:t>
      </w:r>
    </w:p>
    <w:p w14:paraId="63F6C13F" w14:textId="180D1642" w:rsidR="00B26188" w:rsidRDefault="00B26188" w:rsidP="007454B0">
      <w:pPr>
        <w:spacing w:before="240" w:line="480" w:lineRule="auto"/>
        <w:ind w:left="720" w:hanging="720"/>
        <w:jc w:val="both"/>
        <w:rPr>
          <w:b/>
          <w:bCs/>
          <w:color w:val="000000" w:themeColor="text1"/>
        </w:rPr>
      </w:pPr>
      <w:r>
        <w:rPr>
          <w:b/>
          <w:bCs/>
          <w:color w:val="000000" w:themeColor="text1"/>
        </w:rPr>
        <w:t xml:space="preserve">Q. </w:t>
      </w:r>
      <w:r>
        <w:rPr>
          <w:b/>
          <w:bCs/>
          <w:color w:val="000000" w:themeColor="text1"/>
        </w:rPr>
        <w:tab/>
        <w:t>DOES STAFF RECOMMEND APPROVAL OF THE COMPANY’S REQUEST</w:t>
      </w:r>
      <w:r w:rsidR="002F1C87">
        <w:rPr>
          <w:b/>
          <w:bCs/>
          <w:color w:val="000000" w:themeColor="text1"/>
        </w:rPr>
        <w:t>ED</w:t>
      </w:r>
      <w:r>
        <w:rPr>
          <w:b/>
          <w:bCs/>
          <w:color w:val="000000" w:themeColor="text1"/>
        </w:rPr>
        <w:t xml:space="preserve"> </w:t>
      </w:r>
      <w:r w:rsidR="00BB75CD">
        <w:rPr>
          <w:b/>
          <w:bCs/>
          <w:color w:val="000000" w:themeColor="text1"/>
        </w:rPr>
        <w:t>TOTAL CERTIFIED AMOUNTS</w:t>
      </w:r>
      <w:r w:rsidR="002F1C87">
        <w:rPr>
          <w:b/>
          <w:bCs/>
          <w:color w:val="000000" w:themeColor="text1"/>
        </w:rPr>
        <w:t xml:space="preserve"> FOR</w:t>
      </w:r>
      <w:r w:rsidR="00BB75CD">
        <w:rPr>
          <w:b/>
          <w:bCs/>
          <w:color w:val="000000" w:themeColor="text1"/>
        </w:rPr>
        <w:t xml:space="preserve"> THE </w:t>
      </w:r>
      <w:r w:rsidR="002F1C87">
        <w:rPr>
          <w:b/>
          <w:bCs/>
          <w:color w:val="000000" w:themeColor="text1"/>
        </w:rPr>
        <w:t xml:space="preserve">FIVE </w:t>
      </w:r>
      <w:r w:rsidR="0074011B">
        <w:rPr>
          <w:b/>
          <w:bCs/>
          <w:color w:val="000000" w:themeColor="text1"/>
        </w:rPr>
        <w:t>BESS PROJECTS</w:t>
      </w:r>
      <w:r>
        <w:rPr>
          <w:b/>
          <w:bCs/>
          <w:color w:val="000000" w:themeColor="text1"/>
        </w:rPr>
        <w:t>?</w:t>
      </w:r>
    </w:p>
    <w:p w14:paraId="1DA6BF25" w14:textId="0DE2CA13" w:rsidR="00EB3688" w:rsidRPr="00EB3688" w:rsidRDefault="00B26188" w:rsidP="00EB3688">
      <w:pPr>
        <w:spacing w:line="480" w:lineRule="auto"/>
        <w:ind w:left="720" w:hanging="720"/>
        <w:jc w:val="both"/>
        <w:rPr>
          <w:color w:val="000000" w:themeColor="text1"/>
        </w:rPr>
      </w:pPr>
      <w:r w:rsidRPr="00FA38FA">
        <w:rPr>
          <w:color w:val="000000" w:themeColor="text1"/>
        </w:rPr>
        <w:t>A.</w:t>
      </w:r>
      <w:r w:rsidRPr="00FA38FA">
        <w:rPr>
          <w:color w:val="000000" w:themeColor="text1"/>
        </w:rPr>
        <w:tab/>
      </w:r>
      <w:r w:rsidR="00EE5D50">
        <w:rPr>
          <w:color w:val="000000" w:themeColor="text1"/>
        </w:rPr>
        <w:t xml:space="preserve">No. Staff </w:t>
      </w:r>
      <w:r w:rsidR="004E248E">
        <w:rPr>
          <w:color w:val="000000" w:themeColor="text1"/>
        </w:rPr>
        <w:t xml:space="preserve">recommends </w:t>
      </w:r>
      <w:r w:rsidR="00EE5D50">
        <w:rPr>
          <w:color w:val="000000" w:themeColor="text1"/>
        </w:rPr>
        <w:t xml:space="preserve">that the </w:t>
      </w:r>
      <w:r w:rsidR="004E248E">
        <w:rPr>
          <w:color w:val="000000" w:themeColor="text1"/>
        </w:rPr>
        <w:t xml:space="preserve">Company’s </w:t>
      </w:r>
      <w:r w:rsidR="00EE5D50">
        <w:rPr>
          <w:color w:val="000000" w:themeColor="text1"/>
        </w:rPr>
        <w:t xml:space="preserve">contingency amount requested for </w:t>
      </w:r>
      <w:r w:rsidR="00EC1B76" w:rsidRPr="00EC1B76">
        <w:rPr>
          <w:color w:val="000000" w:themeColor="text1"/>
        </w:rPr>
        <w:t>Changes in Import Tariffs or other Regulatory Impacts</w:t>
      </w:r>
      <w:r w:rsidR="00EE5D50">
        <w:rPr>
          <w:color w:val="000000" w:themeColor="text1"/>
        </w:rPr>
        <w:t xml:space="preserve">, in the amount </w:t>
      </w:r>
      <w:r w:rsidR="00EE5D50" w:rsidRPr="000F41AD">
        <w:rPr>
          <w:color w:val="000000" w:themeColor="text1"/>
        </w:rPr>
        <w:t xml:space="preserve">of </w:t>
      </w:r>
      <w:r w:rsidR="000867F6" w:rsidRPr="000867F6">
        <w:rPr>
          <w:color w:val="000000"/>
          <w:highlight w:val="black"/>
        </w:rPr>
        <w:t>XXXXXXXX</w:t>
      </w:r>
      <w:r w:rsidR="00EE5D50">
        <w:rPr>
          <w:color w:val="000000"/>
        </w:rPr>
        <w:t xml:space="preserve"> for the Five </w:t>
      </w:r>
      <w:r w:rsidR="00EE5D50">
        <w:rPr>
          <w:color w:val="000000"/>
        </w:rPr>
        <w:lastRenderedPageBreak/>
        <w:t xml:space="preserve">BESS Projects, </w:t>
      </w:r>
      <w:r w:rsidR="00EE5D50">
        <w:rPr>
          <w:color w:val="000000" w:themeColor="text1"/>
        </w:rPr>
        <w:t xml:space="preserve">not be approved as part of the total certified cost. </w:t>
      </w:r>
      <w:r w:rsidR="00F3264A">
        <w:rPr>
          <w:color w:val="000000" w:themeColor="text1"/>
        </w:rPr>
        <w:t>With this recommendation, t</w:t>
      </w:r>
      <w:r w:rsidR="001B4104">
        <w:rPr>
          <w:color w:val="000000" w:themeColor="text1"/>
        </w:rPr>
        <w:t>he total certified amount for each project is as follows:</w:t>
      </w:r>
    </w:p>
    <w:p w14:paraId="63977DCD" w14:textId="2B1FF150" w:rsidR="00EB3688" w:rsidRPr="003A007C" w:rsidRDefault="00EB3688" w:rsidP="00EB3688">
      <w:pPr>
        <w:pStyle w:val="Caption"/>
        <w:keepNext/>
        <w:jc w:val="center"/>
        <w:rPr>
          <w:color w:val="auto"/>
          <w:sz w:val="24"/>
          <w:szCs w:val="24"/>
        </w:rPr>
      </w:pPr>
      <w:r w:rsidRPr="003A007C">
        <w:rPr>
          <w:color w:val="auto"/>
          <w:sz w:val="24"/>
          <w:szCs w:val="24"/>
        </w:rPr>
        <w:t xml:space="preserve">Table </w:t>
      </w:r>
      <w:r w:rsidR="001F1912">
        <w:rPr>
          <w:color w:val="auto"/>
          <w:sz w:val="24"/>
          <w:szCs w:val="24"/>
        </w:rPr>
        <w:t>10</w:t>
      </w:r>
      <w:r w:rsidRPr="003A007C">
        <w:rPr>
          <w:color w:val="auto"/>
          <w:sz w:val="24"/>
          <w:szCs w:val="24"/>
        </w:rPr>
        <w:t xml:space="preserve">. </w:t>
      </w:r>
      <w:r>
        <w:rPr>
          <w:color w:val="auto"/>
          <w:sz w:val="24"/>
          <w:szCs w:val="24"/>
        </w:rPr>
        <w:t>Certified</w:t>
      </w:r>
      <w:r w:rsidRPr="003A007C">
        <w:rPr>
          <w:color w:val="auto"/>
          <w:sz w:val="24"/>
          <w:szCs w:val="24"/>
        </w:rPr>
        <w:t xml:space="preserve"> </w:t>
      </w:r>
      <w:r>
        <w:rPr>
          <w:color w:val="auto"/>
          <w:sz w:val="24"/>
          <w:szCs w:val="24"/>
        </w:rPr>
        <w:t>C</w:t>
      </w:r>
      <w:r w:rsidRPr="003A007C">
        <w:rPr>
          <w:color w:val="auto"/>
          <w:sz w:val="24"/>
          <w:szCs w:val="24"/>
        </w:rPr>
        <w:t>ost</w:t>
      </w:r>
      <w:r w:rsidR="00703484">
        <w:rPr>
          <w:color w:val="auto"/>
          <w:sz w:val="24"/>
          <w:szCs w:val="24"/>
        </w:rPr>
        <w:t xml:space="preserve"> Adjustments</w:t>
      </w:r>
      <w:r w:rsidRPr="003A007C">
        <w:rPr>
          <w:color w:val="auto"/>
          <w:sz w:val="24"/>
          <w:szCs w:val="24"/>
        </w:rPr>
        <w:t xml:space="preserve"> by </w:t>
      </w:r>
      <w:r>
        <w:rPr>
          <w:color w:val="auto"/>
          <w:sz w:val="24"/>
          <w:szCs w:val="24"/>
        </w:rPr>
        <w:t>P</w:t>
      </w:r>
      <w:r w:rsidRPr="003A007C">
        <w:rPr>
          <w:color w:val="auto"/>
          <w:sz w:val="24"/>
          <w:szCs w:val="24"/>
        </w:rPr>
        <w:t>roject</w:t>
      </w:r>
    </w:p>
    <w:tbl>
      <w:tblPr>
        <w:tblStyle w:val="TableGrid"/>
        <w:tblW w:w="8815" w:type="dxa"/>
        <w:tblInd w:w="720" w:type="dxa"/>
        <w:tblLook w:val="04A0" w:firstRow="1" w:lastRow="0" w:firstColumn="1" w:lastColumn="0" w:noHBand="0" w:noVBand="1"/>
      </w:tblPr>
      <w:tblGrid>
        <w:gridCol w:w="1566"/>
        <w:gridCol w:w="2717"/>
        <w:gridCol w:w="2796"/>
        <w:gridCol w:w="1736"/>
      </w:tblGrid>
      <w:tr w:rsidR="006848BA" w14:paraId="34C31222" w14:textId="77777777" w:rsidTr="006848BA">
        <w:trPr>
          <w:trHeight w:val="310"/>
        </w:trPr>
        <w:tc>
          <w:tcPr>
            <w:tcW w:w="1615" w:type="dxa"/>
          </w:tcPr>
          <w:p w14:paraId="6F88EE2C" w14:textId="77777777" w:rsidR="007A3DC6" w:rsidRDefault="007A3DC6" w:rsidP="003D7D79">
            <w:pPr>
              <w:pStyle w:val="NoSpacing"/>
              <w:keepNext/>
              <w:jc w:val="center"/>
              <w:rPr>
                <w:b/>
                <w:bCs/>
              </w:rPr>
            </w:pPr>
          </w:p>
          <w:p w14:paraId="763F5E64" w14:textId="27CFF223" w:rsidR="006848BA" w:rsidRPr="00733950" w:rsidRDefault="006848BA" w:rsidP="003D7D79">
            <w:pPr>
              <w:pStyle w:val="NoSpacing"/>
              <w:keepNext/>
              <w:jc w:val="center"/>
            </w:pPr>
            <w:r w:rsidRPr="001202DB">
              <w:rPr>
                <w:b/>
                <w:bCs/>
              </w:rPr>
              <w:t>Project</w:t>
            </w:r>
          </w:p>
        </w:tc>
        <w:tc>
          <w:tcPr>
            <w:tcW w:w="2880" w:type="dxa"/>
          </w:tcPr>
          <w:p w14:paraId="02F04F90" w14:textId="77777777" w:rsidR="006848BA" w:rsidRPr="001202DB" w:rsidRDefault="006848BA" w:rsidP="006848BA">
            <w:pPr>
              <w:jc w:val="center"/>
              <w:rPr>
                <w:rStyle w:val="normaltextrun"/>
                <w:rFonts w:eastAsiaTheme="minorEastAsia"/>
                <w:b/>
                <w:bCs/>
              </w:rPr>
            </w:pPr>
            <w:r w:rsidRPr="001202DB">
              <w:rPr>
                <w:rStyle w:val="normaltextrun"/>
                <w:rFonts w:eastAsiaTheme="minorEastAsia"/>
                <w:b/>
                <w:bCs/>
              </w:rPr>
              <w:t>Company’s</w:t>
            </w:r>
          </w:p>
          <w:p w14:paraId="781512CB" w14:textId="582909EC" w:rsidR="006848BA" w:rsidRPr="00733950" w:rsidRDefault="006848BA" w:rsidP="006848BA">
            <w:pPr>
              <w:pStyle w:val="NoSpacing"/>
              <w:keepNext/>
              <w:jc w:val="center"/>
              <w:rPr>
                <w:b/>
                <w:bCs/>
              </w:rPr>
            </w:pPr>
            <w:r w:rsidRPr="001202DB">
              <w:rPr>
                <w:rStyle w:val="normaltextrun"/>
                <w:rFonts w:eastAsiaTheme="minorEastAsia"/>
                <w:b/>
                <w:bCs/>
              </w:rPr>
              <w:t>Requested Certified Cost</w:t>
            </w:r>
          </w:p>
        </w:tc>
        <w:tc>
          <w:tcPr>
            <w:tcW w:w="2970" w:type="dxa"/>
            <w:vAlign w:val="center"/>
          </w:tcPr>
          <w:p w14:paraId="5B7EE84F" w14:textId="5EB82C33" w:rsidR="006848BA" w:rsidRPr="00733950" w:rsidRDefault="00D84FA8" w:rsidP="006848BA">
            <w:pPr>
              <w:pStyle w:val="NoSpacing"/>
              <w:keepNext/>
              <w:jc w:val="center"/>
              <w:rPr>
                <w:b/>
                <w:bCs/>
              </w:rPr>
            </w:pPr>
            <w:r w:rsidRPr="00471DB4">
              <w:rPr>
                <w:b/>
                <w:bCs/>
                <w:color w:val="000000" w:themeColor="text1"/>
                <w:highlight w:val="black"/>
              </w:rPr>
              <w:t>XXXXX</w:t>
            </w:r>
            <w:r>
              <w:rPr>
                <w:b/>
                <w:bCs/>
                <w:color w:val="000000" w:themeColor="text1"/>
              </w:rPr>
              <w:t xml:space="preserve"> </w:t>
            </w:r>
            <w:r w:rsidRPr="00D84FA8">
              <w:rPr>
                <w:b/>
                <w:bCs/>
                <w:color w:val="000000" w:themeColor="text1"/>
              </w:rPr>
              <w:t>Changes in Import Tariffs or Other Regulatory Impacts</w:t>
            </w:r>
          </w:p>
        </w:tc>
        <w:tc>
          <w:tcPr>
            <w:tcW w:w="1350" w:type="dxa"/>
          </w:tcPr>
          <w:p w14:paraId="2EA31490" w14:textId="616E3C64" w:rsidR="006848BA" w:rsidRPr="00733950" w:rsidRDefault="006848BA" w:rsidP="006848BA">
            <w:pPr>
              <w:pStyle w:val="NoSpacing"/>
              <w:keepNext/>
              <w:jc w:val="center"/>
              <w:rPr>
                <w:b/>
                <w:bCs/>
              </w:rPr>
            </w:pPr>
            <w:r w:rsidRPr="001202DB">
              <w:rPr>
                <w:b/>
                <w:bCs/>
              </w:rPr>
              <w:t>Staff’s Recommended Certified Cost</w:t>
            </w:r>
          </w:p>
        </w:tc>
      </w:tr>
      <w:tr w:rsidR="006848BA" w14:paraId="276B18E8" w14:textId="77777777" w:rsidTr="006848BA">
        <w:trPr>
          <w:trHeight w:val="310"/>
        </w:trPr>
        <w:tc>
          <w:tcPr>
            <w:tcW w:w="1615" w:type="dxa"/>
          </w:tcPr>
          <w:p w14:paraId="367270BC" w14:textId="52A73F31" w:rsidR="006848BA" w:rsidRPr="001202DB" w:rsidRDefault="006848BA" w:rsidP="006848BA">
            <w:pPr>
              <w:pStyle w:val="NoSpacing"/>
              <w:keepNext/>
              <w:rPr>
                <w:b/>
                <w:bCs/>
              </w:rPr>
            </w:pPr>
            <w:r w:rsidRPr="001202DB">
              <w:t>Robins</w:t>
            </w:r>
          </w:p>
        </w:tc>
        <w:tc>
          <w:tcPr>
            <w:tcW w:w="2880" w:type="dxa"/>
          </w:tcPr>
          <w:p w14:paraId="5F5BB4EF" w14:textId="7C77AE8D" w:rsidR="006848BA" w:rsidRPr="00D55107" w:rsidRDefault="00D55107" w:rsidP="006848BA">
            <w:pPr>
              <w:jc w:val="center"/>
              <w:rPr>
                <w:rStyle w:val="Heading2Char"/>
                <w:rFonts w:eastAsiaTheme="minorEastAsia"/>
                <w:b/>
                <w:bCs/>
                <w:highlight w:val="black"/>
              </w:rPr>
            </w:pPr>
            <w:r w:rsidRPr="00D55107">
              <w:rPr>
                <w:rStyle w:val="normaltextrun"/>
                <w:rFonts w:eastAsiaTheme="minorEastAsia"/>
                <w:highlight w:val="black"/>
              </w:rPr>
              <w:t>XXXXXXXX</w:t>
            </w:r>
          </w:p>
        </w:tc>
        <w:tc>
          <w:tcPr>
            <w:tcW w:w="2970" w:type="dxa"/>
            <w:vAlign w:val="center"/>
          </w:tcPr>
          <w:p w14:paraId="5C393074" w14:textId="4D7F2781" w:rsidR="006848BA" w:rsidRPr="00D55107" w:rsidRDefault="00D55107" w:rsidP="006848BA">
            <w:pPr>
              <w:pStyle w:val="NoSpacing"/>
              <w:keepNext/>
              <w:jc w:val="center"/>
              <w:rPr>
                <w:b/>
                <w:bCs/>
                <w:color w:val="000000" w:themeColor="text1"/>
                <w:highlight w:val="black"/>
              </w:rPr>
            </w:pPr>
            <w:r w:rsidRPr="00D55107">
              <w:rPr>
                <w:rStyle w:val="normaltextrun"/>
                <w:rFonts w:eastAsiaTheme="minorEastAsia"/>
                <w:highlight w:val="black"/>
              </w:rPr>
              <w:t>XXXXXXXX</w:t>
            </w:r>
          </w:p>
        </w:tc>
        <w:tc>
          <w:tcPr>
            <w:tcW w:w="1350" w:type="dxa"/>
          </w:tcPr>
          <w:p w14:paraId="1904C71B" w14:textId="42530CE2" w:rsidR="006848BA" w:rsidRPr="00D55107" w:rsidRDefault="00D55107" w:rsidP="006848BA">
            <w:pPr>
              <w:pStyle w:val="NoSpacing"/>
              <w:keepNext/>
              <w:jc w:val="center"/>
              <w:rPr>
                <w:b/>
                <w:bCs/>
                <w:highlight w:val="black"/>
              </w:rPr>
            </w:pPr>
            <w:r w:rsidRPr="00D55107">
              <w:rPr>
                <w:rStyle w:val="normaltextrun"/>
                <w:rFonts w:eastAsiaTheme="minorEastAsia"/>
                <w:highlight w:val="black"/>
              </w:rPr>
              <w:t>XXXXXXXX</w:t>
            </w:r>
          </w:p>
        </w:tc>
      </w:tr>
      <w:tr w:rsidR="006848BA" w14:paraId="4400FA35" w14:textId="77777777" w:rsidTr="006848BA">
        <w:trPr>
          <w:trHeight w:val="310"/>
        </w:trPr>
        <w:tc>
          <w:tcPr>
            <w:tcW w:w="1615" w:type="dxa"/>
          </w:tcPr>
          <w:p w14:paraId="551C53AB" w14:textId="748B8A6F" w:rsidR="006848BA" w:rsidRPr="001202DB" w:rsidRDefault="006848BA" w:rsidP="006848BA">
            <w:pPr>
              <w:pStyle w:val="NoSpacing"/>
              <w:keepNext/>
            </w:pPr>
            <w:r w:rsidRPr="001202DB">
              <w:t>Moody</w:t>
            </w:r>
          </w:p>
        </w:tc>
        <w:tc>
          <w:tcPr>
            <w:tcW w:w="2880" w:type="dxa"/>
          </w:tcPr>
          <w:p w14:paraId="3AC2B56B" w14:textId="1A652D94" w:rsidR="006848BA" w:rsidRPr="00D55107" w:rsidRDefault="00D55107" w:rsidP="006848BA">
            <w:pPr>
              <w:jc w:val="center"/>
              <w:rPr>
                <w:rStyle w:val="Heading2Char"/>
                <w:rFonts w:eastAsiaTheme="minorEastAsia"/>
                <w:highlight w:val="black"/>
              </w:rPr>
            </w:pPr>
            <w:r w:rsidRPr="00D55107">
              <w:rPr>
                <w:rStyle w:val="normaltextrun"/>
                <w:rFonts w:eastAsiaTheme="minorEastAsia"/>
                <w:highlight w:val="black"/>
              </w:rPr>
              <w:t>XXXXXXXX</w:t>
            </w:r>
          </w:p>
        </w:tc>
        <w:tc>
          <w:tcPr>
            <w:tcW w:w="2970" w:type="dxa"/>
            <w:vAlign w:val="center"/>
          </w:tcPr>
          <w:p w14:paraId="5AB68BBB" w14:textId="0CE28027" w:rsidR="006848BA" w:rsidRPr="00D55107" w:rsidRDefault="00D55107" w:rsidP="006848BA">
            <w:pPr>
              <w:pStyle w:val="NoSpacing"/>
              <w:keepNext/>
              <w:jc w:val="center"/>
              <w:rPr>
                <w:color w:val="000000"/>
                <w:highlight w:val="black"/>
              </w:rPr>
            </w:pPr>
            <w:r w:rsidRPr="00D55107">
              <w:rPr>
                <w:rStyle w:val="normaltextrun"/>
                <w:rFonts w:eastAsiaTheme="minorEastAsia"/>
                <w:highlight w:val="black"/>
              </w:rPr>
              <w:t>XXXXXXXX</w:t>
            </w:r>
          </w:p>
        </w:tc>
        <w:tc>
          <w:tcPr>
            <w:tcW w:w="1350" w:type="dxa"/>
          </w:tcPr>
          <w:p w14:paraId="281B782D" w14:textId="23676DB5" w:rsidR="006848BA" w:rsidRPr="00D55107" w:rsidRDefault="00D55107" w:rsidP="006848BA">
            <w:pPr>
              <w:pStyle w:val="NoSpacing"/>
              <w:keepNext/>
              <w:jc w:val="center"/>
              <w:rPr>
                <w:highlight w:val="black"/>
              </w:rPr>
            </w:pPr>
            <w:r w:rsidRPr="00D55107">
              <w:rPr>
                <w:rStyle w:val="normaltextrun"/>
                <w:rFonts w:eastAsiaTheme="minorEastAsia"/>
                <w:highlight w:val="black"/>
              </w:rPr>
              <w:t>XXXXXXXX</w:t>
            </w:r>
          </w:p>
        </w:tc>
      </w:tr>
      <w:tr w:rsidR="006848BA" w14:paraId="546E6C8C" w14:textId="77777777" w:rsidTr="006848BA">
        <w:trPr>
          <w:trHeight w:val="310"/>
        </w:trPr>
        <w:tc>
          <w:tcPr>
            <w:tcW w:w="1615" w:type="dxa"/>
          </w:tcPr>
          <w:p w14:paraId="15AFD4F4" w14:textId="2B472B4D" w:rsidR="006848BA" w:rsidRPr="001202DB" w:rsidRDefault="006848BA" w:rsidP="006848BA">
            <w:pPr>
              <w:pStyle w:val="NoSpacing"/>
              <w:keepNext/>
            </w:pPr>
            <w:r w:rsidRPr="001202DB">
              <w:t>Hammond</w:t>
            </w:r>
          </w:p>
        </w:tc>
        <w:tc>
          <w:tcPr>
            <w:tcW w:w="2880" w:type="dxa"/>
          </w:tcPr>
          <w:p w14:paraId="1589444C" w14:textId="252FB2E9" w:rsidR="006848BA" w:rsidRPr="00D55107" w:rsidRDefault="00D55107" w:rsidP="006848BA">
            <w:pPr>
              <w:jc w:val="center"/>
              <w:rPr>
                <w:rStyle w:val="Heading2Char"/>
                <w:rFonts w:eastAsiaTheme="minorEastAsia"/>
                <w:highlight w:val="black"/>
              </w:rPr>
            </w:pPr>
            <w:r w:rsidRPr="00D55107">
              <w:rPr>
                <w:rStyle w:val="normaltextrun"/>
                <w:rFonts w:eastAsiaTheme="minorEastAsia"/>
                <w:highlight w:val="black"/>
              </w:rPr>
              <w:t>XXXXXXXX</w:t>
            </w:r>
          </w:p>
        </w:tc>
        <w:tc>
          <w:tcPr>
            <w:tcW w:w="2970" w:type="dxa"/>
            <w:vAlign w:val="center"/>
          </w:tcPr>
          <w:p w14:paraId="4E0DDF2A" w14:textId="0A390F54" w:rsidR="006848BA" w:rsidRPr="00D55107" w:rsidRDefault="00D55107" w:rsidP="006848BA">
            <w:pPr>
              <w:pStyle w:val="NoSpacing"/>
              <w:keepNext/>
              <w:jc w:val="center"/>
              <w:rPr>
                <w:color w:val="000000"/>
                <w:highlight w:val="black"/>
              </w:rPr>
            </w:pPr>
            <w:r w:rsidRPr="00D55107">
              <w:rPr>
                <w:rStyle w:val="normaltextrun"/>
                <w:rFonts w:eastAsiaTheme="minorEastAsia"/>
                <w:highlight w:val="black"/>
              </w:rPr>
              <w:t>XXXXXXXX</w:t>
            </w:r>
          </w:p>
        </w:tc>
        <w:tc>
          <w:tcPr>
            <w:tcW w:w="1350" w:type="dxa"/>
          </w:tcPr>
          <w:p w14:paraId="05373A02" w14:textId="32CDE919" w:rsidR="006848BA" w:rsidRPr="00D55107" w:rsidRDefault="00D55107" w:rsidP="006848BA">
            <w:pPr>
              <w:pStyle w:val="NoSpacing"/>
              <w:keepNext/>
              <w:jc w:val="center"/>
              <w:rPr>
                <w:highlight w:val="black"/>
              </w:rPr>
            </w:pPr>
            <w:r w:rsidRPr="00D55107">
              <w:rPr>
                <w:rStyle w:val="normaltextrun"/>
                <w:rFonts w:eastAsiaTheme="minorEastAsia"/>
                <w:highlight w:val="black"/>
              </w:rPr>
              <w:t>XXXXXXXX</w:t>
            </w:r>
          </w:p>
        </w:tc>
      </w:tr>
      <w:tr w:rsidR="006848BA" w14:paraId="353F5AA2" w14:textId="77777777" w:rsidTr="006848BA">
        <w:trPr>
          <w:trHeight w:val="310"/>
        </w:trPr>
        <w:tc>
          <w:tcPr>
            <w:tcW w:w="1615" w:type="dxa"/>
          </w:tcPr>
          <w:p w14:paraId="2A42842B" w14:textId="5A84D747" w:rsidR="006848BA" w:rsidRPr="001202DB" w:rsidRDefault="006848BA" w:rsidP="006848BA">
            <w:pPr>
              <w:pStyle w:val="NoSpacing"/>
              <w:keepNext/>
            </w:pPr>
            <w:r w:rsidRPr="001202DB">
              <w:t>McGrau Ford Phase I</w:t>
            </w:r>
          </w:p>
        </w:tc>
        <w:tc>
          <w:tcPr>
            <w:tcW w:w="2880" w:type="dxa"/>
          </w:tcPr>
          <w:p w14:paraId="54D53724" w14:textId="4588E998" w:rsidR="006848BA" w:rsidRPr="00D55107" w:rsidRDefault="00D55107" w:rsidP="006848BA">
            <w:pPr>
              <w:jc w:val="center"/>
              <w:rPr>
                <w:rStyle w:val="Heading2Char"/>
                <w:rFonts w:eastAsiaTheme="minorEastAsia"/>
                <w:highlight w:val="black"/>
              </w:rPr>
            </w:pPr>
            <w:r w:rsidRPr="00D55107">
              <w:rPr>
                <w:rStyle w:val="normaltextrun"/>
                <w:rFonts w:eastAsiaTheme="minorEastAsia"/>
                <w:highlight w:val="black"/>
              </w:rPr>
              <w:t>XXXXXXXX</w:t>
            </w:r>
          </w:p>
        </w:tc>
        <w:tc>
          <w:tcPr>
            <w:tcW w:w="2970" w:type="dxa"/>
            <w:vAlign w:val="center"/>
          </w:tcPr>
          <w:p w14:paraId="12B151E6" w14:textId="0DF2789C" w:rsidR="006848BA" w:rsidRPr="00D55107" w:rsidRDefault="00D55107" w:rsidP="006848BA">
            <w:pPr>
              <w:pStyle w:val="NoSpacing"/>
              <w:keepNext/>
              <w:jc w:val="center"/>
              <w:rPr>
                <w:color w:val="000000"/>
                <w:highlight w:val="black"/>
              </w:rPr>
            </w:pPr>
            <w:r w:rsidRPr="00D55107">
              <w:rPr>
                <w:rStyle w:val="normaltextrun"/>
                <w:rFonts w:eastAsiaTheme="minorEastAsia"/>
                <w:highlight w:val="black"/>
              </w:rPr>
              <w:t>XXXXXXXX</w:t>
            </w:r>
          </w:p>
        </w:tc>
        <w:tc>
          <w:tcPr>
            <w:tcW w:w="1350" w:type="dxa"/>
          </w:tcPr>
          <w:p w14:paraId="379F94A9" w14:textId="026549A7" w:rsidR="006848BA" w:rsidRPr="00D55107" w:rsidRDefault="00D55107" w:rsidP="006848BA">
            <w:pPr>
              <w:pStyle w:val="NoSpacing"/>
              <w:keepNext/>
              <w:jc w:val="center"/>
              <w:rPr>
                <w:highlight w:val="black"/>
              </w:rPr>
            </w:pPr>
            <w:r w:rsidRPr="00D55107">
              <w:rPr>
                <w:rStyle w:val="normaltextrun"/>
                <w:rFonts w:eastAsiaTheme="minorEastAsia"/>
                <w:highlight w:val="black"/>
              </w:rPr>
              <w:t>XXXXXXXX</w:t>
            </w:r>
          </w:p>
        </w:tc>
      </w:tr>
      <w:tr w:rsidR="006848BA" w14:paraId="49CD7C89" w14:textId="77777777" w:rsidTr="006848BA">
        <w:trPr>
          <w:trHeight w:val="70"/>
        </w:trPr>
        <w:tc>
          <w:tcPr>
            <w:tcW w:w="1615" w:type="dxa"/>
          </w:tcPr>
          <w:p w14:paraId="55E75AC3" w14:textId="6B2F64EA" w:rsidR="006848BA" w:rsidRPr="001202DB" w:rsidRDefault="006848BA" w:rsidP="006848BA">
            <w:pPr>
              <w:pStyle w:val="NoSpacing"/>
              <w:keepNext/>
            </w:pPr>
            <w:r w:rsidRPr="001202DB">
              <w:t>McGrau Ford Phase II</w:t>
            </w:r>
          </w:p>
        </w:tc>
        <w:tc>
          <w:tcPr>
            <w:tcW w:w="2880" w:type="dxa"/>
          </w:tcPr>
          <w:p w14:paraId="2791E187" w14:textId="45EE8DA9" w:rsidR="006848BA" w:rsidRPr="00D55107" w:rsidRDefault="00D55107" w:rsidP="006848BA">
            <w:pPr>
              <w:jc w:val="center"/>
              <w:rPr>
                <w:rStyle w:val="Heading2Char"/>
                <w:rFonts w:eastAsiaTheme="minorEastAsia"/>
                <w:highlight w:val="black"/>
              </w:rPr>
            </w:pPr>
            <w:r w:rsidRPr="00D55107">
              <w:rPr>
                <w:rStyle w:val="normaltextrun"/>
                <w:rFonts w:eastAsiaTheme="minorEastAsia"/>
                <w:highlight w:val="black"/>
              </w:rPr>
              <w:t>XXXXXXXX</w:t>
            </w:r>
          </w:p>
        </w:tc>
        <w:tc>
          <w:tcPr>
            <w:tcW w:w="2970" w:type="dxa"/>
            <w:vAlign w:val="center"/>
          </w:tcPr>
          <w:p w14:paraId="2285C718" w14:textId="51A20E04" w:rsidR="006848BA" w:rsidRPr="00D55107" w:rsidRDefault="00D55107" w:rsidP="006848BA">
            <w:pPr>
              <w:pStyle w:val="NoSpacing"/>
              <w:keepNext/>
              <w:jc w:val="center"/>
              <w:rPr>
                <w:color w:val="000000"/>
                <w:highlight w:val="black"/>
              </w:rPr>
            </w:pPr>
            <w:r w:rsidRPr="00D55107">
              <w:rPr>
                <w:rStyle w:val="normaltextrun"/>
                <w:rFonts w:eastAsiaTheme="minorEastAsia"/>
                <w:highlight w:val="black"/>
              </w:rPr>
              <w:t>XXXXXXXX</w:t>
            </w:r>
          </w:p>
        </w:tc>
        <w:tc>
          <w:tcPr>
            <w:tcW w:w="1350" w:type="dxa"/>
          </w:tcPr>
          <w:p w14:paraId="0133AF67" w14:textId="4E0AC462" w:rsidR="006848BA" w:rsidRPr="00D55107" w:rsidRDefault="00D55107" w:rsidP="006848BA">
            <w:pPr>
              <w:pStyle w:val="NoSpacing"/>
              <w:keepNext/>
              <w:jc w:val="center"/>
              <w:rPr>
                <w:highlight w:val="black"/>
              </w:rPr>
            </w:pPr>
            <w:r w:rsidRPr="00D55107">
              <w:rPr>
                <w:rStyle w:val="normaltextrun"/>
                <w:rFonts w:eastAsiaTheme="minorEastAsia"/>
                <w:highlight w:val="black"/>
              </w:rPr>
              <w:t>XXXXXXXX</w:t>
            </w:r>
          </w:p>
        </w:tc>
      </w:tr>
      <w:tr w:rsidR="006848BA" w14:paraId="18E34AE0" w14:textId="77777777" w:rsidTr="006848BA">
        <w:trPr>
          <w:trHeight w:val="70"/>
        </w:trPr>
        <w:tc>
          <w:tcPr>
            <w:tcW w:w="1615" w:type="dxa"/>
          </w:tcPr>
          <w:p w14:paraId="344014BA" w14:textId="33C44D2C" w:rsidR="006848BA" w:rsidRPr="001202DB" w:rsidRDefault="006848BA" w:rsidP="006848BA">
            <w:pPr>
              <w:pStyle w:val="NoSpacing"/>
              <w:keepNext/>
            </w:pPr>
            <w:r>
              <w:t>Total</w:t>
            </w:r>
          </w:p>
        </w:tc>
        <w:tc>
          <w:tcPr>
            <w:tcW w:w="2880" w:type="dxa"/>
          </w:tcPr>
          <w:p w14:paraId="1967F326" w14:textId="43147CDA" w:rsidR="006848BA" w:rsidRPr="00D55107" w:rsidRDefault="00D55107" w:rsidP="006848BA">
            <w:pPr>
              <w:jc w:val="center"/>
              <w:rPr>
                <w:rStyle w:val="normaltextrun"/>
                <w:rFonts w:eastAsiaTheme="minorEastAsia"/>
                <w:highlight w:val="black"/>
              </w:rPr>
            </w:pPr>
            <w:r w:rsidRPr="00D55107">
              <w:rPr>
                <w:rStyle w:val="normaltextrun"/>
                <w:rFonts w:eastAsiaTheme="minorEastAsia"/>
                <w:highlight w:val="black"/>
              </w:rPr>
              <w:t>XXXXXXXX</w:t>
            </w:r>
          </w:p>
        </w:tc>
        <w:tc>
          <w:tcPr>
            <w:tcW w:w="2970" w:type="dxa"/>
            <w:vAlign w:val="center"/>
          </w:tcPr>
          <w:p w14:paraId="43E7A889" w14:textId="1F6B93B8" w:rsidR="006848BA" w:rsidRPr="00D55107" w:rsidRDefault="00D55107" w:rsidP="006848BA">
            <w:pPr>
              <w:pStyle w:val="NoSpacing"/>
              <w:keepNext/>
              <w:jc w:val="center"/>
              <w:rPr>
                <w:color w:val="000000"/>
                <w:highlight w:val="black"/>
              </w:rPr>
            </w:pPr>
            <w:r w:rsidRPr="00D55107">
              <w:rPr>
                <w:rStyle w:val="normaltextrun"/>
                <w:rFonts w:eastAsiaTheme="minorEastAsia"/>
                <w:highlight w:val="black"/>
              </w:rPr>
              <w:t>XXXXXXXX</w:t>
            </w:r>
          </w:p>
        </w:tc>
        <w:tc>
          <w:tcPr>
            <w:tcW w:w="1350" w:type="dxa"/>
          </w:tcPr>
          <w:p w14:paraId="29395E4C" w14:textId="6B47861B" w:rsidR="006848BA" w:rsidRPr="00D55107" w:rsidRDefault="00D55107" w:rsidP="006848BA">
            <w:pPr>
              <w:pStyle w:val="NoSpacing"/>
              <w:keepNext/>
              <w:jc w:val="center"/>
              <w:rPr>
                <w:highlight w:val="black"/>
              </w:rPr>
            </w:pPr>
            <w:r w:rsidRPr="00D55107">
              <w:rPr>
                <w:rStyle w:val="normaltextrun"/>
                <w:rFonts w:eastAsiaTheme="minorEastAsia"/>
                <w:highlight w:val="black"/>
              </w:rPr>
              <w:t>XXXXXXXX</w:t>
            </w:r>
          </w:p>
        </w:tc>
      </w:tr>
    </w:tbl>
    <w:p w14:paraId="7944C43D" w14:textId="1C9BBCCD" w:rsidR="00FA38FA" w:rsidRPr="00A01A35" w:rsidRDefault="003A77BD" w:rsidP="007454B0">
      <w:pPr>
        <w:spacing w:before="240" w:line="480" w:lineRule="auto"/>
        <w:ind w:left="720" w:hanging="720"/>
        <w:jc w:val="both"/>
        <w:rPr>
          <w:b/>
          <w:bCs/>
          <w:color w:val="000000" w:themeColor="text1"/>
        </w:rPr>
      </w:pPr>
      <w:r w:rsidRPr="00A01A35">
        <w:rPr>
          <w:b/>
          <w:bCs/>
          <w:color w:val="000000" w:themeColor="text1"/>
        </w:rPr>
        <w:t>Q.</w:t>
      </w:r>
      <w:r w:rsidRPr="00A01A35">
        <w:rPr>
          <w:b/>
          <w:bCs/>
          <w:color w:val="000000" w:themeColor="text1"/>
        </w:rPr>
        <w:tab/>
        <w:t>DOES THIS CONCLUDE YOUR TESTIMONY?</w:t>
      </w:r>
    </w:p>
    <w:p w14:paraId="1FEA0748" w14:textId="3C8A373B" w:rsidR="00424218" w:rsidRPr="00FA38FA" w:rsidRDefault="003A77BD" w:rsidP="00D5242A">
      <w:pPr>
        <w:spacing w:line="480" w:lineRule="auto"/>
        <w:ind w:left="720" w:hanging="720"/>
        <w:jc w:val="both"/>
        <w:rPr>
          <w:color w:val="000000" w:themeColor="text1"/>
        </w:rPr>
      </w:pPr>
      <w:r>
        <w:rPr>
          <w:color w:val="000000" w:themeColor="text1"/>
        </w:rPr>
        <w:t xml:space="preserve">A. </w:t>
      </w:r>
      <w:r w:rsidR="00C14315">
        <w:rPr>
          <w:color w:val="000000" w:themeColor="text1"/>
        </w:rPr>
        <w:tab/>
      </w:r>
      <w:r>
        <w:rPr>
          <w:color w:val="000000" w:themeColor="text1"/>
        </w:rPr>
        <w:t xml:space="preserve">Yes. </w:t>
      </w:r>
    </w:p>
    <w:sectPr w:rsidR="00424218" w:rsidRPr="00FA38FA" w:rsidSect="00062E1B">
      <w:headerReference w:type="default" r:id="rId11"/>
      <w:footerReference w:type="default" r:id="rId12"/>
      <w:pgSz w:w="12240" w:h="15840" w:code="1"/>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C29EC" w14:textId="77777777" w:rsidR="00A01BAB" w:rsidRDefault="00A01BAB" w:rsidP="00C76775">
      <w:r>
        <w:separator/>
      </w:r>
    </w:p>
  </w:endnote>
  <w:endnote w:type="continuationSeparator" w:id="0">
    <w:p w14:paraId="2AA312B7" w14:textId="77777777" w:rsidR="00A01BAB" w:rsidRDefault="00A01BAB" w:rsidP="00C76775">
      <w:r>
        <w:continuationSeparator/>
      </w:r>
    </w:p>
  </w:endnote>
  <w:endnote w:type="continuationNotice" w:id="1">
    <w:p w14:paraId="3B473B71" w14:textId="77777777" w:rsidR="00A01BAB" w:rsidRDefault="00A01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A8717" w14:textId="77777777" w:rsidR="00DF2EC5" w:rsidRDefault="00DF2EC5" w:rsidP="007703EE">
    <w:pPr>
      <w:pStyle w:val="Footer"/>
      <w:jc w:val="center"/>
    </w:pPr>
  </w:p>
  <w:p w14:paraId="56AD4EBA" w14:textId="77777777" w:rsidR="00DF2EC5" w:rsidRPr="007703EE" w:rsidRDefault="00DF2EC5" w:rsidP="007703EE">
    <w:pPr>
      <w:pStyle w:val="Footer"/>
      <w:jc w:val="center"/>
      <w:rPr>
        <w:sz w:val="20"/>
        <w:szCs w:val="20"/>
      </w:rPr>
    </w:pPr>
    <w:r w:rsidRPr="007703EE">
      <w:rPr>
        <w:sz w:val="20"/>
        <w:szCs w:val="20"/>
      </w:rPr>
      <w:t>Direct Testimony of Bobby Iseley and Jeffrey D. Bower</w:t>
    </w:r>
  </w:p>
  <w:p w14:paraId="51B21973" w14:textId="77777777" w:rsidR="00DF2EC5" w:rsidRPr="007703EE" w:rsidRDefault="00DF2EC5" w:rsidP="007703EE">
    <w:pPr>
      <w:pStyle w:val="Footer"/>
      <w:jc w:val="center"/>
      <w:rPr>
        <w:sz w:val="20"/>
        <w:szCs w:val="20"/>
      </w:rPr>
    </w:pPr>
    <w:r w:rsidRPr="007703EE">
      <w:rPr>
        <w:sz w:val="20"/>
        <w:szCs w:val="20"/>
      </w:rPr>
      <w:t>Docket No. 55378</w:t>
    </w:r>
  </w:p>
  <w:p w14:paraId="38872F7D" w14:textId="77777777" w:rsidR="00DF2EC5" w:rsidRPr="007703EE" w:rsidRDefault="00DF2EC5" w:rsidP="007703EE">
    <w:pPr>
      <w:pStyle w:val="Footer"/>
      <w:jc w:val="center"/>
      <w:rPr>
        <w:sz w:val="20"/>
        <w:szCs w:val="20"/>
      </w:rPr>
    </w:pPr>
    <w:r w:rsidRPr="007703EE">
      <w:rPr>
        <w:sz w:val="20"/>
        <w:szCs w:val="20"/>
      </w:rPr>
      <w:t xml:space="preserve">Page </w:t>
    </w:r>
    <w:r w:rsidRPr="007703EE">
      <w:rPr>
        <w:sz w:val="20"/>
        <w:szCs w:val="20"/>
      </w:rPr>
      <w:fldChar w:fldCharType="begin"/>
    </w:r>
    <w:r w:rsidRPr="007703EE">
      <w:rPr>
        <w:sz w:val="20"/>
        <w:szCs w:val="20"/>
      </w:rPr>
      <w:instrText xml:space="preserve"> PAGE  \* Arabic  \* MERGEFORMAT </w:instrText>
    </w:r>
    <w:r w:rsidRPr="007703EE">
      <w:rPr>
        <w:sz w:val="20"/>
        <w:szCs w:val="20"/>
      </w:rPr>
      <w:fldChar w:fldCharType="separate"/>
    </w:r>
    <w:r w:rsidRPr="007703EE">
      <w:rPr>
        <w:sz w:val="20"/>
        <w:szCs w:val="20"/>
      </w:rPr>
      <w:t>1</w:t>
    </w:r>
    <w:r w:rsidRPr="007703EE">
      <w:rPr>
        <w:sz w:val="20"/>
        <w:szCs w:val="20"/>
      </w:rPr>
      <w:fldChar w:fldCharType="end"/>
    </w:r>
    <w:r w:rsidRPr="007703EE">
      <w:rPr>
        <w:sz w:val="20"/>
        <w:szCs w:val="20"/>
      </w:rPr>
      <w:t xml:space="preserve"> of </w:t>
    </w:r>
    <w:r>
      <w:rPr>
        <w:sz w:val="20"/>
        <w:szCs w:val="20"/>
      </w:rPr>
      <w:t>31</w:t>
    </w:r>
  </w:p>
  <w:p w14:paraId="353598AA" w14:textId="77777777" w:rsidR="00DF2EC5" w:rsidRDefault="00DF2EC5">
    <w:pPr>
      <w:pStyle w:val="Footer"/>
      <w:jc w:val="center"/>
      <w:rPr>
        <w:caps/>
        <w:noProof/>
        <w:color w:val="156082" w:themeColor="accent1"/>
      </w:rPr>
    </w:pPr>
  </w:p>
  <w:p w14:paraId="642E8BD2" w14:textId="77777777" w:rsidR="00DF2EC5" w:rsidRDefault="00DF2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118D5" w14:textId="77777777" w:rsidR="007703EE" w:rsidRDefault="007703EE" w:rsidP="007703EE">
    <w:pPr>
      <w:pStyle w:val="Footer"/>
      <w:jc w:val="center"/>
    </w:pPr>
  </w:p>
  <w:p w14:paraId="2E125249" w14:textId="77777777" w:rsidR="007703EE" w:rsidRPr="007703EE" w:rsidRDefault="007703EE" w:rsidP="007703EE">
    <w:pPr>
      <w:pStyle w:val="Footer"/>
      <w:jc w:val="center"/>
      <w:rPr>
        <w:sz w:val="20"/>
        <w:szCs w:val="20"/>
      </w:rPr>
    </w:pPr>
    <w:r w:rsidRPr="007703EE">
      <w:rPr>
        <w:sz w:val="20"/>
        <w:szCs w:val="20"/>
      </w:rPr>
      <w:t>Direct Testimony of Bobby Iseley and Jeffrey D. Bower</w:t>
    </w:r>
  </w:p>
  <w:p w14:paraId="0FEB891F" w14:textId="77777777" w:rsidR="007703EE" w:rsidRPr="007703EE" w:rsidRDefault="007703EE" w:rsidP="007703EE">
    <w:pPr>
      <w:pStyle w:val="Footer"/>
      <w:jc w:val="center"/>
      <w:rPr>
        <w:sz w:val="20"/>
        <w:szCs w:val="20"/>
      </w:rPr>
    </w:pPr>
    <w:r w:rsidRPr="007703EE">
      <w:rPr>
        <w:sz w:val="20"/>
        <w:szCs w:val="20"/>
      </w:rPr>
      <w:t>Docket No. 55378</w:t>
    </w:r>
  </w:p>
  <w:p w14:paraId="59F8327E" w14:textId="3724A190" w:rsidR="007703EE" w:rsidRPr="007703EE" w:rsidRDefault="007703EE" w:rsidP="007703EE">
    <w:pPr>
      <w:pStyle w:val="Footer"/>
      <w:jc w:val="center"/>
      <w:rPr>
        <w:sz w:val="20"/>
        <w:szCs w:val="20"/>
      </w:rPr>
    </w:pPr>
    <w:r w:rsidRPr="007703EE">
      <w:rPr>
        <w:sz w:val="20"/>
        <w:szCs w:val="20"/>
      </w:rPr>
      <w:t xml:space="preserve">Page </w:t>
    </w:r>
    <w:r w:rsidRPr="007703EE">
      <w:rPr>
        <w:sz w:val="20"/>
        <w:szCs w:val="20"/>
      </w:rPr>
      <w:fldChar w:fldCharType="begin"/>
    </w:r>
    <w:r w:rsidRPr="007703EE">
      <w:rPr>
        <w:sz w:val="20"/>
        <w:szCs w:val="20"/>
      </w:rPr>
      <w:instrText xml:space="preserve"> PAGE  \* Arabic  \* MERGEFORMAT </w:instrText>
    </w:r>
    <w:r w:rsidRPr="007703EE">
      <w:rPr>
        <w:sz w:val="20"/>
        <w:szCs w:val="20"/>
      </w:rPr>
      <w:fldChar w:fldCharType="separate"/>
    </w:r>
    <w:r w:rsidRPr="007703EE">
      <w:rPr>
        <w:sz w:val="20"/>
        <w:szCs w:val="20"/>
      </w:rPr>
      <w:t>1</w:t>
    </w:r>
    <w:r w:rsidRPr="007703EE">
      <w:rPr>
        <w:sz w:val="20"/>
        <w:szCs w:val="20"/>
      </w:rPr>
      <w:fldChar w:fldCharType="end"/>
    </w:r>
    <w:r w:rsidRPr="007703EE">
      <w:rPr>
        <w:sz w:val="20"/>
        <w:szCs w:val="20"/>
      </w:rPr>
      <w:t xml:space="preserve"> of </w:t>
    </w:r>
    <w:r w:rsidR="007A3DC6">
      <w:rPr>
        <w:sz w:val="20"/>
        <w:szCs w:val="20"/>
      </w:rPr>
      <w:t>31</w:t>
    </w:r>
  </w:p>
  <w:p w14:paraId="50A4C4E1" w14:textId="4CCADDF0" w:rsidR="007703EE" w:rsidRDefault="007703EE">
    <w:pPr>
      <w:pStyle w:val="Footer"/>
      <w:jc w:val="center"/>
      <w:rPr>
        <w:caps/>
        <w:noProof/>
        <w:color w:val="156082" w:themeColor="accent1"/>
      </w:rPr>
    </w:pPr>
  </w:p>
  <w:p w14:paraId="3D447E35" w14:textId="77777777" w:rsidR="007703EE" w:rsidRDefault="00770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80597" w14:textId="77777777" w:rsidR="00A01BAB" w:rsidRDefault="00A01BAB" w:rsidP="00C76775">
      <w:r>
        <w:separator/>
      </w:r>
    </w:p>
  </w:footnote>
  <w:footnote w:type="continuationSeparator" w:id="0">
    <w:p w14:paraId="65B51DAA" w14:textId="77777777" w:rsidR="00A01BAB" w:rsidRDefault="00A01BAB" w:rsidP="00C76775">
      <w:r>
        <w:continuationSeparator/>
      </w:r>
    </w:p>
  </w:footnote>
  <w:footnote w:type="continuationNotice" w:id="1">
    <w:p w14:paraId="61D87362" w14:textId="77777777" w:rsidR="00A01BAB" w:rsidRDefault="00A01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92D65" w14:textId="77777777" w:rsidR="00DF2EC5" w:rsidRPr="00B41583" w:rsidRDefault="00DF2EC5" w:rsidP="00B20624">
    <w:pPr>
      <w:pStyle w:val="Header"/>
      <w:jc w:val="center"/>
      <w:rPr>
        <w:color w:val="000000" w:themeColor="text1"/>
      </w:rPr>
    </w:pPr>
    <w:r w:rsidRPr="00B41583">
      <w:rPr>
        <w:color w:val="000000" w:themeColor="text1"/>
      </w:rPr>
      <w:t>PUBLIC DISCLOSURE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122AE" w14:textId="0D37A3D5" w:rsidR="000A7C5F" w:rsidRPr="00B41583" w:rsidRDefault="00B41583" w:rsidP="00B20624">
    <w:pPr>
      <w:pStyle w:val="Header"/>
      <w:jc w:val="center"/>
      <w:rPr>
        <w:color w:val="000000" w:themeColor="text1"/>
      </w:rPr>
    </w:pPr>
    <w:r w:rsidRPr="00B41583">
      <w:rPr>
        <w:color w:val="000000" w:themeColor="text1"/>
      </w:rPr>
      <w:t>PUBLIC 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927A9"/>
    <w:multiLevelType w:val="hybridMultilevel"/>
    <w:tmpl w:val="7B803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FB69BD"/>
    <w:multiLevelType w:val="hybridMultilevel"/>
    <w:tmpl w:val="B8029A6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015A13"/>
    <w:multiLevelType w:val="hybridMultilevel"/>
    <w:tmpl w:val="B8029A6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F00BF9"/>
    <w:multiLevelType w:val="hybridMultilevel"/>
    <w:tmpl w:val="E4BA35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3D6DE6"/>
    <w:multiLevelType w:val="hybridMultilevel"/>
    <w:tmpl w:val="C5CA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633834"/>
    <w:multiLevelType w:val="hybridMultilevel"/>
    <w:tmpl w:val="FE6E610A"/>
    <w:lvl w:ilvl="0" w:tplc="513E46D2">
      <w:start w:val="1"/>
      <w:numFmt w:val="decimal"/>
      <w:lvlText w:val="%1."/>
      <w:lvlJc w:val="left"/>
      <w:pPr>
        <w:ind w:left="720" w:hanging="360"/>
      </w:pPr>
      <w:rPr>
        <w:rFonts w:ascii="Times New Roman" w:hAnsi="Times New Roman" w:cs="Times New Roman" w:hint="default"/>
      </w:rPr>
    </w:lvl>
    <w:lvl w:ilvl="1" w:tplc="3604CA40">
      <w:start w:val="1"/>
      <w:numFmt w:val="lowerLetter"/>
      <w:lvlText w:val="%2."/>
      <w:lvlJc w:val="left"/>
      <w:pPr>
        <w:ind w:left="1440" w:hanging="360"/>
      </w:pPr>
    </w:lvl>
    <w:lvl w:ilvl="2" w:tplc="73783D70" w:tentative="1">
      <w:start w:val="1"/>
      <w:numFmt w:val="lowerRoman"/>
      <w:lvlText w:val="%3."/>
      <w:lvlJc w:val="right"/>
      <w:pPr>
        <w:ind w:left="2160" w:hanging="180"/>
      </w:pPr>
    </w:lvl>
    <w:lvl w:ilvl="3" w:tplc="4D3ED88E" w:tentative="1">
      <w:start w:val="1"/>
      <w:numFmt w:val="decimal"/>
      <w:lvlText w:val="%4."/>
      <w:lvlJc w:val="left"/>
      <w:pPr>
        <w:ind w:left="2880" w:hanging="360"/>
      </w:pPr>
    </w:lvl>
    <w:lvl w:ilvl="4" w:tplc="5044D72A" w:tentative="1">
      <w:start w:val="1"/>
      <w:numFmt w:val="lowerLetter"/>
      <w:lvlText w:val="%5."/>
      <w:lvlJc w:val="left"/>
      <w:pPr>
        <w:ind w:left="3600" w:hanging="360"/>
      </w:pPr>
    </w:lvl>
    <w:lvl w:ilvl="5" w:tplc="F314DB2A" w:tentative="1">
      <w:start w:val="1"/>
      <w:numFmt w:val="lowerRoman"/>
      <w:lvlText w:val="%6."/>
      <w:lvlJc w:val="right"/>
      <w:pPr>
        <w:ind w:left="4320" w:hanging="180"/>
      </w:pPr>
    </w:lvl>
    <w:lvl w:ilvl="6" w:tplc="87DEE19E" w:tentative="1">
      <w:start w:val="1"/>
      <w:numFmt w:val="decimal"/>
      <w:lvlText w:val="%7."/>
      <w:lvlJc w:val="left"/>
      <w:pPr>
        <w:ind w:left="5040" w:hanging="360"/>
      </w:pPr>
    </w:lvl>
    <w:lvl w:ilvl="7" w:tplc="ECEA6FA6" w:tentative="1">
      <w:start w:val="1"/>
      <w:numFmt w:val="lowerLetter"/>
      <w:lvlText w:val="%8."/>
      <w:lvlJc w:val="left"/>
      <w:pPr>
        <w:ind w:left="5760" w:hanging="360"/>
      </w:pPr>
    </w:lvl>
    <w:lvl w:ilvl="8" w:tplc="CFF0B11E" w:tentative="1">
      <w:start w:val="1"/>
      <w:numFmt w:val="lowerRoman"/>
      <w:lvlText w:val="%9."/>
      <w:lvlJc w:val="right"/>
      <w:pPr>
        <w:ind w:left="6480" w:hanging="180"/>
      </w:pPr>
    </w:lvl>
  </w:abstractNum>
  <w:num w:numId="1" w16cid:durableId="1034698301">
    <w:abstractNumId w:val="2"/>
  </w:num>
  <w:num w:numId="2" w16cid:durableId="1285887153">
    <w:abstractNumId w:val="1"/>
  </w:num>
  <w:num w:numId="3" w16cid:durableId="1915970180">
    <w:abstractNumId w:val="0"/>
  </w:num>
  <w:num w:numId="4" w16cid:durableId="1649625674">
    <w:abstractNumId w:val="4"/>
  </w:num>
  <w:num w:numId="5" w16cid:durableId="302661520">
    <w:abstractNumId w:val="3"/>
  </w:num>
  <w:num w:numId="6" w16cid:durableId="786700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B7"/>
    <w:rsid w:val="00000698"/>
    <w:rsid w:val="00003E65"/>
    <w:rsid w:val="00004134"/>
    <w:rsid w:val="00006392"/>
    <w:rsid w:val="00006655"/>
    <w:rsid w:val="00006EEC"/>
    <w:rsid w:val="00007F10"/>
    <w:rsid w:val="00011BD3"/>
    <w:rsid w:val="00012DBF"/>
    <w:rsid w:val="0001565A"/>
    <w:rsid w:val="00015804"/>
    <w:rsid w:val="000164D3"/>
    <w:rsid w:val="0001682A"/>
    <w:rsid w:val="00020FAE"/>
    <w:rsid w:val="00021069"/>
    <w:rsid w:val="000230E0"/>
    <w:rsid w:val="00023F9A"/>
    <w:rsid w:val="00025DA0"/>
    <w:rsid w:val="00026588"/>
    <w:rsid w:val="000274C7"/>
    <w:rsid w:val="000305C4"/>
    <w:rsid w:val="00030CC3"/>
    <w:rsid w:val="00032DCD"/>
    <w:rsid w:val="00035AF7"/>
    <w:rsid w:val="000373D9"/>
    <w:rsid w:val="00042BC4"/>
    <w:rsid w:val="00043FB5"/>
    <w:rsid w:val="00045F30"/>
    <w:rsid w:val="000549B0"/>
    <w:rsid w:val="0005636F"/>
    <w:rsid w:val="0006204E"/>
    <w:rsid w:val="00062E1B"/>
    <w:rsid w:val="00065F98"/>
    <w:rsid w:val="00067009"/>
    <w:rsid w:val="00071F94"/>
    <w:rsid w:val="00073671"/>
    <w:rsid w:val="0007664D"/>
    <w:rsid w:val="000766D3"/>
    <w:rsid w:val="00076887"/>
    <w:rsid w:val="000814A0"/>
    <w:rsid w:val="0008159A"/>
    <w:rsid w:val="000816F8"/>
    <w:rsid w:val="0008210C"/>
    <w:rsid w:val="00082263"/>
    <w:rsid w:val="00086606"/>
    <w:rsid w:val="000867F6"/>
    <w:rsid w:val="0008778A"/>
    <w:rsid w:val="00087830"/>
    <w:rsid w:val="000878AE"/>
    <w:rsid w:val="000917B4"/>
    <w:rsid w:val="00092E02"/>
    <w:rsid w:val="000A54E3"/>
    <w:rsid w:val="000A766C"/>
    <w:rsid w:val="000A7C5F"/>
    <w:rsid w:val="000B3B9D"/>
    <w:rsid w:val="000B6597"/>
    <w:rsid w:val="000B65FB"/>
    <w:rsid w:val="000C172F"/>
    <w:rsid w:val="000C2536"/>
    <w:rsid w:val="000C4594"/>
    <w:rsid w:val="000C4ADD"/>
    <w:rsid w:val="000C4F99"/>
    <w:rsid w:val="000D07E2"/>
    <w:rsid w:val="000D0C50"/>
    <w:rsid w:val="000D140C"/>
    <w:rsid w:val="000D148B"/>
    <w:rsid w:val="000D1C9F"/>
    <w:rsid w:val="000D2755"/>
    <w:rsid w:val="000D2DEC"/>
    <w:rsid w:val="000D7049"/>
    <w:rsid w:val="000E06EA"/>
    <w:rsid w:val="000E0DFE"/>
    <w:rsid w:val="000E4968"/>
    <w:rsid w:val="000E69F1"/>
    <w:rsid w:val="000F22FF"/>
    <w:rsid w:val="000F3BD4"/>
    <w:rsid w:val="000F6590"/>
    <w:rsid w:val="00100F65"/>
    <w:rsid w:val="00101BC3"/>
    <w:rsid w:val="0010205B"/>
    <w:rsid w:val="00103CD3"/>
    <w:rsid w:val="00104050"/>
    <w:rsid w:val="00104A59"/>
    <w:rsid w:val="001055F0"/>
    <w:rsid w:val="0010580D"/>
    <w:rsid w:val="0010767B"/>
    <w:rsid w:val="00110BB9"/>
    <w:rsid w:val="00113B6A"/>
    <w:rsid w:val="0011481E"/>
    <w:rsid w:val="001156C9"/>
    <w:rsid w:val="00115FE8"/>
    <w:rsid w:val="0011637D"/>
    <w:rsid w:val="00117C81"/>
    <w:rsid w:val="00117E94"/>
    <w:rsid w:val="00117FFD"/>
    <w:rsid w:val="00121FF4"/>
    <w:rsid w:val="0012352B"/>
    <w:rsid w:val="00123D7B"/>
    <w:rsid w:val="001250EA"/>
    <w:rsid w:val="00127054"/>
    <w:rsid w:val="0012779C"/>
    <w:rsid w:val="00133531"/>
    <w:rsid w:val="0013697B"/>
    <w:rsid w:val="001446B6"/>
    <w:rsid w:val="00145C25"/>
    <w:rsid w:val="00147336"/>
    <w:rsid w:val="00147FD0"/>
    <w:rsid w:val="001558B2"/>
    <w:rsid w:val="001566B8"/>
    <w:rsid w:val="0015754B"/>
    <w:rsid w:val="00157B28"/>
    <w:rsid w:val="00160FB1"/>
    <w:rsid w:val="0016162E"/>
    <w:rsid w:val="001619E8"/>
    <w:rsid w:val="001631B1"/>
    <w:rsid w:val="0016451B"/>
    <w:rsid w:val="0016677E"/>
    <w:rsid w:val="00170E45"/>
    <w:rsid w:val="00173582"/>
    <w:rsid w:val="00174216"/>
    <w:rsid w:val="0017682C"/>
    <w:rsid w:val="00180197"/>
    <w:rsid w:val="00182A48"/>
    <w:rsid w:val="00182FA1"/>
    <w:rsid w:val="00183DDC"/>
    <w:rsid w:val="0018463D"/>
    <w:rsid w:val="00184A3F"/>
    <w:rsid w:val="0019166D"/>
    <w:rsid w:val="00193288"/>
    <w:rsid w:val="00195514"/>
    <w:rsid w:val="00195C68"/>
    <w:rsid w:val="001A07FA"/>
    <w:rsid w:val="001A1405"/>
    <w:rsid w:val="001A1D9B"/>
    <w:rsid w:val="001A4DC0"/>
    <w:rsid w:val="001A6820"/>
    <w:rsid w:val="001A7267"/>
    <w:rsid w:val="001B25E2"/>
    <w:rsid w:val="001B2AB9"/>
    <w:rsid w:val="001B32E2"/>
    <w:rsid w:val="001B3BEE"/>
    <w:rsid w:val="001B4104"/>
    <w:rsid w:val="001B41FA"/>
    <w:rsid w:val="001B5588"/>
    <w:rsid w:val="001B5DC0"/>
    <w:rsid w:val="001B62AB"/>
    <w:rsid w:val="001B71CE"/>
    <w:rsid w:val="001C0ACC"/>
    <w:rsid w:val="001C2356"/>
    <w:rsid w:val="001C2759"/>
    <w:rsid w:val="001C27A4"/>
    <w:rsid w:val="001C3073"/>
    <w:rsid w:val="001C3CBC"/>
    <w:rsid w:val="001D0373"/>
    <w:rsid w:val="001D0B56"/>
    <w:rsid w:val="001D1A44"/>
    <w:rsid w:val="001D4316"/>
    <w:rsid w:val="001D4924"/>
    <w:rsid w:val="001D55A8"/>
    <w:rsid w:val="001D6A15"/>
    <w:rsid w:val="001D70B6"/>
    <w:rsid w:val="001E0F27"/>
    <w:rsid w:val="001E11A4"/>
    <w:rsid w:val="001E21D9"/>
    <w:rsid w:val="001E6672"/>
    <w:rsid w:val="001E72A7"/>
    <w:rsid w:val="001F0769"/>
    <w:rsid w:val="001F1912"/>
    <w:rsid w:val="001F30BC"/>
    <w:rsid w:val="001F4E1A"/>
    <w:rsid w:val="001F6083"/>
    <w:rsid w:val="001F66DB"/>
    <w:rsid w:val="00200CA0"/>
    <w:rsid w:val="002029D3"/>
    <w:rsid w:val="002034F2"/>
    <w:rsid w:val="002039FA"/>
    <w:rsid w:val="00204900"/>
    <w:rsid w:val="00204F07"/>
    <w:rsid w:val="00205CC2"/>
    <w:rsid w:val="00207A31"/>
    <w:rsid w:val="002137A6"/>
    <w:rsid w:val="00216B90"/>
    <w:rsid w:val="002172FC"/>
    <w:rsid w:val="002200BC"/>
    <w:rsid w:val="00222E3A"/>
    <w:rsid w:val="0022605E"/>
    <w:rsid w:val="00230614"/>
    <w:rsid w:val="00235293"/>
    <w:rsid w:val="002368C9"/>
    <w:rsid w:val="00236B00"/>
    <w:rsid w:val="00237E0B"/>
    <w:rsid w:val="00240A95"/>
    <w:rsid w:val="00241162"/>
    <w:rsid w:val="00243C45"/>
    <w:rsid w:val="0024446A"/>
    <w:rsid w:val="0024494B"/>
    <w:rsid w:val="0024548F"/>
    <w:rsid w:val="00245734"/>
    <w:rsid w:val="002458BA"/>
    <w:rsid w:val="00245B7C"/>
    <w:rsid w:val="00250215"/>
    <w:rsid w:val="00251E46"/>
    <w:rsid w:val="00251FDE"/>
    <w:rsid w:val="002520AC"/>
    <w:rsid w:val="00255EA1"/>
    <w:rsid w:val="00260052"/>
    <w:rsid w:val="00260602"/>
    <w:rsid w:val="002613BC"/>
    <w:rsid w:val="00262690"/>
    <w:rsid w:val="0026507E"/>
    <w:rsid w:val="00265319"/>
    <w:rsid w:val="002708C7"/>
    <w:rsid w:val="00271102"/>
    <w:rsid w:val="00271283"/>
    <w:rsid w:val="00272728"/>
    <w:rsid w:val="00272BF5"/>
    <w:rsid w:val="002738F5"/>
    <w:rsid w:val="00273ED5"/>
    <w:rsid w:val="00274754"/>
    <w:rsid w:val="00276EC6"/>
    <w:rsid w:val="002803C8"/>
    <w:rsid w:val="0028056F"/>
    <w:rsid w:val="00280BA8"/>
    <w:rsid w:val="002817C6"/>
    <w:rsid w:val="00284126"/>
    <w:rsid w:val="00285090"/>
    <w:rsid w:val="00286F06"/>
    <w:rsid w:val="00290297"/>
    <w:rsid w:val="0029085E"/>
    <w:rsid w:val="002910A2"/>
    <w:rsid w:val="002923A2"/>
    <w:rsid w:val="002934BE"/>
    <w:rsid w:val="00293A9E"/>
    <w:rsid w:val="0029482E"/>
    <w:rsid w:val="00294D4C"/>
    <w:rsid w:val="0029539A"/>
    <w:rsid w:val="00296690"/>
    <w:rsid w:val="00297B97"/>
    <w:rsid w:val="002A0D2E"/>
    <w:rsid w:val="002A0E6E"/>
    <w:rsid w:val="002A152D"/>
    <w:rsid w:val="002A2305"/>
    <w:rsid w:val="002A2764"/>
    <w:rsid w:val="002A45C1"/>
    <w:rsid w:val="002A6104"/>
    <w:rsid w:val="002A7D66"/>
    <w:rsid w:val="002B25F2"/>
    <w:rsid w:val="002B2C5F"/>
    <w:rsid w:val="002B4A5D"/>
    <w:rsid w:val="002B6D0B"/>
    <w:rsid w:val="002C08CE"/>
    <w:rsid w:val="002C2E8E"/>
    <w:rsid w:val="002C4456"/>
    <w:rsid w:val="002C45DB"/>
    <w:rsid w:val="002C5997"/>
    <w:rsid w:val="002D07AA"/>
    <w:rsid w:val="002D2E20"/>
    <w:rsid w:val="002D3457"/>
    <w:rsid w:val="002D453B"/>
    <w:rsid w:val="002D497A"/>
    <w:rsid w:val="002D4C82"/>
    <w:rsid w:val="002D7002"/>
    <w:rsid w:val="002D7481"/>
    <w:rsid w:val="002E037F"/>
    <w:rsid w:val="002E05BC"/>
    <w:rsid w:val="002E2C8B"/>
    <w:rsid w:val="002E5485"/>
    <w:rsid w:val="002E6A79"/>
    <w:rsid w:val="002E6DF3"/>
    <w:rsid w:val="002F0986"/>
    <w:rsid w:val="002F1C87"/>
    <w:rsid w:val="002F4A0E"/>
    <w:rsid w:val="002F5786"/>
    <w:rsid w:val="0030073D"/>
    <w:rsid w:val="00302080"/>
    <w:rsid w:val="003025C6"/>
    <w:rsid w:val="003030E4"/>
    <w:rsid w:val="00303AB5"/>
    <w:rsid w:val="00304514"/>
    <w:rsid w:val="00305BD9"/>
    <w:rsid w:val="00305F64"/>
    <w:rsid w:val="003067EE"/>
    <w:rsid w:val="00306C03"/>
    <w:rsid w:val="00306D38"/>
    <w:rsid w:val="0031096E"/>
    <w:rsid w:val="00311D74"/>
    <w:rsid w:val="00311E32"/>
    <w:rsid w:val="003122E2"/>
    <w:rsid w:val="00315464"/>
    <w:rsid w:val="003170C9"/>
    <w:rsid w:val="0031788E"/>
    <w:rsid w:val="00317B43"/>
    <w:rsid w:val="00321EEB"/>
    <w:rsid w:val="003226FA"/>
    <w:rsid w:val="00324E44"/>
    <w:rsid w:val="003271D1"/>
    <w:rsid w:val="003313E1"/>
    <w:rsid w:val="003350F8"/>
    <w:rsid w:val="0033756A"/>
    <w:rsid w:val="00337695"/>
    <w:rsid w:val="00337DA5"/>
    <w:rsid w:val="00342277"/>
    <w:rsid w:val="0034244B"/>
    <w:rsid w:val="00342A7C"/>
    <w:rsid w:val="00343569"/>
    <w:rsid w:val="00344A7D"/>
    <w:rsid w:val="003472F4"/>
    <w:rsid w:val="0034752F"/>
    <w:rsid w:val="00347908"/>
    <w:rsid w:val="003506B3"/>
    <w:rsid w:val="0035105A"/>
    <w:rsid w:val="00351443"/>
    <w:rsid w:val="00352049"/>
    <w:rsid w:val="00363581"/>
    <w:rsid w:val="00364501"/>
    <w:rsid w:val="003653EE"/>
    <w:rsid w:val="0036560E"/>
    <w:rsid w:val="00366A09"/>
    <w:rsid w:val="00367745"/>
    <w:rsid w:val="00372909"/>
    <w:rsid w:val="00376ACC"/>
    <w:rsid w:val="00376CF2"/>
    <w:rsid w:val="00382E36"/>
    <w:rsid w:val="00383354"/>
    <w:rsid w:val="0038484D"/>
    <w:rsid w:val="00387D3F"/>
    <w:rsid w:val="00390059"/>
    <w:rsid w:val="00390420"/>
    <w:rsid w:val="00391B00"/>
    <w:rsid w:val="00393CCD"/>
    <w:rsid w:val="003958AD"/>
    <w:rsid w:val="00395C25"/>
    <w:rsid w:val="0039693A"/>
    <w:rsid w:val="00396E04"/>
    <w:rsid w:val="003A007C"/>
    <w:rsid w:val="003A227A"/>
    <w:rsid w:val="003A38BE"/>
    <w:rsid w:val="003A3E4C"/>
    <w:rsid w:val="003A4075"/>
    <w:rsid w:val="003A46FF"/>
    <w:rsid w:val="003A4E0E"/>
    <w:rsid w:val="003A4F88"/>
    <w:rsid w:val="003A6A27"/>
    <w:rsid w:val="003A77BD"/>
    <w:rsid w:val="003B0884"/>
    <w:rsid w:val="003B0DBA"/>
    <w:rsid w:val="003B0E49"/>
    <w:rsid w:val="003B1A18"/>
    <w:rsid w:val="003B1D75"/>
    <w:rsid w:val="003B23F2"/>
    <w:rsid w:val="003B2D9D"/>
    <w:rsid w:val="003B4C0C"/>
    <w:rsid w:val="003B6F18"/>
    <w:rsid w:val="003B7039"/>
    <w:rsid w:val="003C2926"/>
    <w:rsid w:val="003C3700"/>
    <w:rsid w:val="003C4CDE"/>
    <w:rsid w:val="003C72CC"/>
    <w:rsid w:val="003C7BBB"/>
    <w:rsid w:val="003C7C0F"/>
    <w:rsid w:val="003D189C"/>
    <w:rsid w:val="003D38F9"/>
    <w:rsid w:val="003D585A"/>
    <w:rsid w:val="003D6457"/>
    <w:rsid w:val="003D7327"/>
    <w:rsid w:val="003D7B60"/>
    <w:rsid w:val="003D7D79"/>
    <w:rsid w:val="003E140A"/>
    <w:rsid w:val="003E2668"/>
    <w:rsid w:val="003E34CF"/>
    <w:rsid w:val="003E445A"/>
    <w:rsid w:val="003E4846"/>
    <w:rsid w:val="003F04C4"/>
    <w:rsid w:val="003F14E2"/>
    <w:rsid w:val="003F1834"/>
    <w:rsid w:val="003F2474"/>
    <w:rsid w:val="003F3965"/>
    <w:rsid w:val="003F43AB"/>
    <w:rsid w:val="003F5AA0"/>
    <w:rsid w:val="003F5CBA"/>
    <w:rsid w:val="003F6F89"/>
    <w:rsid w:val="00402417"/>
    <w:rsid w:val="00402B8A"/>
    <w:rsid w:val="0040466E"/>
    <w:rsid w:val="00407ECB"/>
    <w:rsid w:val="004137BE"/>
    <w:rsid w:val="004142F9"/>
    <w:rsid w:val="00415A17"/>
    <w:rsid w:val="00417C04"/>
    <w:rsid w:val="004209CD"/>
    <w:rsid w:val="0042350F"/>
    <w:rsid w:val="00424218"/>
    <w:rsid w:val="00426032"/>
    <w:rsid w:val="004266E0"/>
    <w:rsid w:val="004302BC"/>
    <w:rsid w:val="00431296"/>
    <w:rsid w:val="00431D14"/>
    <w:rsid w:val="00432051"/>
    <w:rsid w:val="0043617D"/>
    <w:rsid w:val="004366AE"/>
    <w:rsid w:val="004366BF"/>
    <w:rsid w:val="00437B39"/>
    <w:rsid w:val="0044175D"/>
    <w:rsid w:val="004418B4"/>
    <w:rsid w:val="00442F81"/>
    <w:rsid w:val="00444D71"/>
    <w:rsid w:val="0044559D"/>
    <w:rsid w:val="00447745"/>
    <w:rsid w:val="0045138A"/>
    <w:rsid w:val="004515F2"/>
    <w:rsid w:val="00456D76"/>
    <w:rsid w:val="00461303"/>
    <w:rsid w:val="004629F6"/>
    <w:rsid w:val="00463296"/>
    <w:rsid w:val="004634A1"/>
    <w:rsid w:val="00464176"/>
    <w:rsid w:val="00466DBC"/>
    <w:rsid w:val="004701B9"/>
    <w:rsid w:val="00471DB4"/>
    <w:rsid w:val="004720E8"/>
    <w:rsid w:val="00472DAE"/>
    <w:rsid w:val="00473485"/>
    <w:rsid w:val="00477421"/>
    <w:rsid w:val="00480840"/>
    <w:rsid w:val="0048157E"/>
    <w:rsid w:val="00486091"/>
    <w:rsid w:val="00486690"/>
    <w:rsid w:val="00486A40"/>
    <w:rsid w:val="004877C5"/>
    <w:rsid w:val="00490F96"/>
    <w:rsid w:val="004911D8"/>
    <w:rsid w:val="0049136F"/>
    <w:rsid w:val="004924BD"/>
    <w:rsid w:val="00494C85"/>
    <w:rsid w:val="00497391"/>
    <w:rsid w:val="004A0033"/>
    <w:rsid w:val="004A292C"/>
    <w:rsid w:val="004A432F"/>
    <w:rsid w:val="004A5BA9"/>
    <w:rsid w:val="004B037A"/>
    <w:rsid w:val="004B0D10"/>
    <w:rsid w:val="004B2562"/>
    <w:rsid w:val="004B2A76"/>
    <w:rsid w:val="004B32A2"/>
    <w:rsid w:val="004C00AD"/>
    <w:rsid w:val="004C7E9B"/>
    <w:rsid w:val="004D0CBB"/>
    <w:rsid w:val="004D0CE7"/>
    <w:rsid w:val="004D2FCD"/>
    <w:rsid w:val="004D321A"/>
    <w:rsid w:val="004D41B4"/>
    <w:rsid w:val="004D4B3F"/>
    <w:rsid w:val="004D5D8E"/>
    <w:rsid w:val="004D6D07"/>
    <w:rsid w:val="004D739E"/>
    <w:rsid w:val="004E02B0"/>
    <w:rsid w:val="004E088C"/>
    <w:rsid w:val="004E248E"/>
    <w:rsid w:val="004E48D5"/>
    <w:rsid w:val="004E6551"/>
    <w:rsid w:val="004F02FB"/>
    <w:rsid w:val="004F0772"/>
    <w:rsid w:val="004F08A3"/>
    <w:rsid w:val="004F661D"/>
    <w:rsid w:val="004F703D"/>
    <w:rsid w:val="0050083B"/>
    <w:rsid w:val="00502785"/>
    <w:rsid w:val="00502F0A"/>
    <w:rsid w:val="00503EEF"/>
    <w:rsid w:val="00506737"/>
    <w:rsid w:val="00510326"/>
    <w:rsid w:val="00511A74"/>
    <w:rsid w:val="005131B0"/>
    <w:rsid w:val="00513D52"/>
    <w:rsid w:val="005150D1"/>
    <w:rsid w:val="00516DFA"/>
    <w:rsid w:val="00517001"/>
    <w:rsid w:val="0051733C"/>
    <w:rsid w:val="00521533"/>
    <w:rsid w:val="00524614"/>
    <w:rsid w:val="00530B9F"/>
    <w:rsid w:val="00531147"/>
    <w:rsid w:val="00531BEA"/>
    <w:rsid w:val="00531DD8"/>
    <w:rsid w:val="005322B9"/>
    <w:rsid w:val="00534185"/>
    <w:rsid w:val="00534A34"/>
    <w:rsid w:val="00534D01"/>
    <w:rsid w:val="00536762"/>
    <w:rsid w:val="005368CE"/>
    <w:rsid w:val="00536A24"/>
    <w:rsid w:val="00536A32"/>
    <w:rsid w:val="005377A9"/>
    <w:rsid w:val="00537F4F"/>
    <w:rsid w:val="00541736"/>
    <w:rsid w:val="00542A67"/>
    <w:rsid w:val="005440C5"/>
    <w:rsid w:val="005466D0"/>
    <w:rsid w:val="0054773A"/>
    <w:rsid w:val="00551D5B"/>
    <w:rsid w:val="005528AC"/>
    <w:rsid w:val="00552AD8"/>
    <w:rsid w:val="00565105"/>
    <w:rsid w:val="0056575E"/>
    <w:rsid w:val="00567923"/>
    <w:rsid w:val="00570176"/>
    <w:rsid w:val="00572B5A"/>
    <w:rsid w:val="00573543"/>
    <w:rsid w:val="00575201"/>
    <w:rsid w:val="0057630C"/>
    <w:rsid w:val="005768AC"/>
    <w:rsid w:val="00576949"/>
    <w:rsid w:val="00577041"/>
    <w:rsid w:val="00577261"/>
    <w:rsid w:val="00577EAC"/>
    <w:rsid w:val="0058061B"/>
    <w:rsid w:val="005808B7"/>
    <w:rsid w:val="005819B4"/>
    <w:rsid w:val="00582FDC"/>
    <w:rsid w:val="00585D58"/>
    <w:rsid w:val="00586975"/>
    <w:rsid w:val="00590188"/>
    <w:rsid w:val="00591E2C"/>
    <w:rsid w:val="00591F36"/>
    <w:rsid w:val="00591FD1"/>
    <w:rsid w:val="00592FB1"/>
    <w:rsid w:val="0059663A"/>
    <w:rsid w:val="005976C7"/>
    <w:rsid w:val="005A5351"/>
    <w:rsid w:val="005A5DFD"/>
    <w:rsid w:val="005A66FA"/>
    <w:rsid w:val="005A75D9"/>
    <w:rsid w:val="005B2338"/>
    <w:rsid w:val="005B3AD6"/>
    <w:rsid w:val="005B50FA"/>
    <w:rsid w:val="005B5444"/>
    <w:rsid w:val="005B69A6"/>
    <w:rsid w:val="005B76EB"/>
    <w:rsid w:val="005C0A29"/>
    <w:rsid w:val="005C0D1E"/>
    <w:rsid w:val="005C12C0"/>
    <w:rsid w:val="005C3294"/>
    <w:rsid w:val="005C34E1"/>
    <w:rsid w:val="005C404E"/>
    <w:rsid w:val="005C5CB9"/>
    <w:rsid w:val="005D0817"/>
    <w:rsid w:val="005D319B"/>
    <w:rsid w:val="005D335B"/>
    <w:rsid w:val="005D61B1"/>
    <w:rsid w:val="005D6708"/>
    <w:rsid w:val="005D6CAC"/>
    <w:rsid w:val="005D7D64"/>
    <w:rsid w:val="005D7FF7"/>
    <w:rsid w:val="005E2F10"/>
    <w:rsid w:val="005E47AD"/>
    <w:rsid w:val="005E4ADD"/>
    <w:rsid w:val="005F47C0"/>
    <w:rsid w:val="005F5AAF"/>
    <w:rsid w:val="005F5E2F"/>
    <w:rsid w:val="005F7CC0"/>
    <w:rsid w:val="006004FB"/>
    <w:rsid w:val="00601AA8"/>
    <w:rsid w:val="006046C3"/>
    <w:rsid w:val="006047EB"/>
    <w:rsid w:val="00604F86"/>
    <w:rsid w:val="00605272"/>
    <w:rsid w:val="006107BD"/>
    <w:rsid w:val="00616CA6"/>
    <w:rsid w:val="0061737B"/>
    <w:rsid w:val="00617FB2"/>
    <w:rsid w:val="00620D44"/>
    <w:rsid w:val="00622092"/>
    <w:rsid w:val="00622B33"/>
    <w:rsid w:val="006236C9"/>
    <w:rsid w:val="00623BF8"/>
    <w:rsid w:val="00624D3B"/>
    <w:rsid w:val="006265B6"/>
    <w:rsid w:val="0062736C"/>
    <w:rsid w:val="006301AD"/>
    <w:rsid w:val="006311E4"/>
    <w:rsid w:val="00631C80"/>
    <w:rsid w:val="0063269B"/>
    <w:rsid w:val="006326DB"/>
    <w:rsid w:val="00632787"/>
    <w:rsid w:val="0063432D"/>
    <w:rsid w:val="00634F19"/>
    <w:rsid w:val="0063566E"/>
    <w:rsid w:val="00635BD3"/>
    <w:rsid w:val="00636ED3"/>
    <w:rsid w:val="00641E6F"/>
    <w:rsid w:val="00642269"/>
    <w:rsid w:val="006431CF"/>
    <w:rsid w:val="0064364A"/>
    <w:rsid w:val="00643C77"/>
    <w:rsid w:val="006446AB"/>
    <w:rsid w:val="00647FDD"/>
    <w:rsid w:val="0065048D"/>
    <w:rsid w:val="006518F5"/>
    <w:rsid w:val="006620E0"/>
    <w:rsid w:val="006641ED"/>
    <w:rsid w:val="00665CE7"/>
    <w:rsid w:val="006670B4"/>
    <w:rsid w:val="00667A0F"/>
    <w:rsid w:val="00667E02"/>
    <w:rsid w:val="00670A99"/>
    <w:rsid w:val="00674685"/>
    <w:rsid w:val="006746A1"/>
    <w:rsid w:val="00675694"/>
    <w:rsid w:val="006803C7"/>
    <w:rsid w:val="00681C1B"/>
    <w:rsid w:val="00684298"/>
    <w:rsid w:val="006848BA"/>
    <w:rsid w:val="0068529F"/>
    <w:rsid w:val="00685AD2"/>
    <w:rsid w:val="00685E08"/>
    <w:rsid w:val="006863AD"/>
    <w:rsid w:val="00690546"/>
    <w:rsid w:val="00690F7E"/>
    <w:rsid w:val="006910F3"/>
    <w:rsid w:val="00692512"/>
    <w:rsid w:val="0069682D"/>
    <w:rsid w:val="0069770B"/>
    <w:rsid w:val="006A10C1"/>
    <w:rsid w:val="006A1244"/>
    <w:rsid w:val="006A159A"/>
    <w:rsid w:val="006A201D"/>
    <w:rsid w:val="006A3D70"/>
    <w:rsid w:val="006A611C"/>
    <w:rsid w:val="006B181E"/>
    <w:rsid w:val="006B27F3"/>
    <w:rsid w:val="006B3184"/>
    <w:rsid w:val="006B4337"/>
    <w:rsid w:val="006C1F95"/>
    <w:rsid w:val="006C42EE"/>
    <w:rsid w:val="006C4FFD"/>
    <w:rsid w:val="006C56F7"/>
    <w:rsid w:val="006C6104"/>
    <w:rsid w:val="006C7733"/>
    <w:rsid w:val="006D02A6"/>
    <w:rsid w:val="006D4974"/>
    <w:rsid w:val="006D4AD8"/>
    <w:rsid w:val="006D5462"/>
    <w:rsid w:val="006D6250"/>
    <w:rsid w:val="006D7479"/>
    <w:rsid w:val="006D784E"/>
    <w:rsid w:val="006E1B42"/>
    <w:rsid w:val="006E211E"/>
    <w:rsid w:val="006E3768"/>
    <w:rsid w:val="006E3B3C"/>
    <w:rsid w:val="006E7A59"/>
    <w:rsid w:val="006E7FE2"/>
    <w:rsid w:val="006F083E"/>
    <w:rsid w:val="006F4889"/>
    <w:rsid w:val="006F4FBC"/>
    <w:rsid w:val="006F63EE"/>
    <w:rsid w:val="006F697A"/>
    <w:rsid w:val="006F71C6"/>
    <w:rsid w:val="006F753B"/>
    <w:rsid w:val="006F772D"/>
    <w:rsid w:val="006F7CED"/>
    <w:rsid w:val="00700125"/>
    <w:rsid w:val="007033E5"/>
    <w:rsid w:val="00703484"/>
    <w:rsid w:val="00703864"/>
    <w:rsid w:val="007059A7"/>
    <w:rsid w:val="007072A2"/>
    <w:rsid w:val="007075FE"/>
    <w:rsid w:val="00710314"/>
    <w:rsid w:val="0071091E"/>
    <w:rsid w:val="007133C3"/>
    <w:rsid w:val="007151D1"/>
    <w:rsid w:val="00715A13"/>
    <w:rsid w:val="00716ABC"/>
    <w:rsid w:val="00716F30"/>
    <w:rsid w:val="00717722"/>
    <w:rsid w:val="007200CF"/>
    <w:rsid w:val="007205F1"/>
    <w:rsid w:val="00722FE6"/>
    <w:rsid w:val="0072424B"/>
    <w:rsid w:val="00725402"/>
    <w:rsid w:val="00727B71"/>
    <w:rsid w:val="007305AA"/>
    <w:rsid w:val="00732406"/>
    <w:rsid w:val="00733F5C"/>
    <w:rsid w:val="0073458A"/>
    <w:rsid w:val="007352C5"/>
    <w:rsid w:val="0074011B"/>
    <w:rsid w:val="00741550"/>
    <w:rsid w:val="00742002"/>
    <w:rsid w:val="007442F2"/>
    <w:rsid w:val="00745363"/>
    <w:rsid w:val="007454B0"/>
    <w:rsid w:val="007464D7"/>
    <w:rsid w:val="007502E3"/>
    <w:rsid w:val="00752E33"/>
    <w:rsid w:val="007550DC"/>
    <w:rsid w:val="007550E2"/>
    <w:rsid w:val="00755435"/>
    <w:rsid w:val="00756DEF"/>
    <w:rsid w:val="00757ED0"/>
    <w:rsid w:val="0076054A"/>
    <w:rsid w:val="007608A6"/>
    <w:rsid w:val="00761947"/>
    <w:rsid w:val="0076303A"/>
    <w:rsid w:val="00764295"/>
    <w:rsid w:val="007643DA"/>
    <w:rsid w:val="007645AA"/>
    <w:rsid w:val="00767045"/>
    <w:rsid w:val="00767908"/>
    <w:rsid w:val="007703EE"/>
    <w:rsid w:val="00770ED5"/>
    <w:rsid w:val="0077122D"/>
    <w:rsid w:val="00772754"/>
    <w:rsid w:val="00772BD0"/>
    <w:rsid w:val="00773732"/>
    <w:rsid w:val="00773856"/>
    <w:rsid w:val="00773A42"/>
    <w:rsid w:val="00775EF0"/>
    <w:rsid w:val="00776FA2"/>
    <w:rsid w:val="007773B8"/>
    <w:rsid w:val="00777AA1"/>
    <w:rsid w:val="00780520"/>
    <w:rsid w:val="007831AF"/>
    <w:rsid w:val="00783CC5"/>
    <w:rsid w:val="00785080"/>
    <w:rsid w:val="007853B9"/>
    <w:rsid w:val="007867DE"/>
    <w:rsid w:val="00786EFC"/>
    <w:rsid w:val="007876AC"/>
    <w:rsid w:val="007877E2"/>
    <w:rsid w:val="00787F63"/>
    <w:rsid w:val="00790C63"/>
    <w:rsid w:val="0079182C"/>
    <w:rsid w:val="00791BA5"/>
    <w:rsid w:val="0079220F"/>
    <w:rsid w:val="00792EC1"/>
    <w:rsid w:val="00795B49"/>
    <w:rsid w:val="00797D26"/>
    <w:rsid w:val="00797E11"/>
    <w:rsid w:val="007A01A5"/>
    <w:rsid w:val="007A1ED5"/>
    <w:rsid w:val="007A2D93"/>
    <w:rsid w:val="007A30B2"/>
    <w:rsid w:val="007A3DC6"/>
    <w:rsid w:val="007A52E9"/>
    <w:rsid w:val="007A57DD"/>
    <w:rsid w:val="007A7F32"/>
    <w:rsid w:val="007B0124"/>
    <w:rsid w:val="007B06BC"/>
    <w:rsid w:val="007B0F24"/>
    <w:rsid w:val="007B1EB4"/>
    <w:rsid w:val="007B48C2"/>
    <w:rsid w:val="007B496C"/>
    <w:rsid w:val="007B7F2F"/>
    <w:rsid w:val="007C01D8"/>
    <w:rsid w:val="007C10F3"/>
    <w:rsid w:val="007C1D36"/>
    <w:rsid w:val="007C256D"/>
    <w:rsid w:val="007C2F23"/>
    <w:rsid w:val="007C4BE0"/>
    <w:rsid w:val="007D1708"/>
    <w:rsid w:val="007D172B"/>
    <w:rsid w:val="007D2A60"/>
    <w:rsid w:val="007E02B9"/>
    <w:rsid w:val="007E1164"/>
    <w:rsid w:val="007E12DF"/>
    <w:rsid w:val="007E3317"/>
    <w:rsid w:val="007E3997"/>
    <w:rsid w:val="007E5A1D"/>
    <w:rsid w:val="007E6431"/>
    <w:rsid w:val="007E6707"/>
    <w:rsid w:val="007E7040"/>
    <w:rsid w:val="007E7276"/>
    <w:rsid w:val="007F1371"/>
    <w:rsid w:val="007F3561"/>
    <w:rsid w:val="007F385E"/>
    <w:rsid w:val="007F700E"/>
    <w:rsid w:val="00800379"/>
    <w:rsid w:val="0080104E"/>
    <w:rsid w:val="008010EC"/>
    <w:rsid w:val="00801D26"/>
    <w:rsid w:val="00803C1F"/>
    <w:rsid w:val="00803DC6"/>
    <w:rsid w:val="008044FA"/>
    <w:rsid w:val="00804CDB"/>
    <w:rsid w:val="008050AE"/>
    <w:rsid w:val="00806557"/>
    <w:rsid w:val="00807B39"/>
    <w:rsid w:val="00807FBA"/>
    <w:rsid w:val="008113A4"/>
    <w:rsid w:val="0081144A"/>
    <w:rsid w:val="00813721"/>
    <w:rsid w:val="00813F5D"/>
    <w:rsid w:val="008151B2"/>
    <w:rsid w:val="00817035"/>
    <w:rsid w:val="00817BA4"/>
    <w:rsid w:val="00820C70"/>
    <w:rsid w:val="008223C7"/>
    <w:rsid w:val="00823674"/>
    <w:rsid w:val="00823BB2"/>
    <w:rsid w:val="0082579D"/>
    <w:rsid w:val="0082586F"/>
    <w:rsid w:val="008272B8"/>
    <w:rsid w:val="00827B62"/>
    <w:rsid w:val="00830123"/>
    <w:rsid w:val="008336E1"/>
    <w:rsid w:val="00834D45"/>
    <w:rsid w:val="00836B7C"/>
    <w:rsid w:val="0083705A"/>
    <w:rsid w:val="00840B28"/>
    <w:rsid w:val="00841C59"/>
    <w:rsid w:val="008421AA"/>
    <w:rsid w:val="00842B54"/>
    <w:rsid w:val="00846DB2"/>
    <w:rsid w:val="00850A51"/>
    <w:rsid w:val="00850E4F"/>
    <w:rsid w:val="00852097"/>
    <w:rsid w:val="0085386A"/>
    <w:rsid w:val="00864E08"/>
    <w:rsid w:val="00864FA3"/>
    <w:rsid w:val="0086569D"/>
    <w:rsid w:val="00870F8A"/>
    <w:rsid w:val="0087195F"/>
    <w:rsid w:val="00871A1D"/>
    <w:rsid w:val="008721DB"/>
    <w:rsid w:val="00872CDB"/>
    <w:rsid w:val="00872D77"/>
    <w:rsid w:val="00872E13"/>
    <w:rsid w:val="00874B66"/>
    <w:rsid w:val="00875054"/>
    <w:rsid w:val="008827B5"/>
    <w:rsid w:val="00882909"/>
    <w:rsid w:val="008844A3"/>
    <w:rsid w:val="00885D52"/>
    <w:rsid w:val="008875BA"/>
    <w:rsid w:val="00891D90"/>
    <w:rsid w:val="0089718D"/>
    <w:rsid w:val="008A164A"/>
    <w:rsid w:val="008A2E9D"/>
    <w:rsid w:val="008A3C2B"/>
    <w:rsid w:val="008A6589"/>
    <w:rsid w:val="008A68E3"/>
    <w:rsid w:val="008B0982"/>
    <w:rsid w:val="008B28A1"/>
    <w:rsid w:val="008B2B27"/>
    <w:rsid w:val="008B32B2"/>
    <w:rsid w:val="008B3640"/>
    <w:rsid w:val="008B38ED"/>
    <w:rsid w:val="008B4534"/>
    <w:rsid w:val="008B63AE"/>
    <w:rsid w:val="008B6B41"/>
    <w:rsid w:val="008B6F73"/>
    <w:rsid w:val="008B78C6"/>
    <w:rsid w:val="008B7E71"/>
    <w:rsid w:val="008C3C75"/>
    <w:rsid w:val="008C5629"/>
    <w:rsid w:val="008C5DFF"/>
    <w:rsid w:val="008C65DD"/>
    <w:rsid w:val="008C6B70"/>
    <w:rsid w:val="008D2D88"/>
    <w:rsid w:val="008D3973"/>
    <w:rsid w:val="008D694A"/>
    <w:rsid w:val="008E16A0"/>
    <w:rsid w:val="008E1B02"/>
    <w:rsid w:val="008E2748"/>
    <w:rsid w:val="008E2924"/>
    <w:rsid w:val="008E3DCB"/>
    <w:rsid w:val="008E5001"/>
    <w:rsid w:val="008E64A3"/>
    <w:rsid w:val="008E7494"/>
    <w:rsid w:val="008E7B73"/>
    <w:rsid w:val="008F0735"/>
    <w:rsid w:val="008F11D3"/>
    <w:rsid w:val="008F21BE"/>
    <w:rsid w:val="008F5F69"/>
    <w:rsid w:val="008F6B3D"/>
    <w:rsid w:val="008F75D0"/>
    <w:rsid w:val="00903D2A"/>
    <w:rsid w:val="0090436B"/>
    <w:rsid w:val="0091011C"/>
    <w:rsid w:val="00912094"/>
    <w:rsid w:val="009148FB"/>
    <w:rsid w:val="0091568F"/>
    <w:rsid w:val="009167C8"/>
    <w:rsid w:val="009169DB"/>
    <w:rsid w:val="00917351"/>
    <w:rsid w:val="00920C68"/>
    <w:rsid w:val="00921073"/>
    <w:rsid w:val="00921387"/>
    <w:rsid w:val="00921651"/>
    <w:rsid w:val="00923604"/>
    <w:rsid w:val="00923B37"/>
    <w:rsid w:val="0092493B"/>
    <w:rsid w:val="0092573F"/>
    <w:rsid w:val="00927005"/>
    <w:rsid w:val="00927165"/>
    <w:rsid w:val="00932AF1"/>
    <w:rsid w:val="0093325C"/>
    <w:rsid w:val="00934D78"/>
    <w:rsid w:val="00934ECE"/>
    <w:rsid w:val="00942708"/>
    <w:rsid w:val="00945B71"/>
    <w:rsid w:val="00946303"/>
    <w:rsid w:val="0095231C"/>
    <w:rsid w:val="00952F1E"/>
    <w:rsid w:val="0095331D"/>
    <w:rsid w:val="00956877"/>
    <w:rsid w:val="0095788E"/>
    <w:rsid w:val="00960825"/>
    <w:rsid w:val="0096174F"/>
    <w:rsid w:val="00961D36"/>
    <w:rsid w:val="00965854"/>
    <w:rsid w:val="00971B0B"/>
    <w:rsid w:val="00973652"/>
    <w:rsid w:val="009746CF"/>
    <w:rsid w:val="0097493B"/>
    <w:rsid w:val="009763B7"/>
    <w:rsid w:val="009801D1"/>
    <w:rsid w:val="00984E80"/>
    <w:rsid w:val="009853A2"/>
    <w:rsid w:val="0098558A"/>
    <w:rsid w:val="00987759"/>
    <w:rsid w:val="00991960"/>
    <w:rsid w:val="00995D59"/>
    <w:rsid w:val="009A5942"/>
    <w:rsid w:val="009B0EC6"/>
    <w:rsid w:val="009B14CD"/>
    <w:rsid w:val="009B26E3"/>
    <w:rsid w:val="009B391C"/>
    <w:rsid w:val="009B7DF4"/>
    <w:rsid w:val="009C1AB2"/>
    <w:rsid w:val="009C2398"/>
    <w:rsid w:val="009C28CC"/>
    <w:rsid w:val="009C53CE"/>
    <w:rsid w:val="009D1729"/>
    <w:rsid w:val="009D500F"/>
    <w:rsid w:val="009D5020"/>
    <w:rsid w:val="009E0441"/>
    <w:rsid w:val="009E18B7"/>
    <w:rsid w:val="009E2782"/>
    <w:rsid w:val="009E283B"/>
    <w:rsid w:val="009E3674"/>
    <w:rsid w:val="009E65F7"/>
    <w:rsid w:val="009E6F06"/>
    <w:rsid w:val="009E7407"/>
    <w:rsid w:val="009E778B"/>
    <w:rsid w:val="009F085B"/>
    <w:rsid w:val="009F0865"/>
    <w:rsid w:val="009F1C53"/>
    <w:rsid w:val="009F2D30"/>
    <w:rsid w:val="009F403E"/>
    <w:rsid w:val="009F462B"/>
    <w:rsid w:val="009F601E"/>
    <w:rsid w:val="009F7740"/>
    <w:rsid w:val="009F7987"/>
    <w:rsid w:val="00A00383"/>
    <w:rsid w:val="00A010A3"/>
    <w:rsid w:val="00A01A35"/>
    <w:rsid w:val="00A01BAB"/>
    <w:rsid w:val="00A022D6"/>
    <w:rsid w:val="00A02CEC"/>
    <w:rsid w:val="00A043A6"/>
    <w:rsid w:val="00A05276"/>
    <w:rsid w:val="00A069A9"/>
    <w:rsid w:val="00A06E69"/>
    <w:rsid w:val="00A10271"/>
    <w:rsid w:val="00A147FD"/>
    <w:rsid w:val="00A14D1E"/>
    <w:rsid w:val="00A21094"/>
    <w:rsid w:val="00A2252C"/>
    <w:rsid w:val="00A22640"/>
    <w:rsid w:val="00A22AC3"/>
    <w:rsid w:val="00A251CB"/>
    <w:rsid w:val="00A26125"/>
    <w:rsid w:val="00A27961"/>
    <w:rsid w:val="00A324EA"/>
    <w:rsid w:val="00A33848"/>
    <w:rsid w:val="00A33D95"/>
    <w:rsid w:val="00A34A03"/>
    <w:rsid w:val="00A37A94"/>
    <w:rsid w:val="00A37E88"/>
    <w:rsid w:val="00A4114F"/>
    <w:rsid w:val="00A414DB"/>
    <w:rsid w:val="00A4705B"/>
    <w:rsid w:val="00A47708"/>
    <w:rsid w:val="00A47E4D"/>
    <w:rsid w:val="00A609EA"/>
    <w:rsid w:val="00A677D6"/>
    <w:rsid w:val="00A67E02"/>
    <w:rsid w:val="00A70EC2"/>
    <w:rsid w:val="00A71C74"/>
    <w:rsid w:val="00A72DE4"/>
    <w:rsid w:val="00A7378E"/>
    <w:rsid w:val="00A74FBD"/>
    <w:rsid w:val="00A761A2"/>
    <w:rsid w:val="00A764FE"/>
    <w:rsid w:val="00A76ADF"/>
    <w:rsid w:val="00A801C7"/>
    <w:rsid w:val="00A8281D"/>
    <w:rsid w:val="00A82E22"/>
    <w:rsid w:val="00A835D0"/>
    <w:rsid w:val="00A853E2"/>
    <w:rsid w:val="00A90F8B"/>
    <w:rsid w:val="00A91B3D"/>
    <w:rsid w:val="00A92CFF"/>
    <w:rsid w:val="00A92EAC"/>
    <w:rsid w:val="00A93701"/>
    <w:rsid w:val="00A97733"/>
    <w:rsid w:val="00AA0C1A"/>
    <w:rsid w:val="00AA2189"/>
    <w:rsid w:val="00AA3685"/>
    <w:rsid w:val="00AA3970"/>
    <w:rsid w:val="00AA5EEC"/>
    <w:rsid w:val="00AA6BE7"/>
    <w:rsid w:val="00AB5F85"/>
    <w:rsid w:val="00AB76B1"/>
    <w:rsid w:val="00AC03C5"/>
    <w:rsid w:val="00AC03E0"/>
    <w:rsid w:val="00AC0DAE"/>
    <w:rsid w:val="00AC4087"/>
    <w:rsid w:val="00AC5B81"/>
    <w:rsid w:val="00AC63D1"/>
    <w:rsid w:val="00AC6C02"/>
    <w:rsid w:val="00AD0D86"/>
    <w:rsid w:val="00AD111F"/>
    <w:rsid w:val="00AD24A9"/>
    <w:rsid w:val="00AD35EB"/>
    <w:rsid w:val="00AD4520"/>
    <w:rsid w:val="00AD56AF"/>
    <w:rsid w:val="00AD578F"/>
    <w:rsid w:val="00AD7FC5"/>
    <w:rsid w:val="00AE01E6"/>
    <w:rsid w:val="00AE382D"/>
    <w:rsid w:val="00AE383F"/>
    <w:rsid w:val="00AE4517"/>
    <w:rsid w:val="00AE5043"/>
    <w:rsid w:val="00AE6A9E"/>
    <w:rsid w:val="00AE716A"/>
    <w:rsid w:val="00AF1DBD"/>
    <w:rsid w:val="00AF30B6"/>
    <w:rsid w:val="00AF456E"/>
    <w:rsid w:val="00AF52CB"/>
    <w:rsid w:val="00AF590A"/>
    <w:rsid w:val="00AF5A68"/>
    <w:rsid w:val="00AF618B"/>
    <w:rsid w:val="00AF61E8"/>
    <w:rsid w:val="00AF71BC"/>
    <w:rsid w:val="00AF7229"/>
    <w:rsid w:val="00B01480"/>
    <w:rsid w:val="00B01CD3"/>
    <w:rsid w:val="00B02941"/>
    <w:rsid w:val="00B02DA6"/>
    <w:rsid w:val="00B0359F"/>
    <w:rsid w:val="00B048BE"/>
    <w:rsid w:val="00B06341"/>
    <w:rsid w:val="00B10C79"/>
    <w:rsid w:val="00B13FAE"/>
    <w:rsid w:val="00B14059"/>
    <w:rsid w:val="00B15110"/>
    <w:rsid w:val="00B156FA"/>
    <w:rsid w:val="00B16045"/>
    <w:rsid w:val="00B17F70"/>
    <w:rsid w:val="00B2013B"/>
    <w:rsid w:val="00B20311"/>
    <w:rsid w:val="00B20624"/>
    <w:rsid w:val="00B20D3F"/>
    <w:rsid w:val="00B259C9"/>
    <w:rsid w:val="00B26188"/>
    <w:rsid w:val="00B273B1"/>
    <w:rsid w:val="00B32095"/>
    <w:rsid w:val="00B3229B"/>
    <w:rsid w:val="00B32746"/>
    <w:rsid w:val="00B32F9D"/>
    <w:rsid w:val="00B3694B"/>
    <w:rsid w:val="00B41583"/>
    <w:rsid w:val="00B42602"/>
    <w:rsid w:val="00B434DC"/>
    <w:rsid w:val="00B469E4"/>
    <w:rsid w:val="00B52544"/>
    <w:rsid w:val="00B52DDD"/>
    <w:rsid w:val="00B552C7"/>
    <w:rsid w:val="00B552CC"/>
    <w:rsid w:val="00B577D5"/>
    <w:rsid w:val="00B57CF7"/>
    <w:rsid w:val="00B60A15"/>
    <w:rsid w:val="00B613DF"/>
    <w:rsid w:val="00B650A3"/>
    <w:rsid w:val="00B6714F"/>
    <w:rsid w:val="00B719ED"/>
    <w:rsid w:val="00B7285A"/>
    <w:rsid w:val="00B7364F"/>
    <w:rsid w:val="00B75B33"/>
    <w:rsid w:val="00B7686F"/>
    <w:rsid w:val="00B774F6"/>
    <w:rsid w:val="00B818BA"/>
    <w:rsid w:val="00B862F7"/>
    <w:rsid w:val="00B864FA"/>
    <w:rsid w:val="00B8683F"/>
    <w:rsid w:val="00B87290"/>
    <w:rsid w:val="00B87AEA"/>
    <w:rsid w:val="00B91009"/>
    <w:rsid w:val="00B915C9"/>
    <w:rsid w:val="00B92517"/>
    <w:rsid w:val="00B9343E"/>
    <w:rsid w:val="00B9790E"/>
    <w:rsid w:val="00B97A72"/>
    <w:rsid w:val="00B97C4A"/>
    <w:rsid w:val="00BA45F3"/>
    <w:rsid w:val="00BA46B7"/>
    <w:rsid w:val="00BA4F85"/>
    <w:rsid w:val="00BA4FEA"/>
    <w:rsid w:val="00BA681E"/>
    <w:rsid w:val="00BA6977"/>
    <w:rsid w:val="00BA6EB7"/>
    <w:rsid w:val="00BB59B2"/>
    <w:rsid w:val="00BB5AEB"/>
    <w:rsid w:val="00BB5BCB"/>
    <w:rsid w:val="00BB74C0"/>
    <w:rsid w:val="00BB75CD"/>
    <w:rsid w:val="00BB7ECA"/>
    <w:rsid w:val="00BC0777"/>
    <w:rsid w:val="00BC0833"/>
    <w:rsid w:val="00BC136C"/>
    <w:rsid w:val="00BC213A"/>
    <w:rsid w:val="00BC2771"/>
    <w:rsid w:val="00BC4E07"/>
    <w:rsid w:val="00BC5511"/>
    <w:rsid w:val="00BC70ED"/>
    <w:rsid w:val="00BD0EC4"/>
    <w:rsid w:val="00BD2155"/>
    <w:rsid w:val="00BD2D09"/>
    <w:rsid w:val="00BD33FD"/>
    <w:rsid w:val="00BD59CF"/>
    <w:rsid w:val="00BD683D"/>
    <w:rsid w:val="00BE0E0A"/>
    <w:rsid w:val="00BE19E9"/>
    <w:rsid w:val="00BE3392"/>
    <w:rsid w:val="00BE41B6"/>
    <w:rsid w:val="00BE501B"/>
    <w:rsid w:val="00BE504A"/>
    <w:rsid w:val="00BE5D66"/>
    <w:rsid w:val="00BE5E9E"/>
    <w:rsid w:val="00BE74BB"/>
    <w:rsid w:val="00BF122F"/>
    <w:rsid w:val="00BF1434"/>
    <w:rsid w:val="00BF23A9"/>
    <w:rsid w:val="00BF5903"/>
    <w:rsid w:val="00BF683B"/>
    <w:rsid w:val="00C0065B"/>
    <w:rsid w:val="00C0124F"/>
    <w:rsid w:val="00C019CB"/>
    <w:rsid w:val="00C024A7"/>
    <w:rsid w:val="00C05B3D"/>
    <w:rsid w:val="00C06D13"/>
    <w:rsid w:val="00C071BC"/>
    <w:rsid w:val="00C1385E"/>
    <w:rsid w:val="00C14315"/>
    <w:rsid w:val="00C1432C"/>
    <w:rsid w:val="00C15C41"/>
    <w:rsid w:val="00C236D5"/>
    <w:rsid w:val="00C24A35"/>
    <w:rsid w:val="00C257EE"/>
    <w:rsid w:val="00C25967"/>
    <w:rsid w:val="00C27953"/>
    <w:rsid w:val="00C336B6"/>
    <w:rsid w:val="00C40CA5"/>
    <w:rsid w:val="00C40DB4"/>
    <w:rsid w:val="00C40E83"/>
    <w:rsid w:val="00C42810"/>
    <w:rsid w:val="00C44BB8"/>
    <w:rsid w:val="00C46007"/>
    <w:rsid w:val="00C4669A"/>
    <w:rsid w:val="00C46CA2"/>
    <w:rsid w:val="00C46D02"/>
    <w:rsid w:val="00C46EC6"/>
    <w:rsid w:val="00C50ED6"/>
    <w:rsid w:val="00C51435"/>
    <w:rsid w:val="00C51AAD"/>
    <w:rsid w:val="00C51CB3"/>
    <w:rsid w:val="00C52FB5"/>
    <w:rsid w:val="00C56049"/>
    <w:rsid w:val="00C56100"/>
    <w:rsid w:val="00C56F3F"/>
    <w:rsid w:val="00C57630"/>
    <w:rsid w:val="00C64955"/>
    <w:rsid w:val="00C65CA9"/>
    <w:rsid w:val="00C67928"/>
    <w:rsid w:val="00C72A7F"/>
    <w:rsid w:val="00C7404F"/>
    <w:rsid w:val="00C74C38"/>
    <w:rsid w:val="00C76775"/>
    <w:rsid w:val="00C77068"/>
    <w:rsid w:val="00C81E8E"/>
    <w:rsid w:val="00C84B1C"/>
    <w:rsid w:val="00C85961"/>
    <w:rsid w:val="00C914A9"/>
    <w:rsid w:val="00C91DE3"/>
    <w:rsid w:val="00C9371A"/>
    <w:rsid w:val="00C937B8"/>
    <w:rsid w:val="00C947C8"/>
    <w:rsid w:val="00C95707"/>
    <w:rsid w:val="00C960CB"/>
    <w:rsid w:val="00C96BC4"/>
    <w:rsid w:val="00CA2BE3"/>
    <w:rsid w:val="00CA36BB"/>
    <w:rsid w:val="00CA5A21"/>
    <w:rsid w:val="00CA65E1"/>
    <w:rsid w:val="00CA6707"/>
    <w:rsid w:val="00CA736D"/>
    <w:rsid w:val="00CB02CC"/>
    <w:rsid w:val="00CB05BF"/>
    <w:rsid w:val="00CB1207"/>
    <w:rsid w:val="00CB13B3"/>
    <w:rsid w:val="00CB1CD5"/>
    <w:rsid w:val="00CB384E"/>
    <w:rsid w:val="00CB459C"/>
    <w:rsid w:val="00CB7CE3"/>
    <w:rsid w:val="00CC0FE8"/>
    <w:rsid w:val="00CC29B2"/>
    <w:rsid w:val="00CC3622"/>
    <w:rsid w:val="00CC7C11"/>
    <w:rsid w:val="00CD25B3"/>
    <w:rsid w:val="00CE055F"/>
    <w:rsid w:val="00CE1688"/>
    <w:rsid w:val="00CE1792"/>
    <w:rsid w:val="00CE1ADD"/>
    <w:rsid w:val="00CE3D0C"/>
    <w:rsid w:val="00CE428D"/>
    <w:rsid w:val="00CE4592"/>
    <w:rsid w:val="00CE4EB2"/>
    <w:rsid w:val="00CF13B1"/>
    <w:rsid w:val="00CF203C"/>
    <w:rsid w:val="00CF2659"/>
    <w:rsid w:val="00CF78B7"/>
    <w:rsid w:val="00D0237B"/>
    <w:rsid w:val="00D0367F"/>
    <w:rsid w:val="00D07FBE"/>
    <w:rsid w:val="00D11D1C"/>
    <w:rsid w:val="00D15420"/>
    <w:rsid w:val="00D1641C"/>
    <w:rsid w:val="00D17E78"/>
    <w:rsid w:val="00D20156"/>
    <w:rsid w:val="00D20774"/>
    <w:rsid w:val="00D20F18"/>
    <w:rsid w:val="00D226A4"/>
    <w:rsid w:val="00D2305D"/>
    <w:rsid w:val="00D23175"/>
    <w:rsid w:val="00D24E64"/>
    <w:rsid w:val="00D2567D"/>
    <w:rsid w:val="00D27714"/>
    <w:rsid w:val="00D27A49"/>
    <w:rsid w:val="00D27A56"/>
    <w:rsid w:val="00D30E27"/>
    <w:rsid w:val="00D32631"/>
    <w:rsid w:val="00D334F7"/>
    <w:rsid w:val="00D349BC"/>
    <w:rsid w:val="00D37612"/>
    <w:rsid w:val="00D377B1"/>
    <w:rsid w:val="00D37C24"/>
    <w:rsid w:val="00D417D6"/>
    <w:rsid w:val="00D46FA6"/>
    <w:rsid w:val="00D51C01"/>
    <w:rsid w:val="00D5242A"/>
    <w:rsid w:val="00D53D6D"/>
    <w:rsid w:val="00D55107"/>
    <w:rsid w:val="00D55AD2"/>
    <w:rsid w:val="00D56544"/>
    <w:rsid w:val="00D605B6"/>
    <w:rsid w:val="00D640C7"/>
    <w:rsid w:val="00D6414E"/>
    <w:rsid w:val="00D65423"/>
    <w:rsid w:val="00D65F41"/>
    <w:rsid w:val="00D66B1D"/>
    <w:rsid w:val="00D6719D"/>
    <w:rsid w:val="00D674E1"/>
    <w:rsid w:val="00D703C4"/>
    <w:rsid w:val="00D77BE1"/>
    <w:rsid w:val="00D81194"/>
    <w:rsid w:val="00D840C7"/>
    <w:rsid w:val="00D84307"/>
    <w:rsid w:val="00D84705"/>
    <w:rsid w:val="00D84FA8"/>
    <w:rsid w:val="00D85B06"/>
    <w:rsid w:val="00D9109F"/>
    <w:rsid w:val="00D92168"/>
    <w:rsid w:val="00D961C2"/>
    <w:rsid w:val="00D971A4"/>
    <w:rsid w:val="00DA0FBC"/>
    <w:rsid w:val="00DA16F3"/>
    <w:rsid w:val="00DA2F43"/>
    <w:rsid w:val="00DA49B5"/>
    <w:rsid w:val="00DA4D89"/>
    <w:rsid w:val="00DA6883"/>
    <w:rsid w:val="00DB06F9"/>
    <w:rsid w:val="00DB669B"/>
    <w:rsid w:val="00DB6781"/>
    <w:rsid w:val="00DC003D"/>
    <w:rsid w:val="00DC0302"/>
    <w:rsid w:val="00DC089F"/>
    <w:rsid w:val="00DC17EC"/>
    <w:rsid w:val="00DC202A"/>
    <w:rsid w:val="00DC2CB5"/>
    <w:rsid w:val="00DC3655"/>
    <w:rsid w:val="00DC4608"/>
    <w:rsid w:val="00DC6749"/>
    <w:rsid w:val="00DD11CD"/>
    <w:rsid w:val="00DD3465"/>
    <w:rsid w:val="00DD62A5"/>
    <w:rsid w:val="00DD66E5"/>
    <w:rsid w:val="00DD7DD0"/>
    <w:rsid w:val="00DE07B2"/>
    <w:rsid w:val="00DE5C15"/>
    <w:rsid w:val="00DE65D5"/>
    <w:rsid w:val="00DF13FD"/>
    <w:rsid w:val="00DF242F"/>
    <w:rsid w:val="00DF2EC5"/>
    <w:rsid w:val="00DF321C"/>
    <w:rsid w:val="00DF5962"/>
    <w:rsid w:val="00DF637A"/>
    <w:rsid w:val="00DF65D7"/>
    <w:rsid w:val="00DF6619"/>
    <w:rsid w:val="00DF6DD2"/>
    <w:rsid w:val="00E00056"/>
    <w:rsid w:val="00E00A8D"/>
    <w:rsid w:val="00E00F88"/>
    <w:rsid w:val="00E025EF"/>
    <w:rsid w:val="00E02644"/>
    <w:rsid w:val="00E0281B"/>
    <w:rsid w:val="00E02B69"/>
    <w:rsid w:val="00E0391E"/>
    <w:rsid w:val="00E03A2A"/>
    <w:rsid w:val="00E04503"/>
    <w:rsid w:val="00E06E79"/>
    <w:rsid w:val="00E07312"/>
    <w:rsid w:val="00E07EC7"/>
    <w:rsid w:val="00E108DF"/>
    <w:rsid w:val="00E13DEC"/>
    <w:rsid w:val="00E144E3"/>
    <w:rsid w:val="00E15EED"/>
    <w:rsid w:val="00E16254"/>
    <w:rsid w:val="00E162D8"/>
    <w:rsid w:val="00E2026F"/>
    <w:rsid w:val="00E2136D"/>
    <w:rsid w:val="00E21D4D"/>
    <w:rsid w:val="00E23B86"/>
    <w:rsid w:val="00E25D5E"/>
    <w:rsid w:val="00E27393"/>
    <w:rsid w:val="00E307CF"/>
    <w:rsid w:val="00E310DB"/>
    <w:rsid w:val="00E34ACD"/>
    <w:rsid w:val="00E35F0B"/>
    <w:rsid w:val="00E36437"/>
    <w:rsid w:val="00E36627"/>
    <w:rsid w:val="00E376CD"/>
    <w:rsid w:val="00E37F09"/>
    <w:rsid w:val="00E40064"/>
    <w:rsid w:val="00E406C8"/>
    <w:rsid w:val="00E40F9B"/>
    <w:rsid w:val="00E422DD"/>
    <w:rsid w:val="00E454D2"/>
    <w:rsid w:val="00E47F12"/>
    <w:rsid w:val="00E502CF"/>
    <w:rsid w:val="00E50B04"/>
    <w:rsid w:val="00E51F9F"/>
    <w:rsid w:val="00E549E9"/>
    <w:rsid w:val="00E54F1B"/>
    <w:rsid w:val="00E57096"/>
    <w:rsid w:val="00E6211D"/>
    <w:rsid w:val="00E62580"/>
    <w:rsid w:val="00E62A30"/>
    <w:rsid w:val="00E62AA3"/>
    <w:rsid w:val="00E6470C"/>
    <w:rsid w:val="00E64D71"/>
    <w:rsid w:val="00E65009"/>
    <w:rsid w:val="00E70E3F"/>
    <w:rsid w:val="00E7127C"/>
    <w:rsid w:val="00E74764"/>
    <w:rsid w:val="00E7632E"/>
    <w:rsid w:val="00E771C5"/>
    <w:rsid w:val="00E806C3"/>
    <w:rsid w:val="00E82592"/>
    <w:rsid w:val="00E838A0"/>
    <w:rsid w:val="00E85056"/>
    <w:rsid w:val="00E853D0"/>
    <w:rsid w:val="00E85493"/>
    <w:rsid w:val="00E85F48"/>
    <w:rsid w:val="00E862C7"/>
    <w:rsid w:val="00E904A1"/>
    <w:rsid w:val="00E90FC1"/>
    <w:rsid w:val="00E920F3"/>
    <w:rsid w:val="00E94514"/>
    <w:rsid w:val="00E9532F"/>
    <w:rsid w:val="00E956F7"/>
    <w:rsid w:val="00E9762E"/>
    <w:rsid w:val="00E97EFC"/>
    <w:rsid w:val="00EA0C89"/>
    <w:rsid w:val="00EA1E0D"/>
    <w:rsid w:val="00EA5CF1"/>
    <w:rsid w:val="00EB1609"/>
    <w:rsid w:val="00EB17CA"/>
    <w:rsid w:val="00EB1EEA"/>
    <w:rsid w:val="00EB322D"/>
    <w:rsid w:val="00EB3688"/>
    <w:rsid w:val="00EB5A50"/>
    <w:rsid w:val="00EC10F8"/>
    <w:rsid w:val="00EC1B76"/>
    <w:rsid w:val="00EC3865"/>
    <w:rsid w:val="00ED0843"/>
    <w:rsid w:val="00ED32B6"/>
    <w:rsid w:val="00ED3B9F"/>
    <w:rsid w:val="00ED7299"/>
    <w:rsid w:val="00EE0786"/>
    <w:rsid w:val="00EE0B4B"/>
    <w:rsid w:val="00EE4FD3"/>
    <w:rsid w:val="00EE5D50"/>
    <w:rsid w:val="00EE6BFD"/>
    <w:rsid w:val="00EF4322"/>
    <w:rsid w:val="00EF5B49"/>
    <w:rsid w:val="00EF6525"/>
    <w:rsid w:val="00F00E40"/>
    <w:rsid w:val="00F016DE"/>
    <w:rsid w:val="00F022F0"/>
    <w:rsid w:val="00F033A3"/>
    <w:rsid w:val="00F1011A"/>
    <w:rsid w:val="00F10BF0"/>
    <w:rsid w:val="00F11376"/>
    <w:rsid w:val="00F1169C"/>
    <w:rsid w:val="00F11F38"/>
    <w:rsid w:val="00F122F8"/>
    <w:rsid w:val="00F15E3F"/>
    <w:rsid w:val="00F1649B"/>
    <w:rsid w:val="00F17E6F"/>
    <w:rsid w:val="00F20BB0"/>
    <w:rsid w:val="00F2186A"/>
    <w:rsid w:val="00F22321"/>
    <w:rsid w:val="00F22E4B"/>
    <w:rsid w:val="00F24706"/>
    <w:rsid w:val="00F24816"/>
    <w:rsid w:val="00F24E64"/>
    <w:rsid w:val="00F26B4A"/>
    <w:rsid w:val="00F30194"/>
    <w:rsid w:val="00F3056A"/>
    <w:rsid w:val="00F30FE5"/>
    <w:rsid w:val="00F31E08"/>
    <w:rsid w:val="00F3264A"/>
    <w:rsid w:val="00F337E2"/>
    <w:rsid w:val="00F364B0"/>
    <w:rsid w:val="00F36E02"/>
    <w:rsid w:val="00F37026"/>
    <w:rsid w:val="00F40A3B"/>
    <w:rsid w:val="00F41181"/>
    <w:rsid w:val="00F47220"/>
    <w:rsid w:val="00F56848"/>
    <w:rsid w:val="00F574A2"/>
    <w:rsid w:val="00F57B04"/>
    <w:rsid w:val="00F605EE"/>
    <w:rsid w:val="00F61CBC"/>
    <w:rsid w:val="00F622C0"/>
    <w:rsid w:val="00F6408C"/>
    <w:rsid w:val="00F6451F"/>
    <w:rsid w:val="00F65AA9"/>
    <w:rsid w:val="00F6643E"/>
    <w:rsid w:val="00F66462"/>
    <w:rsid w:val="00F67201"/>
    <w:rsid w:val="00F706ED"/>
    <w:rsid w:val="00F71482"/>
    <w:rsid w:val="00F73D6F"/>
    <w:rsid w:val="00F7430B"/>
    <w:rsid w:val="00F75B8A"/>
    <w:rsid w:val="00F806FE"/>
    <w:rsid w:val="00F82306"/>
    <w:rsid w:val="00F8559C"/>
    <w:rsid w:val="00F85703"/>
    <w:rsid w:val="00F85D8B"/>
    <w:rsid w:val="00F902E1"/>
    <w:rsid w:val="00F93A3A"/>
    <w:rsid w:val="00F93CDC"/>
    <w:rsid w:val="00F9449F"/>
    <w:rsid w:val="00F94DE1"/>
    <w:rsid w:val="00F9562E"/>
    <w:rsid w:val="00F95E83"/>
    <w:rsid w:val="00F97C78"/>
    <w:rsid w:val="00FA0190"/>
    <w:rsid w:val="00FA1468"/>
    <w:rsid w:val="00FA38FA"/>
    <w:rsid w:val="00FA402F"/>
    <w:rsid w:val="00FA423E"/>
    <w:rsid w:val="00FA4EB3"/>
    <w:rsid w:val="00FA67B6"/>
    <w:rsid w:val="00FA764F"/>
    <w:rsid w:val="00FA7FBC"/>
    <w:rsid w:val="00FB2810"/>
    <w:rsid w:val="00FB2A41"/>
    <w:rsid w:val="00FB2F2B"/>
    <w:rsid w:val="00FB4B3D"/>
    <w:rsid w:val="00FB63FB"/>
    <w:rsid w:val="00FB6481"/>
    <w:rsid w:val="00FB736B"/>
    <w:rsid w:val="00FC371B"/>
    <w:rsid w:val="00FC4B44"/>
    <w:rsid w:val="00FC59AF"/>
    <w:rsid w:val="00FC60BF"/>
    <w:rsid w:val="00FC6EB2"/>
    <w:rsid w:val="00FC7F8D"/>
    <w:rsid w:val="00FD60AC"/>
    <w:rsid w:val="00FD79F5"/>
    <w:rsid w:val="00FD7E68"/>
    <w:rsid w:val="00FE0CAC"/>
    <w:rsid w:val="00FE2FE1"/>
    <w:rsid w:val="00FE32B4"/>
    <w:rsid w:val="00FE4844"/>
    <w:rsid w:val="00FF069B"/>
    <w:rsid w:val="00FF11EC"/>
    <w:rsid w:val="00FF56E8"/>
    <w:rsid w:val="00FF70E6"/>
    <w:rsid w:val="00FF7C70"/>
    <w:rsid w:val="00FF7CD8"/>
    <w:rsid w:val="012B7F7A"/>
    <w:rsid w:val="016EA954"/>
    <w:rsid w:val="025D9F66"/>
    <w:rsid w:val="02E477DE"/>
    <w:rsid w:val="0394318E"/>
    <w:rsid w:val="04739CE2"/>
    <w:rsid w:val="0694B11A"/>
    <w:rsid w:val="0763CC22"/>
    <w:rsid w:val="07C218AD"/>
    <w:rsid w:val="08C9AE87"/>
    <w:rsid w:val="09B73543"/>
    <w:rsid w:val="0A1195AC"/>
    <w:rsid w:val="0AE188DF"/>
    <w:rsid w:val="0B42F6DF"/>
    <w:rsid w:val="0DED5874"/>
    <w:rsid w:val="0DFFBAB6"/>
    <w:rsid w:val="0F046A43"/>
    <w:rsid w:val="0F37C35D"/>
    <w:rsid w:val="0FC3F354"/>
    <w:rsid w:val="1083AFAC"/>
    <w:rsid w:val="10BEFDAB"/>
    <w:rsid w:val="1328D1C6"/>
    <w:rsid w:val="156A9ADC"/>
    <w:rsid w:val="1596C26B"/>
    <w:rsid w:val="15D0E802"/>
    <w:rsid w:val="16ABE0E2"/>
    <w:rsid w:val="17862C7E"/>
    <w:rsid w:val="17EC2FC2"/>
    <w:rsid w:val="1A4DD619"/>
    <w:rsid w:val="1A9FFF97"/>
    <w:rsid w:val="1C4F9A62"/>
    <w:rsid w:val="1D514677"/>
    <w:rsid w:val="1E5250BC"/>
    <w:rsid w:val="1F276DB7"/>
    <w:rsid w:val="1F52A3DE"/>
    <w:rsid w:val="20A0843F"/>
    <w:rsid w:val="21782DAA"/>
    <w:rsid w:val="22CCD3BC"/>
    <w:rsid w:val="235DF680"/>
    <w:rsid w:val="24E9909F"/>
    <w:rsid w:val="2508ED9E"/>
    <w:rsid w:val="2539BC79"/>
    <w:rsid w:val="2552069A"/>
    <w:rsid w:val="256EFFD7"/>
    <w:rsid w:val="25D42435"/>
    <w:rsid w:val="2912840B"/>
    <w:rsid w:val="2943921F"/>
    <w:rsid w:val="2955C48C"/>
    <w:rsid w:val="29EE607A"/>
    <w:rsid w:val="2D01D880"/>
    <w:rsid w:val="2D2AC458"/>
    <w:rsid w:val="2D61FB0A"/>
    <w:rsid w:val="2E62721B"/>
    <w:rsid w:val="2F600B29"/>
    <w:rsid w:val="30F5D196"/>
    <w:rsid w:val="33214205"/>
    <w:rsid w:val="337BE82C"/>
    <w:rsid w:val="34605BD8"/>
    <w:rsid w:val="358BADF0"/>
    <w:rsid w:val="36A9939C"/>
    <w:rsid w:val="36E3864F"/>
    <w:rsid w:val="372544C1"/>
    <w:rsid w:val="391F5673"/>
    <w:rsid w:val="39BCFEC1"/>
    <w:rsid w:val="3A9A99EE"/>
    <w:rsid w:val="3ABCBA42"/>
    <w:rsid w:val="3AD873F4"/>
    <w:rsid w:val="3BCD9EF6"/>
    <w:rsid w:val="3D623959"/>
    <w:rsid w:val="3D6D4165"/>
    <w:rsid w:val="3DC9D914"/>
    <w:rsid w:val="3F4E0BEB"/>
    <w:rsid w:val="3FB1BCA1"/>
    <w:rsid w:val="3FE03595"/>
    <w:rsid w:val="3FFB904A"/>
    <w:rsid w:val="401BD743"/>
    <w:rsid w:val="40350E7C"/>
    <w:rsid w:val="40F747BA"/>
    <w:rsid w:val="4105856D"/>
    <w:rsid w:val="411100F4"/>
    <w:rsid w:val="414B2666"/>
    <w:rsid w:val="433BA546"/>
    <w:rsid w:val="449B38CF"/>
    <w:rsid w:val="45AE4D81"/>
    <w:rsid w:val="45CE1FBE"/>
    <w:rsid w:val="4666E8CA"/>
    <w:rsid w:val="46DBC2DF"/>
    <w:rsid w:val="46EC2AD0"/>
    <w:rsid w:val="47B318B0"/>
    <w:rsid w:val="486C6788"/>
    <w:rsid w:val="494959D0"/>
    <w:rsid w:val="49ADF71A"/>
    <w:rsid w:val="49EE1122"/>
    <w:rsid w:val="4B58A69E"/>
    <w:rsid w:val="4BEF5712"/>
    <w:rsid w:val="4C1C063B"/>
    <w:rsid w:val="4C5D3AED"/>
    <w:rsid w:val="4C849CDA"/>
    <w:rsid w:val="4DA8A2FD"/>
    <w:rsid w:val="4DD2CCE6"/>
    <w:rsid w:val="4F1789DA"/>
    <w:rsid w:val="4F2FB8F9"/>
    <w:rsid w:val="50D2647D"/>
    <w:rsid w:val="51873ABC"/>
    <w:rsid w:val="526ACFB4"/>
    <w:rsid w:val="52A61EF2"/>
    <w:rsid w:val="5305D2C6"/>
    <w:rsid w:val="533BBF92"/>
    <w:rsid w:val="54B3EE3F"/>
    <w:rsid w:val="557871C7"/>
    <w:rsid w:val="55E0A603"/>
    <w:rsid w:val="567F07C3"/>
    <w:rsid w:val="58DF358D"/>
    <w:rsid w:val="59250AD2"/>
    <w:rsid w:val="5A4FBF56"/>
    <w:rsid w:val="5AD2F4BC"/>
    <w:rsid w:val="5B36F4BA"/>
    <w:rsid w:val="5C600E58"/>
    <w:rsid w:val="5CF78291"/>
    <w:rsid w:val="5E290290"/>
    <w:rsid w:val="5EEDC513"/>
    <w:rsid w:val="609D7FA4"/>
    <w:rsid w:val="6145BE60"/>
    <w:rsid w:val="61E9D893"/>
    <w:rsid w:val="670A9E9A"/>
    <w:rsid w:val="6886112D"/>
    <w:rsid w:val="69ABE759"/>
    <w:rsid w:val="69BB1F4E"/>
    <w:rsid w:val="69E95164"/>
    <w:rsid w:val="6C2EA23F"/>
    <w:rsid w:val="6C50FA8B"/>
    <w:rsid w:val="6EA705EA"/>
    <w:rsid w:val="6EBF13C8"/>
    <w:rsid w:val="700CEEAD"/>
    <w:rsid w:val="71A11121"/>
    <w:rsid w:val="71A8969D"/>
    <w:rsid w:val="7236C489"/>
    <w:rsid w:val="72471FE2"/>
    <w:rsid w:val="735E5B89"/>
    <w:rsid w:val="737EF4DB"/>
    <w:rsid w:val="749B2A16"/>
    <w:rsid w:val="772668BD"/>
    <w:rsid w:val="78429399"/>
    <w:rsid w:val="792E086B"/>
    <w:rsid w:val="79D83457"/>
    <w:rsid w:val="79E7BBCB"/>
    <w:rsid w:val="7AD36938"/>
    <w:rsid w:val="7AFE3C43"/>
    <w:rsid w:val="7C344023"/>
    <w:rsid w:val="7C69337E"/>
    <w:rsid w:val="7D58CC69"/>
    <w:rsid w:val="7D758497"/>
    <w:rsid w:val="7D905578"/>
    <w:rsid w:val="7DFD5054"/>
    <w:rsid w:val="7E788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CF87D"/>
  <w15:chartTrackingRefBased/>
  <w15:docId w15:val="{E56C8A61-ABB0-4AE9-B416-AA6BF705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B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F7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8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8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8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8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8B7"/>
    <w:rPr>
      <w:rFonts w:eastAsiaTheme="majorEastAsia" w:cstheme="majorBidi"/>
      <w:color w:val="272727" w:themeColor="text1" w:themeTint="D8"/>
    </w:rPr>
  </w:style>
  <w:style w:type="paragraph" w:styleId="Title">
    <w:name w:val="Title"/>
    <w:basedOn w:val="Normal"/>
    <w:next w:val="Normal"/>
    <w:link w:val="TitleChar"/>
    <w:uiPriority w:val="10"/>
    <w:qFormat/>
    <w:rsid w:val="00CF78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8B7"/>
    <w:pPr>
      <w:spacing w:before="160"/>
      <w:jc w:val="center"/>
    </w:pPr>
    <w:rPr>
      <w:i/>
      <w:iCs/>
      <w:color w:val="404040" w:themeColor="text1" w:themeTint="BF"/>
    </w:rPr>
  </w:style>
  <w:style w:type="character" w:customStyle="1" w:styleId="QuoteChar">
    <w:name w:val="Quote Char"/>
    <w:basedOn w:val="DefaultParagraphFont"/>
    <w:link w:val="Quote"/>
    <w:uiPriority w:val="29"/>
    <w:rsid w:val="00CF78B7"/>
    <w:rPr>
      <w:i/>
      <w:iCs/>
      <w:color w:val="404040" w:themeColor="text1" w:themeTint="BF"/>
    </w:rPr>
  </w:style>
  <w:style w:type="paragraph" w:styleId="ListParagraph">
    <w:name w:val="List Paragraph"/>
    <w:basedOn w:val="Normal"/>
    <w:uiPriority w:val="34"/>
    <w:qFormat/>
    <w:rsid w:val="00CF78B7"/>
    <w:pPr>
      <w:ind w:left="720"/>
      <w:contextualSpacing/>
    </w:pPr>
  </w:style>
  <w:style w:type="character" w:styleId="IntenseEmphasis">
    <w:name w:val="Intense Emphasis"/>
    <w:basedOn w:val="DefaultParagraphFont"/>
    <w:uiPriority w:val="21"/>
    <w:qFormat/>
    <w:rsid w:val="00CF78B7"/>
    <w:rPr>
      <w:i/>
      <w:iCs/>
      <w:color w:val="0F4761" w:themeColor="accent1" w:themeShade="BF"/>
    </w:rPr>
  </w:style>
  <w:style w:type="paragraph" w:styleId="IntenseQuote">
    <w:name w:val="Intense Quote"/>
    <w:basedOn w:val="Normal"/>
    <w:next w:val="Normal"/>
    <w:link w:val="IntenseQuoteChar"/>
    <w:uiPriority w:val="30"/>
    <w:qFormat/>
    <w:rsid w:val="00CF7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8B7"/>
    <w:rPr>
      <w:i/>
      <w:iCs/>
      <w:color w:val="0F4761" w:themeColor="accent1" w:themeShade="BF"/>
    </w:rPr>
  </w:style>
  <w:style w:type="character" w:styleId="IntenseReference">
    <w:name w:val="Intense Reference"/>
    <w:basedOn w:val="DefaultParagraphFont"/>
    <w:uiPriority w:val="32"/>
    <w:qFormat/>
    <w:rsid w:val="00CF78B7"/>
    <w:rPr>
      <w:b/>
      <w:bCs/>
      <w:smallCaps/>
      <w:color w:val="0F4761" w:themeColor="accent1" w:themeShade="BF"/>
      <w:spacing w:val="5"/>
    </w:rPr>
  </w:style>
  <w:style w:type="paragraph" w:styleId="Footer">
    <w:name w:val="footer"/>
    <w:basedOn w:val="Normal"/>
    <w:link w:val="FooterChar"/>
    <w:uiPriority w:val="99"/>
    <w:rsid w:val="00CF78B7"/>
    <w:pPr>
      <w:tabs>
        <w:tab w:val="center" w:pos="4320"/>
        <w:tab w:val="right" w:pos="8640"/>
      </w:tabs>
    </w:pPr>
  </w:style>
  <w:style w:type="character" w:customStyle="1" w:styleId="FooterChar">
    <w:name w:val="Footer Char"/>
    <w:basedOn w:val="DefaultParagraphFont"/>
    <w:link w:val="Footer"/>
    <w:uiPriority w:val="99"/>
    <w:rsid w:val="00CF78B7"/>
    <w:rPr>
      <w:rFonts w:ascii="Times New Roman" w:eastAsia="Times New Roman" w:hAnsi="Times New Roman" w:cs="Times New Roman"/>
      <w:kern w:val="0"/>
      <w:sz w:val="24"/>
      <w:szCs w:val="24"/>
      <w14:ligatures w14:val="none"/>
    </w:rPr>
  </w:style>
  <w:style w:type="character" w:styleId="PageNumber">
    <w:name w:val="page number"/>
    <w:rsid w:val="00CF78B7"/>
    <w:rPr>
      <w:rFonts w:cs="Times New Roman"/>
    </w:rPr>
  </w:style>
  <w:style w:type="paragraph" w:styleId="Header">
    <w:name w:val="header"/>
    <w:basedOn w:val="Normal"/>
    <w:link w:val="HeaderChar"/>
    <w:uiPriority w:val="99"/>
    <w:rsid w:val="00CF78B7"/>
    <w:pPr>
      <w:tabs>
        <w:tab w:val="center" w:pos="4320"/>
        <w:tab w:val="right" w:pos="8640"/>
      </w:tabs>
    </w:pPr>
  </w:style>
  <w:style w:type="character" w:customStyle="1" w:styleId="HeaderChar">
    <w:name w:val="Header Char"/>
    <w:basedOn w:val="DefaultParagraphFont"/>
    <w:link w:val="Header"/>
    <w:uiPriority w:val="99"/>
    <w:rsid w:val="00CF78B7"/>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CF78B7"/>
    <w:pPr>
      <w:snapToGrid w:val="0"/>
      <w:spacing w:line="417" w:lineRule="auto"/>
      <w:jc w:val="both"/>
    </w:pPr>
    <w:rPr>
      <w:b/>
      <w:bCs/>
    </w:rPr>
  </w:style>
  <w:style w:type="character" w:customStyle="1" w:styleId="BodyText2Char">
    <w:name w:val="Body Text 2 Char"/>
    <w:basedOn w:val="DefaultParagraphFont"/>
    <w:link w:val="BodyText2"/>
    <w:rsid w:val="00CF78B7"/>
    <w:rPr>
      <w:rFonts w:ascii="Times New Roman" w:eastAsia="Times New Roman" w:hAnsi="Times New Roman" w:cs="Times New Roman"/>
      <w:b/>
      <w:bCs/>
      <w:kern w:val="0"/>
      <w:sz w:val="24"/>
      <w:szCs w:val="24"/>
      <w14:ligatures w14:val="none"/>
    </w:rPr>
  </w:style>
  <w:style w:type="character" w:styleId="Strong">
    <w:name w:val="Strong"/>
    <w:uiPriority w:val="22"/>
    <w:qFormat/>
    <w:rsid w:val="00CF78B7"/>
    <w:rPr>
      <w:b/>
      <w:bCs/>
    </w:rPr>
  </w:style>
  <w:style w:type="character" w:customStyle="1" w:styleId="fontstyle01">
    <w:name w:val="fontstyle01"/>
    <w:basedOn w:val="DefaultParagraphFont"/>
    <w:rsid w:val="00CF78B7"/>
    <w:rPr>
      <w:rFonts w:ascii="TimesNewRomanPSMT" w:hAnsi="TimesNewRomanPSMT" w:hint="default"/>
      <w:b w:val="0"/>
      <w:bCs w:val="0"/>
      <w:i w:val="0"/>
      <w:iCs w:val="0"/>
      <w:color w:val="000000"/>
      <w:sz w:val="24"/>
      <w:szCs w:val="24"/>
    </w:rPr>
  </w:style>
  <w:style w:type="character" w:styleId="LineNumber">
    <w:name w:val="line number"/>
    <w:basedOn w:val="DefaultParagraphFont"/>
    <w:uiPriority w:val="99"/>
    <w:semiHidden/>
    <w:unhideWhenUsed/>
    <w:rsid w:val="00CF78B7"/>
  </w:style>
  <w:style w:type="paragraph" w:styleId="Revision">
    <w:name w:val="Revision"/>
    <w:hidden/>
    <w:uiPriority w:val="99"/>
    <w:semiHidden/>
    <w:rsid w:val="00ED3B9F"/>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4E6551"/>
    <w:rPr>
      <w:sz w:val="16"/>
      <w:szCs w:val="16"/>
    </w:rPr>
  </w:style>
  <w:style w:type="paragraph" w:styleId="CommentText">
    <w:name w:val="annotation text"/>
    <w:basedOn w:val="Normal"/>
    <w:link w:val="CommentTextChar"/>
    <w:uiPriority w:val="99"/>
    <w:unhideWhenUsed/>
    <w:rsid w:val="004E6551"/>
    <w:rPr>
      <w:sz w:val="20"/>
      <w:szCs w:val="20"/>
    </w:rPr>
  </w:style>
  <w:style w:type="character" w:customStyle="1" w:styleId="CommentTextChar">
    <w:name w:val="Comment Text Char"/>
    <w:basedOn w:val="DefaultParagraphFont"/>
    <w:link w:val="CommentText"/>
    <w:uiPriority w:val="99"/>
    <w:rsid w:val="004E655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6551"/>
    <w:rPr>
      <w:b/>
      <w:bCs/>
    </w:rPr>
  </w:style>
  <w:style w:type="character" w:customStyle="1" w:styleId="CommentSubjectChar">
    <w:name w:val="Comment Subject Char"/>
    <w:basedOn w:val="CommentTextChar"/>
    <w:link w:val="CommentSubject"/>
    <w:uiPriority w:val="99"/>
    <w:semiHidden/>
    <w:rsid w:val="004E6551"/>
    <w:rPr>
      <w:rFonts w:ascii="Times New Roman" w:eastAsia="Times New Roman" w:hAnsi="Times New Roman" w:cs="Times New Roman"/>
      <w:b/>
      <w:bCs/>
      <w:kern w:val="0"/>
      <w:sz w:val="20"/>
      <w:szCs w:val="20"/>
      <w14:ligatures w14:val="none"/>
    </w:rPr>
  </w:style>
  <w:style w:type="paragraph" w:styleId="Caption">
    <w:name w:val="caption"/>
    <w:basedOn w:val="Normal"/>
    <w:next w:val="Normal"/>
    <w:uiPriority w:val="35"/>
    <w:unhideWhenUsed/>
    <w:qFormat/>
    <w:rsid w:val="00BE5D66"/>
    <w:pPr>
      <w:spacing w:after="200"/>
    </w:pPr>
    <w:rPr>
      <w:i/>
      <w:iCs/>
      <w:color w:val="0E2841" w:themeColor="text2"/>
      <w:sz w:val="18"/>
      <w:szCs w:val="18"/>
    </w:rPr>
  </w:style>
  <w:style w:type="paragraph" w:customStyle="1" w:styleId="paragraph">
    <w:name w:val="paragraph"/>
    <w:basedOn w:val="Normal"/>
    <w:rsid w:val="00F47220"/>
    <w:pPr>
      <w:spacing w:before="100" w:beforeAutospacing="1" w:after="100" w:afterAutospacing="1"/>
      <w:jc w:val="both"/>
    </w:pPr>
  </w:style>
  <w:style w:type="character" w:customStyle="1" w:styleId="normaltextrun">
    <w:name w:val="normaltextrun"/>
    <w:basedOn w:val="DefaultParagraphFont"/>
    <w:rsid w:val="00F47220"/>
  </w:style>
  <w:style w:type="table" w:styleId="TableGrid">
    <w:name w:val="Table Grid"/>
    <w:basedOn w:val="TableNormal"/>
    <w:uiPriority w:val="39"/>
    <w:rsid w:val="00F47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90297"/>
    <w:rPr>
      <w:sz w:val="20"/>
      <w:szCs w:val="20"/>
    </w:rPr>
  </w:style>
  <w:style w:type="character" w:customStyle="1" w:styleId="FootnoteTextChar">
    <w:name w:val="Footnote Text Char"/>
    <w:basedOn w:val="DefaultParagraphFont"/>
    <w:link w:val="FootnoteText"/>
    <w:uiPriority w:val="99"/>
    <w:semiHidden/>
    <w:rsid w:val="0029029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290297"/>
    <w:rPr>
      <w:vertAlign w:val="superscript"/>
    </w:rPr>
  </w:style>
  <w:style w:type="paragraph" w:styleId="NoSpacing">
    <w:name w:val="No Spacing"/>
    <w:uiPriority w:val="1"/>
    <w:qFormat/>
    <w:rsid w:val="00290297"/>
    <w:pPr>
      <w:spacing w:after="0" w:line="240" w:lineRule="auto"/>
    </w:pPr>
    <w:rPr>
      <w:rFonts w:ascii="Times New Roman" w:eastAsia="Times New Roman" w:hAnsi="Times New Roman" w:cs="Times New Roman"/>
      <w:kern w:val="0"/>
      <w:sz w:val="24"/>
      <w:szCs w:val="24"/>
      <w14:ligatures w14:val="none"/>
    </w:rPr>
  </w:style>
  <w:style w:type="paragraph" w:customStyle="1" w:styleId="Answers">
    <w:name w:val="Answers"/>
    <w:basedOn w:val="Normal"/>
    <w:link w:val="AnswersChar"/>
    <w:uiPriority w:val="1"/>
    <w:qFormat/>
    <w:rsid w:val="00C72A7F"/>
    <w:pPr>
      <w:tabs>
        <w:tab w:val="left" w:pos="720"/>
      </w:tabs>
      <w:spacing w:line="480" w:lineRule="auto"/>
      <w:ind w:left="720" w:hanging="720"/>
      <w:jc w:val="both"/>
    </w:pPr>
    <w:rPr>
      <w:lang w:val="en-CA"/>
    </w:rPr>
  </w:style>
  <w:style w:type="character" w:customStyle="1" w:styleId="AnswersChar">
    <w:name w:val="Answers Char"/>
    <w:basedOn w:val="DefaultParagraphFont"/>
    <w:link w:val="Answers"/>
    <w:uiPriority w:val="1"/>
    <w:rsid w:val="00C72A7F"/>
    <w:rPr>
      <w:rFonts w:ascii="Times New Roman" w:eastAsia="Times New Roman" w:hAnsi="Times New Roman" w:cs="Times New Roman"/>
      <w:kern w:val="0"/>
      <w:sz w:val="24"/>
      <w:szCs w:val="24"/>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498154">
      <w:bodyDiv w:val="1"/>
      <w:marLeft w:val="0"/>
      <w:marRight w:val="0"/>
      <w:marTop w:val="0"/>
      <w:marBottom w:val="0"/>
      <w:divBdr>
        <w:top w:val="none" w:sz="0" w:space="0" w:color="auto"/>
        <w:left w:val="none" w:sz="0" w:space="0" w:color="auto"/>
        <w:bottom w:val="none" w:sz="0" w:space="0" w:color="auto"/>
        <w:right w:val="none" w:sz="0" w:space="0" w:color="auto"/>
      </w:divBdr>
    </w:div>
    <w:div w:id="1083843177">
      <w:bodyDiv w:val="1"/>
      <w:marLeft w:val="0"/>
      <w:marRight w:val="0"/>
      <w:marTop w:val="0"/>
      <w:marBottom w:val="0"/>
      <w:divBdr>
        <w:top w:val="none" w:sz="0" w:space="0" w:color="auto"/>
        <w:left w:val="none" w:sz="0" w:space="0" w:color="auto"/>
        <w:bottom w:val="none" w:sz="0" w:space="0" w:color="auto"/>
        <w:right w:val="none" w:sz="0" w:space="0" w:color="auto"/>
      </w:divBdr>
    </w:div>
    <w:div w:id="1516263282">
      <w:bodyDiv w:val="1"/>
      <w:marLeft w:val="0"/>
      <w:marRight w:val="0"/>
      <w:marTop w:val="0"/>
      <w:marBottom w:val="0"/>
      <w:divBdr>
        <w:top w:val="none" w:sz="0" w:space="0" w:color="auto"/>
        <w:left w:val="none" w:sz="0" w:space="0" w:color="auto"/>
        <w:bottom w:val="none" w:sz="0" w:space="0" w:color="auto"/>
        <w:right w:val="none" w:sz="0" w:space="0" w:color="auto"/>
      </w:divBdr>
    </w:div>
    <w:div w:id="1980068861">
      <w:bodyDiv w:val="1"/>
      <w:marLeft w:val="0"/>
      <w:marRight w:val="0"/>
      <w:marTop w:val="0"/>
      <w:marBottom w:val="0"/>
      <w:divBdr>
        <w:top w:val="none" w:sz="0" w:space="0" w:color="auto"/>
        <w:left w:val="none" w:sz="0" w:space="0" w:color="auto"/>
        <w:bottom w:val="none" w:sz="0" w:space="0" w:color="auto"/>
        <w:right w:val="none" w:sz="0" w:space="0" w:color="auto"/>
      </w:divBdr>
    </w:div>
    <w:div w:id="20756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CF38-C6EC-444C-8E67-60CAE16F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32</Pages>
  <Words>6572</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Iseley</dc:creator>
  <cp:keywords/>
  <dc:description/>
  <cp:lastModifiedBy>John Kaduk</cp:lastModifiedBy>
  <cp:revision>51</cp:revision>
  <dcterms:created xsi:type="dcterms:W3CDTF">2024-10-11T16:36:00Z</dcterms:created>
  <dcterms:modified xsi:type="dcterms:W3CDTF">2024-10-15T13:37:00Z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aed2b3d3120c382c47becc4d27b2f366e1629204ace392cb8c804c4bcc103561</vt:lpwstr>
  </property>
</Properties>
</file>