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055" w:type="dxa"/>
        <w:jc w:val="center"/>
        <w:tblLayout w:type="fixed"/>
        <w:tblCellMar>
          <w:left w:w="84" w:type="dxa"/>
          <w:right w:w="84" w:type="dxa"/>
        </w:tblCellMar>
        <w:tblLook w:val="04A0" w:firstRow="1" w:lastRow="0" w:firstColumn="1" w:lastColumn="0" w:noHBand="0" w:noVBand="1"/>
      </w:tblPr>
      <w:tblGrid>
        <w:gridCol w:w="4357"/>
        <w:gridCol w:w="2970"/>
        <w:gridCol w:w="3728"/>
      </w:tblGrid>
      <w:tr w:rsidR="003F2763" w:rsidRPr="00611A1D" w14:paraId="53BD6692" w14:textId="77777777" w:rsidTr="008065F6">
        <w:trPr>
          <w:trHeight w:val="1681"/>
          <w:jc w:val="center"/>
        </w:trPr>
        <w:tc>
          <w:tcPr>
            <w:tcW w:w="4358" w:type="dxa"/>
            <w:hideMark/>
          </w:tcPr>
          <w:p w14:paraId="7C825C5E" w14:textId="77777777" w:rsidR="003F2763" w:rsidRPr="00611A1D" w:rsidRDefault="003F2763" w:rsidP="008065F6">
            <w:pPr>
              <w:spacing w:line="276" w:lineRule="auto"/>
              <w:rPr>
                <w:rStyle w:val="Strong"/>
                <w:sz w:val="20"/>
                <w:szCs w:val="20"/>
              </w:rPr>
            </w:pPr>
            <w:r w:rsidRPr="00611A1D">
              <w:rPr>
                <w:b/>
                <w:sz w:val="20"/>
                <w:szCs w:val="20"/>
              </w:rPr>
              <w:fldChar w:fldCharType="begin"/>
            </w:r>
            <w:r w:rsidRPr="00611A1D">
              <w:rPr>
                <w:b/>
                <w:sz w:val="20"/>
                <w:szCs w:val="20"/>
              </w:rPr>
              <w:instrText>PRIVATE</w:instrText>
            </w:r>
            <w:r w:rsidRPr="00611A1D">
              <w:rPr>
                <w:b/>
                <w:sz w:val="20"/>
                <w:szCs w:val="20"/>
              </w:rPr>
              <w:fldChar w:fldCharType="end"/>
            </w:r>
            <w:r w:rsidRPr="00611A1D">
              <w:rPr>
                <w:rStyle w:val="Strong"/>
                <w:sz w:val="20"/>
                <w:szCs w:val="20"/>
              </w:rPr>
              <w:t>COMMISSIONERS:</w:t>
            </w:r>
          </w:p>
          <w:p w14:paraId="301E7132" w14:textId="77777777" w:rsidR="00BA2A06" w:rsidRPr="00611A1D" w:rsidRDefault="00BA2A06" w:rsidP="008065F6">
            <w:pPr>
              <w:spacing w:line="276" w:lineRule="auto"/>
              <w:rPr>
                <w:rStyle w:val="Strong"/>
                <w:sz w:val="20"/>
                <w:szCs w:val="20"/>
              </w:rPr>
            </w:pPr>
          </w:p>
          <w:p w14:paraId="1AE94623" w14:textId="108492D5" w:rsidR="00E92FA4" w:rsidRPr="00611A1D" w:rsidRDefault="003A0D04" w:rsidP="008065F6">
            <w:pPr>
              <w:spacing w:line="276" w:lineRule="auto"/>
              <w:rPr>
                <w:rStyle w:val="Strong"/>
                <w:sz w:val="20"/>
                <w:szCs w:val="20"/>
              </w:rPr>
            </w:pPr>
            <w:r>
              <w:rPr>
                <w:rStyle w:val="Strong"/>
                <w:sz w:val="20"/>
                <w:szCs w:val="20"/>
              </w:rPr>
              <w:t>JASON SHAW</w:t>
            </w:r>
            <w:r w:rsidR="00994AB6" w:rsidRPr="00611A1D">
              <w:rPr>
                <w:rStyle w:val="Strong"/>
                <w:sz w:val="20"/>
                <w:szCs w:val="20"/>
              </w:rPr>
              <w:t xml:space="preserve">, Chairman </w:t>
            </w:r>
          </w:p>
          <w:p w14:paraId="02345E52" w14:textId="77777777" w:rsidR="001D0747" w:rsidRPr="00611A1D" w:rsidRDefault="00E92FA4" w:rsidP="0006325A">
            <w:pPr>
              <w:tabs>
                <w:tab w:val="right" w:pos="4189"/>
              </w:tabs>
              <w:spacing w:line="276" w:lineRule="auto"/>
              <w:rPr>
                <w:rStyle w:val="Strong"/>
                <w:sz w:val="20"/>
                <w:szCs w:val="20"/>
              </w:rPr>
            </w:pPr>
            <w:r w:rsidRPr="00611A1D">
              <w:rPr>
                <w:rStyle w:val="Strong"/>
                <w:sz w:val="20"/>
                <w:szCs w:val="20"/>
              </w:rPr>
              <w:t>TIM G. ECHOLS, Vice-Chairman</w:t>
            </w:r>
            <w:r w:rsidR="0006325A">
              <w:rPr>
                <w:rStyle w:val="Strong"/>
                <w:sz w:val="20"/>
                <w:szCs w:val="20"/>
              </w:rPr>
              <w:tab/>
              <w:t xml:space="preserve">   </w:t>
            </w:r>
          </w:p>
          <w:p w14:paraId="2E132CB5" w14:textId="77777777" w:rsidR="006862E4" w:rsidRPr="00611A1D" w:rsidRDefault="001D0747" w:rsidP="008065F6">
            <w:pPr>
              <w:spacing w:line="276" w:lineRule="auto"/>
              <w:rPr>
                <w:rStyle w:val="Strong"/>
                <w:sz w:val="20"/>
                <w:szCs w:val="20"/>
              </w:rPr>
            </w:pPr>
            <w:r w:rsidRPr="00611A1D">
              <w:rPr>
                <w:rStyle w:val="Strong"/>
                <w:sz w:val="20"/>
                <w:szCs w:val="20"/>
              </w:rPr>
              <w:t>FITZ JOHNSON</w:t>
            </w:r>
            <w:r w:rsidR="00994AB6" w:rsidRPr="00611A1D">
              <w:rPr>
                <w:rStyle w:val="Strong"/>
                <w:sz w:val="20"/>
                <w:szCs w:val="20"/>
              </w:rPr>
              <w:t xml:space="preserve"> </w:t>
            </w:r>
          </w:p>
          <w:p w14:paraId="30A6E915" w14:textId="1515A1A7" w:rsidR="003F2763" w:rsidRDefault="003F2763" w:rsidP="006862E4">
            <w:pPr>
              <w:spacing w:line="276" w:lineRule="auto"/>
            </w:pPr>
            <w:r w:rsidRPr="00611A1D">
              <w:rPr>
                <w:rStyle w:val="Strong"/>
                <w:sz w:val="20"/>
                <w:szCs w:val="20"/>
              </w:rPr>
              <w:t>LAU</w:t>
            </w:r>
            <w:r w:rsidR="00994AB6" w:rsidRPr="00611A1D">
              <w:rPr>
                <w:rStyle w:val="Strong"/>
                <w:sz w:val="20"/>
                <w:szCs w:val="20"/>
              </w:rPr>
              <w:t>REN “BUBBA” McDONALD</w:t>
            </w:r>
            <w:r w:rsidRPr="00611A1D">
              <w:rPr>
                <w:rStyle w:val="Strong"/>
                <w:sz w:val="20"/>
                <w:szCs w:val="20"/>
              </w:rPr>
              <w:t xml:space="preserve">                                  </w:t>
            </w:r>
            <w:r w:rsidRPr="00611A1D">
              <w:rPr>
                <w:b/>
                <w:sz w:val="20"/>
                <w:szCs w:val="20"/>
              </w:rPr>
              <w:br/>
            </w:r>
            <w:r w:rsidR="003A0D04">
              <w:rPr>
                <w:rStyle w:val="Strong"/>
                <w:sz w:val="20"/>
                <w:szCs w:val="20"/>
              </w:rPr>
              <w:t>TRICIA PRIDEMORE</w:t>
            </w:r>
            <w:r>
              <w:rPr>
                <w:rStyle w:val="Strong"/>
                <w:rFonts w:ascii="Arial Black" w:hAnsi="Arial Black"/>
                <w:sz w:val="16"/>
                <w:szCs w:val="16"/>
              </w:rPr>
              <w:t xml:space="preserve">                          </w:t>
            </w:r>
            <w:r>
              <w:rPr>
                <w:rFonts w:ascii="Arial Black" w:hAnsi="Arial Black"/>
                <w:b/>
                <w:sz w:val="16"/>
                <w:szCs w:val="16"/>
              </w:rPr>
              <w:br/>
            </w:r>
          </w:p>
        </w:tc>
        <w:tc>
          <w:tcPr>
            <w:tcW w:w="2970" w:type="dxa"/>
            <w:hideMark/>
          </w:tcPr>
          <w:p w14:paraId="0E48A67F" w14:textId="77777777" w:rsidR="003F2763" w:rsidRDefault="008F38EF" w:rsidP="001C4F42">
            <w:pPr>
              <w:tabs>
                <w:tab w:val="left" w:pos="1410"/>
              </w:tabs>
              <w:spacing w:line="276" w:lineRule="auto"/>
            </w:pPr>
            <w:r>
              <w:t xml:space="preserve"> </w:t>
            </w:r>
            <w:r w:rsidR="0006325A">
              <w:t xml:space="preserve">   </w:t>
            </w:r>
            <w:r w:rsidR="001F00F3" w:rsidRPr="00A958CB">
              <w:rPr>
                <w:noProof/>
              </w:rPr>
              <w:drawing>
                <wp:inline distT="0" distB="0" distL="0" distR="0" wp14:anchorId="6258780E" wp14:editId="7702A765">
                  <wp:extent cx="1226190" cy="11798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PSC_seal_GOLD-single_color.png"/>
                          <pic:cNvPicPr/>
                        </pic:nvPicPr>
                        <pic:blipFill>
                          <a:blip r:embed="rId7" cstate="print">
                            <a:biLevel thresh="75000"/>
                            <a:extLst>
                              <a:ext uri="{BEBA8EAE-BF5A-486C-A8C5-ECC9F3942E4B}">
                                <a14:imgProps xmlns:a14="http://schemas.microsoft.com/office/drawing/2010/main">
                                  <a14:imgLayer r:embed="rId8">
                                    <a14:imgEffect>
                                      <a14:artisticCement/>
                                    </a14:imgEffect>
                                    <a14:imgEffect>
                                      <a14:colorTemperature colorTemp="5900"/>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265843" cy="1217984"/>
                          </a:xfrm>
                          <a:prstGeom prst="rect">
                            <a:avLst/>
                          </a:prstGeom>
                        </pic:spPr>
                      </pic:pic>
                    </a:graphicData>
                  </a:graphic>
                </wp:inline>
              </w:drawing>
            </w:r>
          </w:p>
        </w:tc>
        <w:tc>
          <w:tcPr>
            <w:tcW w:w="3728" w:type="dxa"/>
            <w:hideMark/>
          </w:tcPr>
          <w:p w14:paraId="1427FDC7" w14:textId="77777777" w:rsidR="00BA2A06" w:rsidRPr="00611A1D" w:rsidRDefault="00BA2A06" w:rsidP="00611A1D">
            <w:pPr>
              <w:spacing w:line="276" w:lineRule="auto"/>
              <w:rPr>
                <w:b/>
                <w:sz w:val="20"/>
                <w:szCs w:val="20"/>
              </w:rPr>
            </w:pPr>
          </w:p>
          <w:p w14:paraId="5D3F7224" w14:textId="77777777" w:rsidR="003F2763" w:rsidRPr="00611A1D" w:rsidRDefault="00467B71" w:rsidP="008065F6">
            <w:pPr>
              <w:spacing w:line="276" w:lineRule="auto"/>
              <w:jc w:val="right"/>
              <w:rPr>
                <w:b/>
                <w:sz w:val="20"/>
                <w:szCs w:val="20"/>
              </w:rPr>
            </w:pPr>
            <w:r w:rsidRPr="00611A1D">
              <w:rPr>
                <w:b/>
                <w:sz w:val="20"/>
                <w:szCs w:val="20"/>
              </w:rPr>
              <w:t>REECE McALISTER</w:t>
            </w:r>
            <w:r w:rsidR="003F2763" w:rsidRPr="00611A1D">
              <w:rPr>
                <w:b/>
                <w:sz w:val="20"/>
                <w:szCs w:val="20"/>
              </w:rPr>
              <w:t> </w:t>
            </w:r>
          </w:p>
          <w:p w14:paraId="660AA76B" w14:textId="77777777" w:rsidR="005529E4" w:rsidRPr="00611A1D" w:rsidRDefault="00467B71" w:rsidP="008065F6">
            <w:pPr>
              <w:spacing w:line="276" w:lineRule="auto"/>
              <w:jc w:val="right"/>
              <w:rPr>
                <w:b/>
                <w:sz w:val="20"/>
                <w:szCs w:val="20"/>
              </w:rPr>
            </w:pPr>
            <w:r w:rsidRPr="00611A1D">
              <w:rPr>
                <w:b/>
                <w:sz w:val="20"/>
                <w:szCs w:val="20"/>
              </w:rPr>
              <w:t>EXECUTIVE DIRECTOR</w:t>
            </w:r>
          </w:p>
          <w:p w14:paraId="41C593A1" w14:textId="77777777" w:rsidR="003F2763" w:rsidRPr="00611A1D" w:rsidRDefault="003F2763" w:rsidP="00467B71">
            <w:pPr>
              <w:spacing w:line="276" w:lineRule="auto"/>
              <w:jc w:val="right"/>
              <w:rPr>
                <w:sz w:val="20"/>
                <w:szCs w:val="20"/>
              </w:rPr>
            </w:pPr>
            <w:r w:rsidRPr="00611A1D">
              <w:rPr>
                <w:b/>
                <w:sz w:val="20"/>
                <w:szCs w:val="20"/>
              </w:rPr>
              <w:t xml:space="preserve"> </w:t>
            </w:r>
            <w:r w:rsidRPr="00611A1D">
              <w:rPr>
                <w:b/>
                <w:sz w:val="20"/>
                <w:szCs w:val="20"/>
              </w:rPr>
              <w:br/>
            </w:r>
            <w:r w:rsidR="00467B71" w:rsidRPr="00611A1D">
              <w:rPr>
                <w:b/>
                <w:sz w:val="20"/>
                <w:szCs w:val="20"/>
              </w:rPr>
              <w:t>SALLIE TANNER</w:t>
            </w:r>
            <w:r w:rsidRPr="00611A1D">
              <w:rPr>
                <w:b/>
                <w:sz w:val="20"/>
                <w:szCs w:val="20"/>
              </w:rPr>
              <w:br/>
              <w:t>EXECUTIVE SECRETARY</w:t>
            </w:r>
          </w:p>
        </w:tc>
      </w:tr>
      <w:tr w:rsidR="003F2763" w14:paraId="4F4DF02C" w14:textId="77777777" w:rsidTr="008065F6">
        <w:trPr>
          <w:trHeight w:val="772"/>
          <w:jc w:val="center"/>
        </w:trPr>
        <w:tc>
          <w:tcPr>
            <w:tcW w:w="11056" w:type="dxa"/>
            <w:gridSpan w:val="3"/>
            <w:hideMark/>
          </w:tcPr>
          <w:p w14:paraId="2414DC23" w14:textId="77777777" w:rsidR="003F2763" w:rsidRDefault="00897E9B" w:rsidP="0048564B">
            <w:pPr>
              <w:pStyle w:val="Heading1"/>
              <w:tabs>
                <w:tab w:val="left" w:pos="1410"/>
                <w:tab w:val="left" w:pos="5772"/>
              </w:tabs>
              <w:spacing w:line="276" w:lineRule="auto"/>
              <w:rPr>
                <w:rFonts w:ascii="Old English Text MT" w:hAnsi="Old English Text MT"/>
                <w:sz w:val="42"/>
              </w:rPr>
            </w:pPr>
            <w:r>
              <w:rPr>
                <w:rFonts w:ascii="Old English Text MT" w:hAnsi="Old English Text MT"/>
                <w:sz w:val="42"/>
              </w:rPr>
              <w:t xml:space="preserve">       </w:t>
            </w:r>
            <w:r w:rsidR="003F2763">
              <w:rPr>
                <w:rFonts w:ascii="Old English Text MT" w:hAnsi="Old English Text MT"/>
                <w:sz w:val="42"/>
              </w:rPr>
              <w:t>Georgia Public Service Commission</w:t>
            </w:r>
          </w:p>
        </w:tc>
      </w:tr>
      <w:tr w:rsidR="003F2763" w14:paraId="112B004E" w14:textId="77777777" w:rsidTr="008065F6">
        <w:trPr>
          <w:jc w:val="center"/>
        </w:trPr>
        <w:tc>
          <w:tcPr>
            <w:tcW w:w="4358" w:type="dxa"/>
            <w:hideMark/>
          </w:tcPr>
          <w:p w14:paraId="7C03B06E" w14:textId="77777777" w:rsidR="003F2763" w:rsidRDefault="003F2763" w:rsidP="008065F6">
            <w:pPr>
              <w:spacing w:line="276" w:lineRule="auto"/>
              <w:rPr>
                <w:rFonts w:cs="Arial"/>
                <w:b/>
                <w:bCs/>
                <w:sz w:val="17"/>
                <w:szCs w:val="17"/>
              </w:rPr>
            </w:pPr>
            <w:r>
              <w:rPr>
                <w:rFonts w:cs="Arial"/>
                <w:b/>
                <w:bCs/>
                <w:sz w:val="17"/>
                <w:szCs w:val="17"/>
              </w:rPr>
              <w:t>(404) 656-4501</w:t>
            </w:r>
          </w:p>
          <w:p w14:paraId="3494741B" w14:textId="77777777" w:rsidR="003F2763" w:rsidRDefault="003F2763" w:rsidP="008065F6">
            <w:pPr>
              <w:spacing w:line="276" w:lineRule="auto"/>
              <w:rPr>
                <w:rFonts w:cs="Arial"/>
                <w:b/>
                <w:bCs/>
              </w:rPr>
            </w:pPr>
            <w:r>
              <w:rPr>
                <w:rFonts w:cs="Arial"/>
                <w:b/>
                <w:bCs/>
                <w:sz w:val="17"/>
                <w:szCs w:val="17"/>
              </w:rPr>
              <w:t>(800) 282-5813</w:t>
            </w:r>
          </w:p>
        </w:tc>
        <w:tc>
          <w:tcPr>
            <w:tcW w:w="2970" w:type="dxa"/>
            <w:hideMark/>
          </w:tcPr>
          <w:p w14:paraId="3E370B4C" w14:textId="77777777" w:rsidR="003F2763" w:rsidRDefault="003F2763" w:rsidP="0048564B">
            <w:pPr>
              <w:tabs>
                <w:tab w:val="left" w:pos="1410"/>
              </w:tabs>
              <w:spacing w:line="276" w:lineRule="auto"/>
              <w:rPr>
                <w:rFonts w:cs="Arial"/>
                <w:b/>
                <w:sz w:val="17"/>
                <w:szCs w:val="17"/>
              </w:rPr>
            </w:pPr>
            <w:r>
              <w:rPr>
                <w:rFonts w:cs="Arial"/>
                <w:b/>
                <w:sz w:val="17"/>
                <w:szCs w:val="17"/>
              </w:rPr>
              <w:t>244 WASHINGTON STREET, SW</w:t>
            </w:r>
            <w:r>
              <w:rPr>
                <w:rFonts w:cs="Arial"/>
                <w:b/>
                <w:sz w:val="17"/>
                <w:szCs w:val="17"/>
              </w:rPr>
              <w:br/>
            </w:r>
            <w:smartTag w:uri="urn:schemas-microsoft-com:office:smarttags" w:element="City">
              <w:r>
                <w:rPr>
                  <w:rFonts w:cs="Arial"/>
                  <w:b/>
                  <w:sz w:val="17"/>
                  <w:szCs w:val="17"/>
                </w:rPr>
                <w:t>ATLANTA</w:t>
              </w:r>
            </w:smartTag>
            <w:r>
              <w:rPr>
                <w:rFonts w:cs="Arial"/>
                <w:b/>
                <w:sz w:val="17"/>
                <w:szCs w:val="17"/>
              </w:rPr>
              <w:t xml:space="preserve">, </w:t>
            </w:r>
            <w:smartTag w:uri="urn:schemas-microsoft-com:office:smarttags" w:element="country-region">
              <w:r>
                <w:rPr>
                  <w:rFonts w:cs="Arial"/>
                  <w:b/>
                  <w:sz w:val="17"/>
                  <w:szCs w:val="17"/>
                </w:rPr>
                <w:t>GEORGIA</w:t>
              </w:r>
            </w:smartTag>
            <w:r>
              <w:rPr>
                <w:rFonts w:cs="Arial"/>
                <w:b/>
                <w:sz w:val="17"/>
                <w:szCs w:val="17"/>
              </w:rPr>
              <w:t xml:space="preserve"> 30334-5701</w:t>
            </w:r>
          </w:p>
        </w:tc>
        <w:tc>
          <w:tcPr>
            <w:tcW w:w="3728" w:type="dxa"/>
            <w:hideMark/>
          </w:tcPr>
          <w:p w14:paraId="60B93421" w14:textId="77777777" w:rsidR="0011770D" w:rsidRDefault="0011770D" w:rsidP="0011770D">
            <w:pPr>
              <w:spacing w:line="276" w:lineRule="auto"/>
              <w:jc w:val="right"/>
              <w:rPr>
                <w:rFonts w:cs="Arial"/>
                <w:b/>
                <w:bCs/>
                <w:sz w:val="17"/>
                <w:szCs w:val="17"/>
              </w:rPr>
            </w:pPr>
            <w:r>
              <w:rPr>
                <w:rFonts w:cs="Arial"/>
                <w:b/>
                <w:bCs/>
                <w:sz w:val="17"/>
                <w:szCs w:val="17"/>
              </w:rPr>
              <w:t xml:space="preserve">FAX: </w:t>
            </w:r>
            <w:r w:rsidR="003F2763">
              <w:rPr>
                <w:rFonts w:cs="Arial"/>
                <w:b/>
                <w:bCs/>
                <w:sz w:val="17"/>
                <w:szCs w:val="17"/>
              </w:rPr>
              <w:t xml:space="preserve">(404) 656-2341                   </w:t>
            </w:r>
          </w:p>
          <w:p w14:paraId="3C11C7CE" w14:textId="77777777" w:rsidR="003F2763" w:rsidRDefault="003F2763" w:rsidP="0011770D">
            <w:pPr>
              <w:spacing w:line="276" w:lineRule="auto"/>
              <w:jc w:val="right"/>
              <w:rPr>
                <w:rFonts w:cs="Arial"/>
                <w:b/>
                <w:bCs/>
              </w:rPr>
            </w:pPr>
            <w:r>
              <w:rPr>
                <w:rFonts w:cs="Arial"/>
                <w:b/>
                <w:bCs/>
                <w:sz w:val="17"/>
                <w:szCs w:val="17"/>
              </w:rPr>
              <w:t>psc.ga.</w:t>
            </w:r>
            <w:r w:rsidR="0011770D">
              <w:rPr>
                <w:rFonts w:cs="Arial"/>
                <w:b/>
                <w:bCs/>
                <w:sz w:val="17"/>
                <w:szCs w:val="17"/>
              </w:rPr>
              <w:t>gov</w:t>
            </w:r>
          </w:p>
        </w:tc>
      </w:tr>
      <w:tr w:rsidR="0011770D" w14:paraId="4CC70E55" w14:textId="77777777" w:rsidTr="008065F6">
        <w:trPr>
          <w:jc w:val="center"/>
        </w:trPr>
        <w:tc>
          <w:tcPr>
            <w:tcW w:w="4358" w:type="dxa"/>
          </w:tcPr>
          <w:p w14:paraId="39B77B57" w14:textId="77777777" w:rsidR="0011770D" w:rsidRDefault="0011770D" w:rsidP="008065F6">
            <w:pPr>
              <w:spacing w:line="276" w:lineRule="auto"/>
              <w:rPr>
                <w:rFonts w:cs="Arial"/>
                <w:b/>
                <w:bCs/>
                <w:sz w:val="17"/>
                <w:szCs w:val="17"/>
              </w:rPr>
            </w:pPr>
          </w:p>
        </w:tc>
        <w:tc>
          <w:tcPr>
            <w:tcW w:w="2970" w:type="dxa"/>
          </w:tcPr>
          <w:p w14:paraId="4F038BA0" w14:textId="77777777" w:rsidR="0011770D" w:rsidRDefault="0011770D" w:rsidP="0048564B">
            <w:pPr>
              <w:tabs>
                <w:tab w:val="left" w:pos="1410"/>
              </w:tabs>
              <w:spacing w:line="276" w:lineRule="auto"/>
              <w:jc w:val="center"/>
              <w:rPr>
                <w:rFonts w:cs="Arial"/>
                <w:b/>
                <w:sz w:val="17"/>
                <w:szCs w:val="17"/>
              </w:rPr>
            </w:pPr>
          </w:p>
        </w:tc>
        <w:tc>
          <w:tcPr>
            <w:tcW w:w="3728" w:type="dxa"/>
          </w:tcPr>
          <w:p w14:paraId="56105CDB" w14:textId="77777777" w:rsidR="0011770D" w:rsidRDefault="0011770D" w:rsidP="0011770D">
            <w:pPr>
              <w:spacing w:line="276" w:lineRule="auto"/>
              <w:jc w:val="right"/>
              <w:rPr>
                <w:rFonts w:cs="Arial"/>
                <w:b/>
                <w:bCs/>
                <w:sz w:val="17"/>
                <w:szCs w:val="17"/>
              </w:rPr>
            </w:pPr>
          </w:p>
        </w:tc>
      </w:tr>
    </w:tbl>
    <w:p w14:paraId="0DA18061" w14:textId="77777777" w:rsidR="000919FF" w:rsidRPr="000919FF" w:rsidRDefault="000919FF" w:rsidP="000919FF">
      <w:pPr>
        <w:widowControl w:val="0"/>
        <w:rPr>
          <w:snapToGrid w:val="0"/>
          <w:szCs w:val="20"/>
        </w:rPr>
      </w:pPr>
    </w:p>
    <w:p w14:paraId="07C6CCAE" w14:textId="77777777" w:rsidR="000919FF" w:rsidRPr="000919FF" w:rsidRDefault="000919FF" w:rsidP="000919FF">
      <w:pPr>
        <w:widowControl w:val="0"/>
        <w:ind w:left="360"/>
        <w:rPr>
          <w:snapToGrid w:val="0"/>
          <w:szCs w:val="20"/>
        </w:rPr>
      </w:pPr>
    </w:p>
    <w:p w14:paraId="70A6DCF9" w14:textId="77777777" w:rsidR="000919FF" w:rsidRPr="000919FF" w:rsidRDefault="000919FF" w:rsidP="000919FF">
      <w:pPr>
        <w:widowControl w:val="0"/>
        <w:rPr>
          <w:snapToGrid w:val="0"/>
          <w:szCs w:val="20"/>
        </w:rPr>
      </w:pPr>
    </w:p>
    <w:p w14:paraId="4C781D78" w14:textId="77777777" w:rsidR="000919FF" w:rsidRPr="000919FF" w:rsidRDefault="000919FF" w:rsidP="000919FF">
      <w:pPr>
        <w:widowControl w:val="0"/>
        <w:ind w:left="360"/>
        <w:rPr>
          <w:snapToGrid w:val="0"/>
          <w:szCs w:val="20"/>
        </w:rPr>
      </w:pPr>
    </w:p>
    <w:p w14:paraId="661EFD8B" w14:textId="77777777" w:rsidR="000919FF" w:rsidRPr="000919FF" w:rsidRDefault="000919FF" w:rsidP="000919FF">
      <w:pPr>
        <w:spacing w:after="200"/>
        <w:rPr>
          <w:b/>
          <w:snapToGrid w:val="0"/>
        </w:rPr>
      </w:pPr>
    </w:p>
    <w:p w14:paraId="4DF1A4F9" w14:textId="77777777" w:rsidR="000919FF" w:rsidRPr="000919FF" w:rsidRDefault="000919FF" w:rsidP="000919FF">
      <w:pPr>
        <w:spacing w:after="200"/>
        <w:rPr>
          <w:b/>
          <w:snapToGrid w:val="0"/>
        </w:rPr>
      </w:pPr>
    </w:p>
    <w:p w14:paraId="4A52B860" w14:textId="77777777" w:rsidR="000919FF" w:rsidRPr="000919FF" w:rsidRDefault="000919FF" w:rsidP="000919FF">
      <w:pPr>
        <w:widowControl w:val="0"/>
        <w:ind w:left="2880" w:hanging="2880"/>
        <w:rPr>
          <w:b/>
          <w:bCs/>
          <w:snapToGrid w:val="0"/>
        </w:rPr>
      </w:pPr>
      <w:r w:rsidRPr="000919FF">
        <w:rPr>
          <w:b/>
          <w:bCs/>
          <w:snapToGrid w:val="0"/>
        </w:rPr>
        <w:t xml:space="preserve">DOCKET NO. 41559: </w:t>
      </w:r>
      <w:r w:rsidRPr="000919FF">
        <w:rPr>
          <w:b/>
          <w:bCs/>
          <w:snapToGrid w:val="0"/>
        </w:rPr>
        <w:tab/>
      </w:r>
      <w:r w:rsidRPr="000919FF">
        <w:rPr>
          <w:b/>
          <w:snapToGrid w:val="0"/>
          <w:szCs w:val="20"/>
        </w:rPr>
        <w:t>IN RE: ATLANTA GAS LIGHT COMPANY'S ECON-1 TARIFF</w:t>
      </w:r>
    </w:p>
    <w:p w14:paraId="6278257F" w14:textId="77777777" w:rsidR="000919FF" w:rsidRPr="000919FF" w:rsidRDefault="000919FF" w:rsidP="000919FF">
      <w:pPr>
        <w:spacing w:after="200"/>
        <w:rPr>
          <w:b/>
          <w:snapToGrid w:val="0"/>
        </w:rPr>
      </w:pPr>
    </w:p>
    <w:p w14:paraId="3643652F" w14:textId="77777777" w:rsidR="000919FF" w:rsidRPr="000919FF" w:rsidRDefault="000919FF" w:rsidP="000919FF">
      <w:pPr>
        <w:spacing w:after="200"/>
        <w:contextualSpacing/>
        <w:jc w:val="center"/>
        <w:rPr>
          <w:b/>
          <w:snapToGrid w:val="0"/>
        </w:rPr>
      </w:pPr>
      <w:r w:rsidRPr="000919FF">
        <w:rPr>
          <w:b/>
          <w:snapToGrid w:val="0"/>
        </w:rPr>
        <w:t>FINAL ORDER APPROVING ATLANTA GAS LIGHT COMPANY’S PETITION TO APPROVE JACKSON COUNTY PROJECT</w:t>
      </w:r>
      <w:bookmarkStart w:id="0" w:name="_Hlk29978879"/>
      <w:r w:rsidRPr="000919FF">
        <w:rPr>
          <w:b/>
          <w:snapToGrid w:val="0"/>
        </w:rPr>
        <w:t xml:space="preserve"> – REDSTONE MARKET</w:t>
      </w:r>
    </w:p>
    <w:p w14:paraId="528D9311" w14:textId="77777777" w:rsidR="000919FF" w:rsidRPr="000919FF" w:rsidRDefault="000919FF" w:rsidP="000919FF">
      <w:pPr>
        <w:spacing w:after="200"/>
        <w:contextualSpacing/>
        <w:jc w:val="center"/>
        <w:rPr>
          <w:b/>
          <w:snapToGrid w:val="0"/>
        </w:rPr>
      </w:pPr>
    </w:p>
    <w:p w14:paraId="1C4FC899" w14:textId="77777777" w:rsidR="000919FF" w:rsidRPr="000919FF" w:rsidRDefault="000919FF" w:rsidP="000919FF">
      <w:pPr>
        <w:numPr>
          <w:ilvl w:val="0"/>
          <w:numId w:val="2"/>
        </w:numPr>
        <w:spacing w:after="200"/>
        <w:contextualSpacing/>
        <w:jc w:val="center"/>
        <w:rPr>
          <w:b/>
        </w:rPr>
      </w:pPr>
      <w:r w:rsidRPr="000919FF">
        <w:rPr>
          <w:b/>
        </w:rPr>
        <w:t>Background/Recovery Mechanism</w:t>
      </w:r>
    </w:p>
    <w:p w14:paraId="3BCF4BC1" w14:textId="77777777" w:rsidR="000919FF" w:rsidRPr="000919FF" w:rsidRDefault="000919FF" w:rsidP="000919FF">
      <w:pPr>
        <w:widowControl w:val="0"/>
        <w:spacing w:after="200"/>
        <w:contextualSpacing/>
        <w:rPr>
          <w:snapToGrid w:val="0"/>
        </w:rPr>
      </w:pPr>
    </w:p>
    <w:p w14:paraId="1A9A1178" w14:textId="77777777" w:rsidR="000919FF" w:rsidRPr="000919FF" w:rsidRDefault="000919FF" w:rsidP="000919FF">
      <w:pPr>
        <w:widowControl w:val="0"/>
        <w:spacing w:after="200"/>
        <w:ind w:firstLine="720"/>
        <w:contextualSpacing/>
        <w:rPr>
          <w:snapToGrid w:val="0"/>
        </w:rPr>
      </w:pPr>
      <w:r w:rsidRPr="000919FF">
        <w:rPr>
          <w:snapToGrid w:val="0"/>
        </w:rPr>
        <w:t xml:space="preserve">On October 10, 2017, the Commission approved Atlanta Gas Light Company’s (“AGL”) Economic Development Tariff (“ECON-1 Tariff”) as part of efficiency changes to AGL’s customer growth initiatives. The ECON-1 Tariff, Section 27 of AGL’s tariff, was approved for large economic development projects with economic development parameters based on customer class, capital investment, new jobs created, and new gas load. The initial tariff allowed up to $15 million per year for ECON-1 Tariff projects. On August 28, 2023, the Commission approved changes to the ECON-1 Tariff that increased the annual limit to $25 million per year. </w:t>
      </w:r>
      <w:r w:rsidRPr="000919FF">
        <w:t xml:space="preserve">ECON-1 projects were approved to be recovered through a surcharge mechanism </w:t>
      </w:r>
      <w:proofErr w:type="gramStart"/>
      <w:r w:rsidRPr="000919FF">
        <w:t>similar to</w:t>
      </w:r>
      <w:proofErr w:type="gramEnd"/>
      <w:r w:rsidRPr="000919FF">
        <w:t xml:space="preserve"> the </w:t>
      </w:r>
      <w:proofErr w:type="spellStart"/>
      <w:r w:rsidRPr="000919FF">
        <w:t>i</w:t>
      </w:r>
      <w:proofErr w:type="spellEnd"/>
      <w:r w:rsidRPr="000919FF">
        <w:t xml:space="preserve">-CDP’s SRR rider, a known and approved recovery mechanism, to recover the ECON-1 rate base. </w:t>
      </w:r>
    </w:p>
    <w:p w14:paraId="239CE0B8" w14:textId="77777777" w:rsidR="000919FF" w:rsidRPr="000919FF" w:rsidRDefault="000919FF" w:rsidP="000919FF">
      <w:pPr>
        <w:widowControl w:val="0"/>
        <w:spacing w:after="200"/>
        <w:ind w:firstLine="720"/>
        <w:contextualSpacing/>
      </w:pPr>
    </w:p>
    <w:p w14:paraId="5465A831" w14:textId="77777777" w:rsidR="000919FF" w:rsidRPr="000919FF" w:rsidRDefault="000919FF" w:rsidP="000919FF">
      <w:pPr>
        <w:widowControl w:val="0"/>
        <w:spacing w:after="200"/>
        <w:ind w:firstLine="720"/>
        <w:contextualSpacing/>
      </w:pPr>
      <w:r w:rsidRPr="000919FF">
        <w:t>By October 1</w:t>
      </w:r>
      <w:r w:rsidRPr="000919FF">
        <w:rPr>
          <w:vertAlign w:val="superscript"/>
        </w:rPr>
        <w:t>st</w:t>
      </w:r>
      <w:r w:rsidRPr="000919FF">
        <w:t xml:space="preserve"> of each year, AGL will file a petition with the Commission to request a proposed update to the surcharge dollar amount, if necessary, with supporting information included in the filing. In keeping with base rates and past surcharge programs, including the SRR, the ECON-1 Rider rate recovery for each rate class shall be as follows:</w:t>
      </w:r>
    </w:p>
    <w:p w14:paraId="5AF2463A" w14:textId="77777777" w:rsidR="000919FF" w:rsidRPr="000919FF" w:rsidRDefault="000919FF" w:rsidP="000919FF">
      <w:pPr>
        <w:widowControl w:val="0"/>
        <w:spacing w:after="200"/>
        <w:ind w:firstLine="720"/>
        <w:contextualSpacing/>
        <w:rPr>
          <w:snapToGrid w:val="0"/>
        </w:rPr>
      </w:pPr>
    </w:p>
    <w:p w14:paraId="1B7D0487" w14:textId="77777777" w:rsidR="000919FF" w:rsidRPr="000919FF" w:rsidRDefault="000919FF" w:rsidP="000919FF">
      <w:pPr>
        <w:numPr>
          <w:ilvl w:val="0"/>
          <w:numId w:val="3"/>
        </w:numPr>
        <w:autoSpaceDE w:val="0"/>
        <w:autoSpaceDN w:val="0"/>
        <w:adjustRightInd w:val="0"/>
        <w:spacing w:after="200"/>
        <w:contextualSpacing/>
        <w:jc w:val="both"/>
      </w:pPr>
      <w:r w:rsidRPr="000919FF">
        <w:t>R-1, G-10, AG-1, and S-51 customers shall be charged an amount equal to</w:t>
      </w:r>
    </w:p>
    <w:p w14:paraId="26236046" w14:textId="77777777" w:rsidR="000919FF" w:rsidRPr="000919FF" w:rsidRDefault="000919FF" w:rsidP="000919FF">
      <w:pPr>
        <w:autoSpaceDE w:val="0"/>
        <w:autoSpaceDN w:val="0"/>
        <w:adjustRightInd w:val="0"/>
        <w:ind w:firstLine="720"/>
        <w:contextualSpacing/>
        <w:jc w:val="both"/>
      </w:pPr>
      <w:r w:rsidRPr="000919FF">
        <w:t>the approved ECON-1 rate.</w:t>
      </w:r>
    </w:p>
    <w:p w14:paraId="36311DDE" w14:textId="77777777" w:rsidR="000919FF" w:rsidRPr="000919FF" w:rsidRDefault="000919FF" w:rsidP="000919FF">
      <w:pPr>
        <w:autoSpaceDE w:val="0"/>
        <w:autoSpaceDN w:val="0"/>
        <w:adjustRightInd w:val="0"/>
        <w:ind w:left="720"/>
        <w:contextualSpacing/>
        <w:jc w:val="both"/>
      </w:pPr>
    </w:p>
    <w:p w14:paraId="1553AF95" w14:textId="77777777" w:rsidR="000919FF" w:rsidRPr="000919FF" w:rsidRDefault="000919FF" w:rsidP="000919FF">
      <w:pPr>
        <w:numPr>
          <w:ilvl w:val="0"/>
          <w:numId w:val="3"/>
        </w:numPr>
        <w:autoSpaceDE w:val="0"/>
        <w:autoSpaceDN w:val="0"/>
        <w:adjustRightInd w:val="0"/>
        <w:spacing w:after="200"/>
        <w:contextualSpacing/>
        <w:jc w:val="both"/>
      </w:pPr>
      <w:r w:rsidRPr="000919FF">
        <w:t>G-11 customers shall be charged an amount equal to three (3) times the</w:t>
      </w:r>
    </w:p>
    <w:p w14:paraId="4683AA1D" w14:textId="77777777" w:rsidR="000919FF" w:rsidRPr="000919FF" w:rsidRDefault="000919FF" w:rsidP="000919FF">
      <w:pPr>
        <w:autoSpaceDE w:val="0"/>
        <w:autoSpaceDN w:val="0"/>
        <w:adjustRightInd w:val="0"/>
        <w:ind w:firstLine="720"/>
        <w:contextualSpacing/>
        <w:jc w:val="both"/>
      </w:pPr>
      <w:r w:rsidRPr="000919FF">
        <w:t>approved ECON-1 rate.</w:t>
      </w:r>
    </w:p>
    <w:p w14:paraId="44220336" w14:textId="77777777" w:rsidR="000919FF" w:rsidRPr="000919FF" w:rsidRDefault="000919FF" w:rsidP="000919FF">
      <w:pPr>
        <w:autoSpaceDE w:val="0"/>
        <w:autoSpaceDN w:val="0"/>
        <w:adjustRightInd w:val="0"/>
        <w:contextualSpacing/>
        <w:jc w:val="both"/>
      </w:pPr>
    </w:p>
    <w:p w14:paraId="67E1FEF0" w14:textId="77777777" w:rsidR="000919FF" w:rsidRPr="000919FF" w:rsidRDefault="000919FF" w:rsidP="000919FF">
      <w:pPr>
        <w:numPr>
          <w:ilvl w:val="0"/>
          <w:numId w:val="3"/>
        </w:numPr>
        <w:autoSpaceDE w:val="0"/>
        <w:autoSpaceDN w:val="0"/>
        <w:adjustRightInd w:val="0"/>
        <w:spacing w:after="200"/>
        <w:contextualSpacing/>
        <w:jc w:val="both"/>
      </w:pPr>
      <w:r w:rsidRPr="000919FF">
        <w:t>G-12 customers shall be charged an amount equal to 25 times the</w:t>
      </w:r>
    </w:p>
    <w:p w14:paraId="63FE3299" w14:textId="77777777" w:rsidR="000919FF" w:rsidRPr="000919FF" w:rsidRDefault="000919FF" w:rsidP="000919FF">
      <w:pPr>
        <w:ind w:firstLine="720"/>
        <w:contextualSpacing/>
        <w:jc w:val="both"/>
      </w:pPr>
      <w:r w:rsidRPr="000919FF">
        <w:t>approved ECON-1 rate.</w:t>
      </w:r>
    </w:p>
    <w:p w14:paraId="29E809A0" w14:textId="77777777" w:rsidR="000919FF" w:rsidRPr="000919FF" w:rsidRDefault="000919FF" w:rsidP="000919FF">
      <w:pPr>
        <w:contextualSpacing/>
        <w:jc w:val="both"/>
      </w:pPr>
    </w:p>
    <w:p w14:paraId="45C60422" w14:textId="77777777" w:rsidR="000919FF" w:rsidRPr="000919FF" w:rsidRDefault="000919FF" w:rsidP="000919FF">
      <w:pPr>
        <w:ind w:firstLine="720"/>
        <w:contextualSpacing/>
        <w:jc w:val="both"/>
      </w:pPr>
      <w:r w:rsidRPr="000919FF">
        <w:t>The Staff will make a recommendation on the proposed surcharge amount, and the approved new rate will take effect on January 1</w:t>
      </w:r>
      <w:r w:rsidRPr="000919FF">
        <w:rPr>
          <w:vertAlign w:val="superscript"/>
        </w:rPr>
        <w:t>st</w:t>
      </w:r>
      <w:r w:rsidRPr="000919FF">
        <w:t xml:space="preserve"> of each year. </w:t>
      </w:r>
    </w:p>
    <w:p w14:paraId="5899715B" w14:textId="77777777" w:rsidR="000919FF" w:rsidRPr="000919FF" w:rsidRDefault="000919FF" w:rsidP="000919FF">
      <w:pPr>
        <w:contextualSpacing/>
        <w:jc w:val="both"/>
      </w:pPr>
    </w:p>
    <w:p w14:paraId="119E8435" w14:textId="77777777" w:rsidR="000919FF" w:rsidRPr="000919FF" w:rsidRDefault="000919FF" w:rsidP="000919FF">
      <w:pPr>
        <w:ind w:firstLine="720"/>
        <w:contextualSpacing/>
        <w:jc w:val="both"/>
      </w:pPr>
      <w:r w:rsidRPr="000919FF">
        <w:t xml:space="preserve">The proposed changes to the ECON-1 Tariff provide for quarterly reporting to be filed with the Commission </w:t>
      </w:r>
      <w:proofErr w:type="gramStart"/>
      <w:r w:rsidRPr="000919FF">
        <w:t>similar to</w:t>
      </w:r>
      <w:proofErr w:type="gramEnd"/>
      <w:r w:rsidRPr="000919FF">
        <w:t xml:space="preserve"> the SRR reporting requirements. This will allow the Commission Staff an opportunity to review the status of the approved projects and the tracking of the recovery through the surcharge for any imbalances to cost and recovery.</w:t>
      </w:r>
    </w:p>
    <w:p w14:paraId="0942980F" w14:textId="77777777" w:rsidR="000919FF" w:rsidRPr="000919FF" w:rsidRDefault="000919FF" w:rsidP="000919FF">
      <w:pPr>
        <w:spacing w:after="200"/>
        <w:contextualSpacing/>
        <w:rPr>
          <w:snapToGrid w:val="0"/>
        </w:rPr>
      </w:pPr>
    </w:p>
    <w:p w14:paraId="5AD030C5" w14:textId="77777777" w:rsidR="000919FF" w:rsidRPr="000919FF" w:rsidRDefault="000919FF" w:rsidP="000919FF">
      <w:pPr>
        <w:widowControl w:val="0"/>
        <w:numPr>
          <w:ilvl w:val="0"/>
          <w:numId w:val="2"/>
        </w:numPr>
        <w:spacing w:before="100" w:after="220"/>
        <w:contextualSpacing/>
        <w:jc w:val="center"/>
        <w:rPr>
          <w:b/>
        </w:rPr>
      </w:pPr>
      <w:bookmarkStart w:id="1" w:name="_Hlk176251937"/>
      <w:r w:rsidRPr="000919FF">
        <w:rPr>
          <w:b/>
        </w:rPr>
        <w:t>Jackson County Project</w:t>
      </w:r>
    </w:p>
    <w:p w14:paraId="7FEBCDAE" w14:textId="77777777" w:rsidR="000919FF" w:rsidRPr="000919FF" w:rsidRDefault="000919FF" w:rsidP="000919FF">
      <w:pPr>
        <w:spacing w:after="200"/>
        <w:ind w:firstLine="720"/>
        <w:contextualSpacing/>
        <w:jc w:val="both"/>
        <w:rPr>
          <w:snapToGrid w:val="0"/>
        </w:rPr>
      </w:pPr>
      <w:bookmarkStart w:id="2" w:name="OLE_LINK27"/>
      <w:r w:rsidRPr="000919FF">
        <w:rPr>
          <w:snapToGrid w:val="0"/>
        </w:rPr>
        <w:t xml:space="preserve">On August 15, 2024, AGL filed the Jackson County Project. </w:t>
      </w:r>
      <w:bookmarkStart w:id="3" w:name="OLE_LINK28"/>
      <w:r w:rsidRPr="000919FF">
        <w:rPr>
          <w:snapToGrid w:val="0"/>
        </w:rPr>
        <w:t xml:space="preserve">As part of the Jackson County Project, AGL petitioned to serve a multi-unit retail establishment in Athens, Georgia. </w:t>
      </w:r>
      <w:bookmarkEnd w:id="2"/>
      <w:bookmarkEnd w:id="3"/>
      <w:r w:rsidRPr="000919FF">
        <w:rPr>
          <w:snapToGrid w:val="0"/>
        </w:rPr>
        <w:t xml:space="preserve"> AGL stated that the retail development will be located within the city limits of Athens. The retail development will have six natural gas customers:</w:t>
      </w:r>
    </w:p>
    <w:p w14:paraId="143E7D6E" w14:textId="77777777" w:rsidR="000919FF" w:rsidRPr="000919FF" w:rsidRDefault="000919FF" w:rsidP="000919FF">
      <w:pPr>
        <w:numPr>
          <w:ilvl w:val="0"/>
          <w:numId w:val="5"/>
        </w:numPr>
        <w:spacing w:after="200"/>
        <w:contextualSpacing/>
        <w:jc w:val="both"/>
      </w:pPr>
      <w:r w:rsidRPr="000919FF">
        <w:t>Unnamed hotel</w:t>
      </w:r>
    </w:p>
    <w:p w14:paraId="3C5EAA1F" w14:textId="77777777" w:rsidR="000919FF" w:rsidRPr="000919FF" w:rsidRDefault="000919FF" w:rsidP="000919FF">
      <w:pPr>
        <w:numPr>
          <w:ilvl w:val="0"/>
          <w:numId w:val="5"/>
        </w:numPr>
        <w:spacing w:after="200"/>
        <w:contextualSpacing/>
        <w:jc w:val="both"/>
      </w:pPr>
      <w:r w:rsidRPr="000919FF">
        <w:t>The Silo restaurant</w:t>
      </w:r>
    </w:p>
    <w:p w14:paraId="16B133D7" w14:textId="77777777" w:rsidR="000919FF" w:rsidRPr="000919FF" w:rsidRDefault="000919FF" w:rsidP="000919FF">
      <w:pPr>
        <w:numPr>
          <w:ilvl w:val="0"/>
          <w:numId w:val="5"/>
        </w:numPr>
        <w:spacing w:after="200"/>
        <w:contextualSpacing/>
        <w:jc w:val="both"/>
      </w:pPr>
      <w:r w:rsidRPr="000919FF">
        <w:t>The Rustic Rooster restaurant</w:t>
      </w:r>
    </w:p>
    <w:p w14:paraId="271E8B02" w14:textId="77777777" w:rsidR="000919FF" w:rsidRPr="000919FF" w:rsidRDefault="000919FF" w:rsidP="000919FF">
      <w:pPr>
        <w:numPr>
          <w:ilvl w:val="0"/>
          <w:numId w:val="5"/>
        </w:numPr>
        <w:spacing w:after="200"/>
        <w:contextualSpacing/>
        <w:jc w:val="both"/>
      </w:pPr>
      <w:r w:rsidRPr="000919FF">
        <w:t>St. Mary’s medical facility</w:t>
      </w:r>
    </w:p>
    <w:p w14:paraId="59C7A5A4" w14:textId="77777777" w:rsidR="000919FF" w:rsidRPr="000919FF" w:rsidRDefault="000919FF" w:rsidP="000919FF">
      <w:pPr>
        <w:numPr>
          <w:ilvl w:val="0"/>
          <w:numId w:val="5"/>
        </w:numPr>
        <w:spacing w:after="200"/>
        <w:contextualSpacing/>
        <w:jc w:val="both"/>
      </w:pPr>
      <w:r w:rsidRPr="000919FF">
        <w:t>Ace Hardware</w:t>
      </w:r>
    </w:p>
    <w:p w14:paraId="5B2A5D38" w14:textId="77777777" w:rsidR="000919FF" w:rsidRPr="000919FF" w:rsidRDefault="000919FF" w:rsidP="000919FF">
      <w:pPr>
        <w:numPr>
          <w:ilvl w:val="0"/>
          <w:numId w:val="5"/>
        </w:numPr>
        <w:spacing w:after="200"/>
        <w:contextualSpacing/>
        <w:jc w:val="both"/>
      </w:pPr>
      <w:r w:rsidRPr="000919FF">
        <w:t xml:space="preserve">Stripling’s country store with gasoline sales named Redstone Market.  </w:t>
      </w:r>
    </w:p>
    <w:p w14:paraId="0347029E" w14:textId="77777777" w:rsidR="000919FF" w:rsidRPr="000919FF" w:rsidRDefault="000919FF" w:rsidP="000919FF">
      <w:pPr>
        <w:tabs>
          <w:tab w:val="left" w:pos="2424"/>
        </w:tabs>
        <w:spacing w:after="200"/>
        <w:contextualSpacing/>
        <w:jc w:val="both"/>
        <w:rPr>
          <w:snapToGrid w:val="0"/>
        </w:rPr>
      </w:pPr>
    </w:p>
    <w:p w14:paraId="563C0FA2" w14:textId="77777777" w:rsidR="000919FF" w:rsidRPr="000919FF" w:rsidRDefault="000919FF" w:rsidP="000919FF">
      <w:pPr>
        <w:spacing w:after="200"/>
        <w:ind w:firstLine="720"/>
        <w:contextualSpacing/>
        <w:jc w:val="both"/>
        <w:rPr>
          <w:snapToGrid w:val="0"/>
        </w:rPr>
      </w:pPr>
      <w:r w:rsidRPr="000919FF">
        <w:rPr>
          <w:snapToGrid w:val="0"/>
        </w:rPr>
        <w:t xml:space="preserve">AGL’s petition further stated that the Jackson County Project qualified for approval under Section 3.C. of the ECON-1 Tariff as customers in the G-11 rate class, or the Commercial Class. The estimated total customer capital investment amount for this project is </w:t>
      </w:r>
      <w:r w:rsidRPr="000919FF">
        <w:rPr>
          <w:b/>
          <w:bCs/>
          <w:snapToGrid w:val="0"/>
        </w:rPr>
        <w:t>$18,500,000</w:t>
      </w:r>
      <w:r w:rsidRPr="000919FF">
        <w:rPr>
          <w:snapToGrid w:val="0"/>
        </w:rPr>
        <w:t xml:space="preserve"> with a minimum required investment of $1 million. The six (6) combined customers are expected to add approximately </w:t>
      </w:r>
      <w:r w:rsidRPr="000919FF">
        <w:rPr>
          <w:b/>
          <w:bCs/>
          <w:snapToGrid w:val="0"/>
        </w:rPr>
        <w:t xml:space="preserve">270 </w:t>
      </w:r>
      <w:r w:rsidRPr="000919FF">
        <w:rPr>
          <w:snapToGrid w:val="0"/>
        </w:rPr>
        <w:t xml:space="preserve">jobs to the local community, surpassing the minimum requirement of 10 jobs. AGL anticipates that the tax base for this project will be approximately </w:t>
      </w:r>
      <w:r w:rsidRPr="000919FF">
        <w:rPr>
          <w:b/>
          <w:bCs/>
          <w:snapToGrid w:val="0"/>
        </w:rPr>
        <w:t>$500,000</w:t>
      </w:r>
      <w:r w:rsidRPr="000919FF">
        <w:rPr>
          <w:snapToGrid w:val="0"/>
        </w:rPr>
        <w:t xml:space="preserve">, exceeding the minimum required tax base of </w:t>
      </w:r>
      <w:r w:rsidRPr="000919FF">
        <w:rPr>
          <w:b/>
          <w:bCs/>
          <w:snapToGrid w:val="0"/>
        </w:rPr>
        <w:t>$20,000</w:t>
      </w:r>
      <w:r w:rsidRPr="000919FF">
        <w:rPr>
          <w:snapToGrid w:val="0"/>
        </w:rPr>
        <w:t xml:space="preserve">. The combined load for the six (6) customers is expected to be approximately </w:t>
      </w:r>
      <w:r w:rsidRPr="000919FF">
        <w:rPr>
          <w:b/>
          <w:bCs/>
          <w:snapToGrid w:val="0"/>
        </w:rPr>
        <w:t>12,610</w:t>
      </w:r>
      <w:r w:rsidRPr="000919FF">
        <w:rPr>
          <w:snapToGrid w:val="0"/>
        </w:rPr>
        <w:t xml:space="preserve"> dekatherms per year on a Firm basis exceeding the required minimum of 10 dekatherms.</w:t>
      </w:r>
    </w:p>
    <w:p w14:paraId="5930A872" w14:textId="77777777" w:rsidR="000919FF" w:rsidRPr="000919FF" w:rsidRDefault="000919FF" w:rsidP="000919FF">
      <w:pPr>
        <w:spacing w:after="200"/>
        <w:ind w:firstLine="720"/>
        <w:contextualSpacing/>
        <w:jc w:val="both"/>
        <w:rPr>
          <w:snapToGrid w:val="0"/>
        </w:rPr>
      </w:pPr>
    </w:p>
    <w:p w14:paraId="3ABB1227" w14:textId="77777777" w:rsidR="000919FF" w:rsidRPr="000919FF" w:rsidRDefault="000919FF" w:rsidP="000919FF">
      <w:pPr>
        <w:spacing w:after="200"/>
        <w:ind w:firstLine="720"/>
        <w:contextualSpacing/>
        <w:jc w:val="both"/>
        <w:rPr>
          <w:snapToGrid w:val="0"/>
        </w:rPr>
      </w:pPr>
      <w:proofErr w:type="gramStart"/>
      <w:r w:rsidRPr="000919FF">
        <w:rPr>
          <w:snapToGrid w:val="0"/>
        </w:rPr>
        <w:t>In order to</w:t>
      </w:r>
      <w:proofErr w:type="gramEnd"/>
      <w:r w:rsidRPr="000919FF">
        <w:rPr>
          <w:snapToGrid w:val="0"/>
        </w:rPr>
        <w:t xml:space="preserve"> serve this commercial development, AGL proposes the following: </w:t>
      </w:r>
    </w:p>
    <w:p w14:paraId="35B43BDC" w14:textId="77777777" w:rsidR="000919FF" w:rsidRPr="000919FF" w:rsidRDefault="000919FF" w:rsidP="000919FF">
      <w:pPr>
        <w:numPr>
          <w:ilvl w:val="0"/>
          <w:numId w:val="6"/>
        </w:numPr>
        <w:spacing w:after="200"/>
        <w:contextualSpacing/>
        <w:jc w:val="both"/>
      </w:pPr>
      <w:r w:rsidRPr="000919FF">
        <w:t xml:space="preserve">AGL will tie-into an existing 4” plastic main located at the intersection of Lebanon Church Road and Bellamy Road. </w:t>
      </w:r>
    </w:p>
    <w:p w14:paraId="5E692AA8" w14:textId="77777777" w:rsidR="000919FF" w:rsidRPr="000919FF" w:rsidRDefault="000919FF" w:rsidP="000919FF">
      <w:pPr>
        <w:ind w:left="1080"/>
        <w:contextualSpacing/>
        <w:jc w:val="both"/>
      </w:pPr>
    </w:p>
    <w:p w14:paraId="039650AB" w14:textId="77777777" w:rsidR="000919FF" w:rsidRPr="000919FF" w:rsidRDefault="000919FF" w:rsidP="000919FF">
      <w:pPr>
        <w:numPr>
          <w:ilvl w:val="0"/>
          <w:numId w:val="6"/>
        </w:numPr>
        <w:spacing w:after="200"/>
        <w:contextualSpacing/>
        <w:jc w:val="both"/>
      </w:pPr>
      <w:r w:rsidRPr="000919FF">
        <w:t xml:space="preserve">AGL will also install approximately 3,833 feet of 4” plastic main (MAOP 60 psi) along Lebanon Church Road and Jefferson Road to reach the site. </w:t>
      </w:r>
    </w:p>
    <w:p w14:paraId="38A1573C" w14:textId="77777777" w:rsidR="000919FF" w:rsidRPr="000919FF" w:rsidRDefault="000919FF" w:rsidP="000919FF">
      <w:pPr>
        <w:ind w:left="1080"/>
        <w:contextualSpacing/>
        <w:jc w:val="both"/>
      </w:pPr>
    </w:p>
    <w:p w14:paraId="209C6B98" w14:textId="77777777" w:rsidR="000919FF" w:rsidRPr="000919FF" w:rsidRDefault="000919FF" w:rsidP="000919FF">
      <w:pPr>
        <w:numPr>
          <w:ilvl w:val="0"/>
          <w:numId w:val="6"/>
        </w:numPr>
        <w:spacing w:after="200"/>
        <w:contextualSpacing/>
        <w:jc w:val="both"/>
      </w:pPr>
      <w:r w:rsidRPr="000919FF">
        <w:t xml:space="preserve">AGL estimates that the Jackson County Project can be completed for approximately </w:t>
      </w:r>
      <w:r w:rsidRPr="000919FF">
        <w:rPr>
          <w:b/>
          <w:bCs/>
        </w:rPr>
        <w:t xml:space="preserve">$570,000 </w:t>
      </w:r>
      <w:r w:rsidRPr="000919FF">
        <w:t xml:space="preserve">as indicated in the attached estimate. AGL stated that it is certificated to serve the relevant area of Jackson County. The Company conducted an analysis of this project under its Tariff Rule 8 which indicated that the Customer would owe a contribution in aid of construction of approximately </w:t>
      </w:r>
      <w:r w:rsidRPr="000919FF">
        <w:rPr>
          <w:b/>
          <w:bCs/>
        </w:rPr>
        <w:t>$100,000</w:t>
      </w:r>
      <w:r w:rsidRPr="000919FF">
        <w:t>.</w:t>
      </w:r>
    </w:p>
    <w:bookmarkEnd w:id="1"/>
    <w:p w14:paraId="2BD8750B" w14:textId="77777777" w:rsidR="000919FF" w:rsidRPr="000919FF" w:rsidRDefault="000919FF" w:rsidP="000919FF">
      <w:pPr>
        <w:spacing w:after="200"/>
        <w:contextualSpacing/>
        <w:jc w:val="both"/>
        <w:rPr>
          <w:snapToGrid w:val="0"/>
        </w:rPr>
      </w:pPr>
    </w:p>
    <w:p w14:paraId="2A0F0422" w14:textId="77777777" w:rsidR="000919FF" w:rsidRPr="000919FF" w:rsidRDefault="000919FF" w:rsidP="000919FF">
      <w:pPr>
        <w:widowControl w:val="0"/>
        <w:numPr>
          <w:ilvl w:val="0"/>
          <w:numId w:val="2"/>
        </w:numPr>
        <w:spacing w:before="100" w:after="100"/>
        <w:contextualSpacing/>
        <w:jc w:val="center"/>
        <w:rPr>
          <w:b/>
          <w:snapToGrid w:val="0"/>
        </w:rPr>
      </w:pPr>
      <w:r w:rsidRPr="000919FF">
        <w:rPr>
          <w:b/>
          <w:snapToGrid w:val="0"/>
        </w:rPr>
        <w:t>Staff's Analysis</w:t>
      </w:r>
    </w:p>
    <w:p w14:paraId="1D1E5DBA" w14:textId="77777777" w:rsidR="000919FF" w:rsidRPr="000919FF" w:rsidRDefault="000919FF" w:rsidP="000919FF">
      <w:pPr>
        <w:contextualSpacing/>
        <w:rPr>
          <w:b/>
          <w:color w:val="000000"/>
          <w:shd w:val="clear" w:color="auto" w:fill="FFFFFF"/>
        </w:rPr>
      </w:pPr>
    </w:p>
    <w:p w14:paraId="30FE6616" w14:textId="77777777" w:rsidR="000919FF" w:rsidRPr="000919FF" w:rsidRDefault="000919FF" w:rsidP="000919FF">
      <w:pPr>
        <w:numPr>
          <w:ilvl w:val="0"/>
          <w:numId w:val="4"/>
        </w:numPr>
        <w:spacing w:after="200"/>
        <w:contextualSpacing/>
        <w:rPr>
          <w:b/>
          <w:color w:val="000000"/>
          <w:shd w:val="clear" w:color="auto" w:fill="FFFFFF"/>
        </w:rPr>
      </w:pPr>
      <w:r w:rsidRPr="000919FF">
        <w:rPr>
          <w:b/>
          <w:color w:val="000000"/>
          <w:shd w:val="clear" w:color="auto" w:fill="FFFFFF"/>
        </w:rPr>
        <w:t>Project Analysis</w:t>
      </w:r>
    </w:p>
    <w:p w14:paraId="2A9F38B4" w14:textId="77777777" w:rsidR="000919FF" w:rsidRPr="000919FF" w:rsidRDefault="000919FF" w:rsidP="000919FF">
      <w:pPr>
        <w:ind w:firstLine="720"/>
        <w:contextualSpacing/>
        <w:rPr>
          <w:bCs/>
          <w:color w:val="000000"/>
          <w:shd w:val="clear" w:color="auto" w:fill="FFFFFF"/>
        </w:rPr>
      </w:pPr>
    </w:p>
    <w:p w14:paraId="394F1BA5" w14:textId="77777777" w:rsidR="000919FF" w:rsidRPr="000919FF" w:rsidRDefault="000919FF" w:rsidP="000919FF">
      <w:pPr>
        <w:ind w:firstLine="720"/>
        <w:contextualSpacing/>
        <w:rPr>
          <w:bCs/>
          <w:color w:val="000000"/>
          <w:shd w:val="clear" w:color="auto" w:fill="FFFFFF"/>
        </w:rPr>
      </w:pPr>
      <w:r w:rsidRPr="000919FF">
        <w:rPr>
          <w:bCs/>
          <w:color w:val="000000"/>
          <w:shd w:val="clear" w:color="auto" w:fill="FFFFFF"/>
        </w:rPr>
        <w:t xml:space="preserve">The Staff reviewed the filing and found it to be whole and complete. The Jackson County Project is unique because six (6) companies are seeking natural gas service while simultaneously seeking funding under the ECON-1 tariff. AGL’s ECON-1 minimum filing requirements (“MFRs”) included the aggregate dollar amounts for the six (6) companies. The Staff requested that AGL file a revised Section 27(3) for each of the six (6) companies to show the contribution of each company to the </w:t>
      </w:r>
      <w:proofErr w:type="spellStart"/>
      <w:r w:rsidRPr="000919FF">
        <w:rPr>
          <w:bCs/>
          <w:color w:val="000000"/>
          <w:shd w:val="clear" w:color="auto" w:fill="FFFFFF"/>
        </w:rPr>
        <w:t>MFRs.</w:t>
      </w:r>
      <w:proofErr w:type="spellEnd"/>
      <w:r w:rsidRPr="000919FF">
        <w:rPr>
          <w:bCs/>
          <w:color w:val="000000"/>
          <w:shd w:val="clear" w:color="auto" w:fill="FFFFFF"/>
        </w:rPr>
        <w:t xml:space="preserve"> </w:t>
      </w:r>
    </w:p>
    <w:p w14:paraId="2AE46302" w14:textId="77777777" w:rsidR="000919FF" w:rsidRPr="000919FF" w:rsidRDefault="000919FF" w:rsidP="000919FF">
      <w:pPr>
        <w:ind w:firstLine="720"/>
        <w:contextualSpacing/>
        <w:rPr>
          <w:bCs/>
          <w:color w:val="000000"/>
          <w:shd w:val="clear" w:color="auto" w:fill="FFFFFF"/>
        </w:rPr>
      </w:pPr>
    </w:p>
    <w:p w14:paraId="16B703F1" w14:textId="77777777" w:rsidR="000919FF" w:rsidRPr="000919FF" w:rsidRDefault="000919FF" w:rsidP="000919FF">
      <w:pPr>
        <w:ind w:firstLine="720"/>
        <w:contextualSpacing/>
        <w:rPr>
          <w:bCs/>
          <w:color w:val="000000"/>
          <w:shd w:val="clear" w:color="auto" w:fill="FFFFFF"/>
        </w:rPr>
      </w:pPr>
      <w:r w:rsidRPr="000919FF">
        <w:rPr>
          <w:bCs/>
          <w:color w:val="000000"/>
          <w:shd w:val="clear" w:color="auto" w:fill="FFFFFF"/>
        </w:rPr>
        <w:t xml:space="preserve">On August 28, 2024, AGL filed an amended Jackson County Project that provided the requested revised Section 27(3) for each of the six (6) companies, breaking out their contribution to the </w:t>
      </w:r>
      <w:proofErr w:type="spellStart"/>
      <w:r w:rsidRPr="000919FF">
        <w:rPr>
          <w:bCs/>
          <w:color w:val="000000"/>
          <w:shd w:val="clear" w:color="auto" w:fill="FFFFFF"/>
        </w:rPr>
        <w:t>MFRs.</w:t>
      </w:r>
      <w:proofErr w:type="spellEnd"/>
      <w:r w:rsidRPr="000919FF">
        <w:rPr>
          <w:bCs/>
          <w:color w:val="000000"/>
          <w:shd w:val="clear" w:color="auto" w:fill="FFFFFF"/>
        </w:rPr>
        <w:t xml:space="preserve"> The Staff found no issues with the amended filing. </w:t>
      </w:r>
      <w:r w:rsidRPr="000919FF">
        <w:rPr>
          <w:b/>
          <w:color w:val="000000"/>
          <w:shd w:val="clear" w:color="auto" w:fill="FFFFFF"/>
        </w:rPr>
        <w:t>Table-1</w:t>
      </w:r>
      <w:r w:rsidRPr="000919FF">
        <w:rPr>
          <w:bCs/>
          <w:color w:val="000000"/>
          <w:shd w:val="clear" w:color="auto" w:fill="FFFFFF"/>
        </w:rPr>
        <w:t xml:space="preserve"> below compares requirements of Section 3(C) and Section 4 of the MFRs to AGL’s filing. The filing met </w:t>
      </w:r>
      <w:proofErr w:type="gramStart"/>
      <w:r w:rsidRPr="000919FF">
        <w:rPr>
          <w:bCs/>
          <w:color w:val="000000"/>
          <w:shd w:val="clear" w:color="auto" w:fill="FFFFFF"/>
        </w:rPr>
        <w:t>all of</w:t>
      </w:r>
      <w:proofErr w:type="gramEnd"/>
      <w:r w:rsidRPr="000919FF">
        <w:rPr>
          <w:bCs/>
          <w:color w:val="000000"/>
          <w:shd w:val="clear" w:color="auto" w:fill="FFFFFF"/>
        </w:rPr>
        <w:t xml:space="preserve"> the MFRs requirements. </w:t>
      </w:r>
    </w:p>
    <w:p w14:paraId="061F0195" w14:textId="77777777" w:rsidR="000919FF" w:rsidRPr="000919FF" w:rsidRDefault="000919FF" w:rsidP="000919FF">
      <w:pPr>
        <w:contextualSpacing/>
        <w:rPr>
          <w:bCs/>
          <w:color w:val="000000"/>
          <w:shd w:val="clear" w:color="auto" w:fill="FFFFFF"/>
        </w:rPr>
      </w:pPr>
    </w:p>
    <w:p w14:paraId="6E8C5A1D" w14:textId="77777777" w:rsidR="000919FF" w:rsidRPr="000919FF" w:rsidRDefault="000919FF" w:rsidP="000919FF">
      <w:pPr>
        <w:widowControl w:val="0"/>
        <w:spacing w:before="100" w:after="100"/>
        <w:contextualSpacing/>
        <w:rPr>
          <w:snapToGrid w:val="0"/>
        </w:rPr>
      </w:pPr>
      <w:bookmarkStart w:id="4" w:name="_Hlk164236009"/>
      <w:r w:rsidRPr="000919FF">
        <w:rPr>
          <w:b/>
          <w:snapToGrid w:val="0"/>
        </w:rPr>
        <w:t>Table-1: AGL’s ECON-1 Tariff Section 3(C</w:t>
      </w:r>
      <w:r w:rsidRPr="000919FF">
        <w:rPr>
          <w:snapToGrid w:val="0"/>
        </w:rPr>
        <w:t xml:space="preserve">) </w:t>
      </w:r>
      <w:r w:rsidRPr="000919FF">
        <w:rPr>
          <w:b/>
          <w:bCs/>
          <w:snapToGrid w:val="0"/>
        </w:rPr>
        <w:t>&amp; 4</w:t>
      </w:r>
    </w:p>
    <w:bookmarkEnd w:id="4"/>
    <w:p w14:paraId="1969F217" w14:textId="77777777" w:rsidR="000919FF" w:rsidRPr="000919FF" w:rsidRDefault="000919FF" w:rsidP="000919FF">
      <w:pPr>
        <w:contextualSpacing/>
        <w:rPr>
          <w:bCs/>
          <w:color w:val="000000"/>
          <w:shd w:val="clear" w:color="auto" w:fill="FFFFFF"/>
        </w:rPr>
      </w:pPr>
      <w:r w:rsidRPr="000919FF">
        <w:rPr>
          <w:bCs/>
          <w:noProof/>
          <w:color w:val="000000"/>
          <w:shd w:val="clear" w:color="auto" w:fill="FFFFFF"/>
        </w:rPr>
        <w:drawing>
          <wp:inline distT="0" distB="0" distL="0" distR="0" wp14:anchorId="417CC29C" wp14:editId="6A42A5AC">
            <wp:extent cx="5894920" cy="3474720"/>
            <wp:effectExtent l="0" t="0" r="0" b="0"/>
            <wp:docPr id="652480893"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480893" name="Picture 1" descr="Table&#10;&#10;Description automatically generated"/>
                    <pic:cNvPicPr/>
                  </pic:nvPicPr>
                  <pic:blipFill>
                    <a:blip r:embed="rId9"/>
                    <a:stretch>
                      <a:fillRect/>
                    </a:stretch>
                  </pic:blipFill>
                  <pic:spPr>
                    <a:xfrm>
                      <a:off x="0" y="0"/>
                      <a:ext cx="5925881" cy="3492970"/>
                    </a:xfrm>
                    <a:prstGeom prst="rect">
                      <a:avLst/>
                    </a:prstGeom>
                  </pic:spPr>
                </pic:pic>
              </a:graphicData>
            </a:graphic>
          </wp:inline>
        </w:drawing>
      </w:r>
    </w:p>
    <w:p w14:paraId="10791109" w14:textId="77777777" w:rsidR="000919FF" w:rsidRPr="000919FF" w:rsidRDefault="000919FF" w:rsidP="000919FF">
      <w:pPr>
        <w:contextualSpacing/>
        <w:rPr>
          <w:bCs/>
          <w:color w:val="000000"/>
          <w:shd w:val="clear" w:color="auto" w:fill="FFFFFF"/>
        </w:rPr>
      </w:pPr>
    </w:p>
    <w:p w14:paraId="0F8F2DFC" w14:textId="77777777" w:rsidR="000919FF" w:rsidRPr="000919FF" w:rsidRDefault="000919FF" w:rsidP="000919FF">
      <w:pPr>
        <w:contextualSpacing/>
        <w:rPr>
          <w:bCs/>
          <w:color w:val="000000"/>
          <w:shd w:val="clear" w:color="auto" w:fill="FFFFFF"/>
        </w:rPr>
      </w:pPr>
      <w:r w:rsidRPr="000919FF">
        <w:rPr>
          <w:bCs/>
          <w:noProof/>
          <w:color w:val="000000"/>
          <w:shd w:val="clear" w:color="auto" w:fill="FFFFFF"/>
        </w:rPr>
        <w:drawing>
          <wp:inline distT="0" distB="0" distL="0" distR="0" wp14:anchorId="19DAB0DF" wp14:editId="75C01860">
            <wp:extent cx="5859780" cy="3261693"/>
            <wp:effectExtent l="0" t="0" r="7620" b="0"/>
            <wp:docPr id="44054526"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54526" name="Picture 1" descr="Table&#10;&#10;Description automatically generated"/>
                    <pic:cNvPicPr/>
                  </pic:nvPicPr>
                  <pic:blipFill>
                    <a:blip r:embed="rId10"/>
                    <a:stretch>
                      <a:fillRect/>
                    </a:stretch>
                  </pic:blipFill>
                  <pic:spPr>
                    <a:xfrm>
                      <a:off x="0" y="0"/>
                      <a:ext cx="5909582" cy="3289414"/>
                    </a:xfrm>
                    <a:prstGeom prst="rect">
                      <a:avLst/>
                    </a:prstGeom>
                  </pic:spPr>
                </pic:pic>
              </a:graphicData>
            </a:graphic>
          </wp:inline>
        </w:drawing>
      </w:r>
    </w:p>
    <w:p w14:paraId="02E3DA5E" w14:textId="77777777" w:rsidR="000919FF" w:rsidRPr="000919FF" w:rsidRDefault="000919FF" w:rsidP="000919FF">
      <w:pPr>
        <w:contextualSpacing/>
        <w:rPr>
          <w:bCs/>
          <w:color w:val="000000"/>
          <w:shd w:val="clear" w:color="auto" w:fill="FFFFFF"/>
        </w:rPr>
      </w:pPr>
    </w:p>
    <w:p w14:paraId="7A3CF600" w14:textId="77777777" w:rsidR="000919FF" w:rsidRPr="000919FF" w:rsidRDefault="000919FF" w:rsidP="000919FF">
      <w:pPr>
        <w:ind w:firstLine="720"/>
        <w:contextualSpacing/>
        <w:rPr>
          <w:bCs/>
          <w:color w:val="000000"/>
          <w:shd w:val="clear" w:color="auto" w:fill="FFFFFF"/>
        </w:rPr>
      </w:pPr>
      <w:r w:rsidRPr="000919FF">
        <w:rPr>
          <w:bCs/>
          <w:color w:val="000000"/>
          <w:shd w:val="clear" w:color="auto" w:fill="FFFFFF"/>
        </w:rPr>
        <w:t xml:space="preserve">AGL provided a map of the project, and the Staff reviewed Google Maps of the location. </w:t>
      </w:r>
    </w:p>
    <w:p w14:paraId="0FB66480" w14:textId="77777777" w:rsidR="000919FF" w:rsidRPr="000919FF" w:rsidRDefault="000919FF" w:rsidP="000919FF">
      <w:pPr>
        <w:contextualSpacing/>
        <w:rPr>
          <w:bCs/>
          <w:color w:val="000000"/>
          <w:shd w:val="clear" w:color="auto" w:fill="FFFFFF"/>
        </w:rPr>
      </w:pPr>
    </w:p>
    <w:p w14:paraId="633A4EB3" w14:textId="77777777" w:rsidR="000919FF" w:rsidRPr="000919FF" w:rsidRDefault="000919FF" w:rsidP="000919FF">
      <w:pPr>
        <w:contextualSpacing/>
        <w:rPr>
          <w:bCs/>
          <w:color w:val="000000"/>
          <w:shd w:val="clear" w:color="auto" w:fill="FFFFFF"/>
        </w:rPr>
      </w:pPr>
    </w:p>
    <w:p w14:paraId="4EEA1ED0" w14:textId="77777777" w:rsidR="000919FF" w:rsidRPr="000919FF" w:rsidRDefault="000919FF" w:rsidP="000919FF">
      <w:pPr>
        <w:numPr>
          <w:ilvl w:val="0"/>
          <w:numId w:val="4"/>
        </w:numPr>
        <w:spacing w:after="200"/>
        <w:contextualSpacing/>
        <w:rPr>
          <w:b/>
          <w:color w:val="000000"/>
          <w:shd w:val="clear" w:color="auto" w:fill="FFFFFF"/>
        </w:rPr>
      </w:pPr>
      <w:r w:rsidRPr="000919FF">
        <w:rPr>
          <w:b/>
          <w:color w:val="000000"/>
          <w:shd w:val="clear" w:color="auto" w:fill="FFFFFF"/>
        </w:rPr>
        <w:t>ECON-1 Recovery Rider Analysis</w:t>
      </w:r>
    </w:p>
    <w:p w14:paraId="06AD0016" w14:textId="77777777" w:rsidR="000919FF" w:rsidRPr="000919FF" w:rsidRDefault="000919FF" w:rsidP="000919FF">
      <w:pPr>
        <w:contextualSpacing/>
        <w:rPr>
          <w:bCs/>
          <w:color w:val="000000"/>
          <w:shd w:val="clear" w:color="auto" w:fill="FFFFFF"/>
        </w:rPr>
      </w:pPr>
    </w:p>
    <w:p w14:paraId="35E8FC66" w14:textId="77777777" w:rsidR="000919FF" w:rsidRPr="000919FF" w:rsidRDefault="000919FF" w:rsidP="000919FF">
      <w:pPr>
        <w:ind w:firstLine="720"/>
        <w:contextualSpacing/>
        <w:rPr>
          <w:bCs/>
          <w:color w:val="000000"/>
          <w:shd w:val="clear" w:color="auto" w:fill="FFFFFF"/>
        </w:rPr>
      </w:pPr>
      <w:r w:rsidRPr="000919FF">
        <w:rPr>
          <w:bCs/>
          <w:color w:val="000000"/>
          <w:shd w:val="clear" w:color="auto" w:fill="FFFFFF"/>
        </w:rPr>
        <w:t xml:space="preserve">As seen in </w:t>
      </w:r>
      <w:r w:rsidRPr="000919FF">
        <w:rPr>
          <w:b/>
          <w:color w:val="000000"/>
          <w:shd w:val="clear" w:color="auto" w:fill="FFFFFF"/>
        </w:rPr>
        <w:t>Table-2</w:t>
      </w:r>
      <w:r w:rsidRPr="000919FF">
        <w:rPr>
          <w:bCs/>
          <w:color w:val="000000"/>
          <w:shd w:val="clear" w:color="auto" w:fill="FFFFFF"/>
        </w:rPr>
        <w:t xml:space="preserve"> below, the beginning 2024 balance for funding projects was </w:t>
      </w:r>
      <w:r w:rsidRPr="000919FF">
        <w:rPr>
          <w:b/>
          <w:color w:val="000000"/>
          <w:shd w:val="clear" w:color="auto" w:fill="FFFFFF"/>
        </w:rPr>
        <w:t>$25 million</w:t>
      </w:r>
      <w:r w:rsidRPr="000919FF">
        <w:rPr>
          <w:bCs/>
          <w:color w:val="000000"/>
          <w:shd w:val="clear" w:color="auto" w:fill="FFFFFF"/>
        </w:rPr>
        <w:t xml:space="preserve">.  The Commission has approved over </w:t>
      </w:r>
      <w:r w:rsidRPr="000919FF">
        <w:rPr>
          <w:b/>
          <w:color w:val="000000"/>
          <w:shd w:val="clear" w:color="auto" w:fill="FFFFFF"/>
        </w:rPr>
        <w:t xml:space="preserve">$6.1 million </w:t>
      </w:r>
      <w:r w:rsidRPr="000919FF">
        <w:rPr>
          <w:bCs/>
          <w:color w:val="000000"/>
          <w:shd w:val="clear" w:color="auto" w:fill="FFFFFF"/>
        </w:rPr>
        <w:t xml:space="preserve">for 2024. The remaining balance for available funds is </w:t>
      </w:r>
      <w:r w:rsidRPr="000919FF">
        <w:rPr>
          <w:b/>
          <w:color w:val="000000"/>
          <w:shd w:val="clear" w:color="auto" w:fill="FFFFFF"/>
        </w:rPr>
        <w:t>$18.8 million</w:t>
      </w:r>
      <w:r w:rsidRPr="000919FF">
        <w:rPr>
          <w:bCs/>
          <w:color w:val="000000"/>
          <w:shd w:val="clear" w:color="auto" w:fill="FFFFFF"/>
        </w:rPr>
        <w:t xml:space="preserve">. With the approval of the Jackson County Project with an estimated cost of </w:t>
      </w:r>
      <w:r w:rsidRPr="000919FF">
        <w:rPr>
          <w:b/>
          <w:color w:val="000000"/>
          <w:shd w:val="clear" w:color="auto" w:fill="FFFFFF"/>
        </w:rPr>
        <w:t>$570,000</w:t>
      </w:r>
      <w:r w:rsidRPr="000919FF">
        <w:rPr>
          <w:bCs/>
          <w:color w:val="000000"/>
          <w:shd w:val="clear" w:color="auto" w:fill="FFFFFF"/>
        </w:rPr>
        <w:t xml:space="preserve">, the remaining available balance for future projects will be </w:t>
      </w:r>
      <w:r w:rsidRPr="000919FF">
        <w:rPr>
          <w:b/>
          <w:color w:val="000000"/>
          <w:shd w:val="clear" w:color="auto" w:fill="FFFFFF"/>
        </w:rPr>
        <w:t xml:space="preserve">$18.2 million. </w:t>
      </w:r>
    </w:p>
    <w:p w14:paraId="46279591" w14:textId="77777777" w:rsidR="000919FF" w:rsidRPr="000919FF" w:rsidRDefault="000919FF" w:rsidP="000919FF">
      <w:pPr>
        <w:contextualSpacing/>
        <w:rPr>
          <w:bCs/>
          <w:color w:val="000000"/>
          <w:shd w:val="clear" w:color="auto" w:fill="FFFFFF"/>
        </w:rPr>
      </w:pPr>
    </w:p>
    <w:p w14:paraId="77A1C493" w14:textId="77777777" w:rsidR="000919FF" w:rsidRPr="000919FF" w:rsidRDefault="000919FF" w:rsidP="000919FF">
      <w:pPr>
        <w:contextualSpacing/>
        <w:rPr>
          <w:b/>
          <w:color w:val="000000"/>
          <w:shd w:val="clear" w:color="auto" w:fill="FFFFFF"/>
        </w:rPr>
      </w:pPr>
      <w:r w:rsidRPr="000919FF">
        <w:rPr>
          <w:b/>
          <w:color w:val="000000"/>
          <w:shd w:val="clear" w:color="auto" w:fill="FFFFFF"/>
        </w:rPr>
        <w:t>Table-2: 2024 ECON-1 Recovery Rider Available Funds</w:t>
      </w:r>
    </w:p>
    <w:p w14:paraId="13FF20A2" w14:textId="77777777" w:rsidR="000919FF" w:rsidRPr="000919FF" w:rsidRDefault="000919FF" w:rsidP="000919FF">
      <w:pPr>
        <w:spacing w:after="200"/>
        <w:contextualSpacing/>
        <w:jc w:val="both"/>
        <w:rPr>
          <w:snapToGrid w:val="0"/>
        </w:rPr>
      </w:pPr>
      <w:r w:rsidRPr="000919FF">
        <w:rPr>
          <w:noProof/>
          <w:snapToGrid w:val="0"/>
        </w:rPr>
        <w:drawing>
          <wp:inline distT="0" distB="0" distL="0" distR="0" wp14:anchorId="65741202" wp14:editId="30E3CFBD">
            <wp:extent cx="5943600" cy="1771650"/>
            <wp:effectExtent l="0" t="0" r="0" b="0"/>
            <wp:docPr id="292423573"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423573" name="Picture 1" descr="Table&#10;&#10;Description automatically generated"/>
                    <pic:cNvPicPr/>
                  </pic:nvPicPr>
                  <pic:blipFill>
                    <a:blip r:embed="rId11"/>
                    <a:stretch>
                      <a:fillRect/>
                    </a:stretch>
                  </pic:blipFill>
                  <pic:spPr>
                    <a:xfrm>
                      <a:off x="0" y="0"/>
                      <a:ext cx="5943600" cy="1771650"/>
                    </a:xfrm>
                    <a:prstGeom prst="rect">
                      <a:avLst/>
                    </a:prstGeom>
                  </pic:spPr>
                </pic:pic>
              </a:graphicData>
            </a:graphic>
          </wp:inline>
        </w:drawing>
      </w:r>
    </w:p>
    <w:p w14:paraId="3D93A99D" w14:textId="77777777" w:rsidR="000919FF" w:rsidRPr="000919FF" w:rsidRDefault="000919FF" w:rsidP="000919FF">
      <w:pPr>
        <w:contextualSpacing/>
        <w:rPr>
          <w:bCs/>
          <w:color w:val="000000"/>
          <w:shd w:val="clear" w:color="auto" w:fill="FFFFFF"/>
        </w:rPr>
      </w:pPr>
    </w:p>
    <w:p w14:paraId="64DEBFCE" w14:textId="77777777" w:rsidR="000919FF" w:rsidRPr="000919FF" w:rsidRDefault="000919FF" w:rsidP="000919FF">
      <w:pPr>
        <w:spacing w:after="220"/>
        <w:contextualSpacing/>
        <w:jc w:val="both"/>
        <w:rPr>
          <w:b/>
          <w:snapToGrid w:val="0"/>
        </w:rPr>
      </w:pPr>
    </w:p>
    <w:p w14:paraId="50711E86" w14:textId="77777777" w:rsidR="000919FF" w:rsidRPr="000919FF" w:rsidRDefault="000919FF" w:rsidP="000919FF">
      <w:pPr>
        <w:spacing w:after="220"/>
        <w:contextualSpacing/>
        <w:jc w:val="both"/>
        <w:rPr>
          <w:b/>
          <w:snapToGrid w:val="0"/>
        </w:rPr>
      </w:pPr>
    </w:p>
    <w:p w14:paraId="1EACC89C" w14:textId="77777777" w:rsidR="000919FF" w:rsidRPr="000919FF" w:rsidRDefault="000919FF" w:rsidP="000919FF">
      <w:pPr>
        <w:numPr>
          <w:ilvl w:val="0"/>
          <w:numId w:val="2"/>
        </w:numPr>
        <w:spacing w:after="220"/>
        <w:contextualSpacing/>
        <w:jc w:val="center"/>
        <w:rPr>
          <w:b/>
        </w:rPr>
      </w:pPr>
      <w:r w:rsidRPr="000919FF">
        <w:rPr>
          <w:b/>
        </w:rPr>
        <w:t>Commission Decision</w:t>
      </w:r>
    </w:p>
    <w:p w14:paraId="6598B88D" w14:textId="77777777" w:rsidR="000919FF" w:rsidRPr="000919FF" w:rsidRDefault="000919FF" w:rsidP="000919FF">
      <w:pPr>
        <w:spacing w:after="220"/>
        <w:contextualSpacing/>
        <w:jc w:val="both"/>
      </w:pPr>
      <w:r w:rsidRPr="000919FF">
        <w:tab/>
        <w:t xml:space="preserve">During the September 17, 2024 Administrative Session, the Commission approved the Jackson County Project with an estimated dollar amount of </w:t>
      </w:r>
      <w:r w:rsidRPr="000919FF">
        <w:rPr>
          <w:b/>
          <w:bCs/>
        </w:rPr>
        <w:t>$570,000</w:t>
      </w:r>
      <w:r w:rsidRPr="000919FF">
        <w:t>.</w:t>
      </w:r>
    </w:p>
    <w:p w14:paraId="2EECD5AF" w14:textId="77777777" w:rsidR="000919FF" w:rsidRPr="000919FF" w:rsidRDefault="000919FF" w:rsidP="000919FF">
      <w:pPr>
        <w:spacing w:after="220"/>
        <w:contextualSpacing/>
        <w:jc w:val="center"/>
      </w:pPr>
    </w:p>
    <w:bookmarkEnd w:id="0"/>
    <w:p w14:paraId="4ECE79F5" w14:textId="77777777" w:rsidR="000919FF" w:rsidRPr="000919FF" w:rsidRDefault="000919FF" w:rsidP="000919FF">
      <w:pPr>
        <w:spacing w:after="220"/>
        <w:ind w:firstLine="720"/>
        <w:contextualSpacing/>
        <w:jc w:val="center"/>
        <w:rPr>
          <w:snapToGrid w:val="0"/>
        </w:rPr>
      </w:pPr>
      <w:r w:rsidRPr="000919FF">
        <w:rPr>
          <w:snapToGrid w:val="0"/>
        </w:rPr>
        <w:t>*   *   *   *   *</w:t>
      </w:r>
    </w:p>
    <w:p w14:paraId="62298E9C" w14:textId="77777777" w:rsidR="000919FF" w:rsidRPr="000919FF" w:rsidRDefault="000919FF" w:rsidP="000919FF">
      <w:pPr>
        <w:spacing w:after="220"/>
        <w:ind w:firstLine="720"/>
        <w:contextualSpacing/>
        <w:jc w:val="both"/>
        <w:rPr>
          <w:snapToGrid w:val="0"/>
        </w:rPr>
      </w:pPr>
    </w:p>
    <w:p w14:paraId="6F50D202" w14:textId="77777777" w:rsidR="000919FF" w:rsidRPr="000919FF" w:rsidRDefault="000919FF" w:rsidP="000919FF">
      <w:pPr>
        <w:numPr>
          <w:ilvl w:val="0"/>
          <w:numId w:val="2"/>
        </w:numPr>
        <w:spacing w:after="200"/>
        <w:contextualSpacing/>
        <w:jc w:val="center"/>
        <w:rPr>
          <w:b/>
        </w:rPr>
      </w:pPr>
      <w:r w:rsidRPr="000919FF">
        <w:rPr>
          <w:b/>
        </w:rPr>
        <w:t>Ordering Paragraphs</w:t>
      </w:r>
    </w:p>
    <w:p w14:paraId="0A9580AE" w14:textId="77777777" w:rsidR="000919FF" w:rsidRPr="000919FF" w:rsidRDefault="000919FF" w:rsidP="000919FF">
      <w:pPr>
        <w:widowControl w:val="0"/>
        <w:contextualSpacing/>
        <w:jc w:val="both"/>
        <w:rPr>
          <w:snapToGrid w:val="0"/>
          <w:szCs w:val="20"/>
        </w:rPr>
      </w:pPr>
    </w:p>
    <w:p w14:paraId="247640B2" w14:textId="77777777" w:rsidR="000919FF" w:rsidRPr="000919FF" w:rsidRDefault="000919FF" w:rsidP="000919FF">
      <w:pPr>
        <w:spacing w:after="220"/>
        <w:ind w:firstLine="720"/>
        <w:contextualSpacing/>
        <w:jc w:val="both"/>
      </w:pPr>
      <w:r w:rsidRPr="000919FF">
        <w:rPr>
          <w:b/>
          <w:snapToGrid w:val="0"/>
        </w:rPr>
        <w:t xml:space="preserve">WHEREFORE IT IS </w:t>
      </w:r>
      <w:proofErr w:type="gramStart"/>
      <w:r w:rsidRPr="000919FF">
        <w:rPr>
          <w:b/>
          <w:snapToGrid w:val="0"/>
        </w:rPr>
        <w:t>ORDERED,</w:t>
      </w:r>
      <w:proofErr w:type="gramEnd"/>
      <w:r w:rsidRPr="000919FF">
        <w:rPr>
          <w:snapToGrid w:val="0"/>
        </w:rPr>
        <w:t xml:space="preserve"> that </w:t>
      </w:r>
      <w:r w:rsidRPr="000919FF">
        <w:t xml:space="preserve">the Commission approves AGL’s petition in Docket No. 41559 as filed for the Jackson County Project with an amount of </w:t>
      </w:r>
      <w:r w:rsidRPr="000919FF">
        <w:rPr>
          <w:b/>
          <w:bCs/>
        </w:rPr>
        <w:t>$570,000</w:t>
      </w:r>
      <w:r w:rsidRPr="000919FF">
        <w:t>.</w:t>
      </w:r>
    </w:p>
    <w:p w14:paraId="679CA9F4" w14:textId="77777777" w:rsidR="000919FF" w:rsidRPr="000919FF" w:rsidRDefault="000919FF" w:rsidP="000919FF">
      <w:pPr>
        <w:ind w:firstLine="720"/>
        <w:contextualSpacing/>
        <w:jc w:val="both"/>
        <w:rPr>
          <w:b/>
        </w:rPr>
      </w:pPr>
    </w:p>
    <w:p w14:paraId="0030E5D0" w14:textId="77777777" w:rsidR="000919FF" w:rsidRPr="000919FF" w:rsidRDefault="000919FF" w:rsidP="000919FF">
      <w:pPr>
        <w:ind w:firstLine="720"/>
        <w:contextualSpacing/>
        <w:jc w:val="both"/>
      </w:pPr>
      <w:r w:rsidRPr="000919FF">
        <w:rPr>
          <w:b/>
        </w:rPr>
        <w:t xml:space="preserve">ORDERED FURTHER, </w:t>
      </w:r>
      <w:r w:rsidRPr="000919FF">
        <w:t>that all findings, conclusions, statements, and directives made by the Commission and contained in the foregoing sections of this Order are hereby adopted as findings of fact, conclusions of law, statements of regulatory policy, and orders of this Commission.</w:t>
      </w:r>
    </w:p>
    <w:p w14:paraId="6EED0CD0" w14:textId="77777777" w:rsidR="000919FF" w:rsidRPr="000919FF" w:rsidRDefault="000919FF" w:rsidP="000919FF">
      <w:pPr>
        <w:contextualSpacing/>
        <w:jc w:val="both"/>
      </w:pPr>
    </w:p>
    <w:p w14:paraId="171186DF" w14:textId="77777777" w:rsidR="000919FF" w:rsidRPr="000919FF" w:rsidRDefault="000919FF" w:rsidP="000919FF">
      <w:pPr>
        <w:ind w:firstLine="720"/>
        <w:contextualSpacing/>
        <w:jc w:val="both"/>
      </w:pPr>
      <w:r w:rsidRPr="000919FF">
        <w:rPr>
          <w:b/>
        </w:rPr>
        <w:t>ORDERED FURTHER,</w:t>
      </w:r>
      <w:r w:rsidRPr="000919FF">
        <w:t xml:space="preserve"> that a motion for reconsideration, rehearing, oral argument, or any other motion shall not stay the effective date of this Order, unless otherwise ordered by the Commission.</w:t>
      </w:r>
    </w:p>
    <w:p w14:paraId="166FCBE4" w14:textId="77777777" w:rsidR="000919FF" w:rsidRPr="000919FF" w:rsidRDefault="000919FF" w:rsidP="000919FF">
      <w:pPr>
        <w:tabs>
          <w:tab w:val="left" w:pos="0"/>
        </w:tabs>
        <w:spacing w:after="120"/>
        <w:contextualSpacing/>
        <w:jc w:val="both"/>
        <w:rPr>
          <w:snapToGrid w:val="0"/>
          <w:sz w:val="16"/>
          <w:szCs w:val="16"/>
        </w:rPr>
      </w:pPr>
    </w:p>
    <w:p w14:paraId="59EDAA1E" w14:textId="77777777" w:rsidR="000919FF" w:rsidRPr="000919FF" w:rsidRDefault="000919FF" w:rsidP="000919FF">
      <w:pPr>
        <w:widowControl w:val="0"/>
        <w:ind w:firstLine="720"/>
        <w:contextualSpacing/>
        <w:jc w:val="both"/>
        <w:rPr>
          <w:b/>
          <w:bCs/>
          <w:snapToGrid w:val="0"/>
        </w:rPr>
      </w:pPr>
      <w:r w:rsidRPr="000919FF">
        <w:rPr>
          <w:b/>
          <w:bCs/>
          <w:snapToGrid w:val="0"/>
        </w:rPr>
        <w:t>ORDERED FURTHER</w:t>
      </w:r>
      <w:r w:rsidRPr="000919FF">
        <w:rPr>
          <w:bCs/>
          <w:snapToGrid w:val="0"/>
        </w:rPr>
        <w:t>,</w:t>
      </w:r>
      <w:r w:rsidRPr="000919FF">
        <w:rPr>
          <w:b/>
          <w:bCs/>
          <w:snapToGrid w:val="0"/>
        </w:rPr>
        <w:t xml:space="preserve"> </w:t>
      </w:r>
      <w:r w:rsidRPr="000919FF">
        <w:rPr>
          <w:bCs/>
          <w:snapToGrid w:val="0"/>
        </w:rPr>
        <w:t xml:space="preserve">that jurisdiction over this matter is expressly retained for the purpose of entering such further Order or Orders as the Commission may deem just and proper. </w:t>
      </w:r>
    </w:p>
    <w:p w14:paraId="0DA414E5" w14:textId="77777777" w:rsidR="000919FF" w:rsidRPr="000919FF" w:rsidRDefault="000919FF" w:rsidP="000919FF">
      <w:pPr>
        <w:widowControl w:val="0"/>
        <w:contextualSpacing/>
        <w:jc w:val="both"/>
        <w:rPr>
          <w:b/>
          <w:bCs/>
          <w:snapToGrid w:val="0"/>
        </w:rPr>
      </w:pPr>
    </w:p>
    <w:p w14:paraId="6AC2606B" w14:textId="77777777" w:rsidR="000919FF" w:rsidRPr="000919FF" w:rsidRDefault="000919FF" w:rsidP="000919FF">
      <w:pPr>
        <w:widowControl w:val="0"/>
        <w:contextualSpacing/>
        <w:jc w:val="both"/>
        <w:rPr>
          <w:snapToGrid w:val="0"/>
          <w:szCs w:val="20"/>
        </w:rPr>
      </w:pPr>
    </w:p>
    <w:p w14:paraId="3DF9D0CC" w14:textId="77777777" w:rsidR="000919FF" w:rsidRPr="000919FF" w:rsidRDefault="000919FF" w:rsidP="000919FF">
      <w:pPr>
        <w:widowControl w:val="0"/>
        <w:ind w:firstLine="720"/>
        <w:contextualSpacing/>
        <w:jc w:val="both"/>
        <w:rPr>
          <w:bCs/>
          <w:snapToGrid w:val="0"/>
        </w:rPr>
      </w:pPr>
      <w:r w:rsidRPr="000919FF">
        <w:rPr>
          <w:bCs/>
          <w:snapToGrid w:val="0"/>
        </w:rPr>
        <w:t>The above by action of the Commission in Administrative Session on the 17</w:t>
      </w:r>
      <w:r w:rsidRPr="000919FF">
        <w:rPr>
          <w:bCs/>
          <w:snapToGrid w:val="0"/>
          <w:vertAlign w:val="superscript"/>
        </w:rPr>
        <w:t>th</w:t>
      </w:r>
      <w:r w:rsidRPr="000919FF">
        <w:rPr>
          <w:bCs/>
          <w:snapToGrid w:val="0"/>
        </w:rPr>
        <w:t xml:space="preserve"> day of September 2024.</w:t>
      </w:r>
    </w:p>
    <w:p w14:paraId="33CBF97A" w14:textId="77777777" w:rsidR="000919FF" w:rsidRPr="000919FF" w:rsidRDefault="000919FF" w:rsidP="000919FF">
      <w:pPr>
        <w:widowControl w:val="0"/>
        <w:ind w:left="360"/>
        <w:contextualSpacing/>
        <w:jc w:val="both"/>
        <w:rPr>
          <w:snapToGrid w:val="0"/>
        </w:rPr>
      </w:pPr>
    </w:p>
    <w:p w14:paraId="332E8F38" w14:textId="77777777" w:rsidR="000919FF" w:rsidRPr="000919FF" w:rsidRDefault="000919FF" w:rsidP="000919FF">
      <w:pPr>
        <w:widowControl w:val="0"/>
        <w:contextualSpacing/>
        <w:jc w:val="both"/>
        <w:rPr>
          <w:snapToGrid w:val="0"/>
        </w:rPr>
      </w:pPr>
    </w:p>
    <w:p w14:paraId="1C391F47" w14:textId="77777777" w:rsidR="000919FF" w:rsidRPr="000919FF" w:rsidRDefault="000919FF" w:rsidP="000919FF">
      <w:pPr>
        <w:widowControl w:val="0"/>
        <w:contextualSpacing/>
        <w:jc w:val="both"/>
        <w:rPr>
          <w:snapToGrid w:val="0"/>
          <w:u w:val="single"/>
        </w:rPr>
      </w:pPr>
      <w:r w:rsidRPr="000919FF">
        <w:rPr>
          <w:snapToGrid w:val="0"/>
          <w:u w:val="single"/>
        </w:rPr>
        <w:tab/>
      </w:r>
      <w:r w:rsidRPr="000919FF">
        <w:rPr>
          <w:snapToGrid w:val="0"/>
          <w:u w:val="single"/>
        </w:rPr>
        <w:tab/>
      </w:r>
      <w:r w:rsidRPr="000919FF">
        <w:rPr>
          <w:snapToGrid w:val="0"/>
          <w:u w:val="single"/>
        </w:rPr>
        <w:tab/>
      </w:r>
      <w:r w:rsidRPr="000919FF">
        <w:rPr>
          <w:snapToGrid w:val="0"/>
          <w:u w:val="single"/>
        </w:rPr>
        <w:tab/>
      </w:r>
      <w:r w:rsidRPr="000919FF">
        <w:rPr>
          <w:snapToGrid w:val="0"/>
          <w:u w:val="single"/>
        </w:rPr>
        <w:tab/>
      </w:r>
      <w:r w:rsidRPr="000919FF">
        <w:rPr>
          <w:snapToGrid w:val="0"/>
        </w:rPr>
        <w:tab/>
      </w:r>
      <w:r w:rsidRPr="000919FF">
        <w:rPr>
          <w:snapToGrid w:val="0"/>
        </w:rPr>
        <w:tab/>
      </w:r>
      <w:r w:rsidRPr="000919FF">
        <w:rPr>
          <w:snapToGrid w:val="0"/>
        </w:rPr>
        <w:tab/>
      </w:r>
      <w:r w:rsidRPr="000919FF">
        <w:rPr>
          <w:snapToGrid w:val="0"/>
          <w:u w:val="single"/>
        </w:rPr>
        <w:tab/>
      </w:r>
      <w:r w:rsidRPr="000919FF">
        <w:rPr>
          <w:snapToGrid w:val="0"/>
          <w:u w:val="single"/>
        </w:rPr>
        <w:tab/>
      </w:r>
      <w:r w:rsidRPr="000919FF">
        <w:rPr>
          <w:snapToGrid w:val="0"/>
          <w:u w:val="single"/>
        </w:rPr>
        <w:tab/>
      </w:r>
      <w:r w:rsidRPr="000919FF">
        <w:rPr>
          <w:snapToGrid w:val="0"/>
          <w:u w:val="single"/>
        </w:rPr>
        <w:tab/>
      </w:r>
      <w:r w:rsidRPr="000919FF">
        <w:rPr>
          <w:snapToGrid w:val="0"/>
          <w:u w:val="single"/>
        </w:rPr>
        <w:tab/>
      </w:r>
    </w:p>
    <w:p w14:paraId="5671A8A7" w14:textId="77777777" w:rsidR="000919FF" w:rsidRPr="000919FF" w:rsidRDefault="000919FF" w:rsidP="000919FF">
      <w:pPr>
        <w:widowControl w:val="0"/>
        <w:contextualSpacing/>
        <w:jc w:val="both"/>
        <w:rPr>
          <w:bCs/>
          <w:snapToGrid w:val="0"/>
        </w:rPr>
      </w:pPr>
      <w:r w:rsidRPr="000919FF">
        <w:rPr>
          <w:bCs/>
          <w:snapToGrid w:val="0"/>
        </w:rPr>
        <w:t>Sallie Tanner</w:t>
      </w:r>
      <w:r w:rsidRPr="000919FF">
        <w:rPr>
          <w:bCs/>
          <w:snapToGrid w:val="0"/>
        </w:rPr>
        <w:tab/>
      </w:r>
      <w:r w:rsidRPr="000919FF">
        <w:rPr>
          <w:bCs/>
          <w:snapToGrid w:val="0"/>
        </w:rPr>
        <w:tab/>
      </w:r>
      <w:r w:rsidRPr="000919FF">
        <w:rPr>
          <w:bCs/>
          <w:snapToGrid w:val="0"/>
        </w:rPr>
        <w:tab/>
      </w:r>
      <w:r w:rsidRPr="000919FF">
        <w:rPr>
          <w:bCs/>
          <w:snapToGrid w:val="0"/>
        </w:rPr>
        <w:tab/>
      </w:r>
      <w:r w:rsidRPr="000919FF">
        <w:rPr>
          <w:bCs/>
          <w:snapToGrid w:val="0"/>
        </w:rPr>
        <w:tab/>
      </w:r>
      <w:r w:rsidRPr="000919FF">
        <w:rPr>
          <w:bCs/>
          <w:snapToGrid w:val="0"/>
        </w:rPr>
        <w:tab/>
      </w:r>
      <w:r w:rsidRPr="000919FF">
        <w:rPr>
          <w:bCs/>
          <w:snapToGrid w:val="0"/>
        </w:rPr>
        <w:tab/>
        <w:t>Jason Shaw</w:t>
      </w:r>
    </w:p>
    <w:p w14:paraId="616001E8" w14:textId="77777777" w:rsidR="000919FF" w:rsidRPr="000919FF" w:rsidRDefault="000919FF" w:rsidP="000919FF">
      <w:pPr>
        <w:widowControl w:val="0"/>
        <w:contextualSpacing/>
        <w:jc w:val="both"/>
        <w:rPr>
          <w:bCs/>
          <w:snapToGrid w:val="0"/>
        </w:rPr>
      </w:pPr>
      <w:r w:rsidRPr="000919FF">
        <w:rPr>
          <w:bCs/>
          <w:snapToGrid w:val="0"/>
        </w:rPr>
        <w:t>Executive Secretary</w:t>
      </w:r>
      <w:r w:rsidRPr="000919FF">
        <w:rPr>
          <w:bCs/>
          <w:snapToGrid w:val="0"/>
        </w:rPr>
        <w:tab/>
      </w:r>
      <w:r w:rsidRPr="000919FF">
        <w:rPr>
          <w:bCs/>
          <w:snapToGrid w:val="0"/>
        </w:rPr>
        <w:tab/>
      </w:r>
      <w:r w:rsidRPr="000919FF">
        <w:rPr>
          <w:bCs/>
          <w:snapToGrid w:val="0"/>
        </w:rPr>
        <w:tab/>
      </w:r>
      <w:r w:rsidRPr="000919FF">
        <w:rPr>
          <w:bCs/>
          <w:snapToGrid w:val="0"/>
        </w:rPr>
        <w:tab/>
      </w:r>
      <w:r w:rsidRPr="000919FF">
        <w:rPr>
          <w:bCs/>
          <w:snapToGrid w:val="0"/>
        </w:rPr>
        <w:tab/>
      </w:r>
      <w:r w:rsidRPr="000919FF">
        <w:rPr>
          <w:bCs/>
          <w:snapToGrid w:val="0"/>
        </w:rPr>
        <w:tab/>
        <w:t>Chairman</w:t>
      </w:r>
    </w:p>
    <w:p w14:paraId="3B36090F" w14:textId="77777777" w:rsidR="000919FF" w:rsidRPr="000919FF" w:rsidRDefault="000919FF" w:rsidP="000919FF">
      <w:pPr>
        <w:widowControl w:val="0"/>
        <w:ind w:left="360"/>
        <w:contextualSpacing/>
        <w:jc w:val="both"/>
        <w:rPr>
          <w:snapToGrid w:val="0"/>
          <w:szCs w:val="20"/>
        </w:rPr>
      </w:pPr>
    </w:p>
    <w:p w14:paraId="23064DE2" w14:textId="77777777" w:rsidR="000919FF" w:rsidRPr="000919FF" w:rsidRDefault="000919FF" w:rsidP="000919FF">
      <w:pPr>
        <w:widowControl w:val="0"/>
        <w:contextualSpacing/>
        <w:jc w:val="both"/>
        <w:rPr>
          <w:snapToGrid w:val="0"/>
          <w:u w:val="single"/>
        </w:rPr>
      </w:pPr>
    </w:p>
    <w:p w14:paraId="43E68AE1" w14:textId="77777777" w:rsidR="000919FF" w:rsidRPr="000919FF" w:rsidRDefault="000919FF" w:rsidP="000919FF">
      <w:pPr>
        <w:widowControl w:val="0"/>
        <w:contextualSpacing/>
        <w:jc w:val="both"/>
        <w:rPr>
          <w:snapToGrid w:val="0"/>
          <w:u w:val="single"/>
        </w:rPr>
      </w:pPr>
      <w:r w:rsidRPr="000919FF">
        <w:rPr>
          <w:snapToGrid w:val="0"/>
          <w:u w:val="single"/>
        </w:rPr>
        <w:tab/>
      </w:r>
      <w:r w:rsidRPr="000919FF">
        <w:rPr>
          <w:snapToGrid w:val="0"/>
          <w:u w:val="single"/>
        </w:rPr>
        <w:tab/>
      </w:r>
      <w:r w:rsidRPr="000919FF">
        <w:rPr>
          <w:snapToGrid w:val="0"/>
          <w:u w:val="single"/>
        </w:rPr>
        <w:tab/>
      </w:r>
      <w:r w:rsidRPr="000919FF">
        <w:rPr>
          <w:snapToGrid w:val="0"/>
          <w:u w:val="single"/>
        </w:rPr>
        <w:tab/>
      </w:r>
      <w:r w:rsidRPr="000919FF">
        <w:rPr>
          <w:snapToGrid w:val="0"/>
          <w:u w:val="single"/>
        </w:rPr>
        <w:tab/>
      </w:r>
      <w:r w:rsidRPr="000919FF">
        <w:rPr>
          <w:snapToGrid w:val="0"/>
        </w:rPr>
        <w:tab/>
      </w:r>
      <w:r w:rsidRPr="000919FF">
        <w:rPr>
          <w:snapToGrid w:val="0"/>
        </w:rPr>
        <w:tab/>
      </w:r>
      <w:r w:rsidRPr="000919FF">
        <w:rPr>
          <w:snapToGrid w:val="0"/>
        </w:rPr>
        <w:tab/>
      </w:r>
      <w:r w:rsidRPr="000919FF">
        <w:rPr>
          <w:snapToGrid w:val="0"/>
          <w:u w:val="single"/>
        </w:rPr>
        <w:tab/>
      </w:r>
      <w:r w:rsidRPr="000919FF">
        <w:rPr>
          <w:snapToGrid w:val="0"/>
          <w:u w:val="single"/>
        </w:rPr>
        <w:tab/>
      </w:r>
      <w:r w:rsidRPr="000919FF">
        <w:rPr>
          <w:snapToGrid w:val="0"/>
          <w:u w:val="single"/>
        </w:rPr>
        <w:tab/>
      </w:r>
      <w:r w:rsidRPr="000919FF">
        <w:rPr>
          <w:snapToGrid w:val="0"/>
          <w:u w:val="single"/>
        </w:rPr>
        <w:tab/>
      </w:r>
      <w:r w:rsidRPr="000919FF">
        <w:rPr>
          <w:snapToGrid w:val="0"/>
          <w:u w:val="single"/>
        </w:rPr>
        <w:tab/>
      </w:r>
    </w:p>
    <w:p w14:paraId="7E6AA0EB" w14:textId="77777777" w:rsidR="000919FF" w:rsidRPr="000919FF" w:rsidRDefault="000919FF" w:rsidP="000919FF">
      <w:pPr>
        <w:widowControl w:val="0"/>
        <w:contextualSpacing/>
        <w:jc w:val="both"/>
        <w:rPr>
          <w:snapToGrid w:val="0"/>
          <w:szCs w:val="20"/>
        </w:rPr>
      </w:pPr>
      <w:r w:rsidRPr="000919FF">
        <w:rPr>
          <w:bCs/>
          <w:snapToGrid w:val="0"/>
          <w:szCs w:val="20"/>
        </w:rPr>
        <w:t>Date</w:t>
      </w:r>
      <w:r w:rsidRPr="000919FF">
        <w:rPr>
          <w:snapToGrid w:val="0"/>
          <w:szCs w:val="20"/>
        </w:rPr>
        <w:tab/>
      </w:r>
      <w:r w:rsidRPr="000919FF">
        <w:rPr>
          <w:snapToGrid w:val="0"/>
          <w:szCs w:val="20"/>
        </w:rPr>
        <w:tab/>
      </w:r>
      <w:r w:rsidRPr="000919FF">
        <w:rPr>
          <w:snapToGrid w:val="0"/>
          <w:szCs w:val="20"/>
        </w:rPr>
        <w:tab/>
      </w:r>
      <w:r w:rsidRPr="000919FF">
        <w:rPr>
          <w:snapToGrid w:val="0"/>
          <w:szCs w:val="20"/>
        </w:rPr>
        <w:tab/>
      </w:r>
      <w:r w:rsidRPr="000919FF">
        <w:rPr>
          <w:snapToGrid w:val="0"/>
          <w:szCs w:val="20"/>
        </w:rPr>
        <w:tab/>
      </w:r>
      <w:r w:rsidRPr="000919FF">
        <w:rPr>
          <w:snapToGrid w:val="0"/>
          <w:szCs w:val="20"/>
        </w:rPr>
        <w:tab/>
      </w:r>
      <w:r w:rsidRPr="000919FF">
        <w:rPr>
          <w:snapToGrid w:val="0"/>
          <w:szCs w:val="20"/>
        </w:rPr>
        <w:tab/>
      </w:r>
      <w:r w:rsidRPr="000919FF">
        <w:rPr>
          <w:snapToGrid w:val="0"/>
          <w:szCs w:val="20"/>
        </w:rPr>
        <w:tab/>
      </w:r>
      <w:proofErr w:type="spellStart"/>
      <w:r w:rsidRPr="000919FF">
        <w:rPr>
          <w:bCs/>
          <w:snapToGrid w:val="0"/>
          <w:szCs w:val="20"/>
        </w:rPr>
        <w:t>Date</w:t>
      </w:r>
      <w:proofErr w:type="spellEnd"/>
    </w:p>
    <w:p w14:paraId="5BAC46A3" w14:textId="77777777" w:rsidR="000919FF" w:rsidRPr="000919FF" w:rsidRDefault="000919FF" w:rsidP="000919FF">
      <w:pPr>
        <w:spacing w:after="200"/>
        <w:contextualSpacing/>
        <w:jc w:val="both"/>
        <w:rPr>
          <w:snapToGrid w:val="0"/>
        </w:rPr>
      </w:pPr>
    </w:p>
    <w:p w14:paraId="7B1ED160" w14:textId="77777777" w:rsidR="000919FF" w:rsidRPr="000919FF" w:rsidRDefault="000919FF" w:rsidP="000919FF">
      <w:pPr>
        <w:spacing w:after="200"/>
        <w:contextualSpacing/>
        <w:jc w:val="both"/>
        <w:rPr>
          <w:snapToGrid w:val="0"/>
        </w:rPr>
      </w:pPr>
    </w:p>
    <w:p w14:paraId="68533ADF" w14:textId="77777777" w:rsidR="000919FF" w:rsidRPr="000919FF" w:rsidRDefault="000919FF" w:rsidP="000919FF">
      <w:pPr>
        <w:spacing w:after="200"/>
        <w:contextualSpacing/>
        <w:jc w:val="both"/>
        <w:rPr>
          <w:snapToGrid w:val="0"/>
        </w:rPr>
      </w:pPr>
    </w:p>
    <w:p w14:paraId="5C066589" w14:textId="77777777" w:rsidR="000919FF" w:rsidRPr="000919FF" w:rsidRDefault="000919FF" w:rsidP="000919FF">
      <w:pPr>
        <w:spacing w:after="200"/>
        <w:contextualSpacing/>
        <w:jc w:val="both"/>
        <w:rPr>
          <w:snapToGrid w:val="0"/>
        </w:rPr>
      </w:pPr>
    </w:p>
    <w:p w14:paraId="7C722184" w14:textId="77777777" w:rsidR="000919FF" w:rsidRPr="000919FF" w:rsidRDefault="000919FF" w:rsidP="000919FF">
      <w:pPr>
        <w:spacing w:after="200"/>
        <w:contextualSpacing/>
        <w:jc w:val="both"/>
        <w:rPr>
          <w:snapToGrid w:val="0"/>
        </w:rPr>
      </w:pPr>
    </w:p>
    <w:p w14:paraId="4FA364AD" w14:textId="77777777" w:rsidR="009E6D0D" w:rsidRDefault="009E6D0D" w:rsidP="009E6D0D">
      <w:pPr>
        <w:rPr>
          <w:rFonts w:ascii="Arial" w:hAnsi="Arial"/>
          <w:b/>
        </w:rPr>
      </w:pPr>
    </w:p>
    <w:p w14:paraId="4A5A2F24" w14:textId="77777777" w:rsidR="009E6D0D" w:rsidRDefault="009E6D0D" w:rsidP="009E6D0D">
      <w:pPr>
        <w:rPr>
          <w:rFonts w:ascii="Arial" w:hAnsi="Arial"/>
        </w:rPr>
      </w:pPr>
      <w:r>
        <w:rPr>
          <w:rFonts w:ascii="Arial" w:hAnsi="Arial"/>
        </w:rPr>
        <w:tab/>
      </w:r>
    </w:p>
    <w:p w14:paraId="39660166" w14:textId="77777777" w:rsidR="009E6D0D" w:rsidRPr="009E6D0D" w:rsidRDefault="009E6D0D" w:rsidP="009E6D0D"/>
    <w:sectPr w:rsidR="009E6D0D" w:rsidRPr="009E6D0D">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96C1AC" w14:textId="77777777" w:rsidR="00F16D21" w:rsidRDefault="00F16D21" w:rsidP="000919FF">
      <w:r>
        <w:separator/>
      </w:r>
    </w:p>
  </w:endnote>
  <w:endnote w:type="continuationSeparator" w:id="0">
    <w:p w14:paraId="7EFD8551" w14:textId="77777777" w:rsidR="00F16D21" w:rsidRDefault="00F16D21" w:rsidP="00091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CAF674" w14:textId="77777777" w:rsidR="000919FF" w:rsidRPr="00451CD8" w:rsidRDefault="000919FF">
    <w:pPr>
      <w:pStyle w:val="Footer"/>
      <w:jc w:val="center"/>
      <w:rPr>
        <w:color w:val="4F81BD" w:themeColor="accent1"/>
        <w:sz w:val="18"/>
        <w:szCs w:val="18"/>
      </w:rPr>
    </w:pPr>
    <w:r w:rsidRPr="00451CD8">
      <w:rPr>
        <w:color w:val="4F81BD" w:themeColor="accent1"/>
        <w:sz w:val="18"/>
        <w:szCs w:val="18"/>
      </w:rPr>
      <w:t xml:space="preserve">Docket No. 41559:  Final Order Approving Jackson County Project </w:t>
    </w:r>
    <w:proofErr w:type="spellStart"/>
    <w:r w:rsidRPr="00451CD8">
      <w:rPr>
        <w:color w:val="4F81BD" w:themeColor="accent1"/>
        <w:sz w:val="18"/>
        <w:szCs w:val="18"/>
      </w:rPr>
      <w:t>RedStone</w:t>
    </w:r>
    <w:proofErr w:type="spellEnd"/>
    <w:r w:rsidRPr="00451CD8">
      <w:rPr>
        <w:color w:val="4F81BD" w:themeColor="accent1"/>
        <w:sz w:val="18"/>
        <w:szCs w:val="18"/>
      </w:rPr>
      <w:t xml:space="preserve"> Market</w:t>
    </w:r>
  </w:p>
  <w:p w14:paraId="76B6F4E8" w14:textId="1880AF1F" w:rsidR="000919FF" w:rsidRPr="00451CD8" w:rsidRDefault="000919FF">
    <w:pPr>
      <w:pStyle w:val="Footer"/>
      <w:jc w:val="center"/>
      <w:rPr>
        <w:color w:val="4F81BD" w:themeColor="accent1"/>
        <w:sz w:val="18"/>
        <w:szCs w:val="18"/>
      </w:rPr>
    </w:pPr>
    <w:r w:rsidRPr="00451CD8">
      <w:rPr>
        <w:color w:val="4F81BD" w:themeColor="accent1"/>
        <w:sz w:val="18"/>
        <w:szCs w:val="18"/>
      </w:rPr>
      <w:t xml:space="preserve">Page </w:t>
    </w:r>
    <w:r w:rsidRPr="00451CD8">
      <w:rPr>
        <w:color w:val="4F81BD" w:themeColor="accent1"/>
        <w:sz w:val="18"/>
        <w:szCs w:val="18"/>
      </w:rPr>
      <w:fldChar w:fldCharType="begin"/>
    </w:r>
    <w:r w:rsidRPr="00451CD8">
      <w:rPr>
        <w:color w:val="4F81BD" w:themeColor="accent1"/>
        <w:sz w:val="18"/>
        <w:szCs w:val="18"/>
      </w:rPr>
      <w:instrText xml:space="preserve"> PAGE  \* Arabic  \* MERGEFORMAT </w:instrText>
    </w:r>
    <w:r w:rsidRPr="00451CD8">
      <w:rPr>
        <w:color w:val="4F81BD" w:themeColor="accent1"/>
        <w:sz w:val="18"/>
        <w:szCs w:val="18"/>
      </w:rPr>
      <w:fldChar w:fldCharType="separate"/>
    </w:r>
    <w:r w:rsidRPr="00451CD8">
      <w:rPr>
        <w:noProof/>
        <w:color w:val="4F81BD" w:themeColor="accent1"/>
        <w:sz w:val="18"/>
        <w:szCs w:val="18"/>
      </w:rPr>
      <w:t>2</w:t>
    </w:r>
    <w:r w:rsidRPr="00451CD8">
      <w:rPr>
        <w:color w:val="4F81BD" w:themeColor="accent1"/>
        <w:sz w:val="18"/>
        <w:szCs w:val="18"/>
      </w:rPr>
      <w:fldChar w:fldCharType="end"/>
    </w:r>
    <w:r w:rsidRPr="00451CD8">
      <w:rPr>
        <w:color w:val="4F81BD" w:themeColor="accent1"/>
        <w:sz w:val="18"/>
        <w:szCs w:val="18"/>
      </w:rPr>
      <w:t xml:space="preserve"> of </w:t>
    </w:r>
    <w:r w:rsidRPr="00451CD8">
      <w:rPr>
        <w:color w:val="4F81BD" w:themeColor="accent1"/>
        <w:sz w:val="18"/>
        <w:szCs w:val="18"/>
      </w:rPr>
      <w:fldChar w:fldCharType="begin"/>
    </w:r>
    <w:r w:rsidRPr="00451CD8">
      <w:rPr>
        <w:color w:val="4F81BD" w:themeColor="accent1"/>
        <w:sz w:val="18"/>
        <w:szCs w:val="18"/>
      </w:rPr>
      <w:instrText xml:space="preserve"> NUMPAGES  \* Arabic  \* MERGEFORMAT </w:instrText>
    </w:r>
    <w:r w:rsidRPr="00451CD8">
      <w:rPr>
        <w:color w:val="4F81BD" w:themeColor="accent1"/>
        <w:sz w:val="18"/>
        <w:szCs w:val="18"/>
      </w:rPr>
      <w:fldChar w:fldCharType="separate"/>
    </w:r>
    <w:r w:rsidRPr="00451CD8">
      <w:rPr>
        <w:noProof/>
        <w:color w:val="4F81BD" w:themeColor="accent1"/>
        <w:sz w:val="18"/>
        <w:szCs w:val="18"/>
      </w:rPr>
      <w:t>2</w:t>
    </w:r>
    <w:r w:rsidRPr="00451CD8">
      <w:rPr>
        <w:color w:val="4F81BD" w:themeColor="accent1"/>
        <w:sz w:val="18"/>
        <w:szCs w:val="18"/>
      </w:rPr>
      <w:fldChar w:fldCharType="end"/>
    </w:r>
  </w:p>
  <w:p w14:paraId="4033C7FE" w14:textId="77777777" w:rsidR="000919FF" w:rsidRDefault="000919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AD438F" w14:textId="77777777" w:rsidR="00F16D21" w:rsidRDefault="00F16D21" w:rsidP="000919FF">
      <w:r>
        <w:separator/>
      </w:r>
    </w:p>
  </w:footnote>
  <w:footnote w:type="continuationSeparator" w:id="0">
    <w:p w14:paraId="3A3BEAF3" w14:textId="77777777" w:rsidR="00F16D21" w:rsidRDefault="00F16D21" w:rsidP="000919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1D1AD3"/>
    <w:multiLevelType w:val="hybridMultilevel"/>
    <w:tmpl w:val="ACDABF0C"/>
    <w:lvl w:ilvl="0" w:tplc="DCC4E51C">
      <w:start w:val="1"/>
      <w:numFmt w:val="upperRoman"/>
      <w:lvlText w:val="%1."/>
      <w:lvlJc w:val="left"/>
      <w:pPr>
        <w:ind w:left="1080" w:hanging="720"/>
      </w:pPr>
      <w:rPr>
        <w:rFonts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C2754C"/>
    <w:multiLevelType w:val="hybridMultilevel"/>
    <w:tmpl w:val="6602C6F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1381C94"/>
    <w:multiLevelType w:val="hybridMultilevel"/>
    <w:tmpl w:val="73E69E3C"/>
    <w:lvl w:ilvl="0" w:tplc="4B4ADA6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DA145BD"/>
    <w:multiLevelType w:val="hybridMultilevel"/>
    <w:tmpl w:val="4BA8D848"/>
    <w:lvl w:ilvl="0" w:tplc="88F0E3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9FD6860"/>
    <w:multiLevelType w:val="hybridMultilevel"/>
    <w:tmpl w:val="79065D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2E2EC9"/>
    <w:multiLevelType w:val="hybridMultilevel"/>
    <w:tmpl w:val="5DA0312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8377376">
    <w:abstractNumId w:val="2"/>
  </w:num>
  <w:num w:numId="2" w16cid:durableId="584922113">
    <w:abstractNumId w:val="0"/>
  </w:num>
  <w:num w:numId="3" w16cid:durableId="15897353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69958206">
    <w:abstractNumId w:val="5"/>
  </w:num>
  <w:num w:numId="5" w16cid:durableId="647591430">
    <w:abstractNumId w:val="4"/>
  </w:num>
  <w:num w:numId="6" w16cid:durableId="19590694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763"/>
    <w:rsid w:val="000112CB"/>
    <w:rsid w:val="0005442F"/>
    <w:rsid w:val="0006325A"/>
    <w:rsid w:val="000919FF"/>
    <w:rsid w:val="0010753E"/>
    <w:rsid w:val="001078BC"/>
    <w:rsid w:val="0011770D"/>
    <w:rsid w:val="001704C0"/>
    <w:rsid w:val="001C4F42"/>
    <w:rsid w:val="001D0747"/>
    <w:rsid w:val="001F00F3"/>
    <w:rsid w:val="00237B30"/>
    <w:rsid w:val="00291C03"/>
    <w:rsid w:val="002A3D95"/>
    <w:rsid w:val="002A61FE"/>
    <w:rsid w:val="002B5184"/>
    <w:rsid w:val="002C6DD1"/>
    <w:rsid w:val="003A0D04"/>
    <w:rsid w:val="003B1182"/>
    <w:rsid w:val="003F2763"/>
    <w:rsid w:val="00433E55"/>
    <w:rsid w:val="00451CD8"/>
    <w:rsid w:val="00467B71"/>
    <w:rsid w:val="00476AA2"/>
    <w:rsid w:val="0048564B"/>
    <w:rsid w:val="00494A05"/>
    <w:rsid w:val="004C622C"/>
    <w:rsid w:val="004D75CE"/>
    <w:rsid w:val="004D7BC6"/>
    <w:rsid w:val="00521687"/>
    <w:rsid w:val="00521FEE"/>
    <w:rsid w:val="005529E4"/>
    <w:rsid w:val="005C4F5C"/>
    <w:rsid w:val="005F2927"/>
    <w:rsid w:val="005F7054"/>
    <w:rsid w:val="00611A1D"/>
    <w:rsid w:val="006465C2"/>
    <w:rsid w:val="00670AF6"/>
    <w:rsid w:val="00673564"/>
    <w:rsid w:val="006862E4"/>
    <w:rsid w:val="006952CD"/>
    <w:rsid w:val="006A4919"/>
    <w:rsid w:val="006A5FC2"/>
    <w:rsid w:val="006D6992"/>
    <w:rsid w:val="006E65D8"/>
    <w:rsid w:val="00761035"/>
    <w:rsid w:val="007978DD"/>
    <w:rsid w:val="007C40EE"/>
    <w:rsid w:val="007D1A4F"/>
    <w:rsid w:val="00810B63"/>
    <w:rsid w:val="00886BED"/>
    <w:rsid w:val="00897E9B"/>
    <w:rsid w:val="008F38EF"/>
    <w:rsid w:val="00945A5F"/>
    <w:rsid w:val="009572C5"/>
    <w:rsid w:val="00994AB6"/>
    <w:rsid w:val="009A4D99"/>
    <w:rsid w:val="009A6D98"/>
    <w:rsid w:val="009E6D0D"/>
    <w:rsid w:val="00A958CB"/>
    <w:rsid w:val="00AF7496"/>
    <w:rsid w:val="00B11BEB"/>
    <w:rsid w:val="00B27A43"/>
    <w:rsid w:val="00BA2A06"/>
    <w:rsid w:val="00BC27C0"/>
    <w:rsid w:val="00BD2F2B"/>
    <w:rsid w:val="00C36999"/>
    <w:rsid w:val="00DC7E18"/>
    <w:rsid w:val="00DE40A2"/>
    <w:rsid w:val="00E112AD"/>
    <w:rsid w:val="00E87C44"/>
    <w:rsid w:val="00E92FA4"/>
    <w:rsid w:val="00F16D21"/>
    <w:rsid w:val="00F721DF"/>
    <w:rsid w:val="00FD7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14:docId w14:val="1FBCC88F"/>
  <w15:docId w15:val="{6AC64586-1549-401E-9C68-F294999F9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6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F2763"/>
    <w:pPr>
      <w:keepNext/>
      <w:widowControl w:val="0"/>
      <w:tabs>
        <w:tab w:val="center" w:pos="4680"/>
      </w:tabs>
      <w:autoSpaceDE w:val="0"/>
      <w:autoSpaceDN w:val="0"/>
      <w:adjustRightInd w:val="0"/>
      <w:jc w:val="cente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2763"/>
    <w:rPr>
      <w:rFonts w:ascii="Times New Roman" w:eastAsia="Times New Roman" w:hAnsi="Times New Roman" w:cs="Times New Roman"/>
      <w:sz w:val="24"/>
      <w:szCs w:val="24"/>
    </w:rPr>
  </w:style>
  <w:style w:type="character" w:styleId="Strong">
    <w:name w:val="Strong"/>
    <w:qFormat/>
    <w:rsid w:val="003F2763"/>
    <w:rPr>
      <w:b/>
      <w:bCs w:val="0"/>
    </w:rPr>
  </w:style>
  <w:style w:type="paragraph" w:styleId="Title">
    <w:name w:val="Title"/>
    <w:basedOn w:val="Normal"/>
    <w:link w:val="TitleChar"/>
    <w:qFormat/>
    <w:rsid w:val="003F2763"/>
    <w:pPr>
      <w:widowControl w:val="0"/>
      <w:tabs>
        <w:tab w:val="center" w:pos="4680"/>
      </w:tabs>
      <w:autoSpaceDE w:val="0"/>
      <w:autoSpaceDN w:val="0"/>
      <w:adjustRightInd w:val="0"/>
      <w:jc w:val="center"/>
    </w:pPr>
  </w:style>
  <w:style w:type="character" w:customStyle="1" w:styleId="TitleChar">
    <w:name w:val="Title Char"/>
    <w:basedOn w:val="DefaultParagraphFont"/>
    <w:link w:val="Title"/>
    <w:rsid w:val="003F276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F2763"/>
    <w:rPr>
      <w:rFonts w:ascii="Tahoma" w:hAnsi="Tahoma" w:cs="Tahoma"/>
      <w:sz w:val="16"/>
      <w:szCs w:val="16"/>
    </w:rPr>
  </w:style>
  <w:style w:type="character" w:customStyle="1" w:styleId="BalloonTextChar">
    <w:name w:val="Balloon Text Char"/>
    <w:basedOn w:val="DefaultParagraphFont"/>
    <w:link w:val="BalloonText"/>
    <w:uiPriority w:val="99"/>
    <w:semiHidden/>
    <w:rsid w:val="003F2763"/>
    <w:rPr>
      <w:rFonts w:ascii="Tahoma" w:eastAsia="Times New Roman" w:hAnsi="Tahoma" w:cs="Tahoma"/>
      <w:sz w:val="16"/>
      <w:szCs w:val="16"/>
    </w:rPr>
  </w:style>
  <w:style w:type="paragraph" w:styleId="BodyText">
    <w:name w:val="Body Text"/>
    <w:basedOn w:val="Normal"/>
    <w:link w:val="BodyTextChar"/>
    <w:uiPriority w:val="99"/>
    <w:semiHidden/>
    <w:rsid w:val="00AF7496"/>
    <w:pPr>
      <w:spacing w:after="120"/>
    </w:pPr>
    <w:rPr>
      <w:szCs w:val="20"/>
    </w:rPr>
  </w:style>
  <w:style w:type="character" w:customStyle="1" w:styleId="BodyTextChar">
    <w:name w:val="Body Text Char"/>
    <w:basedOn w:val="DefaultParagraphFont"/>
    <w:link w:val="BodyText"/>
    <w:uiPriority w:val="99"/>
    <w:semiHidden/>
    <w:rsid w:val="00AF7496"/>
    <w:rPr>
      <w:rFonts w:ascii="Times New Roman" w:eastAsia="Times New Roman" w:hAnsi="Times New Roman" w:cs="Times New Roman"/>
      <w:sz w:val="24"/>
      <w:szCs w:val="20"/>
    </w:rPr>
  </w:style>
  <w:style w:type="paragraph" w:styleId="BodyText2">
    <w:name w:val="Body Text 2"/>
    <w:basedOn w:val="Normal"/>
    <w:link w:val="BodyText2Char"/>
    <w:semiHidden/>
    <w:unhideWhenUsed/>
    <w:rsid w:val="0010753E"/>
    <w:pPr>
      <w:spacing w:after="120" w:line="480" w:lineRule="auto"/>
    </w:pPr>
  </w:style>
  <w:style w:type="character" w:customStyle="1" w:styleId="BodyText2Char">
    <w:name w:val="Body Text 2 Char"/>
    <w:basedOn w:val="DefaultParagraphFont"/>
    <w:link w:val="BodyText2"/>
    <w:semiHidden/>
    <w:rsid w:val="0010753E"/>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919FF"/>
    <w:pPr>
      <w:tabs>
        <w:tab w:val="center" w:pos="4680"/>
        <w:tab w:val="right" w:pos="9360"/>
      </w:tabs>
    </w:pPr>
  </w:style>
  <w:style w:type="character" w:customStyle="1" w:styleId="HeaderChar">
    <w:name w:val="Header Char"/>
    <w:basedOn w:val="DefaultParagraphFont"/>
    <w:link w:val="Header"/>
    <w:uiPriority w:val="99"/>
    <w:rsid w:val="000919F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919FF"/>
    <w:pPr>
      <w:tabs>
        <w:tab w:val="center" w:pos="4680"/>
        <w:tab w:val="right" w:pos="9360"/>
      </w:tabs>
    </w:pPr>
  </w:style>
  <w:style w:type="character" w:customStyle="1" w:styleId="FooterChar">
    <w:name w:val="Footer Char"/>
    <w:basedOn w:val="DefaultParagraphFont"/>
    <w:link w:val="Footer"/>
    <w:uiPriority w:val="99"/>
    <w:rsid w:val="000919F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1102</Words>
  <Characters>6285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Brown</dc:creator>
  <cp:lastModifiedBy>Diana Cain</cp:lastModifiedBy>
  <cp:revision>2</cp:revision>
  <cp:lastPrinted>2023-07-19T17:45:00Z</cp:lastPrinted>
  <dcterms:created xsi:type="dcterms:W3CDTF">2024-09-23T20:45:00Z</dcterms:created>
  <dcterms:modified xsi:type="dcterms:W3CDTF">2024-09-23T20:45:00Z</dcterms:modified>
</cp:coreProperties>
</file>