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A7661" w14:textId="055C61E9" w:rsidR="00A66BB7" w:rsidRDefault="00A66BB7" w:rsidP="008854C9">
      <w:pPr>
        <w:spacing w:line="259" w:lineRule="auto"/>
        <w:jc w:val="center"/>
        <w:rPr>
          <w:rFonts w:ascii="Calibri" w:eastAsia="Arial" w:hAnsi="Calibri" w:cs="Calibri"/>
          <w:b/>
          <w:bCs/>
          <w:color w:val="000000" w:themeColor="text1"/>
          <w:sz w:val="32"/>
          <w:szCs w:val="32"/>
          <w:u w:val="single"/>
        </w:rPr>
      </w:pPr>
      <w:r w:rsidRPr="00E46AE4">
        <w:rPr>
          <w:rFonts w:ascii="Calibri" w:hAnsi="Calibri"/>
          <w:noProof/>
        </w:rPr>
        <w:drawing>
          <wp:inline distT="0" distB="0" distL="0" distR="0" wp14:anchorId="4424CADC" wp14:editId="528741FF">
            <wp:extent cx="5486411" cy="969266"/>
            <wp:effectExtent l="19050" t="0" r="0" b="0"/>
            <wp:docPr id="15" name="Picture 0" descr="horiz-6in-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6in-600dpi.png"/>
                    <pic:cNvPicPr/>
                  </pic:nvPicPr>
                  <pic:blipFill>
                    <a:blip r:embed="rId8" cstate="print"/>
                    <a:stretch>
                      <a:fillRect/>
                    </a:stretch>
                  </pic:blipFill>
                  <pic:spPr>
                    <a:xfrm>
                      <a:off x="0" y="0"/>
                      <a:ext cx="5486411" cy="969266"/>
                    </a:xfrm>
                    <a:prstGeom prst="rect">
                      <a:avLst/>
                    </a:prstGeom>
                  </pic:spPr>
                </pic:pic>
              </a:graphicData>
            </a:graphic>
          </wp:inline>
        </w:drawing>
      </w:r>
    </w:p>
    <w:p w14:paraId="2E6168E5" w14:textId="77777777" w:rsidR="00A66BB7" w:rsidRDefault="00A66BB7" w:rsidP="008854C9">
      <w:pPr>
        <w:spacing w:line="259" w:lineRule="auto"/>
        <w:jc w:val="center"/>
        <w:rPr>
          <w:rFonts w:ascii="Calibri" w:eastAsia="Arial" w:hAnsi="Calibri" w:cs="Calibri"/>
          <w:b/>
          <w:bCs/>
          <w:color w:val="000000" w:themeColor="text1"/>
          <w:sz w:val="32"/>
          <w:szCs w:val="32"/>
          <w:u w:val="single"/>
        </w:rPr>
      </w:pPr>
    </w:p>
    <w:p w14:paraId="1FA9436A" w14:textId="651DBAA8" w:rsidR="00A66BB7" w:rsidRPr="00056A45" w:rsidRDefault="00A66BB7" w:rsidP="00A66BB7">
      <w:pPr>
        <w:jc w:val="center"/>
        <w:rPr>
          <w:rFonts w:ascii="Calibri" w:hAnsi="Calibri"/>
          <w:b/>
          <w:bCs/>
          <w:sz w:val="36"/>
          <w:szCs w:val="36"/>
        </w:rPr>
      </w:pPr>
      <w:r w:rsidRPr="00056A45">
        <w:rPr>
          <w:rFonts w:ascii="Calibri" w:hAnsi="Calibri"/>
          <w:b/>
          <w:bCs/>
          <w:sz w:val="36"/>
          <w:szCs w:val="36"/>
        </w:rPr>
        <w:t>FINAL REPORT OF THE INDEPENDENT EVALUATOR</w:t>
      </w:r>
    </w:p>
    <w:p w14:paraId="449EA0BF" w14:textId="77777777" w:rsidR="00A66BB7" w:rsidRDefault="00A66BB7" w:rsidP="008854C9">
      <w:pPr>
        <w:spacing w:line="259" w:lineRule="auto"/>
        <w:jc w:val="center"/>
        <w:rPr>
          <w:rFonts w:ascii="Calibri" w:eastAsia="Arial" w:hAnsi="Calibri" w:cs="Calibri"/>
          <w:b/>
          <w:bCs/>
          <w:color w:val="000000" w:themeColor="text1"/>
          <w:sz w:val="32"/>
          <w:szCs w:val="32"/>
          <w:u w:val="single"/>
        </w:rPr>
      </w:pPr>
    </w:p>
    <w:p w14:paraId="6B7F2700" w14:textId="77777777" w:rsidR="00A6658C" w:rsidRDefault="00A6658C" w:rsidP="008854C9">
      <w:pPr>
        <w:spacing w:line="259" w:lineRule="auto"/>
        <w:jc w:val="center"/>
        <w:rPr>
          <w:rFonts w:ascii="Calibri" w:eastAsia="Arial" w:hAnsi="Calibri" w:cs="Calibri"/>
          <w:b/>
          <w:bCs/>
          <w:color w:val="000000" w:themeColor="text1"/>
          <w:sz w:val="32"/>
          <w:szCs w:val="32"/>
          <w:u w:val="single"/>
        </w:rPr>
      </w:pPr>
    </w:p>
    <w:p w14:paraId="353140F4" w14:textId="77777777" w:rsidR="00A66BB7" w:rsidRDefault="00A66BB7" w:rsidP="008854C9">
      <w:pPr>
        <w:spacing w:line="259" w:lineRule="auto"/>
        <w:jc w:val="center"/>
        <w:rPr>
          <w:rFonts w:ascii="Calibri" w:eastAsia="Arial" w:hAnsi="Calibri" w:cs="Calibri"/>
          <w:b/>
          <w:bCs/>
          <w:color w:val="000000" w:themeColor="text1"/>
          <w:sz w:val="32"/>
          <w:szCs w:val="32"/>
          <w:u w:val="single"/>
        </w:rPr>
      </w:pPr>
    </w:p>
    <w:p w14:paraId="2C09AB9D" w14:textId="07695D57" w:rsidR="00A66BB7" w:rsidRPr="00A66BB7" w:rsidRDefault="00A66BB7" w:rsidP="00A66BB7">
      <w:pPr>
        <w:spacing w:line="259" w:lineRule="auto"/>
        <w:jc w:val="center"/>
        <w:rPr>
          <w:rFonts w:ascii="Calibri" w:eastAsia="Arial" w:hAnsi="Calibri" w:cs="Calibri"/>
          <w:b/>
          <w:bCs/>
          <w:color w:val="000000" w:themeColor="text1"/>
          <w:sz w:val="32"/>
          <w:szCs w:val="32"/>
        </w:rPr>
      </w:pPr>
      <w:r w:rsidRPr="00A66BB7">
        <w:rPr>
          <w:rFonts w:ascii="Calibri" w:eastAsia="Arial" w:hAnsi="Calibri" w:cs="Calibri"/>
          <w:b/>
          <w:bCs/>
          <w:color w:val="000000" w:themeColor="text1"/>
          <w:sz w:val="32"/>
          <w:szCs w:val="32"/>
        </w:rPr>
        <w:t>GEORGIA POWER COMPANY (</w:t>
      </w:r>
      <w:r w:rsidR="002E47FA">
        <w:rPr>
          <w:rFonts w:ascii="Calibri" w:eastAsia="Arial" w:hAnsi="Calibri" w:cs="Calibri"/>
          <w:b/>
          <w:bCs/>
          <w:color w:val="000000" w:themeColor="text1"/>
          <w:sz w:val="32"/>
          <w:szCs w:val="32"/>
        </w:rPr>
        <w:t>“</w:t>
      </w:r>
      <w:r w:rsidRPr="00A66BB7">
        <w:rPr>
          <w:rFonts w:ascii="Calibri" w:eastAsia="Arial" w:hAnsi="Calibri" w:cs="Calibri"/>
          <w:b/>
          <w:bCs/>
          <w:color w:val="000000" w:themeColor="text1"/>
          <w:sz w:val="32"/>
          <w:szCs w:val="32"/>
        </w:rPr>
        <w:t>GPC</w:t>
      </w:r>
      <w:r w:rsidR="002E47FA">
        <w:rPr>
          <w:rFonts w:ascii="Calibri" w:eastAsia="Arial" w:hAnsi="Calibri" w:cs="Calibri"/>
          <w:b/>
          <w:bCs/>
          <w:color w:val="000000" w:themeColor="text1"/>
          <w:sz w:val="32"/>
          <w:szCs w:val="32"/>
        </w:rPr>
        <w:t>”</w:t>
      </w:r>
      <w:r w:rsidRPr="00A66BB7">
        <w:rPr>
          <w:rFonts w:ascii="Calibri" w:eastAsia="Arial" w:hAnsi="Calibri" w:cs="Calibri"/>
          <w:b/>
          <w:bCs/>
          <w:color w:val="000000" w:themeColor="text1"/>
          <w:sz w:val="32"/>
          <w:szCs w:val="32"/>
        </w:rPr>
        <w:t>)</w:t>
      </w:r>
    </w:p>
    <w:p w14:paraId="5F8C32D4" w14:textId="2B3B6C69" w:rsidR="00A66BB7" w:rsidRDefault="00A66BB7" w:rsidP="00A66BB7">
      <w:pPr>
        <w:spacing w:line="259" w:lineRule="auto"/>
        <w:jc w:val="center"/>
        <w:rPr>
          <w:rFonts w:ascii="Calibri" w:eastAsia="Arial" w:hAnsi="Calibri" w:cs="Calibri"/>
          <w:b/>
          <w:bCs/>
          <w:color w:val="000000" w:themeColor="text1"/>
          <w:sz w:val="32"/>
          <w:szCs w:val="32"/>
        </w:rPr>
      </w:pPr>
      <w:r w:rsidRPr="00A66BB7">
        <w:rPr>
          <w:rFonts w:ascii="Calibri" w:eastAsia="Arial" w:hAnsi="Calibri" w:cs="Calibri"/>
          <w:b/>
          <w:bCs/>
          <w:color w:val="000000" w:themeColor="text1"/>
          <w:sz w:val="32"/>
          <w:szCs w:val="32"/>
        </w:rPr>
        <w:t xml:space="preserve">2023 </w:t>
      </w:r>
      <w:r w:rsidR="00BA3E7A">
        <w:rPr>
          <w:rFonts w:ascii="Calibri" w:eastAsia="Arial" w:hAnsi="Calibri" w:cs="Calibri"/>
          <w:b/>
          <w:bCs/>
          <w:color w:val="000000" w:themeColor="text1"/>
          <w:sz w:val="32"/>
          <w:szCs w:val="32"/>
        </w:rPr>
        <w:t>BIOMASS</w:t>
      </w:r>
      <w:r w:rsidRPr="00A66BB7">
        <w:rPr>
          <w:rFonts w:ascii="Calibri" w:eastAsia="Arial" w:hAnsi="Calibri" w:cs="Calibri"/>
          <w:b/>
          <w:bCs/>
          <w:color w:val="000000" w:themeColor="text1"/>
          <w:sz w:val="32"/>
          <w:szCs w:val="32"/>
        </w:rPr>
        <w:t xml:space="preserve"> RFP</w:t>
      </w:r>
    </w:p>
    <w:p w14:paraId="726594DF" w14:textId="18C55ABB" w:rsidR="00A66BB7" w:rsidRPr="00A66BB7" w:rsidRDefault="00A66BB7" w:rsidP="00A66BB7">
      <w:pPr>
        <w:spacing w:line="259" w:lineRule="auto"/>
        <w:jc w:val="center"/>
        <w:rPr>
          <w:rFonts w:ascii="Calibri" w:eastAsia="Arial" w:hAnsi="Calibri" w:cs="Calibri"/>
          <w:b/>
          <w:bCs/>
          <w:color w:val="000000" w:themeColor="text1"/>
          <w:sz w:val="32"/>
          <w:szCs w:val="32"/>
        </w:rPr>
      </w:pPr>
      <w:r>
        <w:rPr>
          <w:rFonts w:ascii="Calibri" w:eastAsia="Arial" w:hAnsi="Calibri" w:cs="Calibri"/>
          <w:b/>
          <w:bCs/>
          <w:noProof/>
          <w:color w:val="000000" w:themeColor="text1"/>
          <w:sz w:val="32"/>
          <w:szCs w:val="32"/>
        </w:rPr>
        <w:drawing>
          <wp:inline distT="0" distB="0" distL="0" distR="0" wp14:anchorId="66367406" wp14:editId="58836050">
            <wp:extent cx="5943600" cy="998220"/>
            <wp:effectExtent l="0" t="0" r="0" b="0"/>
            <wp:docPr id="910973719" name="Picture 1" descr="A pile of wood c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73719" name="Picture 1" descr="A pile of wood chip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998220"/>
                    </a:xfrm>
                    <a:prstGeom prst="rect">
                      <a:avLst/>
                    </a:prstGeom>
                    <a:solidFill>
                      <a:schemeClr val="bg2">
                        <a:lumMod val="50000"/>
                        <a:alpha val="12000"/>
                      </a:schemeClr>
                    </a:solidFill>
                  </pic:spPr>
                </pic:pic>
              </a:graphicData>
            </a:graphic>
          </wp:inline>
        </w:drawing>
      </w:r>
    </w:p>
    <w:p w14:paraId="74258D0D" w14:textId="584AD8F5" w:rsidR="00A66BB7" w:rsidRPr="00A66BB7" w:rsidRDefault="00512275" w:rsidP="00995ED8">
      <w:pPr>
        <w:spacing w:before="480" w:line="259" w:lineRule="auto"/>
        <w:jc w:val="center"/>
        <w:rPr>
          <w:rFonts w:ascii="Calibri" w:eastAsia="Arial" w:hAnsi="Calibri" w:cs="Calibri"/>
          <w:b/>
          <w:bCs/>
          <w:color w:val="000000" w:themeColor="text1"/>
          <w:sz w:val="32"/>
          <w:szCs w:val="32"/>
        </w:rPr>
      </w:pPr>
      <w:r>
        <w:rPr>
          <w:rFonts w:ascii="Calibri" w:eastAsia="Arial" w:hAnsi="Calibri" w:cs="Calibri"/>
          <w:b/>
          <w:bCs/>
          <w:color w:val="000000" w:themeColor="text1"/>
          <w:sz w:val="32"/>
          <w:szCs w:val="32"/>
        </w:rPr>
        <w:t xml:space="preserve">August </w:t>
      </w:r>
      <w:r w:rsidR="00C50980" w:rsidRPr="00B557CC">
        <w:rPr>
          <w:rFonts w:ascii="Calibri" w:eastAsia="Arial" w:hAnsi="Calibri" w:cs="Calibri"/>
          <w:b/>
          <w:bCs/>
          <w:color w:val="000000" w:themeColor="text1"/>
          <w:sz w:val="32"/>
          <w:szCs w:val="32"/>
        </w:rPr>
        <w:t>13</w:t>
      </w:r>
      <w:r w:rsidR="00A66BB7">
        <w:rPr>
          <w:rFonts w:ascii="Calibri" w:eastAsia="Arial" w:hAnsi="Calibri" w:cs="Calibri"/>
          <w:b/>
          <w:bCs/>
          <w:color w:val="000000" w:themeColor="text1"/>
          <w:sz w:val="32"/>
          <w:szCs w:val="32"/>
        </w:rPr>
        <w:t>, 2024</w:t>
      </w:r>
    </w:p>
    <w:p w14:paraId="415C0018" w14:textId="77777777" w:rsidR="00A66BB7" w:rsidRDefault="00A66BB7" w:rsidP="008854C9">
      <w:pPr>
        <w:spacing w:line="259" w:lineRule="auto"/>
        <w:jc w:val="center"/>
        <w:rPr>
          <w:rFonts w:ascii="Calibri" w:eastAsia="Arial" w:hAnsi="Calibri" w:cs="Calibri"/>
          <w:b/>
          <w:bCs/>
          <w:color w:val="000000" w:themeColor="text1"/>
          <w:sz w:val="32"/>
          <w:szCs w:val="32"/>
          <w:u w:val="single"/>
        </w:rPr>
      </w:pPr>
    </w:p>
    <w:p w14:paraId="32DD9BCD" w14:textId="77777777" w:rsidR="00995ED8" w:rsidRDefault="00995ED8" w:rsidP="008854C9">
      <w:pPr>
        <w:spacing w:line="259" w:lineRule="auto"/>
        <w:jc w:val="center"/>
        <w:rPr>
          <w:rFonts w:ascii="Calibri" w:eastAsia="Arial" w:hAnsi="Calibri" w:cs="Calibri"/>
          <w:b/>
          <w:bCs/>
          <w:color w:val="000000" w:themeColor="text1"/>
          <w:sz w:val="32"/>
          <w:szCs w:val="32"/>
          <w:u w:val="single"/>
        </w:rPr>
      </w:pPr>
    </w:p>
    <w:p w14:paraId="1E1E4B4E" w14:textId="77777777" w:rsidR="00A66BB7" w:rsidRDefault="00A66BB7" w:rsidP="008854C9">
      <w:pPr>
        <w:spacing w:line="259" w:lineRule="auto"/>
        <w:jc w:val="center"/>
        <w:rPr>
          <w:rFonts w:ascii="Calibri" w:eastAsia="Arial" w:hAnsi="Calibri" w:cs="Calibri"/>
          <w:b/>
          <w:bCs/>
          <w:color w:val="000000" w:themeColor="text1"/>
          <w:sz w:val="32"/>
          <w:szCs w:val="32"/>
          <w:u w:val="single"/>
        </w:rPr>
      </w:pPr>
    </w:p>
    <w:p w14:paraId="55566488" w14:textId="77777777" w:rsidR="00995ED8" w:rsidRPr="00346B96" w:rsidRDefault="00995ED8" w:rsidP="00995ED8">
      <w:pPr>
        <w:autoSpaceDE w:val="0"/>
        <w:autoSpaceDN w:val="0"/>
        <w:adjustRightInd w:val="0"/>
        <w:spacing w:after="0" w:line="240" w:lineRule="auto"/>
        <w:jc w:val="center"/>
        <w:rPr>
          <w:b/>
          <w:color w:val="000000"/>
        </w:rPr>
      </w:pPr>
      <w:r w:rsidRPr="00346B96">
        <w:rPr>
          <w:b/>
          <w:color w:val="000000"/>
        </w:rPr>
        <w:t xml:space="preserve">ACCION GROUP, </w:t>
      </w:r>
      <w:r>
        <w:rPr>
          <w:b/>
          <w:color w:val="000000"/>
        </w:rPr>
        <w:t>LLC</w:t>
      </w:r>
    </w:p>
    <w:p w14:paraId="6E5B9430" w14:textId="77777777" w:rsidR="00995ED8" w:rsidRPr="00694730" w:rsidRDefault="00995ED8" w:rsidP="00995ED8">
      <w:pPr>
        <w:autoSpaceDE w:val="0"/>
        <w:autoSpaceDN w:val="0"/>
        <w:adjustRightInd w:val="0"/>
        <w:spacing w:after="0" w:line="240" w:lineRule="auto"/>
        <w:jc w:val="center"/>
        <w:rPr>
          <w:color w:val="000000"/>
          <w:sz w:val="20"/>
          <w:szCs w:val="20"/>
        </w:rPr>
      </w:pPr>
      <w:r w:rsidRPr="00694730">
        <w:rPr>
          <w:color w:val="000000"/>
          <w:sz w:val="20"/>
          <w:szCs w:val="20"/>
        </w:rPr>
        <w:t>244 North Main Street</w:t>
      </w:r>
    </w:p>
    <w:p w14:paraId="4A50ED06" w14:textId="77777777" w:rsidR="00995ED8" w:rsidRPr="00694730" w:rsidRDefault="00995ED8" w:rsidP="00995ED8">
      <w:pPr>
        <w:autoSpaceDE w:val="0"/>
        <w:autoSpaceDN w:val="0"/>
        <w:adjustRightInd w:val="0"/>
        <w:spacing w:after="0" w:line="240" w:lineRule="auto"/>
        <w:jc w:val="center"/>
        <w:rPr>
          <w:color w:val="000000"/>
          <w:sz w:val="20"/>
          <w:szCs w:val="20"/>
        </w:rPr>
      </w:pPr>
      <w:r w:rsidRPr="00694730">
        <w:rPr>
          <w:color w:val="000000"/>
          <w:sz w:val="20"/>
          <w:szCs w:val="20"/>
        </w:rPr>
        <w:t>Concord, New Hampshire 03301</w:t>
      </w:r>
    </w:p>
    <w:p w14:paraId="1DA1D520" w14:textId="77777777" w:rsidR="00995ED8" w:rsidRPr="00694730" w:rsidRDefault="00995ED8" w:rsidP="00995ED8">
      <w:pPr>
        <w:autoSpaceDE w:val="0"/>
        <w:autoSpaceDN w:val="0"/>
        <w:adjustRightInd w:val="0"/>
        <w:spacing w:after="0" w:line="240" w:lineRule="auto"/>
        <w:jc w:val="center"/>
        <w:rPr>
          <w:color w:val="000000"/>
          <w:sz w:val="20"/>
          <w:szCs w:val="20"/>
        </w:rPr>
      </w:pPr>
      <w:r w:rsidRPr="00694730">
        <w:rPr>
          <w:color w:val="000000"/>
          <w:sz w:val="20"/>
          <w:szCs w:val="20"/>
        </w:rPr>
        <w:t>Telephone:  603-229-1644</w:t>
      </w:r>
    </w:p>
    <w:p w14:paraId="6479ED36" w14:textId="77777777" w:rsidR="00995ED8" w:rsidRPr="00694730" w:rsidRDefault="00995ED8" w:rsidP="00995ED8">
      <w:pPr>
        <w:autoSpaceDE w:val="0"/>
        <w:autoSpaceDN w:val="0"/>
        <w:adjustRightInd w:val="0"/>
        <w:spacing w:after="0" w:line="240" w:lineRule="auto"/>
        <w:jc w:val="center"/>
        <w:rPr>
          <w:color w:val="000000"/>
          <w:sz w:val="20"/>
          <w:szCs w:val="20"/>
        </w:rPr>
      </w:pPr>
      <w:r w:rsidRPr="00694730">
        <w:rPr>
          <w:color w:val="000000"/>
          <w:sz w:val="20"/>
          <w:szCs w:val="20"/>
        </w:rPr>
        <w:t>Fax:  603-225-4923</w:t>
      </w:r>
    </w:p>
    <w:p w14:paraId="348E207C" w14:textId="77777777" w:rsidR="00995ED8" w:rsidRPr="00694730" w:rsidRDefault="00995ED8" w:rsidP="00995ED8">
      <w:pPr>
        <w:autoSpaceDE w:val="0"/>
        <w:autoSpaceDN w:val="0"/>
        <w:adjustRightInd w:val="0"/>
        <w:spacing w:after="0" w:line="240" w:lineRule="auto"/>
        <w:jc w:val="center"/>
        <w:rPr>
          <w:color w:val="000080"/>
          <w:sz w:val="20"/>
          <w:szCs w:val="20"/>
        </w:rPr>
      </w:pPr>
      <w:r w:rsidRPr="00694730">
        <w:rPr>
          <w:color w:val="000000"/>
          <w:sz w:val="20"/>
          <w:szCs w:val="20"/>
        </w:rPr>
        <w:t xml:space="preserve">Email:  </w:t>
      </w:r>
      <w:hyperlink r:id="rId10" w:history="1">
        <w:r w:rsidRPr="00694730">
          <w:rPr>
            <w:color w:val="000080"/>
            <w:sz w:val="20"/>
            <w:szCs w:val="20"/>
            <w:u w:val="single"/>
          </w:rPr>
          <w:t>advisors@acciongroup.com</w:t>
        </w:r>
      </w:hyperlink>
    </w:p>
    <w:p w14:paraId="4B811627" w14:textId="77777777" w:rsidR="00995ED8" w:rsidRPr="00694730" w:rsidRDefault="00995ED8" w:rsidP="00995ED8">
      <w:pPr>
        <w:autoSpaceDE w:val="0"/>
        <w:autoSpaceDN w:val="0"/>
        <w:adjustRightInd w:val="0"/>
        <w:spacing w:after="0" w:line="240" w:lineRule="auto"/>
        <w:jc w:val="center"/>
        <w:rPr>
          <w:rFonts w:cs="Arial"/>
          <w:sz w:val="20"/>
          <w:szCs w:val="20"/>
        </w:rPr>
      </w:pPr>
      <w:r w:rsidRPr="00694730">
        <w:rPr>
          <w:rFonts w:cs="Arial"/>
          <w:color w:val="000080"/>
          <w:sz w:val="20"/>
          <w:szCs w:val="20"/>
        </w:rPr>
        <w:t>www.acciongroup.com</w:t>
      </w:r>
    </w:p>
    <w:p w14:paraId="4959BCA2" w14:textId="77777777" w:rsidR="00512275" w:rsidRDefault="00512275" w:rsidP="00995ED8">
      <w:pPr>
        <w:spacing w:line="259" w:lineRule="auto"/>
        <w:rPr>
          <w:rFonts w:ascii="Calibri" w:eastAsia="Arial" w:hAnsi="Calibri" w:cs="Calibri"/>
          <w:b/>
          <w:bCs/>
          <w:color w:val="000000" w:themeColor="text1"/>
          <w:sz w:val="32"/>
          <w:szCs w:val="32"/>
          <w:u w:val="single"/>
        </w:rPr>
      </w:pPr>
    </w:p>
    <w:p w14:paraId="47B6F55E" w14:textId="77777777" w:rsidR="00AD7617" w:rsidRDefault="00AD7617" w:rsidP="00995ED8">
      <w:pPr>
        <w:spacing w:line="259" w:lineRule="auto"/>
        <w:rPr>
          <w:rFonts w:ascii="Calibri" w:eastAsia="Arial" w:hAnsi="Calibri" w:cs="Calibri"/>
          <w:b/>
          <w:bCs/>
          <w:color w:val="000000" w:themeColor="text1"/>
          <w:sz w:val="32"/>
          <w:szCs w:val="32"/>
          <w:u w:val="single"/>
        </w:rPr>
      </w:pPr>
    </w:p>
    <w:p w14:paraId="6C75F100" w14:textId="1A090BC1" w:rsidR="0035675B" w:rsidRPr="000C2C73" w:rsidRDefault="000C2C73" w:rsidP="000C2C73">
      <w:pPr>
        <w:pStyle w:val="ListParagraph"/>
        <w:numPr>
          <w:ilvl w:val="0"/>
          <w:numId w:val="3"/>
        </w:numPr>
        <w:spacing w:after="120"/>
        <w:ind w:left="360"/>
        <w:contextualSpacing w:val="0"/>
        <w:jc w:val="both"/>
        <w:rPr>
          <w:color w:val="000000" w:themeColor="text1"/>
        </w:rPr>
      </w:pPr>
      <w:r w:rsidRPr="000C2C73">
        <w:rPr>
          <w:b/>
          <w:bCs/>
          <w:color w:val="000000" w:themeColor="text1"/>
        </w:rPr>
        <w:t>EXECUTIVE SUMMARY</w:t>
      </w:r>
    </w:p>
    <w:p w14:paraId="1EE61A4C" w14:textId="23E68B59" w:rsidR="0067790E" w:rsidRDefault="0035675B" w:rsidP="0035675B">
      <w:pPr>
        <w:spacing w:after="120"/>
        <w:ind w:firstLine="720"/>
        <w:jc w:val="both"/>
      </w:pPr>
      <w:r w:rsidRPr="002810D8">
        <w:rPr>
          <w:color w:val="000000" w:themeColor="text1"/>
        </w:rPr>
        <w:t xml:space="preserve">Accion Group, LLC, </w:t>
      </w:r>
      <w:r w:rsidR="002944D5" w:rsidRPr="002810D8">
        <w:rPr>
          <w:color w:val="000000" w:themeColor="text1"/>
        </w:rPr>
        <w:t>serve</w:t>
      </w:r>
      <w:r w:rsidR="002944D5">
        <w:rPr>
          <w:color w:val="000000" w:themeColor="text1"/>
        </w:rPr>
        <w:t>d</w:t>
      </w:r>
      <w:r w:rsidR="002944D5" w:rsidRPr="002810D8">
        <w:rPr>
          <w:color w:val="000000" w:themeColor="text1"/>
        </w:rPr>
        <w:t xml:space="preserve"> </w:t>
      </w:r>
      <w:r w:rsidRPr="002810D8">
        <w:rPr>
          <w:color w:val="000000" w:themeColor="text1"/>
        </w:rPr>
        <w:t>as the Independent Evaluator (“Accion” or "IE"), for Georgia Power Company's ("GPC</w:t>
      </w:r>
      <w:r>
        <w:rPr>
          <w:color w:val="000000" w:themeColor="text1"/>
        </w:rPr>
        <w:t>,</w:t>
      </w:r>
      <w:r w:rsidRPr="002810D8">
        <w:rPr>
          <w:color w:val="000000" w:themeColor="text1"/>
        </w:rPr>
        <w:t xml:space="preserve">" </w:t>
      </w:r>
      <w:r>
        <w:rPr>
          <w:color w:val="000000" w:themeColor="text1"/>
        </w:rPr>
        <w:t>“</w:t>
      </w:r>
      <w:r w:rsidRPr="002810D8">
        <w:rPr>
          <w:color w:val="000000" w:themeColor="text1"/>
        </w:rPr>
        <w:t>Georgia Power</w:t>
      </w:r>
      <w:r>
        <w:rPr>
          <w:color w:val="000000" w:themeColor="text1"/>
        </w:rPr>
        <w:t>,”</w:t>
      </w:r>
      <w:r w:rsidRPr="002810D8">
        <w:rPr>
          <w:color w:val="000000" w:themeColor="text1"/>
        </w:rPr>
        <w:t xml:space="preserve"> or "the Company”) 20</w:t>
      </w:r>
      <w:r>
        <w:rPr>
          <w:color w:val="000000" w:themeColor="text1"/>
        </w:rPr>
        <w:t>23</w:t>
      </w:r>
      <w:r w:rsidRPr="002810D8">
        <w:rPr>
          <w:color w:val="000000" w:themeColor="text1"/>
        </w:rPr>
        <w:t xml:space="preserve"> Request for Proposal (“RFP”)</w:t>
      </w:r>
      <w:r>
        <w:rPr>
          <w:color w:val="000000" w:themeColor="text1"/>
        </w:rPr>
        <w:t xml:space="preserve"> seeking up to 140 MW of new </w:t>
      </w:r>
      <w:r w:rsidR="00BA3E7A">
        <w:rPr>
          <w:color w:val="000000" w:themeColor="text1"/>
        </w:rPr>
        <w:t>Biomass</w:t>
      </w:r>
      <w:r>
        <w:rPr>
          <w:color w:val="000000" w:themeColor="text1"/>
        </w:rPr>
        <w:t xml:space="preserve"> generation</w:t>
      </w:r>
      <w:r w:rsidR="000211AF">
        <w:rPr>
          <w:color w:val="000000" w:themeColor="text1"/>
        </w:rPr>
        <w:t>, as defined in the RFP,</w:t>
      </w:r>
      <w:r>
        <w:rPr>
          <w:color w:val="000000" w:themeColor="text1"/>
        </w:rPr>
        <w:t xml:space="preserve"> that can be in service between June 2025 and no later than 2029</w:t>
      </w:r>
      <w:r w:rsidRPr="002810D8">
        <w:rPr>
          <w:color w:val="000000" w:themeColor="text1"/>
        </w:rPr>
        <w:t xml:space="preserve">.  </w:t>
      </w:r>
      <w:r>
        <w:t xml:space="preserve">The RFP was conducted pursuant to the rules of the Georgia Public Service Commission (“Commission” or “GPSC”).  This RFP followed an earlier unsuccessful attempt to procure </w:t>
      </w:r>
      <w:r w:rsidR="00BA3E7A">
        <w:t>Biomass</w:t>
      </w:r>
      <w:r>
        <w:t xml:space="preserve"> generation as part of the 2022-202</w:t>
      </w:r>
      <w:r w:rsidR="003D5FA8">
        <w:t>8</w:t>
      </w:r>
      <w:r>
        <w:t xml:space="preserve"> Capacity RFP.  </w:t>
      </w:r>
    </w:p>
    <w:p w14:paraId="03AB6C03" w14:textId="5ECC7315" w:rsidR="0035675B" w:rsidRDefault="000211AF" w:rsidP="0035675B">
      <w:pPr>
        <w:spacing w:after="120"/>
        <w:ind w:firstLine="720"/>
        <w:jc w:val="both"/>
      </w:pPr>
      <w:r>
        <w:t xml:space="preserve">The RFP was open to </w:t>
      </w:r>
      <w:r w:rsidR="00AA5C64">
        <w:t>new</w:t>
      </w:r>
      <w:r w:rsidR="0035675B">
        <w:t xml:space="preserve"> </w:t>
      </w:r>
      <w:r w:rsidR="00BA3E7A">
        <w:t>Biomass</w:t>
      </w:r>
      <w:r w:rsidR="0035675B">
        <w:t xml:space="preserve"> generation</w:t>
      </w:r>
      <w:r>
        <w:t xml:space="preserve">.  To qualify as </w:t>
      </w:r>
      <w:r w:rsidR="00AA5C64">
        <w:t>“</w:t>
      </w:r>
      <w:r w:rsidR="002944D5">
        <w:t>new</w:t>
      </w:r>
      <w:r w:rsidR="00AA5C64">
        <w:t>”</w:t>
      </w:r>
      <w:r>
        <w:t xml:space="preserve"> Biomass a facility could be either </w:t>
      </w:r>
      <w:r w:rsidR="0035675B">
        <w:t xml:space="preserve">entirely new construction </w:t>
      </w:r>
      <w:r w:rsidR="002944D5">
        <w:t xml:space="preserve">(“greenfield”) </w:t>
      </w:r>
      <w:r>
        <w:t>or an</w:t>
      </w:r>
      <w:r w:rsidR="0035675B">
        <w:t xml:space="preserve"> addition to existing </w:t>
      </w:r>
      <w:r w:rsidR="00BA3E7A">
        <w:t>Biomass</w:t>
      </w:r>
      <w:r w:rsidR="0035675B">
        <w:t xml:space="preserve"> Facilities.  The RFP was limited to proposals for</w:t>
      </w:r>
      <w:r w:rsidR="00845F6A">
        <w:t xml:space="preserve"> Power</w:t>
      </w:r>
      <w:r w:rsidR="0035675B">
        <w:t xml:space="preserve"> Purchase Agreements (“PPA”).  Stated differently, proposals for asset transfers to GPC and proposals for company-owned bids w</w:t>
      </w:r>
      <w:r w:rsidR="00664409">
        <w:t>ere</w:t>
      </w:r>
      <w:r w:rsidR="0035675B">
        <w:t xml:space="preserve"> </w:t>
      </w:r>
      <w:r w:rsidR="00607FD2">
        <w:t>not accepted</w:t>
      </w:r>
      <w:r w:rsidR="0035675B">
        <w:t xml:space="preserve">. </w:t>
      </w:r>
    </w:p>
    <w:p w14:paraId="481619EF" w14:textId="6E4B505C" w:rsidR="00EB529D" w:rsidRDefault="00EB529D" w:rsidP="0035675B">
      <w:pPr>
        <w:spacing w:after="120"/>
        <w:ind w:firstLine="720"/>
        <w:jc w:val="both"/>
      </w:pPr>
      <w:r>
        <w:t xml:space="preserve">Consistent with the standards used for other solicitations, </w:t>
      </w:r>
      <w:r w:rsidR="00EB7D87">
        <w:t xml:space="preserve">before the RFP and PPA were finalized, </w:t>
      </w:r>
      <w:r>
        <w:t xml:space="preserve">prospective bidders were invited to </w:t>
      </w:r>
      <w:r w:rsidR="0016700B">
        <w:t>provide comments</w:t>
      </w:r>
      <w:r w:rsidR="00F2097A">
        <w:t xml:space="preserve"> and identify terms and conditions they would need to provide conforming bids.</w:t>
      </w:r>
      <w:r w:rsidR="0016700B">
        <w:t xml:space="preserve"> </w:t>
      </w:r>
      <w:r w:rsidR="003622EA">
        <w:t xml:space="preserve"> In the RFP and during the bidders</w:t>
      </w:r>
      <w:r w:rsidR="00AA40BD">
        <w:t>’</w:t>
      </w:r>
      <w:r w:rsidR="003622EA">
        <w:t xml:space="preserve"> conference potential </w:t>
      </w:r>
      <w:r w:rsidR="00F2097A">
        <w:t xml:space="preserve">bidders were advised that, once approved by the Commission, the PPA would be a </w:t>
      </w:r>
      <w:r w:rsidR="00F90777">
        <w:t>pro forma</w:t>
      </w:r>
      <w:r w:rsidR="00F2097A">
        <w:t xml:space="preserve">, non-negotiable contract.  </w:t>
      </w:r>
      <w:r>
        <w:t xml:space="preserve">Notwithstanding adherence to </w:t>
      </w:r>
      <w:r w:rsidR="001948B2">
        <w:t xml:space="preserve">the </w:t>
      </w:r>
      <w:r>
        <w:t>GPSC</w:t>
      </w:r>
      <w:r w:rsidR="00664409">
        <w:t xml:space="preserve"> competitive process</w:t>
      </w:r>
      <w:r>
        <w:t xml:space="preserve"> requirements</w:t>
      </w:r>
      <w:r w:rsidR="00664409">
        <w:t xml:space="preserve">, only four </w:t>
      </w:r>
      <w:r w:rsidR="00754E1F">
        <w:t xml:space="preserve">(4) </w:t>
      </w:r>
      <w:r w:rsidR="00664409">
        <w:t xml:space="preserve">bids </w:t>
      </w:r>
      <w:r w:rsidR="00E04081">
        <w:t xml:space="preserve">from </w:t>
      </w:r>
      <w:r w:rsidR="00754E1F">
        <w:t>(</w:t>
      </w:r>
      <w:r w:rsidR="001948B2">
        <w:t>3</w:t>
      </w:r>
      <w:r w:rsidR="00754E1F">
        <w:t xml:space="preserve">) </w:t>
      </w:r>
      <w:r w:rsidR="00E04081">
        <w:t xml:space="preserve">bidders </w:t>
      </w:r>
      <w:r w:rsidR="00664409">
        <w:t xml:space="preserve">were received.  </w:t>
      </w:r>
      <w:r>
        <w:t xml:space="preserve">The IE believes this reflects the limited number of </w:t>
      </w:r>
      <w:r w:rsidR="00BA3E7A">
        <w:t>Biomass</w:t>
      </w:r>
      <w:r>
        <w:t xml:space="preserve"> developers willing to supply GPC from compliant facilities.  </w:t>
      </w:r>
    </w:p>
    <w:p w14:paraId="00FCF744" w14:textId="4DBFE549" w:rsidR="00664409" w:rsidRDefault="00EB529D" w:rsidP="0035675B">
      <w:pPr>
        <w:spacing w:after="120"/>
        <w:ind w:firstLine="720"/>
        <w:jc w:val="both"/>
      </w:pPr>
      <w:r>
        <w:t xml:space="preserve">Of the </w:t>
      </w:r>
      <w:r w:rsidR="00F90777">
        <w:t>4 submitted</w:t>
      </w:r>
      <w:r>
        <w:t xml:space="preserve"> bids, </w:t>
      </w:r>
      <w:r w:rsidR="000211AF">
        <w:t>3</w:t>
      </w:r>
      <w:r>
        <w:t xml:space="preserve"> </w:t>
      </w:r>
      <w:r w:rsidR="00E04081">
        <w:t xml:space="preserve">bids from 2 bidders </w:t>
      </w:r>
      <w:r>
        <w:t xml:space="preserve">advanced to the </w:t>
      </w:r>
      <w:r w:rsidR="00FC67AB">
        <w:t>short list</w:t>
      </w:r>
      <w:r>
        <w:t xml:space="preserve">.  </w:t>
      </w:r>
      <w:r w:rsidR="00D27EC0">
        <w:t>T</w:t>
      </w:r>
      <w:r w:rsidR="00664409">
        <w:t>o fulfill the Commission’s policy goals articulated in the 2022 Integrated Resource Plan Order,</w:t>
      </w:r>
      <w:r w:rsidR="008A51B8">
        <w:t xml:space="preserve"> (“2022 IRP Order”)</w:t>
      </w:r>
      <w:r w:rsidR="00512275">
        <w:rPr>
          <w:rStyle w:val="FootnoteReference"/>
        </w:rPr>
        <w:footnoteReference w:id="1"/>
      </w:r>
      <w:r w:rsidR="00664409">
        <w:t xml:space="preserve"> GPC executed contracts </w:t>
      </w:r>
      <w:r w:rsidR="00FC67AB">
        <w:t xml:space="preserve">for </w:t>
      </w:r>
      <w:r w:rsidR="00664409">
        <w:t>each of th</w:t>
      </w:r>
      <w:r w:rsidR="00FC67AB">
        <w:t>os</w:t>
      </w:r>
      <w:r w:rsidR="00664409">
        <w:t xml:space="preserve">e three bids.  Two bids for small additions to existing </w:t>
      </w:r>
      <w:r w:rsidR="00BA3E7A">
        <w:t>Biomass</w:t>
      </w:r>
      <w:r w:rsidR="00664409">
        <w:t xml:space="preserve"> plants totaling 7.9 MW were contracted for 10 years, and one 70 MW greenfield plant was contracted for 30 years. </w:t>
      </w:r>
    </w:p>
    <w:p w14:paraId="5A3C6D7E" w14:textId="7252CEDD" w:rsidR="00D30962" w:rsidRDefault="00664409" w:rsidP="0035675B">
      <w:pPr>
        <w:spacing w:after="120"/>
        <w:ind w:firstLine="720"/>
        <w:jc w:val="both"/>
      </w:pPr>
      <w:r>
        <w:t>The price</w:t>
      </w:r>
      <w:r w:rsidR="00EB529D">
        <w:t>s</w:t>
      </w:r>
      <w:r>
        <w:t xml:space="preserve"> of the contracted </w:t>
      </w:r>
      <w:r w:rsidR="00BA3E7A">
        <w:t>Biomass</w:t>
      </w:r>
      <w:r>
        <w:t xml:space="preserve"> </w:t>
      </w:r>
      <w:r w:rsidR="00EB529D">
        <w:t>are</w:t>
      </w:r>
      <w:r>
        <w:t xml:space="preserve"> exceptionally high</w:t>
      </w:r>
      <w:r w:rsidR="00EB529D">
        <w:t xml:space="preserve"> when compared to the Company’s avoided cost</w:t>
      </w:r>
      <w:r>
        <w:t xml:space="preserve">.  </w:t>
      </w:r>
      <w:bookmarkStart w:id="0" w:name="_Hlk174357370"/>
      <w:r w:rsidR="00D30962">
        <w:t xml:space="preserve">The calculation of the cost to ratepayers above avoided </w:t>
      </w:r>
      <w:r w:rsidR="00D30962">
        <w:lastRenderedPageBreak/>
        <w:t xml:space="preserve">cost in the first year and over the full term of the PPAs is provided in Confidential Appendix A.  </w:t>
      </w:r>
    </w:p>
    <w:bookmarkEnd w:id="0"/>
    <w:p w14:paraId="18FDD540" w14:textId="47D6B463" w:rsidR="00E04081" w:rsidRDefault="00F2097A" w:rsidP="0035675B">
      <w:pPr>
        <w:spacing w:after="120"/>
        <w:ind w:firstLine="720"/>
        <w:jc w:val="both"/>
      </w:pPr>
      <w:r>
        <w:t xml:space="preserve">In order to meet the Commission’s goal of including </w:t>
      </w:r>
      <w:r w:rsidR="00BA3E7A">
        <w:t>Biomass</w:t>
      </w:r>
      <w:r>
        <w:t xml:space="preserve"> generation in the GPC portfolio, Georgia Power </w:t>
      </w:r>
      <w:r w:rsidR="00E96B98">
        <w:t xml:space="preserve">deviated from established practice in two ways.  The first was </w:t>
      </w:r>
      <w:r w:rsidR="00E04081">
        <w:t xml:space="preserve">permitting a bidder that had withdrawn from the RFP to rejuvenate a bid.  The second was to engage in </w:t>
      </w:r>
      <w:r w:rsidR="00664409">
        <w:t>lengthy negotiations over contract terms</w:t>
      </w:r>
      <w:r w:rsidR="00E04081">
        <w:t xml:space="preserve"> with that bidder, beyond the </w:t>
      </w:r>
      <w:r w:rsidR="00D27EC0">
        <w:t xml:space="preserve">established GPC practice of </w:t>
      </w:r>
      <w:r w:rsidR="000211AF">
        <w:t xml:space="preserve">only </w:t>
      </w:r>
      <w:r w:rsidR="002944D5">
        <w:t>clarifying</w:t>
      </w:r>
      <w:r w:rsidR="00E04081">
        <w:t xml:space="preserve"> PPA terms.  </w:t>
      </w:r>
    </w:p>
    <w:p w14:paraId="2D176028" w14:textId="27E9282A" w:rsidR="00E94869" w:rsidRDefault="00E94869" w:rsidP="002E47FA">
      <w:pPr>
        <w:spacing w:after="240"/>
        <w:ind w:firstLine="720"/>
        <w:jc w:val="both"/>
      </w:pPr>
      <w:r>
        <w:t xml:space="preserve">Working closely with the Staff of the GPSC </w:t>
      </w:r>
      <w:r w:rsidR="002944D5">
        <w:t xml:space="preserve">(“Staff”) </w:t>
      </w:r>
      <w:r>
        <w:t xml:space="preserve">the IE coordinated all aspects of the RFP with GPC to ensure conformity to the requirements of the Commission.  </w:t>
      </w:r>
      <w:r w:rsidR="002944D5">
        <w:t xml:space="preserve">The RFP documents were thorough, unambiguous, and comprehensive.  </w:t>
      </w:r>
      <w:r>
        <w:t>The IE believes that the RFP was conducted fairly and is unaware of any bias for or against any participant.  The IE is unaware of any violations of the standards of conduct by any GPC personnel</w:t>
      </w:r>
      <w:r w:rsidR="00841414">
        <w:t>.  W</w:t>
      </w:r>
      <w:r>
        <w:t>hile one bidder repeated</w:t>
      </w:r>
      <w:r w:rsidR="00716C7B">
        <w:t>ly</w:t>
      </w:r>
      <w:r>
        <w:t xml:space="preserve"> violated the standards, </w:t>
      </w:r>
      <w:r w:rsidR="00841414">
        <w:t>GPC personnel declined to engage the individual, referred each incident to the IE, and the IE confirmed that the bidder’s actions</w:t>
      </w:r>
      <w:r w:rsidR="00716C7B">
        <w:t xml:space="preserve"> did</w:t>
      </w:r>
      <w:r w:rsidR="00841414">
        <w:t xml:space="preserve"> not warrant disqualification of bids.  Accordingly, the IE believes the only issue about the RFP that is before the Commission will be the benefit of the contracts.   </w:t>
      </w:r>
      <w:r>
        <w:t xml:space="preserve">  </w:t>
      </w:r>
    </w:p>
    <w:p w14:paraId="68B89123" w14:textId="3A02EE2C" w:rsidR="0035675B" w:rsidRPr="000C2C73" w:rsidRDefault="00A158C3" w:rsidP="00937ED5">
      <w:pPr>
        <w:pStyle w:val="ListParagraph"/>
        <w:numPr>
          <w:ilvl w:val="0"/>
          <w:numId w:val="3"/>
        </w:numPr>
        <w:spacing w:after="120"/>
        <w:ind w:left="360"/>
        <w:jc w:val="both"/>
        <w:rPr>
          <w:b/>
          <w:bCs/>
          <w:color w:val="000000" w:themeColor="text1"/>
        </w:rPr>
      </w:pPr>
      <w:r w:rsidRPr="000C2C73">
        <w:rPr>
          <w:b/>
          <w:bCs/>
          <w:color w:val="000000" w:themeColor="text1"/>
        </w:rPr>
        <w:t>BACKGROUND</w:t>
      </w:r>
    </w:p>
    <w:p w14:paraId="0BA4D3CB" w14:textId="053802F5" w:rsidR="0035675B" w:rsidRPr="000211AF" w:rsidRDefault="0035675B" w:rsidP="000211AF">
      <w:pPr>
        <w:spacing w:after="120"/>
        <w:ind w:firstLine="720"/>
        <w:jc w:val="both"/>
        <w:rPr>
          <w:color w:val="000000" w:themeColor="text1"/>
        </w:rPr>
      </w:pPr>
      <w:r>
        <w:rPr>
          <w:color w:val="000000" w:themeColor="text1"/>
        </w:rPr>
        <w:t>T</w:t>
      </w:r>
      <w:r w:rsidRPr="00F407A0">
        <w:rPr>
          <w:color w:val="000000" w:themeColor="text1"/>
        </w:rPr>
        <w:t>h</w:t>
      </w:r>
      <w:r>
        <w:rPr>
          <w:color w:val="000000" w:themeColor="text1"/>
        </w:rPr>
        <w:t>e</w:t>
      </w:r>
      <w:r w:rsidRPr="00F407A0">
        <w:rPr>
          <w:color w:val="000000" w:themeColor="text1"/>
        </w:rPr>
        <w:t xml:space="preserve"> RFP </w:t>
      </w:r>
      <w:r>
        <w:rPr>
          <w:color w:val="000000" w:themeColor="text1"/>
        </w:rPr>
        <w:t>was designed</w:t>
      </w:r>
      <w:r w:rsidRPr="00F407A0">
        <w:rPr>
          <w:color w:val="000000" w:themeColor="text1"/>
        </w:rPr>
        <w:t xml:space="preserve"> to procure</w:t>
      </w:r>
      <w:r w:rsidR="0033264B">
        <w:rPr>
          <w:color w:val="000000" w:themeColor="text1"/>
        </w:rPr>
        <w:t xml:space="preserve"> up to 140 MW of new </w:t>
      </w:r>
      <w:r w:rsidR="000211AF">
        <w:rPr>
          <w:color w:val="000000" w:themeColor="text1"/>
        </w:rPr>
        <w:t xml:space="preserve">Biomass </w:t>
      </w:r>
      <w:r w:rsidR="0033264B">
        <w:rPr>
          <w:color w:val="000000" w:themeColor="text1"/>
        </w:rPr>
        <w:t>generation</w:t>
      </w:r>
      <w:r w:rsidR="000211AF">
        <w:rPr>
          <w:color w:val="000000" w:themeColor="text1"/>
        </w:rPr>
        <w:t>.</w:t>
      </w:r>
      <w:r w:rsidR="000211AF">
        <w:t xml:space="preserve">  </w:t>
      </w:r>
      <w:r>
        <w:rPr>
          <w:color w:val="000000" w:themeColor="text1"/>
        </w:rPr>
        <w:t xml:space="preserve">The </w:t>
      </w:r>
      <w:r w:rsidR="00A158C3">
        <w:rPr>
          <w:color w:val="000000" w:themeColor="text1"/>
        </w:rPr>
        <w:t xml:space="preserve">solicitation was conducted through the IE </w:t>
      </w:r>
      <w:r>
        <w:rPr>
          <w:color w:val="000000" w:themeColor="text1"/>
        </w:rPr>
        <w:t>Website</w:t>
      </w:r>
      <w:r w:rsidR="00A158C3">
        <w:rPr>
          <w:color w:val="000000" w:themeColor="text1"/>
        </w:rPr>
        <w:t xml:space="preserve">.  </w:t>
      </w:r>
      <w:r w:rsidR="000211AF">
        <w:rPr>
          <w:color w:val="000000" w:themeColor="text1"/>
        </w:rPr>
        <w:t>The IE Website was opened for registration on December 15, 202</w:t>
      </w:r>
      <w:r w:rsidR="003D5FA8">
        <w:rPr>
          <w:color w:val="000000" w:themeColor="text1"/>
        </w:rPr>
        <w:t>2</w:t>
      </w:r>
      <w:r w:rsidR="000211AF">
        <w:rPr>
          <w:color w:val="000000" w:themeColor="text1"/>
        </w:rPr>
        <w:t xml:space="preserve">.  </w:t>
      </w:r>
      <w:r w:rsidR="000211AF">
        <w:t xml:space="preserve">Participants in the prior Biomass RFP were advised of this RFP and as a courtesy their prior registrations and submitted bids were carried over to the website for this RFP.  Release of the RFP was also sent to registrants on the IE’s proprietary distribution list.  </w:t>
      </w:r>
      <w:r>
        <w:rPr>
          <w:color w:val="000000" w:themeColor="text1"/>
        </w:rPr>
        <w:t>After approval by the GPSC, the initial RFP was released on the IE Website on April 28, 2023</w:t>
      </w:r>
      <w:r w:rsidR="00664409">
        <w:rPr>
          <w:color w:val="000000" w:themeColor="text1"/>
        </w:rPr>
        <w:t>.  The RFP was revised to exclude tire</w:t>
      </w:r>
      <w:r w:rsidR="000211AF">
        <w:rPr>
          <w:color w:val="000000" w:themeColor="text1"/>
        </w:rPr>
        <w:t>-</w:t>
      </w:r>
      <w:r w:rsidR="00664409">
        <w:rPr>
          <w:color w:val="000000" w:themeColor="text1"/>
        </w:rPr>
        <w:t>derived fuel</w:t>
      </w:r>
      <w:r>
        <w:rPr>
          <w:color w:val="000000" w:themeColor="text1"/>
        </w:rPr>
        <w:t xml:space="preserve"> and posted on the IE Website on June 16, 2023.  The bid period opened on May 3, 2023, and closed on July 14, 2023</w:t>
      </w:r>
      <w:r w:rsidR="00A158C3">
        <w:rPr>
          <w:color w:val="000000" w:themeColor="text1"/>
        </w:rPr>
        <w:t>;</w:t>
      </w:r>
      <w:r>
        <w:rPr>
          <w:color w:val="000000" w:themeColor="text1"/>
        </w:rPr>
        <w:t xml:space="preserve"> approximately one month after the </w:t>
      </w:r>
      <w:r w:rsidR="00664409">
        <w:rPr>
          <w:color w:val="000000" w:themeColor="text1"/>
        </w:rPr>
        <w:t xml:space="preserve">revised </w:t>
      </w:r>
      <w:r>
        <w:rPr>
          <w:color w:val="000000" w:themeColor="text1"/>
        </w:rPr>
        <w:t xml:space="preserve">RFP was available to bidders.  </w:t>
      </w:r>
    </w:p>
    <w:p w14:paraId="4D5DD1AF" w14:textId="517CB135" w:rsidR="0035675B" w:rsidRDefault="0035675B" w:rsidP="0035675B">
      <w:pPr>
        <w:spacing w:after="120"/>
        <w:ind w:firstLine="720"/>
        <w:jc w:val="both"/>
        <w:rPr>
          <w:color w:val="000000" w:themeColor="text1"/>
        </w:rPr>
      </w:pPr>
      <w:r>
        <w:rPr>
          <w:color w:val="000000" w:themeColor="text1"/>
        </w:rPr>
        <w:t xml:space="preserve">Acceptable PPA terms of 10, 15, 20, 25, and 30 Annual Periods were available to bidders.  </w:t>
      </w:r>
      <w:r w:rsidR="0033264B">
        <w:rPr>
          <w:color w:val="000000" w:themeColor="text1"/>
        </w:rPr>
        <w:t xml:space="preserve">Individual </w:t>
      </w:r>
      <w:r w:rsidR="00BA3E7A">
        <w:rPr>
          <w:color w:val="000000" w:themeColor="text1"/>
        </w:rPr>
        <w:t>Biomass</w:t>
      </w:r>
      <w:r>
        <w:rPr>
          <w:color w:val="000000" w:themeColor="text1"/>
        </w:rPr>
        <w:t xml:space="preserve"> projects up to </w:t>
      </w:r>
      <w:r w:rsidR="0033264B">
        <w:rPr>
          <w:color w:val="000000" w:themeColor="text1"/>
        </w:rPr>
        <w:t>80</w:t>
      </w:r>
      <w:r>
        <w:rPr>
          <w:color w:val="000000" w:themeColor="text1"/>
        </w:rPr>
        <w:t xml:space="preserve"> MW were acceptable.            </w:t>
      </w:r>
    </w:p>
    <w:p w14:paraId="39698DE6" w14:textId="37FD9614" w:rsidR="0035675B" w:rsidRDefault="0035675B" w:rsidP="002E47FA">
      <w:pPr>
        <w:spacing w:after="240"/>
        <w:ind w:firstLine="720"/>
        <w:jc w:val="both"/>
        <w:rPr>
          <w:color w:val="000000" w:themeColor="text1"/>
        </w:rPr>
      </w:pPr>
      <w:r>
        <w:rPr>
          <w:color w:val="000000" w:themeColor="text1"/>
        </w:rPr>
        <w:t xml:space="preserve">To be </w:t>
      </w:r>
      <w:r w:rsidR="00A158C3">
        <w:rPr>
          <w:color w:val="000000" w:themeColor="text1"/>
        </w:rPr>
        <w:t>eligible</w:t>
      </w:r>
      <w:r>
        <w:rPr>
          <w:color w:val="000000" w:themeColor="text1"/>
        </w:rPr>
        <w:t xml:space="preserve">, </w:t>
      </w:r>
      <w:r w:rsidR="00DA1836">
        <w:rPr>
          <w:color w:val="000000" w:themeColor="text1"/>
        </w:rPr>
        <w:t xml:space="preserve">energy produced by </w:t>
      </w:r>
      <w:r>
        <w:rPr>
          <w:color w:val="000000" w:themeColor="text1"/>
        </w:rPr>
        <w:t xml:space="preserve">a Facility had to be fueled by </w:t>
      </w:r>
      <w:r w:rsidR="00BA3E7A">
        <w:rPr>
          <w:color w:val="000000" w:themeColor="text1"/>
        </w:rPr>
        <w:t>Biomass</w:t>
      </w:r>
      <w:r>
        <w:rPr>
          <w:color w:val="000000" w:themeColor="text1"/>
        </w:rPr>
        <w:t xml:space="preserve"> and include all Environmental Attributes and all Electrical Products as part of a bid.  The RFP provided that natural gas could only be used for the limited purpose of startup and </w:t>
      </w:r>
      <w:r>
        <w:rPr>
          <w:color w:val="000000" w:themeColor="text1"/>
        </w:rPr>
        <w:lastRenderedPageBreak/>
        <w:t>shutdown of a Facility.   For purposes of the RFP,</w:t>
      </w:r>
      <w:r w:rsidR="00607FD2" w:rsidRPr="00DE291C">
        <w:rPr>
          <w:color w:val="000000" w:themeColor="text1"/>
        </w:rPr>
        <w:t xml:space="preserve"> </w:t>
      </w:r>
      <w:r w:rsidR="00BA3E7A">
        <w:rPr>
          <w:color w:val="000000" w:themeColor="text1"/>
        </w:rPr>
        <w:t>Biomass</w:t>
      </w:r>
      <w:r w:rsidR="00085E3E">
        <w:rPr>
          <w:color w:val="000000" w:themeColor="text1"/>
        </w:rPr>
        <w:t xml:space="preserve"> was defined as </w:t>
      </w:r>
      <w:r w:rsidRPr="00DE291C">
        <w:rPr>
          <w:color w:val="000000" w:themeColor="text1"/>
        </w:rPr>
        <w:t>“</w:t>
      </w:r>
      <w:r w:rsidR="00BA3E7A">
        <w:rPr>
          <w:color w:val="000000" w:themeColor="text1"/>
        </w:rPr>
        <w:t>Biomass</w:t>
      </w:r>
      <w:r w:rsidRPr="00DE291C">
        <w:rPr>
          <w:color w:val="000000" w:themeColor="text1"/>
        </w:rPr>
        <w:t xml:space="preserve"> material” as contemplated by Georgia law, O.C.G.A.</w:t>
      </w:r>
      <w:r>
        <w:rPr>
          <w:color w:val="000000" w:themeColor="text1"/>
        </w:rPr>
        <w:t xml:space="preserve"> </w:t>
      </w:r>
      <w:r>
        <w:rPr>
          <w:rFonts w:cs="Calibri"/>
          <w:color w:val="000000" w:themeColor="text1"/>
        </w:rPr>
        <w:t>§</w:t>
      </w:r>
      <w:r w:rsidRPr="00DE291C">
        <w:rPr>
          <w:color w:val="000000" w:themeColor="text1"/>
        </w:rPr>
        <w:t xml:space="preserve"> 48-8-3(83)(B)</w:t>
      </w:r>
      <w:r>
        <w:rPr>
          <w:rStyle w:val="FootnoteReference"/>
          <w:color w:val="000000" w:themeColor="text1"/>
        </w:rPr>
        <w:footnoteReference w:id="2"/>
      </w:r>
      <w:r w:rsidR="00A158C3">
        <w:rPr>
          <w:color w:val="000000" w:themeColor="text1"/>
        </w:rPr>
        <w:t xml:space="preserve"> or “woody </w:t>
      </w:r>
      <w:r w:rsidR="00BA3E7A">
        <w:rPr>
          <w:color w:val="000000" w:themeColor="text1"/>
        </w:rPr>
        <w:t>Biomass</w:t>
      </w:r>
      <w:r w:rsidRPr="00DE291C">
        <w:rPr>
          <w:color w:val="000000" w:themeColor="text1"/>
        </w:rPr>
        <w:t>.</w:t>
      </w:r>
      <w:r w:rsidR="00A158C3">
        <w:rPr>
          <w:color w:val="000000" w:themeColor="text1"/>
        </w:rPr>
        <w:t>”</w:t>
      </w:r>
      <w:r>
        <w:rPr>
          <w:color w:val="000000" w:themeColor="text1"/>
        </w:rPr>
        <w:t xml:space="preserve"> </w:t>
      </w:r>
    </w:p>
    <w:p w14:paraId="2F1702DB" w14:textId="4EDD7566" w:rsidR="00274ABA" w:rsidRDefault="00274ABA" w:rsidP="00937ED5">
      <w:pPr>
        <w:pStyle w:val="ListParagraph"/>
        <w:numPr>
          <w:ilvl w:val="0"/>
          <w:numId w:val="3"/>
        </w:numPr>
        <w:spacing w:after="120"/>
        <w:ind w:left="360"/>
        <w:jc w:val="both"/>
        <w:rPr>
          <w:b/>
          <w:bCs/>
          <w:color w:val="000000" w:themeColor="text1"/>
        </w:rPr>
      </w:pPr>
      <w:r>
        <w:rPr>
          <w:b/>
          <w:bCs/>
          <w:color w:val="000000" w:themeColor="text1"/>
        </w:rPr>
        <w:t>STANDARDS OF CONDUCT</w:t>
      </w:r>
    </w:p>
    <w:p w14:paraId="4B471E63" w14:textId="0EDE4AC3" w:rsidR="00274ABA" w:rsidRDefault="00274ABA" w:rsidP="00937ED5">
      <w:pPr>
        <w:spacing w:after="120"/>
        <w:ind w:firstLine="720"/>
        <w:jc w:val="both"/>
        <w:rPr>
          <w:snapToGrid w:val="0"/>
        </w:rPr>
      </w:pPr>
      <w:r>
        <w:rPr>
          <w:snapToGrid w:val="0"/>
        </w:rPr>
        <w:t xml:space="preserve">To avoid any conflict of interest, perceived or otherwise, GPC published the names of </w:t>
      </w:r>
      <w:r w:rsidR="00D34829">
        <w:rPr>
          <w:snapToGrid w:val="0"/>
        </w:rPr>
        <w:t xml:space="preserve">individuals designated to evaluate the RFP </w:t>
      </w:r>
      <w:r>
        <w:rPr>
          <w:snapToGrid w:val="0"/>
        </w:rPr>
        <w:t>on December 14, 2022. Each Evaluation Team member, in compliance with the Commission’s Rules (</w:t>
      </w:r>
      <w:r>
        <w:t>Commission Rule 515-3-4-.04(3))</w:t>
      </w:r>
      <w:r>
        <w:rPr>
          <w:snapToGrid w:val="0"/>
        </w:rPr>
        <w:t>, acknowledged in writing the member’s adherence to the Standards of Conduct governing the implementation of the RFP</w:t>
      </w:r>
      <w:r w:rsidR="00D34829">
        <w:rPr>
          <w:snapToGrid w:val="0"/>
        </w:rPr>
        <w:t xml:space="preserve">.  </w:t>
      </w:r>
      <w:r w:rsidR="00D34829" w:rsidRPr="00D34829">
        <w:rPr>
          <w:snapToGrid w:val="0"/>
        </w:rPr>
        <w:t xml:space="preserve">The Evaluation Team list was updated periodically as necessary.  </w:t>
      </w:r>
    </w:p>
    <w:p w14:paraId="3C669116" w14:textId="00BE4224" w:rsidR="009A12F5" w:rsidRDefault="009A12F5" w:rsidP="00995ED8">
      <w:pPr>
        <w:spacing w:after="240"/>
        <w:ind w:firstLine="720"/>
        <w:jc w:val="both"/>
        <w:rPr>
          <w:snapToGrid w:val="0"/>
        </w:rPr>
      </w:pPr>
      <w:r>
        <w:rPr>
          <w:snapToGrid w:val="0"/>
        </w:rPr>
        <w:t>One bidder</w:t>
      </w:r>
      <w:r w:rsidR="00607FD2">
        <w:rPr>
          <w:snapToGrid w:val="0"/>
        </w:rPr>
        <w:t xml:space="preserve"> </w:t>
      </w:r>
      <w:r>
        <w:rPr>
          <w:snapToGrid w:val="0"/>
        </w:rPr>
        <w:t xml:space="preserve">was reminded on several occasions not to contact GPC personnel directly about its bids.  </w:t>
      </w:r>
      <w:r w:rsidR="000211AF">
        <w:rPr>
          <w:snapToGrid w:val="0"/>
        </w:rPr>
        <w:t>For example, o</w:t>
      </w:r>
      <w:r>
        <w:rPr>
          <w:snapToGrid w:val="0"/>
        </w:rPr>
        <w:t>n March 6, 2024, the IE cautioned that bidder:</w:t>
      </w:r>
    </w:p>
    <w:p w14:paraId="5EEB09B0" w14:textId="0F9A13ED" w:rsidR="0000316A" w:rsidRPr="00995ED8" w:rsidRDefault="009A12F5" w:rsidP="00995ED8">
      <w:pPr>
        <w:pStyle w:val="ListParagraph"/>
        <w:tabs>
          <w:tab w:val="left" w:pos="7920"/>
        </w:tabs>
        <w:spacing w:after="120" w:line="276" w:lineRule="auto"/>
        <w:ind w:right="1080"/>
        <w:jc w:val="both"/>
        <w:rPr>
          <w:i/>
          <w:iCs/>
          <w:color w:val="000000" w:themeColor="text1"/>
          <w:sz w:val="22"/>
          <w:szCs w:val="22"/>
        </w:rPr>
      </w:pPr>
      <w:r w:rsidRPr="00995ED8">
        <w:rPr>
          <w:i/>
          <w:iCs/>
          <w:color w:val="000000" w:themeColor="text1"/>
          <w:sz w:val="22"/>
          <w:szCs w:val="22"/>
        </w:rPr>
        <w:t>It has come to my attention that you have once again ignored the rules of the Georgia Public Service Commission, and the explicit standards set forth in the RFP by contacting Georgia Power Company personnel about your project.  As you have been reminded in the past, ALL communications are to occur through the RFP website message board.  The Commission requires a thorough and accurate record of all exchanges between GPC and bidders until the RFP is completed.  As you have been advised in the past, repeated violation of the Commission's rules can result in a bid being removed from further consideration.</w:t>
      </w:r>
    </w:p>
    <w:p w14:paraId="24FB3760" w14:textId="77777777" w:rsidR="0000316A" w:rsidRDefault="0000316A">
      <w:pPr>
        <w:rPr>
          <w:color w:val="000000" w:themeColor="text1"/>
          <w:sz w:val="22"/>
          <w:szCs w:val="22"/>
        </w:rPr>
      </w:pPr>
      <w:r>
        <w:rPr>
          <w:color w:val="000000" w:themeColor="text1"/>
          <w:sz w:val="22"/>
          <w:szCs w:val="22"/>
        </w:rPr>
        <w:br w:type="page"/>
      </w:r>
    </w:p>
    <w:p w14:paraId="274B3950" w14:textId="21B7F728" w:rsidR="00D34829" w:rsidRPr="002E47FA" w:rsidRDefault="000C2C73" w:rsidP="002E47FA">
      <w:pPr>
        <w:pStyle w:val="ListParagraph"/>
        <w:numPr>
          <w:ilvl w:val="0"/>
          <w:numId w:val="3"/>
        </w:numPr>
        <w:spacing w:after="120"/>
        <w:contextualSpacing w:val="0"/>
        <w:jc w:val="both"/>
        <w:rPr>
          <w:b/>
          <w:bCs/>
          <w:color w:val="000000" w:themeColor="text1"/>
        </w:rPr>
      </w:pPr>
      <w:r w:rsidRPr="00937ED5">
        <w:rPr>
          <w:b/>
          <w:bCs/>
          <w:color w:val="000000" w:themeColor="text1"/>
        </w:rPr>
        <w:lastRenderedPageBreak/>
        <w:t>PROCUREMENT WEBSITE</w:t>
      </w:r>
    </w:p>
    <w:p w14:paraId="7EC5C065" w14:textId="29918908" w:rsidR="00271B7E" w:rsidRPr="00867A79" w:rsidRDefault="00C537E3" w:rsidP="00995ED8">
      <w:pPr>
        <w:pStyle w:val="ListParagraph"/>
        <w:numPr>
          <w:ilvl w:val="0"/>
          <w:numId w:val="2"/>
        </w:numPr>
        <w:spacing w:after="120"/>
        <w:contextualSpacing w:val="0"/>
        <w:rPr>
          <w:rFonts w:eastAsia="Arial" w:cs="Calibri"/>
          <w:b/>
          <w:bCs/>
          <w:color w:val="0F4761" w:themeColor="accent1" w:themeShade="BF"/>
        </w:rPr>
      </w:pPr>
      <w:r>
        <w:rPr>
          <w:rFonts w:eastAsia="Arial" w:cs="Calibri"/>
          <w:b/>
          <w:bCs/>
          <w:color w:val="0F4761" w:themeColor="accent1" w:themeShade="BF"/>
        </w:rPr>
        <w:t>Webs</w:t>
      </w:r>
      <w:r w:rsidR="00271B7E" w:rsidRPr="00867A79">
        <w:rPr>
          <w:rFonts w:eastAsia="Arial" w:cs="Calibri"/>
          <w:b/>
          <w:bCs/>
          <w:color w:val="0F4761" w:themeColor="accent1" w:themeShade="BF"/>
        </w:rPr>
        <w:t xml:space="preserve">ite Launch </w:t>
      </w:r>
    </w:p>
    <w:p w14:paraId="0C9DCFB3" w14:textId="5EBF7C90" w:rsidR="00767AB1" w:rsidRDefault="00271B7E" w:rsidP="00140BEF">
      <w:pPr>
        <w:ind w:firstLine="720"/>
        <w:jc w:val="both"/>
        <w:rPr>
          <w:rFonts w:eastAsia="Arial" w:cs="Calibri"/>
          <w:color w:val="000000" w:themeColor="text1"/>
        </w:rPr>
      </w:pPr>
      <w:r w:rsidRPr="00271B7E">
        <w:rPr>
          <w:rFonts w:eastAsia="Arial" w:cs="Calibri"/>
          <w:color w:val="000000" w:themeColor="text1"/>
        </w:rPr>
        <w:t xml:space="preserve">On December 15, 2022, the solicitation website for the 2023 </w:t>
      </w:r>
      <w:r w:rsidR="00BA3E7A">
        <w:rPr>
          <w:rFonts w:eastAsia="Arial" w:cs="Calibri"/>
          <w:color w:val="000000" w:themeColor="text1"/>
        </w:rPr>
        <w:t>Biomass</w:t>
      </w:r>
      <w:r w:rsidRPr="00271B7E">
        <w:rPr>
          <w:rFonts w:eastAsia="Arial" w:cs="Calibri"/>
          <w:color w:val="000000" w:themeColor="text1"/>
        </w:rPr>
        <w:t xml:space="preserve"> RFP was launched and made accessible to the public. </w:t>
      </w:r>
      <w:r w:rsidR="00767AB1">
        <w:rPr>
          <w:rFonts w:eastAsia="Arial" w:cs="Calibri"/>
          <w:color w:val="000000" w:themeColor="text1"/>
        </w:rPr>
        <w:t>On December 19, 2022,</w:t>
      </w:r>
      <w:r w:rsidRPr="00271B7E">
        <w:rPr>
          <w:rFonts w:eastAsia="Arial" w:cs="Calibri"/>
          <w:color w:val="000000" w:themeColor="text1"/>
        </w:rPr>
        <w:t xml:space="preserve"> </w:t>
      </w:r>
      <w:r w:rsidR="00767AB1">
        <w:rPr>
          <w:rFonts w:eastAsia="Arial" w:cs="Calibri"/>
          <w:color w:val="000000" w:themeColor="text1"/>
        </w:rPr>
        <w:t>the following message</w:t>
      </w:r>
      <w:r w:rsidRPr="00271B7E">
        <w:rPr>
          <w:rFonts w:eastAsia="Arial" w:cs="Calibri"/>
          <w:color w:val="000000" w:themeColor="text1"/>
        </w:rPr>
        <w:t xml:space="preserve"> was delivered to 5,681 potential market participants encouraging them to register on the website and partake in the upcoming RFP</w:t>
      </w:r>
      <w:r w:rsidR="00767AB1">
        <w:rPr>
          <w:rFonts w:eastAsia="Arial" w:cs="Calibri"/>
          <w:color w:val="000000" w:themeColor="text1"/>
        </w:rPr>
        <w:t>:</w:t>
      </w:r>
      <w:r w:rsidRPr="00271B7E">
        <w:rPr>
          <w:rFonts w:eastAsia="Arial" w:cs="Calibri"/>
          <w:color w:val="000000" w:themeColor="text1"/>
        </w:rPr>
        <w:t xml:space="preserve"> </w:t>
      </w:r>
    </w:p>
    <w:p w14:paraId="211401F0" w14:textId="4483CB0B" w:rsidR="00140BEF" w:rsidRPr="002E47FA" w:rsidRDefault="00140BEF" w:rsidP="00140BEF">
      <w:pPr>
        <w:ind w:firstLine="720"/>
        <w:jc w:val="both"/>
        <w:rPr>
          <w:rFonts w:eastAsia="Arial" w:cs="Calibri"/>
          <w:i/>
          <w:iCs/>
          <w:color w:val="074F6A" w:themeColor="accent4" w:themeShade="80"/>
          <w:sz w:val="20"/>
          <w:szCs w:val="20"/>
        </w:rPr>
      </w:pPr>
      <w:r w:rsidRPr="002E47FA">
        <w:rPr>
          <w:rFonts w:eastAsia="Arial" w:cs="Calibri"/>
          <w:i/>
          <w:iCs/>
          <w:color w:val="074F6A" w:themeColor="accent4" w:themeShade="80"/>
          <w:sz w:val="20"/>
          <w:szCs w:val="20"/>
        </w:rPr>
        <w:t>12/19/2022 11:33:20 AM</w:t>
      </w:r>
    </w:p>
    <w:p w14:paraId="3ECD0239" w14:textId="5EFE8247" w:rsidR="000D28B4" w:rsidRPr="002E47FA" w:rsidRDefault="00767AB1" w:rsidP="002944D5">
      <w:pPr>
        <w:tabs>
          <w:tab w:val="left" w:pos="8640"/>
        </w:tabs>
        <w:ind w:left="360" w:right="360"/>
        <w:jc w:val="both"/>
        <w:rPr>
          <w:rFonts w:eastAsia="Arial" w:cs="Calibri"/>
          <w:i/>
          <w:iCs/>
          <w:color w:val="074F6A" w:themeColor="accent4" w:themeShade="80"/>
          <w:sz w:val="20"/>
          <w:szCs w:val="20"/>
        </w:rPr>
      </w:pPr>
      <w:r w:rsidRPr="002E47FA">
        <w:rPr>
          <w:rFonts w:eastAsia="Arial" w:cs="Calibri"/>
          <w:i/>
          <w:iCs/>
          <w:color w:val="074F6A" w:themeColor="accent4" w:themeShade="80"/>
          <w:sz w:val="20"/>
          <w:szCs w:val="20"/>
        </w:rPr>
        <w:t xml:space="preserve">Georgia Power Company is pleased to present the 2023 </w:t>
      </w:r>
      <w:r w:rsidR="00BA3E7A" w:rsidRPr="002E47FA">
        <w:rPr>
          <w:rFonts w:eastAsia="Arial" w:cs="Calibri"/>
          <w:i/>
          <w:iCs/>
          <w:color w:val="074F6A" w:themeColor="accent4" w:themeShade="80"/>
          <w:sz w:val="20"/>
          <w:szCs w:val="20"/>
        </w:rPr>
        <w:t>Biomass</w:t>
      </w:r>
      <w:r w:rsidRPr="002E47FA">
        <w:rPr>
          <w:rFonts w:eastAsia="Arial" w:cs="Calibri"/>
          <w:i/>
          <w:iCs/>
          <w:color w:val="074F6A" w:themeColor="accent4" w:themeShade="80"/>
          <w:sz w:val="20"/>
          <w:szCs w:val="20"/>
        </w:rPr>
        <w:t xml:space="preserve"> Request for Proposals. This RFP seeks to procure up to 140 MW of new </w:t>
      </w:r>
      <w:r w:rsidR="00BA3E7A" w:rsidRPr="002E47FA">
        <w:rPr>
          <w:rFonts w:eastAsia="Arial" w:cs="Calibri"/>
          <w:i/>
          <w:iCs/>
          <w:color w:val="074F6A" w:themeColor="accent4" w:themeShade="80"/>
          <w:sz w:val="20"/>
          <w:szCs w:val="20"/>
        </w:rPr>
        <w:t>Biomass</w:t>
      </w:r>
      <w:r w:rsidRPr="002E47FA">
        <w:rPr>
          <w:rFonts w:eastAsia="Arial" w:cs="Calibri"/>
          <w:i/>
          <w:iCs/>
          <w:color w:val="074F6A" w:themeColor="accent4" w:themeShade="80"/>
          <w:sz w:val="20"/>
          <w:szCs w:val="20"/>
        </w:rPr>
        <w:t xml:space="preserve"> generation from projects as reflected in the 2022 Integrated Resource Plan approved by the Georgia Public Service Commission in July 2022. Interested parties are encouraged to become familiar with the IE Website found at </w:t>
      </w:r>
      <w:hyperlink r:id="rId11" w:history="1">
        <w:r w:rsidRPr="002E47FA">
          <w:rPr>
            <w:rStyle w:val="Hyperlink"/>
            <w:rFonts w:eastAsia="Arial" w:cs="Calibri"/>
            <w:i/>
            <w:iCs/>
            <w:color w:val="074F6A" w:themeColor="accent4" w:themeShade="80"/>
            <w:sz w:val="20"/>
            <w:szCs w:val="20"/>
          </w:rPr>
          <w:t>htts://gpc</w:t>
        </w:r>
        <w:r w:rsidR="00BA3E7A" w:rsidRPr="002E47FA">
          <w:rPr>
            <w:rStyle w:val="Hyperlink"/>
            <w:rFonts w:eastAsia="Arial" w:cs="Calibri"/>
            <w:i/>
            <w:iCs/>
            <w:color w:val="074F6A" w:themeColor="accent4" w:themeShade="80"/>
            <w:sz w:val="20"/>
            <w:szCs w:val="20"/>
          </w:rPr>
          <w:t>Biomass</w:t>
        </w:r>
        <w:r w:rsidRPr="002E47FA">
          <w:rPr>
            <w:rStyle w:val="Hyperlink"/>
            <w:rFonts w:eastAsia="Arial" w:cs="Calibri"/>
            <w:i/>
            <w:iCs/>
            <w:color w:val="074F6A" w:themeColor="accent4" w:themeShade="80"/>
            <w:sz w:val="20"/>
            <w:szCs w:val="20"/>
          </w:rPr>
          <w:t>.accionpower.com</w:t>
        </w:r>
      </w:hyperlink>
      <w:r w:rsidRPr="002E47FA">
        <w:rPr>
          <w:rFonts w:eastAsia="Arial" w:cs="Calibri"/>
          <w:i/>
          <w:iCs/>
          <w:color w:val="074F6A" w:themeColor="accent4" w:themeShade="80"/>
          <w:sz w:val="20"/>
          <w:szCs w:val="20"/>
        </w:rPr>
        <w:t>. Registration is required through the website as it will be the means of communication between Georgia Power and interested participants. </w:t>
      </w:r>
    </w:p>
    <w:p w14:paraId="5CDB6425" w14:textId="77777777" w:rsidR="000D28B4" w:rsidRPr="001B7FC0" w:rsidRDefault="000D28B4" w:rsidP="00995ED8">
      <w:pPr>
        <w:pStyle w:val="ListParagraph"/>
        <w:numPr>
          <w:ilvl w:val="0"/>
          <w:numId w:val="2"/>
        </w:numPr>
        <w:spacing w:after="120"/>
        <w:contextualSpacing w:val="0"/>
        <w:rPr>
          <w:rFonts w:cstheme="minorHAnsi"/>
          <w:b/>
          <w:bCs/>
          <w:color w:val="0F4761" w:themeColor="accent1" w:themeShade="BF"/>
        </w:rPr>
      </w:pPr>
      <w:r w:rsidRPr="001B7FC0">
        <w:rPr>
          <w:rFonts w:cstheme="minorHAnsi"/>
          <w:b/>
          <w:bCs/>
          <w:color w:val="0F4761" w:themeColor="accent1" w:themeShade="BF"/>
        </w:rPr>
        <w:t>List of Potential Bidders – Rule 515-3-4-.04 (3) (e) i</w:t>
      </w:r>
    </w:p>
    <w:p w14:paraId="710EB245" w14:textId="1DFC1CE5" w:rsidR="000D28B4" w:rsidRDefault="000D28B4" w:rsidP="000D28B4">
      <w:pPr>
        <w:widowControl w:val="0"/>
        <w:autoSpaceDE w:val="0"/>
        <w:autoSpaceDN w:val="0"/>
        <w:adjustRightInd w:val="0"/>
        <w:spacing w:after="120"/>
        <w:ind w:firstLine="720"/>
        <w:jc w:val="both"/>
        <w:rPr>
          <w:color w:val="000000" w:themeColor="text1"/>
        </w:rPr>
      </w:pPr>
      <w:r w:rsidRPr="0001245C">
        <w:rPr>
          <w:rFonts w:cstheme="minorHAnsi"/>
        </w:rPr>
        <w:t>Information about this RFP was widely disseminated. When the IE</w:t>
      </w:r>
      <w:r w:rsidRPr="0001245C">
        <w:rPr>
          <w:rFonts w:cstheme="minorHAnsi"/>
          <w:b/>
          <w:bCs/>
        </w:rPr>
        <w:t xml:space="preserve"> </w:t>
      </w:r>
      <w:r w:rsidRPr="0001245C">
        <w:rPr>
          <w:rFonts w:cstheme="minorHAnsi"/>
          <w:spacing w:val="-1"/>
        </w:rPr>
        <w:t>Website</w:t>
      </w:r>
      <w:r w:rsidRPr="0001245C">
        <w:rPr>
          <w:rFonts w:cstheme="minorHAnsi"/>
          <w:spacing w:val="39"/>
        </w:rPr>
        <w:t xml:space="preserve"> </w:t>
      </w:r>
      <w:r w:rsidRPr="0001245C">
        <w:rPr>
          <w:rFonts w:cstheme="minorHAnsi"/>
          <w:spacing w:val="-1"/>
        </w:rPr>
        <w:t>was</w:t>
      </w:r>
      <w:r w:rsidRPr="0001245C">
        <w:rPr>
          <w:rFonts w:cstheme="minorHAnsi"/>
          <w:spacing w:val="39"/>
        </w:rPr>
        <w:t xml:space="preserve"> </w:t>
      </w:r>
      <w:r w:rsidRPr="0001245C">
        <w:rPr>
          <w:rFonts w:cstheme="minorHAnsi"/>
          <w:spacing w:val="-1"/>
        </w:rPr>
        <w:t>released,</w:t>
      </w:r>
      <w:r w:rsidRPr="0001245C">
        <w:rPr>
          <w:rFonts w:cstheme="minorHAnsi"/>
          <w:spacing w:val="39"/>
        </w:rPr>
        <w:t xml:space="preserve"> </w:t>
      </w:r>
      <w:r w:rsidRPr="0001245C">
        <w:rPr>
          <w:rFonts w:cstheme="minorHAnsi"/>
        </w:rPr>
        <w:t>a</w:t>
      </w:r>
      <w:r>
        <w:rPr>
          <w:rFonts w:cstheme="minorHAnsi"/>
        </w:rPr>
        <w:t>n</w:t>
      </w:r>
      <w:r w:rsidRPr="0001245C">
        <w:rPr>
          <w:rFonts w:cstheme="minorHAnsi"/>
          <w:spacing w:val="38"/>
        </w:rPr>
        <w:t xml:space="preserve"> </w:t>
      </w:r>
      <w:r>
        <w:rPr>
          <w:rFonts w:cstheme="minorHAnsi"/>
          <w:spacing w:val="-1"/>
        </w:rPr>
        <w:t>announcement</w:t>
      </w:r>
      <w:r w:rsidRPr="0001245C">
        <w:rPr>
          <w:rFonts w:cstheme="minorHAnsi"/>
          <w:spacing w:val="39"/>
        </w:rPr>
        <w:t xml:space="preserve"> </w:t>
      </w:r>
      <w:r w:rsidRPr="0001245C">
        <w:rPr>
          <w:rFonts w:cstheme="minorHAnsi"/>
          <w:spacing w:val="-1"/>
        </w:rPr>
        <w:t>was</w:t>
      </w:r>
      <w:r w:rsidRPr="0001245C">
        <w:rPr>
          <w:rFonts w:cstheme="minorHAnsi"/>
          <w:spacing w:val="41"/>
        </w:rPr>
        <w:t xml:space="preserve"> </w:t>
      </w:r>
      <w:r w:rsidRPr="0001245C">
        <w:rPr>
          <w:rFonts w:cstheme="minorHAnsi"/>
          <w:spacing w:val="-1"/>
        </w:rPr>
        <w:t>sent</w:t>
      </w:r>
      <w:r w:rsidRPr="0001245C">
        <w:rPr>
          <w:rFonts w:cstheme="minorHAnsi"/>
          <w:spacing w:val="41"/>
        </w:rPr>
        <w:t xml:space="preserve"> </w:t>
      </w:r>
      <w:r w:rsidRPr="0001245C">
        <w:rPr>
          <w:rFonts w:cstheme="minorHAnsi"/>
          <w:spacing w:val="-1"/>
        </w:rPr>
        <w:t>to</w:t>
      </w:r>
      <w:r w:rsidRPr="0001245C">
        <w:rPr>
          <w:rFonts w:cstheme="minorHAnsi"/>
          <w:spacing w:val="40"/>
        </w:rPr>
        <w:t xml:space="preserve"> </w:t>
      </w:r>
      <w:r w:rsidRPr="0001245C">
        <w:rPr>
          <w:rFonts w:cstheme="minorHAnsi"/>
          <w:spacing w:val="-1"/>
        </w:rPr>
        <w:t>all</w:t>
      </w:r>
      <w:r w:rsidRPr="0001245C">
        <w:rPr>
          <w:rFonts w:cstheme="minorHAnsi"/>
          <w:spacing w:val="41"/>
        </w:rPr>
        <w:t xml:space="preserve"> </w:t>
      </w:r>
      <w:r w:rsidRPr="0001245C">
        <w:rPr>
          <w:rFonts w:cstheme="minorHAnsi"/>
          <w:spacing w:val="-1"/>
        </w:rPr>
        <w:t>individuals</w:t>
      </w:r>
      <w:r w:rsidRPr="0001245C">
        <w:rPr>
          <w:rFonts w:cstheme="minorHAnsi"/>
          <w:spacing w:val="39"/>
        </w:rPr>
        <w:t xml:space="preserve"> </w:t>
      </w:r>
      <w:r w:rsidRPr="0001245C">
        <w:rPr>
          <w:rFonts w:cstheme="minorHAnsi"/>
          <w:spacing w:val="-1"/>
        </w:rPr>
        <w:t>who</w:t>
      </w:r>
      <w:r w:rsidRPr="0001245C">
        <w:rPr>
          <w:rFonts w:cstheme="minorHAnsi"/>
          <w:spacing w:val="39"/>
        </w:rPr>
        <w:t xml:space="preserve"> </w:t>
      </w:r>
      <w:r w:rsidRPr="0001245C">
        <w:rPr>
          <w:rFonts w:cstheme="minorHAnsi"/>
          <w:spacing w:val="-1"/>
        </w:rPr>
        <w:t>previously</w:t>
      </w:r>
      <w:r w:rsidRPr="0001245C">
        <w:rPr>
          <w:rFonts w:cstheme="minorHAnsi"/>
          <w:spacing w:val="53"/>
        </w:rPr>
        <w:t xml:space="preserve"> </w:t>
      </w:r>
      <w:r w:rsidRPr="0001245C">
        <w:rPr>
          <w:rFonts w:cstheme="minorHAnsi"/>
          <w:spacing w:val="-1"/>
        </w:rPr>
        <w:t>registered</w:t>
      </w:r>
      <w:r w:rsidRPr="0001245C">
        <w:rPr>
          <w:rFonts w:cstheme="minorHAnsi"/>
          <w:spacing w:val="14"/>
        </w:rPr>
        <w:t xml:space="preserve"> </w:t>
      </w:r>
      <w:r w:rsidRPr="0001245C">
        <w:rPr>
          <w:rFonts w:cstheme="minorHAnsi"/>
          <w:spacing w:val="-1"/>
        </w:rPr>
        <w:t>with</w:t>
      </w:r>
      <w:r w:rsidRPr="0001245C">
        <w:rPr>
          <w:rFonts w:cstheme="minorHAnsi"/>
          <w:spacing w:val="16"/>
        </w:rPr>
        <w:t xml:space="preserve"> </w:t>
      </w:r>
      <w:r w:rsidRPr="0001245C">
        <w:rPr>
          <w:rFonts w:cstheme="minorHAnsi"/>
          <w:spacing w:val="-1"/>
        </w:rPr>
        <w:t>GPC</w:t>
      </w:r>
      <w:r w:rsidRPr="0001245C">
        <w:rPr>
          <w:rFonts w:cstheme="minorHAnsi"/>
          <w:spacing w:val="18"/>
        </w:rPr>
        <w:t xml:space="preserve"> </w:t>
      </w:r>
      <w:r w:rsidRPr="0001245C">
        <w:rPr>
          <w:rFonts w:cstheme="minorHAnsi"/>
          <w:spacing w:val="-1"/>
        </w:rPr>
        <w:t>as</w:t>
      </w:r>
      <w:r w:rsidRPr="0001245C">
        <w:rPr>
          <w:rFonts w:cstheme="minorHAnsi"/>
          <w:spacing w:val="17"/>
        </w:rPr>
        <w:t xml:space="preserve"> </w:t>
      </w:r>
      <w:r w:rsidRPr="0001245C">
        <w:rPr>
          <w:rFonts w:cstheme="minorHAnsi"/>
          <w:spacing w:val="-1"/>
        </w:rPr>
        <w:t>desiring</w:t>
      </w:r>
      <w:r w:rsidRPr="0001245C">
        <w:rPr>
          <w:rFonts w:cstheme="minorHAnsi"/>
          <w:spacing w:val="16"/>
        </w:rPr>
        <w:t xml:space="preserve"> </w:t>
      </w:r>
      <w:r w:rsidRPr="0001245C">
        <w:rPr>
          <w:rFonts w:cstheme="minorHAnsi"/>
        </w:rPr>
        <w:t>to</w:t>
      </w:r>
      <w:r w:rsidRPr="0001245C">
        <w:rPr>
          <w:rFonts w:cstheme="minorHAnsi"/>
          <w:spacing w:val="18"/>
        </w:rPr>
        <w:t xml:space="preserve"> </w:t>
      </w:r>
      <w:r w:rsidRPr="0001245C">
        <w:rPr>
          <w:rFonts w:cstheme="minorHAnsi"/>
          <w:spacing w:val="-1"/>
        </w:rPr>
        <w:t>receive</w:t>
      </w:r>
      <w:r w:rsidRPr="0001245C">
        <w:rPr>
          <w:rFonts w:cstheme="minorHAnsi"/>
          <w:spacing w:val="17"/>
        </w:rPr>
        <w:t xml:space="preserve"> </w:t>
      </w:r>
      <w:r w:rsidRPr="0001245C">
        <w:rPr>
          <w:rFonts w:cstheme="minorHAnsi"/>
          <w:spacing w:val="-1"/>
        </w:rPr>
        <w:t>notice</w:t>
      </w:r>
      <w:r w:rsidRPr="0001245C">
        <w:rPr>
          <w:rFonts w:cstheme="minorHAnsi"/>
          <w:spacing w:val="15"/>
        </w:rPr>
        <w:t xml:space="preserve"> </w:t>
      </w:r>
      <w:r w:rsidRPr="0001245C">
        <w:rPr>
          <w:rFonts w:cstheme="minorHAnsi"/>
        </w:rPr>
        <w:t>of</w:t>
      </w:r>
      <w:r w:rsidRPr="0001245C">
        <w:rPr>
          <w:rFonts w:cstheme="minorHAnsi"/>
          <w:spacing w:val="17"/>
        </w:rPr>
        <w:t xml:space="preserve"> </w:t>
      </w:r>
      <w:r w:rsidRPr="0001245C">
        <w:rPr>
          <w:rFonts w:cstheme="minorHAnsi"/>
          <w:spacing w:val="-1"/>
        </w:rPr>
        <w:t>RFPs</w:t>
      </w:r>
      <w:r>
        <w:rPr>
          <w:rFonts w:cstheme="minorHAnsi"/>
          <w:spacing w:val="-1"/>
        </w:rPr>
        <w:t>;</w:t>
      </w:r>
      <w:r>
        <w:rPr>
          <w:rFonts w:cstheme="minorHAnsi"/>
          <w:spacing w:val="17"/>
        </w:rPr>
        <w:t xml:space="preserve"> individuals previously registered for other GPC competitive solicitations including the 2022-2028 Capacity RFP, </w:t>
      </w:r>
      <w:r w:rsidR="00EC1CEC">
        <w:rPr>
          <w:rFonts w:cstheme="minorHAnsi"/>
          <w:spacing w:val="17"/>
        </w:rPr>
        <w:t xml:space="preserve">and </w:t>
      </w:r>
      <w:r w:rsidR="00BA3E7A">
        <w:rPr>
          <w:rFonts w:cstheme="minorHAnsi"/>
          <w:spacing w:val="17"/>
        </w:rPr>
        <w:t>Biomass</w:t>
      </w:r>
      <w:r w:rsidR="003E519B">
        <w:rPr>
          <w:rFonts w:cstheme="minorHAnsi"/>
          <w:spacing w:val="17"/>
        </w:rPr>
        <w:t xml:space="preserve"> developers who submitted bids in that RFP, </w:t>
      </w:r>
      <w:r>
        <w:rPr>
          <w:rFonts w:cstheme="minorHAnsi"/>
          <w:spacing w:val="17"/>
        </w:rPr>
        <w:t xml:space="preserve">and </w:t>
      </w:r>
      <w:r w:rsidRPr="0001245C">
        <w:rPr>
          <w:rFonts w:cstheme="minorHAnsi"/>
        </w:rPr>
        <w:t>to</w:t>
      </w:r>
      <w:r w:rsidRPr="0001245C">
        <w:rPr>
          <w:rFonts w:cstheme="minorHAnsi"/>
          <w:spacing w:val="18"/>
        </w:rPr>
        <w:t xml:space="preserve"> </w:t>
      </w:r>
      <w:r w:rsidRPr="0001245C">
        <w:rPr>
          <w:rFonts w:cstheme="minorHAnsi"/>
        </w:rPr>
        <w:t>an</w:t>
      </w:r>
      <w:r w:rsidRPr="0001245C">
        <w:rPr>
          <w:rFonts w:cstheme="minorHAnsi"/>
          <w:spacing w:val="17"/>
        </w:rPr>
        <w:t xml:space="preserve"> </w:t>
      </w:r>
      <w:r w:rsidRPr="0001245C">
        <w:rPr>
          <w:rFonts w:cstheme="minorHAnsi"/>
          <w:spacing w:val="-2"/>
        </w:rPr>
        <w:t>RFP</w:t>
      </w:r>
      <w:r w:rsidRPr="0001245C">
        <w:rPr>
          <w:rFonts w:cstheme="minorHAnsi"/>
          <w:spacing w:val="18"/>
        </w:rPr>
        <w:t xml:space="preserve"> </w:t>
      </w:r>
      <w:r w:rsidRPr="0001245C">
        <w:rPr>
          <w:rFonts w:cstheme="minorHAnsi"/>
          <w:spacing w:val="-1"/>
        </w:rPr>
        <w:t>“contact</w:t>
      </w:r>
      <w:r w:rsidRPr="0001245C">
        <w:rPr>
          <w:rFonts w:cstheme="minorHAnsi"/>
          <w:spacing w:val="17"/>
        </w:rPr>
        <w:t xml:space="preserve"> </w:t>
      </w:r>
      <w:r w:rsidRPr="0001245C">
        <w:rPr>
          <w:rFonts w:cstheme="minorHAnsi"/>
          <w:spacing w:val="-1"/>
        </w:rPr>
        <w:t>list”</w:t>
      </w:r>
      <w:r w:rsidRPr="0001245C">
        <w:rPr>
          <w:rFonts w:cstheme="minorHAnsi"/>
          <w:spacing w:val="18"/>
        </w:rPr>
        <w:t xml:space="preserve"> </w:t>
      </w:r>
      <w:r w:rsidRPr="0001245C">
        <w:rPr>
          <w:rFonts w:cstheme="minorHAnsi"/>
          <w:spacing w:val="-1"/>
        </w:rPr>
        <w:t>of</w:t>
      </w:r>
      <w:r w:rsidRPr="0001245C">
        <w:rPr>
          <w:rFonts w:cstheme="minorHAnsi"/>
          <w:spacing w:val="17"/>
        </w:rPr>
        <w:t xml:space="preserve"> </w:t>
      </w:r>
      <w:r w:rsidRPr="0001245C">
        <w:rPr>
          <w:rFonts w:cstheme="minorHAnsi"/>
          <w:spacing w:val="-1"/>
        </w:rPr>
        <w:t>individuals</w:t>
      </w:r>
      <w:r w:rsidRPr="0001245C">
        <w:rPr>
          <w:rFonts w:cstheme="minorHAnsi"/>
          <w:spacing w:val="17"/>
        </w:rPr>
        <w:t xml:space="preserve"> </w:t>
      </w:r>
      <w:r w:rsidRPr="0001245C">
        <w:rPr>
          <w:rFonts w:cstheme="minorHAnsi"/>
          <w:spacing w:val="-2"/>
        </w:rPr>
        <w:t>who</w:t>
      </w:r>
      <w:r>
        <w:rPr>
          <w:rFonts w:cstheme="minorHAnsi"/>
          <w:spacing w:val="63"/>
        </w:rPr>
        <w:t xml:space="preserve"> </w:t>
      </w:r>
      <w:r w:rsidRPr="0001245C">
        <w:rPr>
          <w:rFonts w:cstheme="minorHAnsi"/>
          <w:spacing w:val="-1"/>
        </w:rPr>
        <w:t>registered</w:t>
      </w:r>
      <w:r w:rsidRPr="0001245C">
        <w:rPr>
          <w:rFonts w:cstheme="minorHAnsi"/>
          <w:spacing w:val="-13"/>
        </w:rPr>
        <w:t xml:space="preserve"> </w:t>
      </w:r>
      <w:r w:rsidRPr="0001245C">
        <w:rPr>
          <w:rFonts w:cstheme="minorHAnsi"/>
        </w:rPr>
        <w:t>on</w:t>
      </w:r>
      <w:r w:rsidRPr="0001245C">
        <w:rPr>
          <w:rFonts w:cstheme="minorHAnsi"/>
          <w:spacing w:val="-10"/>
        </w:rPr>
        <w:t xml:space="preserve"> </w:t>
      </w:r>
      <w:r w:rsidRPr="0001245C">
        <w:rPr>
          <w:rFonts w:cstheme="minorHAnsi"/>
          <w:spacing w:val="-1"/>
        </w:rPr>
        <w:t>the</w:t>
      </w:r>
      <w:r w:rsidRPr="0001245C">
        <w:rPr>
          <w:rFonts w:cstheme="minorHAnsi"/>
          <w:spacing w:val="-9"/>
        </w:rPr>
        <w:t xml:space="preserve"> </w:t>
      </w:r>
      <w:r w:rsidRPr="0001245C">
        <w:rPr>
          <w:rFonts w:cstheme="minorHAnsi"/>
          <w:spacing w:val="-1"/>
        </w:rPr>
        <w:t>Accion</w:t>
      </w:r>
      <w:r w:rsidRPr="0001245C">
        <w:rPr>
          <w:rFonts w:cstheme="minorHAnsi"/>
          <w:spacing w:val="-10"/>
        </w:rPr>
        <w:t xml:space="preserve"> </w:t>
      </w:r>
      <w:r w:rsidRPr="0001245C">
        <w:rPr>
          <w:rFonts w:cstheme="minorHAnsi"/>
          <w:spacing w:val="-1"/>
        </w:rPr>
        <w:t>Power</w:t>
      </w:r>
      <w:r w:rsidRPr="0001245C">
        <w:rPr>
          <w:rFonts w:cstheme="minorHAnsi"/>
          <w:spacing w:val="-8"/>
        </w:rPr>
        <w:t xml:space="preserve"> </w:t>
      </w:r>
      <w:r w:rsidRPr="0001245C">
        <w:rPr>
          <w:rFonts w:cstheme="minorHAnsi"/>
          <w:spacing w:val="-1"/>
        </w:rPr>
        <w:t>Website</w:t>
      </w:r>
      <w:r w:rsidRPr="0001245C">
        <w:rPr>
          <w:rFonts w:cstheme="minorHAnsi"/>
          <w:spacing w:val="-9"/>
        </w:rPr>
        <w:t xml:space="preserve"> </w:t>
      </w:r>
      <w:r w:rsidRPr="0001245C">
        <w:rPr>
          <w:rFonts w:cstheme="minorHAnsi"/>
          <w:spacing w:val="-1"/>
        </w:rPr>
        <w:t>for</w:t>
      </w:r>
      <w:r w:rsidRPr="0001245C">
        <w:rPr>
          <w:rFonts w:cstheme="minorHAnsi"/>
          <w:spacing w:val="-7"/>
        </w:rPr>
        <w:t xml:space="preserve"> </w:t>
      </w:r>
      <w:r w:rsidRPr="0001245C">
        <w:rPr>
          <w:rFonts w:cstheme="minorHAnsi"/>
          <w:spacing w:val="-1"/>
        </w:rPr>
        <w:t>notification</w:t>
      </w:r>
      <w:r w:rsidRPr="0001245C">
        <w:rPr>
          <w:rFonts w:cstheme="minorHAnsi"/>
          <w:spacing w:val="-8"/>
        </w:rPr>
        <w:t xml:space="preserve"> </w:t>
      </w:r>
      <w:r>
        <w:rPr>
          <w:rFonts w:cstheme="minorHAnsi"/>
          <w:spacing w:val="-1"/>
        </w:rPr>
        <w:t>of procurement RFPs</w:t>
      </w:r>
      <w:r w:rsidRPr="0001245C">
        <w:rPr>
          <w:rFonts w:cstheme="minorHAnsi"/>
          <w:spacing w:val="-1"/>
        </w:rPr>
        <w:t xml:space="preserve">.  </w:t>
      </w:r>
      <w:r>
        <w:rPr>
          <w:color w:val="000000" w:themeColor="text1"/>
        </w:rPr>
        <w:t xml:space="preserve">As a courtesy to developers who participated in the earlier </w:t>
      </w:r>
      <w:r w:rsidR="00BA3E7A">
        <w:rPr>
          <w:color w:val="000000" w:themeColor="text1"/>
        </w:rPr>
        <w:t>Biomass</w:t>
      </w:r>
      <w:r>
        <w:rPr>
          <w:color w:val="000000" w:themeColor="text1"/>
        </w:rPr>
        <w:t xml:space="preserve"> RFP, their bids were carried over to the new IE Website and available to them for revision and submission.  </w:t>
      </w:r>
    </w:p>
    <w:p w14:paraId="185EEF4F" w14:textId="77777777" w:rsidR="00995ED8" w:rsidRDefault="00995ED8" w:rsidP="000D28B4">
      <w:pPr>
        <w:widowControl w:val="0"/>
        <w:autoSpaceDE w:val="0"/>
        <w:autoSpaceDN w:val="0"/>
        <w:adjustRightInd w:val="0"/>
        <w:spacing w:after="120"/>
        <w:ind w:firstLine="720"/>
        <w:jc w:val="both"/>
        <w:rPr>
          <w:color w:val="000000" w:themeColor="text1"/>
        </w:rPr>
      </w:pPr>
    </w:p>
    <w:p w14:paraId="24A6B44B" w14:textId="77777777" w:rsidR="00995ED8" w:rsidRDefault="00995ED8" w:rsidP="000D28B4">
      <w:pPr>
        <w:widowControl w:val="0"/>
        <w:autoSpaceDE w:val="0"/>
        <w:autoSpaceDN w:val="0"/>
        <w:adjustRightInd w:val="0"/>
        <w:spacing w:after="120"/>
        <w:ind w:firstLine="720"/>
        <w:jc w:val="both"/>
        <w:rPr>
          <w:color w:val="000000" w:themeColor="text1"/>
        </w:rPr>
      </w:pPr>
    </w:p>
    <w:p w14:paraId="29052F11" w14:textId="77777777" w:rsidR="00995ED8" w:rsidRDefault="00995ED8" w:rsidP="000D28B4">
      <w:pPr>
        <w:widowControl w:val="0"/>
        <w:autoSpaceDE w:val="0"/>
        <w:autoSpaceDN w:val="0"/>
        <w:adjustRightInd w:val="0"/>
        <w:spacing w:after="120"/>
        <w:ind w:firstLine="720"/>
        <w:jc w:val="both"/>
        <w:rPr>
          <w:color w:val="000000" w:themeColor="text1"/>
        </w:rPr>
      </w:pPr>
    </w:p>
    <w:p w14:paraId="500A7D18" w14:textId="77777777" w:rsidR="00995ED8" w:rsidRDefault="00995ED8" w:rsidP="000D28B4">
      <w:pPr>
        <w:widowControl w:val="0"/>
        <w:autoSpaceDE w:val="0"/>
        <w:autoSpaceDN w:val="0"/>
        <w:adjustRightInd w:val="0"/>
        <w:spacing w:after="120"/>
        <w:ind w:firstLine="720"/>
        <w:jc w:val="both"/>
        <w:rPr>
          <w:color w:val="000000" w:themeColor="text1"/>
        </w:rPr>
      </w:pPr>
    </w:p>
    <w:p w14:paraId="3AD78B42" w14:textId="77777777" w:rsidR="00995ED8" w:rsidRDefault="00995ED8" w:rsidP="000D28B4">
      <w:pPr>
        <w:widowControl w:val="0"/>
        <w:autoSpaceDE w:val="0"/>
        <w:autoSpaceDN w:val="0"/>
        <w:adjustRightInd w:val="0"/>
        <w:spacing w:after="120"/>
        <w:ind w:firstLine="720"/>
        <w:jc w:val="both"/>
        <w:rPr>
          <w:color w:val="000000" w:themeColor="text1"/>
        </w:rPr>
      </w:pPr>
    </w:p>
    <w:p w14:paraId="5D7762AA" w14:textId="77777777" w:rsidR="00995ED8" w:rsidRDefault="00995ED8" w:rsidP="000D28B4">
      <w:pPr>
        <w:widowControl w:val="0"/>
        <w:autoSpaceDE w:val="0"/>
        <w:autoSpaceDN w:val="0"/>
        <w:adjustRightInd w:val="0"/>
        <w:spacing w:after="120"/>
        <w:ind w:firstLine="720"/>
        <w:jc w:val="both"/>
        <w:rPr>
          <w:color w:val="000000" w:themeColor="text1"/>
        </w:rPr>
      </w:pPr>
    </w:p>
    <w:p w14:paraId="4DE7C7B3" w14:textId="77777777" w:rsidR="00995ED8" w:rsidRDefault="00995ED8" w:rsidP="000D28B4">
      <w:pPr>
        <w:widowControl w:val="0"/>
        <w:autoSpaceDE w:val="0"/>
        <w:autoSpaceDN w:val="0"/>
        <w:adjustRightInd w:val="0"/>
        <w:spacing w:after="120"/>
        <w:ind w:firstLine="720"/>
        <w:jc w:val="both"/>
        <w:rPr>
          <w:color w:val="000000" w:themeColor="text1"/>
        </w:rPr>
      </w:pPr>
    </w:p>
    <w:p w14:paraId="0F470E81" w14:textId="71E6F0CE" w:rsidR="000D28B4" w:rsidRPr="001B7FC0" w:rsidRDefault="000D28B4" w:rsidP="001B7FC0">
      <w:pPr>
        <w:pStyle w:val="ListParagraph"/>
        <w:widowControl w:val="0"/>
        <w:numPr>
          <w:ilvl w:val="0"/>
          <w:numId w:val="2"/>
        </w:numPr>
        <w:autoSpaceDE w:val="0"/>
        <w:autoSpaceDN w:val="0"/>
        <w:adjustRightInd w:val="0"/>
        <w:spacing w:after="120"/>
        <w:jc w:val="both"/>
        <w:rPr>
          <w:b/>
          <w:bCs/>
          <w:color w:val="0F4761" w:themeColor="accent1" w:themeShade="BF"/>
        </w:rPr>
      </w:pPr>
      <w:r w:rsidRPr="001B7FC0">
        <w:rPr>
          <w:b/>
          <w:bCs/>
          <w:color w:val="0F4761" w:themeColor="accent1" w:themeShade="BF"/>
        </w:rPr>
        <w:lastRenderedPageBreak/>
        <w:t>Website Registration</w:t>
      </w:r>
    </w:p>
    <w:p w14:paraId="28BCAE75" w14:textId="6D487138" w:rsidR="004140E1" w:rsidRDefault="00271B7E" w:rsidP="0000316A">
      <w:pPr>
        <w:ind w:firstLine="720"/>
        <w:jc w:val="both"/>
        <w:rPr>
          <w:rFonts w:cs="Calibri"/>
          <w:color w:val="000000" w:themeColor="text1"/>
        </w:rPr>
      </w:pPr>
      <w:r w:rsidRPr="00271B7E">
        <w:rPr>
          <w:rFonts w:eastAsia="Arial" w:cs="Calibri"/>
          <w:color w:val="000000" w:themeColor="text1"/>
        </w:rPr>
        <w:t xml:space="preserve">Since the 2023 </w:t>
      </w:r>
      <w:r w:rsidR="00BA3E7A">
        <w:rPr>
          <w:rFonts w:eastAsia="Arial" w:cs="Calibri"/>
          <w:color w:val="000000" w:themeColor="text1"/>
        </w:rPr>
        <w:t>Biomass</w:t>
      </w:r>
      <w:r w:rsidRPr="00271B7E">
        <w:rPr>
          <w:rFonts w:eastAsia="Arial" w:cs="Calibri"/>
          <w:color w:val="000000" w:themeColor="text1"/>
        </w:rPr>
        <w:t xml:space="preserve"> RFP website</w:t>
      </w:r>
      <w:r w:rsidR="001500F0">
        <w:rPr>
          <w:rFonts w:eastAsia="Arial" w:cs="Calibri"/>
          <w:color w:val="000000" w:themeColor="text1"/>
        </w:rPr>
        <w:t xml:space="preserve"> was launched</w:t>
      </w:r>
      <w:r w:rsidRPr="00271B7E">
        <w:rPr>
          <w:rFonts w:eastAsia="Arial" w:cs="Calibri"/>
          <w:color w:val="000000" w:themeColor="text1"/>
        </w:rPr>
        <w:t xml:space="preserve">, </w:t>
      </w:r>
      <w:r w:rsidR="000E5128" w:rsidRPr="00271B7E">
        <w:rPr>
          <w:rFonts w:eastAsia="Arial" w:cs="Calibri"/>
          <w:color w:val="000000" w:themeColor="text1"/>
        </w:rPr>
        <w:t>1</w:t>
      </w:r>
      <w:r w:rsidR="004140E1">
        <w:rPr>
          <w:rFonts w:eastAsia="Arial" w:cs="Calibri"/>
          <w:color w:val="000000" w:themeColor="text1"/>
        </w:rPr>
        <w:t>1</w:t>
      </w:r>
      <w:r w:rsidR="000E5128" w:rsidRPr="00271B7E">
        <w:rPr>
          <w:rFonts w:eastAsia="Arial" w:cs="Calibri"/>
          <w:color w:val="000000" w:themeColor="text1"/>
        </w:rPr>
        <w:t>1</w:t>
      </w:r>
      <w:r w:rsidR="004140E1">
        <w:rPr>
          <w:rFonts w:eastAsia="Arial" w:cs="Calibri"/>
          <w:color w:val="000000" w:themeColor="text1"/>
        </w:rPr>
        <w:t xml:space="preserve"> </w:t>
      </w:r>
      <w:r w:rsidR="001500F0">
        <w:rPr>
          <w:rFonts w:eastAsia="Arial" w:cs="Calibri"/>
          <w:color w:val="000000" w:themeColor="text1"/>
        </w:rPr>
        <w:t>individuals</w:t>
      </w:r>
      <w:r w:rsidRPr="00271B7E">
        <w:rPr>
          <w:rFonts w:eastAsia="Arial" w:cs="Calibri"/>
          <w:color w:val="000000" w:themeColor="text1"/>
        </w:rPr>
        <w:t xml:space="preserve"> registered on the site. Of those, </w:t>
      </w:r>
      <w:r>
        <w:rPr>
          <w:rFonts w:eastAsia="Arial" w:cs="Calibri"/>
          <w:color w:val="000000" w:themeColor="text1"/>
        </w:rPr>
        <w:t xml:space="preserve">as reflected in Figure 1, </w:t>
      </w:r>
      <w:r w:rsidRPr="00271B7E">
        <w:rPr>
          <w:rFonts w:eastAsia="Arial" w:cs="Calibri"/>
          <w:color w:val="000000" w:themeColor="text1"/>
        </w:rPr>
        <w:t xml:space="preserve">38 are </w:t>
      </w:r>
      <w:r w:rsidR="0042527D">
        <w:rPr>
          <w:rFonts w:eastAsia="Arial" w:cs="Calibri"/>
          <w:color w:val="000000" w:themeColor="text1"/>
        </w:rPr>
        <w:t>b</w:t>
      </w:r>
      <w:r w:rsidR="0042527D" w:rsidRPr="00271B7E">
        <w:rPr>
          <w:rFonts w:eastAsia="Arial" w:cs="Calibri"/>
          <w:color w:val="000000" w:themeColor="text1"/>
        </w:rPr>
        <w:t>idders</w:t>
      </w:r>
      <w:r w:rsidRPr="00271B7E">
        <w:rPr>
          <w:rFonts w:eastAsia="Arial" w:cs="Calibri"/>
          <w:color w:val="000000" w:themeColor="text1"/>
        </w:rPr>
        <w:t xml:space="preserve">, </w:t>
      </w:r>
      <w:r w:rsidR="000E5128" w:rsidRPr="00271B7E">
        <w:rPr>
          <w:rFonts w:eastAsia="Arial" w:cs="Calibri"/>
          <w:color w:val="000000" w:themeColor="text1"/>
        </w:rPr>
        <w:t>4</w:t>
      </w:r>
      <w:r w:rsidR="000E5128">
        <w:rPr>
          <w:rFonts w:eastAsia="Arial" w:cs="Calibri"/>
          <w:color w:val="000000" w:themeColor="text1"/>
        </w:rPr>
        <w:t>0</w:t>
      </w:r>
      <w:r w:rsidR="000E5128" w:rsidRPr="00271B7E">
        <w:rPr>
          <w:rFonts w:eastAsia="Arial" w:cs="Calibri"/>
          <w:color w:val="000000" w:themeColor="text1"/>
        </w:rPr>
        <w:t xml:space="preserve"> </w:t>
      </w:r>
      <w:r w:rsidRPr="00271B7E">
        <w:rPr>
          <w:rFonts w:eastAsia="Arial" w:cs="Calibri"/>
          <w:color w:val="000000" w:themeColor="text1"/>
        </w:rPr>
        <w:t xml:space="preserve">are </w:t>
      </w:r>
      <w:r w:rsidR="0042527D">
        <w:rPr>
          <w:rFonts w:eastAsia="Arial" w:cs="Calibri"/>
          <w:color w:val="000000" w:themeColor="text1"/>
        </w:rPr>
        <w:t>n</w:t>
      </w:r>
      <w:r w:rsidR="0042527D" w:rsidRPr="00271B7E">
        <w:rPr>
          <w:rFonts w:eastAsia="Arial" w:cs="Calibri"/>
          <w:color w:val="000000" w:themeColor="text1"/>
        </w:rPr>
        <w:t>on</w:t>
      </w:r>
      <w:r w:rsidRPr="00271B7E">
        <w:rPr>
          <w:rFonts w:eastAsia="Arial" w:cs="Calibri"/>
          <w:color w:val="000000" w:themeColor="text1"/>
        </w:rPr>
        <w:t>-</w:t>
      </w:r>
      <w:r w:rsidR="0042527D">
        <w:rPr>
          <w:rFonts w:eastAsia="Arial" w:cs="Calibri"/>
          <w:color w:val="000000" w:themeColor="text1"/>
        </w:rPr>
        <w:t>b</w:t>
      </w:r>
      <w:r w:rsidR="0042527D" w:rsidRPr="00271B7E">
        <w:rPr>
          <w:rFonts w:eastAsia="Arial" w:cs="Calibri"/>
          <w:color w:val="000000" w:themeColor="text1"/>
        </w:rPr>
        <w:t>idders</w:t>
      </w:r>
      <w:r w:rsidRPr="00271B7E">
        <w:rPr>
          <w:rFonts w:eastAsia="Arial" w:cs="Calibri"/>
          <w:color w:val="000000" w:themeColor="text1"/>
        </w:rPr>
        <w:t xml:space="preserve">, </w:t>
      </w:r>
      <w:r w:rsidR="000E5128">
        <w:rPr>
          <w:rFonts w:eastAsia="Arial" w:cs="Calibri"/>
          <w:color w:val="000000" w:themeColor="text1"/>
        </w:rPr>
        <w:t>11</w:t>
      </w:r>
      <w:r w:rsidR="000E5128" w:rsidRPr="00271B7E">
        <w:rPr>
          <w:rFonts w:eastAsia="Arial" w:cs="Calibri"/>
          <w:color w:val="000000" w:themeColor="text1"/>
        </w:rPr>
        <w:t xml:space="preserve"> </w:t>
      </w:r>
      <w:r w:rsidRPr="00271B7E">
        <w:rPr>
          <w:rFonts w:eastAsia="Arial" w:cs="Calibri"/>
          <w:color w:val="000000" w:themeColor="text1"/>
        </w:rPr>
        <w:t xml:space="preserve">are </w:t>
      </w:r>
      <w:r w:rsidR="000E5128">
        <w:rPr>
          <w:rFonts w:eastAsia="Arial" w:cs="Calibri"/>
          <w:color w:val="000000" w:themeColor="text1"/>
        </w:rPr>
        <w:t>Accion personnel</w:t>
      </w:r>
      <w:r w:rsidRPr="00271B7E">
        <w:rPr>
          <w:rFonts w:eastAsia="Arial" w:cs="Calibri"/>
          <w:color w:val="000000" w:themeColor="text1"/>
        </w:rPr>
        <w:t xml:space="preserve"> and 2</w:t>
      </w:r>
      <w:r w:rsidR="004140E1">
        <w:rPr>
          <w:rFonts w:eastAsia="Arial" w:cs="Calibri"/>
          <w:color w:val="000000" w:themeColor="text1"/>
        </w:rPr>
        <w:t>2</w:t>
      </w:r>
      <w:r w:rsidRPr="00271B7E">
        <w:rPr>
          <w:rFonts w:eastAsia="Arial" w:cs="Calibri"/>
          <w:color w:val="000000" w:themeColor="text1"/>
        </w:rPr>
        <w:t xml:space="preserve"> are Company </w:t>
      </w:r>
      <w:r w:rsidR="000211AF">
        <w:rPr>
          <w:rFonts w:eastAsia="Arial" w:cs="Calibri"/>
          <w:color w:val="000000" w:themeColor="text1"/>
        </w:rPr>
        <w:t xml:space="preserve">and Staff </w:t>
      </w:r>
      <w:r w:rsidRPr="00271B7E">
        <w:rPr>
          <w:rFonts w:eastAsia="Arial" w:cs="Calibri"/>
          <w:color w:val="000000" w:themeColor="text1"/>
        </w:rPr>
        <w:t>Personnel.</w:t>
      </w:r>
      <w:r w:rsidRPr="00271B7E">
        <w:rPr>
          <w:rFonts w:cs="Calibri"/>
          <w:color w:val="000000" w:themeColor="text1"/>
        </w:rPr>
        <w:t xml:space="preserve"> </w:t>
      </w:r>
    </w:p>
    <w:p w14:paraId="0D1FF522" w14:textId="0B6FD794" w:rsidR="00271B7E" w:rsidRPr="0015083D" w:rsidRDefault="000211AF" w:rsidP="002E47FA">
      <w:pPr>
        <w:spacing w:after="120"/>
        <w:jc w:val="center"/>
        <w:rPr>
          <w:rFonts w:ascii="Calibri" w:hAnsi="Calibri" w:cs="Calibri"/>
          <w:b/>
          <w:bCs/>
          <w:color w:val="000000" w:themeColor="text1"/>
          <w:sz w:val="28"/>
          <w:szCs w:val="28"/>
        </w:rPr>
      </w:pPr>
      <w:r w:rsidRPr="002E47FA">
        <w:rPr>
          <w:rFonts w:cs="Calibri"/>
          <w:b/>
          <w:bCs/>
          <w:i/>
          <w:iCs/>
          <w:color w:val="000000" w:themeColor="text1"/>
          <w:sz w:val="22"/>
          <w:szCs w:val="22"/>
        </w:rPr>
        <w:t>Figure 1</w:t>
      </w:r>
      <w:r w:rsidR="00271B7E" w:rsidRPr="008854C9">
        <w:rPr>
          <w:rFonts w:ascii="Calibri" w:hAnsi="Calibri" w:cs="Calibri"/>
          <w:color w:val="000000" w:themeColor="text1"/>
        </w:rPr>
        <w:br w:type="textWrapping" w:clear="all"/>
      </w:r>
      <w:r w:rsidR="00271B7E" w:rsidRPr="002E47FA">
        <w:rPr>
          <w:rFonts w:ascii="Calibri" w:hAnsi="Calibri" w:cs="Calibri"/>
          <w:b/>
          <w:bCs/>
        </w:rPr>
        <w:t>Website Registrants</w:t>
      </w:r>
    </w:p>
    <w:p w14:paraId="1E0BDC44" w14:textId="77777777" w:rsidR="00271B7E" w:rsidRDefault="00271B7E" w:rsidP="00271B7E">
      <w:pPr>
        <w:jc w:val="center"/>
        <w:rPr>
          <w:rFonts w:ascii="Calibri" w:hAnsi="Calibri" w:cs="Calibri"/>
          <w:color w:val="000000" w:themeColor="text1"/>
        </w:rPr>
      </w:pPr>
      <w:r>
        <w:rPr>
          <w:rFonts w:ascii="Calibri" w:hAnsi="Calibri" w:cs="Calibri"/>
          <w:noProof/>
          <w:color w:val="000000" w:themeColor="text1"/>
        </w:rPr>
        <w:drawing>
          <wp:inline distT="0" distB="0" distL="0" distR="0" wp14:anchorId="26F7B0F6" wp14:editId="2927F79F">
            <wp:extent cx="4600575" cy="1828800"/>
            <wp:effectExtent l="0" t="0" r="9525" b="0"/>
            <wp:docPr id="36694267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161C00" w14:textId="55E9B22A" w:rsidR="00271B7E" w:rsidRPr="008854C9" w:rsidRDefault="00271B7E" w:rsidP="00271B7E">
      <w:pPr>
        <w:rPr>
          <w:rFonts w:ascii="Calibri" w:hAnsi="Calibri" w:cs="Calibri"/>
          <w:color w:val="000000" w:themeColor="text1"/>
        </w:rPr>
      </w:pPr>
      <w:r w:rsidRPr="00767AB1">
        <w:rPr>
          <w:rFonts w:cs="Calibri"/>
          <w:color w:val="000000" w:themeColor="text1"/>
          <w:shd w:val="clear" w:color="auto" w:fill="FFFFFF"/>
        </w:rPr>
        <w:t>The registrants are comprised of domestic entities and their locations are provided in the table below</w:t>
      </w:r>
      <w:r w:rsidRPr="008854C9">
        <w:rPr>
          <w:rFonts w:ascii="Calibri" w:hAnsi="Calibri" w:cs="Calibri"/>
          <w:color w:val="000000" w:themeColor="text1"/>
          <w:shd w:val="clear" w:color="auto" w:fill="FFFFFF"/>
        </w:rPr>
        <w:t>:</w:t>
      </w:r>
    </w:p>
    <w:p w14:paraId="39BA8CF5" w14:textId="5D8E7A6F" w:rsidR="00271B7E" w:rsidRPr="002E47FA" w:rsidRDefault="00271B7E" w:rsidP="00271B7E">
      <w:pPr>
        <w:jc w:val="center"/>
        <w:rPr>
          <w:rFonts w:cs="Calibri"/>
          <w:b/>
          <w:bCs/>
          <w:color w:val="000000" w:themeColor="text1"/>
          <w:sz w:val="22"/>
          <w:szCs w:val="22"/>
        </w:rPr>
      </w:pPr>
      <w:r w:rsidRPr="002E47FA">
        <w:rPr>
          <w:rFonts w:cs="Calibri"/>
          <w:b/>
          <w:bCs/>
          <w:color w:val="000000" w:themeColor="text1"/>
          <w:sz w:val="22"/>
          <w:szCs w:val="22"/>
        </w:rPr>
        <w:t>Table 1</w:t>
      </w:r>
    </w:p>
    <w:tbl>
      <w:tblPr>
        <w:tblW w:w="4760" w:type="dxa"/>
        <w:jc w:val="center"/>
        <w:tblLook w:val="04A0" w:firstRow="1" w:lastRow="0" w:firstColumn="1" w:lastColumn="0" w:noHBand="0" w:noVBand="1"/>
      </w:tblPr>
      <w:tblGrid>
        <w:gridCol w:w="2048"/>
        <w:gridCol w:w="2712"/>
      </w:tblGrid>
      <w:tr w:rsidR="00CB6406" w:rsidRPr="00CB6406" w14:paraId="04F4D7E9" w14:textId="77777777" w:rsidTr="002E47FA">
        <w:trPr>
          <w:trHeight w:val="364"/>
          <w:jc w:val="center"/>
        </w:trPr>
        <w:tc>
          <w:tcPr>
            <w:tcW w:w="2048" w:type="dxa"/>
            <w:tcBorders>
              <w:top w:val="single" w:sz="8" w:space="0" w:color="auto"/>
              <w:left w:val="single" w:sz="8" w:space="0" w:color="auto"/>
              <w:bottom w:val="single" w:sz="8" w:space="0" w:color="000000"/>
              <w:right w:val="single" w:sz="8" w:space="0" w:color="000000"/>
            </w:tcBorders>
            <w:shd w:val="clear" w:color="000000" w:fill="8DB3E2"/>
            <w:vAlign w:val="center"/>
            <w:hideMark/>
          </w:tcPr>
          <w:p w14:paraId="409315D2"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State or Territory</w:t>
            </w:r>
          </w:p>
        </w:tc>
        <w:tc>
          <w:tcPr>
            <w:tcW w:w="2712" w:type="dxa"/>
            <w:tcBorders>
              <w:top w:val="single" w:sz="8" w:space="0" w:color="auto"/>
              <w:left w:val="nil"/>
              <w:bottom w:val="single" w:sz="8" w:space="0" w:color="000000"/>
              <w:right w:val="single" w:sz="8" w:space="0" w:color="auto"/>
            </w:tcBorders>
            <w:shd w:val="clear" w:color="000000" w:fill="8DB3E2"/>
            <w:vAlign w:val="center"/>
            <w:hideMark/>
          </w:tcPr>
          <w:p w14:paraId="65B8FDFE"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Number of Registrants</w:t>
            </w:r>
          </w:p>
        </w:tc>
      </w:tr>
      <w:tr w:rsidR="00CB6406" w:rsidRPr="00CB6406" w14:paraId="63DF1024"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6F3"/>
            <w:vAlign w:val="center"/>
            <w:hideMark/>
          </w:tcPr>
          <w:p w14:paraId="400BC8EE"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Alabama</w:t>
            </w:r>
          </w:p>
        </w:tc>
        <w:tc>
          <w:tcPr>
            <w:tcW w:w="2712" w:type="dxa"/>
            <w:tcBorders>
              <w:top w:val="nil"/>
              <w:left w:val="nil"/>
              <w:bottom w:val="single" w:sz="8" w:space="0" w:color="000000"/>
              <w:right w:val="single" w:sz="8" w:space="0" w:color="auto"/>
            </w:tcBorders>
            <w:shd w:val="clear" w:color="000000" w:fill="BDD6F3"/>
            <w:vAlign w:val="center"/>
            <w:hideMark/>
          </w:tcPr>
          <w:p w14:paraId="1F2830A6"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15</w:t>
            </w:r>
          </w:p>
        </w:tc>
      </w:tr>
      <w:tr w:rsidR="00CB6406" w:rsidRPr="00CB6406" w14:paraId="2284401D"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7F7B2BFC"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Arizona</w:t>
            </w:r>
          </w:p>
        </w:tc>
        <w:tc>
          <w:tcPr>
            <w:tcW w:w="2712" w:type="dxa"/>
            <w:tcBorders>
              <w:top w:val="nil"/>
              <w:left w:val="nil"/>
              <w:bottom w:val="single" w:sz="8" w:space="0" w:color="000000"/>
              <w:right w:val="single" w:sz="8" w:space="0" w:color="auto"/>
            </w:tcBorders>
            <w:shd w:val="clear" w:color="auto" w:fill="auto"/>
            <w:vAlign w:val="center"/>
            <w:hideMark/>
          </w:tcPr>
          <w:p w14:paraId="33536CDE"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518D60AB"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6F3"/>
            <w:vAlign w:val="center"/>
            <w:hideMark/>
          </w:tcPr>
          <w:p w14:paraId="469C6C9B"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California</w:t>
            </w:r>
          </w:p>
        </w:tc>
        <w:tc>
          <w:tcPr>
            <w:tcW w:w="2712" w:type="dxa"/>
            <w:tcBorders>
              <w:top w:val="nil"/>
              <w:left w:val="nil"/>
              <w:bottom w:val="single" w:sz="8" w:space="0" w:color="000000"/>
              <w:right w:val="single" w:sz="8" w:space="0" w:color="auto"/>
            </w:tcBorders>
            <w:shd w:val="clear" w:color="000000" w:fill="BDD6F3"/>
            <w:vAlign w:val="center"/>
            <w:hideMark/>
          </w:tcPr>
          <w:p w14:paraId="79FF4880"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4</w:t>
            </w:r>
          </w:p>
        </w:tc>
      </w:tr>
      <w:tr w:rsidR="00CB6406" w:rsidRPr="00CB6406" w14:paraId="76AE3815"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37C257DD"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Colorado</w:t>
            </w:r>
          </w:p>
        </w:tc>
        <w:tc>
          <w:tcPr>
            <w:tcW w:w="2712" w:type="dxa"/>
            <w:tcBorders>
              <w:top w:val="nil"/>
              <w:left w:val="nil"/>
              <w:bottom w:val="single" w:sz="8" w:space="0" w:color="000000"/>
              <w:right w:val="single" w:sz="8" w:space="0" w:color="auto"/>
            </w:tcBorders>
            <w:shd w:val="clear" w:color="auto" w:fill="auto"/>
            <w:vAlign w:val="center"/>
            <w:hideMark/>
          </w:tcPr>
          <w:p w14:paraId="35B187A9"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3</w:t>
            </w:r>
          </w:p>
        </w:tc>
      </w:tr>
      <w:tr w:rsidR="00CB6406" w:rsidRPr="00CB6406" w14:paraId="665E945D"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6F3"/>
            <w:vAlign w:val="center"/>
            <w:hideMark/>
          </w:tcPr>
          <w:p w14:paraId="14AA67BB"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Florida</w:t>
            </w:r>
          </w:p>
        </w:tc>
        <w:tc>
          <w:tcPr>
            <w:tcW w:w="2712" w:type="dxa"/>
            <w:tcBorders>
              <w:top w:val="nil"/>
              <w:left w:val="nil"/>
              <w:bottom w:val="single" w:sz="8" w:space="0" w:color="000000"/>
              <w:right w:val="single" w:sz="8" w:space="0" w:color="auto"/>
            </w:tcBorders>
            <w:shd w:val="clear" w:color="000000" w:fill="BDD6F3"/>
            <w:vAlign w:val="center"/>
            <w:hideMark/>
          </w:tcPr>
          <w:p w14:paraId="685A2C33"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5</w:t>
            </w:r>
          </w:p>
        </w:tc>
      </w:tr>
      <w:tr w:rsidR="00CB6406" w:rsidRPr="00CB6406" w14:paraId="6189C5CB"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556EACF1"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Georgia</w:t>
            </w:r>
          </w:p>
        </w:tc>
        <w:tc>
          <w:tcPr>
            <w:tcW w:w="2712" w:type="dxa"/>
            <w:tcBorders>
              <w:top w:val="nil"/>
              <w:left w:val="nil"/>
              <w:bottom w:val="single" w:sz="8" w:space="0" w:color="000000"/>
              <w:right w:val="single" w:sz="8" w:space="0" w:color="auto"/>
            </w:tcBorders>
            <w:shd w:val="clear" w:color="auto" w:fill="auto"/>
            <w:vAlign w:val="center"/>
            <w:hideMark/>
          </w:tcPr>
          <w:p w14:paraId="11ED8EBE" w14:textId="080D1DA3"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4</w:t>
            </w:r>
            <w:r w:rsidR="00026430">
              <w:rPr>
                <w:rFonts w:ascii="Calibri" w:eastAsia="Arial" w:hAnsi="Calibri" w:cs="Calibri"/>
                <w:color w:val="000000" w:themeColor="text1"/>
                <w:sz w:val="16"/>
                <w:szCs w:val="16"/>
                <w:lang w:eastAsia="en-US"/>
              </w:rPr>
              <w:t>5</w:t>
            </w:r>
          </w:p>
        </w:tc>
      </w:tr>
      <w:tr w:rsidR="00CB6406" w:rsidRPr="00CB6406" w14:paraId="3E6FD119"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6F3"/>
            <w:vAlign w:val="center"/>
            <w:hideMark/>
          </w:tcPr>
          <w:p w14:paraId="7D75F47A"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Idaho</w:t>
            </w:r>
          </w:p>
        </w:tc>
        <w:tc>
          <w:tcPr>
            <w:tcW w:w="2712" w:type="dxa"/>
            <w:tcBorders>
              <w:top w:val="nil"/>
              <w:left w:val="nil"/>
              <w:bottom w:val="single" w:sz="8" w:space="0" w:color="000000"/>
              <w:right w:val="single" w:sz="8" w:space="0" w:color="auto"/>
            </w:tcBorders>
            <w:shd w:val="clear" w:color="000000" w:fill="BDD6F3"/>
            <w:vAlign w:val="center"/>
            <w:hideMark/>
          </w:tcPr>
          <w:p w14:paraId="3130F690"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57AC5DBE"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62B57D4D"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Illinois</w:t>
            </w:r>
          </w:p>
        </w:tc>
        <w:tc>
          <w:tcPr>
            <w:tcW w:w="2712" w:type="dxa"/>
            <w:tcBorders>
              <w:top w:val="nil"/>
              <w:left w:val="nil"/>
              <w:bottom w:val="single" w:sz="8" w:space="0" w:color="000000"/>
              <w:right w:val="single" w:sz="8" w:space="0" w:color="auto"/>
            </w:tcBorders>
            <w:shd w:val="clear" w:color="auto" w:fill="auto"/>
            <w:vAlign w:val="center"/>
            <w:hideMark/>
          </w:tcPr>
          <w:p w14:paraId="6794EF47"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7A3A323F"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0A9531E5"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Louisiana</w:t>
            </w:r>
          </w:p>
        </w:tc>
        <w:tc>
          <w:tcPr>
            <w:tcW w:w="2712" w:type="dxa"/>
            <w:tcBorders>
              <w:top w:val="nil"/>
              <w:left w:val="nil"/>
              <w:bottom w:val="single" w:sz="8" w:space="0" w:color="000000"/>
              <w:right w:val="single" w:sz="8" w:space="0" w:color="auto"/>
            </w:tcBorders>
            <w:shd w:val="clear" w:color="000000" w:fill="BDD7EE"/>
            <w:vAlign w:val="center"/>
            <w:hideMark/>
          </w:tcPr>
          <w:p w14:paraId="18A7D8F0"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5C89A2D6"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25A68A88"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Massachusetts</w:t>
            </w:r>
          </w:p>
        </w:tc>
        <w:tc>
          <w:tcPr>
            <w:tcW w:w="2712" w:type="dxa"/>
            <w:tcBorders>
              <w:top w:val="nil"/>
              <w:left w:val="nil"/>
              <w:bottom w:val="single" w:sz="8" w:space="0" w:color="000000"/>
              <w:right w:val="single" w:sz="8" w:space="0" w:color="auto"/>
            </w:tcBorders>
            <w:shd w:val="clear" w:color="auto" w:fill="auto"/>
            <w:vAlign w:val="center"/>
            <w:hideMark/>
          </w:tcPr>
          <w:p w14:paraId="011D4FC3"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4</w:t>
            </w:r>
          </w:p>
        </w:tc>
      </w:tr>
      <w:tr w:rsidR="00CB6406" w:rsidRPr="00CB6406" w14:paraId="61D225EC"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2738D206"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Mississippi</w:t>
            </w:r>
          </w:p>
        </w:tc>
        <w:tc>
          <w:tcPr>
            <w:tcW w:w="2712" w:type="dxa"/>
            <w:tcBorders>
              <w:top w:val="nil"/>
              <w:left w:val="nil"/>
              <w:bottom w:val="single" w:sz="8" w:space="0" w:color="000000"/>
              <w:right w:val="single" w:sz="8" w:space="0" w:color="auto"/>
            </w:tcBorders>
            <w:shd w:val="clear" w:color="000000" w:fill="BDD7EE"/>
            <w:vAlign w:val="center"/>
            <w:hideMark/>
          </w:tcPr>
          <w:p w14:paraId="49DDECCC"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66BA65DF"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5605CA71"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New Hampshire</w:t>
            </w:r>
          </w:p>
        </w:tc>
        <w:tc>
          <w:tcPr>
            <w:tcW w:w="2712" w:type="dxa"/>
            <w:tcBorders>
              <w:top w:val="nil"/>
              <w:left w:val="nil"/>
              <w:bottom w:val="single" w:sz="8" w:space="0" w:color="000000"/>
              <w:right w:val="single" w:sz="8" w:space="0" w:color="auto"/>
            </w:tcBorders>
            <w:shd w:val="clear" w:color="auto" w:fill="auto"/>
            <w:vAlign w:val="center"/>
            <w:hideMark/>
          </w:tcPr>
          <w:p w14:paraId="3734269F" w14:textId="5D45E6A5" w:rsidR="00CB6406" w:rsidRPr="00CB6406" w:rsidRDefault="00261BC0" w:rsidP="00CB6406">
            <w:pPr>
              <w:spacing w:after="0" w:line="240" w:lineRule="auto"/>
              <w:jc w:val="center"/>
              <w:rPr>
                <w:rFonts w:ascii="Calibri" w:eastAsia="Times New Roman" w:hAnsi="Calibri" w:cs="Calibri"/>
                <w:color w:val="000000"/>
                <w:sz w:val="16"/>
                <w:szCs w:val="16"/>
                <w:lang w:eastAsia="en-US"/>
              </w:rPr>
            </w:pPr>
            <w:r>
              <w:rPr>
                <w:rFonts w:ascii="Calibri" w:eastAsia="Arial" w:hAnsi="Calibri" w:cs="Calibri"/>
                <w:color w:val="000000" w:themeColor="text1"/>
                <w:sz w:val="16"/>
                <w:szCs w:val="16"/>
                <w:lang w:eastAsia="en-US"/>
              </w:rPr>
              <w:t>11</w:t>
            </w:r>
          </w:p>
        </w:tc>
      </w:tr>
      <w:tr w:rsidR="00CB6406" w:rsidRPr="00CB6406" w14:paraId="63DD1ACE"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17E2FA20"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New Jersey</w:t>
            </w:r>
          </w:p>
        </w:tc>
        <w:tc>
          <w:tcPr>
            <w:tcW w:w="2712" w:type="dxa"/>
            <w:tcBorders>
              <w:top w:val="nil"/>
              <w:left w:val="nil"/>
              <w:bottom w:val="single" w:sz="8" w:space="0" w:color="000000"/>
              <w:right w:val="single" w:sz="8" w:space="0" w:color="auto"/>
            </w:tcBorders>
            <w:shd w:val="clear" w:color="000000" w:fill="BDD7EE"/>
            <w:vAlign w:val="center"/>
            <w:hideMark/>
          </w:tcPr>
          <w:p w14:paraId="79A2567E"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16836147"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345A3491"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New York</w:t>
            </w:r>
          </w:p>
        </w:tc>
        <w:tc>
          <w:tcPr>
            <w:tcW w:w="2712" w:type="dxa"/>
            <w:tcBorders>
              <w:top w:val="nil"/>
              <w:left w:val="nil"/>
              <w:bottom w:val="single" w:sz="8" w:space="0" w:color="000000"/>
              <w:right w:val="single" w:sz="8" w:space="0" w:color="auto"/>
            </w:tcBorders>
            <w:shd w:val="clear" w:color="auto" w:fill="auto"/>
            <w:vAlign w:val="center"/>
            <w:hideMark/>
          </w:tcPr>
          <w:p w14:paraId="039F6F74"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3</w:t>
            </w:r>
          </w:p>
        </w:tc>
      </w:tr>
      <w:tr w:rsidR="00CB6406" w:rsidRPr="00CB6406" w14:paraId="4F7D02D0"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493793BE"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North Carolina</w:t>
            </w:r>
          </w:p>
        </w:tc>
        <w:tc>
          <w:tcPr>
            <w:tcW w:w="2712" w:type="dxa"/>
            <w:tcBorders>
              <w:top w:val="nil"/>
              <w:left w:val="nil"/>
              <w:bottom w:val="single" w:sz="8" w:space="0" w:color="000000"/>
              <w:right w:val="single" w:sz="8" w:space="0" w:color="auto"/>
            </w:tcBorders>
            <w:shd w:val="clear" w:color="000000" w:fill="BDD7EE"/>
            <w:vAlign w:val="center"/>
            <w:hideMark/>
          </w:tcPr>
          <w:p w14:paraId="742BCDA4"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4</w:t>
            </w:r>
          </w:p>
        </w:tc>
      </w:tr>
      <w:tr w:rsidR="00CB6406" w:rsidRPr="00CB6406" w14:paraId="2459E452"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09E1D7AF"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Ohio</w:t>
            </w:r>
          </w:p>
        </w:tc>
        <w:tc>
          <w:tcPr>
            <w:tcW w:w="2712" w:type="dxa"/>
            <w:tcBorders>
              <w:top w:val="nil"/>
              <w:left w:val="nil"/>
              <w:bottom w:val="single" w:sz="8" w:space="0" w:color="000000"/>
              <w:right w:val="single" w:sz="8" w:space="0" w:color="auto"/>
            </w:tcBorders>
            <w:shd w:val="clear" w:color="auto" w:fill="auto"/>
            <w:vAlign w:val="center"/>
            <w:hideMark/>
          </w:tcPr>
          <w:p w14:paraId="381BFA30"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2C58790C"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2798F24F"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Oregon</w:t>
            </w:r>
          </w:p>
        </w:tc>
        <w:tc>
          <w:tcPr>
            <w:tcW w:w="2712" w:type="dxa"/>
            <w:tcBorders>
              <w:top w:val="nil"/>
              <w:left w:val="nil"/>
              <w:bottom w:val="single" w:sz="8" w:space="0" w:color="000000"/>
              <w:right w:val="single" w:sz="8" w:space="0" w:color="auto"/>
            </w:tcBorders>
            <w:shd w:val="clear" w:color="000000" w:fill="BDD7EE"/>
            <w:vAlign w:val="center"/>
            <w:hideMark/>
          </w:tcPr>
          <w:p w14:paraId="31949658"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77E4E2B2"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59289B59"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Pennsylvania</w:t>
            </w:r>
          </w:p>
        </w:tc>
        <w:tc>
          <w:tcPr>
            <w:tcW w:w="2712" w:type="dxa"/>
            <w:tcBorders>
              <w:top w:val="nil"/>
              <w:left w:val="nil"/>
              <w:bottom w:val="single" w:sz="8" w:space="0" w:color="000000"/>
              <w:right w:val="single" w:sz="8" w:space="0" w:color="auto"/>
            </w:tcBorders>
            <w:shd w:val="clear" w:color="auto" w:fill="auto"/>
            <w:vAlign w:val="center"/>
            <w:hideMark/>
          </w:tcPr>
          <w:p w14:paraId="05DC84F2"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r w:rsidR="00CB6406" w:rsidRPr="00CB6406" w14:paraId="3A695CC6"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000000" w:fill="BDD7EE"/>
            <w:vAlign w:val="center"/>
            <w:hideMark/>
          </w:tcPr>
          <w:p w14:paraId="22D9BC01"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Tennessee</w:t>
            </w:r>
          </w:p>
        </w:tc>
        <w:tc>
          <w:tcPr>
            <w:tcW w:w="2712" w:type="dxa"/>
            <w:tcBorders>
              <w:top w:val="nil"/>
              <w:left w:val="nil"/>
              <w:bottom w:val="single" w:sz="8" w:space="0" w:color="000000"/>
              <w:right w:val="single" w:sz="8" w:space="0" w:color="auto"/>
            </w:tcBorders>
            <w:shd w:val="clear" w:color="000000" w:fill="BDD7EE"/>
            <w:vAlign w:val="center"/>
            <w:hideMark/>
          </w:tcPr>
          <w:p w14:paraId="160E373A"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3</w:t>
            </w:r>
          </w:p>
        </w:tc>
      </w:tr>
      <w:tr w:rsidR="00CB6406" w:rsidRPr="00CB6406" w14:paraId="233DE1D6" w14:textId="77777777" w:rsidTr="002E47FA">
        <w:trPr>
          <w:trHeight w:val="184"/>
          <w:jc w:val="center"/>
        </w:trPr>
        <w:tc>
          <w:tcPr>
            <w:tcW w:w="2048" w:type="dxa"/>
            <w:tcBorders>
              <w:top w:val="nil"/>
              <w:left w:val="single" w:sz="8" w:space="0" w:color="auto"/>
              <w:bottom w:val="single" w:sz="8" w:space="0" w:color="000000"/>
              <w:right w:val="single" w:sz="8" w:space="0" w:color="000000"/>
            </w:tcBorders>
            <w:shd w:val="clear" w:color="auto" w:fill="auto"/>
            <w:vAlign w:val="center"/>
            <w:hideMark/>
          </w:tcPr>
          <w:p w14:paraId="7718F450"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Texas</w:t>
            </w:r>
          </w:p>
        </w:tc>
        <w:tc>
          <w:tcPr>
            <w:tcW w:w="2712" w:type="dxa"/>
            <w:tcBorders>
              <w:top w:val="nil"/>
              <w:left w:val="nil"/>
              <w:bottom w:val="single" w:sz="8" w:space="0" w:color="000000"/>
              <w:right w:val="single" w:sz="8" w:space="0" w:color="auto"/>
            </w:tcBorders>
            <w:shd w:val="clear" w:color="auto" w:fill="auto"/>
            <w:vAlign w:val="center"/>
            <w:hideMark/>
          </w:tcPr>
          <w:p w14:paraId="13619FD8"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4</w:t>
            </w:r>
          </w:p>
        </w:tc>
      </w:tr>
      <w:tr w:rsidR="00CB6406" w:rsidRPr="00CB6406" w14:paraId="677B5733" w14:textId="77777777" w:rsidTr="002E47FA">
        <w:trPr>
          <w:trHeight w:val="184"/>
          <w:jc w:val="center"/>
        </w:trPr>
        <w:tc>
          <w:tcPr>
            <w:tcW w:w="2048" w:type="dxa"/>
            <w:tcBorders>
              <w:top w:val="nil"/>
              <w:left w:val="single" w:sz="8" w:space="0" w:color="auto"/>
              <w:bottom w:val="single" w:sz="8" w:space="0" w:color="auto"/>
              <w:right w:val="single" w:sz="8" w:space="0" w:color="000000"/>
            </w:tcBorders>
            <w:shd w:val="clear" w:color="000000" w:fill="BDD7EE"/>
            <w:vAlign w:val="center"/>
            <w:hideMark/>
          </w:tcPr>
          <w:p w14:paraId="180D8358" w14:textId="77777777" w:rsidR="00CB6406" w:rsidRPr="00CB6406" w:rsidRDefault="00CB6406" w:rsidP="00CB6406">
            <w:pPr>
              <w:spacing w:after="0" w:line="240" w:lineRule="auto"/>
              <w:jc w:val="center"/>
              <w:rPr>
                <w:rFonts w:ascii="Calibri" w:eastAsia="Times New Roman" w:hAnsi="Calibri" w:cs="Calibri"/>
                <w:b/>
                <w:bCs/>
                <w:color w:val="000000"/>
                <w:sz w:val="16"/>
                <w:szCs w:val="16"/>
                <w:lang w:eastAsia="en-US"/>
              </w:rPr>
            </w:pPr>
            <w:r w:rsidRPr="00CB6406">
              <w:rPr>
                <w:rFonts w:ascii="Calibri" w:eastAsia="Arial" w:hAnsi="Calibri" w:cs="Calibri"/>
                <w:b/>
                <w:bCs/>
                <w:color w:val="000000" w:themeColor="text1"/>
                <w:sz w:val="16"/>
                <w:szCs w:val="16"/>
                <w:lang w:eastAsia="en-US"/>
              </w:rPr>
              <w:t>Vermont</w:t>
            </w:r>
          </w:p>
        </w:tc>
        <w:tc>
          <w:tcPr>
            <w:tcW w:w="2712" w:type="dxa"/>
            <w:tcBorders>
              <w:top w:val="nil"/>
              <w:left w:val="nil"/>
              <w:bottom w:val="single" w:sz="8" w:space="0" w:color="auto"/>
              <w:right w:val="single" w:sz="8" w:space="0" w:color="auto"/>
            </w:tcBorders>
            <w:shd w:val="clear" w:color="000000" w:fill="BDD7EE"/>
            <w:vAlign w:val="center"/>
            <w:hideMark/>
          </w:tcPr>
          <w:p w14:paraId="59748E13" w14:textId="77777777" w:rsidR="00CB6406" w:rsidRPr="00CB6406" w:rsidRDefault="00CB6406" w:rsidP="00CB6406">
            <w:pPr>
              <w:spacing w:after="0" w:line="240" w:lineRule="auto"/>
              <w:jc w:val="center"/>
              <w:rPr>
                <w:rFonts w:ascii="Calibri" w:eastAsia="Times New Roman" w:hAnsi="Calibri" w:cs="Calibri"/>
                <w:color w:val="000000"/>
                <w:sz w:val="16"/>
                <w:szCs w:val="16"/>
                <w:lang w:eastAsia="en-US"/>
              </w:rPr>
            </w:pPr>
            <w:r w:rsidRPr="00CB6406">
              <w:rPr>
                <w:rFonts w:ascii="Calibri" w:eastAsia="Arial" w:hAnsi="Calibri" w:cs="Calibri"/>
                <w:color w:val="000000" w:themeColor="text1"/>
                <w:sz w:val="16"/>
                <w:szCs w:val="16"/>
                <w:lang w:eastAsia="en-US"/>
              </w:rPr>
              <w:t>1</w:t>
            </w:r>
          </w:p>
        </w:tc>
      </w:tr>
    </w:tbl>
    <w:p w14:paraId="7997B46E" w14:textId="469F5FF7" w:rsidR="00271B7E" w:rsidRPr="00867A79" w:rsidRDefault="005E2367" w:rsidP="00271B7E">
      <w:pPr>
        <w:pStyle w:val="ListParagraph"/>
        <w:numPr>
          <w:ilvl w:val="0"/>
          <w:numId w:val="2"/>
        </w:numPr>
        <w:spacing w:line="259" w:lineRule="auto"/>
        <w:rPr>
          <w:rFonts w:cs="Calibri"/>
          <w:b/>
          <w:bCs/>
          <w:color w:val="0F4761" w:themeColor="accent1" w:themeShade="BF"/>
        </w:rPr>
      </w:pPr>
      <w:r w:rsidRPr="00867A79">
        <w:rPr>
          <w:rFonts w:cs="Calibri"/>
          <w:b/>
          <w:bCs/>
          <w:color w:val="0F4761" w:themeColor="accent1" w:themeShade="BF"/>
        </w:rPr>
        <w:lastRenderedPageBreak/>
        <w:t>Questions and Answers</w:t>
      </w:r>
    </w:p>
    <w:p w14:paraId="3EF000A2" w14:textId="4FDA508D" w:rsidR="00D441AE" w:rsidRDefault="007B6B86" w:rsidP="002E47FA">
      <w:pPr>
        <w:spacing w:after="120"/>
        <w:ind w:firstLine="720"/>
        <w:jc w:val="both"/>
        <w:rPr>
          <w:color w:val="000000"/>
          <w:kern w:val="24"/>
          <w:sz w:val="22"/>
          <w:szCs w:val="22"/>
        </w:rPr>
      </w:pPr>
      <w:r>
        <w:rPr>
          <w:color w:val="000000" w:themeColor="text1"/>
        </w:rPr>
        <w:t>Prior to and d</w:t>
      </w:r>
      <w:r w:rsidR="00BF68B6" w:rsidRPr="00BF68B6">
        <w:rPr>
          <w:color w:val="000000" w:themeColor="text1"/>
        </w:rPr>
        <w:t xml:space="preserve">uring the bid period, one of the primary means of communication </w:t>
      </w:r>
      <w:r w:rsidR="00965D69">
        <w:rPr>
          <w:color w:val="000000" w:themeColor="text1"/>
        </w:rPr>
        <w:t>was</w:t>
      </w:r>
      <w:r w:rsidR="00965D69" w:rsidRPr="00BF68B6">
        <w:rPr>
          <w:color w:val="000000" w:themeColor="text1"/>
        </w:rPr>
        <w:t xml:space="preserve"> </w:t>
      </w:r>
      <w:r w:rsidR="00BF68B6" w:rsidRPr="00BF68B6">
        <w:rPr>
          <w:color w:val="000000" w:themeColor="text1"/>
        </w:rPr>
        <w:t xml:space="preserve">through the Question-and-Answer </w:t>
      </w:r>
      <w:r w:rsidR="005523FA">
        <w:rPr>
          <w:color w:val="000000" w:themeColor="text1"/>
        </w:rPr>
        <w:t xml:space="preserve">(“Q&amp;A”) </w:t>
      </w:r>
      <w:r w:rsidR="00BF68B6" w:rsidRPr="00BF68B6">
        <w:rPr>
          <w:color w:val="000000" w:themeColor="text1"/>
        </w:rPr>
        <w:t xml:space="preserve">page on the website. Registrants </w:t>
      </w:r>
      <w:r w:rsidR="00965D69">
        <w:rPr>
          <w:color w:val="000000" w:themeColor="text1"/>
        </w:rPr>
        <w:t>were able to</w:t>
      </w:r>
      <w:r w:rsidR="00965D69" w:rsidRPr="00BF68B6">
        <w:rPr>
          <w:color w:val="000000" w:themeColor="text1"/>
        </w:rPr>
        <w:t xml:space="preserve"> </w:t>
      </w:r>
      <w:r w:rsidR="00BF68B6" w:rsidRPr="00BF68B6">
        <w:rPr>
          <w:color w:val="000000" w:themeColor="text1"/>
        </w:rPr>
        <w:t>submit a question to the IE and receive a response</w:t>
      </w:r>
      <w:r w:rsidR="000211AF">
        <w:rPr>
          <w:color w:val="000000" w:themeColor="text1"/>
        </w:rPr>
        <w:t xml:space="preserve">. To preserve the anonymity of bidders before the bid submission date, the IE “blinded” questions </w:t>
      </w:r>
      <w:r w:rsidR="005523FA">
        <w:rPr>
          <w:color w:val="000000" w:themeColor="text1"/>
        </w:rPr>
        <w:t>and shared</w:t>
      </w:r>
      <w:r w:rsidR="000211AF">
        <w:rPr>
          <w:color w:val="000000" w:themeColor="text1"/>
        </w:rPr>
        <w:t xml:space="preserve"> them with the GPC Evaluation Team to answer.  Once an answer was provided the question and answer were posted on </w:t>
      </w:r>
      <w:r w:rsidR="000D4E07">
        <w:rPr>
          <w:color w:val="000000" w:themeColor="text1"/>
        </w:rPr>
        <w:t xml:space="preserve">the </w:t>
      </w:r>
      <w:r w:rsidR="000211AF">
        <w:rPr>
          <w:color w:val="000000" w:themeColor="text1"/>
        </w:rPr>
        <w:t>IE Website</w:t>
      </w:r>
      <w:r w:rsidR="005523FA">
        <w:rPr>
          <w:color w:val="000000" w:themeColor="text1"/>
        </w:rPr>
        <w:t xml:space="preserve"> and became</w:t>
      </w:r>
      <w:r w:rsidR="000211AF">
        <w:rPr>
          <w:color w:val="000000" w:themeColor="text1"/>
        </w:rPr>
        <w:t xml:space="preserve"> </w:t>
      </w:r>
      <w:r w:rsidR="00BF68B6" w:rsidRPr="00BF68B6">
        <w:rPr>
          <w:color w:val="000000" w:themeColor="text1"/>
        </w:rPr>
        <w:t xml:space="preserve">viewable </w:t>
      </w:r>
      <w:r w:rsidR="005523FA">
        <w:rPr>
          <w:color w:val="000000" w:themeColor="text1"/>
        </w:rPr>
        <w:t>to</w:t>
      </w:r>
      <w:r w:rsidR="005523FA" w:rsidRPr="00BF68B6">
        <w:rPr>
          <w:color w:val="000000" w:themeColor="text1"/>
        </w:rPr>
        <w:t xml:space="preserve"> </w:t>
      </w:r>
      <w:r w:rsidR="00BF68B6" w:rsidRPr="00BF68B6">
        <w:rPr>
          <w:color w:val="000000" w:themeColor="text1"/>
        </w:rPr>
        <w:t xml:space="preserve">all registered users of the site. </w:t>
      </w:r>
      <w:r w:rsidR="00B94F00">
        <w:rPr>
          <w:color w:val="000000" w:themeColor="text1"/>
        </w:rPr>
        <w:t xml:space="preserve"> The </w:t>
      </w:r>
      <w:r w:rsidR="00BF68B6" w:rsidRPr="00BF68B6">
        <w:rPr>
          <w:color w:val="000000" w:themeColor="text1"/>
        </w:rPr>
        <w:t>Q</w:t>
      </w:r>
      <w:r w:rsidR="00BF68B6">
        <w:rPr>
          <w:color w:val="000000" w:themeColor="text1"/>
        </w:rPr>
        <w:t>&amp;</w:t>
      </w:r>
      <w:r w:rsidR="00BF68B6" w:rsidRPr="00BF68B6">
        <w:rPr>
          <w:color w:val="000000" w:themeColor="text1"/>
        </w:rPr>
        <w:t xml:space="preserve">A </w:t>
      </w:r>
      <w:r w:rsidR="00B94F00">
        <w:rPr>
          <w:color w:val="000000" w:themeColor="text1"/>
        </w:rPr>
        <w:t>was</w:t>
      </w:r>
      <w:r w:rsidR="00B94F00" w:rsidRPr="00BF68B6">
        <w:rPr>
          <w:color w:val="000000" w:themeColor="text1"/>
        </w:rPr>
        <w:t xml:space="preserve"> </w:t>
      </w:r>
      <w:r w:rsidR="00BF68B6" w:rsidRPr="00BF68B6">
        <w:rPr>
          <w:color w:val="000000" w:themeColor="text1"/>
        </w:rPr>
        <w:t xml:space="preserve">meant to </w:t>
      </w:r>
      <w:r w:rsidR="00B94F00">
        <w:rPr>
          <w:color w:val="000000" w:themeColor="text1"/>
        </w:rPr>
        <w:t>provide</w:t>
      </w:r>
      <w:r w:rsidR="00B94F00" w:rsidRPr="00BF68B6">
        <w:rPr>
          <w:color w:val="000000" w:themeColor="text1"/>
        </w:rPr>
        <w:t xml:space="preserve"> </w:t>
      </w:r>
      <w:r w:rsidR="00BF68B6" w:rsidRPr="00BF68B6">
        <w:rPr>
          <w:color w:val="000000" w:themeColor="text1"/>
        </w:rPr>
        <w:t>non-project specific</w:t>
      </w:r>
      <w:r w:rsidR="00B94F00">
        <w:rPr>
          <w:color w:val="000000" w:themeColor="text1"/>
        </w:rPr>
        <w:t xml:space="preserve"> information and to </w:t>
      </w:r>
      <w:r w:rsidR="00B94F00" w:rsidRPr="00BF68B6">
        <w:rPr>
          <w:color w:val="000000" w:themeColor="text1"/>
        </w:rPr>
        <w:t>ensure</w:t>
      </w:r>
      <w:r w:rsidR="00BF68B6" w:rsidRPr="00BF68B6">
        <w:rPr>
          <w:color w:val="000000" w:themeColor="text1"/>
        </w:rPr>
        <w:t xml:space="preserve"> </w:t>
      </w:r>
      <w:r w:rsidR="00965D69">
        <w:rPr>
          <w:color w:val="000000" w:themeColor="text1"/>
        </w:rPr>
        <w:t xml:space="preserve"> </w:t>
      </w:r>
      <w:r w:rsidR="00202A94">
        <w:rPr>
          <w:color w:val="000000" w:themeColor="text1"/>
        </w:rPr>
        <w:t>all</w:t>
      </w:r>
      <w:r w:rsidR="00202A94" w:rsidRPr="00BF68B6">
        <w:rPr>
          <w:color w:val="000000" w:themeColor="text1"/>
        </w:rPr>
        <w:t xml:space="preserve"> </w:t>
      </w:r>
      <w:r w:rsidR="00BF68B6" w:rsidRPr="00BF68B6">
        <w:rPr>
          <w:color w:val="000000" w:themeColor="text1"/>
        </w:rPr>
        <w:t>market participant</w:t>
      </w:r>
      <w:r w:rsidR="00202A94">
        <w:rPr>
          <w:color w:val="000000" w:themeColor="text1"/>
        </w:rPr>
        <w:t>s</w:t>
      </w:r>
      <w:r w:rsidR="00BF68B6" w:rsidRPr="00BF68B6">
        <w:rPr>
          <w:color w:val="000000" w:themeColor="text1"/>
        </w:rPr>
        <w:t xml:space="preserve"> </w:t>
      </w:r>
      <w:r w:rsidR="00202A94">
        <w:rPr>
          <w:color w:val="000000" w:themeColor="text1"/>
        </w:rPr>
        <w:t>were</w:t>
      </w:r>
      <w:r w:rsidR="00B94F00" w:rsidRPr="00BF68B6">
        <w:rPr>
          <w:color w:val="000000" w:themeColor="text1"/>
        </w:rPr>
        <w:t xml:space="preserve"> </w:t>
      </w:r>
      <w:r w:rsidR="00BF68B6" w:rsidRPr="00BF68B6">
        <w:rPr>
          <w:color w:val="000000" w:themeColor="text1"/>
        </w:rPr>
        <w:t xml:space="preserve">given </w:t>
      </w:r>
      <w:r w:rsidR="00202A94">
        <w:rPr>
          <w:color w:val="000000" w:themeColor="text1"/>
        </w:rPr>
        <w:t>the same information at the same time</w:t>
      </w:r>
      <w:r w:rsidR="00B94F00">
        <w:rPr>
          <w:color w:val="000000" w:themeColor="text1"/>
        </w:rPr>
        <w:t>.</w:t>
      </w:r>
      <w:r w:rsidR="00B94F00" w:rsidRPr="00BF68B6">
        <w:rPr>
          <w:color w:val="000000" w:themeColor="text1"/>
        </w:rPr>
        <w:t xml:space="preserve"> </w:t>
      </w:r>
      <w:r w:rsidR="00B94F00">
        <w:rPr>
          <w:color w:val="000000" w:themeColor="text1"/>
        </w:rPr>
        <w:t xml:space="preserve">The </w:t>
      </w:r>
      <w:r w:rsidR="00BF68B6" w:rsidRPr="00BF68B6">
        <w:rPr>
          <w:color w:val="000000" w:themeColor="text1"/>
        </w:rPr>
        <w:t xml:space="preserve">compendium of information </w:t>
      </w:r>
      <w:r w:rsidR="00202A94">
        <w:rPr>
          <w:color w:val="000000" w:themeColor="text1"/>
        </w:rPr>
        <w:t>created by the Q&amp;A served as a resource for</w:t>
      </w:r>
      <w:r w:rsidR="00202A94" w:rsidRPr="00BF68B6">
        <w:rPr>
          <w:color w:val="000000" w:themeColor="text1"/>
        </w:rPr>
        <w:t xml:space="preserve"> </w:t>
      </w:r>
      <w:r w:rsidR="00BF68B6" w:rsidRPr="00BF68B6">
        <w:rPr>
          <w:color w:val="000000" w:themeColor="text1"/>
        </w:rPr>
        <w:t>market participants prior to contacting the IE.</w:t>
      </w:r>
      <w:r w:rsidR="00BF68B6">
        <w:rPr>
          <w:color w:val="000000" w:themeColor="text1"/>
        </w:rPr>
        <w:t xml:space="preserve"> </w:t>
      </w:r>
      <w:bookmarkStart w:id="1" w:name="_Hlk174458084"/>
    </w:p>
    <w:p w14:paraId="18552317" w14:textId="404A7218" w:rsidR="00D441AE" w:rsidRDefault="00D441AE" w:rsidP="00D441AE">
      <w:pPr>
        <w:pStyle w:val="NormalWeb"/>
        <w:spacing w:before="0" w:beforeAutospacing="0" w:after="0" w:afterAutospacing="0"/>
        <w:jc w:val="center"/>
        <w:textAlignment w:val="baseline"/>
        <w:rPr>
          <w:rFonts w:asciiTheme="minorHAnsi" w:eastAsiaTheme="minorEastAsia" w:cstheme="minorBidi"/>
          <w:color w:val="000000"/>
          <w:kern w:val="24"/>
          <w:sz w:val="28"/>
          <w:szCs w:val="28"/>
        </w:rPr>
      </w:pPr>
      <w:r>
        <w:rPr>
          <w:noProof/>
        </w:rPr>
        <mc:AlternateContent>
          <mc:Choice Requires="wps">
            <w:drawing>
              <wp:anchor distT="0" distB="0" distL="114300" distR="114300" simplePos="0" relativeHeight="251669504" behindDoc="0" locked="0" layoutInCell="1" allowOverlap="1" wp14:anchorId="4AE2EA6E" wp14:editId="31A8807C">
                <wp:simplePos x="0" y="0"/>
                <wp:positionH relativeFrom="column">
                  <wp:posOffset>2857500</wp:posOffset>
                </wp:positionH>
                <wp:positionV relativeFrom="paragraph">
                  <wp:posOffset>33655</wp:posOffset>
                </wp:positionV>
                <wp:extent cx="2619375" cy="209550"/>
                <wp:effectExtent l="0" t="0" r="9525" b="0"/>
                <wp:wrapSquare wrapText="bothSides"/>
                <wp:docPr id="1916971043" name="Text Box 1"/>
                <wp:cNvGraphicFramePr/>
                <a:graphic xmlns:a="http://schemas.openxmlformats.org/drawingml/2006/main">
                  <a:graphicData uri="http://schemas.microsoft.com/office/word/2010/wordprocessingShape">
                    <wps:wsp>
                      <wps:cNvSpPr txBox="1"/>
                      <wps:spPr>
                        <a:xfrm>
                          <a:off x="0" y="0"/>
                          <a:ext cx="2619375" cy="209550"/>
                        </a:xfrm>
                        <a:prstGeom prst="rect">
                          <a:avLst/>
                        </a:prstGeom>
                        <a:solidFill>
                          <a:prstClr val="white"/>
                        </a:solidFill>
                        <a:ln>
                          <a:noFill/>
                        </a:ln>
                      </wps:spPr>
                      <wps:txbx>
                        <w:txbxContent>
                          <w:p w14:paraId="312E19B9" w14:textId="0C77B894" w:rsidR="00D441AE" w:rsidRPr="002E47FA" w:rsidRDefault="00D441AE" w:rsidP="002E47FA">
                            <w:pPr>
                              <w:pStyle w:val="Caption"/>
                              <w:jc w:val="center"/>
                              <w:rPr>
                                <w:rFonts w:ascii="Calibri" w:eastAsia="Arial" w:hAnsi="Calibri" w:cs="Calibri"/>
                                <w:b/>
                                <w:bCs/>
                                <w:noProof/>
                                <w:color w:val="auto"/>
                                <w:sz w:val="22"/>
                                <w:szCs w:val="22"/>
                              </w:rPr>
                            </w:pPr>
                            <w:r w:rsidRPr="002E47FA">
                              <w:rPr>
                                <w:b/>
                                <w:bCs/>
                                <w:color w:val="auto"/>
                                <w:sz w:val="22"/>
                                <w:szCs w:val="22"/>
                              </w:rPr>
                              <w:t xml:space="preserve">Figure </w:t>
                            </w:r>
                            <w:r>
                              <w:rPr>
                                <w:b/>
                                <w:bCs/>
                                <w:color w:val="auto"/>
                                <w:sz w:val="22"/>
                                <w:szCs w:val="22"/>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2EA6E" id="_x0000_t202" coordsize="21600,21600" o:spt="202" path="m,l,21600r21600,l21600,xe">
                <v:stroke joinstyle="miter"/>
                <v:path gradientshapeok="t" o:connecttype="rect"/>
              </v:shapetype>
              <v:shape id="Text Box 1" o:spid="_x0000_s1026" type="#_x0000_t202" style="position:absolute;left:0;text-align:left;margin-left:225pt;margin-top:2.65pt;width:206.25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" stroked="f">
                <v:textbox inset="0,0,0,0">
                  <w:txbxContent>
                    <w:p w14:paraId="312E19B9" w14:textId="0C77B894" w:rsidR="00D441AE" w:rsidRPr="002E47FA" w:rsidRDefault="00D441AE" w:rsidP="002E47FA">
                      <w:pPr>
                        <w:pStyle w:val="Caption"/>
                        <w:jc w:val="center"/>
                        <w:rPr>
                          <w:rFonts w:ascii="Calibri" w:eastAsia="Arial" w:hAnsi="Calibri" w:cs="Calibri"/>
                          <w:b/>
                          <w:bCs/>
                          <w:noProof/>
                          <w:color w:val="auto"/>
                          <w:sz w:val="22"/>
                          <w:szCs w:val="22"/>
                        </w:rPr>
                      </w:pPr>
                      <w:r w:rsidRPr="002E47FA">
                        <w:rPr>
                          <w:b/>
                          <w:bCs/>
                          <w:color w:val="auto"/>
                          <w:sz w:val="22"/>
                          <w:szCs w:val="22"/>
                        </w:rPr>
                        <w:t xml:space="preserve">Figure </w:t>
                      </w:r>
                      <w:r>
                        <w:rPr>
                          <w:b/>
                          <w:bCs/>
                          <w:color w:val="auto"/>
                          <w:sz w:val="22"/>
                          <w:szCs w:val="22"/>
                        </w:rPr>
                        <w:t>2</w:t>
                      </w:r>
                    </w:p>
                  </w:txbxContent>
                </v:textbox>
                <w10:wrap type="square"/>
              </v:shape>
            </w:pict>
          </mc:Fallback>
        </mc:AlternateContent>
      </w:r>
    </w:p>
    <w:bookmarkEnd w:id="1"/>
    <w:p w14:paraId="281E7D93" w14:textId="78C37FA6" w:rsidR="007B6B86" w:rsidRPr="007B6B86" w:rsidRDefault="00D441AE" w:rsidP="002944D5">
      <w:pPr>
        <w:spacing w:line="259" w:lineRule="auto"/>
        <w:ind w:firstLine="720"/>
        <w:jc w:val="both"/>
        <w:rPr>
          <w:rFonts w:eastAsia="Arial" w:cs="Calibri"/>
          <w:color w:val="000000" w:themeColor="text1"/>
        </w:rPr>
      </w:pPr>
      <w:r>
        <w:rPr>
          <w:rFonts w:ascii="Calibri" w:eastAsia="Arial" w:hAnsi="Calibri" w:cs="Calibri"/>
          <w:noProof/>
          <w:color w:val="000000" w:themeColor="text1"/>
        </w:rPr>
        <w:drawing>
          <wp:anchor distT="0" distB="0" distL="114300" distR="114300" simplePos="0" relativeHeight="251662336" behindDoc="0" locked="0" layoutInCell="1" allowOverlap="1" wp14:anchorId="511D1ECF" wp14:editId="68436B43">
            <wp:simplePos x="0" y="0"/>
            <wp:positionH relativeFrom="column">
              <wp:posOffset>2619375</wp:posOffset>
            </wp:positionH>
            <wp:positionV relativeFrom="paragraph">
              <wp:posOffset>62865</wp:posOffset>
            </wp:positionV>
            <wp:extent cx="3181350" cy="2314575"/>
            <wp:effectExtent l="0" t="0" r="0" b="9525"/>
            <wp:wrapSquare wrapText="bothSides"/>
            <wp:docPr id="191721365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7B6B86">
        <w:rPr>
          <w:color w:val="000000" w:themeColor="text1"/>
        </w:rPr>
        <w:t>The Q&amp;A</w:t>
      </w:r>
      <w:r w:rsidR="000211AF">
        <w:rPr>
          <w:color w:val="000000" w:themeColor="text1"/>
        </w:rPr>
        <w:t xml:space="preserve"> feature </w:t>
      </w:r>
      <w:r w:rsidR="007B6B86">
        <w:rPr>
          <w:color w:val="000000" w:themeColor="text1"/>
        </w:rPr>
        <w:t xml:space="preserve">for the </w:t>
      </w:r>
      <w:r w:rsidR="00BA3E7A">
        <w:rPr>
          <w:color w:val="000000" w:themeColor="text1"/>
        </w:rPr>
        <w:t>Biomass</w:t>
      </w:r>
      <w:r w:rsidR="007B6B86">
        <w:rPr>
          <w:color w:val="000000" w:themeColor="text1"/>
        </w:rPr>
        <w:t xml:space="preserve"> RFP was opened on December 15, 2022.</w:t>
      </w:r>
      <w:r w:rsidR="00BF68B6">
        <w:rPr>
          <w:color w:val="000000" w:themeColor="text1"/>
        </w:rPr>
        <w:t xml:space="preserve"> </w:t>
      </w:r>
      <w:r w:rsidR="007B6B86">
        <w:rPr>
          <w:color w:val="000000" w:themeColor="text1"/>
        </w:rPr>
        <w:t xml:space="preserve">A total of </w:t>
      </w:r>
      <w:r w:rsidR="000211AF">
        <w:rPr>
          <w:color w:val="000000" w:themeColor="text1"/>
        </w:rPr>
        <w:t>twenty</w:t>
      </w:r>
      <w:r w:rsidR="000D4E07">
        <w:rPr>
          <w:color w:val="000000" w:themeColor="text1"/>
        </w:rPr>
        <w:t>-</w:t>
      </w:r>
      <w:r w:rsidR="000211AF">
        <w:rPr>
          <w:color w:val="000000" w:themeColor="text1"/>
        </w:rPr>
        <w:t xml:space="preserve"> three (</w:t>
      </w:r>
      <w:r w:rsidR="007B6B86">
        <w:rPr>
          <w:color w:val="000000" w:themeColor="text1"/>
        </w:rPr>
        <w:t>2</w:t>
      </w:r>
      <w:r w:rsidR="003261F8">
        <w:rPr>
          <w:color w:val="000000" w:themeColor="text1"/>
        </w:rPr>
        <w:t>3</w:t>
      </w:r>
      <w:r w:rsidR="000211AF">
        <w:rPr>
          <w:color w:val="000000" w:themeColor="text1"/>
        </w:rPr>
        <w:t>)</w:t>
      </w:r>
      <w:r w:rsidR="007B6B86">
        <w:rPr>
          <w:color w:val="000000" w:themeColor="text1"/>
        </w:rPr>
        <w:t xml:space="preserve"> questions from 6 unique registrants were answered.  The questions </w:t>
      </w:r>
      <w:r w:rsidR="007A2A3C">
        <w:rPr>
          <w:color w:val="000000" w:themeColor="text1"/>
        </w:rPr>
        <w:t>covered several topics including clarifications of requirements in the RFP and terms in the PPA</w:t>
      </w:r>
      <w:r w:rsidR="007B6B86">
        <w:rPr>
          <w:color w:val="000000" w:themeColor="text1"/>
        </w:rPr>
        <w:t>,</w:t>
      </w:r>
      <w:r w:rsidR="007A2A3C">
        <w:rPr>
          <w:color w:val="000000" w:themeColor="text1"/>
        </w:rPr>
        <w:t xml:space="preserve"> </w:t>
      </w:r>
      <w:r w:rsidR="007B6B86">
        <w:rPr>
          <w:color w:val="000000" w:themeColor="text1"/>
        </w:rPr>
        <w:t xml:space="preserve">transmission, </w:t>
      </w:r>
      <w:r w:rsidR="007A2A3C">
        <w:rPr>
          <w:color w:val="000000" w:themeColor="text1"/>
        </w:rPr>
        <w:t>and use of the IE website</w:t>
      </w:r>
      <w:r w:rsidR="007B6B86">
        <w:rPr>
          <w:color w:val="000000" w:themeColor="text1"/>
        </w:rPr>
        <w:t xml:space="preserve">.  </w:t>
      </w:r>
      <w:r w:rsidR="007B6B86" w:rsidRPr="007B6B86">
        <w:rPr>
          <w:rFonts w:eastAsia="Arial" w:cs="Calibri"/>
          <w:color w:val="000000" w:themeColor="text1"/>
        </w:rPr>
        <w:t xml:space="preserve">Upon completion of the bidding period on </w:t>
      </w:r>
      <w:r w:rsidR="007B6B86">
        <w:rPr>
          <w:rFonts w:eastAsia="Arial" w:cs="Calibri"/>
          <w:color w:val="000000" w:themeColor="text1"/>
        </w:rPr>
        <w:t xml:space="preserve">July 14, </w:t>
      </w:r>
      <w:r w:rsidR="007B6B86" w:rsidRPr="007B6B86">
        <w:rPr>
          <w:rFonts w:eastAsia="Arial" w:cs="Calibri"/>
          <w:color w:val="000000" w:themeColor="text1"/>
        </w:rPr>
        <w:t>2023, the Q</w:t>
      </w:r>
      <w:r w:rsidR="007B6B86">
        <w:rPr>
          <w:rFonts w:eastAsia="Arial" w:cs="Calibri"/>
          <w:color w:val="000000" w:themeColor="text1"/>
        </w:rPr>
        <w:t>&amp;</w:t>
      </w:r>
      <w:r w:rsidR="007B6B86" w:rsidRPr="007B6B86">
        <w:rPr>
          <w:rFonts w:eastAsia="Arial" w:cs="Calibri"/>
          <w:color w:val="000000" w:themeColor="text1"/>
        </w:rPr>
        <w:t>A feature was disabled so that new questions could not be submitted</w:t>
      </w:r>
      <w:r w:rsidR="007B6B86">
        <w:rPr>
          <w:rFonts w:eastAsia="Arial" w:cs="Calibri"/>
          <w:color w:val="000000" w:themeColor="text1"/>
        </w:rPr>
        <w:t>.  P</w:t>
      </w:r>
      <w:r w:rsidR="007B6B86" w:rsidRPr="007B6B86">
        <w:rPr>
          <w:rFonts w:eastAsia="Arial" w:cs="Calibri"/>
          <w:color w:val="000000" w:themeColor="text1"/>
        </w:rPr>
        <w:t>reviously posted Q</w:t>
      </w:r>
      <w:r w:rsidR="007B6B86">
        <w:rPr>
          <w:rFonts w:eastAsia="Arial" w:cs="Calibri"/>
          <w:color w:val="000000" w:themeColor="text1"/>
        </w:rPr>
        <w:t>&amp;</w:t>
      </w:r>
      <w:r w:rsidR="007B6B86" w:rsidRPr="007B6B86">
        <w:rPr>
          <w:rFonts w:eastAsia="Arial" w:cs="Calibri"/>
          <w:color w:val="000000" w:themeColor="text1"/>
        </w:rPr>
        <w:t>A</w:t>
      </w:r>
      <w:r w:rsidR="007B6B86">
        <w:rPr>
          <w:rFonts w:eastAsia="Arial" w:cs="Calibri"/>
          <w:color w:val="000000" w:themeColor="text1"/>
        </w:rPr>
        <w:t>, however,</w:t>
      </w:r>
      <w:r w:rsidR="007B6B86" w:rsidRPr="007B6B86">
        <w:rPr>
          <w:rFonts w:eastAsia="Arial" w:cs="Calibri"/>
          <w:color w:val="000000" w:themeColor="text1"/>
        </w:rPr>
        <w:t xml:space="preserve"> </w:t>
      </w:r>
      <w:r w:rsidR="007B6B86">
        <w:rPr>
          <w:rFonts w:eastAsia="Arial" w:cs="Calibri"/>
          <w:color w:val="000000" w:themeColor="text1"/>
        </w:rPr>
        <w:t>remain</w:t>
      </w:r>
      <w:r w:rsidR="000211AF">
        <w:rPr>
          <w:rFonts w:eastAsia="Arial" w:cs="Calibri"/>
          <w:color w:val="000000" w:themeColor="text1"/>
        </w:rPr>
        <w:t>ed</w:t>
      </w:r>
      <w:r w:rsidR="007B6B86" w:rsidRPr="007B6B86">
        <w:rPr>
          <w:rFonts w:eastAsia="Arial" w:cs="Calibri"/>
          <w:color w:val="000000" w:themeColor="text1"/>
        </w:rPr>
        <w:t xml:space="preserve"> available for reference.</w:t>
      </w:r>
      <w:r w:rsidR="007B6B86">
        <w:rPr>
          <w:rFonts w:ascii="Calibri" w:hAnsi="Calibri" w:cs="Calibri"/>
          <w:i/>
          <w:iCs/>
          <w:color w:val="000000" w:themeColor="text1"/>
          <w:sz w:val="18"/>
          <w:szCs w:val="18"/>
        </w:rPr>
        <w:t xml:space="preserve">   </w:t>
      </w:r>
      <w:r w:rsidR="007B6B86">
        <w:rPr>
          <w:rFonts w:ascii="Calibri" w:hAnsi="Calibri" w:cs="Calibri"/>
          <w:i/>
          <w:iCs/>
          <w:color w:val="000000" w:themeColor="text1"/>
          <w:sz w:val="18"/>
          <w:szCs w:val="18"/>
        </w:rPr>
        <w:tab/>
      </w:r>
      <w:r w:rsidR="007B6B86">
        <w:rPr>
          <w:rFonts w:ascii="Calibri" w:hAnsi="Calibri" w:cs="Calibri"/>
          <w:i/>
          <w:iCs/>
          <w:color w:val="000000" w:themeColor="text1"/>
          <w:sz w:val="18"/>
          <w:szCs w:val="18"/>
        </w:rPr>
        <w:tab/>
      </w:r>
      <w:r w:rsidR="007B6B86">
        <w:rPr>
          <w:rFonts w:ascii="Calibri" w:hAnsi="Calibri" w:cs="Calibri"/>
          <w:i/>
          <w:iCs/>
          <w:color w:val="000000" w:themeColor="text1"/>
          <w:sz w:val="18"/>
          <w:szCs w:val="18"/>
        </w:rPr>
        <w:tab/>
      </w:r>
    </w:p>
    <w:p w14:paraId="115294AD" w14:textId="6599E5B7" w:rsidR="007B6B86" w:rsidRPr="00867A79" w:rsidRDefault="005E2367" w:rsidP="005E2367">
      <w:pPr>
        <w:pStyle w:val="ListParagraph"/>
        <w:numPr>
          <w:ilvl w:val="0"/>
          <w:numId w:val="2"/>
        </w:numPr>
        <w:spacing w:line="259" w:lineRule="auto"/>
        <w:rPr>
          <w:b/>
          <w:bCs/>
          <w:color w:val="0F4761" w:themeColor="accent1" w:themeShade="BF"/>
        </w:rPr>
      </w:pPr>
      <w:r w:rsidRPr="00867A79">
        <w:rPr>
          <w:b/>
          <w:bCs/>
          <w:color w:val="0F4761" w:themeColor="accent1" w:themeShade="BF"/>
        </w:rPr>
        <w:t>Message Boards</w:t>
      </w:r>
    </w:p>
    <w:p w14:paraId="03DB8379" w14:textId="7486F065" w:rsidR="001E7E79" w:rsidRDefault="007A2A3C" w:rsidP="000211AF">
      <w:pPr>
        <w:spacing w:after="120"/>
        <w:ind w:firstLine="720"/>
        <w:jc w:val="both"/>
        <w:rPr>
          <w:color w:val="000000" w:themeColor="text1"/>
        </w:rPr>
      </w:pPr>
      <w:r w:rsidRPr="001E7E79">
        <w:rPr>
          <w:color w:val="000000" w:themeColor="text1"/>
        </w:rPr>
        <w:t>The confidential message board (“Message Board”)</w:t>
      </w:r>
      <w:r>
        <w:rPr>
          <w:color w:val="000000" w:themeColor="text1"/>
        </w:rPr>
        <w:t xml:space="preserve"> o</w:t>
      </w:r>
      <w:r w:rsidR="0043004A">
        <w:rPr>
          <w:color w:val="000000" w:themeColor="text1"/>
        </w:rPr>
        <w:t>n</w:t>
      </w:r>
      <w:r>
        <w:rPr>
          <w:color w:val="000000" w:themeColor="text1"/>
        </w:rPr>
        <w:t xml:space="preserve"> the IE website </w:t>
      </w:r>
      <w:r w:rsidR="00202A94">
        <w:rPr>
          <w:color w:val="000000" w:themeColor="text1"/>
        </w:rPr>
        <w:t xml:space="preserve">provided </w:t>
      </w:r>
      <w:r>
        <w:rPr>
          <w:color w:val="000000" w:themeColor="text1"/>
        </w:rPr>
        <w:t>a messaging platform for exchanges between bidder</w:t>
      </w:r>
      <w:r w:rsidR="00BD7F37">
        <w:rPr>
          <w:color w:val="000000" w:themeColor="text1"/>
        </w:rPr>
        <w:t>s</w:t>
      </w:r>
      <w:r>
        <w:rPr>
          <w:color w:val="000000" w:themeColor="text1"/>
        </w:rPr>
        <w:t xml:space="preserve"> and the IE or GPC. The Message Board was accessible throughout the bidding</w:t>
      </w:r>
      <w:r w:rsidR="00235138">
        <w:rPr>
          <w:color w:val="000000" w:themeColor="text1"/>
        </w:rPr>
        <w:t xml:space="preserve">, confirmation, </w:t>
      </w:r>
      <w:r w:rsidR="001E7E79">
        <w:rPr>
          <w:color w:val="000000" w:themeColor="text1"/>
        </w:rPr>
        <w:t xml:space="preserve">and evaluation </w:t>
      </w:r>
      <w:r>
        <w:rPr>
          <w:color w:val="000000" w:themeColor="text1"/>
        </w:rPr>
        <w:t>process</w:t>
      </w:r>
      <w:r w:rsidR="001E7E79">
        <w:rPr>
          <w:color w:val="000000" w:themeColor="text1"/>
        </w:rPr>
        <w:t xml:space="preserve">es.  </w:t>
      </w:r>
      <w:r w:rsidR="001E7E79" w:rsidRPr="001E7E79">
        <w:rPr>
          <w:color w:val="000000" w:themeColor="text1"/>
        </w:rPr>
        <w:t>The message board allow</w:t>
      </w:r>
      <w:r w:rsidR="001E7E79">
        <w:rPr>
          <w:color w:val="000000" w:themeColor="text1"/>
        </w:rPr>
        <w:t>ed</w:t>
      </w:r>
      <w:r w:rsidR="001E7E79" w:rsidRPr="001E7E79">
        <w:rPr>
          <w:color w:val="000000" w:themeColor="text1"/>
        </w:rPr>
        <w:t xml:space="preserve"> bidders to communicate directly with the IE </w:t>
      </w:r>
      <w:r w:rsidR="000211AF">
        <w:rPr>
          <w:color w:val="000000" w:themeColor="text1"/>
        </w:rPr>
        <w:t xml:space="preserve">prior to the bid submission date </w:t>
      </w:r>
      <w:r w:rsidR="001E7E79" w:rsidRPr="001E7E79">
        <w:rPr>
          <w:color w:val="000000" w:themeColor="text1"/>
        </w:rPr>
        <w:t>regarding project-specific questions</w:t>
      </w:r>
      <w:r w:rsidR="000211AF">
        <w:rPr>
          <w:color w:val="000000" w:themeColor="text1"/>
        </w:rPr>
        <w:t>,</w:t>
      </w:r>
      <w:r w:rsidR="001E7E79">
        <w:rPr>
          <w:color w:val="000000" w:themeColor="text1"/>
        </w:rPr>
        <w:t xml:space="preserve"> and with GPC during the evaluation phase</w:t>
      </w:r>
      <w:r w:rsidR="001E7E79" w:rsidRPr="001E7E79">
        <w:rPr>
          <w:color w:val="000000" w:themeColor="text1"/>
        </w:rPr>
        <w:t xml:space="preserve">. </w:t>
      </w:r>
      <w:r w:rsidR="000211AF">
        <w:rPr>
          <w:color w:val="000000" w:themeColor="text1"/>
        </w:rPr>
        <w:t xml:space="preserve"> </w:t>
      </w:r>
      <w:r w:rsidR="001E7E79" w:rsidRPr="001E7E79">
        <w:rPr>
          <w:color w:val="000000" w:themeColor="text1"/>
        </w:rPr>
        <w:t>Due to the confidential nature of th</w:t>
      </w:r>
      <w:r w:rsidR="001E7E79">
        <w:rPr>
          <w:color w:val="000000" w:themeColor="text1"/>
        </w:rPr>
        <w:t>o</w:t>
      </w:r>
      <w:r w:rsidR="001E7E79" w:rsidRPr="001E7E79">
        <w:rPr>
          <w:color w:val="000000" w:themeColor="text1"/>
        </w:rPr>
        <w:t xml:space="preserve">se communications, each bidder </w:t>
      </w:r>
      <w:r w:rsidR="00202A94">
        <w:rPr>
          <w:color w:val="000000" w:themeColor="text1"/>
        </w:rPr>
        <w:t>was</w:t>
      </w:r>
      <w:r w:rsidR="00202A94" w:rsidRPr="001E7E79">
        <w:rPr>
          <w:color w:val="000000" w:themeColor="text1"/>
        </w:rPr>
        <w:t xml:space="preserve"> </w:t>
      </w:r>
      <w:r w:rsidR="001E7E79" w:rsidRPr="001E7E79">
        <w:rPr>
          <w:color w:val="000000" w:themeColor="text1"/>
        </w:rPr>
        <w:t xml:space="preserve">allowed to see only their own exchanges. </w:t>
      </w:r>
      <w:r w:rsidR="001E7E79">
        <w:rPr>
          <w:color w:val="000000" w:themeColor="text1"/>
        </w:rPr>
        <w:t xml:space="preserve"> </w:t>
      </w:r>
      <w:r w:rsidR="00202A94">
        <w:rPr>
          <w:color w:val="000000" w:themeColor="text1"/>
        </w:rPr>
        <w:t>Prior to the evaluation phase, t</w:t>
      </w:r>
      <w:r w:rsidR="000211AF">
        <w:rPr>
          <w:color w:val="000000" w:themeColor="text1"/>
        </w:rPr>
        <w:t xml:space="preserve">he IE </w:t>
      </w:r>
      <w:r w:rsidR="000211AF">
        <w:rPr>
          <w:color w:val="000000" w:themeColor="text1"/>
        </w:rPr>
        <w:lastRenderedPageBreak/>
        <w:t xml:space="preserve">shared each project-specific Message Board inquiry with the GPC Evaluation Team, blinded as to the source, and relayed responses via the Message Board.  </w:t>
      </w:r>
      <w:r w:rsidR="001E7E79">
        <w:rPr>
          <w:color w:val="000000" w:themeColor="text1"/>
        </w:rPr>
        <w:t>P</w:t>
      </w:r>
      <w:r w:rsidR="001E7E79" w:rsidRPr="001E7E79">
        <w:rPr>
          <w:color w:val="000000" w:themeColor="text1"/>
        </w:rPr>
        <w:t xml:space="preserve">articipants </w:t>
      </w:r>
      <w:r w:rsidR="001E7E79">
        <w:rPr>
          <w:color w:val="000000" w:themeColor="text1"/>
        </w:rPr>
        <w:t>use</w:t>
      </w:r>
      <w:r w:rsidR="000211AF">
        <w:rPr>
          <w:color w:val="000000" w:themeColor="text1"/>
        </w:rPr>
        <w:t>d</w:t>
      </w:r>
      <w:r w:rsidR="001E7E79">
        <w:rPr>
          <w:color w:val="000000" w:themeColor="text1"/>
        </w:rPr>
        <w:t xml:space="preserve"> the message board to</w:t>
      </w:r>
      <w:r w:rsidR="001E7E79" w:rsidRPr="001E7E79">
        <w:rPr>
          <w:color w:val="000000" w:themeColor="text1"/>
        </w:rPr>
        <w:t xml:space="preserve"> inquire about the specific needs or limitations of their projects, </w:t>
      </w:r>
      <w:r w:rsidR="001E7E79">
        <w:rPr>
          <w:color w:val="000000" w:themeColor="text1"/>
        </w:rPr>
        <w:t>to</w:t>
      </w:r>
      <w:r w:rsidR="001E7E79" w:rsidRPr="001E7E79">
        <w:rPr>
          <w:color w:val="000000" w:themeColor="text1"/>
        </w:rPr>
        <w:t xml:space="preserve"> ask clarifying questions about how the RFP and supporting documents may relate to their project</w:t>
      </w:r>
      <w:r w:rsidR="00202A94">
        <w:rPr>
          <w:color w:val="000000" w:themeColor="text1"/>
        </w:rPr>
        <w:t>,</w:t>
      </w:r>
      <w:r w:rsidR="001E7E79">
        <w:rPr>
          <w:color w:val="000000" w:themeColor="text1"/>
        </w:rPr>
        <w:t xml:space="preserve"> and to answer questions </w:t>
      </w:r>
      <w:r w:rsidR="000211AF">
        <w:rPr>
          <w:color w:val="000000" w:themeColor="text1"/>
        </w:rPr>
        <w:t xml:space="preserve">from the Evaluation Team or IE </w:t>
      </w:r>
      <w:r w:rsidR="001E7E79">
        <w:rPr>
          <w:color w:val="000000" w:themeColor="text1"/>
        </w:rPr>
        <w:t>during the evaluation</w:t>
      </w:r>
      <w:r w:rsidR="000211AF">
        <w:rPr>
          <w:color w:val="000000" w:themeColor="text1"/>
        </w:rPr>
        <w:t xml:space="preserve"> phase</w:t>
      </w:r>
      <w:r w:rsidR="001E7E79" w:rsidRPr="001E7E79">
        <w:rPr>
          <w:color w:val="000000" w:themeColor="text1"/>
        </w:rPr>
        <w:t xml:space="preserve">. </w:t>
      </w:r>
      <w:r w:rsidR="00305D7E">
        <w:rPr>
          <w:color w:val="000000" w:themeColor="text1"/>
        </w:rPr>
        <w:t>Questions asked on the message board before bids were submitted that were not project specific and</w:t>
      </w:r>
      <w:r w:rsidR="001E7E79" w:rsidRPr="001E7E79">
        <w:rPr>
          <w:color w:val="000000" w:themeColor="text1"/>
        </w:rPr>
        <w:t xml:space="preserve"> confidential in nature, </w:t>
      </w:r>
      <w:r w:rsidR="00305D7E">
        <w:rPr>
          <w:color w:val="000000" w:themeColor="text1"/>
        </w:rPr>
        <w:t>were</w:t>
      </w:r>
      <w:r w:rsidR="001E7E79" w:rsidRPr="001E7E79">
        <w:rPr>
          <w:color w:val="000000" w:themeColor="text1"/>
        </w:rPr>
        <w:t xml:space="preserve"> transferred to the Q</w:t>
      </w:r>
      <w:r w:rsidR="001E7E79">
        <w:rPr>
          <w:color w:val="000000" w:themeColor="text1"/>
        </w:rPr>
        <w:t>&amp;</w:t>
      </w:r>
      <w:r w:rsidR="001E7E79" w:rsidRPr="001E7E79">
        <w:rPr>
          <w:color w:val="000000" w:themeColor="text1"/>
        </w:rPr>
        <w:t xml:space="preserve">A </w:t>
      </w:r>
      <w:r w:rsidR="000211AF">
        <w:rPr>
          <w:color w:val="000000" w:themeColor="text1"/>
        </w:rPr>
        <w:t xml:space="preserve">by the IE </w:t>
      </w:r>
      <w:r w:rsidR="001E7E79" w:rsidRPr="001E7E79">
        <w:rPr>
          <w:color w:val="000000" w:themeColor="text1"/>
        </w:rPr>
        <w:t>to allow the answer to benefit all potential participants.</w:t>
      </w:r>
      <w:r>
        <w:rPr>
          <w:color w:val="000000" w:themeColor="text1"/>
        </w:rPr>
        <w:t xml:space="preserve"> </w:t>
      </w:r>
    </w:p>
    <w:p w14:paraId="0B07F688" w14:textId="77777777" w:rsidR="00995ED8" w:rsidRDefault="00305D7E" w:rsidP="00995ED8">
      <w:pPr>
        <w:spacing w:after="240"/>
        <w:ind w:firstLine="720"/>
        <w:jc w:val="both"/>
        <w:rPr>
          <w:color w:val="000000" w:themeColor="text1"/>
        </w:rPr>
      </w:pPr>
      <w:r w:rsidRPr="00305D7E">
        <w:rPr>
          <w:color w:val="000000" w:themeColor="text1"/>
        </w:rPr>
        <w:t xml:space="preserve">The message board became available </w:t>
      </w:r>
      <w:r w:rsidR="00235138">
        <w:rPr>
          <w:color w:val="000000" w:themeColor="text1"/>
        </w:rPr>
        <w:t xml:space="preserve">for bidders </w:t>
      </w:r>
      <w:r w:rsidRPr="00305D7E">
        <w:rPr>
          <w:color w:val="000000" w:themeColor="text1"/>
        </w:rPr>
        <w:t>on February 16, 2023.</w:t>
      </w:r>
      <w:r w:rsidR="003A5340">
        <w:rPr>
          <w:color w:val="000000" w:themeColor="text1"/>
        </w:rPr>
        <w:t xml:space="preserve">  </w:t>
      </w:r>
      <w:r w:rsidR="00073525">
        <w:rPr>
          <w:color w:val="000000" w:themeColor="text1"/>
        </w:rPr>
        <w:t>As of July</w:t>
      </w:r>
      <w:r w:rsidR="008B6FFC">
        <w:rPr>
          <w:color w:val="000000" w:themeColor="text1"/>
        </w:rPr>
        <w:t> </w:t>
      </w:r>
      <w:r w:rsidR="00073525">
        <w:rPr>
          <w:color w:val="000000" w:themeColor="text1"/>
        </w:rPr>
        <w:t>31, 2024</w:t>
      </w:r>
      <w:r w:rsidRPr="00305D7E">
        <w:rPr>
          <w:color w:val="000000" w:themeColor="text1"/>
        </w:rPr>
        <w:t xml:space="preserve">, </w:t>
      </w:r>
      <w:r w:rsidR="007F2DB3">
        <w:rPr>
          <w:color w:val="000000" w:themeColor="text1"/>
        </w:rPr>
        <w:t>29</w:t>
      </w:r>
      <w:r w:rsidR="008C4444">
        <w:rPr>
          <w:color w:val="000000" w:themeColor="text1"/>
        </w:rPr>
        <w:t>3</w:t>
      </w:r>
      <w:r w:rsidR="007F2DB3" w:rsidRPr="00305D7E">
        <w:rPr>
          <w:color w:val="000000" w:themeColor="text1"/>
        </w:rPr>
        <w:t xml:space="preserve"> </w:t>
      </w:r>
      <w:r w:rsidRPr="00305D7E">
        <w:rPr>
          <w:color w:val="000000" w:themeColor="text1"/>
        </w:rPr>
        <w:t xml:space="preserve">messages from 3 </w:t>
      </w:r>
      <w:r w:rsidR="00BD7F37">
        <w:rPr>
          <w:color w:val="000000" w:themeColor="text1"/>
        </w:rPr>
        <w:t>bidders</w:t>
      </w:r>
      <w:r>
        <w:rPr>
          <w:color w:val="000000" w:themeColor="text1"/>
        </w:rPr>
        <w:t xml:space="preserve"> </w:t>
      </w:r>
      <w:r w:rsidR="00E21949">
        <w:rPr>
          <w:color w:val="000000" w:themeColor="text1"/>
        </w:rPr>
        <w:t>were</w:t>
      </w:r>
      <w:r>
        <w:rPr>
          <w:color w:val="000000" w:themeColor="text1"/>
        </w:rPr>
        <w:t xml:space="preserve"> received</w:t>
      </w:r>
      <w:r w:rsidR="00073525">
        <w:rPr>
          <w:color w:val="000000" w:themeColor="text1"/>
        </w:rPr>
        <w:t xml:space="preserve"> and</w:t>
      </w:r>
      <w:r w:rsidR="006E1C2B">
        <w:rPr>
          <w:color w:val="000000" w:themeColor="text1"/>
        </w:rPr>
        <w:t xml:space="preserve"> t</w:t>
      </w:r>
      <w:r w:rsidR="00E21949">
        <w:rPr>
          <w:color w:val="000000" w:themeColor="text1"/>
        </w:rPr>
        <w:t xml:space="preserve">he IE and GPC sent </w:t>
      </w:r>
      <w:r w:rsidR="007F2DB3">
        <w:rPr>
          <w:color w:val="000000" w:themeColor="text1"/>
        </w:rPr>
        <w:t>35</w:t>
      </w:r>
      <w:r w:rsidR="008C4444">
        <w:rPr>
          <w:color w:val="000000" w:themeColor="text1"/>
        </w:rPr>
        <w:t>7</w:t>
      </w:r>
      <w:r w:rsidR="007F2DB3">
        <w:rPr>
          <w:color w:val="000000" w:themeColor="text1"/>
        </w:rPr>
        <w:t xml:space="preserve"> </w:t>
      </w:r>
      <w:r w:rsidR="00E21949">
        <w:rPr>
          <w:color w:val="000000" w:themeColor="text1"/>
        </w:rPr>
        <w:t xml:space="preserve">messages to bidders asking for information or answering messages.  </w:t>
      </w:r>
    </w:p>
    <w:p w14:paraId="03C30F93" w14:textId="4B896F96" w:rsidR="00D441AE" w:rsidRPr="00995ED8" w:rsidRDefault="00D441AE" w:rsidP="00995ED8">
      <w:pPr>
        <w:spacing w:after="120"/>
        <w:jc w:val="center"/>
        <w:rPr>
          <w:i/>
          <w:iCs/>
          <w:color w:val="000000" w:themeColor="text1"/>
        </w:rPr>
      </w:pPr>
      <w:r w:rsidRPr="00995ED8">
        <w:rPr>
          <w:b/>
          <w:bCs/>
          <w:i/>
          <w:iCs/>
          <w:sz w:val="22"/>
          <w:szCs w:val="22"/>
        </w:rPr>
        <w:t>Figure 3</w:t>
      </w:r>
    </w:p>
    <w:p w14:paraId="75AA070B" w14:textId="428D18E0" w:rsidR="00C3698D" w:rsidRDefault="00C3698D" w:rsidP="00995ED8">
      <w:pPr>
        <w:spacing w:line="259" w:lineRule="auto"/>
        <w:jc w:val="center"/>
        <w:rPr>
          <w:rFonts w:ascii="Calibri" w:eastAsia="Arial" w:hAnsi="Calibri" w:cs="Calibri"/>
          <w:noProof/>
          <w:color w:val="000000" w:themeColor="text1"/>
        </w:rPr>
      </w:pPr>
      <w:r>
        <w:rPr>
          <w:rFonts w:ascii="Calibri" w:eastAsia="Arial" w:hAnsi="Calibri" w:cs="Calibri"/>
          <w:noProof/>
          <w:color w:val="000000" w:themeColor="text1"/>
        </w:rPr>
        <w:drawing>
          <wp:inline distT="0" distB="0" distL="0" distR="0" wp14:anchorId="3F05BFA7" wp14:editId="21ACD0D4">
            <wp:extent cx="3762375" cy="2476500"/>
            <wp:effectExtent l="0" t="0" r="9525" b="0"/>
            <wp:docPr id="170708925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4532FE" w14:textId="2D3FF0D4" w:rsidR="00E21949" w:rsidRDefault="00C3698D" w:rsidP="00E21949">
      <w:pPr>
        <w:spacing w:line="259" w:lineRule="auto"/>
        <w:rPr>
          <w:rFonts w:ascii="Calibri" w:hAnsi="Calibri" w:cs="Calibri"/>
          <w:i/>
          <w:iCs/>
          <w:color w:val="000000" w:themeColor="text1"/>
          <w:sz w:val="18"/>
          <w:szCs w:val="18"/>
        </w:rPr>
      </w:pPr>
      <w:r>
        <w:rPr>
          <w:rFonts w:ascii="Calibri" w:hAnsi="Calibri" w:cs="Calibri"/>
          <w:i/>
          <w:iCs/>
          <w:color w:val="000000" w:themeColor="text1"/>
          <w:sz w:val="18"/>
          <w:szCs w:val="18"/>
        </w:rPr>
        <w:t xml:space="preserve">                 </w:t>
      </w:r>
    </w:p>
    <w:p w14:paraId="475926C4" w14:textId="6503C878" w:rsidR="000211AF" w:rsidRDefault="00E21949" w:rsidP="000211AF">
      <w:pPr>
        <w:spacing w:after="120"/>
        <w:ind w:firstLine="720"/>
        <w:jc w:val="both"/>
        <w:rPr>
          <w:color w:val="000000" w:themeColor="text1"/>
        </w:rPr>
      </w:pPr>
      <w:r w:rsidRPr="00305D7E">
        <w:rPr>
          <w:color w:val="000000" w:themeColor="text1"/>
        </w:rPr>
        <w:t xml:space="preserve">In addition to the bidder message boards, the website also </w:t>
      </w:r>
      <w:r w:rsidR="00AB2C19" w:rsidRPr="00305D7E">
        <w:rPr>
          <w:color w:val="000000" w:themeColor="text1"/>
        </w:rPr>
        <w:t>provide</w:t>
      </w:r>
      <w:r w:rsidR="00AB2C19">
        <w:rPr>
          <w:color w:val="000000" w:themeColor="text1"/>
        </w:rPr>
        <w:t>d</w:t>
      </w:r>
      <w:r w:rsidR="00AB2C19" w:rsidRPr="00305D7E">
        <w:rPr>
          <w:color w:val="000000" w:themeColor="text1"/>
        </w:rPr>
        <w:t xml:space="preserve"> </w:t>
      </w:r>
      <w:r w:rsidRPr="00305D7E">
        <w:rPr>
          <w:color w:val="000000" w:themeColor="text1"/>
        </w:rPr>
        <w:t xml:space="preserve">two </w:t>
      </w:r>
      <w:r>
        <w:rPr>
          <w:color w:val="000000" w:themeColor="text1"/>
        </w:rPr>
        <w:t>additional</w:t>
      </w:r>
      <w:r w:rsidRPr="00305D7E">
        <w:rPr>
          <w:color w:val="000000" w:themeColor="text1"/>
        </w:rPr>
        <w:t xml:space="preserve"> message boards that </w:t>
      </w:r>
      <w:r w:rsidR="00AB2C19">
        <w:rPr>
          <w:color w:val="000000" w:themeColor="text1"/>
        </w:rPr>
        <w:t>were used</w:t>
      </w:r>
      <w:r w:rsidRPr="00305D7E">
        <w:rPr>
          <w:color w:val="000000" w:themeColor="text1"/>
        </w:rPr>
        <w:t xml:space="preserve"> by the </w:t>
      </w:r>
      <w:r w:rsidR="007F2DB3">
        <w:rPr>
          <w:color w:val="000000" w:themeColor="text1"/>
        </w:rPr>
        <w:t>IE, GPC, and the Evaluation Team</w:t>
      </w:r>
      <w:r>
        <w:rPr>
          <w:color w:val="000000" w:themeColor="text1"/>
        </w:rPr>
        <w:t xml:space="preserve">.  </w:t>
      </w:r>
      <w:r w:rsidR="00FA5B67">
        <w:rPr>
          <w:color w:val="000000" w:themeColor="text1"/>
        </w:rPr>
        <w:t xml:space="preserve">Those separate </w:t>
      </w:r>
      <w:r>
        <w:rPr>
          <w:color w:val="000000" w:themeColor="text1"/>
        </w:rPr>
        <w:t xml:space="preserve">message boards were </w:t>
      </w:r>
      <w:r w:rsidR="000211AF">
        <w:rPr>
          <w:color w:val="000000" w:themeColor="text1"/>
        </w:rPr>
        <w:t>dedicate</w:t>
      </w:r>
      <w:r w:rsidR="00FA5B67">
        <w:rPr>
          <w:color w:val="000000" w:themeColor="text1"/>
        </w:rPr>
        <w:t>d</w:t>
      </w:r>
      <w:r w:rsidR="000211AF">
        <w:rPr>
          <w:color w:val="000000" w:themeColor="text1"/>
        </w:rPr>
        <w:t xml:space="preserve"> to RFP process management.  One Message Board was used by GPC and </w:t>
      </w:r>
      <w:r w:rsidR="007F2DB3">
        <w:rPr>
          <w:color w:val="000000" w:themeColor="text1"/>
        </w:rPr>
        <w:t>the IE</w:t>
      </w:r>
      <w:r w:rsidR="000211AF">
        <w:rPr>
          <w:color w:val="000000" w:themeColor="text1"/>
        </w:rPr>
        <w:t xml:space="preserve"> to manage answers to questions and messages prior to the bid submission date.  The other was used to exchange and record evaluation information.  Both of these Message Boards were available to authorized Staff members.  </w:t>
      </w:r>
    </w:p>
    <w:p w14:paraId="1DCBDD76" w14:textId="0F244475" w:rsidR="00494C48" w:rsidRDefault="00E21949" w:rsidP="002E47FA">
      <w:pPr>
        <w:spacing w:after="240" w:line="259" w:lineRule="auto"/>
        <w:ind w:firstLine="720"/>
        <w:jc w:val="both"/>
        <w:rPr>
          <w:color w:val="000000" w:themeColor="text1"/>
        </w:rPr>
      </w:pPr>
      <w:r w:rsidRPr="00305D7E">
        <w:rPr>
          <w:color w:val="000000" w:themeColor="text1"/>
        </w:rPr>
        <w:lastRenderedPageBreak/>
        <w:t>Both the bidder message board and the alternative message boards remain</w:t>
      </w:r>
      <w:r w:rsidR="00F42AFF">
        <w:rPr>
          <w:color w:val="000000" w:themeColor="text1"/>
        </w:rPr>
        <w:t>ed</w:t>
      </w:r>
      <w:r w:rsidRPr="00305D7E">
        <w:rPr>
          <w:color w:val="000000" w:themeColor="text1"/>
        </w:rPr>
        <w:t xml:space="preserve"> open throughout the confirmation, review, and evaluation process so that communications </w:t>
      </w:r>
      <w:r w:rsidR="00F42AFF">
        <w:rPr>
          <w:color w:val="000000" w:themeColor="text1"/>
        </w:rPr>
        <w:t xml:space="preserve">could </w:t>
      </w:r>
      <w:r w:rsidRPr="00305D7E">
        <w:rPr>
          <w:color w:val="000000" w:themeColor="text1"/>
        </w:rPr>
        <w:t xml:space="preserve">continue </w:t>
      </w:r>
      <w:r w:rsidR="000211AF">
        <w:rPr>
          <w:color w:val="000000" w:themeColor="text1"/>
        </w:rPr>
        <w:t>among</w:t>
      </w:r>
      <w:r w:rsidR="000211AF" w:rsidRPr="00305D7E">
        <w:rPr>
          <w:color w:val="000000" w:themeColor="text1"/>
        </w:rPr>
        <w:t xml:space="preserve"> </w:t>
      </w:r>
      <w:r w:rsidRPr="00305D7E">
        <w:rPr>
          <w:color w:val="000000" w:themeColor="text1"/>
        </w:rPr>
        <w:t>relevant parties.</w:t>
      </w:r>
      <w:r>
        <w:rPr>
          <w:color w:val="000000" w:themeColor="text1"/>
        </w:rPr>
        <w:t xml:space="preserve"> </w:t>
      </w:r>
      <w:r w:rsidRPr="00305D7E">
        <w:rPr>
          <w:color w:val="000000" w:themeColor="text1"/>
        </w:rPr>
        <w:t xml:space="preserve"> All communications on the solicitation website are time and date stamped and maintained for accurate record keeping.</w:t>
      </w:r>
    </w:p>
    <w:p w14:paraId="6292B9F3" w14:textId="6DDA53A0" w:rsidR="00EE5E2F" w:rsidRPr="00937ED5" w:rsidRDefault="00CC06A3" w:rsidP="002E47FA">
      <w:pPr>
        <w:pStyle w:val="ListParagraph"/>
        <w:numPr>
          <w:ilvl w:val="0"/>
          <w:numId w:val="3"/>
        </w:numPr>
        <w:tabs>
          <w:tab w:val="left" w:pos="90"/>
        </w:tabs>
        <w:spacing w:after="120"/>
        <w:contextualSpacing w:val="0"/>
        <w:jc w:val="both"/>
        <w:rPr>
          <w:rFonts w:cstheme="minorHAnsi"/>
          <w:b/>
          <w:bCs/>
        </w:rPr>
      </w:pPr>
      <w:r w:rsidRPr="00937ED5">
        <w:rPr>
          <w:rFonts w:cstheme="minorHAnsi"/>
          <w:b/>
          <w:bCs/>
        </w:rPr>
        <w:t xml:space="preserve">BIDDERS’ CONFERENCE </w:t>
      </w:r>
    </w:p>
    <w:p w14:paraId="6E34E18C" w14:textId="5A6867CA" w:rsidR="000211AF" w:rsidRDefault="00EE5E2F" w:rsidP="001500F0">
      <w:pPr>
        <w:tabs>
          <w:tab w:val="left" w:pos="90"/>
        </w:tabs>
        <w:spacing w:after="120"/>
        <w:ind w:firstLine="720"/>
        <w:jc w:val="both"/>
        <w:rPr>
          <w:rFonts w:cstheme="minorHAnsi"/>
        </w:rPr>
      </w:pPr>
      <w:r>
        <w:rPr>
          <w:rFonts w:cstheme="minorHAnsi"/>
        </w:rPr>
        <w:t>The draft RFP was issued on February 1, 2023</w:t>
      </w:r>
      <w:r w:rsidR="000211AF">
        <w:rPr>
          <w:rFonts w:cstheme="minorHAnsi"/>
        </w:rPr>
        <w:t xml:space="preserve">, and posted on the IE </w:t>
      </w:r>
      <w:r w:rsidR="00FA5B67">
        <w:rPr>
          <w:rFonts w:cstheme="minorHAnsi"/>
        </w:rPr>
        <w:t>Website</w:t>
      </w:r>
      <w:r>
        <w:rPr>
          <w:rFonts w:cstheme="minorHAnsi"/>
        </w:rPr>
        <w:t>.</w:t>
      </w:r>
      <w:r w:rsidR="000211AF">
        <w:rPr>
          <w:rFonts w:cstheme="minorHAnsi"/>
        </w:rPr>
        <w:t xml:space="preserve"> </w:t>
      </w:r>
      <w:r w:rsidR="00B1697D">
        <w:rPr>
          <w:rFonts w:cstheme="minorHAnsi"/>
        </w:rPr>
        <w:t xml:space="preserve">  An announcement to all registered users followed on February 3, 2023, notifying bidders the documents were available and that a bidders’ conference was scheduled to review the documents.</w:t>
      </w:r>
    </w:p>
    <w:p w14:paraId="713A381F" w14:textId="51F60307" w:rsidR="00FA5B67" w:rsidRDefault="00EE5E2F" w:rsidP="001500F0">
      <w:pPr>
        <w:tabs>
          <w:tab w:val="left" w:pos="90"/>
        </w:tabs>
        <w:spacing w:after="120"/>
        <w:ind w:firstLine="720"/>
        <w:jc w:val="both"/>
        <w:rPr>
          <w:rFonts w:cstheme="minorHAnsi"/>
        </w:rPr>
      </w:pPr>
      <w:r>
        <w:rPr>
          <w:rFonts w:cstheme="minorHAnsi"/>
        </w:rPr>
        <w:t xml:space="preserve">A </w:t>
      </w:r>
      <w:r w:rsidR="00B1697D">
        <w:rPr>
          <w:rFonts w:cstheme="minorHAnsi"/>
        </w:rPr>
        <w:t xml:space="preserve">bidders’ </w:t>
      </w:r>
      <w:r>
        <w:rPr>
          <w:rFonts w:cstheme="minorHAnsi"/>
        </w:rPr>
        <w:t>conference was conducted on February 16, 2023</w:t>
      </w:r>
      <w:r w:rsidR="00B1697D">
        <w:rPr>
          <w:rFonts w:cstheme="minorHAnsi"/>
        </w:rPr>
        <w:t>.</w:t>
      </w:r>
      <w:r>
        <w:rPr>
          <w:rFonts w:cstheme="minorHAnsi"/>
        </w:rPr>
        <w:t xml:space="preserve">  </w:t>
      </w:r>
      <w:r w:rsidR="00FA5B67">
        <w:rPr>
          <w:rFonts w:cstheme="minorHAnsi"/>
        </w:rPr>
        <w:t xml:space="preserve">The conference was open to in-person and remote participation.  Thirty-seven individuals registered for the conference. One bidder attended in person and others participated remotely.  </w:t>
      </w:r>
      <w:r w:rsidR="006E22A6">
        <w:rPr>
          <w:rFonts w:cstheme="minorHAnsi"/>
        </w:rPr>
        <w:t xml:space="preserve">The IE was present and ensured the bidder who attended in person </w:t>
      </w:r>
      <w:r w:rsidR="00B45C8C">
        <w:rPr>
          <w:rFonts w:cstheme="minorHAnsi"/>
        </w:rPr>
        <w:t xml:space="preserve">and members of the Evaluation Team </w:t>
      </w:r>
      <w:r w:rsidR="006449C7">
        <w:rPr>
          <w:rFonts w:cstheme="minorHAnsi"/>
        </w:rPr>
        <w:t xml:space="preserve">adhered to </w:t>
      </w:r>
      <w:r w:rsidR="00B45C8C">
        <w:rPr>
          <w:rFonts w:cstheme="minorHAnsi"/>
        </w:rPr>
        <w:t>the Standards of Conduct.</w:t>
      </w:r>
      <w:r w:rsidR="00862C39">
        <w:rPr>
          <w:rFonts w:cstheme="minorHAnsi"/>
        </w:rPr>
        <w:t xml:space="preserve"> </w:t>
      </w:r>
    </w:p>
    <w:p w14:paraId="133FE5D1" w14:textId="538A835E" w:rsidR="001500F0" w:rsidRDefault="00EE5E2F" w:rsidP="002E47FA">
      <w:pPr>
        <w:tabs>
          <w:tab w:val="left" w:pos="90"/>
        </w:tabs>
        <w:spacing w:after="240"/>
        <w:ind w:firstLine="720"/>
        <w:jc w:val="both"/>
        <w:rPr>
          <w:rFonts w:cstheme="minorHAnsi"/>
        </w:rPr>
      </w:pPr>
      <w:r>
        <w:rPr>
          <w:rFonts w:cstheme="minorHAnsi"/>
        </w:rPr>
        <w:t xml:space="preserve">During the </w:t>
      </w:r>
      <w:r w:rsidR="00B1697D">
        <w:rPr>
          <w:rFonts w:cstheme="minorHAnsi"/>
        </w:rPr>
        <w:t xml:space="preserve">bidders’ </w:t>
      </w:r>
      <w:r>
        <w:rPr>
          <w:rFonts w:cstheme="minorHAnsi"/>
        </w:rPr>
        <w:t xml:space="preserve">conference GPC presented an overview of the Company and its Integrated Resource Plan (“IRP”).  GPSC Staff were introduced, and the IE presented information about its responsibilities, the Standards of Conduct, and the IE Website.  GPC reviewed details about the </w:t>
      </w:r>
      <w:r w:rsidR="00BA3E7A">
        <w:rPr>
          <w:rFonts w:cstheme="minorHAnsi"/>
        </w:rPr>
        <w:t>Biomass</w:t>
      </w:r>
      <w:r>
        <w:rPr>
          <w:rFonts w:cstheme="minorHAnsi"/>
        </w:rPr>
        <w:t xml:space="preserve"> solicitation, comment period, bid fees and the evaluation process.  Southern </w:t>
      </w:r>
      <w:r w:rsidR="00AB2C19">
        <w:rPr>
          <w:rFonts w:cstheme="minorHAnsi"/>
        </w:rPr>
        <w:t xml:space="preserve">Company </w:t>
      </w:r>
      <w:r>
        <w:rPr>
          <w:rFonts w:cstheme="minorHAnsi"/>
        </w:rPr>
        <w:t xml:space="preserve">presented transmission and interconnection information.  Questions were </w:t>
      </w:r>
      <w:r w:rsidR="00862C39">
        <w:rPr>
          <w:rFonts w:cstheme="minorHAnsi"/>
        </w:rPr>
        <w:t xml:space="preserve">submitted by bidders, answered </w:t>
      </w:r>
      <w:r>
        <w:rPr>
          <w:rFonts w:cstheme="minorHAnsi"/>
        </w:rPr>
        <w:t>in writing</w:t>
      </w:r>
      <w:r w:rsidR="00862C39">
        <w:rPr>
          <w:rFonts w:cstheme="minorHAnsi"/>
        </w:rPr>
        <w:t>,</w:t>
      </w:r>
      <w:r w:rsidR="000211AF">
        <w:rPr>
          <w:rFonts w:cstheme="minorHAnsi"/>
        </w:rPr>
        <w:t xml:space="preserve"> </w:t>
      </w:r>
      <w:r w:rsidR="00862C39">
        <w:rPr>
          <w:rFonts w:cstheme="minorHAnsi"/>
        </w:rPr>
        <w:t xml:space="preserve">and </w:t>
      </w:r>
      <w:r w:rsidR="000211AF">
        <w:rPr>
          <w:rFonts w:cstheme="minorHAnsi"/>
        </w:rPr>
        <w:t xml:space="preserve">posted </w:t>
      </w:r>
      <w:r>
        <w:rPr>
          <w:rFonts w:cstheme="minorHAnsi"/>
        </w:rPr>
        <w:t>on the IE Website</w:t>
      </w:r>
      <w:r w:rsidR="00862C39">
        <w:rPr>
          <w:rFonts w:cstheme="minorHAnsi"/>
        </w:rPr>
        <w:t xml:space="preserve"> along with the </w:t>
      </w:r>
      <w:r w:rsidR="004E178A">
        <w:rPr>
          <w:rFonts w:cstheme="minorHAnsi"/>
        </w:rPr>
        <w:t xml:space="preserve">presentation </w:t>
      </w:r>
      <w:r w:rsidR="000211AF">
        <w:rPr>
          <w:rFonts w:cstheme="minorHAnsi"/>
        </w:rPr>
        <w:t>materials</w:t>
      </w:r>
      <w:r w:rsidR="00862C39">
        <w:rPr>
          <w:rFonts w:cstheme="minorHAnsi"/>
        </w:rPr>
        <w:t>.</w:t>
      </w:r>
      <w:r w:rsidR="000211AF">
        <w:rPr>
          <w:rFonts w:cstheme="minorHAnsi"/>
        </w:rPr>
        <w:t xml:space="preserve"> </w:t>
      </w:r>
      <w:r>
        <w:rPr>
          <w:rFonts w:cstheme="minorHAnsi"/>
        </w:rPr>
        <w:t>Information about the RFP was therefore widely available to any potential bidder registered on the IE Website</w:t>
      </w:r>
      <w:r w:rsidR="000211AF">
        <w:rPr>
          <w:rFonts w:cstheme="minorHAnsi"/>
        </w:rPr>
        <w:t>, even if they were unable to participate in the bidders’ conference</w:t>
      </w:r>
      <w:r>
        <w:rPr>
          <w:rFonts w:cstheme="minorHAnsi"/>
        </w:rPr>
        <w:t>.</w:t>
      </w:r>
    </w:p>
    <w:p w14:paraId="7D030F77" w14:textId="7D62EB7B" w:rsidR="001500F0" w:rsidRPr="002B47E6" w:rsidRDefault="00CC06A3" w:rsidP="002E47FA">
      <w:pPr>
        <w:pStyle w:val="BodyText"/>
        <w:numPr>
          <w:ilvl w:val="0"/>
          <w:numId w:val="3"/>
        </w:numPr>
        <w:spacing w:after="120" w:line="276" w:lineRule="auto"/>
        <w:ind w:right="-86"/>
        <w:rPr>
          <w:rFonts w:asciiTheme="minorHAnsi" w:hAnsiTheme="minorHAnsi" w:cstheme="minorHAnsi"/>
          <w:b/>
          <w:bCs/>
          <w:sz w:val="24"/>
          <w:szCs w:val="24"/>
        </w:rPr>
      </w:pPr>
      <w:r w:rsidRPr="00CC06A3">
        <w:rPr>
          <w:rFonts w:asciiTheme="minorHAnsi" w:hAnsiTheme="minorHAnsi" w:cstheme="minorHAnsi"/>
          <w:b/>
          <w:bCs/>
          <w:sz w:val="24"/>
          <w:szCs w:val="24"/>
        </w:rPr>
        <w:t>RFP DOCUMENTS AND COMMENTS</w:t>
      </w:r>
    </w:p>
    <w:p w14:paraId="22C9BD6F" w14:textId="56F0C99D" w:rsidR="00EE5E2F" w:rsidRPr="004E178A" w:rsidRDefault="00EE5E2F" w:rsidP="001500F0">
      <w:pPr>
        <w:pStyle w:val="BodyText"/>
        <w:spacing w:after="120" w:line="276" w:lineRule="auto"/>
        <w:ind w:right="-86" w:firstLine="720"/>
        <w:rPr>
          <w:rFonts w:asciiTheme="minorHAnsi" w:hAnsiTheme="minorHAnsi" w:cstheme="minorHAnsi"/>
          <w:sz w:val="24"/>
          <w:szCs w:val="24"/>
        </w:rPr>
      </w:pPr>
      <w:r w:rsidRPr="004E178A">
        <w:rPr>
          <w:rFonts w:asciiTheme="minorHAnsi" w:hAnsiTheme="minorHAnsi" w:cstheme="minorHAnsi"/>
          <w:sz w:val="24"/>
          <w:szCs w:val="24"/>
        </w:rPr>
        <w:t xml:space="preserve">As noted above the draft RFP was released on February 1, 2023.  Draft </w:t>
      </w:r>
      <w:r w:rsidR="00F90777">
        <w:rPr>
          <w:rFonts w:asciiTheme="minorHAnsi" w:hAnsiTheme="minorHAnsi" w:cstheme="minorHAnsi"/>
          <w:sz w:val="24"/>
          <w:szCs w:val="24"/>
        </w:rPr>
        <w:t>pro forma</w:t>
      </w:r>
      <w:r w:rsidRPr="004E178A">
        <w:rPr>
          <w:rFonts w:asciiTheme="minorHAnsi" w:hAnsiTheme="minorHAnsi" w:cstheme="minorHAnsi"/>
          <w:sz w:val="24"/>
          <w:szCs w:val="24"/>
        </w:rPr>
        <w:t xml:space="preserve"> Power Purchase Agreements (“PPA”) for New Greenfield Projects and </w:t>
      </w:r>
      <w:r w:rsidR="00BA3E7A">
        <w:rPr>
          <w:rFonts w:asciiTheme="minorHAnsi" w:hAnsiTheme="minorHAnsi" w:cstheme="minorHAnsi"/>
          <w:sz w:val="24"/>
          <w:szCs w:val="24"/>
        </w:rPr>
        <w:t>Biomass</w:t>
      </w:r>
      <w:r w:rsidRPr="004E178A">
        <w:rPr>
          <w:rFonts w:asciiTheme="minorHAnsi" w:hAnsiTheme="minorHAnsi" w:cstheme="minorHAnsi"/>
          <w:sz w:val="24"/>
          <w:szCs w:val="24"/>
        </w:rPr>
        <w:t xml:space="preserve"> Addition Projects were also posted to the IE Website with the draft RFP (“RFP Documents”).  </w:t>
      </w:r>
    </w:p>
    <w:p w14:paraId="30752324" w14:textId="2ABC7F00" w:rsidR="00EE5E2F" w:rsidRDefault="00EE5E2F" w:rsidP="00EE5E2F">
      <w:pPr>
        <w:spacing w:after="120"/>
        <w:ind w:firstLine="720"/>
        <w:jc w:val="both"/>
      </w:pPr>
      <w:r>
        <w:t xml:space="preserve">The IE conducted a Comment Period on those documents from February 1, 2023, through March 2, 2023, during which interested persons were encouraged to review the draft RFP Documents, identify any point of confusion, and to offer suggestions for </w:t>
      </w:r>
      <w:r>
        <w:lastRenderedPageBreak/>
        <w:t xml:space="preserve">improving those documents.  The comment </w:t>
      </w:r>
      <w:r w:rsidR="000211AF">
        <w:t>p</w:t>
      </w:r>
      <w:r>
        <w:t xml:space="preserve">rocess was conducted using a unique application on the IE Website, where an interested individual could select each provision of each RFP document, provide “red-lined” suggestions, and provide guidance to GPC, Staff, and the IE concerning the intent of the suggested change.  With this application each red-lined suggestion and comment was captured on the IE Website as a record, and the data was exported to GPC and Staff in excel format for easy reference and review.  </w:t>
      </w:r>
    </w:p>
    <w:p w14:paraId="7C9E3E94" w14:textId="75930957" w:rsidR="00150A24" w:rsidRDefault="000211AF" w:rsidP="00EE5E2F">
      <w:pPr>
        <w:spacing w:after="120"/>
        <w:ind w:firstLine="720"/>
        <w:jc w:val="both"/>
      </w:pPr>
      <w:r>
        <w:t>U</w:t>
      </w:r>
      <w:r w:rsidR="00EE5E2F">
        <w:t xml:space="preserve">sing the comment feature on the IE Website, Participants and interested parties were invited to assist in drafting the RFP Documents to clarify the documents, improve </w:t>
      </w:r>
      <w:r w:rsidR="00153538">
        <w:t xml:space="preserve">bid </w:t>
      </w:r>
      <w:r w:rsidR="00EE5E2F">
        <w:t>submissions, and solicit a robust response.  Two (2)</w:t>
      </w:r>
      <w:r w:rsidR="00EE5E2F" w:rsidRPr="00E831A6">
        <w:t xml:space="preserve"> </w:t>
      </w:r>
      <w:r w:rsidR="00EE5E2F">
        <w:t>registered bidders,</w:t>
      </w:r>
      <w:r w:rsidR="00150A24">
        <w:t xml:space="preserve"> </w:t>
      </w:r>
      <w:r w:rsidR="00EE5E2F">
        <w:t>the</w:t>
      </w:r>
      <w:r w:rsidR="00150A24">
        <w:t xml:space="preserve"> same</w:t>
      </w:r>
      <w:r w:rsidR="00EE5E2F">
        <w:t xml:space="preserve"> two bidders who were offered contracts, provided a</w:t>
      </w:r>
      <w:r w:rsidR="00D27EC0">
        <w:t xml:space="preserve">ll </w:t>
      </w:r>
      <w:r w:rsidR="00EE5E2F">
        <w:t xml:space="preserve">22 comments </w:t>
      </w:r>
      <w:r w:rsidR="00D27EC0">
        <w:t xml:space="preserve">received </w:t>
      </w:r>
      <w:r w:rsidR="00EE5E2F">
        <w:t>on the documents.</w:t>
      </w:r>
      <w:r w:rsidR="00D27EC0">
        <w:t xml:space="preserve">  </w:t>
      </w:r>
      <w:r w:rsidR="00150A24">
        <w:t xml:space="preserve">This attention to the draft RFP </w:t>
      </w:r>
      <w:r w:rsidR="00D27EC0">
        <w:t>D</w:t>
      </w:r>
      <w:r w:rsidR="00150A24">
        <w:t xml:space="preserve">ocuments confirms that the bidders were very familiar with the RFP requirements before bidding.  </w:t>
      </w:r>
    </w:p>
    <w:p w14:paraId="52EDAA04" w14:textId="02A037B2" w:rsidR="00995ED8" w:rsidRDefault="006133AA" w:rsidP="002E47FA">
      <w:pPr>
        <w:spacing w:after="120"/>
        <w:jc w:val="both"/>
        <w:rPr>
          <w:noProof/>
        </w:rPr>
      </w:pPr>
      <w:r>
        <w:rPr>
          <w:b/>
          <w:bCs/>
          <w:noProof/>
        </w:rPr>
        <mc:AlternateContent>
          <mc:Choice Requires="wps">
            <w:drawing>
              <wp:anchor distT="0" distB="0" distL="114300" distR="114300" simplePos="0" relativeHeight="251665408" behindDoc="1" locked="0" layoutInCell="1" allowOverlap="1" wp14:anchorId="3E17F693" wp14:editId="674CBE6A">
                <wp:simplePos x="0" y="0"/>
                <wp:positionH relativeFrom="margin">
                  <wp:posOffset>942975</wp:posOffset>
                </wp:positionH>
                <wp:positionV relativeFrom="paragraph">
                  <wp:posOffset>379095</wp:posOffset>
                </wp:positionV>
                <wp:extent cx="3848100" cy="495300"/>
                <wp:effectExtent l="0" t="0" r="0" b="0"/>
                <wp:wrapTight wrapText="bothSides">
                  <wp:wrapPolygon edited="0">
                    <wp:start x="0" y="0"/>
                    <wp:lineTo x="0" y="20769"/>
                    <wp:lineTo x="21493" y="20769"/>
                    <wp:lineTo x="21493" y="0"/>
                    <wp:lineTo x="0" y="0"/>
                  </wp:wrapPolygon>
                </wp:wrapTight>
                <wp:docPr id="215489980" name="Text Box 2"/>
                <wp:cNvGraphicFramePr/>
                <a:graphic xmlns:a="http://schemas.openxmlformats.org/drawingml/2006/main">
                  <a:graphicData uri="http://schemas.microsoft.com/office/word/2010/wordprocessingShape">
                    <wps:wsp>
                      <wps:cNvSpPr txBox="1"/>
                      <wps:spPr>
                        <a:xfrm>
                          <a:off x="0" y="0"/>
                          <a:ext cx="3848100" cy="495300"/>
                        </a:xfrm>
                        <a:prstGeom prst="rect">
                          <a:avLst/>
                        </a:prstGeom>
                        <a:solidFill>
                          <a:schemeClr val="lt1"/>
                        </a:solidFill>
                        <a:ln w="6350">
                          <a:noFill/>
                        </a:ln>
                      </wps:spPr>
                      <wps:txbx>
                        <w:txbxContent>
                          <w:p w14:paraId="7AFDAE2A" w14:textId="1909F751" w:rsidR="00EE5E2F" w:rsidRPr="002E47FA" w:rsidRDefault="00EE5E2F" w:rsidP="002E47FA">
                            <w:pPr>
                              <w:spacing w:after="0" w:line="240" w:lineRule="auto"/>
                              <w:jc w:val="center"/>
                              <w:rPr>
                                <w:b/>
                                <w:bCs/>
                                <w:i/>
                                <w:iCs/>
                                <w:sz w:val="22"/>
                                <w:szCs w:val="22"/>
                              </w:rPr>
                            </w:pPr>
                            <w:r w:rsidRPr="002E47FA">
                              <w:rPr>
                                <w:b/>
                                <w:bCs/>
                                <w:i/>
                                <w:iCs/>
                                <w:sz w:val="22"/>
                                <w:szCs w:val="22"/>
                              </w:rPr>
                              <w:t>Table</w:t>
                            </w:r>
                            <w:r w:rsidR="001500F0" w:rsidRPr="002E47FA">
                              <w:rPr>
                                <w:b/>
                                <w:bCs/>
                                <w:i/>
                                <w:iCs/>
                                <w:sz w:val="22"/>
                                <w:szCs w:val="22"/>
                              </w:rPr>
                              <w:t xml:space="preserve"> 2</w:t>
                            </w:r>
                          </w:p>
                          <w:p w14:paraId="710F7C96" w14:textId="77777777" w:rsidR="00EE5E2F" w:rsidRPr="009D3834" w:rsidRDefault="00EE5E2F" w:rsidP="00EE5E2F">
                            <w:pPr>
                              <w:spacing w:line="240" w:lineRule="auto"/>
                              <w:jc w:val="center"/>
                              <w:rPr>
                                <w:b/>
                                <w:bCs/>
                              </w:rPr>
                            </w:pPr>
                            <w:r>
                              <w:rPr>
                                <w:b/>
                                <w:bCs/>
                              </w:rPr>
                              <w:t>Comments Received on Draft RFP and PPAs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F693" id="Text Box 2" o:spid="_x0000_s1027" type="#_x0000_t202" style="position:absolute;left:0;text-align:left;margin-left:74.25pt;margin-top:29.85pt;width:303pt;height:3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" fillcolor="white [3201]" stroked="f" strokeweight=".5pt">
                <v:textbox>
                  <w:txbxContent>
                    <w:p w14:paraId="7AFDAE2A" w14:textId="1909F751" w:rsidR="00EE5E2F" w:rsidRPr="002E47FA" w:rsidRDefault="00EE5E2F" w:rsidP="002E47FA">
                      <w:pPr>
                        <w:spacing w:after="0" w:line="240" w:lineRule="auto"/>
                        <w:jc w:val="center"/>
                        <w:rPr>
                          <w:b/>
                          <w:bCs/>
                          <w:i/>
                          <w:iCs/>
                          <w:sz w:val="22"/>
                          <w:szCs w:val="22"/>
                        </w:rPr>
                      </w:pPr>
                      <w:r w:rsidRPr="002E47FA">
                        <w:rPr>
                          <w:b/>
                          <w:bCs/>
                          <w:i/>
                          <w:iCs/>
                          <w:sz w:val="22"/>
                          <w:szCs w:val="22"/>
                        </w:rPr>
                        <w:t>Table</w:t>
                      </w:r>
                      <w:r w:rsidR="001500F0" w:rsidRPr="002E47FA">
                        <w:rPr>
                          <w:b/>
                          <w:bCs/>
                          <w:i/>
                          <w:iCs/>
                          <w:sz w:val="22"/>
                          <w:szCs w:val="22"/>
                        </w:rPr>
                        <w:t xml:space="preserve"> 2</w:t>
                      </w:r>
                    </w:p>
                    <w:p w14:paraId="710F7C96" w14:textId="77777777" w:rsidR="00EE5E2F" w:rsidRPr="009D3834" w:rsidRDefault="00EE5E2F" w:rsidP="00EE5E2F">
                      <w:pPr>
                        <w:spacing w:line="240" w:lineRule="auto"/>
                        <w:jc w:val="center"/>
                        <w:rPr>
                          <w:b/>
                          <w:bCs/>
                        </w:rPr>
                      </w:pPr>
                      <w:r>
                        <w:rPr>
                          <w:b/>
                          <w:bCs/>
                        </w:rPr>
                        <w:t>Comments Received on Draft RFP and PPAs</w:t>
                      </w:r>
                    </w:p>
                  </w:txbxContent>
                </v:textbox>
                <w10:wrap type="tight" anchorx="margin"/>
              </v:shape>
            </w:pict>
          </mc:Fallback>
        </mc:AlternateContent>
      </w:r>
      <w:r w:rsidR="00EE5E2F">
        <w:t>The table below shows the number of comments on each type of PPA and the RFP by bidder.</w:t>
      </w:r>
      <w:r w:rsidR="00EE5E2F" w:rsidRPr="00E831A6">
        <w:t xml:space="preserve"> </w:t>
      </w:r>
      <w:r w:rsidR="00EE5E2F">
        <w:rPr>
          <w:noProof/>
        </w:rPr>
        <w:t xml:space="preserve"> </w:t>
      </w:r>
    </w:p>
    <w:p w14:paraId="2FB90044" w14:textId="77777777" w:rsidR="00995ED8" w:rsidRDefault="00995ED8" w:rsidP="002E47FA">
      <w:pPr>
        <w:spacing w:after="120"/>
        <w:jc w:val="both"/>
        <w:rPr>
          <w:noProof/>
        </w:rPr>
      </w:pPr>
    </w:p>
    <w:tbl>
      <w:tblPr>
        <w:tblStyle w:val="GridTable4-Accent1"/>
        <w:tblpPr w:leftFromText="288" w:rightFromText="187" w:vertAnchor="text" w:horzAnchor="page" w:tblpXSpec="center"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37"/>
        <w:gridCol w:w="6199"/>
      </w:tblGrid>
      <w:tr w:rsidR="006133AA" w:rsidRPr="006133AA" w14:paraId="686BD30E" w14:textId="77777777" w:rsidTr="002E47FA">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6199" w:type="dxa"/>
            <w:gridSpan w:val="3"/>
            <w:tcBorders>
              <w:top w:val="none" w:sz="0" w:space="0" w:color="auto"/>
              <w:left w:val="none" w:sz="0" w:space="0" w:color="auto"/>
              <w:bottom w:val="none" w:sz="0" w:space="0" w:color="auto"/>
              <w:right w:val="none" w:sz="0" w:space="0" w:color="auto"/>
            </w:tcBorders>
            <w:shd w:val="clear" w:color="auto" w:fill="A5C9EB" w:themeFill="text2" w:themeFillTint="40"/>
            <w:vAlign w:val="center"/>
          </w:tcPr>
          <w:p w14:paraId="234D52BD" w14:textId="77777777" w:rsidR="00EE5E2F" w:rsidRPr="002E47FA" w:rsidRDefault="00EE5E2F" w:rsidP="001D0275">
            <w:pPr>
              <w:jc w:val="center"/>
              <w:rPr>
                <w:rFonts w:asciiTheme="minorHAnsi" w:hAnsiTheme="minorHAnsi" w:cs="Calibri"/>
                <w:color w:val="000000" w:themeColor="text1"/>
                <w:sz w:val="24"/>
                <w:szCs w:val="24"/>
              </w:rPr>
            </w:pPr>
            <w:r w:rsidRPr="001D0275">
              <w:rPr>
                <w:rFonts w:cs="Calibri"/>
                <w:color w:val="000000" w:themeColor="text1"/>
              </w:rPr>
              <w:t>Comments by User</w:t>
            </w:r>
          </w:p>
        </w:tc>
      </w:tr>
      <w:tr w:rsidR="001D0275" w:rsidRPr="006133AA" w14:paraId="21781FAA" w14:textId="77777777" w:rsidTr="002E47FA">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0B8CBB59" w14:textId="77777777" w:rsidR="00EE5E2F" w:rsidRPr="002E47FA" w:rsidRDefault="00EE5E2F" w:rsidP="001D0275">
            <w:pPr>
              <w:jc w:val="center"/>
              <w:rPr>
                <w:rFonts w:asciiTheme="minorHAnsi" w:hAnsiTheme="minorHAnsi" w:cs="Calibri"/>
                <w:color w:val="000000" w:themeColor="text1"/>
                <w:sz w:val="22"/>
                <w:szCs w:val="22"/>
              </w:rPr>
            </w:pPr>
            <w:r w:rsidRPr="002E47FA">
              <w:rPr>
                <w:rFonts w:cs="Calibri"/>
                <w:color w:val="000000" w:themeColor="text1"/>
                <w:sz w:val="22"/>
                <w:szCs w:val="22"/>
              </w:rPr>
              <w:t>Document</w:t>
            </w:r>
          </w:p>
        </w:tc>
        <w:tc>
          <w:tcPr>
            <w:tcW w:w="0" w:type="dxa"/>
            <w:shd w:val="clear" w:color="auto" w:fill="auto"/>
            <w:vAlign w:val="center"/>
          </w:tcPr>
          <w:p w14:paraId="30FBF117"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themeColor="text1"/>
                <w:sz w:val="22"/>
                <w:szCs w:val="22"/>
              </w:rPr>
            </w:pPr>
            <w:r w:rsidRPr="002E47FA">
              <w:rPr>
                <w:rFonts w:cs="Calibri"/>
                <w:b/>
                <w:bCs/>
                <w:color w:val="000000" w:themeColor="text1"/>
                <w:sz w:val="22"/>
                <w:szCs w:val="22"/>
              </w:rPr>
              <w:t>User A</w:t>
            </w:r>
          </w:p>
        </w:tc>
        <w:tc>
          <w:tcPr>
            <w:tcW w:w="0" w:type="dxa"/>
            <w:shd w:val="clear" w:color="auto" w:fill="auto"/>
            <w:vAlign w:val="center"/>
          </w:tcPr>
          <w:p w14:paraId="4C5CDC31"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themeColor="text1"/>
                <w:sz w:val="22"/>
                <w:szCs w:val="22"/>
              </w:rPr>
            </w:pPr>
            <w:r w:rsidRPr="002E47FA">
              <w:rPr>
                <w:rFonts w:cs="Calibri"/>
                <w:b/>
                <w:bCs/>
                <w:color w:val="000000" w:themeColor="text1"/>
                <w:sz w:val="22"/>
                <w:szCs w:val="22"/>
              </w:rPr>
              <w:t>User B</w:t>
            </w:r>
          </w:p>
        </w:tc>
      </w:tr>
      <w:tr w:rsidR="001D0275" w:rsidRPr="006133AA" w14:paraId="60C8348D" w14:textId="77777777" w:rsidTr="002E47FA">
        <w:trPr>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18638AC3" w14:textId="77777777" w:rsidR="00EE5E2F" w:rsidRPr="002E47FA" w:rsidRDefault="00EE5E2F" w:rsidP="001D0275">
            <w:pPr>
              <w:jc w:val="center"/>
              <w:rPr>
                <w:rFonts w:asciiTheme="minorHAnsi" w:hAnsiTheme="minorHAnsi" w:cs="Calibri"/>
                <w:b w:val="0"/>
                <w:bCs w:val="0"/>
                <w:color w:val="000000" w:themeColor="text1"/>
                <w:sz w:val="22"/>
                <w:szCs w:val="22"/>
              </w:rPr>
            </w:pPr>
            <w:r w:rsidRPr="002E47FA">
              <w:rPr>
                <w:rFonts w:cs="Calibri"/>
                <w:color w:val="000000" w:themeColor="text1"/>
                <w:sz w:val="22"/>
                <w:szCs w:val="22"/>
              </w:rPr>
              <w:t>RFP</w:t>
            </w:r>
          </w:p>
        </w:tc>
        <w:tc>
          <w:tcPr>
            <w:tcW w:w="0" w:type="dxa"/>
            <w:shd w:val="clear" w:color="auto" w:fill="F2F2F2" w:themeFill="background1" w:themeFillShade="F2"/>
            <w:vAlign w:val="center"/>
          </w:tcPr>
          <w:p w14:paraId="3DCF11B0" w14:textId="77777777" w:rsidR="00EE5E2F" w:rsidRPr="002E47FA" w:rsidRDefault="00EE5E2F" w:rsidP="001D02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p>
        </w:tc>
        <w:tc>
          <w:tcPr>
            <w:tcW w:w="0" w:type="dxa"/>
            <w:shd w:val="clear" w:color="auto" w:fill="F2F2F2" w:themeFill="background1" w:themeFillShade="F2"/>
            <w:vAlign w:val="center"/>
          </w:tcPr>
          <w:p w14:paraId="4BE66547" w14:textId="77777777" w:rsidR="00EE5E2F" w:rsidRPr="002E47FA" w:rsidRDefault="00EE5E2F" w:rsidP="001D02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E47FA">
              <w:rPr>
                <w:rFonts w:cs="Calibri"/>
                <w:sz w:val="22"/>
                <w:szCs w:val="22"/>
              </w:rPr>
              <w:t>9</w:t>
            </w:r>
          </w:p>
        </w:tc>
      </w:tr>
      <w:tr w:rsidR="001D0275" w:rsidRPr="006133AA" w14:paraId="0F68051C" w14:textId="77777777" w:rsidTr="002E47FA">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B94E44E" w14:textId="77777777" w:rsidR="00EE5E2F" w:rsidRPr="002E47FA" w:rsidRDefault="00EE5E2F" w:rsidP="001D0275">
            <w:pPr>
              <w:jc w:val="center"/>
              <w:rPr>
                <w:rFonts w:asciiTheme="minorHAnsi" w:hAnsiTheme="minorHAnsi" w:cs="Calibri"/>
                <w:color w:val="000000" w:themeColor="text1"/>
                <w:sz w:val="22"/>
                <w:szCs w:val="22"/>
              </w:rPr>
            </w:pPr>
            <w:r w:rsidRPr="002E47FA">
              <w:rPr>
                <w:rFonts w:cs="Calibri"/>
                <w:color w:val="000000" w:themeColor="text1"/>
                <w:sz w:val="22"/>
                <w:szCs w:val="22"/>
              </w:rPr>
              <w:t>Greenfield PPA</w:t>
            </w:r>
          </w:p>
        </w:tc>
        <w:tc>
          <w:tcPr>
            <w:tcW w:w="0" w:type="dxa"/>
            <w:shd w:val="clear" w:color="auto" w:fill="auto"/>
            <w:vAlign w:val="center"/>
          </w:tcPr>
          <w:p w14:paraId="1A07716F"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p>
        </w:tc>
        <w:tc>
          <w:tcPr>
            <w:tcW w:w="0" w:type="dxa"/>
            <w:shd w:val="clear" w:color="auto" w:fill="auto"/>
            <w:vAlign w:val="center"/>
          </w:tcPr>
          <w:p w14:paraId="2A9774C9"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r w:rsidRPr="002E47FA">
              <w:rPr>
                <w:rFonts w:cs="Calibri"/>
                <w:sz w:val="22"/>
                <w:szCs w:val="22"/>
              </w:rPr>
              <w:t>2</w:t>
            </w:r>
          </w:p>
        </w:tc>
      </w:tr>
      <w:tr w:rsidR="001D0275" w:rsidRPr="006133AA" w14:paraId="0C45B257" w14:textId="77777777" w:rsidTr="002E47FA">
        <w:trPr>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2498BE98" w14:textId="57C8A3D8" w:rsidR="00EE5E2F" w:rsidRPr="002E47FA" w:rsidRDefault="00BA3E7A" w:rsidP="001D0275">
            <w:pPr>
              <w:jc w:val="center"/>
              <w:rPr>
                <w:rFonts w:asciiTheme="minorHAnsi" w:hAnsiTheme="minorHAnsi" w:cs="Calibri"/>
                <w:color w:val="000000" w:themeColor="text1"/>
                <w:sz w:val="22"/>
                <w:szCs w:val="22"/>
              </w:rPr>
            </w:pPr>
            <w:r w:rsidRPr="002E47FA">
              <w:rPr>
                <w:rFonts w:cs="Calibri"/>
                <w:color w:val="000000" w:themeColor="text1"/>
                <w:sz w:val="22"/>
                <w:szCs w:val="22"/>
              </w:rPr>
              <w:t>Biomass</w:t>
            </w:r>
            <w:r w:rsidR="00EE5E2F" w:rsidRPr="002E47FA">
              <w:rPr>
                <w:rFonts w:cs="Calibri"/>
                <w:color w:val="000000" w:themeColor="text1"/>
                <w:sz w:val="22"/>
                <w:szCs w:val="22"/>
              </w:rPr>
              <w:t xml:space="preserve"> Addition PPA</w:t>
            </w:r>
          </w:p>
        </w:tc>
        <w:tc>
          <w:tcPr>
            <w:tcW w:w="0" w:type="dxa"/>
            <w:shd w:val="clear" w:color="auto" w:fill="F2F2F2" w:themeFill="background1" w:themeFillShade="F2"/>
            <w:vAlign w:val="center"/>
          </w:tcPr>
          <w:p w14:paraId="12D48245" w14:textId="77777777" w:rsidR="00EE5E2F" w:rsidRPr="002E47FA" w:rsidRDefault="00EE5E2F" w:rsidP="001D02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E47FA">
              <w:rPr>
                <w:rFonts w:cs="Calibri"/>
                <w:sz w:val="22"/>
                <w:szCs w:val="22"/>
              </w:rPr>
              <w:t>11</w:t>
            </w:r>
          </w:p>
        </w:tc>
        <w:tc>
          <w:tcPr>
            <w:tcW w:w="0" w:type="dxa"/>
            <w:shd w:val="clear" w:color="auto" w:fill="F2F2F2" w:themeFill="background1" w:themeFillShade="F2"/>
            <w:vAlign w:val="center"/>
          </w:tcPr>
          <w:p w14:paraId="7D965B9E" w14:textId="77777777" w:rsidR="00EE5E2F" w:rsidRPr="002E47FA" w:rsidRDefault="00EE5E2F" w:rsidP="002E47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p>
        </w:tc>
      </w:tr>
      <w:tr w:rsidR="001D0275" w:rsidRPr="006133AA" w14:paraId="7EEA9D46" w14:textId="77777777" w:rsidTr="002E47FA">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68D7637C" w14:textId="77777777" w:rsidR="00EE5E2F" w:rsidRPr="002E47FA" w:rsidRDefault="00EE5E2F" w:rsidP="001D0275">
            <w:pPr>
              <w:jc w:val="center"/>
              <w:rPr>
                <w:rFonts w:asciiTheme="minorHAnsi" w:hAnsiTheme="minorHAnsi" w:cs="Calibri"/>
                <w:color w:val="000000" w:themeColor="text1"/>
                <w:sz w:val="22"/>
                <w:szCs w:val="22"/>
              </w:rPr>
            </w:pPr>
          </w:p>
        </w:tc>
        <w:tc>
          <w:tcPr>
            <w:tcW w:w="0" w:type="dxa"/>
            <w:shd w:val="clear" w:color="auto" w:fill="auto"/>
            <w:vAlign w:val="center"/>
          </w:tcPr>
          <w:p w14:paraId="2A106883"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p>
        </w:tc>
        <w:tc>
          <w:tcPr>
            <w:tcW w:w="0" w:type="dxa"/>
            <w:shd w:val="clear" w:color="auto" w:fill="auto"/>
            <w:vAlign w:val="center"/>
          </w:tcPr>
          <w:p w14:paraId="5286229C" w14:textId="77777777" w:rsidR="00EE5E2F" w:rsidRPr="002E47FA" w:rsidRDefault="00EE5E2F" w:rsidP="001D02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p>
        </w:tc>
      </w:tr>
      <w:tr w:rsidR="001D0275" w:rsidRPr="006133AA" w14:paraId="2F411ADD" w14:textId="77777777" w:rsidTr="002E47FA">
        <w:trPr>
          <w:trHeight w:val="348"/>
        </w:trPr>
        <w:tc>
          <w:tcPr>
            <w:cnfStyle w:val="001000000000" w:firstRow="0" w:lastRow="0" w:firstColumn="1" w:lastColumn="0" w:oddVBand="0" w:evenVBand="0" w:oddHBand="0" w:evenHBand="0" w:firstRowFirstColumn="0" w:firstRowLastColumn="0" w:lastRowFirstColumn="0" w:lastRowLastColumn="0"/>
            <w:tcW w:w="0" w:type="dxa"/>
            <w:shd w:val="clear" w:color="auto" w:fill="E8E8E8" w:themeFill="background2"/>
            <w:vAlign w:val="center"/>
          </w:tcPr>
          <w:p w14:paraId="09A08822" w14:textId="77777777" w:rsidR="00EE5E2F" w:rsidRPr="002E47FA" w:rsidRDefault="00EE5E2F" w:rsidP="001D0275">
            <w:pPr>
              <w:jc w:val="center"/>
              <w:rPr>
                <w:rFonts w:asciiTheme="minorHAnsi" w:hAnsiTheme="minorHAnsi" w:cs="Calibri"/>
                <w:color w:val="000000" w:themeColor="text1"/>
                <w:sz w:val="22"/>
                <w:szCs w:val="22"/>
              </w:rPr>
            </w:pPr>
            <w:r w:rsidRPr="002E47FA">
              <w:rPr>
                <w:rFonts w:cs="Calibri"/>
                <w:color w:val="000000" w:themeColor="text1"/>
                <w:sz w:val="22"/>
                <w:szCs w:val="22"/>
              </w:rPr>
              <w:t>TOTAL</w:t>
            </w:r>
          </w:p>
        </w:tc>
        <w:tc>
          <w:tcPr>
            <w:tcW w:w="0" w:type="dxa"/>
            <w:shd w:val="clear" w:color="auto" w:fill="E8E8E8" w:themeFill="background2"/>
            <w:vAlign w:val="center"/>
          </w:tcPr>
          <w:p w14:paraId="6E934402" w14:textId="77777777" w:rsidR="00EE5E2F" w:rsidRPr="002E47FA" w:rsidRDefault="00EE5E2F" w:rsidP="001D02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color w:val="000000" w:themeColor="text1"/>
                <w:sz w:val="22"/>
                <w:szCs w:val="22"/>
              </w:rPr>
            </w:pPr>
            <w:r w:rsidRPr="002E47FA">
              <w:rPr>
                <w:rFonts w:cs="Calibri"/>
                <w:b/>
                <w:bCs/>
                <w:color w:val="000000" w:themeColor="text1"/>
                <w:sz w:val="22"/>
                <w:szCs w:val="22"/>
              </w:rPr>
              <w:t>11</w:t>
            </w:r>
          </w:p>
        </w:tc>
        <w:tc>
          <w:tcPr>
            <w:tcW w:w="0" w:type="dxa"/>
            <w:shd w:val="clear" w:color="auto" w:fill="E8E8E8" w:themeFill="background2"/>
            <w:vAlign w:val="center"/>
          </w:tcPr>
          <w:p w14:paraId="22A501C1" w14:textId="77777777" w:rsidR="00EE5E2F" w:rsidRPr="002E47FA" w:rsidRDefault="00EE5E2F" w:rsidP="001D02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color w:val="000000" w:themeColor="text1"/>
                <w:sz w:val="22"/>
                <w:szCs w:val="22"/>
              </w:rPr>
            </w:pPr>
            <w:r w:rsidRPr="002E47FA">
              <w:rPr>
                <w:rFonts w:cs="Calibri"/>
                <w:b/>
                <w:bCs/>
                <w:color w:val="000000" w:themeColor="text1"/>
                <w:sz w:val="22"/>
                <w:szCs w:val="22"/>
              </w:rPr>
              <w:t>11</w:t>
            </w:r>
          </w:p>
        </w:tc>
      </w:tr>
    </w:tbl>
    <w:p w14:paraId="05E694C8" w14:textId="77777777" w:rsidR="006133AA" w:rsidRDefault="006133AA" w:rsidP="002E47FA">
      <w:pPr>
        <w:spacing w:after="120"/>
        <w:jc w:val="both"/>
      </w:pPr>
    </w:p>
    <w:p w14:paraId="324FA0F6" w14:textId="77777777" w:rsidR="00995ED8" w:rsidRDefault="00995ED8" w:rsidP="00995ED8">
      <w:pPr>
        <w:spacing w:before="240" w:after="240"/>
        <w:ind w:firstLine="720"/>
        <w:jc w:val="both"/>
      </w:pPr>
    </w:p>
    <w:p w14:paraId="4115F5CC" w14:textId="42898F6A" w:rsidR="00754E1F" w:rsidRPr="00995ED8" w:rsidRDefault="00BA3E7A" w:rsidP="00995ED8">
      <w:pPr>
        <w:spacing w:before="240" w:after="240"/>
        <w:ind w:firstLine="720"/>
        <w:jc w:val="both"/>
      </w:pPr>
      <w:r>
        <w:t>The I</w:t>
      </w:r>
      <w:r w:rsidR="00EE5E2F" w:rsidRPr="006E7A64">
        <w:t>E provided copies of all comments</w:t>
      </w:r>
      <w:r w:rsidR="00EE5E2F">
        <w:t xml:space="preserve">, including suggested red-line changes and explanations for the requested changes </w:t>
      </w:r>
      <w:r w:rsidR="00EE5E2F" w:rsidRPr="006E7A64">
        <w:t>to GPC and the Staff</w:t>
      </w:r>
      <w:r w:rsidR="00EE5E2F">
        <w:t xml:space="preserve">.  </w:t>
      </w:r>
      <w:r w:rsidR="000211AF">
        <w:t>The identity of those offering comments was blinded before being shared with GPC and Staff to avoid any inference o</w:t>
      </w:r>
      <w:r w:rsidR="00F6166B">
        <w:t>f</w:t>
      </w:r>
      <w:r w:rsidR="000211AF">
        <w:t xml:space="preserve"> bias during the comment review process.  </w:t>
      </w:r>
      <w:r w:rsidR="00EE5E2F">
        <w:t xml:space="preserve">GPC provided a proposed </w:t>
      </w:r>
      <w:r w:rsidR="00EE5E2F">
        <w:lastRenderedPageBreak/>
        <w:t xml:space="preserve">response to each comment and reviewed those responses with Staff and the IE before filing the final RFP Documents with the Commission.  </w:t>
      </w:r>
    </w:p>
    <w:p w14:paraId="032A3FAA" w14:textId="4436B033" w:rsidR="00CF602B" w:rsidRPr="00937ED5" w:rsidRDefault="00CC06A3" w:rsidP="002E47FA">
      <w:pPr>
        <w:pStyle w:val="ListParagraph"/>
        <w:numPr>
          <w:ilvl w:val="0"/>
          <w:numId w:val="3"/>
        </w:numPr>
        <w:spacing w:after="120"/>
        <w:contextualSpacing w:val="0"/>
        <w:jc w:val="both"/>
        <w:rPr>
          <w:color w:val="0F4761" w:themeColor="accent1" w:themeShade="BF"/>
        </w:rPr>
      </w:pPr>
      <w:r w:rsidRPr="00937ED5">
        <w:rPr>
          <w:b/>
          <w:bCs/>
        </w:rPr>
        <w:t>SUBMITTED BIDS</w:t>
      </w:r>
    </w:p>
    <w:p w14:paraId="239DAAD7" w14:textId="00712624" w:rsidR="006133AA" w:rsidRDefault="006133AA" w:rsidP="002E47FA">
      <w:pPr>
        <w:spacing w:after="240"/>
        <w:ind w:firstLine="720"/>
        <w:jc w:val="both"/>
      </w:pPr>
      <w:r w:rsidRPr="00CC06A3">
        <w:rPr>
          <w:rFonts w:ascii="Calibri" w:eastAsia="Arial" w:hAnsi="Calibri" w:cs="Calibri"/>
          <w:noProof/>
        </w:rPr>
        <w:drawing>
          <wp:anchor distT="0" distB="0" distL="114300" distR="114300" simplePos="0" relativeHeight="251667456" behindDoc="1" locked="0" layoutInCell="1" allowOverlap="1" wp14:anchorId="66B50D51" wp14:editId="46B7069E">
            <wp:simplePos x="0" y="0"/>
            <wp:positionH relativeFrom="margin">
              <wp:posOffset>2476500</wp:posOffset>
            </wp:positionH>
            <wp:positionV relativeFrom="paragraph">
              <wp:posOffset>213360</wp:posOffset>
            </wp:positionV>
            <wp:extent cx="3222625" cy="1832610"/>
            <wp:effectExtent l="0" t="0" r="15875" b="15240"/>
            <wp:wrapTight wrapText="bothSides">
              <wp:wrapPolygon edited="0">
                <wp:start x="0" y="0"/>
                <wp:lineTo x="0" y="21555"/>
                <wp:lineTo x="21579" y="21555"/>
                <wp:lineTo x="21579" y="0"/>
                <wp:lineTo x="0" y="0"/>
              </wp:wrapPolygon>
            </wp:wrapTight>
            <wp:docPr id="115961064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14:anchorId="32220D4E" wp14:editId="5017FB9F">
                <wp:simplePos x="0" y="0"/>
                <wp:positionH relativeFrom="column">
                  <wp:posOffset>2476500</wp:posOffset>
                </wp:positionH>
                <wp:positionV relativeFrom="paragraph">
                  <wp:posOffset>0</wp:posOffset>
                </wp:positionV>
                <wp:extent cx="3222625" cy="209550"/>
                <wp:effectExtent l="0" t="0" r="0" b="0"/>
                <wp:wrapTight wrapText="bothSides">
                  <wp:wrapPolygon edited="0">
                    <wp:start x="0" y="0"/>
                    <wp:lineTo x="0" y="19636"/>
                    <wp:lineTo x="21451" y="19636"/>
                    <wp:lineTo x="21451" y="0"/>
                    <wp:lineTo x="0" y="0"/>
                  </wp:wrapPolygon>
                </wp:wrapTight>
                <wp:docPr id="1019330553" name="Text Box 1"/>
                <wp:cNvGraphicFramePr/>
                <a:graphic xmlns:a="http://schemas.openxmlformats.org/drawingml/2006/main">
                  <a:graphicData uri="http://schemas.microsoft.com/office/word/2010/wordprocessingShape">
                    <wps:wsp>
                      <wps:cNvSpPr txBox="1"/>
                      <wps:spPr>
                        <a:xfrm>
                          <a:off x="0" y="0"/>
                          <a:ext cx="3222625" cy="209550"/>
                        </a:xfrm>
                        <a:prstGeom prst="rect">
                          <a:avLst/>
                        </a:prstGeom>
                        <a:solidFill>
                          <a:prstClr val="white"/>
                        </a:solidFill>
                        <a:ln>
                          <a:noFill/>
                        </a:ln>
                      </wps:spPr>
                      <wps:txbx>
                        <w:txbxContent>
                          <w:p w14:paraId="4743924B" w14:textId="5128F71D" w:rsidR="00D441AE" w:rsidRPr="002E47FA" w:rsidRDefault="00D441AE" w:rsidP="002E47FA">
                            <w:pPr>
                              <w:pStyle w:val="Caption"/>
                              <w:jc w:val="center"/>
                              <w:rPr>
                                <w:rFonts w:cs="Calibri"/>
                                <w:b/>
                                <w:bCs/>
                                <w:color w:val="auto"/>
                                <w:sz w:val="22"/>
                                <w:szCs w:val="22"/>
                              </w:rPr>
                            </w:pPr>
                            <w:r w:rsidRPr="002E47FA">
                              <w:rPr>
                                <w:b/>
                                <w:bCs/>
                                <w:color w:val="auto"/>
                                <w:sz w:val="22"/>
                                <w:szCs w:val="22"/>
                              </w:rPr>
                              <w:t xml:space="preserve">Figure </w:t>
                            </w:r>
                            <w:r w:rsidRPr="002E47FA">
                              <w:rPr>
                                <w:b/>
                                <w:bCs/>
                                <w:color w:val="auto"/>
                                <w:sz w:val="22"/>
                                <w:szCs w:val="22"/>
                              </w:rPr>
                              <w:fldChar w:fldCharType="begin"/>
                            </w:r>
                            <w:r w:rsidRPr="002E47FA">
                              <w:rPr>
                                <w:b/>
                                <w:bCs/>
                                <w:color w:val="auto"/>
                                <w:sz w:val="22"/>
                                <w:szCs w:val="22"/>
                              </w:rPr>
                              <w:instrText xml:space="preserve"> SEQ Figure \* ARABIC </w:instrText>
                            </w:r>
                            <w:r w:rsidRPr="002E47FA">
                              <w:rPr>
                                <w:b/>
                                <w:bCs/>
                                <w:color w:val="auto"/>
                                <w:sz w:val="22"/>
                                <w:szCs w:val="22"/>
                              </w:rPr>
                              <w:fldChar w:fldCharType="separate"/>
                            </w:r>
                            <w:r w:rsidR="007B1703">
                              <w:rPr>
                                <w:b/>
                                <w:bCs/>
                                <w:noProof/>
                                <w:color w:val="auto"/>
                                <w:sz w:val="22"/>
                                <w:szCs w:val="22"/>
                              </w:rPr>
                              <w:t>1</w:t>
                            </w:r>
                            <w:r w:rsidRPr="002E47FA">
                              <w:rPr>
                                <w:b/>
                                <w:bCs/>
                                <w:color w:val="auto"/>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20D4E" id="_x0000_s1028" type="#_x0000_t202" style="position:absolute;left:0;text-align:left;margin-left:195pt;margin-top:0;width:253.75pt;height:16.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" stroked="f">
                <v:textbox inset="0,0,0,0">
                  <w:txbxContent>
                    <w:p w14:paraId="4743924B" w14:textId="5128F71D" w:rsidR="00D441AE" w:rsidRPr="002E47FA" w:rsidRDefault="00D441AE" w:rsidP="002E47FA">
                      <w:pPr>
                        <w:pStyle w:val="Caption"/>
                        <w:jc w:val="center"/>
                        <w:rPr>
                          <w:rFonts w:cs="Calibri"/>
                          <w:b/>
                          <w:bCs/>
                          <w:color w:val="auto"/>
                          <w:sz w:val="22"/>
                          <w:szCs w:val="22"/>
                        </w:rPr>
                      </w:pPr>
                      <w:r w:rsidRPr="002E47FA">
                        <w:rPr>
                          <w:b/>
                          <w:bCs/>
                          <w:color w:val="auto"/>
                          <w:sz w:val="22"/>
                          <w:szCs w:val="22"/>
                        </w:rPr>
                        <w:t xml:space="preserve">Figure </w:t>
                      </w:r>
                      <w:r w:rsidRPr="002E47FA">
                        <w:rPr>
                          <w:b/>
                          <w:bCs/>
                          <w:color w:val="auto"/>
                          <w:sz w:val="22"/>
                          <w:szCs w:val="22"/>
                        </w:rPr>
                        <w:fldChar w:fldCharType="begin"/>
                      </w:r>
                      <w:r w:rsidRPr="002E47FA">
                        <w:rPr>
                          <w:b/>
                          <w:bCs/>
                          <w:color w:val="auto"/>
                          <w:sz w:val="22"/>
                          <w:szCs w:val="22"/>
                        </w:rPr>
                        <w:instrText xml:space="preserve"> SEQ Figure \* ARABIC </w:instrText>
                      </w:r>
                      <w:r w:rsidRPr="002E47FA">
                        <w:rPr>
                          <w:b/>
                          <w:bCs/>
                          <w:color w:val="auto"/>
                          <w:sz w:val="22"/>
                          <w:szCs w:val="22"/>
                        </w:rPr>
                        <w:fldChar w:fldCharType="separate"/>
                      </w:r>
                      <w:r w:rsidR="007B1703">
                        <w:rPr>
                          <w:b/>
                          <w:bCs/>
                          <w:noProof/>
                          <w:color w:val="auto"/>
                          <w:sz w:val="22"/>
                          <w:szCs w:val="22"/>
                        </w:rPr>
                        <w:t>1</w:t>
                      </w:r>
                      <w:r w:rsidRPr="002E47FA">
                        <w:rPr>
                          <w:b/>
                          <w:bCs/>
                          <w:color w:val="auto"/>
                          <w:sz w:val="22"/>
                          <w:szCs w:val="22"/>
                        </w:rPr>
                        <w:fldChar w:fldCharType="end"/>
                      </w:r>
                    </w:p>
                  </w:txbxContent>
                </v:textbox>
                <w10:wrap type="tight"/>
              </v:shape>
            </w:pict>
          </mc:Fallback>
        </mc:AlternateContent>
      </w:r>
      <w:r w:rsidR="00271B7E" w:rsidRPr="00271B7E">
        <w:rPr>
          <w:rFonts w:cs="Calibri"/>
          <w:color w:val="000000" w:themeColor="text1"/>
        </w:rPr>
        <w:t>The online bid form was released on May</w:t>
      </w:r>
      <w:r w:rsidR="00BD7F37">
        <w:rPr>
          <w:rFonts w:cs="Calibri"/>
          <w:color w:val="000000" w:themeColor="text1"/>
        </w:rPr>
        <w:t> </w:t>
      </w:r>
      <w:r w:rsidR="00271B7E" w:rsidRPr="00271B7E">
        <w:rPr>
          <w:rFonts w:cs="Calibri"/>
          <w:color w:val="000000" w:themeColor="text1"/>
        </w:rPr>
        <w:t>3, 2023, and the bid period closed on July</w:t>
      </w:r>
      <w:r w:rsidR="005E2367">
        <w:rPr>
          <w:rFonts w:cs="Calibri"/>
          <w:color w:val="000000" w:themeColor="text1"/>
        </w:rPr>
        <w:t> </w:t>
      </w:r>
      <w:r w:rsidR="00271B7E" w:rsidRPr="00271B7E">
        <w:rPr>
          <w:rFonts w:cs="Calibri"/>
          <w:color w:val="000000" w:themeColor="text1"/>
        </w:rPr>
        <w:t>14, 2023, at 12:00 PM Eastern Standard Time. During th</w:t>
      </w:r>
      <w:r w:rsidR="005E2367">
        <w:rPr>
          <w:rFonts w:cs="Calibri"/>
          <w:color w:val="000000" w:themeColor="text1"/>
        </w:rPr>
        <w:t>at</w:t>
      </w:r>
      <w:r w:rsidR="00271B7E" w:rsidRPr="00271B7E">
        <w:rPr>
          <w:rFonts w:cs="Calibri"/>
          <w:color w:val="000000" w:themeColor="text1"/>
        </w:rPr>
        <w:t xml:space="preserve"> period, </w:t>
      </w:r>
      <w:r w:rsidR="00AD6240">
        <w:rPr>
          <w:rFonts w:cs="Calibri"/>
          <w:color w:val="000000" w:themeColor="text1"/>
        </w:rPr>
        <w:t xml:space="preserve">ten bids were </w:t>
      </w:r>
      <w:r w:rsidR="00317DBB">
        <w:rPr>
          <w:rFonts w:cs="Calibri"/>
          <w:color w:val="000000" w:themeColor="text1"/>
        </w:rPr>
        <w:t>be</w:t>
      </w:r>
      <w:r w:rsidR="00AD6240">
        <w:rPr>
          <w:rFonts w:cs="Calibri"/>
          <w:color w:val="000000" w:themeColor="text1"/>
        </w:rPr>
        <w:t xml:space="preserve">gun. </w:t>
      </w:r>
      <w:r w:rsidR="00317DBB">
        <w:rPr>
          <w:rFonts w:cs="Calibri"/>
          <w:color w:val="000000" w:themeColor="text1"/>
        </w:rPr>
        <w:t>As shown in Figure 4, f</w:t>
      </w:r>
      <w:r w:rsidR="00271B7E" w:rsidRPr="00271B7E">
        <w:rPr>
          <w:rFonts w:cs="Calibri"/>
          <w:color w:val="000000" w:themeColor="text1"/>
        </w:rPr>
        <w:t>our bids were</w:t>
      </w:r>
      <w:r w:rsidR="00AD6240">
        <w:rPr>
          <w:rFonts w:cs="Calibri"/>
          <w:color w:val="000000" w:themeColor="text1"/>
        </w:rPr>
        <w:t xml:space="preserve"> ultimately</w:t>
      </w:r>
      <w:r w:rsidR="00271B7E" w:rsidRPr="00271B7E">
        <w:rPr>
          <w:rFonts w:cs="Calibri"/>
          <w:color w:val="000000" w:themeColor="text1"/>
        </w:rPr>
        <w:t xml:space="preserve"> submitted by three bidders</w:t>
      </w:r>
      <w:r w:rsidR="005E2367">
        <w:rPr>
          <w:rFonts w:cs="Calibri"/>
          <w:color w:val="000000" w:themeColor="text1"/>
        </w:rPr>
        <w:t xml:space="preserve">.  </w:t>
      </w:r>
      <w:r w:rsidR="005E2367" w:rsidRPr="00925015">
        <w:rPr>
          <w:color w:val="000000" w:themeColor="text1"/>
        </w:rPr>
        <w:t>Two bidders submitted one bid</w:t>
      </w:r>
      <w:r w:rsidR="00577A0F">
        <w:rPr>
          <w:color w:val="000000" w:themeColor="text1"/>
        </w:rPr>
        <w:t>,</w:t>
      </w:r>
      <w:r w:rsidR="005E2367" w:rsidRPr="00925015">
        <w:rPr>
          <w:color w:val="000000" w:themeColor="text1"/>
        </w:rPr>
        <w:t xml:space="preserve"> and </w:t>
      </w:r>
      <w:r w:rsidR="00577A0F">
        <w:rPr>
          <w:color w:val="000000" w:themeColor="text1"/>
        </w:rPr>
        <w:t>one other</w:t>
      </w:r>
      <w:r w:rsidR="005E2367" w:rsidRPr="00925015">
        <w:rPr>
          <w:color w:val="000000" w:themeColor="text1"/>
        </w:rPr>
        <w:t xml:space="preserve"> bidder submitted two bids.  </w:t>
      </w:r>
      <w:r w:rsidR="00417A04">
        <w:t xml:space="preserve"> </w:t>
      </w:r>
    </w:p>
    <w:p w14:paraId="2317D179" w14:textId="5FCBAC4B" w:rsidR="00417A04" w:rsidRDefault="00417A04" w:rsidP="002E47FA">
      <w:pPr>
        <w:pStyle w:val="ListParagraph"/>
        <w:spacing w:after="240"/>
        <w:ind w:left="0" w:firstLine="720"/>
        <w:contextualSpacing w:val="0"/>
        <w:jc w:val="both"/>
      </w:pPr>
      <w:r>
        <w:t xml:space="preserve"> Table </w:t>
      </w:r>
      <w:r w:rsidR="0043642E">
        <w:t>3</w:t>
      </w:r>
      <w:r>
        <w:t xml:space="preserve"> below summarizes details of the bids</w:t>
      </w:r>
      <w:r w:rsidR="00577A0F">
        <w:t xml:space="preserve"> </w:t>
      </w:r>
      <w:r w:rsidR="00BD252F">
        <w:t xml:space="preserve">that were </w:t>
      </w:r>
      <w:r w:rsidR="00DF5594">
        <w:t>submitted</w:t>
      </w:r>
      <w:r>
        <w:t>.</w:t>
      </w:r>
    </w:p>
    <w:p w14:paraId="7B21CE4E" w14:textId="44ABEAC4" w:rsidR="006133AA" w:rsidRDefault="006133AA" w:rsidP="002E47FA">
      <w:pPr>
        <w:pStyle w:val="ListParagraph"/>
        <w:spacing w:after="0"/>
        <w:ind w:left="0"/>
        <w:contextualSpacing w:val="0"/>
        <w:jc w:val="center"/>
        <w:rPr>
          <w:rFonts w:ascii="Aptos Narrow" w:eastAsia="Times New Roman" w:hAnsi="Aptos Narrow" w:cs="Times New Roman"/>
          <w:b/>
          <w:bCs/>
          <w:color w:val="000000"/>
          <w:lang w:eastAsia="en-US"/>
        </w:rPr>
      </w:pPr>
      <w:r w:rsidRPr="002E47FA">
        <w:rPr>
          <w:rFonts w:ascii="Aptos Narrow" w:eastAsia="Times New Roman" w:hAnsi="Aptos Narrow" w:cs="Times New Roman"/>
          <w:b/>
          <w:bCs/>
          <w:i/>
          <w:iCs/>
          <w:color w:val="000000"/>
          <w:sz w:val="22"/>
          <w:szCs w:val="22"/>
          <w:lang w:eastAsia="en-US"/>
        </w:rPr>
        <w:t>Table 3</w:t>
      </w:r>
    </w:p>
    <w:p w14:paraId="6B99BFB0" w14:textId="452D6FAB" w:rsidR="006133AA" w:rsidRDefault="006133AA" w:rsidP="002E47FA">
      <w:pPr>
        <w:pStyle w:val="ListParagraph"/>
        <w:spacing w:after="120"/>
        <w:ind w:left="0"/>
        <w:contextualSpacing w:val="0"/>
        <w:jc w:val="center"/>
      </w:pPr>
      <w:r w:rsidRPr="00DC4C68">
        <w:rPr>
          <w:rFonts w:ascii="Aptos Narrow" w:eastAsia="Times New Roman" w:hAnsi="Aptos Narrow" w:cs="Times New Roman"/>
          <w:b/>
          <w:bCs/>
          <w:color w:val="000000"/>
          <w:lang w:eastAsia="en-US"/>
        </w:rPr>
        <w:t>Bid Summary</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903"/>
        <w:gridCol w:w="1019"/>
        <w:gridCol w:w="1278"/>
        <w:gridCol w:w="1098"/>
        <w:gridCol w:w="1351"/>
        <w:gridCol w:w="1451"/>
      </w:tblGrid>
      <w:tr w:rsidR="00F90777" w:rsidRPr="00DC4C68" w14:paraId="0AC14185" w14:textId="77777777" w:rsidTr="00F90777">
        <w:trPr>
          <w:trHeight w:val="987"/>
        </w:trPr>
        <w:tc>
          <w:tcPr>
            <w:tcW w:w="895" w:type="dxa"/>
            <w:shd w:val="clear" w:color="000000" w:fill="A6C9EC"/>
            <w:vAlign w:val="center"/>
            <w:hideMark/>
          </w:tcPr>
          <w:p w14:paraId="0295B34B"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Bid No.</w:t>
            </w:r>
          </w:p>
        </w:tc>
        <w:tc>
          <w:tcPr>
            <w:tcW w:w="1903" w:type="dxa"/>
            <w:shd w:val="clear" w:color="000000" w:fill="A6C9EC"/>
            <w:vAlign w:val="center"/>
            <w:hideMark/>
          </w:tcPr>
          <w:p w14:paraId="440BFB9E"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Contract Type</w:t>
            </w:r>
          </w:p>
        </w:tc>
        <w:tc>
          <w:tcPr>
            <w:tcW w:w="1019" w:type="dxa"/>
            <w:shd w:val="clear" w:color="000000" w:fill="A6C9EC"/>
            <w:vAlign w:val="center"/>
            <w:hideMark/>
          </w:tcPr>
          <w:p w14:paraId="1AC0BF29"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Contract Term (Years)</w:t>
            </w:r>
          </w:p>
        </w:tc>
        <w:tc>
          <w:tcPr>
            <w:tcW w:w="1278" w:type="dxa"/>
            <w:shd w:val="clear" w:color="000000" w:fill="A6C9EC"/>
            <w:vAlign w:val="center"/>
            <w:hideMark/>
          </w:tcPr>
          <w:p w14:paraId="6F723B71"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Energy Price Selection</w:t>
            </w:r>
          </w:p>
        </w:tc>
        <w:tc>
          <w:tcPr>
            <w:tcW w:w="1098" w:type="dxa"/>
            <w:shd w:val="clear" w:color="000000" w:fill="A6C9EC"/>
            <w:vAlign w:val="center"/>
            <w:hideMark/>
          </w:tcPr>
          <w:p w14:paraId="0C5F5D0F"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 xml:space="preserve">Nominal Capacity at POI (MW) </w:t>
            </w:r>
          </w:p>
        </w:tc>
        <w:tc>
          <w:tcPr>
            <w:tcW w:w="1351" w:type="dxa"/>
            <w:shd w:val="clear" w:color="000000" w:fill="A6C9EC"/>
            <w:vAlign w:val="center"/>
            <w:hideMark/>
          </w:tcPr>
          <w:p w14:paraId="4181B76E" w14:textId="77777777" w:rsidR="00DC4C68" w:rsidRPr="002E47FA" w:rsidRDefault="00DC4C68"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Facility City</w:t>
            </w:r>
          </w:p>
        </w:tc>
        <w:tc>
          <w:tcPr>
            <w:tcW w:w="1451" w:type="dxa"/>
            <w:shd w:val="clear" w:color="000000" w:fill="A6C9EC"/>
            <w:vAlign w:val="center"/>
            <w:hideMark/>
          </w:tcPr>
          <w:p w14:paraId="2866CC88" w14:textId="2B9F82B6" w:rsidR="00DC4C68" w:rsidRPr="002E47FA" w:rsidRDefault="008367F0" w:rsidP="00DC4C68">
            <w:pPr>
              <w:spacing w:after="0" w:line="240" w:lineRule="auto"/>
              <w:jc w:val="center"/>
              <w:rPr>
                <w:rFonts w:ascii="Aptos Narrow" w:eastAsia="Times New Roman" w:hAnsi="Aptos Narrow" w:cs="Times New Roman"/>
                <w:b/>
                <w:bCs/>
                <w:color w:val="000000"/>
                <w:sz w:val="22"/>
                <w:szCs w:val="22"/>
                <w:lang w:eastAsia="en-US"/>
              </w:rPr>
            </w:pPr>
            <w:r w:rsidRPr="002E47FA">
              <w:rPr>
                <w:rFonts w:ascii="Aptos Narrow" w:eastAsia="Times New Roman" w:hAnsi="Aptos Narrow" w:cs="Times New Roman"/>
                <w:b/>
                <w:bCs/>
                <w:color w:val="000000"/>
                <w:sz w:val="22"/>
                <w:szCs w:val="22"/>
                <w:lang w:eastAsia="en-US"/>
              </w:rPr>
              <w:t xml:space="preserve">Proposed </w:t>
            </w:r>
            <w:r w:rsidR="00DC4C68" w:rsidRPr="002E47FA">
              <w:rPr>
                <w:rFonts w:ascii="Aptos Narrow" w:eastAsia="Times New Roman" w:hAnsi="Aptos Narrow" w:cs="Times New Roman"/>
                <w:b/>
                <w:bCs/>
                <w:color w:val="000000"/>
                <w:sz w:val="22"/>
                <w:szCs w:val="22"/>
                <w:lang w:eastAsia="en-US"/>
              </w:rPr>
              <w:t>COD</w:t>
            </w:r>
            <w:r w:rsidR="000211AF" w:rsidRPr="002E47FA">
              <w:rPr>
                <w:rFonts w:ascii="Aptos Narrow" w:eastAsia="Times New Roman" w:hAnsi="Aptos Narrow" w:cs="Times New Roman"/>
                <w:b/>
                <w:bCs/>
                <w:color w:val="000000"/>
                <w:sz w:val="22"/>
                <w:szCs w:val="22"/>
                <w:lang w:eastAsia="en-US"/>
              </w:rPr>
              <w:t xml:space="preserve"> </w:t>
            </w:r>
            <w:r w:rsidR="000211AF" w:rsidRPr="002E47FA">
              <w:rPr>
                <w:rStyle w:val="FootnoteReference"/>
                <w:rFonts w:ascii="Aptos Narrow" w:eastAsia="Times New Roman" w:hAnsi="Aptos Narrow" w:cs="Times New Roman"/>
                <w:b/>
                <w:bCs/>
                <w:color w:val="000000"/>
                <w:sz w:val="22"/>
                <w:szCs w:val="22"/>
                <w:lang w:eastAsia="en-US"/>
              </w:rPr>
              <w:footnoteReference w:id="3"/>
            </w:r>
          </w:p>
        </w:tc>
      </w:tr>
      <w:tr w:rsidR="00DC4C68" w:rsidRPr="00DC4C68" w14:paraId="3D2C286A" w14:textId="77777777" w:rsidTr="002E47FA">
        <w:trPr>
          <w:trHeight w:val="581"/>
        </w:trPr>
        <w:tc>
          <w:tcPr>
            <w:tcW w:w="895" w:type="dxa"/>
            <w:shd w:val="clear" w:color="auto" w:fill="auto"/>
            <w:vAlign w:val="center"/>
            <w:hideMark/>
          </w:tcPr>
          <w:p w14:paraId="32FB4310"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208-01</w:t>
            </w:r>
          </w:p>
        </w:tc>
        <w:tc>
          <w:tcPr>
            <w:tcW w:w="1903" w:type="dxa"/>
            <w:shd w:val="clear" w:color="auto" w:fill="auto"/>
            <w:vAlign w:val="center"/>
            <w:hideMark/>
          </w:tcPr>
          <w:p w14:paraId="6C489C0B" w14:textId="59DA8533" w:rsidR="00DC4C68" w:rsidRPr="002E47FA" w:rsidRDefault="00BA3E7A"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Biomass</w:t>
            </w:r>
            <w:r w:rsidR="00DC4C68" w:rsidRPr="002E47FA">
              <w:rPr>
                <w:rFonts w:ascii="Aptos Narrow" w:eastAsia="Times New Roman" w:hAnsi="Aptos Narrow" w:cs="Times New Roman"/>
                <w:color w:val="000000"/>
                <w:sz w:val="22"/>
                <w:szCs w:val="22"/>
                <w:lang w:eastAsia="en-US"/>
              </w:rPr>
              <w:t xml:space="preserve"> Addition PPA</w:t>
            </w:r>
          </w:p>
        </w:tc>
        <w:tc>
          <w:tcPr>
            <w:tcW w:w="1019" w:type="dxa"/>
            <w:shd w:val="clear" w:color="auto" w:fill="auto"/>
            <w:vAlign w:val="center"/>
            <w:hideMark/>
          </w:tcPr>
          <w:p w14:paraId="38974D07"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10</w:t>
            </w:r>
          </w:p>
        </w:tc>
        <w:tc>
          <w:tcPr>
            <w:tcW w:w="1278" w:type="dxa"/>
            <w:shd w:val="clear" w:color="auto" w:fill="auto"/>
            <w:vAlign w:val="center"/>
            <w:hideMark/>
          </w:tcPr>
          <w:p w14:paraId="1F72E946"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Escalating</w:t>
            </w:r>
          </w:p>
        </w:tc>
        <w:tc>
          <w:tcPr>
            <w:tcW w:w="1098" w:type="dxa"/>
            <w:shd w:val="clear" w:color="auto" w:fill="auto"/>
            <w:vAlign w:val="center"/>
            <w:hideMark/>
          </w:tcPr>
          <w:p w14:paraId="166BF335"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4.3</w:t>
            </w:r>
          </w:p>
        </w:tc>
        <w:tc>
          <w:tcPr>
            <w:tcW w:w="1351" w:type="dxa"/>
            <w:shd w:val="clear" w:color="auto" w:fill="auto"/>
            <w:vAlign w:val="center"/>
            <w:hideMark/>
          </w:tcPr>
          <w:p w14:paraId="465DE463" w14:textId="4AAFCD00"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Oglethorpe</w:t>
            </w:r>
          </w:p>
        </w:tc>
        <w:tc>
          <w:tcPr>
            <w:tcW w:w="1451" w:type="dxa"/>
            <w:shd w:val="clear" w:color="auto" w:fill="auto"/>
            <w:vAlign w:val="center"/>
            <w:hideMark/>
          </w:tcPr>
          <w:p w14:paraId="1B0F8348"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4/8/2026</w:t>
            </w:r>
          </w:p>
        </w:tc>
      </w:tr>
      <w:tr w:rsidR="00DC4C68" w:rsidRPr="00DC4C68" w14:paraId="0597B924" w14:textId="77777777" w:rsidTr="002E47FA">
        <w:trPr>
          <w:trHeight w:val="581"/>
        </w:trPr>
        <w:tc>
          <w:tcPr>
            <w:tcW w:w="895" w:type="dxa"/>
            <w:shd w:val="clear" w:color="auto" w:fill="auto"/>
            <w:vAlign w:val="center"/>
            <w:hideMark/>
          </w:tcPr>
          <w:p w14:paraId="62173A61"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208-02</w:t>
            </w:r>
          </w:p>
        </w:tc>
        <w:tc>
          <w:tcPr>
            <w:tcW w:w="1903" w:type="dxa"/>
            <w:shd w:val="clear" w:color="auto" w:fill="auto"/>
            <w:vAlign w:val="center"/>
            <w:hideMark/>
          </w:tcPr>
          <w:p w14:paraId="30278D35" w14:textId="18E450BC" w:rsidR="00DC4C68" w:rsidRPr="002E47FA" w:rsidRDefault="00BA3E7A"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Biomass</w:t>
            </w:r>
            <w:r w:rsidR="00DC4C68" w:rsidRPr="002E47FA">
              <w:rPr>
                <w:rFonts w:ascii="Aptos Narrow" w:eastAsia="Times New Roman" w:hAnsi="Aptos Narrow" w:cs="Times New Roman"/>
                <w:color w:val="000000"/>
                <w:sz w:val="22"/>
                <w:szCs w:val="22"/>
                <w:lang w:eastAsia="en-US"/>
              </w:rPr>
              <w:t xml:space="preserve"> Addition PPA</w:t>
            </w:r>
          </w:p>
        </w:tc>
        <w:tc>
          <w:tcPr>
            <w:tcW w:w="1019" w:type="dxa"/>
            <w:shd w:val="clear" w:color="auto" w:fill="auto"/>
            <w:vAlign w:val="center"/>
            <w:hideMark/>
          </w:tcPr>
          <w:p w14:paraId="7860E84B"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10</w:t>
            </w:r>
          </w:p>
        </w:tc>
        <w:tc>
          <w:tcPr>
            <w:tcW w:w="1278" w:type="dxa"/>
            <w:shd w:val="clear" w:color="auto" w:fill="auto"/>
            <w:vAlign w:val="center"/>
            <w:hideMark/>
          </w:tcPr>
          <w:p w14:paraId="38BC6E5F"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Escalating</w:t>
            </w:r>
          </w:p>
        </w:tc>
        <w:tc>
          <w:tcPr>
            <w:tcW w:w="1098" w:type="dxa"/>
            <w:shd w:val="clear" w:color="auto" w:fill="auto"/>
            <w:vAlign w:val="center"/>
            <w:hideMark/>
          </w:tcPr>
          <w:p w14:paraId="2FE3065C"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3.6</w:t>
            </w:r>
          </w:p>
        </w:tc>
        <w:tc>
          <w:tcPr>
            <w:tcW w:w="1351" w:type="dxa"/>
            <w:shd w:val="clear" w:color="auto" w:fill="auto"/>
            <w:vAlign w:val="center"/>
            <w:hideMark/>
          </w:tcPr>
          <w:p w14:paraId="3377B4B7"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Port Wentworth</w:t>
            </w:r>
          </w:p>
        </w:tc>
        <w:tc>
          <w:tcPr>
            <w:tcW w:w="1451" w:type="dxa"/>
            <w:shd w:val="clear" w:color="auto" w:fill="auto"/>
            <w:vAlign w:val="center"/>
            <w:hideMark/>
          </w:tcPr>
          <w:p w14:paraId="125C9A4A"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10/1/2026</w:t>
            </w:r>
          </w:p>
        </w:tc>
      </w:tr>
      <w:tr w:rsidR="00DC4C68" w:rsidRPr="00DC4C68" w14:paraId="700DAB04" w14:textId="77777777" w:rsidTr="002E47FA">
        <w:trPr>
          <w:trHeight w:val="581"/>
        </w:trPr>
        <w:tc>
          <w:tcPr>
            <w:tcW w:w="895" w:type="dxa"/>
            <w:shd w:val="clear" w:color="auto" w:fill="auto"/>
            <w:vAlign w:val="center"/>
            <w:hideMark/>
          </w:tcPr>
          <w:p w14:paraId="28A64CA8"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253-01</w:t>
            </w:r>
          </w:p>
        </w:tc>
        <w:tc>
          <w:tcPr>
            <w:tcW w:w="1903" w:type="dxa"/>
            <w:shd w:val="clear" w:color="auto" w:fill="auto"/>
            <w:vAlign w:val="center"/>
            <w:hideMark/>
          </w:tcPr>
          <w:p w14:paraId="0ED793D0" w14:textId="57F12840"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 xml:space="preserve">Greenfield </w:t>
            </w:r>
            <w:r w:rsidR="00BA3E7A" w:rsidRPr="002E47FA">
              <w:rPr>
                <w:rFonts w:ascii="Aptos Narrow" w:eastAsia="Times New Roman" w:hAnsi="Aptos Narrow" w:cs="Times New Roman"/>
                <w:color w:val="000000"/>
                <w:sz w:val="22"/>
                <w:szCs w:val="22"/>
                <w:lang w:eastAsia="en-US"/>
              </w:rPr>
              <w:t>Biomass</w:t>
            </w:r>
            <w:r w:rsidRPr="002E47FA">
              <w:rPr>
                <w:rFonts w:ascii="Aptos Narrow" w:eastAsia="Times New Roman" w:hAnsi="Aptos Narrow" w:cs="Times New Roman"/>
                <w:color w:val="000000"/>
                <w:sz w:val="22"/>
                <w:szCs w:val="22"/>
                <w:lang w:eastAsia="en-US"/>
              </w:rPr>
              <w:t xml:space="preserve"> PPA</w:t>
            </w:r>
          </w:p>
        </w:tc>
        <w:tc>
          <w:tcPr>
            <w:tcW w:w="1019" w:type="dxa"/>
            <w:shd w:val="clear" w:color="auto" w:fill="auto"/>
            <w:vAlign w:val="center"/>
            <w:hideMark/>
          </w:tcPr>
          <w:p w14:paraId="7F4E50AD"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30</w:t>
            </w:r>
          </w:p>
        </w:tc>
        <w:tc>
          <w:tcPr>
            <w:tcW w:w="1278" w:type="dxa"/>
            <w:shd w:val="clear" w:color="auto" w:fill="auto"/>
            <w:vAlign w:val="center"/>
            <w:hideMark/>
          </w:tcPr>
          <w:p w14:paraId="7A79ECF0"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Escalating</w:t>
            </w:r>
          </w:p>
        </w:tc>
        <w:tc>
          <w:tcPr>
            <w:tcW w:w="1098" w:type="dxa"/>
            <w:shd w:val="clear" w:color="auto" w:fill="auto"/>
            <w:vAlign w:val="center"/>
            <w:hideMark/>
          </w:tcPr>
          <w:p w14:paraId="3283A933"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30</w:t>
            </w:r>
          </w:p>
        </w:tc>
        <w:tc>
          <w:tcPr>
            <w:tcW w:w="1351" w:type="dxa"/>
            <w:shd w:val="clear" w:color="auto" w:fill="auto"/>
            <w:vAlign w:val="center"/>
            <w:hideMark/>
          </w:tcPr>
          <w:p w14:paraId="7FFEE6A9"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Warm Springs</w:t>
            </w:r>
          </w:p>
        </w:tc>
        <w:tc>
          <w:tcPr>
            <w:tcW w:w="1451" w:type="dxa"/>
            <w:shd w:val="clear" w:color="auto" w:fill="auto"/>
            <w:vAlign w:val="center"/>
            <w:hideMark/>
          </w:tcPr>
          <w:p w14:paraId="70E3D921"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7/16/2027</w:t>
            </w:r>
          </w:p>
        </w:tc>
      </w:tr>
      <w:tr w:rsidR="00DC4C68" w:rsidRPr="00DC4C68" w14:paraId="33824B56" w14:textId="77777777" w:rsidTr="002E47FA">
        <w:trPr>
          <w:trHeight w:val="581"/>
        </w:trPr>
        <w:tc>
          <w:tcPr>
            <w:tcW w:w="895" w:type="dxa"/>
            <w:shd w:val="clear" w:color="auto" w:fill="auto"/>
            <w:vAlign w:val="center"/>
            <w:hideMark/>
          </w:tcPr>
          <w:p w14:paraId="5766A52C"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259-02</w:t>
            </w:r>
          </w:p>
        </w:tc>
        <w:tc>
          <w:tcPr>
            <w:tcW w:w="1903" w:type="dxa"/>
            <w:shd w:val="clear" w:color="auto" w:fill="auto"/>
            <w:vAlign w:val="center"/>
            <w:hideMark/>
          </w:tcPr>
          <w:p w14:paraId="17DB7868" w14:textId="389559BB"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 xml:space="preserve">Greenfield </w:t>
            </w:r>
            <w:r w:rsidR="00BA3E7A" w:rsidRPr="002E47FA">
              <w:rPr>
                <w:rFonts w:ascii="Aptos Narrow" w:eastAsia="Times New Roman" w:hAnsi="Aptos Narrow" w:cs="Times New Roman"/>
                <w:color w:val="000000"/>
                <w:sz w:val="22"/>
                <w:szCs w:val="22"/>
                <w:lang w:eastAsia="en-US"/>
              </w:rPr>
              <w:t>Biomass</w:t>
            </w:r>
            <w:r w:rsidRPr="002E47FA">
              <w:rPr>
                <w:rFonts w:ascii="Aptos Narrow" w:eastAsia="Times New Roman" w:hAnsi="Aptos Narrow" w:cs="Times New Roman"/>
                <w:color w:val="000000"/>
                <w:sz w:val="22"/>
                <w:szCs w:val="22"/>
                <w:lang w:eastAsia="en-US"/>
              </w:rPr>
              <w:t xml:space="preserve"> PPA</w:t>
            </w:r>
          </w:p>
        </w:tc>
        <w:tc>
          <w:tcPr>
            <w:tcW w:w="1019" w:type="dxa"/>
            <w:shd w:val="clear" w:color="auto" w:fill="auto"/>
            <w:vAlign w:val="center"/>
            <w:hideMark/>
          </w:tcPr>
          <w:p w14:paraId="59A6E514"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30</w:t>
            </w:r>
          </w:p>
        </w:tc>
        <w:tc>
          <w:tcPr>
            <w:tcW w:w="1278" w:type="dxa"/>
            <w:shd w:val="clear" w:color="auto" w:fill="auto"/>
            <w:vAlign w:val="center"/>
            <w:hideMark/>
          </w:tcPr>
          <w:p w14:paraId="72AF0C0D" w14:textId="261DE6C8"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Escalating</w:t>
            </w:r>
            <w:r w:rsidR="000D6216" w:rsidRPr="002E47FA">
              <w:rPr>
                <w:rStyle w:val="FootnoteReference"/>
                <w:rFonts w:ascii="Aptos Narrow" w:eastAsia="Times New Roman" w:hAnsi="Aptos Narrow" w:cs="Times New Roman"/>
                <w:color w:val="000000"/>
                <w:sz w:val="22"/>
                <w:szCs w:val="22"/>
                <w:lang w:eastAsia="en-US"/>
              </w:rPr>
              <w:footnoteReference w:id="4"/>
            </w:r>
          </w:p>
        </w:tc>
        <w:tc>
          <w:tcPr>
            <w:tcW w:w="1098" w:type="dxa"/>
            <w:shd w:val="clear" w:color="auto" w:fill="auto"/>
            <w:vAlign w:val="center"/>
            <w:hideMark/>
          </w:tcPr>
          <w:p w14:paraId="406E3C1E"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70</w:t>
            </w:r>
          </w:p>
        </w:tc>
        <w:tc>
          <w:tcPr>
            <w:tcW w:w="1351" w:type="dxa"/>
            <w:shd w:val="clear" w:color="auto" w:fill="auto"/>
            <w:vAlign w:val="center"/>
            <w:hideMark/>
          </w:tcPr>
          <w:p w14:paraId="60052C3B"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Jesup</w:t>
            </w:r>
          </w:p>
        </w:tc>
        <w:tc>
          <w:tcPr>
            <w:tcW w:w="1451" w:type="dxa"/>
            <w:shd w:val="clear" w:color="auto" w:fill="auto"/>
            <w:vAlign w:val="center"/>
            <w:hideMark/>
          </w:tcPr>
          <w:p w14:paraId="417EAB66" w14:textId="77777777" w:rsidR="00DC4C68" w:rsidRPr="002E47FA" w:rsidRDefault="00DC4C68" w:rsidP="00DC4C68">
            <w:pPr>
              <w:spacing w:after="0" w:line="240" w:lineRule="auto"/>
              <w:jc w:val="center"/>
              <w:rPr>
                <w:rFonts w:ascii="Aptos Narrow" w:eastAsia="Times New Roman" w:hAnsi="Aptos Narrow" w:cs="Times New Roman"/>
                <w:color w:val="000000"/>
                <w:sz w:val="22"/>
                <w:szCs w:val="22"/>
                <w:lang w:eastAsia="en-US"/>
              </w:rPr>
            </w:pPr>
            <w:r w:rsidRPr="002E47FA">
              <w:rPr>
                <w:rFonts w:ascii="Aptos Narrow" w:eastAsia="Times New Roman" w:hAnsi="Aptos Narrow" w:cs="Times New Roman"/>
                <w:color w:val="000000"/>
                <w:sz w:val="22"/>
                <w:szCs w:val="22"/>
                <w:lang w:eastAsia="en-US"/>
              </w:rPr>
              <w:t>6/1/2027</w:t>
            </w:r>
          </w:p>
        </w:tc>
      </w:tr>
    </w:tbl>
    <w:p w14:paraId="172E6055" w14:textId="77777777" w:rsidR="000C2C73" w:rsidRDefault="000C2C73" w:rsidP="000C2C73">
      <w:pPr>
        <w:rPr>
          <w:b/>
          <w:bCs/>
        </w:rPr>
      </w:pPr>
    </w:p>
    <w:p w14:paraId="6DCA86D6" w14:textId="77777777" w:rsidR="00995ED8" w:rsidRDefault="00995ED8" w:rsidP="000C2C73">
      <w:pPr>
        <w:rPr>
          <w:b/>
          <w:bCs/>
        </w:rPr>
      </w:pPr>
    </w:p>
    <w:p w14:paraId="4CC847A2" w14:textId="3930F469" w:rsidR="000C2C73" w:rsidRPr="00937ED5" w:rsidRDefault="00C3698D" w:rsidP="002E47FA">
      <w:pPr>
        <w:pStyle w:val="ListParagraph"/>
        <w:numPr>
          <w:ilvl w:val="0"/>
          <w:numId w:val="3"/>
        </w:numPr>
        <w:spacing w:after="120"/>
        <w:contextualSpacing w:val="0"/>
        <w:rPr>
          <w:b/>
          <w:bCs/>
        </w:rPr>
      </w:pPr>
      <w:r w:rsidRPr="00937ED5">
        <w:rPr>
          <w:b/>
          <w:bCs/>
        </w:rPr>
        <w:lastRenderedPageBreak/>
        <w:t>EVALUATION</w:t>
      </w:r>
      <w:r w:rsidR="0089683F" w:rsidRPr="00937ED5">
        <w:rPr>
          <w:b/>
          <w:bCs/>
        </w:rPr>
        <w:t xml:space="preserve">  </w:t>
      </w:r>
    </w:p>
    <w:p w14:paraId="79953521" w14:textId="11FBE201" w:rsidR="00FF7348" w:rsidRDefault="00FF7348" w:rsidP="001500F0">
      <w:pPr>
        <w:ind w:firstLine="720"/>
        <w:jc w:val="both"/>
      </w:pPr>
      <w:r>
        <w:t xml:space="preserve">The IE and Staff </w:t>
      </w:r>
      <w:r w:rsidR="00025F08">
        <w:t xml:space="preserve">worked closely with the GPC </w:t>
      </w:r>
      <w:r w:rsidR="002A67D4">
        <w:t>Evaluation Team</w:t>
      </w:r>
      <w:r w:rsidR="00025F08">
        <w:t xml:space="preserve">.  A lengthy process to cure information initially received with bids </w:t>
      </w:r>
      <w:r w:rsidR="00F23EE2">
        <w:t xml:space="preserve">continued through September 2023.  Bidders were notified on September 11, 2023, of selection to the Competitive Tier at which time Bid Security was required.   </w:t>
      </w:r>
    </w:p>
    <w:p w14:paraId="52D86B17" w14:textId="4DCF8D1A" w:rsidR="00647F6D" w:rsidRDefault="003F0EA8" w:rsidP="002E47FA">
      <w:pPr>
        <w:spacing w:after="120"/>
        <w:ind w:firstLine="720"/>
        <w:jc w:val="both"/>
        <w:rPr>
          <w:rFonts w:cs="Calibri"/>
          <w:color w:val="000000" w:themeColor="text1"/>
        </w:rPr>
      </w:pPr>
      <w:r>
        <w:rPr>
          <w:rFonts w:cs="Calibri"/>
          <w:color w:val="000000" w:themeColor="text1"/>
        </w:rPr>
        <w:t xml:space="preserve">Bid Security Documents were updated and provided to bidders on October 5, 2023.  </w:t>
      </w:r>
      <w:r w:rsidR="000211AF">
        <w:rPr>
          <w:rFonts w:cs="Calibri"/>
          <w:color w:val="000000" w:themeColor="text1"/>
        </w:rPr>
        <w:t>In response to a request from a bidder t</w:t>
      </w:r>
      <w:r>
        <w:rPr>
          <w:rFonts w:cs="Calibri"/>
          <w:color w:val="000000" w:themeColor="text1"/>
        </w:rPr>
        <w:t xml:space="preserve">he Bid Security due date was extended to October 20, 2023.  One bidder </w:t>
      </w:r>
      <w:r w:rsidR="00CC30EA">
        <w:rPr>
          <w:rFonts w:cs="Calibri"/>
          <w:color w:val="000000" w:themeColor="text1"/>
        </w:rPr>
        <w:t xml:space="preserve">did not provide adequate site control documents and was unable to secure a Letter of Credit </w:t>
      </w:r>
      <w:r w:rsidR="00B0317D">
        <w:rPr>
          <w:rFonts w:cs="Calibri"/>
          <w:color w:val="000000" w:themeColor="text1"/>
        </w:rPr>
        <w:t xml:space="preserve">(“LOC”) </w:t>
      </w:r>
      <w:r w:rsidR="00CC30EA">
        <w:rPr>
          <w:rFonts w:cs="Calibri"/>
          <w:color w:val="000000" w:themeColor="text1"/>
        </w:rPr>
        <w:t>from a bank with an acceptable credit rating</w:t>
      </w:r>
      <w:r w:rsidR="00FC0A14">
        <w:rPr>
          <w:rFonts w:cs="Calibri"/>
          <w:color w:val="000000" w:themeColor="text1"/>
        </w:rPr>
        <w:t>.</w:t>
      </w:r>
      <w:r w:rsidR="005F5726">
        <w:rPr>
          <w:rStyle w:val="FootnoteReference"/>
          <w:rFonts w:cs="Calibri"/>
          <w:color w:val="000000" w:themeColor="text1"/>
        </w:rPr>
        <w:footnoteReference w:id="5"/>
      </w:r>
      <w:r w:rsidR="00FC0A14">
        <w:rPr>
          <w:rFonts w:cs="Calibri"/>
          <w:color w:val="000000" w:themeColor="text1"/>
        </w:rPr>
        <w:t xml:space="preserve"> </w:t>
      </w:r>
      <w:r w:rsidR="00CC30EA">
        <w:rPr>
          <w:rFonts w:cs="Calibri"/>
          <w:color w:val="000000" w:themeColor="text1"/>
        </w:rPr>
        <w:t xml:space="preserve">GPC worked with that bidder to produce an acceptable </w:t>
      </w:r>
      <w:r w:rsidR="00B0317D">
        <w:rPr>
          <w:rFonts w:cs="Calibri"/>
          <w:color w:val="000000" w:themeColor="text1"/>
        </w:rPr>
        <w:t>LOC</w:t>
      </w:r>
      <w:r w:rsidR="00CC30EA">
        <w:rPr>
          <w:rFonts w:cs="Calibri"/>
          <w:color w:val="000000" w:themeColor="text1"/>
        </w:rPr>
        <w:t xml:space="preserve">, extending the deadline to November 20, 2023.  The bidder was ultimately unable to produce an acceptable LOC </w:t>
      </w:r>
      <w:r w:rsidR="000211AF">
        <w:rPr>
          <w:rFonts w:cs="Calibri"/>
          <w:color w:val="000000" w:themeColor="text1"/>
        </w:rPr>
        <w:t>and</w:t>
      </w:r>
      <w:r w:rsidR="00CC30EA">
        <w:rPr>
          <w:rFonts w:cs="Calibri"/>
          <w:color w:val="000000" w:themeColor="text1"/>
        </w:rPr>
        <w:t xml:space="preserve"> firm Site Control documentation</w:t>
      </w:r>
      <w:r w:rsidR="000211AF">
        <w:rPr>
          <w:rFonts w:cs="Calibri"/>
          <w:color w:val="000000" w:themeColor="text1"/>
        </w:rPr>
        <w:t xml:space="preserve">.  Therefore, </w:t>
      </w:r>
      <w:r w:rsidR="00CC30EA">
        <w:rPr>
          <w:rFonts w:cs="Calibri"/>
          <w:color w:val="000000" w:themeColor="text1"/>
        </w:rPr>
        <w:t xml:space="preserve">bid </w:t>
      </w:r>
      <w:r w:rsidR="009C4059">
        <w:rPr>
          <w:rFonts w:cs="Calibri"/>
          <w:color w:val="000000" w:themeColor="text1"/>
        </w:rPr>
        <w:t xml:space="preserve">253-01 </w:t>
      </w:r>
      <w:r w:rsidRPr="00271B7E">
        <w:rPr>
          <w:rFonts w:cs="Calibri"/>
          <w:color w:val="000000" w:themeColor="text1"/>
        </w:rPr>
        <w:t>was released on December 20, 2023.</w:t>
      </w:r>
      <w:r>
        <w:rPr>
          <w:rFonts w:cs="Calibri"/>
          <w:color w:val="000000" w:themeColor="text1"/>
        </w:rPr>
        <w:t xml:space="preserve">  </w:t>
      </w:r>
    </w:p>
    <w:p w14:paraId="2DEB25B9" w14:textId="14761163" w:rsidR="003F0EA8" w:rsidRDefault="003F0EA8" w:rsidP="002E47FA">
      <w:pPr>
        <w:spacing w:after="120"/>
        <w:ind w:firstLine="720"/>
        <w:jc w:val="both"/>
      </w:pPr>
      <w:r w:rsidRPr="00417A04">
        <w:t xml:space="preserve">Three </w:t>
      </w:r>
      <w:r>
        <w:t>bids were</w:t>
      </w:r>
      <w:r w:rsidR="00F6166B">
        <w:t xml:space="preserve"> </w:t>
      </w:r>
      <w:r w:rsidR="005F5726">
        <w:t>included in the full evaluation process</w:t>
      </w:r>
      <w:r>
        <w:t xml:space="preserve">.  Two of the bids were less than 5 MW additions to existing </w:t>
      </w:r>
      <w:r w:rsidR="00BA3E7A">
        <w:t>Biomass</w:t>
      </w:r>
      <w:r>
        <w:t xml:space="preserve"> facilities, proposed for 10-year terms.  On</w:t>
      </w:r>
      <w:r w:rsidR="009C4059">
        <w:t>e</w:t>
      </w:r>
      <w:r>
        <w:t xml:space="preserve"> 70</w:t>
      </w:r>
      <w:r w:rsidR="004F2932">
        <w:t> </w:t>
      </w:r>
      <w:r>
        <w:t xml:space="preserve">MW greenfield </w:t>
      </w:r>
      <w:r w:rsidR="00BA3E7A">
        <w:t>Biomass</w:t>
      </w:r>
      <w:r>
        <w:t xml:space="preserve"> project, that proposed a 30-year term,</w:t>
      </w:r>
      <w:r w:rsidRPr="00826AD2">
        <w:t xml:space="preserve"> </w:t>
      </w:r>
      <w:r>
        <w:t xml:space="preserve">was </w:t>
      </w:r>
      <w:r w:rsidR="00BB761D">
        <w:t xml:space="preserve">also </w:t>
      </w:r>
      <w:r>
        <w:t>evaluated.</w:t>
      </w:r>
    </w:p>
    <w:p w14:paraId="598852E7" w14:textId="6A742CF5" w:rsidR="00C3698D" w:rsidRDefault="00FF7348" w:rsidP="002E47FA">
      <w:pPr>
        <w:pStyle w:val="ListParagraph"/>
        <w:numPr>
          <w:ilvl w:val="0"/>
          <w:numId w:val="6"/>
        </w:numPr>
        <w:spacing w:after="120"/>
        <w:contextualSpacing w:val="0"/>
      </w:pPr>
      <w:r w:rsidRPr="00B57161">
        <w:rPr>
          <w:b/>
          <w:bCs/>
          <w:color w:val="0F4761" w:themeColor="accent1" w:themeShade="BF"/>
        </w:rPr>
        <w:t xml:space="preserve">Bid </w:t>
      </w:r>
      <w:r w:rsidR="008F55D9">
        <w:rPr>
          <w:b/>
          <w:bCs/>
          <w:color w:val="0F4761" w:themeColor="accent1" w:themeShade="BF"/>
        </w:rPr>
        <w:t>Ranking by Price</w:t>
      </w:r>
    </w:p>
    <w:p w14:paraId="7B8A4F06" w14:textId="4FD3AF45" w:rsidR="004B0DC8" w:rsidRDefault="008367F0" w:rsidP="002E47FA">
      <w:pPr>
        <w:spacing w:after="120"/>
        <w:ind w:firstLine="720"/>
        <w:jc w:val="both"/>
      </w:pPr>
      <w:r>
        <w:t>GPC evaluated t</w:t>
      </w:r>
      <w:r w:rsidR="00647F6D">
        <w:t xml:space="preserve">he net value to customers on each of the three remaining bids.  Each of the bids proposed escalating pricing. </w:t>
      </w:r>
      <w:r w:rsidR="00D13EA7">
        <w:t>The</w:t>
      </w:r>
      <w:r w:rsidR="00647F6D">
        <w:t xml:space="preserve"> value of avoided capacity and</w:t>
      </w:r>
      <w:r w:rsidR="00004037">
        <w:t xml:space="preserve"> avoided </w:t>
      </w:r>
      <w:r w:rsidR="00647F6D">
        <w:t>energy was computed</w:t>
      </w:r>
      <w:r w:rsidR="00004037">
        <w:t>, the cost of transmission was evaluated, and the</w:t>
      </w:r>
      <w:r w:rsidR="00647F6D">
        <w:t xml:space="preserve"> </w:t>
      </w:r>
      <w:r w:rsidR="00004037">
        <w:t>net benefit</w:t>
      </w:r>
      <w:r w:rsidR="00494C48">
        <w:t xml:space="preserve"> (cost)</w:t>
      </w:r>
      <w:r w:rsidR="00004037">
        <w:t xml:space="preserve"> </w:t>
      </w:r>
      <w:r w:rsidR="00494C48">
        <w:t xml:space="preserve">to ratepayers </w:t>
      </w:r>
      <w:r w:rsidR="00004037">
        <w:t xml:space="preserve">of each project was </w:t>
      </w:r>
      <w:r w:rsidR="00494C48">
        <w:t>determined</w:t>
      </w:r>
      <w:r w:rsidR="00004037">
        <w:t xml:space="preserve">. </w:t>
      </w:r>
      <w:r w:rsidR="005069A2">
        <w:t xml:space="preserve"> </w:t>
      </w:r>
    </w:p>
    <w:p w14:paraId="04068348" w14:textId="08E73A30" w:rsidR="004B0DC8" w:rsidRDefault="004B0DC8" w:rsidP="002E47FA">
      <w:pPr>
        <w:spacing w:after="120"/>
        <w:ind w:firstLine="720"/>
        <w:jc w:val="both"/>
      </w:pPr>
      <w:r>
        <w:t>GPC calculated a “levelized</w:t>
      </w:r>
      <w:r w:rsidR="00494C48">
        <w:t>”</w:t>
      </w:r>
      <w:r>
        <w:t xml:space="preserve"> </w:t>
      </w:r>
      <w:r w:rsidR="00494C48">
        <w:t xml:space="preserve">bid </w:t>
      </w:r>
      <w:r>
        <w:t xml:space="preserve">price </w:t>
      </w:r>
      <w:r w:rsidR="00FA7F49">
        <w:t>when</w:t>
      </w:r>
      <w:r>
        <w:t xml:space="preserve"> determin</w:t>
      </w:r>
      <w:r w:rsidR="00FA7F49">
        <w:t>ing</w:t>
      </w:r>
      <w:r>
        <w:t xml:space="preserve"> the net benefit</w:t>
      </w:r>
      <w:r w:rsidR="00494C48">
        <w:t xml:space="preserve"> </w:t>
      </w:r>
      <w:r>
        <w:t xml:space="preserve">to compare pricing among </w:t>
      </w:r>
      <w:r w:rsidR="005F5726">
        <w:t xml:space="preserve">the three bids.  </w:t>
      </w:r>
      <w:r>
        <w:t xml:space="preserve">The two Biomass addition projects were proposed for 10-year terms.  For comparison with pricing for the 30-year term bid, GPC assumed the capacity and energy of the 10-year term bids would be replaced in years 11 through 30 with the project’s </w:t>
      </w:r>
      <w:r w:rsidR="0005434B">
        <w:t xml:space="preserve">generation at GPC’s </w:t>
      </w:r>
      <w:r>
        <w:t xml:space="preserve">avoided cost to “fill in” those remaining years, to calculate a levelized price over 30 years.    </w:t>
      </w:r>
    </w:p>
    <w:p w14:paraId="7447A3A2" w14:textId="0DA3BBAD" w:rsidR="004F2932" w:rsidRDefault="004C0C9A" w:rsidP="00995ED8">
      <w:pPr>
        <w:spacing w:after="480"/>
        <w:ind w:firstLine="720"/>
        <w:jc w:val="both"/>
      </w:pPr>
      <w:r>
        <w:t>The Competitive Tier ranking of bids was b</w:t>
      </w:r>
      <w:r w:rsidR="00D13EA7">
        <w:t>ased on the proposed price</w:t>
      </w:r>
      <w:r w:rsidR="00FA7F49">
        <w:t>, including escalation,</w:t>
      </w:r>
      <w:r w:rsidR="008367F0">
        <w:t xml:space="preserve"> levelized over 30 years</w:t>
      </w:r>
      <w:r w:rsidR="00D13EA7">
        <w:t xml:space="preserve">, transmission and distribution costs, and the benefit </w:t>
      </w:r>
      <w:r w:rsidR="00D13EA7">
        <w:lastRenderedPageBreak/>
        <w:t>from avoided costs</w:t>
      </w:r>
      <w:r>
        <w:t>.  At that point</w:t>
      </w:r>
      <w:r w:rsidR="00D13EA7">
        <w:t xml:space="preserve"> t</w:t>
      </w:r>
      <w:r w:rsidR="005069A2">
        <w:t xml:space="preserve">he net </w:t>
      </w:r>
      <w:r w:rsidR="002A67D4">
        <w:t>value (</w:t>
      </w:r>
      <w:r w:rsidR="005069A2">
        <w:t>cost</w:t>
      </w:r>
      <w:r w:rsidR="002A67D4">
        <w:t>)</w:t>
      </w:r>
      <w:r w:rsidR="005069A2">
        <w:t xml:space="preserve"> to customers </w:t>
      </w:r>
      <w:r w:rsidR="002A67D4">
        <w:t xml:space="preserve">was </w:t>
      </w:r>
      <w:r w:rsidR="0081623F">
        <w:t xml:space="preserve">calculated and </w:t>
      </w:r>
      <w:r w:rsidR="008367F0">
        <w:t>GPC ranked the projects</w:t>
      </w:r>
      <w:r w:rsidR="00004037">
        <w:t xml:space="preserve"> </w:t>
      </w:r>
      <w:r w:rsidR="00B0317D">
        <w:t xml:space="preserve">from lowest cost to highest cost </w:t>
      </w:r>
      <w:r w:rsidR="00004037">
        <w:t>in the following order:</w:t>
      </w:r>
      <w:r w:rsidR="0081623F" w:rsidRPr="0081623F">
        <w:t xml:space="preserve"> </w:t>
      </w:r>
    </w:p>
    <w:p w14:paraId="2ABFD07A" w14:textId="4E65C94F" w:rsidR="001B796B" w:rsidRPr="002E47FA" w:rsidRDefault="008367F0" w:rsidP="002E47FA">
      <w:pPr>
        <w:spacing w:after="120"/>
        <w:jc w:val="center"/>
        <w:rPr>
          <w:b/>
          <w:bCs/>
          <w:i/>
          <w:iCs/>
          <w:sz w:val="22"/>
          <w:szCs w:val="22"/>
        </w:rPr>
      </w:pPr>
      <w:r w:rsidRPr="002E47FA">
        <w:rPr>
          <w:b/>
          <w:bCs/>
          <w:i/>
          <w:iCs/>
          <w:sz w:val="22"/>
          <w:szCs w:val="22"/>
        </w:rPr>
        <w:t xml:space="preserve">Table </w:t>
      </w:r>
      <w:r w:rsidR="0043642E" w:rsidRPr="002E47FA">
        <w:rPr>
          <w:b/>
          <w:bCs/>
          <w:i/>
          <w:iCs/>
          <w:sz w:val="22"/>
          <w:szCs w:val="22"/>
        </w:rPr>
        <w:t>4</w:t>
      </w:r>
      <w:r w:rsidRPr="002E47FA">
        <w:rPr>
          <w:b/>
          <w:bCs/>
          <w:i/>
          <w:iCs/>
          <w:sz w:val="22"/>
          <w:szCs w:val="22"/>
        </w:rPr>
        <w:t xml:space="preserve"> </w:t>
      </w:r>
    </w:p>
    <w:tbl>
      <w:tblPr>
        <w:tblStyle w:val="TableGrid"/>
        <w:tblW w:w="0" w:type="auto"/>
        <w:jc w:val="center"/>
        <w:tblLook w:val="04A0" w:firstRow="1" w:lastRow="0" w:firstColumn="1" w:lastColumn="0" w:noHBand="0" w:noVBand="1"/>
      </w:tblPr>
      <w:tblGrid>
        <w:gridCol w:w="2544"/>
        <w:gridCol w:w="1326"/>
      </w:tblGrid>
      <w:tr w:rsidR="001B796B" w14:paraId="4E347234" w14:textId="77777777" w:rsidTr="002E47FA">
        <w:trPr>
          <w:trHeight w:val="530"/>
          <w:jc w:val="center"/>
        </w:trPr>
        <w:tc>
          <w:tcPr>
            <w:tcW w:w="3870" w:type="dxa"/>
            <w:gridSpan w:val="2"/>
            <w:shd w:val="clear" w:color="auto" w:fill="DAE9F7" w:themeFill="text2" w:themeFillTint="1A"/>
            <w:vAlign w:val="center"/>
          </w:tcPr>
          <w:p w14:paraId="22E53524" w14:textId="5F692CAF" w:rsidR="001B796B" w:rsidRPr="002E47FA" w:rsidRDefault="00BA3E7A" w:rsidP="00D13EA7">
            <w:pPr>
              <w:jc w:val="center"/>
              <w:rPr>
                <w:b/>
                <w:bCs/>
              </w:rPr>
            </w:pPr>
            <w:r w:rsidRPr="002E47FA">
              <w:rPr>
                <w:b/>
                <w:bCs/>
              </w:rPr>
              <w:t>Biomass</w:t>
            </w:r>
            <w:r w:rsidR="001B796B" w:rsidRPr="002E47FA">
              <w:rPr>
                <w:b/>
                <w:bCs/>
              </w:rPr>
              <w:t xml:space="preserve"> </w:t>
            </w:r>
            <w:r w:rsidR="00DC4C68" w:rsidRPr="002E47FA">
              <w:rPr>
                <w:b/>
                <w:bCs/>
              </w:rPr>
              <w:t xml:space="preserve">Price </w:t>
            </w:r>
            <w:r w:rsidR="001B796B" w:rsidRPr="002E47FA">
              <w:rPr>
                <w:b/>
                <w:bCs/>
              </w:rPr>
              <w:t>Ranking</w:t>
            </w:r>
          </w:p>
        </w:tc>
      </w:tr>
      <w:tr w:rsidR="001B796B" w14:paraId="051ED957" w14:textId="538A5880" w:rsidTr="002E47FA">
        <w:trPr>
          <w:jc w:val="center"/>
        </w:trPr>
        <w:tc>
          <w:tcPr>
            <w:tcW w:w="2544" w:type="dxa"/>
            <w:shd w:val="clear" w:color="auto" w:fill="DAE9F7" w:themeFill="text2" w:themeFillTint="1A"/>
            <w:vAlign w:val="center"/>
          </w:tcPr>
          <w:p w14:paraId="56171BAD" w14:textId="2365DBE5" w:rsidR="001B796B" w:rsidRPr="002E47FA" w:rsidRDefault="001B796B" w:rsidP="00D13EA7">
            <w:pPr>
              <w:jc w:val="center"/>
              <w:rPr>
                <w:b/>
                <w:bCs/>
              </w:rPr>
            </w:pPr>
            <w:r w:rsidRPr="002E47FA">
              <w:rPr>
                <w:b/>
                <w:bCs/>
              </w:rPr>
              <w:t>Rank</w:t>
            </w:r>
          </w:p>
        </w:tc>
        <w:tc>
          <w:tcPr>
            <w:tcW w:w="1326" w:type="dxa"/>
            <w:shd w:val="clear" w:color="auto" w:fill="DAE9F7" w:themeFill="text2" w:themeFillTint="1A"/>
            <w:vAlign w:val="center"/>
          </w:tcPr>
          <w:p w14:paraId="4F8D91CA" w14:textId="5931B553" w:rsidR="001B796B" w:rsidRPr="002E47FA" w:rsidRDefault="001B796B" w:rsidP="00D13EA7">
            <w:pPr>
              <w:jc w:val="center"/>
              <w:rPr>
                <w:b/>
                <w:bCs/>
              </w:rPr>
            </w:pPr>
            <w:r w:rsidRPr="002E47FA">
              <w:rPr>
                <w:b/>
                <w:bCs/>
              </w:rPr>
              <w:t>Project</w:t>
            </w:r>
          </w:p>
        </w:tc>
      </w:tr>
      <w:tr w:rsidR="001B796B" w14:paraId="7FA41F85" w14:textId="740998FF" w:rsidTr="002E47FA">
        <w:trPr>
          <w:jc w:val="center"/>
        </w:trPr>
        <w:tc>
          <w:tcPr>
            <w:tcW w:w="2544" w:type="dxa"/>
            <w:vAlign w:val="center"/>
          </w:tcPr>
          <w:p w14:paraId="5DB71321" w14:textId="6830DB9E" w:rsidR="001B796B" w:rsidRPr="002E47FA" w:rsidRDefault="001B796B" w:rsidP="00D13EA7">
            <w:pPr>
              <w:jc w:val="center"/>
              <w:rPr>
                <w:sz w:val="22"/>
                <w:szCs w:val="22"/>
              </w:rPr>
            </w:pPr>
            <w:r w:rsidRPr="002E47FA">
              <w:rPr>
                <w:sz w:val="22"/>
                <w:szCs w:val="22"/>
              </w:rPr>
              <w:t>1</w:t>
            </w:r>
          </w:p>
        </w:tc>
        <w:tc>
          <w:tcPr>
            <w:tcW w:w="1326" w:type="dxa"/>
            <w:vAlign w:val="center"/>
          </w:tcPr>
          <w:p w14:paraId="5365B380" w14:textId="554F2ACC" w:rsidR="001B796B" w:rsidRPr="002E47FA" w:rsidRDefault="001B796B" w:rsidP="00D13EA7">
            <w:pPr>
              <w:jc w:val="center"/>
              <w:rPr>
                <w:sz w:val="22"/>
                <w:szCs w:val="22"/>
              </w:rPr>
            </w:pPr>
            <w:r w:rsidRPr="002E47FA">
              <w:rPr>
                <w:sz w:val="22"/>
                <w:szCs w:val="22"/>
              </w:rPr>
              <w:t>208-01</w:t>
            </w:r>
          </w:p>
        </w:tc>
      </w:tr>
      <w:tr w:rsidR="001B796B" w14:paraId="017BEBD8" w14:textId="61DAD923" w:rsidTr="002E47FA">
        <w:trPr>
          <w:jc w:val="center"/>
        </w:trPr>
        <w:tc>
          <w:tcPr>
            <w:tcW w:w="2544" w:type="dxa"/>
            <w:vAlign w:val="center"/>
          </w:tcPr>
          <w:p w14:paraId="565A3258" w14:textId="3566247A" w:rsidR="001B796B" w:rsidRPr="002E47FA" w:rsidRDefault="001B796B" w:rsidP="00D13EA7">
            <w:pPr>
              <w:jc w:val="center"/>
              <w:rPr>
                <w:sz w:val="22"/>
                <w:szCs w:val="22"/>
              </w:rPr>
            </w:pPr>
            <w:r w:rsidRPr="002E47FA">
              <w:rPr>
                <w:sz w:val="22"/>
                <w:szCs w:val="22"/>
              </w:rPr>
              <w:t>2</w:t>
            </w:r>
          </w:p>
        </w:tc>
        <w:tc>
          <w:tcPr>
            <w:tcW w:w="1326" w:type="dxa"/>
            <w:vAlign w:val="center"/>
          </w:tcPr>
          <w:p w14:paraId="5D4A2BB7" w14:textId="2513A679" w:rsidR="001B796B" w:rsidRPr="002E47FA" w:rsidRDefault="001B796B" w:rsidP="00D13EA7">
            <w:pPr>
              <w:jc w:val="center"/>
              <w:rPr>
                <w:sz w:val="22"/>
                <w:szCs w:val="22"/>
              </w:rPr>
            </w:pPr>
            <w:r w:rsidRPr="002E47FA">
              <w:rPr>
                <w:sz w:val="22"/>
                <w:szCs w:val="22"/>
              </w:rPr>
              <w:t>208-02</w:t>
            </w:r>
          </w:p>
        </w:tc>
      </w:tr>
      <w:tr w:rsidR="001B796B" w14:paraId="22461359" w14:textId="212D7E98" w:rsidTr="002E47FA">
        <w:trPr>
          <w:jc w:val="center"/>
        </w:trPr>
        <w:tc>
          <w:tcPr>
            <w:tcW w:w="2544" w:type="dxa"/>
            <w:vAlign w:val="center"/>
          </w:tcPr>
          <w:p w14:paraId="0A136137" w14:textId="2A921B43" w:rsidR="001B796B" w:rsidRPr="002E47FA" w:rsidRDefault="001B796B" w:rsidP="00D13EA7">
            <w:pPr>
              <w:jc w:val="center"/>
              <w:rPr>
                <w:sz w:val="22"/>
                <w:szCs w:val="22"/>
              </w:rPr>
            </w:pPr>
            <w:r w:rsidRPr="002E47FA">
              <w:rPr>
                <w:sz w:val="22"/>
                <w:szCs w:val="22"/>
              </w:rPr>
              <w:t>3</w:t>
            </w:r>
          </w:p>
        </w:tc>
        <w:tc>
          <w:tcPr>
            <w:tcW w:w="1326" w:type="dxa"/>
            <w:vAlign w:val="center"/>
          </w:tcPr>
          <w:p w14:paraId="248520BF" w14:textId="6EF9BA74" w:rsidR="001B796B" w:rsidRPr="002E47FA" w:rsidRDefault="001B796B" w:rsidP="00D13EA7">
            <w:pPr>
              <w:jc w:val="center"/>
              <w:rPr>
                <w:sz w:val="22"/>
                <w:szCs w:val="22"/>
              </w:rPr>
            </w:pPr>
            <w:r w:rsidRPr="002E47FA">
              <w:rPr>
                <w:sz w:val="22"/>
                <w:szCs w:val="22"/>
              </w:rPr>
              <w:t>259-02</w:t>
            </w:r>
          </w:p>
        </w:tc>
      </w:tr>
    </w:tbl>
    <w:p w14:paraId="0F66B87E" w14:textId="77777777" w:rsidR="00A064CA" w:rsidRDefault="00A064CA" w:rsidP="002E47FA">
      <w:pPr>
        <w:spacing w:after="0"/>
        <w:jc w:val="both"/>
      </w:pPr>
    </w:p>
    <w:p w14:paraId="428754E8" w14:textId="1614B98F" w:rsidR="00A064CA" w:rsidRDefault="002B7CAF" w:rsidP="00D35B8F">
      <w:pPr>
        <w:ind w:firstLine="720"/>
        <w:jc w:val="both"/>
      </w:pPr>
      <w:r>
        <w:t>T</w:t>
      </w:r>
      <w:r w:rsidR="00D35B8F">
        <w:t>he RFP did not establish a price cap or a price benchmark because of the goal to include Biomass in GPC’s generation portfolio</w:t>
      </w:r>
      <w:r>
        <w:t xml:space="preserve"> </w:t>
      </w:r>
      <w:r w:rsidR="004F2932">
        <w:t xml:space="preserve">expressed </w:t>
      </w:r>
      <w:r>
        <w:t>in the 2022 IRP Order</w:t>
      </w:r>
      <w:r w:rsidR="00D35B8F">
        <w:t xml:space="preserve">.  As a result, the bid prices </w:t>
      </w:r>
      <w:r w:rsidR="004F2932">
        <w:t xml:space="preserve">included in </w:t>
      </w:r>
      <w:r w:rsidR="00D35B8F">
        <w:t>the PPA</w:t>
      </w:r>
      <w:r w:rsidR="004F2932">
        <w:t>s</w:t>
      </w:r>
      <w:r w:rsidR="00D35B8F">
        <w:t xml:space="preserve"> far exceeded the Company’s avoided cost starting in the first year.  All p</w:t>
      </w:r>
      <w:r w:rsidR="00D35B8F" w:rsidRPr="00325EFD">
        <w:t xml:space="preserve">ricing received for </w:t>
      </w:r>
      <w:r w:rsidR="00D35B8F">
        <w:t xml:space="preserve">Biomass was higher than the avoided cost. </w:t>
      </w:r>
      <w:r w:rsidR="00A064CA">
        <w:t xml:space="preserve"> The IE’s review of pricing is presented in Confidential Appendix A.  </w:t>
      </w:r>
    </w:p>
    <w:p w14:paraId="7CA55516" w14:textId="341F577A" w:rsidR="00C3698D" w:rsidRPr="00B57161" w:rsidRDefault="00A064CA" w:rsidP="002E47FA">
      <w:pPr>
        <w:pStyle w:val="ListParagraph"/>
        <w:numPr>
          <w:ilvl w:val="0"/>
          <w:numId w:val="6"/>
        </w:numPr>
        <w:spacing w:after="120"/>
        <w:contextualSpacing w:val="0"/>
        <w:rPr>
          <w:b/>
          <w:bCs/>
        </w:rPr>
      </w:pPr>
      <w:r>
        <w:rPr>
          <w:b/>
          <w:bCs/>
          <w:color w:val="0F4761" w:themeColor="accent1" w:themeShade="BF"/>
        </w:rPr>
        <w:t xml:space="preserve">Economic </w:t>
      </w:r>
      <w:r w:rsidR="004F2932">
        <w:rPr>
          <w:b/>
          <w:bCs/>
          <w:color w:val="0F4761" w:themeColor="accent1" w:themeShade="BF"/>
        </w:rPr>
        <w:t xml:space="preserve">Development </w:t>
      </w:r>
      <w:r>
        <w:rPr>
          <w:b/>
          <w:bCs/>
          <w:color w:val="0F4761" w:themeColor="accent1" w:themeShade="BF"/>
        </w:rPr>
        <w:t>Information</w:t>
      </w:r>
    </w:p>
    <w:p w14:paraId="5ABE9B49" w14:textId="389F00EF" w:rsidR="00834423" w:rsidRDefault="006D2B5A" w:rsidP="002E47FA">
      <w:pPr>
        <w:spacing w:after="120"/>
        <w:ind w:firstLine="720"/>
        <w:jc w:val="both"/>
      </w:pPr>
      <w:r>
        <w:t xml:space="preserve">In the 2022 IRP Order the Commission “recognized the benefits of </w:t>
      </w:r>
      <w:r w:rsidR="00BA3E7A">
        <w:t>Biomass</w:t>
      </w:r>
      <w:r>
        <w:t xml:space="preserve"> as a renewable resource to support Georgia’s forest industry and rural job and economic development.” </w:t>
      </w:r>
      <w:r w:rsidR="005F5726">
        <w:rPr>
          <w:rStyle w:val="FootnoteReference"/>
        </w:rPr>
        <w:footnoteReference w:id="6"/>
      </w:r>
      <w:r>
        <w:t xml:space="preserve"> That policy goal was the most relevant non-price factor and none of the three bids in the competitive tier was removed from consideration because of price.</w:t>
      </w:r>
    </w:p>
    <w:p w14:paraId="230898E3" w14:textId="57AFE0A4" w:rsidR="002A67D4" w:rsidRDefault="007C2694" w:rsidP="00995ED8">
      <w:pPr>
        <w:spacing w:after="240"/>
        <w:ind w:firstLine="720"/>
        <w:jc w:val="both"/>
      </w:pPr>
      <w:r>
        <w:t>I</w:t>
      </w:r>
      <w:r w:rsidR="002A67D4">
        <w:t>nformation provided with the three bids</w:t>
      </w:r>
      <w:r>
        <w:t xml:space="preserve"> indicated Biomass projects would result in </w:t>
      </w:r>
      <w:r w:rsidR="009F41D6">
        <w:t xml:space="preserve">a cumulative total of </w:t>
      </w:r>
      <w:r>
        <w:t xml:space="preserve">approximately $300 million in capital expenditure, $17 million in local construction contracts, </w:t>
      </w:r>
      <w:r w:rsidR="00F57E18">
        <w:t>$3.2 million in increased annual pay for new wood procurement crews and $3.5 million in equipment for the additional crews.  County tax and school tax revenue were projected to increase by $6.5 million over 15 years.</w:t>
      </w:r>
    </w:p>
    <w:p w14:paraId="48AABFD9" w14:textId="316BA376" w:rsidR="002831D8" w:rsidRPr="002E47FA" w:rsidRDefault="001A6F48" w:rsidP="002E47FA">
      <w:pPr>
        <w:pStyle w:val="ListParagraph"/>
        <w:numPr>
          <w:ilvl w:val="0"/>
          <w:numId w:val="3"/>
        </w:numPr>
        <w:spacing w:after="120" w:line="259" w:lineRule="auto"/>
        <w:contextualSpacing w:val="0"/>
        <w:jc w:val="both"/>
        <w:rPr>
          <w:b/>
          <w:bCs/>
          <w:color w:val="000000" w:themeColor="text1"/>
        </w:rPr>
      </w:pPr>
      <w:r w:rsidRPr="00937ED5">
        <w:rPr>
          <w:b/>
          <w:bCs/>
        </w:rPr>
        <w:t>SHORT LIST AND PPA DISCUSSIONS</w:t>
      </w:r>
    </w:p>
    <w:p w14:paraId="2F4D6B3D" w14:textId="4A0E02C8" w:rsidR="001A6F48" w:rsidRDefault="005F5726" w:rsidP="001500F0">
      <w:pPr>
        <w:pStyle w:val="ListParagraph"/>
        <w:ind w:left="0" w:firstLine="720"/>
        <w:jc w:val="both"/>
      </w:pPr>
      <w:r>
        <w:t xml:space="preserve">The remaining two bidders </w:t>
      </w:r>
      <w:r w:rsidR="001A6F48" w:rsidRPr="00A83196">
        <w:t>were n</w:t>
      </w:r>
      <w:r w:rsidR="001A6F48">
        <w:t>otified on April 2, 2024, th</w:t>
      </w:r>
      <w:r>
        <w:t xml:space="preserve">at their </w:t>
      </w:r>
      <w:r w:rsidR="001A6F48">
        <w:t xml:space="preserve">bids were selected for the short list.  While contracts were being reviewed and completed for execution, several issues arose, extending the anticipated contract finalization and </w:t>
      </w:r>
      <w:r w:rsidR="001A6F48">
        <w:lastRenderedPageBreak/>
        <w:t xml:space="preserve">execution date from May 31, 2024, to June 24, 2024, for Bid Nos. 208-01 and 208-02 and to </w:t>
      </w:r>
      <w:r w:rsidR="00F15884">
        <w:t>August</w:t>
      </w:r>
      <w:r w:rsidR="0005434B">
        <w:t xml:space="preserve"> 6</w:t>
      </w:r>
      <w:r w:rsidR="001A6F48">
        <w:t>, 2024, for Bid No. 259-02.</w:t>
      </w:r>
    </w:p>
    <w:p w14:paraId="66D86150" w14:textId="096AABEE" w:rsidR="00A83196" w:rsidRDefault="002831D8" w:rsidP="001500F0">
      <w:pPr>
        <w:spacing w:line="259" w:lineRule="auto"/>
        <w:ind w:firstLine="720"/>
        <w:jc w:val="both"/>
        <w:rPr>
          <w:color w:val="000000" w:themeColor="text1"/>
        </w:rPr>
      </w:pPr>
      <w:r>
        <w:rPr>
          <w:color w:val="000000" w:themeColor="text1"/>
        </w:rPr>
        <w:t xml:space="preserve">In keeping with established protocols, GPC, the IE, and Commission Staff met with each of the bidders selected for the competitive tier to establish understanding of the </w:t>
      </w:r>
      <w:r w:rsidR="00F90777">
        <w:rPr>
          <w:color w:val="000000" w:themeColor="text1"/>
        </w:rPr>
        <w:t>pro forma</w:t>
      </w:r>
      <w:r>
        <w:rPr>
          <w:color w:val="000000" w:themeColor="text1"/>
        </w:rPr>
        <w:t xml:space="preserve"> PPA.  The purpose of the discussions was to confirm that the bidder would execute the PPA, and to minimize the possibility of future misunderstandings that would lead to disputes.  With each bidder GPC began the discussions with the reminder that material terms of the PPA were not subject to negotiation.  This standard was clearly presented in the RFP, the bidder conference, and during the discussions.  Notwithstanding individual professions of agreement, each bidder attempted to alter material terms of the PPA.  </w:t>
      </w:r>
    </w:p>
    <w:p w14:paraId="374696CA" w14:textId="71419031" w:rsidR="001B7FC0" w:rsidRPr="001B7FC0" w:rsidRDefault="001B7FC0" w:rsidP="002E47FA">
      <w:pPr>
        <w:pStyle w:val="ListParagraph"/>
        <w:numPr>
          <w:ilvl w:val="0"/>
          <w:numId w:val="12"/>
        </w:numPr>
        <w:spacing w:after="120"/>
        <w:contextualSpacing w:val="0"/>
        <w:jc w:val="both"/>
        <w:rPr>
          <w:b/>
          <w:bCs/>
          <w:color w:val="0F4761" w:themeColor="accent1" w:themeShade="BF"/>
        </w:rPr>
      </w:pPr>
      <w:r w:rsidRPr="001B7FC0">
        <w:rPr>
          <w:b/>
          <w:bCs/>
          <w:color w:val="0F4761" w:themeColor="accent1" w:themeShade="BF"/>
        </w:rPr>
        <w:t>Qualifying Federal Support</w:t>
      </w:r>
      <w:r w:rsidR="001A6F48">
        <w:rPr>
          <w:b/>
          <w:bCs/>
          <w:color w:val="0F4761" w:themeColor="accent1" w:themeShade="BF"/>
        </w:rPr>
        <w:t xml:space="preserve"> -</w:t>
      </w:r>
      <w:r w:rsidR="005F5726">
        <w:rPr>
          <w:b/>
          <w:bCs/>
          <w:color w:val="0F4761" w:themeColor="accent1" w:themeShade="BF"/>
        </w:rPr>
        <w:t xml:space="preserve"> </w:t>
      </w:r>
      <w:r w:rsidR="001A6F48">
        <w:rPr>
          <w:b/>
          <w:bCs/>
          <w:color w:val="0F4761" w:themeColor="accent1" w:themeShade="BF"/>
        </w:rPr>
        <w:t>GPC Revision</w:t>
      </w:r>
    </w:p>
    <w:p w14:paraId="4EC4A902" w14:textId="5C527691" w:rsidR="005A28B7" w:rsidRDefault="00845DE7" w:rsidP="002E47FA">
      <w:pPr>
        <w:spacing w:after="120"/>
        <w:ind w:firstLine="720"/>
        <w:jc w:val="both"/>
      </w:pPr>
      <w:r>
        <w:t>At the urging of Staff</w:t>
      </w:r>
      <w:r w:rsidR="0008357D">
        <w:t>,</w:t>
      </w:r>
      <w:r>
        <w:t xml:space="preserve"> GPC moved to revise t</w:t>
      </w:r>
      <w:r w:rsidR="005A28B7">
        <w:t xml:space="preserve">he </w:t>
      </w:r>
      <w:r w:rsidR="0008357D">
        <w:t xml:space="preserve">approved </w:t>
      </w:r>
      <w:r w:rsidR="00F90777">
        <w:t>pro forma</w:t>
      </w:r>
      <w:r w:rsidR="001500F0">
        <w:t xml:space="preserve"> </w:t>
      </w:r>
      <w:r w:rsidR="005A28B7">
        <w:t>PPA</w:t>
      </w:r>
      <w:r w:rsidR="002A3F0B">
        <w:t>s</w:t>
      </w:r>
      <w:r>
        <w:t xml:space="preserve"> to include </w:t>
      </w:r>
      <w:r w:rsidR="005A28B7">
        <w:t xml:space="preserve">terms that </w:t>
      </w:r>
      <w:r>
        <w:t xml:space="preserve">would </w:t>
      </w:r>
      <w:r w:rsidR="005A28B7">
        <w:t xml:space="preserve">require generators to use commercially reasonable efforts to pursue and maximize existing federal support.  Under the terms, GPC could terminate the PPA if the generator did not satisfy GPC that the generator appropriately sought such support.  </w:t>
      </w:r>
    </w:p>
    <w:p w14:paraId="37CD69E3" w14:textId="629B7FDA" w:rsidR="001B7FC0" w:rsidRDefault="00845DE7" w:rsidP="002E47FA">
      <w:pPr>
        <w:spacing w:after="120"/>
        <w:ind w:firstLine="634"/>
        <w:jc w:val="both"/>
      </w:pPr>
      <w:r>
        <w:t>On</w:t>
      </w:r>
      <w:r w:rsidR="005A28B7">
        <w:t xml:space="preserve"> May 24, 2024</w:t>
      </w:r>
      <w:r>
        <w:t xml:space="preserve">, GPC proposed changing the </w:t>
      </w:r>
      <w:r w:rsidR="00F90777">
        <w:t>pro forma</w:t>
      </w:r>
      <w:r>
        <w:t xml:space="preserve"> PPA </w:t>
      </w:r>
      <w:r w:rsidR="005A28B7">
        <w:t>to require generators to seek future federal support during the life of the contract and to permit GPC to reduce the Monthly Energy Payment by an amount, calculated by GPC, that the generator could have received through federal support, if the generator did not seek such support.  Both remaining bidders claimed the revisions were material and unreasonable</w:t>
      </w:r>
      <w:r w:rsidR="008271A3">
        <w:t xml:space="preserve"> and GPC entertained negotiation of acceptable terms with both bidders</w:t>
      </w:r>
      <w:r w:rsidR="005A28B7">
        <w:t xml:space="preserve">. </w:t>
      </w:r>
    </w:p>
    <w:p w14:paraId="60707744" w14:textId="77777777" w:rsidR="002B47E6" w:rsidRDefault="00E60A20" w:rsidP="002B47E6">
      <w:pPr>
        <w:spacing w:after="120"/>
        <w:ind w:firstLine="720"/>
        <w:jc w:val="both"/>
      </w:pPr>
      <w:r>
        <w:t>One bidder</w:t>
      </w:r>
      <w:r w:rsidR="005A28B7">
        <w:t xml:space="preserve"> </w:t>
      </w:r>
      <w:r w:rsidR="00161999">
        <w:t xml:space="preserve">continued to </w:t>
      </w:r>
      <w:r w:rsidR="005F5726">
        <w:t xml:space="preserve">insist on negotiation regarding inclusion of requirements surrounding federal support </w:t>
      </w:r>
      <w:r w:rsidR="005A28B7">
        <w:t>and other terms.</w:t>
      </w:r>
      <w:r w:rsidR="0063507B">
        <w:t xml:space="preserve"> </w:t>
      </w:r>
      <w:r w:rsidR="005A28B7">
        <w:t xml:space="preserve"> </w:t>
      </w:r>
      <w:r w:rsidR="005F5726">
        <w:t xml:space="preserve">Notwithstanding reminders from the IE and the Staff that the PPA’s were to be non-negotiable, GPC entertained the </w:t>
      </w:r>
      <w:r w:rsidR="005A28B7">
        <w:t>negotiation</w:t>
      </w:r>
      <w:r w:rsidR="005F5726">
        <w:t xml:space="preserve"> of terms and</w:t>
      </w:r>
      <w:r w:rsidR="005A28B7">
        <w:t xml:space="preserve"> extended the contract execution dat</w:t>
      </w:r>
      <w:r w:rsidR="005A28B7" w:rsidRPr="00626A7C">
        <w:t xml:space="preserve">e.  </w:t>
      </w:r>
      <w:r w:rsidR="00447FC9" w:rsidRPr="00626A7C">
        <w:t xml:space="preserve">After several revisions, </w:t>
      </w:r>
      <w:r w:rsidR="005A28B7" w:rsidRPr="00626A7C">
        <w:t xml:space="preserve">GPC </w:t>
      </w:r>
      <w:r w:rsidR="003C7BFA" w:rsidRPr="00626A7C">
        <w:t xml:space="preserve">and </w:t>
      </w:r>
      <w:r w:rsidR="00161999" w:rsidRPr="00626A7C">
        <w:t>that</w:t>
      </w:r>
      <w:r w:rsidRPr="00626A7C">
        <w:t xml:space="preserve"> bidder</w:t>
      </w:r>
      <w:r w:rsidR="001E5D38" w:rsidRPr="00626A7C">
        <w:t xml:space="preserve"> </w:t>
      </w:r>
      <w:r w:rsidR="003C7BFA" w:rsidRPr="00626A7C">
        <w:t>reached agreement</w:t>
      </w:r>
      <w:r w:rsidR="006557A7" w:rsidRPr="00626A7C">
        <w:t xml:space="preserve"> </w:t>
      </w:r>
      <w:r w:rsidR="00626A7C">
        <w:t xml:space="preserve">with a commitment that future benefits received pursuant to </w:t>
      </w:r>
      <w:r w:rsidR="006557A7" w:rsidRPr="00626A7C">
        <w:t xml:space="preserve">the Qualifying Federal Support </w:t>
      </w:r>
      <w:r w:rsidR="00626A7C">
        <w:t>opportunities would be evenly shared between ratepayers and the bidder</w:t>
      </w:r>
      <w:r w:rsidR="001E5D38" w:rsidRPr="00626A7C">
        <w:t>.</w:t>
      </w:r>
    </w:p>
    <w:p w14:paraId="520217DB" w14:textId="77777777" w:rsidR="00995ED8" w:rsidRDefault="00995ED8" w:rsidP="002B47E6">
      <w:pPr>
        <w:spacing w:after="120"/>
        <w:ind w:firstLine="720"/>
        <w:jc w:val="both"/>
      </w:pPr>
    </w:p>
    <w:p w14:paraId="59470DA4" w14:textId="77777777" w:rsidR="00995ED8" w:rsidRDefault="00995ED8" w:rsidP="002B47E6">
      <w:pPr>
        <w:spacing w:after="120"/>
        <w:ind w:firstLine="720"/>
        <w:jc w:val="both"/>
      </w:pPr>
    </w:p>
    <w:p w14:paraId="3E1BA3F3" w14:textId="02F1648A" w:rsidR="00484B59" w:rsidRPr="002B47E6" w:rsidRDefault="002B47E6" w:rsidP="002E47FA">
      <w:pPr>
        <w:pStyle w:val="ListParagraph"/>
        <w:numPr>
          <w:ilvl w:val="0"/>
          <w:numId w:val="12"/>
        </w:numPr>
        <w:spacing w:after="120"/>
        <w:contextualSpacing w:val="0"/>
        <w:jc w:val="both"/>
      </w:pPr>
      <w:r w:rsidRPr="00004E93">
        <w:rPr>
          <w:b/>
          <w:bCs/>
          <w:color w:val="0F4761" w:themeColor="accent1" w:themeShade="BF"/>
        </w:rPr>
        <w:lastRenderedPageBreak/>
        <w:t>Additional Negotiated Terms to Biomass Addition PPA</w:t>
      </w:r>
    </w:p>
    <w:p w14:paraId="3EFC2168" w14:textId="07F97388" w:rsidR="009F41D6" w:rsidRDefault="00A85982" w:rsidP="002E47FA">
      <w:pPr>
        <w:pStyle w:val="ListParagraph"/>
        <w:spacing w:after="120"/>
        <w:ind w:left="0" w:firstLine="720"/>
        <w:contextualSpacing w:val="0"/>
        <w:jc w:val="both"/>
      </w:pPr>
      <w:r>
        <w:t xml:space="preserve">The Biomass addition projects proposed to add capacity to existing Biomass generating plants with existing Qualifying Facility (“QF”) PPAs.  </w:t>
      </w:r>
      <w:r w:rsidR="005F5726">
        <w:t>In order for that to occur, t</w:t>
      </w:r>
      <w:r>
        <w:t xml:space="preserve">he existing QF PPAs needed to be aligned with the </w:t>
      </w:r>
      <w:r w:rsidR="00FC67AB">
        <w:t xml:space="preserve">Biomass Addition </w:t>
      </w:r>
      <w:r>
        <w:t>PPA</w:t>
      </w:r>
      <w:r w:rsidR="005F5726">
        <w:t xml:space="preserve"> </w:t>
      </w:r>
      <w:r>
        <w:t xml:space="preserve"> in several sections.  The QF PPAs were amended to define the Biomass Addition PPA, contracted capacity, and excess energy</w:t>
      </w:r>
      <w:r w:rsidR="00874FD9">
        <w:t>, and</w:t>
      </w:r>
      <w:r>
        <w:t xml:space="preserve"> terms in the QF PPA</w:t>
      </w:r>
      <w:r w:rsidR="005F5726">
        <w:t>s</w:t>
      </w:r>
      <w:r>
        <w:t xml:space="preserve"> were</w:t>
      </w:r>
      <w:r w:rsidR="00512275">
        <w:t xml:space="preserve"> </w:t>
      </w:r>
      <w:r w:rsidR="009F41D6">
        <w:t>amended</w:t>
      </w:r>
      <w:r>
        <w:t xml:space="preserve"> to align with the Biomass Addition PPA.</w:t>
      </w:r>
    </w:p>
    <w:p w14:paraId="7CB256F4" w14:textId="16FBF526" w:rsidR="00F27AA4" w:rsidRDefault="00F27AA4" w:rsidP="002E47FA">
      <w:pPr>
        <w:pStyle w:val="ListParagraph"/>
        <w:spacing w:after="120"/>
        <w:ind w:left="0" w:firstLine="720"/>
        <w:contextualSpacing w:val="0"/>
        <w:jc w:val="both"/>
      </w:pPr>
      <w:r>
        <w:t xml:space="preserve">In addition to the </w:t>
      </w:r>
      <w:r w:rsidR="00A85982">
        <w:t xml:space="preserve">QF PPA </w:t>
      </w:r>
      <w:r w:rsidR="009F41D6">
        <w:t xml:space="preserve">amendments </w:t>
      </w:r>
      <w:r w:rsidR="00A85982">
        <w:t xml:space="preserve">and </w:t>
      </w:r>
      <w:r>
        <w:t xml:space="preserve">negotiations on GPC’s proposed Qualifying Federal Support terms, </w:t>
      </w:r>
      <w:r w:rsidR="00153538">
        <w:t xml:space="preserve">bidder </w:t>
      </w:r>
      <w:r>
        <w:t xml:space="preserve">208 requested revisions </w:t>
      </w:r>
      <w:r w:rsidR="00A85982">
        <w:t xml:space="preserve">to the </w:t>
      </w:r>
      <w:r w:rsidR="00F90777">
        <w:t>pro forma</w:t>
      </w:r>
      <w:r w:rsidR="00A85982">
        <w:t xml:space="preserve"> PPA </w:t>
      </w:r>
      <w:r>
        <w:t>on dispute resolution, new Green House Gas law/Change of law provisions</w:t>
      </w:r>
      <w:r w:rsidR="00A85982">
        <w:t xml:space="preserve"> and</w:t>
      </w:r>
      <w:r>
        <w:t xml:space="preserve"> fuel supply.</w:t>
      </w:r>
    </w:p>
    <w:p w14:paraId="6DC8033A" w14:textId="09C2E3F0" w:rsidR="005F5726" w:rsidRDefault="00F27AA4" w:rsidP="002E47FA">
      <w:pPr>
        <w:pStyle w:val="ListParagraph"/>
        <w:spacing w:after="120"/>
        <w:ind w:left="0" w:firstLine="720"/>
        <w:contextualSpacing w:val="0"/>
        <w:jc w:val="both"/>
      </w:pPr>
      <w:r>
        <w:t xml:space="preserve">Ultimately, in addition to the agreement reached on Qualifying Federal Support applicable to both bidders and discussed in subsection A above, GPC agreed to revise the dispute resolution section of the </w:t>
      </w:r>
      <w:r w:rsidR="00BA3E7A">
        <w:t>Biomass</w:t>
      </w:r>
      <w:r w:rsidR="001A6F48">
        <w:t xml:space="preserve"> Addition </w:t>
      </w:r>
      <w:r>
        <w:t>PPA</w:t>
      </w:r>
      <w:r w:rsidR="001A6F48">
        <w:t>s</w:t>
      </w:r>
      <w:r>
        <w:t xml:space="preserve">.  </w:t>
      </w:r>
      <w:r w:rsidR="00A85982">
        <w:t xml:space="preserve">The bidder </w:t>
      </w:r>
      <w:r w:rsidR="00484B59">
        <w:t>expressed a desire to retain the AAA dispute resolution provisions</w:t>
      </w:r>
      <w:r w:rsidR="00A85982">
        <w:t xml:space="preserve"> in its QF PPA</w:t>
      </w:r>
      <w:r w:rsidR="00484B59">
        <w:t xml:space="preserve"> based on its experience that “…AAA provides a more effective and efficient arbitration mechanism. We strongly prefer to include a AAA dispute resolution (instead of JAMS) in both the </w:t>
      </w:r>
      <w:r w:rsidR="00BA3E7A">
        <w:t>Biomass</w:t>
      </w:r>
      <w:r w:rsidR="00484B59">
        <w:t xml:space="preserve"> and QF PPAs.”  The PPAs for Bid Nos. 208-01 and 208-02 were revised to satisfy that preference and keep the QF and </w:t>
      </w:r>
      <w:r w:rsidR="00BA3E7A">
        <w:t>Biomass</w:t>
      </w:r>
      <w:r w:rsidR="00484B59">
        <w:t xml:space="preserve"> </w:t>
      </w:r>
      <w:r w:rsidR="001A6F48">
        <w:t xml:space="preserve">Addition </w:t>
      </w:r>
      <w:r w:rsidR="00484B59">
        <w:t>PPAs consistent.</w:t>
      </w:r>
      <w:r>
        <w:t xml:space="preserve">  </w:t>
      </w:r>
      <w:r w:rsidR="005F5726">
        <w:t xml:space="preserve">Staff and the IE agreed the change was acceptable because it was not a material change to the </w:t>
      </w:r>
      <w:r w:rsidR="00F90777">
        <w:t>pro forma</w:t>
      </w:r>
      <w:r w:rsidR="005F5726">
        <w:t xml:space="preserve"> PPA.</w:t>
      </w:r>
    </w:p>
    <w:p w14:paraId="4B17905D" w14:textId="195D4699" w:rsidR="006557A7" w:rsidRDefault="006557A7" w:rsidP="002E47FA">
      <w:pPr>
        <w:pStyle w:val="ListParagraph"/>
        <w:spacing w:after="120"/>
        <w:ind w:left="0" w:firstLine="720"/>
        <w:contextualSpacing w:val="0"/>
        <w:jc w:val="both"/>
      </w:pPr>
      <w:r>
        <w:t>Regarding fuel supply, the bidder advocated it should be allowed to use natural gas in accordance with p</w:t>
      </w:r>
      <w:r w:rsidRPr="007A2CB1">
        <w:t xml:space="preserve">rudent </w:t>
      </w:r>
      <w:r>
        <w:t>i</w:t>
      </w:r>
      <w:r w:rsidRPr="007A2CB1">
        <w:t xml:space="preserve">ndustry </w:t>
      </w:r>
      <w:r>
        <w:t>p</w:t>
      </w:r>
      <w:r w:rsidRPr="007A2CB1">
        <w:t>ractices</w:t>
      </w:r>
      <w:r>
        <w:t xml:space="preserve"> for startup, shutdown, and flame stabilization.  GPC responded that the purpose of fuel restrictions in the PPA was </w:t>
      </w:r>
      <w:r w:rsidRPr="007A2CB1">
        <w:t xml:space="preserve">to ensure Georgia Power </w:t>
      </w:r>
      <w:r>
        <w:t>i</w:t>
      </w:r>
      <w:r w:rsidRPr="007A2CB1">
        <w:t xml:space="preserve">s purchasing renewable energy fueled from </w:t>
      </w:r>
      <w:r w:rsidR="00BA3E7A">
        <w:t>Biomass</w:t>
      </w:r>
      <w:r w:rsidRPr="007A2CB1">
        <w:t xml:space="preserve"> except in the most limited and necessary situations</w:t>
      </w:r>
      <w:r>
        <w:t xml:space="preserve"> (i.e. for startup and shutdown)</w:t>
      </w:r>
      <w:r w:rsidRPr="007A2CB1">
        <w:t>.</w:t>
      </w:r>
      <w:r>
        <w:t xml:space="preserve"> </w:t>
      </w:r>
      <w:r w:rsidRPr="007A2CB1">
        <w:t xml:space="preserve"> </w:t>
      </w:r>
      <w:r>
        <w:t xml:space="preserve">The bidder ultimately agreed to the terms in the PPA that </w:t>
      </w:r>
      <w:r w:rsidR="00BA3E7A">
        <w:t>Biomass</w:t>
      </w:r>
      <w:r w:rsidRPr="007A2CB1">
        <w:t xml:space="preserve"> be used during all operations except as expressly allowe</w:t>
      </w:r>
      <w:r>
        <w:t>d; including that natural gas</w:t>
      </w:r>
      <w:r w:rsidRPr="007A2CB1">
        <w:t xml:space="preserve"> in no circumstance is allowed in economical fuel switching or fuel blending for generation.</w:t>
      </w:r>
      <w:r>
        <w:t xml:space="preserve">  The PPA allows for “</w:t>
      </w:r>
      <w:r w:rsidRPr="008B5CEC">
        <w:t xml:space="preserve">natural gas to be used </w:t>
      </w:r>
      <w:r w:rsidRPr="00540557">
        <w:t xml:space="preserve">with limitations </w:t>
      </w:r>
      <w:r w:rsidRPr="008B5CEC">
        <w:t>in the startup and shutdown of the Facility</w:t>
      </w:r>
      <w:r>
        <w:t xml:space="preserve"> in accordance with </w:t>
      </w:r>
      <w:r w:rsidRPr="008B5CEC">
        <w:t xml:space="preserve">Prudent Industry Practices so long </w:t>
      </w:r>
      <w:r>
        <w:t xml:space="preserve">as its </w:t>
      </w:r>
      <w:r w:rsidRPr="008B5CEC">
        <w:t>limited and necessary use is clearly demonstrated by Generator to the satisfaction of GPC in each operating report to GPC.</w:t>
      </w:r>
      <w:r>
        <w:t>”</w:t>
      </w:r>
    </w:p>
    <w:p w14:paraId="0992C9E3" w14:textId="2A6A1940" w:rsidR="005F5726" w:rsidRDefault="005F5726" w:rsidP="002E47FA">
      <w:pPr>
        <w:pStyle w:val="ListParagraph"/>
        <w:spacing w:after="120"/>
        <w:ind w:left="0" w:firstLine="720"/>
        <w:contextualSpacing w:val="0"/>
        <w:jc w:val="both"/>
      </w:pPr>
      <w:r>
        <w:lastRenderedPageBreak/>
        <w:t>The IE urged GPC to include reporting requirements for each fuel that was used to mitigate the risk that a non-</w:t>
      </w:r>
      <w:r w:rsidR="009F41D6">
        <w:t>Biomass fuel</w:t>
      </w:r>
      <w:r>
        <w:t xml:space="preserve">, such as natural gas, would be used beyond what was needed for startup and shutdown, </w:t>
      </w:r>
      <w:r w:rsidR="009F41D6">
        <w:t xml:space="preserve">preventing </w:t>
      </w:r>
      <w:r>
        <w:t xml:space="preserve">ratepayers </w:t>
      </w:r>
      <w:r w:rsidR="009F41D6">
        <w:t xml:space="preserve">from </w:t>
      </w:r>
      <w:r>
        <w:t>subsidizing the use of non-</w:t>
      </w:r>
      <w:r w:rsidR="00AA5C64">
        <w:t>B</w:t>
      </w:r>
      <w:r>
        <w:t>iomass fuel.  GPC agreed with the IE and accept</w:t>
      </w:r>
      <w:r w:rsidR="0080358E">
        <w:t>ed</w:t>
      </w:r>
      <w:r>
        <w:t xml:space="preserve"> responsibility to monitor fuel usage for 30 years.  </w:t>
      </w:r>
    </w:p>
    <w:p w14:paraId="69EB6613" w14:textId="43577288" w:rsidR="00484B59" w:rsidRPr="002B47E6" w:rsidRDefault="006557A7" w:rsidP="002E47FA">
      <w:pPr>
        <w:pStyle w:val="ListParagraph"/>
        <w:spacing w:after="120"/>
        <w:ind w:left="0" w:firstLine="720"/>
        <w:contextualSpacing w:val="0"/>
        <w:jc w:val="both"/>
      </w:pPr>
      <w:r>
        <w:t>The o</w:t>
      </w:r>
      <w:r w:rsidR="00F27AA4">
        <w:t xml:space="preserve">ther proposed revisions regarding change of law were </w:t>
      </w:r>
      <w:r>
        <w:t xml:space="preserve">also </w:t>
      </w:r>
      <w:r w:rsidR="00F27AA4">
        <w:t>rejected by GPC, Staff, and the IE.</w:t>
      </w:r>
      <w:r>
        <w:t xml:space="preserve">  The </w:t>
      </w:r>
      <w:r w:rsidR="00BA3E7A">
        <w:t>Biomass</w:t>
      </w:r>
      <w:r>
        <w:t xml:space="preserve"> Addition PPAs for Bid Nos 208-01 and 208-02 were executed on June 24, 2024. The agreed upon required commercial operation date for Bid No. 208-01 is October 8, 2026, and April 1, 2027, for Bid No. 208-02.</w:t>
      </w:r>
    </w:p>
    <w:p w14:paraId="2EA18348" w14:textId="0CD1B3C9" w:rsidR="00484B59" w:rsidRPr="00484B59" w:rsidRDefault="00937ED5" w:rsidP="002E47FA">
      <w:pPr>
        <w:pStyle w:val="ListParagraph"/>
        <w:numPr>
          <w:ilvl w:val="0"/>
          <w:numId w:val="12"/>
        </w:numPr>
        <w:spacing w:after="120"/>
        <w:contextualSpacing w:val="0"/>
        <w:jc w:val="both"/>
        <w:rPr>
          <w:color w:val="0F4761" w:themeColor="accent1" w:themeShade="BF"/>
        </w:rPr>
      </w:pPr>
      <w:r>
        <w:rPr>
          <w:b/>
          <w:bCs/>
          <w:color w:val="0F4761" w:themeColor="accent1" w:themeShade="BF"/>
        </w:rPr>
        <w:t xml:space="preserve">Additional </w:t>
      </w:r>
      <w:r w:rsidR="00484B59">
        <w:rPr>
          <w:b/>
          <w:bCs/>
          <w:color w:val="0F4761" w:themeColor="accent1" w:themeShade="BF"/>
        </w:rPr>
        <w:t xml:space="preserve">Negotiated Terms </w:t>
      </w:r>
      <w:r w:rsidR="0033245D">
        <w:rPr>
          <w:b/>
          <w:bCs/>
          <w:color w:val="0F4761" w:themeColor="accent1" w:themeShade="BF"/>
        </w:rPr>
        <w:t xml:space="preserve">to </w:t>
      </w:r>
      <w:r w:rsidR="000211AF">
        <w:rPr>
          <w:b/>
          <w:bCs/>
          <w:color w:val="0F4761" w:themeColor="accent1" w:themeShade="BF"/>
        </w:rPr>
        <w:t xml:space="preserve">the </w:t>
      </w:r>
      <w:r w:rsidR="00F90777">
        <w:rPr>
          <w:b/>
          <w:bCs/>
          <w:color w:val="0F4761" w:themeColor="accent1" w:themeShade="BF"/>
        </w:rPr>
        <w:t>Pro forma</w:t>
      </w:r>
      <w:r w:rsidR="000211AF">
        <w:rPr>
          <w:b/>
          <w:bCs/>
          <w:color w:val="0F4761" w:themeColor="accent1" w:themeShade="BF"/>
        </w:rPr>
        <w:t xml:space="preserve"> </w:t>
      </w:r>
      <w:r w:rsidR="0033245D">
        <w:rPr>
          <w:b/>
          <w:bCs/>
          <w:color w:val="0F4761" w:themeColor="accent1" w:themeShade="BF"/>
        </w:rPr>
        <w:t>Greenfield PPA</w:t>
      </w:r>
    </w:p>
    <w:p w14:paraId="615A5F18" w14:textId="3A2F37FB" w:rsidR="00F2218F" w:rsidRDefault="00161999" w:rsidP="002E47FA">
      <w:pPr>
        <w:spacing w:after="120"/>
        <w:ind w:firstLine="720"/>
        <w:jc w:val="both"/>
      </w:pPr>
      <w:r>
        <w:t xml:space="preserve">On May 31, 2024, bidder </w:t>
      </w:r>
      <w:r w:rsidR="000211AF">
        <w:t xml:space="preserve">259 </w:t>
      </w:r>
      <w:r>
        <w:t>expressed it had determined it must withdraw its bid</w:t>
      </w:r>
      <w:r w:rsidR="00484B59">
        <w:t xml:space="preserve"> because of the new Qualifying Federal Support terms</w:t>
      </w:r>
      <w:r w:rsidR="00C50980">
        <w:t>, and scheduling risks associated with interconnection</w:t>
      </w:r>
      <w:r w:rsidR="00874FD9">
        <w:t xml:space="preserve"> created by FERC Order 2023</w:t>
      </w:r>
      <w:r>
        <w:t xml:space="preserve">.  On June 11, 2024, the IE asked the bidder to confirm </w:t>
      </w:r>
      <w:r w:rsidR="00F2218F">
        <w:t>the bid was withdrawn.  On June</w:t>
      </w:r>
      <w:r w:rsidR="002A3F0B">
        <w:t> </w:t>
      </w:r>
      <w:r w:rsidR="00F2218F">
        <w:t xml:space="preserve">13, 2024, the bidder provided conditions that it asserted were necessary to proceed with negotiations.  </w:t>
      </w:r>
    </w:p>
    <w:p w14:paraId="765AE1AD" w14:textId="60B8162F" w:rsidR="00D27D35" w:rsidRDefault="00D27D35" w:rsidP="002E47FA">
      <w:pPr>
        <w:spacing w:after="120"/>
        <w:ind w:firstLine="720"/>
        <w:jc w:val="both"/>
      </w:pPr>
      <w:r>
        <w:t>The bidder proposed that 1) the requirement to pursue future federal support be eliminated; 2) the bid price be converted to a levelized price; 3) the COD be established after the interconnection timeline was confirmed and financing was approved; 4) the performance bond be fully refundable at any time prior to COD if interconnection or financing options were not acceptable to the bidder; and 5) no penalties would accrue if the PPA was terminated.</w:t>
      </w:r>
    </w:p>
    <w:p w14:paraId="1A0D1123" w14:textId="4893EE02" w:rsidR="0063507B" w:rsidRDefault="00426EF8" w:rsidP="002E47FA">
      <w:pPr>
        <w:spacing w:after="120"/>
        <w:ind w:firstLine="720"/>
        <w:jc w:val="both"/>
      </w:pPr>
      <w:r>
        <w:t xml:space="preserve">GPC offered </w:t>
      </w:r>
      <w:r w:rsidR="0063507B">
        <w:t xml:space="preserve">the same terms on which it had reached agreement with the other bidder on Qualifying Federal Support, and the bidder accepted those terms.  </w:t>
      </w:r>
    </w:p>
    <w:p w14:paraId="0488B795" w14:textId="6E1EAC86" w:rsidR="00426EF8" w:rsidRDefault="0063507B" w:rsidP="002E47FA">
      <w:pPr>
        <w:spacing w:after="120"/>
        <w:ind w:firstLine="720"/>
        <w:jc w:val="both"/>
      </w:pPr>
      <w:r>
        <w:t>T</w:t>
      </w:r>
      <w:r w:rsidR="00106F8E">
        <w:t>o effectuate the policies enumerated by the Commission in the 2022 IRP Order, GPC agreed to entertain the idea of accepting a levelized price</w:t>
      </w:r>
      <w:r w:rsidR="0070327D">
        <w:t>.  To ensure the bidder was not permitted to refresh and raise its original bid price, GPC calculated a price equivalent to the originally proposed escalating price and accounted for the time value of money.  The bidder ultimately agreed to that levelized price.</w:t>
      </w:r>
    </w:p>
    <w:p w14:paraId="10813DED" w14:textId="1E127FEB" w:rsidR="00BD4C7F" w:rsidRDefault="00A2027C" w:rsidP="002E47FA">
      <w:pPr>
        <w:spacing w:after="120"/>
        <w:ind w:firstLine="720"/>
        <w:jc w:val="both"/>
      </w:pPr>
      <w:r>
        <w:t>After agreeing on the levelized price, on July 9, 2024, the bidder informed GPC it had withdrawn from the Transitional Cluster Study, further delaying the process</w:t>
      </w:r>
      <w:r w:rsidR="00834423">
        <w:t xml:space="preserve"> and requiring negotiations about flexibility on the Required COD</w:t>
      </w:r>
      <w:r w:rsidR="001A6F48">
        <w:t xml:space="preserve"> (“RCOD”)</w:t>
      </w:r>
      <w:r>
        <w:t>.</w:t>
      </w:r>
      <w:r w:rsidR="00834423">
        <w:t xml:space="preserve">  </w:t>
      </w:r>
      <w:r w:rsidR="00BF6238">
        <w:t>The parties agreed to add a provision for a</w:t>
      </w:r>
      <w:r w:rsidR="001A6F48">
        <w:t xml:space="preserve">n “RCOD </w:t>
      </w:r>
      <w:r w:rsidR="00BF6238">
        <w:t>Decision Date</w:t>
      </w:r>
      <w:r w:rsidR="001A6F48">
        <w:t>”</w:t>
      </w:r>
      <w:r w:rsidR="00BF6238">
        <w:t xml:space="preserve"> being the earlier of 30 days after </w:t>
      </w:r>
      <w:r w:rsidR="00BF6238">
        <w:lastRenderedPageBreak/>
        <w:t>the bidder receives a proposed COD from the Interconnection Provider or June 30,</w:t>
      </w:r>
      <w:r w:rsidR="001A6F48">
        <w:t xml:space="preserve"> </w:t>
      </w:r>
      <w:r w:rsidR="00BF6238">
        <w:t xml:space="preserve">2026.  The RCOD is defined as the date on or before November 30, 2029, as mutually agreed by the parties.  </w:t>
      </w:r>
      <w:r w:rsidR="008E0A34">
        <w:t xml:space="preserve">If the parties cannot reach agreement on the RCOD by the RCOD Decision Date, the PPA is terminated and performance security released.  </w:t>
      </w:r>
      <w:r w:rsidR="002A3F0B">
        <w:t xml:space="preserve">The bidder continued to press for additional concessions, but GPC, Staff, and the IE declined to agree.  </w:t>
      </w:r>
      <w:r w:rsidR="00834423">
        <w:t xml:space="preserve">The PPA was executed </w:t>
      </w:r>
      <w:r w:rsidR="0063507B">
        <w:t xml:space="preserve">by the bidder </w:t>
      </w:r>
      <w:r w:rsidR="00834423">
        <w:t xml:space="preserve">on July </w:t>
      </w:r>
      <w:r w:rsidR="002A3F0B">
        <w:t>24</w:t>
      </w:r>
      <w:r w:rsidR="00834423">
        <w:t>, 2024</w:t>
      </w:r>
      <w:r w:rsidR="0063507B">
        <w:t xml:space="preserve">, and by GPC on August </w:t>
      </w:r>
      <w:r w:rsidR="008B6FFC">
        <w:t>6</w:t>
      </w:r>
      <w:r w:rsidR="0063507B">
        <w:t>, 2024, after acceptable Closing Documents were provided by the bidder</w:t>
      </w:r>
      <w:r w:rsidR="00834423">
        <w:t>.</w:t>
      </w:r>
      <w:r w:rsidR="002A3F0B">
        <w:t xml:space="preserve">  </w:t>
      </w:r>
    </w:p>
    <w:p w14:paraId="6A2B2BED" w14:textId="1137ED2E" w:rsidR="006557A7" w:rsidRPr="00DB68AC" w:rsidRDefault="006557A7" w:rsidP="002E47FA">
      <w:pPr>
        <w:pStyle w:val="ListParagraph"/>
        <w:numPr>
          <w:ilvl w:val="0"/>
          <w:numId w:val="22"/>
        </w:numPr>
        <w:spacing w:after="120"/>
        <w:contextualSpacing w:val="0"/>
        <w:jc w:val="both"/>
      </w:pPr>
      <w:r w:rsidRPr="00DB68AC">
        <w:rPr>
          <w:b/>
          <w:bCs/>
          <w:color w:val="0F4761" w:themeColor="accent1" w:themeShade="BF"/>
        </w:rPr>
        <w:t>Co</w:t>
      </w:r>
      <w:r w:rsidR="00DB68AC">
        <w:rPr>
          <w:b/>
          <w:bCs/>
          <w:color w:val="0F4761" w:themeColor="accent1" w:themeShade="BF"/>
        </w:rPr>
        <w:t>mments</w:t>
      </w:r>
      <w:r w:rsidR="001B601F" w:rsidRPr="00DB68AC">
        <w:rPr>
          <w:b/>
          <w:bCs/>
          <w:color w:val="0F4761" w:themeColor="accent1" w:themeShade="BF"/>
        </w:rPr>
        <w:t xml:space="preserve"> on PPA Negotiations</w:t>
      </w:r>
      <w:r w:rsidR="00DB4FC8" w:rsidRPr="00DB68AC">
        <w:rPr>
          <w:b/>
          <w:bCs/>
          <w:color w:val="0F4761" w:themeColor="accent1" w:themeShade="BF"/>
        </w:rPr>
        <w:t xml:space="preserve"> </w:t>
      </w:r>
    </w:p>
    <w:p w14:paraId="0CF9A247" w14:textId="63EADA78" w:rsidR="0033245D" w:rsidRPr="0008357D" w:rsidRDefault="0033245D" w:rsidP="002E47FA">
      <w:pPr>
        <w:spacing w:after="120"/>
        <w:ind w:firstLine="720"/>
        <w:jc w:val="both"/>
      </w:pPr>
      <w:r>
        <w:t xml:space="preserve">GPC’s modifications to the </w:t>
      </w:r>
      <w:r w:rsidR="00F90777">
        <w:t>pro forma</w:t>
      </w:r>
      <w:r w:rsidR="00A85982">
        <w:t xml:space="preserve"> </w:t>
      </w:r>
      <w:r>
        <w:t xml:space="preserve">PPA regarding </w:t>
      </w:r>
      <w:r w:rsidR="00422E78">
        <w:t>Q</w:t>
      </w:r>
      <w:r>
        <w:t xml:space="preserve">ualifying </w:t>
      </w:r>
      <w:r w:rsidR="00422E78">
        <w:t>F</w:t>
      </w:r>
      <w:r>
        <w:t xml:space="preserve">ederal </w:t>
      </w:r>
      <w:r w:rsidR="00422E78">
        <w:t>S</w:t>
      </w:r>
      <w:r>
        <w:t xml:space="preserve">upport came very late in the process.  One of the remaining bidders chose to work with GPC to reach acceptable terms.  Those </w:t>
      </w:r>
      <w:r w:rsidR="00464200">
        <w:t xml:space="preserve">same </w:t>
      </w:r>
      <w:r>
        <w:t xml:space="preserve">terms were offered to </w:t>
      </w:r>
      <w:r w:rsidR="009C4B22">
        <w:t xml:space="preserve">and accepted by </w:t>
      </w:r>
      <w:r>
        <w:t xml:space="preserve">the </w:t>
      </w:r>
      <w:r w:rsidR="00AD5052">
        <w:t xml:space="preserve">other </w:t>
      </w:r>
      <w:r>
        <w:t>bidder.  The late revisions to the contract terms</w:t>
      </w:r>
      <w:r w:rsidR="009C4B22">
        <w:t xml:space="preserve"> were</w:t>
      </w:r>
      <w:r>
        <w:t xml:space="preserve"> </w:t>
      </w:r>
      <w:r w:rsidR="00DB68AC">
        <w:t>designed to ensure that federal support benefit</w:t>
      </w:r>
      <w:r w:rsidR="0080358E">
        <w:t>s</w:t>
      </w:r>
      <w:r w:rsidR="00DB68AC">
        <w:t xml:space="preserve"> ratepayers </w:t>
      </w:r>
      <w:r w:rsidR="009C4B22">
        <w:t xml:space="preserve">rather than the </w:t>
      </w:r>
      <w:r w:rsidR="00DB68AC">
        <w:t>developer.  T</w:t>
      </w:r>
      <w:r>
        <w:t xml:space="preserve">he IE does not believe bias against either bidder was introduced as a result of </w:t>
      </w:r>
      <w:r w:rsidR="00422E78">
        <w:t>the</w:t>
      </w:r>
      <w:r w:rsidR="00A85982">
        <w:t xml:space="preserve"> addition of </w:t>
      </w:r>
      <w:r w:rsidR="00422E78">
        <w:t xml:space="preserve">Qualifying Federal </w:t>
      </w:r>
      <w:r w:rsidR="00422E78" w:rsidRPr="0008357D">
        <w:t>Support</w:t>
      </w:r>
      <w:r w:rsidRPr="0008357D">
        <w:t xml:space="preserve"> terms</w:t>
      </w:r>
      <w:r w:rsidR="00DB68AC" w:rsidRPr="0008357D">
        <w:t xml:space="preserve"> and that the change was appropriate</w:t>
      </w:r>
      <w:r w:rsidRPr="0008357D">
        <w:t>.</w:t>
      </w:r>
      <w:r w:rsidR="00C3477D" w:rsidRPr="0008357D">
        <w:t xml:space="preserve">  </w:t>
      </w:r>
    </w:p>
    <w:p w14:paraId="2EE715F1" w14:textId="0620752C" w:rsidR="00DB68AC" w:rsidRDefault="00E2446C" w:rsidP="002E47FA">
      <w:pPr>
        <w:spacing w:after="120"/>
        <w:ind w:firstLine="720"/>
        <w:jc w:val="both"/>
      </w:pPr>
      <w:r w:rsidRPr="0008357D">
        <w:t xml:space="preserve">Despite knowledge by the bidders that the PPAs were </w:t>
      </w:r>
      <w:r w:rsidR="00F90777">
        <w:t>pro forma</w:t>
      </w:r>
      <w:r w:rsidRPr="0008357D">
        <w:t xml:space="preserve"> and non-negotiable, </w:t>
      </w:r>
      <w:r w:rsidR="00DB68AC" w:rsidRPr="0008357D">
        <w:t xml:space="preserve">both bidders repeatedly requested material changes.  Because of the GPSC </w:t>
      </w:r>
      <w:r w:rsidR="00CC5F73" w:rsidRPr="0008357D">
        <w:t>Biomass policy preference</w:t>
      </w:r>
      <w:r w:rsidR="00DB68AC" w:rsidRPr="0008357D">
        <w:t xml:space="preserve"> </w:t>
      </w:r>
      <w:r w:rsidR="00C3477D" w:rsidRPr="0008357D">
        <w:t xml:space="preserve">and the limited number of bids, </w:t>
      </w:r>
      <w:r w:rsidR="0008357D">
        <w:t>after consultation with Staff and the IE</w:t>
      </w:r>
      <w:r w:rsidR="00A811FA">
        <w:t>,</w:t>
      </w:r>
      <w:r w:rsidR="0008357D">
        <w:t xml:space="preserve"> </w:t>
      </w:r>
      <w:r w:rsidR="00C3477D" w:rsidRPr="0008357D">
        <w:t xml:space="preserve">GPC </w:t>
      </w:r>
      <w:r w:rsidR="0008357D">
        <w:t xml:space="preserve">agreed to consider some </w:t>
      </w:r>
      <w:r w:rsidR="00A811FA">
        <w:t xml:space="preserve">requested </w:t>
      </w:r>
      <w:r w:rsidR="0008357D">
        <w:t xml:space="preserve">changes to the </w:t>
      </w:r>
      <w:r w:rsidR="00F90777">
        <w:t>pro forma</w:t>
      </w:r>
      <w:r w:rsidR="0008357D">
        <w:t xml:space="preserve"> PPA in order to meet the GPSC goal of including Biomass generation in the Company’s portfolio.  </w:t>
      </w:r>
      <w:r w:rsidR="00A811FA">
        <w:t xml:space="preserve">This decision resulted </w:t>
      </w:r>
      <w:r w:rsidR="00C3477D" w:rsidRPr="0008357D">
        <w:t xml:space="preserve">in protracted discussions </w:t>
      </w:r>
      <w:r w:rsidR="00A811FA">
        <w:t>over three months as GPC repeatedly extended the deadline for decisions</w:t>
      </w:r>
      <w:r w:rsidR="00D7669D">
        <w:t xml:space="preserve"> to accommodate a bidder and resulted in the negotiation of </w:t>
      </w:r>
      <w:r w:rsidR="00C3477D" w:rsidRPr="0008357D">
        <w:t xml:space="preserve">terms; something the Company has not done during the 22 years Accion </w:t>
      </w:r>
      <w:r w:rsidR="009C4B22" w:rsidRPr="0008357D">
        <w:t xml:space="preserve">has </w:t>
      </w:r>
      <w:r w:rsidR="00C3477D" w:rsidRPr="0008357D">
        <w:t xml:space="preserve">served as IE.  Staff and the IE declined to support some changes and acquiesced to others in the interest of completing what became a </w:t>
      </w:r>
      <w:r w:rsidR="009C4B22" w:rsidRPr="0008357D">
        <w:t>multi-</w:t>
      </w:r>
      <w:r w:rsidR="00C3477D" w:rsidRPr="0008357D">
        <w:t>year effort</w:t>
      </w:r>
      <w:r w:rsidR="009C4B22" w:rsidRPr="0008357D">
        <w:t xml:space="preserve"> to add Biomass to GPC’s generation portfolio</w:t>
      </w:r>
      <w:r w:rsidR="00C3477D" w:rsidRPr="0008357D">
        <w:t xml:space="preserve">.  </w:t>
      </w:r>
      <w:r w:rsidR="009C4B22" w:rsidRPr="0008357D">
        <w:t>T</w:t>
      </w:r>
      <w:r w:rsidR="00C3477D" w:rsidRPr="0008357D">
        <w:t>hroughout the process</w:t>
      </w:r>
      <w:r w:rsidR="009C4B22" w:rsidRPr="0008357D">
        <w:t>, however,</w:t>
      </w:r>
      <w:r w:rsidR="00C3477D" w:rsidRPr="0008357D">
        <w:t xml:space="preserve"> the IE and Staff expressed disappointment that GPC repeatedly waived deadlines and entertained new demands, long after receiving representations that all desired changes were “on the table</w:t>
      </w:r>
      <w:r w:rsidR="00E06CEA">
        <w:t>.</w:t>
      </w:r>
      <w:r w:rsidR="00C3477D" w:rsidRPr="0008357D">
        <w:t>”  This “if you give a mouse a cookie” approach was costly</w:t>
      </w:r>
      <w:r w:rsidR="00D7669D">
        <w:t xml:space="preserve"> and</w:t>
      </w:r>
      <w:r w:rsidR="00C3477D" w:rsidRPr="0008357D">
        <w:t xml:space="preserve"> resulted in long delays</w:t>
      </w:r>
      <w:r w:rsidR="00D7669D">
        <w:t>.</w:t>
      </w:r>
      <w:r w:rsidR="00C3477D" w:rsidRPr="0008357D">
        <w:t xml:space="preserve"> Both the Staff and the IE repeatedly expressed concern that </w:t>
      </w:r>
      <w:r w:rsidR="00FC2D24" w:rsidRPr="0008357D">
        <w:t>wavering</w:t>
      </w:r>
      <w:r w:rsidR="00C3477D" w:rsidRPr="0008357D">
        <w:t xml:space="preserve"> from the Commission approved non-negotiable PPA</w:t>
      </w:r>
      <w:r w:rsidR="00E06CEA">
        <w:t>,</w:t>
      </w:r>
      <w:r w:rsidR="00C3477D" w:rsidRPr="0008357D">
        <w:t xml:space="preserve"> </w:t>
      </w:r>
      <w:r w:rsidR="00D7669D">
        <w:t xml:space="preserve">beyond capturing </w:t>
      </w:r>
      <w:r w:rsidR="00C96AD0">
        <w:t xml:space="preserve">for ratepayers </w:t>
      </w:r>
      <w:r w:rsidR="00D7669D">
        <w:t>the value of Qualifying Federal Support</w:t>
      </w:r>
      <w:r w:rsidR="00E06CEA">
        <w:t>,</w:t>
      </w:r>
      <w:r w:rsidR="00D7669D">
        <w:t xml:space="preserve"> </w:t>
      </w:r>
      <w:r w:rsidR="00C3477D" w:rsidRPr="0008357D">
        <w:t>will likely</w:t>
      </w:r>
      <w:r w:rsidR="009C4B22" w:rsidRPr="0008357D">
        <w:t xml:space="preserve"> result</w:t>
      </w:r>
      <w:r w:rsidR="00C3477D" w:rsidRPr="0008357D">
        <w:t xml:space="preserve"> in similar demands on other on-going RFP</w:t>
      </w:r>
      <w:r w:rsidR="009C4B22" w:rsidRPr="0008357D">
        <w:t>s</w:t>
      </w:r>
      <w:r w:rsidR="00C3477D" w:rsidRPr="0008357D">
        <w:t xml:space="preserve"> and beyond.</w:t>
      </w:r>
      <w:r w:rsidR="00C3477D">
        <w:t xml:space="preserve">  </w:t>
      </w:r>
    </w:p>
    <w:p w14:paraId="59CF5646" w14:textId="5C7CAD41" w:rsidR="00AD5052" w:rsidRDefault="00E2446C" w:rsidP="002E47FA">
      <w:pPr>
        <w:spacing w:after="120"/>
        <w:ind w:firstLine="720"/>
        <w:jc w:val="both"/>
      </w:pPr>
      <w:r>
        <w:lastRenderedPageBreak/>
        <w:t>As a result</w:t>
      </w:r>
      <w:r w:rsidR="00C3477D">
        <w:t xml:space="preserve"> of the prolonged discussions</w:t>
      </w:r>
      <w:r>
        <w:t>, t</w:t>
      </w:r>
      <w:r w:rsidR="00AD5052">
        <w:t>wo material differences between the PPA</w:t>
      </w:r>
      <w:r w:rsidR="00261145">
        <w:t>s</w:t>
      </w:r>
      <w:r w:rsidR="00AD5052">
        <w:t xml:space="preserve"> </w:t>
      </w:r>
      <w:r w:rsidR="00C3477D">
        <w:t xml:space="preserve">executed with bidder 208 </w:t>
      </w:r>
      <w:r w:rsidR="00AD5052">
        <w:t xml:space="preserve">and the PPA </w:t>
      </w:r>
      <w:r w:rsidR="00C3477D">
        <w:t xml:space="preserve">for bidder 259 </w:t>
      </w:r>
      <w:r w:rsidR="00AD5052">
        <w:t xml:space="preserve">emerged.  The dispute resolution revisions </w:t>
      </w:r>
      <w:r w:rsidR="00C3477D">
        <w:t xml:space="preserve">demanded by bidder 208 </w:t>
      </w:r>
      <w:r w:rsidR="00AD5052">
        <w:t xml:space="preserve">were not offered </w:t>
      </w:r>
      <w:r>
        <w:t xml:space="preserve">as revisions </w:t>
      </w:r>
      <w:r w:rsidR="00AD5052">
        <w:t xml:space="preserve">to </w:t>
      </w:r>
      <w:r w:rsidR="00C3477D">
        <w:t>bidder 259</w:t>
      </w:r>
      <w:r>
        <w:t xml:space="preserve">.  </w:t>
      </w:r>
      <w:r w:rsidR="008271A3">
        <w:t>Staff and the IE agreed that the revision was non-material and done to align with exist</w:t>
      </w:r>
      <w:r w:rsidR="00E06CEA">
        <w:t>ing</w:t>
      </w:r>
      <w:r w:rsidR="008271A3">
        <w:t xml:space="preserve"> Q</w:t>
      </w:r>
      <w:r w:rsidR="00E06CEA">
        <w:t>F</w:t>
      </w:r>
      <w:r w:rsidR="008271A3">
        <w:t xml:space="preserve"> contracts.  </w:t>
      </w:r>
      <w:r>
        <w:t xml:space="preserve">Similarly, a levelized price, equivalent to the proposed escalated price, negotiated and accepted for </w:t>
      </w:r>
      <w:r w:rsidR="00C3477D">
        <w:t>bidder 259’s</w:t>
      </w:r>
      <w:r>
        <w:t xml:space="preserve"> PPA was not offered to bidder</w:t>
      </w:r>
      <w:r w:rsidR="00D20E01">
        <w:t xml:space="preserve"> </w:t>
      </w:r>
      <w:r w:rsidR="00C3477D">
        <w:t xml:space="preserve">208.  The IE notes that the PPAs with bidder 208 </w:t>
      </w:r>
      <w:r w:rsidR="00D20E01">
        <w:t>had already been executed</w:t>
      </w:r>
      <w:r w:rsidR="00C3477D">
        <w:t xml:space="preserve"> before GPC agreed to change the PPA for bidder 259</w:t>
      </w:r>
      <w:r>
        <w:t>.</w:t>
      </w:r>
    </w:p>
    <w:p w14:paraId="31EB2FA1" w14:textId="1603F95E" w:rsidR="00464200" w:rsidRDefault="00C3477D" w:rsidP="002E47FA">
      <w:pPr>
        <w:spacing w:after="240"/>
        <w:ind w:firstLine="720"/>
        <w:jc w:val="both"/>
      </w:pPr>
      <w:r>
        <w:t xml:space="preserve">GPC agreed to significant </w:t>
      </w:r>
      <w:r w:rsidR="00CC4C6A">
        <w:t xml:space="preserve">flexibility regarding the RCOD for </w:t>
      </w:r>
      <w:r>
        <w:t xml:space="preserve">bidder 259.  The IE believes the changes necessary to accommodate </w:t>
      </w:r>
      <w:r w:rsidR="00422E78">
        <w:t xml:space="preserve">the </w:t>
      </w:r>
      <w:r w:rsidR="00CC4C6A">
        <w:t xml:space="preserve">transition resulting from FERC Order 2023 </w:t>
      </w:r>
      <w:r>
        <w:t xml:space="preserve">are reasonable and would have </w:t>
      </w:r>
      <w:r w:rsidR="00CC4C6A">
        <w:t xml:space="preserve">no impact on </w:t>
      </w:r>
      <w:r>
        <w:t xml:space="preserve">bidder 208’s </w:t>
      </w:r>
      <w:r w:rsidR="00CC4C6A">
        <w:t xml:space="preserve">project. </w:t>
      </w:r>
      <w:r>
        <w:t xml:space="preserve"> However, </w:t>
      </w:r>
      <w:r w:rsidRPr="00EE0CE9">
        <w:t xml:space="preserve">effectively GPC provided bidder 259 with a free option for a lucrative 30-year contract by agreeing the bidder could withdraw without penalty </w:t>
      </w:r>
      <w:r w:rsidR="00261145" w:rsidRPr="00EE0CE9">
        <w:t>if interconnection could not be achieved in time to ensure a COD by November 30, 2029.</w:t>
      </w:r>
      <w:r w:rsidRPr="00EE0CE9">
        <w:t xml:space="preserve"> </w:t>
      </w:r>
      <w:r w:rsidR="00EE0CE9" w:rsidRPr="00B840AF">
        <w:rPr>
          <w:i/>
          <w:iCs/>
        </w:rPr>
        <w:t>See</w:t>
      </w:r>
      <w:r w:rsidR="00EE0CE9">
        <w:t xml:space="preserve">: PPA Section 8.1.4. </w:t>
      </w:r>
      <w:r w:rsidRPr="00EE0CE9">
        <w:t xml:space="preserve"> That allowance was not available to other potential bidders before the bid submission date</w:t>
      </w:r>
      <w:r w:rsidR="00261145" w:rsidRPr="00EE0CE9">
        <w:t xml:space="preserve">.  </w:t>
      </w:r>
      <w:r w:rsidRPr="00EE0CE9">
        <w:t xml:space="preserve">While it </w:t>
      </w:r>
      <w:r w:rsidR="00EE0CE9">
        <w:t xml:space="preserve">would be beneficial to GPC ratepayers if the developer chose to terminate the PPA, it remains </w:t>
      </w:r>
      <w:r w:rsidRPr="00EE0CE9">
        <w:t>unknown whether other bidders would have participated had the provision be</w:t>
      </w:r>
      <w:r w:rsidR="00F175B2" w:rsidRPr="00EE0CE9">
        <w:t>en</w:t>
      </w:r>
      <w:r w:rsidRPr="00EE0CE9">
        <w:t xml:space="preserve"> available</w:t>
      </w:r>
      <w:r w:rsidR="00B840AF">
        <w:t xml:space="preserve">. </w:t>
      </w:r>
      <w:r w:rsidR="00B840AF" w:rsidRPr="00EE0CE9">
        <w:t xml:space="preserve"> </w:t>
      </w:r>
      <w:r w:rsidR="00B840AF">
        <w:t>T</w:t>
      </w:r>
      <w:r w:rsidR="00B840AF" w:rsidRPr="00EE0CE9">
        <w:t xml:space="preserve">he </w:t>
      </w:r>
      <w:r w:rsidRPr="00EE0CE9">
        <w:t>IE views the terms embedded in the RCOD revision to be material.</w:t>
      </w:r>
      <w:r>
        <w:t xml:space="preserve">  </w:t>
      </w:r>
    </w:p>
    <w:p w14:paraId="0EB911BF" w14:textId="77777777" w:rsidR="000211AF" w:rsidRPr="00937ED5" w:rsidRDefault="000211AF" w:rsidP="002E47FA">
      <w:pPr>
        <w:pStyle w:val="ListParagraph"/>
        <w:numPr>
          <w:ilvl w:val="0"/>
          <w:numId w:val="3"/>
        </w:numPr>
        <w:spacing w:after="120"/>
        <w:contextualSpacing w:val="0"/>
        <w:jc w:val="both"/>
        <w:rPr>
          <w:b/>
          <w:bCs/>
          <w:color w:val="000000" w:themeColor="text1"/>
        </w:rPr>
      </w:pPr>
      <w:r w:rsidRPr="00937ED5">
        <w:rPr>
          <w:b/>
          <w:bCs/>
          <w:color w:val="000000" w:themeColor="text1"/>
        </w:rPr>
        <w:t>INDEPENDENT EVALUATOR</w:t>
      </w:r>
    </w:p>
    <w:p w14:paraId="6CEA8CAC" w14:textId="318237A8" w:rsidR="000211AF" w:rsidRPr="00867A79" w:rsidRDefault="000211AF" w:rsidP="00E20BA9">
      <w:pPr>
        <w:pStyle w:val="Heading2"/>
        <w:spacing w:before="0" w:after="120" w:line="276" w:lineRule="auto"/>
        <w:ind w:firstLine="360"/>
        <w:rPr>
          <w:rFonts w:asciiTheme="minorHAnsi" w:hAnsiTheme="minorHAnsi" w:cstheme="minorHAnsi"/>
          <w:b/>
          <w:bCs/>
          <w:sz w:val="22"/>
          <w:szCs w:val="24"/>
        </w:rPr>
      </w:pPr>
      <w:r w:rsidRPr="00867A79">
        <w:rPr>
          <w:rFonts w:asciiTheme="minorHAnsi" w:hAnsiTheme="minorHAnsi" w:cstheme="minorHAnsi"/>
          <w:b/>
          <w:bCs/>
          <w:sz w:val="22"/>
          <w:szCs w:val="24"/>
        </w:rPr>
        <w:t xml:space="preserve">A.  </w:t>
      </w:r>
      <w:r w:rsidR="00E20BA9" w:rsidRPr="002E47FA">
        <w:rPr>
          <w:rFonts w:asciiTheme="minorHAnsi" w:hAnsiTheme="minorHAnsi" w:cstheme="minorHAnsi"/>
          <w:b/>
          <w:bCs/>
          <w:sz w:val="24"/>
          <w:szCs w:val="24"/>
        </w:rPr>
        <w:t xml:space="preserve">About </w:t>
      </w:r>
      <w:r w:rsidR="00E20BA9">
        <w:rPr>
          <w:rFonts w:asciiTheme="minorHAnsi" w:hAnsiTheme="minorHAnsi" w:cstheme="minorHAnsi"/>
          <w:b/>
          <w:bCs/>
          <w:sz w:val="24"/>
          <w:szCs w:val="24"/>
        </w:rPr>
        <w:t>t</w:t>
      </w:r>
      <w:r w:rsidR="00E20BA9" w:rsidRPr="002E47FA">
        <w:rPr>
          <w:rFonts w:asciiTheme="minorHAnsi" w:hAnsiTheme="minorHAnsi" w:cstheme="minorHAnsi"/>
          <w:b/>
          <w:bCs/>
          <w:sz w:val="24"/>
          <w:szCs w:val="24"/>
        </w:rPr>
        <w:t>he Independent Evaluator</w:t>
      </w:r>
    </w:p>
    <w:p w14:paraId="7D239CD7" w14:textId="77777777" w:rsidR="000211AF" w:rsidRPr="00937ED5" w:rsidRDefault="000211AF" w:rsidP="000211AF">
      <w:pPr>
        <w:spacing w:after="120" w:line="276" w:lineRule="auto"/>
        <w:ind w:firstLine="720"/>
        <w:jc w:val="both"/>
        <w:rPr>
          <w:rFonts w:cstheme="minorHAnsi"/>
          <w:color w:val="000000"/>
        </w:rPr>
      </w:pPr>
      <w:r w:rsidRPr="00937ED5">
        <w:rPr>
          <w:rFonts w:cstheme="minorHAnsi"/>
          <w:color w:val="000000"/>
        </w:rPr>
        <w:t>With more than 40 years of in-depth experience in electric, gas, water, and renewable utilities, Accion Group’s diverse consortium of consultants provides insightful, candid, and practical advice to the utility industry and their associated government regulatory bodies. Headquartered in Concord, New Hampshire with consulting affiliates nationwide, Accion’s specialties range from competitive procurement and utility management to construction monitoring and nuclear decommissioning.</w:t>
      </w:r>
    </w:p>
    <w:p w14:paraId="5A44D5C5" w14:textId="397A5AF5" w:rsidR="000211AF" w:rsidRPr="00937ED5" w:rsidRDefault="000211AF" w:rsidP="000211AF">
      <w:pPr>
        <w:spacing w:after="120" w:line="276" w:lineRule="auto"/>
        <w:jc w:val="both"/>
        <w:rPr>
          <w:rFonts w:cstheme="minorHAnsi"/>
          <w:color w:val="000000"/>
        </w:rPr>
      </w:pPr>
      <w:r w:rsidRPr="00937ED5">
        <w:rPr>
          <w:rFonts w:cstheme="minorHAnsi"/>
          <w:color w:val="000000"/>
        </w:rPr>
        <w:tab/>
        <w:t xml:space="preserve">Since its incorporation in 2001, Accion has been routinely involved in high-profile consulting engagements, thus securing a reputation as one of the premier firms providing independent review of utility procurement practices. Accion has served as Independent Evaluator, Independent Monitor, or Independent Observer to state </w:t>
      </w:r>
      <w:r w:rsidRPr="00937ED5">
        <w:rPr>
          <w:rFonts w:cstheme="minorHAnsi"/>
          <w:color w:val="000000"/>
        </w:rPr>
        <w:lastRenderedPageBreak/>
        <w:t>commissions on over 135 competitive solicitations for energy and capacity supplies from a range of markets including California, Hawaii, Georgia, Colorado, Montana, North Carolina, South Carolina, Washington, Wyoming, North Dakota, Oregon, Florida, Arizona, Texas, New Mexico, Arkansas, Alabama, Louisiana, Puerto Rico, Canada,</w:t>
      </w:r>
      <w:r w:rsidR="005F5726">
        <w:rPr>
          <w:rFonts w:cstheme="minorHAnsi"/>
          <w:color w:val="000000"/>
        </w:rPr>
        <w:t xml:space="preserve"> the U.S. Virgin Islands,</w:t>
      </w:r>
      <w:r w:rsidRPr="00937ED5">
        <w:rPr>
          <w:rFonts w:cstheme="minorHAnsi"/>
          <w:color w:val="000000"/>
        </w:rPr>
        <w:t xml:space="preserve"> and Mexico. Accion Group has also assisted utilities in the preparation for, and the conduct of, power supply solicitations in Maryland, Massachusetts, and Nevada. Having reviewed proposals for generation by renewable sources (including wind, solar, </w:t>
      </w:r>
      <w:r>
        <w:rPr>
          <w:rFonts w:cstheme="minorHAnsi"/>
          <w:color w:val="000000"/>
        </w:rPr>
        <w:t>Biomass</w:t>
      </w:r>
      <w:r w:rsidRPr="00937ED5">
        <w:rPr>
          <w:rFonts w:cstheme="minorHAnsi"/>
          <w:color w:val="000000"/>
        </w:rPr>
        <w:t xml:space="preserve">, wave action, storage, low-head hydroelectric, geothermal, and methane capture), as well as for conventional generation by new-build facilities using nuclear power, natural gas, and coal fuels, our consultants are well-versed in the subtleties of utility procurement practices.  Our goal as IE is the same as the purchasing utility and state regulators: ensuring the solicitation obtains the best deal possible for ratepayers, given current market and regulatory conditions in terms of both price and non-price factors. </w:t>
      </w:r>
    </w:p>
    <w:p w14:paraId="1DC9D58A" w14:textId="2E6D9202" w:rsidR="000211AF" w:rsidRPr="00937ED5" w:rsidRDefault="000211AF" w:rsidP="000211AF">
      <w:pPr>
        <w:pStyle w:val="Heading2"/>
        <w:spacing w:before="0" w:after="120" w:line="276" w:lineRule="auto"/>
        <w:ind w:firstLine="360"/>
        <w:rPr>
          <w:rFonts w:asciiTheme="minorHAnsi" w:hAnsiTheme="minorHAnsi" w:cstheme="minorHAnsi"/>
          <w:b/>
          <w:bCs/>
          <w:sz w:val="24"/>
          <w:szCs w:val="24"/>
        </w:rPr>
      </w:pPr>
      <w:r w:rsidRPr="00937ED5">
        <w:rPr>
          <w:sz w:val="24"/>
          <w:szCs w:val="24"/>
        </w:rPr>
        <w:tab/>
      </w:r>
      <w:r w:rsidRPr="00937ED5">
        <w:rPr>
          <w:rFonts w:asciiTheme="minorHAnsi" w:hAnsiTheme="minorHAnsi" w:cstheme="minorHAnsi"/>
          <w:b/>
          <w:bCs/>
          <w:sz w:val="24"/>
          <w:szCs w:val="24"/>
        </w:rPr>
        <w:t xml:space="preserve">B.  </w:t>
      </w:r>
      <w:r w:rsidR="00E20BA9" w:rsidRPr="00937ED5">
        <w:rPr>
          <w:rFonts w:asciiTheme="minorHAnsi" w:hAnsiTheme="minorHAnsi" w:cstheme="minorHAnsi"/>
          <w:b/>
          <w:bCs/>
          <w:sz w:val="24"/>
          <w:szCs w:val="24"/>
        </w:rPr>
        <w:t>The I</w:t>
      </w:r>
      <w:r w:rsidR="00E20BA9">
        <w:rPr>
          <w:rFonts w:asciiTheme="minorHAnsi" w:hAnsiTheme="minorHAnsi" w:cstheme="minorHAnsi"/>
          <w:b/>
          <w:bCs/>
          <w:sz w:val="24"/>
          <w:szCs w:val="24"/>
        </w:rPr>
        <w:t>E</w:t>
      </w:r>
      <w:r w:rsidR="00E20BA9" w:rsidRPr="00937ED5">
        <w:rPr>
          <w:rFonts w:asciiTheme="minorHAnsi" w:hAnsiTheme="minorHAnsi" w:cstheme="minorHAnsi"/>
          <w:b/>
          <w:bCs/>
          <w:sz w:val="24"/>
          <w:szCs w:val="24"/>
        </w:rPr>
        <w:t xml:space="preserve">’s Role </w:t>
      </w:r>
      <w:r w:rsidR="00E20BA9">
        <w:rPr>
          <w:rFonts w:asciiTheme="minorHAnsi" w:hAnsiTheme="minorHAnsi" w:cstheme="minorHAnsi"/>
          <w:b/>
          <w:bCs/>
          <w:sz w:val="24"/>
          <w:szCs w:val="24"/>
        </w:rPr>
        <w:t>i</w:t>
      </w:r>
      <w:r w:rsidR="00E20BA9" w:rsidRPr="00937ED5">
        <w:rPr>
          <w:rFonts w:asciiTheme="minorHAnsi" w:hAnsiTheme="minorHAnsi" w:cstheme="minorHAnsi"/>
          <w:b/>
          <w:bCs/>
          <w:sz w:val="24"/>
          <w:szCs w:val="24"/>
        </w:rPr>
        <w:t xml:space="preserve">n </w:t>
      </w:r>
      <w:r w:rsidR="00E20BA9">
        <w:rPr>
          <w:rFonts w:asciiTheme="minorHAnsi" w:hAnsiTheme="minorHAnsi" w:cstheme="minorHAnsi"/>
          <w:b/>
          <w:bCs/>
          <w:sz w:val="24"/>
          <w:szCs w:val="24"/>
        </w:rPr>
        <w:t>t</w:t>
      </w:r>
      <w:r w:rsidR="00E20BA9" w:rsidRPr="00937ED5">
        <w:rPr>
          <w:rFonts w:asciiTheme="minorHAnsi" w:hAnsiTheme="minorHAnsi" w:cstheme="minorHAnsi"/>
          <w:b/>
          <w:bCs/>
          <w:sz w:val="24"/>
          <w:szCs w:val="24"/>
        </w:rPr>
        <w:t>he R</w:t>
      </w:r>
      <w:r w:rsidR="00E20BA9">
        <w:rPr>
          <w:rFonts w:asciiTheme="minorHAnsi" w:hAnsiTheme="minorHAnsi" w:cstheme="minorHAnsi"/>
          <w:b/>
          <w:bCs/>
          <w:sz w:val="24"/>
          <w:szCs w:val="24"/>
        </w:rPr>
        <w:t>FP</w:t>
      </w:r>
    </w:p>
    <w:p w14:paraId="6311C2FB" w14:textId="77777777" w:rsidR="000211AF" w:rsidRPr="00937ED5" w:rsidRDefault="000211AF" w:rsidP="000211AF">
      <w:pPr>
        <w:spacing w:after="120" w:line="276" w:lineRule="auto"/>
        <w:ind w:firstLine="720"/>
        <w:jc w:val="both"/>
        <w:rPr>
          <w:rFonts w:cstheme="minorHAnsi"/>
        </w:rPr>
      </w:pPr>
      <w:r w:rsidRPr="00937ED5">
        <w:rPr>
          <w:rFonts w:cstheme="minorHAnsi"/>
        </w:rPr>
        <w:t>As IE, Accion reviewed the process designed by the Evaluation Team prior to releasing the RFP.  This review included the following:</w:t>
      </w:r>
    </w:p>
    <w:p w14:paraId="3B720BB3" w14:textId="5536BBDF"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Company’s efforts to identify prospective </w:t>
      </w:r>
      <w:r w:rsidR="00153538">
        <w:rPr>
          <w:rFonts w:cstheme="minorHAnsi"/>
        </w:rPr>
        <w:t>b</w:t>
      </w:r>
      <w:r w:rsidR="00153538" w:rsidRPr="00937ED5">
        <w:rPr>
          <w:rFonts w:cstheme="minorHAnsi"/>
        </w:rPr>
        <w:t xml:space="preserve">idders </w:t>
      </w:r>
      <w:r w:rsidRPr="00937ED5">
        <w:rPr>
          <w:rFonts w:cstheme="minorHAnsi"/>
        </w:rPr>
        <w:t xml:space="preserve">and publicize the RFP; </w:t>
      </w:r>
    </w:p>
    <w:p w14:paraId="213796D0" w14:textId="77777777"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The terms and conditions that would control both the RFP process and any resulting contracts;</w:t>
      </w:r>
    </w:p>
    <w:p w14:paraId="6CA179A9" w14:textId="77777777"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evaluation criteria and methodology to be employed; </w:t>
      </w:r>
    </w:p>
    <w:p w14:paraId="09C528E8" w14:textId="2FD23520"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procedures employed to ensure that all </w:t>
      </w:r>
      <w:r w:rsidR="00153538">
        <w:rPr>
          <w:rFonts w:cstheme="minorHAnsi"/>
        </w:rPr>
        <w:t>b</w:t>
      </w:r>
      <w:r w:rsidR="00153538" w:rsidRPr="00937ED5">
        <w:rPr>
          <w:rFonts w:cstheme="minorHAnsi"/>
        </w:rPr>
        <w:t xml:space="preserve">idders </w:t>
      </w:r>
      <w:r w:rsidRPr="00937ED5">
        <w:rPr>
          <w:rFonts w:cstheme="minorHAnsi"/>
        </w:rPr>
        <w:t xml:space="preserve">would have access to the same information at the same time; </w:t>
      </w:r>
    </w:p>
    <w:p w14:paraId="6BBEFDF5" w14:textId="77777777"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form and content of all draft RFP documents; </w:t>
      </w:r>
    </w:p>
    <w:p w14:paraId="19218A41" w14:textId="2E4CE1AC"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procedures designed to encourage </w:t>
      </w:r>
      <w:r w:rsidR="00153538">
        <w:rPr>
          <w:rFonts w:cstheme="minorHAnsi"/>
        </w:rPr>
        <w:t>b</w:t>
      </w:r>
      <w:r w:rsidR="00153538" w:rsidRPr="00937ED5">
        <w:rPr>
          <w:rFonts w:cstheme="minorHAnsi"/>
        </w:rPr>
        <w:t xml:space="preserve">idder </w:t>
      </w:r>
      <w:r w:rsidRPr="00937ED5">
        <w:rPr>
          <w:rFonts w:cstheme="minorHAnsi"/>
        </w:rPr>
        <w:t xml:space="preserve">input on the quality and content of RFP documents and RFP procedures; and </w:t>
      </w:r>
    </w:p>
    <w:p w14:paraId="36C1A8F8" w14:textId="77777777" w:rsidR="000211AF" w:rsidRPr="00937ED5" w:rsidRDefault="000211AF" w:rsidP="002E47FA">
      <w:pPr>
        <w:numPr>
          <w:ilvl w:val="0"/>
          <w:numId w:val="1"/>
        </w:numPr>
        <w:spacing w:after="120" w:line="240" w:lineRule="auto"/>
        <w:ind w:left="994" w:hanging="274"/>
        <w:jc w:val="both"/>
        <w:rPr>
          <w:rFonts w:cstheme="minorHAnsi"/>
        </w:rPr>
      </w:pPr>
      <w:r w:rsidRPr="00937ED5">
        <w:rPr>
          <w:rFonts w:cstheme="minorHAnsi"/>
        </w:rPr>
        <w:t xml:space="preserve">The design and implementation of the affiliate Standards of Conduct protocols.  </w:t>
      </w:r>
    </w:p>
    <w:p w14:paraId="3E7C0544" w14:textId="78FEAA36" w:rsidR="000211AF" w:rsidRDefault="000211AF" w:rsidP="002E47FA">
      <w:pPr>
        <w:spacing w:after="240" w:line="276" w:lineRule="auto"/>
        <w:ind w:firstLine="720"/>
        <w:jc w:val="both"/>
        <w:rPr>
          <w:rFonts w:cstheme="minorHAnsi"/>
        </w:rPr>
      </w:pPr>
      <w:r w:rsidRPr="00937ED5">
        <w:rPr>
          <w:rFonts w:cstheme="minorHAnsi"/>
        </w:rPr>
        <w:t xml:space="preserve">Accion designed and operated the Website for the receipt of </w:t>
      </w:r>
      <w:r w:rsidR="00153538">
        <w:rPr>
          <w:rFonts w:cstheme="minorHAnsi"/>
        </w:rPr>
        <w:t>b</w:t>
      </w:r>
      <w:r w:rsidR="00153538" w:rsidRPr="00937ED5">
        <w:rPr>
          <w:rFonts w:cstheme="minorHAnsi"/>
        </w:rPr>
        <w:t>ids</w:t>
      </w:r>
      <w:r w:rsidRPr="00937ED5">
        <w:rPr>
          <w:rFonts w:cstheme="minorHAnsi"/>
        </w:rPr>
        <w:t xml:space="preserve">, which hosted and captured for review all RFP-related information and all Website activity.  The Website facilitated Accion’s ability to closely monitor communications during the RFP process.  Accion participated in the </w:t>
      </w:r>
      <w:r w:rsidR="00153538">
        <w:rPr>
          <w:rFonts w:cstheme="minorHAnsi"/>
        </w:rPr>
        <w:t>b</w:t>
      </w:r>
      <w:r w:rsidR="00153538" w:rsidRPr="00937ED5">
        <w:rPr>
          <w:rFonts w:cstheme="minorHAnsi"/>
        </w:rPr>
        <w:t xml:space="preserve">idders’ </w:t>
      </w:r>
      <w:r w:rsidR="00153538">
        <w:rPr>
          <w:rFonts w:cstheme="minorHAnsi"/>
        </w:rPr>
        <w:t>c</w:t>
      </w:r>
      <w:r w:rsidR="00153538" w:rsidRPr="00937ED5">
        <w:rPr>
          <w:rFonts w:cstheme="minorHAnsi"/>
        </w:rPr>
        <w:t>onference</w:t>
      </w:r>
      <w:r w:rsidRPr="00937ED5">
        <w:rPr>
          <w:rFonts w:cstheme="minorHAnsi"/>
        </w:rPr>
        <w:t>.</w:t>
      </w:r>
      <w:r>
        <w:rPr>
          <w:rFonts w:cstheme="minorHAnsi"/>
        </w:rPr>
        <w:t xml:space="preserve"> </w:t>
      </w:r>
      <w:r w:rsidRPr="00937ED5">
        <w:rPr>
          <w:rFonts w:cstheme="minorHAnsi"/>
        </w:rPr>
        <w:t xml:space="preserve">Other than those asked during the Conference, all questions from </w:t>
      </w:r>
      <w:r w:rsidR="00153538">
        <w:rPr>
          <w:rFonts w:cstheme="minorHAnsi"/>
        </w:rPr>
        <w:t>b</w:t>
      </w:r>
      <w:r w:rsidR="00153538" w:rsidRPr="00937ED5">
        <w:rPr>
          <w:rFonts w:cstheme="minorHAnsi"/>
        </w:rPr>
        <w:t xml:space="preserve">idders </w:t>
      </w:r>
      <w:r w:rsidRPr="00937ED5">
        <w:rPr>
          <w:rFonts w:cstheme="minorHAnsi"/>
        </w:rPr>
        <w:t xml:space="preserve">were submitted on the Website and the </w:t>
      </w:r>
      <w:r w:rsidRPr="00937ED5">
        <w:rPr>
          <w:rFonts w:cstheme="minorHAnsi"/>
        </w:rPr>
        <w:lastRenderedPageBreak/>
        <w:t xml:space="preserve">Evaluation Team’s response to each question was reviewed by the IE prior to the question being answered on the Website.  Accion also reviewed the comments provided by the </w:t>
      </w:r>
      <w:r w:rsidR="00153538">
        <w:rPr>
          <w:rFonts w:cstheme="minorHAnsi"/>
        </w:rPr>
        <w:t>b</w:t>
      </w:r>
      <w:r w:rsidR="00153538" w:rsidRPr="00937ED5">
        <w:rPr>
          <w:rFonts w:cstheme="minorHAnsi"/>
        </w:rPr>
        <w:t xml:space="preserve">idders </w:t>
      </w:r>
      <w:r w:rsidRPr="00937ED5">
        <w:rPr>
          <w:rFonts w:cstheme="minorHAnsi"/>
        </w:rPr>
        <w:t xml:space="preserve">before the RFP was released, discussed those comments that suggested changes to the RFP and PPA with the Evaluation Team, and reviewed the Evaluation Team’s responses to the comments, before forwarding them back to the respective </w:t>
      </w:r>
      <w:r w:rsidR="00153538">
        <w:rPr>
          <w:rFonts w:cstheme="minorHAnsi"/>
        </w:rPr>
        <w:t>b</w:t>
      </w:r>
      <w:r w:rsidR="00153538" w:rsidRPr="00937ED5">
        <w:rPr>
          <w:rFonts w:cstheme="minorHAnsi"/>
        </w:rPr>
        <w:t>idders</w:t>
      </w:r>
      <w:r w:rsidRPr="00937ED5">
        <w:rPr>
          <w:rFonts w:cstheme="minorHAnsi"/>
        </w:rPr>
        <w:t xml:space="preserve">.     </w:t>
      </w:r>
    </w:p>
    <w:p w14:paraId="330B4291" w14:textId="77777777" w:rsidR="00920665" w:rsidRPr="005F5726" w:rsidRDefault="00920665" w:rsidP="002E47FA">
      <w:pPr>
        <w:pStyle w:val="ListParagraph"/>
        <w:numPr>
          <w:ilvl w:val="0"/>
          <w:numId w:val="3"/>
        </w:numPr>
        <w:spacing w:after="120"/>
        <w:contextualSpacing w:val="0"/>
        <w:jc w:val="both"/>
        <w:rPr>
          <w:b/>
          <w:bCs/>
        </w:rPr>
      </w:pPr>
      <w:r w:rsidRPr="005F5726">
        <w:rPr>
          <w:b/>
          <w:bCs/>
        </w:rPr>
        <w:t>OVERALL CONCLUSION</w:t>
      </w:r>
    </w:p>
    <w:p w14:paraId="52058CF1" w14:textId="680AE5FC" w:rsidR="00920665" w:rsidRPr="005F5726" w:rsidRDefault="00920665" w:rsidP="002E47FA">
      <w:pPr>
        <w:spacing w:after="120"/>
        <w:ind w:firstLine="720"/>
        <w:jc w:val="both"/>
      </w:pPr>
      <w:r w:rsidRPr="005F5726">
        <w:t>The solicitation for Biomass was conducted by GPC pursuant to the Commission’s rules.  The number of bids was limited</w:t>
      </w:r>
      <w:r w:rsidR="00B557CC">
        <w:t>,</w:t>
      </w:r>
      <w:r w:rsidRPr="005F5726">
        <w:t xml:space="preserve"> and the pricing received for each bid was higher than </w:t>
      </w:r>
      <w:r w:rsidR="00B557CC">
        <w:t xml:space="preserve">the </w:t>
      </w:r>
      <w:r w:rsidRPr="005F5726">
        <w:t xml:space="preserve">avoided costs.  One greenfield bid was released for inability to demonstrate site control and to produce an acceptable letter of credit, leaving only one 70 MW greenfield proposal and two proposals for </w:t>
      </w:r>
      <w:r>
        <w:t xml:space="preserve">combined addition of 7.9 MW </w:t>
      </w:r>
      <w:r w:rsidRPr="005F5726">
        <w:t xml:space="preserve">to existing facilities.   </w:t>
      </w:r>
    </w:p>
    <w:p w14:paraId="39FCD257" w14:textId="5E6B9830" w:rsidR="00920665" w:rsidRPr="005F5726" w:rsidRDefault="00920665" w:rsidP="002E47FA">
      <w:pPr>
        <w:spacing w:after="120"/>
        <w:ind w:firstLine="720"/>
        <w:jc w:val="both"/>
      </w:pPr>
      <w:r w:rsidRPr="005F5726">
        <w:t>The</w:t>
      </w:r>
      <w:r>
        <w:t xml:space="preserve"> bidder of the 70 MW </w:t>
      </w:r>
      <w:r w:rsidRPr="005F5726">
        <w:t>greenfield project</w:t>
      </w:r>
      <w:r>
        <w:t xml:space="preserve"> withdrew its bid, and then returned</w:t>
      </w:r>
      <w:r w:rsidRPr="005F5726">
        <w:t xml:space="preserve"> </w:t>
      </w:r>
      <w:r>
        <w:t>demanding</w:t>
      </w:r>
      <w:r w:rsidRPr="005F5726">
        <w:t xml:space="preserve"> </w:t>
      </w:r>
      <w:r>
        <w:t xml:space="preserve">a </w:t>
      </w:r>
      <w:r w:rsidRPr="005F5726">
        <w:t>levelized price fixed for the 30-year term</w:t>
      </w:r>
      <w:r>
        <w:t>, after having bid an escalating price structure, along with other changes to the PPA</w:t>
      </w:r>
      <w:r w:rsidRPr="005F5726">
        <w:t xml:space="preserve">. </w:t>
      </w:r>
      <w:r>
        <w:t>Staff and the IE accepted the change in price structure because the net impact on ratepayers would not be increased provided the plant operates for 30 years.  However, the IE believes it must be recognized that t</w:t>
      </w:r>
      <w:r w:rsidRPr="005F5726">
        <w:t xml:space="preserve">he calculated net benefit of that project is a cost to ratepayers of more than three times the avoided cost.  While pricing of the two small addition projects is lower, the price of energy </w:t>
      </w:r>
      <w:r>
        <w:t xml:space="preserve">from those projects </w:t>
      </w:r>
      <w:r w:rsidRPr="005F5726">
        <w:t xml:space="preserve">is </w:t>
      </w:r>
      <w:r>
        <w:t xml:space="preserve">twice as </w:t>
      </w:r>
      <w:r w:rsidRPr="005F5726">
        <w:t xml:space="preserve">high </w:t>
      </w:r>
      <w:r>
        <w:t>as GPC’s</w:t>
      </w:r>
      <w:r w:rsidRPr="005F5726">
        <w:t xml:space="preserve"> avoided cost.</w:t>
      </w:r>
    </w:p>
    <w:p w14:paraId="4CC69FC2" w14:textId="77777777" w:rsidR="00AD7617" w:rsidRDefault="00920665" w:rsidP="00AD7617">
      <w:pPr>
        <w:spacing w:after="120"/>
        <w:ind w:firstLine="720"/>
        <w:jc w:val="both"/>
      </w:pPr>
      <w:r w:rsidRPr="005F5726">
        <w:t xml:space="preserve">Although working with bidders to negotiate certain terms of the </w:t>
      </w:r>
      <w:r w:rsidR="00F90777">
        <w:t>pro forma</w:t>
      </w:r>
      <w:r w:rsidRPr="005F5726">
        <w:t xml:space="preserve"> PPA was necessary to execute contracts, and GPC, Staff, and the IE agreed to a limited number of changes, </w:t>
      </w:r>
      <w:r>
        <w:t xml:space="preserve">departure from a non-negotiable PPA is far from </w:t>
      </w:r>
      <w:r w:rsidRPr="005F5726">
        <w:t>ideal.</w:t>
      </w:r>
      <w:r>
        <w:t xml:space="preserve">  As noted, the IE and Staff repeatedly expressed concern about deviation from the commitment that material terms of the PPA would remain non-negotiable, once approved by the Commission.  If bidders expect competitors will be able to negotiate terms after being selected for the competitive tier, there is a significant risk that bidders will “low ball” prices in order to get the opportunity to negotiate greater value.  Also, as clearly demonstrated by this exercise, permitting negotiation of PPA terms dramatically prolongs the RFP process:  indeed, in the instant case </w:t>
      </w:r>
      <w:r w:rsidR="00537441">
        <w:t xml:space="preserve">more than </w:t>
      </w:r>
      <w:r>
        <w:t xml:space="preserve">a year elapsed between the bid submission date and final contract terms being agreed upon.  While the </w:t>
      </w:r>
      <w:r w:rsidR="00537441">
        <w:t>addition of</w:t>
      </w:r>
      <w:r w:rsidR="00B53AA3">
        <w:t xml:space="preserve"> 77.9 MW of</w:t>
      </w:r>
      <w:r w:rsidR="00537441">
        <w:t xml:space="preserve"> </w:t>
      </w:r>
      <w:r>
        <w:t xml:space="preserve">Biomass </w:t>
      </w:r>
      <w:r w:rsidR="00537441">
        <w:t xml:space="preserve">is </w:t>
      </w:r>
      <w:r>
        <w:t xml:space="preserve">insignificant to GPC’s overall generation portfolio, permitting </w:t>
      </w:r>
      <w:r>
        <w:lastRenderedPageBreak/>
        <w:t>this sort of protracted</w:t>
      </w:r>
      <w:r w:rsidR="00995ED8">
        <w:t xml:space="preserve"> </w:t>
      </w:r>
      <w:r>
        <w:t xml:space="preserve">delay in other RFPs would seriously endanger GPC’s ability to meet system needs and ensure reliable resource adequacy for customers. </w:t>
      </w:r>
      <w:r w:rsidRPr="005F5726">
        <w:t xml:space="preserve"> </w:t>
      </w:r>
      <w:r>
        <w:t xml:space="preserve">Accordingly, the IE strongly urges the Commission to direct GPC not to entertain negotiation of </w:t>
      </w:r>
      <w:r w:rsidRPr="005F5726">
        <w:t xml:space="preserve">material terms </w:t>
      </w:r>
      <w:r>
        <w:t>once contracts are approved by the Commissio</w:t>
      </w:r>
      <w:r w:rsidR="00587DB4">
        <w:t>n.</w:t>
      </w:r>
    </w:p>
    <w:p w14:paraId="41626132" w14:textId="77777777" w:rsidR="00AD7617" w:rsidRDefault="00AD7617" w:rsidP="00AD7617">
      <w:pPr>
        <w:spacing w:after="120"/>
        <w:ind w:firstLine="720"/>
        <w:jc w:val="both"/>
        <w:sectPr w:rsidR="00AD7617" w:rsidSect="00AD7617">
          <w:headerReference w:type="default" r:id="rId16"/>
          <w:footerReference w:type="even" r:id="rId17"/>
          <w:footerReference w:type="default" r:id="rId18"/>
          <w:headerReference w:type="first" r:id="rId19"/>
          <w:type w:val="continuous"/>
          <w:pgSz w:w="12240" w:h="15840"/>
          <w:pgMar w:top="1440" w:right="1800" w:bottom="1440" w:left="1440" w:header="720" w:footer="720" w:gutter="0"/>
          <w:pgNumType w:fmt="numberInDash" w:start="0"/>
          <w:cols w:space="720"/>
          <w:titlePg/>
          <w:docGrid w:linePitch="360"/>
        </w:sectPr>
      </w:pPr>
    </w:p>
    <w:p w14:paraId="414C8810" w14:textId="64AA31F4" w:rsidR="009C37A0" w:rsidRDefault="009C37A0" w:rsidP="00AD7617">
      <w:pPr>
        <w:pStyle w:val="ListParagraph"/>
        <w:spacing w:after="120" w:line="259" w:lineRule="auto"/>
        <w:jc w:val="both"/>
        <w:rPr>
          <w:color w:val="000000" w:themeColor="text1"/>
        </w:rPr>
      </w:pPr>
    </w:p>
    <w:sectPr w:rsidR="009C37A0" w:rsidSect="00AD7617">
      <w:headerReference w:type="even" r:id="rId20"/>
      <w:headerReference w:type="default" r:id="rId21"/>
      <w:footerReference w:type="default" r:id="rId22"/>
      <w:headerReference w:type="first" r:id="rId23"/>
      <w:footerReference w:type="first" r:id="rId24"/>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7F3A8" w14:textId="77777777" w:rsidR="00176B1F" w:rsidRDefault="00176B1F" w:rsidP="00A12E51">
      <w:pPr>
        <w:spacing w:after="0" w:line="240" w:lineRule="auto"/>
      </w:pPr>
      <w:r>
        <w:separator/>
      </w:r>
    </w:p>
  </w:endnote>
  <w:endnote w:type="continuationSeparator" w:id="0">
    <w:p w14:paraId="298F441D" w14:textId="77777777" w:rsidR="00176B1F" w:rsidRDefault="00176B1F" w:rsidP="00A1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2974030"/>
      <w:docPartObj>
        <w:docPartGallery w:val="Page Numbers (Bottom of Page)"/>
        <w:docPartUnique/>
      </w:docPartObj>
    </w:sdtPr>
    <w:sdtContent>
      <w:p w14:paraId="504455BD" w14:textId="7B40BF6F" w:rsidR="008854C9" w:rsidRDefault="008854C9" w:rsidP="008854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99553" w14:textId="77777777" w:rsidR="009E377F" w:rsidRDefault="009E377F" w:rsidP="00A66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F7615" w14:textId="442D0641" w:rsidR="009E377F" w:rsidRDefault="00A12E51" w:rsidP="00A66BB7">
    <w:pPr>
      <w:pStyle w:val="Footer"/>
      <w:ind w:right="360"/>
      <w:jc w:val="center"/>
      <w:rPr>
        <w:rFonts w:cs="Arial"/>
        <w:sz w:val="16"/>
        <w:szCs w:val="16"/>
      </w:rPr>
    </w:pPr>
    <w:r>
      <w:rPr>
        <w:rFonts w:cs="Arial"/>
        <w:sz w:val="16"/>
        <w:szCs w:val="16"/>
      </w:rPr>
      <w:tab/>
    </w:r>
    <w:r w:rsidR="009E377F">
      <w:rPr>
        <w:noProof/>
      </w:rPr>
      <w:t xml:space="preserve"> </w:t>
    </w:r>
    <w:r>
      <w:rPr>
        <w:rFonts w:cs="Arial"/>
        <w:sz w:val="16"/>
        <w:szCs w:val="16"/>
      </w:rPr>
      <w:t xml:space="preserve">   </w:t>
    </w:r>
    <w:r>
      <w:rPr>
        <w:rFonts w:cs="Arial"/>
        <w:sz w:val="16"/>
        <w:szCs w:val="16"/>
      </w:rPr>
      <w:tab/>
    </w:r>
  </w:p>
  <w:p w14:paraId="23FE1EA8" w14:textId="4402F351" w:rsidR="009E377F" w:rsidRDefault="009E377F" w:rsidP="00A12E51">
    <w:pPr>
      <w:pStyle w:val="Footer"/>
      <w:jc w:val="center"/>
      <w:rPr>
        <w:rFonts w:cs="Arial"/>
        <w:sz w:val="16"/>
        <w:szCs w:val="16"/>
      </w:rPr>
    </w:pPr>
  </w:p>
  <w:p w14:paraId="18F37C6D" w14:textId="403D4564" w:rsidR="009E377F" w:rsidRDefault="00053BB9" w:rsidP="00A12E51">
    <w:pPr>
      <w:pStyle w:val="Footer"/>
      <w:jc w:val="center"/>
      <w:rPr>
        <w:rFonts w:cs="Arial"/>
        <w:sz w:val="16"/>
        <w:szCs w:val="16"/>
      </w:rPr>
    </w:pPr>
    <w:r>
      <w:rPr>
        <w:noProof/>
      </w:rPr>
      <w:drawing>
        <wp:anchor distT="0" distB="0" distL="114300" distR="114300" simplePos="0" relativeHeight="251659264" behindDoc="0" locked="0" layoutInCell="1" allowOverlap="1" wp14:anchorId="294C5286" wp14:editId="72F2E4D4">
          <wp:simplePos x="0" y="0"/>
          <wp:positionH relativeFrom="margin">
            <wp:align>center</wp:align>
          </wp:positionH>
          <wp:positionV relativeFrom="paragraph">
            <wp:posOffset>7620</wp:posOffset>
          </wp:positionV>
          <wp:extent cx="1371600" cy="240030"/>
          <wp:effectExtent l="0" t="0" r="0" b="7620"/>
          <wp:wrapNone/>
          <wp:docPr id="956426586" name="Picture 0" descr="horiz-1.5in-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1.5in-600dpi.png"/>
                  <pic:cNvPicPr/>
                </pic:nvPicPr>
                <pic:blipFill>
                  <a:blip r:embed="rId1"/>
                  <a:stretch>
                    <a:fillRect/>
                  </a:stretch>
                </pic:blipFill>
                <pic:spPr>
                  <a:xfrm>
                    <a:off x="0" y="0"/>
                    <a:ext cx="1371600" cy="240030"/>
                  </a:xfrm>
                  <a:prstGeom prst="rect">
                    <a:avLst/>
                  </a:prstGeom>
                </pic:spPr>
              </pic:pic>
            </a:graphicData>
          </a:graphic>
        </wp:anchor>
      </w:drawing>
    </w:r>
    <w:r w:rsidR="00A12E51">
      <w:rPr>
        <w:rFonts w:cs="Arial"/>
        <w:sz w:val="16"/>
        <w:szCs w:val="16"/>
      </w:rPr>
      <w:t xml:space="preserve"> </w:t>
    </w:r>
  </w:p>
  <w:sdt>
    <w:sdtPr>
      <w:rPr>
        <w:rStyle w:val="PageNumber"/>
      </w:rPr>
      <w:id w:val="-1095177167"/>
      <w:docPartObj>
        <w:docPartGallery w:val="Page Numbers (Bottom of Page)"/>
        <w:docPartUnique/>
      </w:docPartObj>
    </w:sdtPr>
    <w:sdtContent>
      <w:p w14:paraId="0996E239" w14:textId="77777777" w:rsidR="00053BB9" w:rsidRDefault="00053BB9" w:rsidP="00053BB9">
        <w:pPr>
          <w:pStyle w:val="Footer"/>
          <w:framePr w:wrap="none" w:vAnchor="text" w:hAnchor="page" w:x="10966" w:y="6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8381C9F" w14:textId="1F5E07B9" w:rsidR="009E377F" w:rsidRDefault="00803876" w:rsidP="009E377F">
    <w:pPr>
      <w:pStyle w:val="Footer"/>
      <w:jc w:val="center"/>
      <w:rPr>
        <w:rFonts w:cs="Arial"/>
        <w:sz w:val="16"/>
        <w:szCs w:val="16"/>
      </w:rPr>
    </w:pPr>
    <w:r>
      <w:rPr>
        <w:noProof/>
      </w:rPr>
      <mc:AlternateContent>
        <mc:Choice Requires="wps">
          <w:drawing>
            <wp:anchor distT="0" distB="0" distL="114300" distR="114300" simplePos="0" relativeHeight="251660288" behindDoc="0" locked="0" layoutInCell="1" allowOverlap="1" wp14:anchorId="464D097F" wp14:editId="179DE4C5">
              <wp:simplePos x="0" y="0"/>
              <wp:positionH relativeFrom="column">
                <wp:posOffset>-885825</wp:posOffset>
              </wp:positionH>
              <wp:positionV relativeFrom="paragraph">
                <wp:posOffset>201295</wp:posOffset>
              </wp:positionV>
              <wp:extent cx="7677150" cy="19050"/>
              <wp:effectExtent l="0" t="0" r="0" b="0"/>
              <wp:wrapNone/>
              <wp:docPr id="443520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0"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BB850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5.85pt" to="534.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" strokecolor="black [3213]" strokeweight=".5pt">
              <v:stroke joinstyle="miter"/>
              <o:lock v:ext="edit" shapetype="f"/>
            </v:line>
          </w:pict>
        </mc:Fallback>
      </mc:AlternateContent>
    </w:r>
    <w:r w:rsidR="009E377F">
      <w:rPr>
        <w:rFonts w:cs="Arial"/>
        <w:sz w:val="16"/>
        <w:szCs w:val="16"/>
      </w:rPr>
      <w:t xml:space="preserve">                                                                                                                                                                                                                                                                                                                                                                                                                                                                                                                    </w:t>
    </w:r>
  </w:p>
  <w:p w14:paraId="1B3616D3" w14:textId="3213A885" w:rsidR="00A12E51" w:rsidRPr="008854C9" w:rsidRDefault="009E377F" w:rsidP="008854C9">
    <w:pPr>
      <w:pStyle w:val="Footer"/>
      <w:jc w:val="center"/>
      <w:rPr>
        <w:rFonts w:cs="Arial"/>
        <w:sz w:val="16"/>
        <w:szCs w:val="16"/>
      </w:rPr>
    </w:pPr>
    <w:r>
      <w:rPr>
        <w:rFonts w:cs="Arial"/>
        <w:sz w:val="16"/>
        <w:szCs w:val="16"/>
      </w:rPr>
      <w:t xml:space="preserve">                                                            </w:t>
    </w:r>
    <w:r w:rsidR="00A12E51">
      <w:rPr>
        <w:rFonts w:cs="Arial"/>
        <w:sz w:val="16"/>
        <w:szCs w:val="16"/>
      </w:rPr>
      <w:br/>
    </w:r>
    <w:r w:rsidR="008854C9">
      <w:rPr>
        <w:rFonts w:cs="Arial"/>
        <w:sz w:val="16"/>
        <w:szCs w:val="16"/>
      </w:rPr>
      <w:t xml:space="preserve"> </w:t>
    </w:r>
    <w:r w:rsidR="00A12E51" w:rsidRPr="004664C7">
      <w:rPr>
        <w:rFonts w:cs="Arial"/>
        <w:sz w:val="16"/>
        <w:szCs w:val="16"/>
      </w:rPr>
      <w:t xml:space="preserve">244 North Main Street </w:t>
    </w:r>
    <w:r w:rsidR="00A12E51" w:rsidRPr="004664C7">
      <w:rPr>
        <w:rFonts w:cs="Arial"/>
        <w:sz w:val="16"/>
        <w:szCs w:val="16"/>
      </w:rPr>
      <w:sym w:font="Wingdings 2" w:char="F097"/>
    </w:r>
    <w:r w:rsidR="00A12E51" w:rsidRPr="004664C7">
      <w:rPr>
        <w:rFonts w:cs="Arial"/>
        <w:sz w:val="16"/>
        <w:szCs w:val="16"/>
      </w:rPr>
      <w:t xml:space="preserve"> Concord, NH 03301 </w:t>
    </w:r>
    <w:r w:rsidR="00A12E51" w:rsidRPr="004664C7">
      <w:rPr>
        <w:rFonts w:cs="Arial"/>
        <w:sz w:val="16"/>
        <w:szCs w:val="16"/>
      </w:rPr>
      <w:sym w:font="Wingdings 2" w:char="F097"/>
    </w:r>
    <w:r w:rsidR="00A12E51" w:rsidRPr="004664C7">
      <w:rPr>
        <w:rFonts w:cs="Arial"/>
        <w:sz w:val="16"/>
        <w:szCs w:val="16"/>
      </w:rPr>
      <w:t xml:space="preserve"> Phone: 603-229-1644 </w:t>
    </w:r>
    <w:r w:rsidR="00A12E51" w:rsidRPr="004664C7">
      <w:rPr>
        <w:rFonts w:cs="Arial"/>
        <w:sz w:val="16"/>
        <w:szCs w:val="16"/>
      </w:rPr>
      <w:sym w:font="Wingdings 2" w:char="F097"/>
    </w:r>
    <w:r w:rsidR="00A12E51" w:rsidRPr="004664C7">
      <w:rPr>
        <w:rFonts w:cs="Arial"/>
        <w:sz w:val="16"/>
        <w:szCs w:val="16"/>
      </w:rPr>
      <w:t xml:space="preserve"> Fax: 603-225-4923 </w:t>
    </w:r>
    <w:r w:rsidR="00A12E51" w:rsidRPr="004664C7">
      <w:rPr>
        <w:rFonts w:cs="Arial"/>
        <w:sz w:val="16"/>
        <w:szCs w:val="16"/>
      </w:rPr>
      <w:sym w:font="Wingdings 2" w:char="F097"/>
    </w:r>
    <w:r w:rsidR="00A12E51" w:rsidRPr="004664C7">
      <w:rPr>
        <w:rFonts w:cs="Arial"/>
        <w:sz w:val="16"/>
        <w:szCs w:val="16"/>
      </w:rPr>
      <w:t xml:space="preserve"> advisors@acciongroup.com</w:t>
    </w:r>
  </w:p>
  <w:p w14:paraId="62F22036" w14:textId="5386C16A" w:rsidR="00A12E51" w:rsidRDefault="00A12E51">
    <w:pPr>
      <w:pStyle w:val="Footer"/>
    </w:pPr>
  </w:p>
  <w:p w14:paraId="70CBF342" w14:textId="707F6928" w:rsidR="00A12E51" w:rsidRDefault="00A12E51" w:rsidP="00A12E5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8424" w14:textId="77777777" w:rsidR="00AD7617" w:rsidRDefault="00AD7617" w:rsidP="00A66BB7">
    <w:pPr>
      <w:pStyle w:val="Footer"/>
      <w:ind w:right="360"/>
      <w:jc w:val="center"/>
      <w:rPr>
        <w:rFonts w:cs="Arial"/>
        <w:sz w:val="16"/>
        <w:szCs w:val="16"/>
      </w:rPr>
    </w:pPr>
    <w:r>
      <w:rPr>
        <w:rFonts w:cs="Arial"/>
        <w:sz w:val="16"/>
        <w:szCs w:val="16"/>
      </w:rPr>
      <w:tab/>
    </w:r>
    <w:r>
      <w:rPr>
        <w:noProof/>
      </w:rPr>
      <w:t xml:space="preserve"> </w:t>
    </w:r>
    <w:r>
      <w:rPr>
        <w:rFonts w:cs="Arial"/>
        <w:sz w:val="16"/>
        <w:szCs w:val="16"/>
      </w:rPr>
      <w:t xml:space="preserve">   </w:t>
    </w:r>
    <w:r>
      <w:rPr>
        <w:rFonts w:cs="Arial"/>
        <w:sz w:val="16"/>
        <w:szCs w:val="16"/>
      </w:rPr>
      <w:tab/>
    </w:r>
  </w:p>
  <w:p w14:paraId="164C2743" w14:textId="77777777" w:rsidR="00AD7617" w:rsidRDefault="00AD7617">
    <w:pPr>
      <w:pStyle w:val="Footer"/>
    </w:pPr>
  </w:p>
  <w:p w14:paraId="028AE287" w14:textId="77777777" w:rsidR="00AD7617" w:rsidRDefault="00AD7617" w:rsidP="00A12E5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188E" w14:textId="47737658" w:rsidR="00D510B3" w:rsidRDefault="00D510B3" w:rsidP="00AD7617">
    <w:pPr>
      <w:pStyle w:val="Footer"/>
    </w:pPr>
  </w:p>
  <w:p w14:paraId="2F4108A2" w14:textId="77777777" w:rsidR="00D510B3" w:rsidRDefault="00D5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CD66B" w14:textId="77777777" w:rsidR="00176B1F" w:rsidRDefault="00176B1F" w:rsidP="00A12E51">
      <w:pPr>
        <w:spacing w:after="0" w:line="240" w:lineRule="auto"/>
      </w:pPr>
      <w:r>
        <w:separator/>
      </w:r>
    </w:p>
  </w:footnote>
  <w:footnote w:type="continuationSeparator" w:id="0">
    <w:p w14:paraId="6CED4960" w14:textId="77777777" w:rsidR="00176B1F" w:rsidRDefault="00176B1F" w:rsidP="00A12E51">
      <w:pPr>
        <w:spacing w:after="0" w:line="240" w:lineRule="auto"/>
      </w:pPr>
      <w:r>
        <w:continuationSeparator/>
      </w:r>
    </w:p>
  </w:footnote>
  <w:footnote w:id="1">
    <w:p w14:paraId="1214DFF5" w14:textId="7211D280" w:rsidR="00512275" w:rsidRDefault="00512275">
      <w:pPr>
        <w:pStyle w:val="FootnoteText"/>
      </w:pPr>
      <w:r>
        <w:rPr>
          <w:rStyle w:val="FootnoteReference"/>
        </w:rPr>
        <w:footnoteRef/>
      </w:r>
      <w:r>
        <w:t xml:space="preserve"> Final 2022 IRP Order, Document 191010 in Dockets 44160 and 44161, Order Adopting Stipulation, dated July 29, 2022</w:t>
      </w:r>
      <w:r w:rsidR="00DE1605">
        <w:t>.</w:t>
      </w:r>
    </w:p>
  </w:footnote>
  <w:footnote w:id="2">
    <w:p w14:paraId="0F3621F7" w14:textId="76262761" w:rsidR="0035675B" w:rsidRDefault="0035675B" w:rsidP="0035675B">
      <w:pPr>
        <w:pStyle w:val="FootnoteText"/>
        <w:jc w:val="both"/>
      </w:pPr>
      <w:r>
        <w:rPr>
          <w:rStyle w:val="FootnoteReference"/>
          <w:rFonts w:eastAsiaTheme="majorEastAsia"/>
        </w:rPr>
        <w:footnoteRef/>
      </w:r>
      <w:r>
        <w:t xml:space="preserve"> As per the statute, “</w:t>
      </w:r>
      <w:r w:rsidRPr="00B70D95">
        <w:t xml:space="preserve">the term </w:t>
      </w:r>
      <w:r>
        <w:t>‘</w:t>
      </w:r>
      <w:r w:rsidR="00BA3E7A">
        <w:t>Biomass</w:t>
      </w:r>
      <w:r w:rsidRPr="00B70D95">
        <w:t xml:space="preserve"> material</w:t>
      </w:r>
      <w:r>
        <w:t>’</w:t>
      </w:r>
      <w:r w:rsidRPr="00B70D95">
        <w:t xml:space="preserve"> means organic matter, excluding fossil fuels, including agricultural crops, plants, trees, wood, wood wastes and residues, sawmill waste, sawdust, wood chips, bark chips, and forest thinning, harvesting, or clearing residues; wood waste from pallets or other wood demolition debris; peanut shells; pecan shells; cotton plants; corn stalks; and plant matter, including aquatic plants, grasses, stalks, vegetation, and residues, including hulls, shells, or cellulose containing fibers</w:t>
      </w:r>
      <w:r>
        <w:t>.”</w:t>
      </w:r>
    </w:p>
    <w:p w14:paraId="2AC1BD80" w14:textId="77777777" w:rsidR="0035675B" w:rsidRDefault="0035675B" w:rsidP="0035675B">
      <w:pPr>
        <w:pStyle w:val="FootnoteText"/>
        <w:jc w:val="both"/>
      </w:pPr>
    </w:p>
  </w:footnote>
  <w:footnote w:id="3">
    <w:p w14:paraId="21664A13" w14:textId="1FA0FE5B" w:rsidR="000211AF" w:rsidRDefault="000211AF" w:rsidP="002E47FA">
      <w:pPr>
        <w:pStyle w:val="FootnoteText"/>
        <w:spacing w:after="0" w:line="240" w:lineRule="auto"/>
      </w:pPr>
      <w:r>
        <w:rPr>
          <w:rStyle w:val="FootnoteReference"/>
        </w:rPr>
        <w:footnoteRef/>
      </w:r>
      <w:r>
        <w:t xml:space="preserve"> “COD” refers to the project commercial operation date.</w:t>
      </w:r>
    </w:p>
  </w:footnote>
  <w:footnote w:id="4">
    <w:p w14:paraId="642B4465" w14:textId="154C9D2D" w:rsidR="000D6216" w:rsidRDefault="000D6216" w:rsidP="00995ED8">
      <w:pPr>
        <w:pStyle w:val="FootnoteText"/>
        <w:spacing w:after="0"/>
      </w:pPr>
      <w:r>
        <w:rPr>
          <w:rStyle w:val="FootnoteReference"/>
        </w:rPr>
        <w:footnoteRef/>
      </w:r>
      <w:r>
        <w:t xml:space="preserve"> As discussed below, </w:t>
      </w:r>
      <w:r w:rsidR="002A67D4">
        <w:t xml:space="preserve">during negotiations, </w:t>
      </w:r>
      <w:r>
        <w:t>the price of this bid was converted to an equivalent levelized price.</w:t>
      </w:r>
    </w:p>
  </w:footnote>
  <w:footnote w:id="5">
    <w:p w14:paraId="7E96460D" w14:textId="5CDC1898" w:rsidR="005F5726" w:rsidRDefault="005F5726" w:rsidP="00995ED8">
      <w:pPr>
        <w:pStyle w:val="FootnoteText"/>
        <w:spacing w:after="0"/>
      </w:pPr>
      <w:r>
        <w:rPr>
          <w:rStyle w:val="FootnoteReference"/>
        </w:rPr>
        <w:footnoteRef/>
      </w:r>
      <w:r>
        <w:t xml:space="preserve"> Acceptable forms of security were cash</w:t>
      </w:r>
      <w:r w:rsidR="006163C6">
        <w:t>, a Surety Bond,</w:t>
      </w:r>
      <w:r>
        <w:t xml:space="preserve"> and </w:t>
      </w:r>
      <w:r w:rsidR="006163C6">
        <w:t>LOC</w:t>
      </w:r>
      <w:r>
        <w:t>.</w:t>
      </w:r>
    </w:p>
  </w:footnote>
  <w:footnote w:id="6">
    <w:p w14:paraId="46F3AC03" w14:textId="6EECA4DE" w:rsidR="005F5726" w:rsidRDefault="005F5726">
      <w:pPr>
        <w:pStyle w:val="FootnoteText"/>
      </w:pPr>
      <w:r>
        <w:rPr>
          <w:rStyle w:val="FootnoteReference"/>
        </w:rPr>
        <w:footnoteRef/>
      </w:r>
      <w:r>
        <w:t xml:space="preserve"> </w:t>
      </w:r>
      <w:r w:rsidR="00DE1605">
        <w:t xml:space="preserve">2022 IRP Order </w:t>
      </w:r>
      <w:r w:rsidR="0080358E">
        <w:t>P43</w:t>
      </w:r>
      <w:r w:rsidR="00DE160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4243" w14:textId="77777777" w:rsidR="00AD7617" w:rsidRDefault="00AD7617" w:rsidP="00AD7617">
    <w:pPr>
      <w:pStyle w:val="Header"/>
      <w:tabs>
        <w:tab w:val="clear" w:pos="4680"/>
      </w:tabs>
      <w:jc w:val="right"/>
      <w:rPr>
        <w:b/>
        <w:bCs/>
        <w:color w:val="FF0000"/>
      </w:rPr>
    </w:pPr>
  </w:p>
  <w:p w14:paraId="0B13F303" w14:textId="77777777" w:rsidR="00AD7617" w:rsidRDefault="00AD7617" w:rsidP="00AD7617">
    <w:pPr>
      <w:pStyle w:val="Header"/>
      <w:tabs>
        <w:tab w:val="clear" w:pos="4680"/>
      </w:tabs>
      <w:jc w:val="right"/>
      <w:rPr>
        <w:b/>
        <w:bCs/>
        <w:color w:val="FF0000"/>
      </w:rPr>
    </w:pPr>
    <w:r>
      <w:rPr>
        <w:b/>
        <w:bCs/>
        <w:color w:val="FF0000"/>
      </w:rPr>
      <w:t>NON-TRADE SECRET VERSION</w:t>
    </w:r>
  </w:p>
  <w:p w14:paraId="68437138" w14:textId="365EDD0F" w:rsidR="004357D3" w:rsidRPr="004357D3" w:rsidRDefault="004357D3" w:rsidP="004357D3">
    <w:pPr>
      <w:pStyle w:val="Header"/>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50C4" w14:textId="6B51AEBD" w:rsidR="009C37A0" w:rsidRDefault="009C37A0" w:rsidP="004357D3">
    <w:pPr>
      <w:pStyle w:val="Header"/>
      <w:tabs>
        <w:tab w:val="clear" w:pos="4680"/>
      </w:tabs>
      <w:jc w:val="right"/>
      <w:rPr>
        <w:b/>
        <w:bCs/>
        <w:color w:val="FF0000"/>
      </w:rPr>
    </w:pPr>
    <w:bookmarkStart w:id="2" w:name="_Hlk174461983"/>
    <w:bookmarkStart w:id="3" w:name="_Hlk174461984"/>
  </w:p>
  <w:p w14:paraId="6E69BF66" w14:textId="5D272C21" w:rsidR="009C37A0" w:rsidRDefault="00AD7617" w:rsidP="004357D3">
    <w:pPr>
      <w:pStyle w:val="Header"/>
      <w:tabs>
        <w:tab w:val="clear" w:pos="4680"/>
      </w:tabs>
      <w:jc w:val="right"/>
      <w:rPr>
        <w:b/>
        <w:bCs/>
        <w:color w:val="FF0000"/>
      </w:rPr>
    </w:pPr>
    <w:r>
      <w:rPr>
        <w:b/>
        <w:bCs/>
        <w:color w:val="FF0000"/>
      </w:rPr>
      <w:t>NON-TRADE SECRET VERSION</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CF3C" w14:textId="4368680A" w:rsidR="00D510B3" w:rsidRDefault="00D51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B5A9" w14:textId="77777777" w:rsidR="00D510B3" w:rsidRPr="00AD7617" w:rsidRDefault="00D510B3" w:rsidP="00AD76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834CE" w14:textId="643ABA3E" w:rsidR="00D510B3" w:rsidRPr="00891FB3" w:rsidRDefault="00D510B3" w:rsidP="009B098C">
    <w:pPr>
      <w:pStyle w:val="Header"/>
      <w:jc w:val="cent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2D7B"/>
    <w:multiLevelType w:val="hybridMultilevel"/>
    <w:tmpl w:val="BC70910C"/>
    <w:lvl w:ilvl="0" w:tplc="E08262B8">
      <w:start w:val="1"/>
      <w:numFmt w:val="upperLetter"/>
      <w:lvlText w:val="%1."/>
      <w:lvlJc w:val="left"/>
      <w:pPr>
        <w:ind w:left="720" w:hanging="360"/>
      </w:pPr>
      <w:rPr>
        <w:b/>
        <w:bCs/>
        <w:color w:val="0F476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137"/>
    <w:multiLevelType w:val="hybridMultilevel"/>
    <w:tmpl w:val="05D88024"/>
    <w:lvl w:ilvl="0" w:tplc="EF30B5E2">
      <w:start w:val="1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A569C"/>
    <w:multiLevelType w:val="hybridMultilevel"/>
    <w:tmpl w:val="B8DA2C08"/>
    <w:lvl w:ilvl="0" w:tplc="95B0E75A">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003FB"/>
    <w:multiLevelType w:val="hybridMultilevel"/>
    <w:tmpl w:val="BD4484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50D5A"/>
    <w:multiLevelType w:val="hybridMultilevel"/>
    <w:tmpl w:val="DE0E6BEC"/>
    <w:lvl w:ilvl="0" w:tplc="FFFFFFFF">
      <w:start w:val="6"/>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27851"/>
    <w:multiLevelType w:val="hybridMultilevel"/>
    <w:tmpl w:val="2A1272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F4CCE"/>
    <w:multiLevelType w:val="hybridMultilevel"/>
    <w:tmpl w:val="DE0E6BEC"/>
    <w:lvl w:ilvl="0" w:tplc="E37A5D52">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B7DE4"/>
    <w:multiLevelType w:val="hybridMultilevel"/>
    <w:tmpl w:val="AE94DBFE"/>
    <w:lvl w:ilvl="0" w:tplc="F7ECA3E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22159"/>
    <w:multiLevelType w:val="hybridMultilevel"/>
    <w:tmpl w:val="17D2546E"/>
    <w:lvl w:ilvl="0" w:tplc="3836CB76">
      <w:start w:val="7"/>
      <w:numFmt w:val="upperRoman"/>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655A5"/>
    <w:multiLevelType w:val="hybridMultilevel"/>
    <w:tmpl w:val="899EEE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585B"/>
    <w:multiLevelType w:val="hybridMultilevel"/>
    <w:tmpl w:val="160E6570"/>
    <w:lvl w:ilvl="0" w:tplc="082270D6">
      <w:start w:val="1"/>
      <w:numFmt w:val="upperLetter"/>
      <w:lvlText w:val="%1."/>
      <w:lvlJc w:val="left"/>
      <w:pPr>
        <w:ind w:left="720" w:hanging="360"/>
      </w:pPr>
      <w:rPr>
        <w:color w:val="0F476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5DE4"/>
    <w:multiLevelType w:val="hybridMultilevel"/>
    <w:tmpl w:val="8C6CA0DA"/>
    <w:lvl w:ilvl="0" w:tplc="2E8CFA6C">
      <w:start w:val="1"/>
      <w:numFmt w:val="upperLetter"/>
      <w:lvlText w:val="%1."/>
      <w:lvlJc w:val="left"/>
      <w:pPr>
        <w:ind w:left="720" w:hanging="360"/>
      </w:pPr>
      <w:rPr>
        <w:b/>
        <w:bCs/>
        <w:color w:val="0F476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12B29"/>
    <w:multiLevelType w:val="hybridMultilevel"/>
    <w:tmpl w:val="CD4A1090"/>
    <w:lvl w:ilvl="0" w:tplc="DDBAAB2C">
      <w:start w:val="4"/>
      <w:numFmt w:val="upperLetter"/>
      <w:lvlText w:val="%1."/>
      <w:lvlJc w:val="left"/>
      <w:pPr>
        <w:ind w:left="720" w:hanging="360"/>
      </w:pPr>
      <w:rPr>
        <w:rFonts w:hint="default"/>
        <w:b/>
        <w:bCs/>
        <w:i w:val="0"/>
        <w:strike w:val="0"/>
        <w:dstrike w:val="0"/>
        <w:color w:val="0F4761" w:themeColor="accent1" w:themeShade="BF"/>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42EEC"/>
    <w:multiLevelType w:val="hybridMultilevel"/>
    <w:tmpl w:val="23D645E0"/>
    <w:lvl w:ilvl="0" w:tplc="FE6E822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B5E6E"/>
    <w:multiLevelType w:val="hybridMultilevel"/>
    <w:tmpl w:val="C834E7AE"/>
    <w:lvl w:ilvl="0" w:tplc="04090015">
      <w:start w:val="1"/>
      <w:numFmt w:val="upp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5" w15:restartNumberingAfterBreak="0">
    <w:nsid w:val="48D969F3"/>
    <w:multiLevelType w:val="hybridMultilevel"/>
    <w:tmpl w:val="907693E6"/>
    <w:lvl w:ilvl="0" w:tplc="7D1876AC">
      <w:start w:val="5"/>
      <w:numFmt w:val="upperRoman"/>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A4E87"/>
    <w:multiLevelType w:val="hybridMultilevel"/>
    <w:tmpl w:val="103C0FC0"/>
    <w:lvl w:ilvl="0" w:tplc="EB4AF3D8">
      <w:start w:val="1"/>
      <w:numFmt w:val="upperLetter"/>
      <w:lvlText w:val="%1."/>
      <w:lvlJc w:val="left"/>
      <w:pPr>
        <w:ind w:left="720" w:hanging="360"/>
      </w:pPr>
      <w:rPr>
        <w:rFonts w:hint="default"/>
        <w:b/>
        <w:bCs/>
        <w:color w:val="0F4761"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AB2C45"/>
    <w:multiLevelType w:val="hybridMultilevel"/>
    <w:tmpl w:val="DE0E6BEC"/>
    <w:lvl w:ilvl="0" w:tplc="FFFFFFFF">
      <w:start w:val="6"/>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BD1117"/>
    <w:multiLevelType w:val="hybridMultilevel"/>
    <w:tmpl w:val="C0226628"/>
    <w:lvl w:ilvl="0" w:tplc="938CD95A">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133B2"/>
    <w:multiLevelType w:val="hybridMultilevel"/>
    <w:tmpl w:val="51B8813A"/>
    <w:lvl w:ilvl="0" w:tplc="E842E5AA">
      <w:start w:val="2"/>
      <w:numFmt w:val="upperLetter"/>
      <w:lvlText w:val="%1."/>
      <w:lvlJc w:val="left"/>
      <w:pPr>
        <w:ind w:left="1440" w:hanging="360"/>
      </w:pPr>
      <w:rPr>
        <w:rFonts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3B02E9"/>
    <w:multiLevelType w:val="hybridMultilevel"/>
    <w:tmpl w:val="223842CA"/>
    <w:lvl w:ilvl="0" w:tplc="870A3138">
      <w:start w:val="1"/>
      <w:numFmt w:val="upperRoman"/>
      <w:lvlText w:val="%1."/>
      <w:lvlJc w:val="righ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118BA"/>
    <w:multiLevelType w:val="hybridMultilevel"/>
    <w:tmpl w:val="86247D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073591"/>
    <w:multiLevelType w:val="hybridMultilevel"/>
    <w:tmpl w:val="69E63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854F55"/>
    <w:multiLevelType w:val="hybridMultilevel"/>
    <w:tmpl w:val="532C3B0A"/>
    <w:lvl w:ilvl="0" w:tplc="C2A49FAA">
      <w:start w:val="1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C100C"/>
    <w:multiLevelType w:val="hybridMultilevel"/>
    <w:tmpl w:val="8288155E"/>
    <w:lvl w:ilvl="0" w:tplc="A4D65586">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49150">
    <w:abstractNumId w:val="22"/>
  </w:num>
  <w:num w:numId="2" w16cid:durableId="1716807014">
    <w:abstractNumId w:val="13"/>
  </w:num>
  <w:num w:numId="3" w16cid:durableId="2129934718">
    <w:abstractNumId w:val="20"/>
  </w:num>
  <w:num w:numId="4" w16cid:durableId="14426147">
    <w:abstractNumId w:val="9"/>
  </w:num>
  <w:num w:numId="5" w16cid:durableId="263614992">
    <w:abstractNumId w:val="7"/>
  </w:num>
  <w:num w:numId="6" w16cid:durableId="1464496472">
    <w:abstractNumId w:val="0"/>
  </w:num>
  <w:num w:numId="7" w16cid:durableId="1819106194">
    <w:abstractNumId w:val="10"/>
  </w:num>
  <w:num w:numId="8" w16cid:durableId="807430231">
    <w:abstractNumId w:val="11"/>
  </w:num>
  <w:num w:numId="9" w16cid:durableId="1474710469">
    <w:abstractNumId w:val="6"/>
  </w:num>
  <w:num w:numId="10" w16cid:durableId="1549877148">
    <w:abstractNumId w:val="3"/>
  </w:num>
  <w:num w:numId="11" w16cid:durableId="50352624">
    <w:abstractNumId w:val="17"/>
  </w:num>
  <w:num w:numId="12" w16cid:durableId="1750150089">
    <w:abstractNumId w:val="16"/>
  </w:num>
  <w:num w:numId="13" w16cid:durableId="1833985587">
    <w:abstractNumId w:val="4"/>
  </w:num>
  <w:num w:numId="14" w16cid:durableId="618999048">
    <w:abstractNumId w:val="15"/>
  </w:num>
  <w:num w:numId="15" w16cid:durableId="128864400">
    <w:abstractNumId w:val="18"/>
  </w:num>
  <w:num w:numId="16" w16cid:durableId="22828915">
    <w:abstractNumId w:val="8"/>
  </w:num>
  <w:num w:numId="17" w16cid:durableId="1205561110">
    <w:abstractNumId w:val="24"/>
  </w:num>
  <w:num w:numId="18" w16cid:durableId="1914585409">
    <w:abstractNumId w:val="2"/>
  </w:num>
  <w:num w:numId="19" w16cid:durableId="561066627">
    <w:abstractNumId w:val="1"/>
  </w:num>
  <w:num w:numId="20" w16cid:durableId="1655377723">
    <w:abstractNumId w:val="23"/>
  </w:num>
  <w:num w:numId="21" w16cid:durableId="1006178133">
    <w:abstractNumId w:val="19"/>
  </w:num>
  <w:num w:numId="22" w16cid:durableId="1821731714">
    <w:abstractNumId w:val="12"/>
  </w:num>
  <w:num w:numId="23" w16cid:durableId="1028071145">
    <w:abstractNumId w:val="5"/>
  </w:num>
  <w:num w:numId="24" w16cid:durableId="74908881">
    <w:abstractNumId w:val="21"/>
  </w:num>
  <w:num w:numId="25" w16cid:durableId="997923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ECC886"/>
    <w:rsid w:val="0000316A"/>
    <w:rsid w:val="00004037"/>
    <w:rsid w:val="00007AA0"/>
    <w:rsid w:val="000211AF"/>
    <w:rsid w:val="00025F08"/>
    <w:rsid w:val="00026430"/>
    <w:rsid w:val="00027423"/>
    <w:rsid w:val="0003796B"/>
    <w:rsid w:val="000425FB"/>
    <w:rsid w:val="00043E9A"/>
    <w:rsid w:val="000450CE"/>
    <w:rsid w:val="00053BB9"/>
    <w:rsid w:val="0005434B"/>
    <w:rsid w:val="00061284"/>
    <w:rsid w:val="00070FB4"/>
    <w:rsid w:val="00073525"/>
    <w:rsid w:val="0008357D"/>
    <w:rsid w:val="00085E3E"/>
    <w:rsid w:val="0009512C"/>
    <w:rsid w:val="0009708F"/>
    <w:rsid w:val="000A1F18"/>
    <w:rsid w:val="000B758A"/>
    <w:rsid w:val="000C2C73"/>
    <w:rsid w:val="000C351D"/>
    <w:rsid w:val="000D07C8"/>
    <w:rsid w:val="000D28B4"/>
    <w:rsid w:val="000D2EB2"/>
    <w:rsid w:val="000D4E07"/>
    <w:rsid w:val="000D6216"/>
    <w:rsid w:val="000E1C98"/>
    <w:rsid w:val="000E5128"/>
    <w:rsid w:val="000E5B17"/>
    <w:rsid w:val="000F1E13"/>
    <w:rsid w:val="000F5CEB"/>
    <w:rsid w:val="000F6F38"/>
    <w:rsid w:val="00106D9C"/>
    <w:rsid w:val="00106F8E"/>
    <w:rsid w:val="00107580"/>
    <w:rsid w:val="00111C09"/>
    <w:rsid w:val="00112458"/>
    <w:rsid w:val="001129EB"/>
    <w:rsid w:val="00125006"/>
    <w:rsid w:val="0012623B"/>
    <w:rsid w:val="0013306D"/>
    <w:rsid w:val="00140BEF"/>
    <w:rsid w:val="00143F47"/>
    <w:rsid w:val="00144A04"/>
    <w:rsid w:val="001500F0"/>
    <w:rsid w:val="0015083D"/>
    <w:rsid w:val="00150A24"/>
    <w:rsid w:val="00151CA0"/>
    <w:rsid w:val="00152FF2"/>
    <w:rsid w:val="00153538"/>
    <w:rsid w:val="00154B1C"/>
    <w:rsid w:val="00155CB2"/>
    <w:rsid w:val="00161999"/>
    <w:rsid w:val="0016700B"/>
    <w:rsid w:val="001753AF"/>
    <w:rsid w:val="001765F6"/>
    <w:rsid w:val="00176B1F"/>
    <w:rsid w:val="00181B0B"/>
    <w:rsid w:val="001948B2"/>
    <w:rsid w:val="001A6F48"/>
    <w:rsid w:val="001B601F"/>
    <w:rsid w:val="001B796B"/>
    <w:rsid w:val="001B7FC0"/>
    <w:rsid w:val="001C228E"/>
    <w:rsid w:val="001D0275"/>
    <w:rsid w:val="001D0350"/>
    <w:rsid w:val="001D742D"/>
    <w:rsid w:val="001E4295"/>
    <w:rsid w:val="001E5D38"/>
    <w:rsid w:val="001E7E79"/>
    <w:rsid w:val="001F6822"/>
    <w:rsid w:val="00202A94"/>
    <w:rsid w:val="00216184"/>
    <w:rsid w:val="002248FA"/>
    <w:rsid w:val="002261D2"/>
    <w:rsid w:val="00235138"/>
    <w:rsid w:val="00241450"/>
    <w:rsid w:val="0024361B"/>
    <w:rsid w:val="00257DDF"/>
    <w:rsid w:val="00260728"/>
    <w:rsid w:val="00261145"/>
    <w:rsid w:val="00261BC0"/>
    <w:rsid w:val="00271B7E"/>
    <w:rsid w:val="00274ABA"/>
    <w:rsid w:val="002757BF"/>
    <w:rsid w:val="002801F2"/>
    <w:rsid w:val="002805D5"/>
    <w:rsid w:val="00280670"/>
    <w:rsid w:val="002815C6"/>
    <w:rsid w:val="002831D8"/>
    <w:rsid w:val="00285329"/>
    <w:rsid w:val="002944D5"/>
    <w:rsid w:val="002955DB"/>
    <w:rsid w:val="002A056B"/>
    <w:rsid w:val="002A3F0B"/>
    <w:rsid w:val="002A67D4"/>
    <w:rsid w:val="002B3318"/>
    <w:rsid w:val="002B47E6"/>
    <w:rsid w:val="002B7CAF"/>
    <w:rsid w:val="002C750C"/>
    <w:rsid w:val="002E0B9D"/>
    <w:rsid w:val="002E47FA"/>
    <w:rsid w:val="002F3233"/>
    <w:rsid w:val="002F3930"/>
    <w:rsid w:val="00305D7E"/>
    <w:rsid w:val="003079F5"/>
    <w:rsid w:val="00316571"/>
    <w:rsid w:val="00317A86"/>
    <w:rsid w:val="00317DBB"/>
    <w:rsid w:val="0032160B"/>
    <w:rsid w:val="00325EFD"/>
    <w:rsid w:val="003261F8"/>
    <w:rsid w:val="003300AA"/>
    <w:rsid w:val="00330D49"/>
    <w:rsid w:val="0033245D"/>
    <w:rsid w:val="0033264B"/>
    <w:rsid w:val="00332BA1"/>
    <w:rsid w:val="00334CFD"/>
    <w:rsid w:val="003407B7"/>
    <w:rsid w:val="003415D0"/>
    <w:rsid w:val="00347B48"/>
    <w:rsid w:val="00352757"/>
    <w:rsid w:val="0035339D"/>
    <w:rsid w:val="0035675B"/>
    <w:rsid w:val="003622EA"/>
    <w:rsid w:val="00370A16"/>
    <w:rsid w:val="00373B4C"/>
    <w:rsid w:val="00380F84"/>
    <w:rsid w:val="00397FD2"/>
    <w:rsid w:val="003A2AB6"/>
    <w:rsid w:val="003A3B19"/>
    <w:rsid w:val="003A5340"/>
    <w:rsid w:val="003B6780"/>
    <w:rsid w:val="003C58C5"/>
    <w:rsid w:val="003C7BFA"/>
    <w:rsid w:val="003C7C28"/>
    <w:rsid w:val="003D0F5A"/>
    <w:rsid w:val="003D19D9"/>
    <w:rsid w:val="003D3770"/>
    <w:rsid w:val="003D5FA8"/>
    <w:rsid w:val="003E519B"/>
    <w:rsid w:val="003E55E1"/>
    <w:rsid w:val="003F0955"/>
    <w:rsid w:val="003F0EA8"/>
    <w:rsid w:val="00404292"/>
    <w:rsid w:val="0040545A"/>
    <w:rsid w:val="004140E1"/>
    <w:rsid w:val="00415D1F"/>
    <w:rsid w:val="00417A04"/>
    <w:rsid w:val="00422E78"/>
    <w:rsid w:val="00422F4B"/>
    <w:rsid w:val="00424B33"/>
    <w:rsid w:val="00424E57"/>
    <w:rsid w:val="0042527D"/>
    <w:rsid w:val="0042596B"/>
    <w:rsid w:val="00426EF8"/>
    <w:rsid w:val="0043004A"/>
    <w:rsid w:val="00431738"/>
    <w:rsid w:val="0043298E"/>
    <w:rsid w:val="004357D3"/>
    <w:rsid w:val="0043642E"/>
    <w:rsid w:val="0043698C"/>
    <w:rsid w:val="00447FC9"/>
    <w:rsid w:val="00460DA1"/>
    <w:rsid w:val="00463232"/>
    <w:rsid w:val="00464200"/>
    <w:rsid w:val="00475AC1"/>
    <w:rsid w:val="00476F6B"/>
    <w:rsid w:val="004833B5"/>
    <w:rsid w:val="00484B59"/>
    <w:rsid w:val="004858F9"/>
    <w:rsid w:val="00491BAC"/>
    <w:rsid w:val="00494C48"/>
    <w:rsid w:val="004A3C0C"/>
    <w:rsid w:val="004A63CF"/>
    <w:rsid w:val="004B0DC8"/>
    <w:rsid w:val="004B2155"/>
    <w:rsid w:val="004C00CD"/>
    <w:rsid w:val="004C0C9A"/>
    <w:rsid w:val="004C22C7"/>
    <w:rsid w:val="004C25A5"/>
    <w:rsid w:val="004D2EC0"/>
    <w:rsid w:val="004E178A"/>
    <w:rsid w:val="004E4C68"/>
    <w:rsid w:val="004F2932"/>
    <w:rsid w:val="004F2DC1"/>
    <w:rsid w:val="004F3D19"/>
    <w:rsid w:val="005028C5"/>
    <w:rsid w:val="00505C04"/>
    <w:rsid w:val="005069A2"/>
    <w:rsid w:val="00512275"/>
    <w:rsid w:val="00514106"/>
    <w:rsid w:val="00534BEE"/>
    <w:rsid w:val="00535A3A"/>
    <w:rsid w:val="00537441"/>
    <w:rsid w:val="00544B19"/>
    <w:rsid w:val="00545B9B"/>
    <w:rsid w:val="005467FA"/>
    <w:rsid w:val="0055128D"/>
    <w:rsid w:val="00551651"/>
    <w:rsid w:val="005523FA"/>
    <w:rsid w:val="0056367A"/>
    <w:rsid w:val="0056582D"/>
    <w:rsid w:val="00567C1B"/>
    <w:rsid w:val="00573209"/>
    <w:rsid w:val="00577A0F"/>
    <w:rsid w:val="00584648"/>
    <w:rsid w:val="00587DB4"/>
    <w:rsid w:val="00593E60"/>
    <w:rsid w:val="00594924"/>
    <w:rsid w:val="005963A3"/>
    <w:rsid w:val="005A28B7"/>
    <w:rsid w:val="005A2B6B"/>
    <w:rsid w:val="005A75E5"/>
    <w:rsid w:val="005B3B57"/>
    <w:rsid w:val="005C227E"/>
    <w:rsid w:val="005C23D4"/>
    <w:rsid w:val="005C362C"/>
    <w:rsid w:val="005C7AD0"/>
    <w:rsid w:val="005D0C9D"/>
    <w:rsid w:val="005D6198"/>
    <w:rsid w:val="005E1258"/>
    <w:rsid w:val="005E1725"/>
    <w:rsid w:val="005E2367"/>
    <w:rsid w:val="005F5726"/>
    <w:rsid w:val="00603D74"/>
    <w:rsid w:val="00605BF9"/>
    <w:rsid w:val="006066C9"/>
    <w:rsid w:val="00607FD2"/>
    <w:rsid w:val="006133AA"/>
    <w:rsid w:val="006139FC"/>
    <w:rsid w:val="006163C6"/>
    <w:rsid w:val="00621255"/>
    <w:rsid w:val="00626A7C"/>
    <w:rsid w:val="0063507B"/>
    <w:rsid w:val="006449C7"/>
    <w:rsid w:val="00647F6D"/>
    <w:rsid w:val="0065204F"/>
    <w:rsid w:val="00654D8C"/>
    <w:rsid w:val="006557A7"/>
    <w:rsid w:val="00661AC6"/>
    <w:rsid w:val="006621A9"/>
    <w:rsid w:val="00664409"/>
    <w:rsid w:val="00666B56"/>
    <w:rsid w:val="00672581"/>
    <w:rsid w:val="0067727C"/>
    <w:rsid w:val="0067790E"/>
    <w:rsid w:val="00681872"/>
    <w:rsid w:val="0068523B"/>
    <w:rsid w:val="006906CF"/>
    <w:rsid w:val="006A1B4F"/>
    <w:rsid w:val="006A5E71"/>
    <w:rsid w:val="006B7E63"/>
    <w:rsid w:val="006C2F6B"/>
    <w:rsid w:val="006C3769"/>
    <w:rsid w:val="006D2B5A"/>
    <w:rsid w:val="006D54CF"/>
    <w:rsid w:val="006E1C2B"/>
    <w:rsid w:val="006E22A6"/>
    <w:rsid w:val="006F2457"/>
    <w:rsid w:val="0070160B"/>
    <w:rsid w:val="0070327D"/>
    <w:rsid w:val="00706DA9"/>
    <w:rsid w:val="00714395"/>
    <w:rsid w:val="00715F3D"/>
    <w:rsid w:val="00716C7B"/>
    <w:rsid w:val="00724A19"/>
    <w:rsid w:val="00734929"/>
    <w:rsid w:val="00734B83"/>
    <w:rsid w:val="00743C6D"/>
    <w:rsid w:val="007457F7"/>
    <w:rsid w:val="007468FA"/>
    <w:rsid w:val="00754638"/>
    <w:rsid w:val="00754D5B"/>
    <w:rsid w:val="00754E1F"/>
    <w:rsid w:val="00754E30"/>
    <w:rsid w:val="00756114"/>
    <w:rsid w:val="007611C0"/>
    <w:rsid w:val="00767AB1"/>
    <w:rsid w:val="00776417"/>
    <w:rsid w:val="00794305"/>
    <w:rsid w:val="00795F8B"/>
    <w:rsid w:val="007A0A6A"/>
    <w:rsid w:val="007A2A3C"/>
    <w:rsid w:val="007A2CB1"/>
    <w:rsid w:val="007A5356"/>
    <w:rsid w:val="007A549B"/>
    <w:rsid w:val="007B1703"/>
    <w:rsid w:val="007B1A85"/>
    <w:rsid w:val="007B221C"/>
    <w:rsid w:val="007B6B86"/>
    <w:rsid w:val="007C2694"/>
    <w:rsid w:val="007C640D"/>
    <w:rsid w:val="007D03C3"/>
    <w:rsid w:val="007F1785"/>
    <w:rsid w:val="007F2408"/>
    <w:rsid w:val="007F2CA0"/>
    <w:rsid w:val="007F2DB3"/>
    <w:rsid w:val="008020C5"/>
    <w:rsid w:val="00802C10"/>
    <w:rsid w:val="0080358E"/>
    <w:rsid w:val="00803876"/>
    <w:rsid w:val="00807E8D"/>
    <w:rsid w:val="0081623F"/>
    <w:rsid w:val="00820547"/>
    <w:rsid w:val="00826AD2"/>
    <w:rsid w:val="008271A3"/>
    <w:rsid w:val="008306DF"/>
    <w:rsid w:val="008324EF"/>
    <w:rsid w:val="00834423"/>
    <w:rsid w:val="00835996"/>
    <w:rsid w:val="00835C8C"/>
    <w:rsid w:val="008367F0"/>
    <w:rsid w:val="00841414"/>
    <w:rsid w:val="008430C0"/>
    <w:rsid w:val="00845DE7"/>
    <w:rsid w:val="00845F6A"/>
    <w:rsid w:val="00846C0D"/>
    <w:rsid w:val="00860575"/>
    <w:rsid w:val="00862C39"/>
    <w:rsid w:val="00864E08"/>
    <w:rsid w:val="00867A79"/>
    <w:rsid w:val="00874FD9"/>
    <w:rsid w:val="00877F77"/>
    <w:rsid w:val="008854C9"/>
    <w:rsid w:val="008940BA"/>
    <w:rsid w:val="008966A5"/>
    <w:rsid w:val="0089683F"/>
    <w:rsid w:val="008A51B8"/>
    <w:rsid w:val="008B2F4F"/>
    <w:rsid w:val="008B5A07"/>
    <w:rsid w:val="008B6FFC"/>
    <w:rsid w:val="008C4444"/>
    <w:rsid w:val="008D1487"/>
    <w:rsid w:val="008D22D7"/>
    <w:rsid w:val="008D2B8F"/>
    <w:rsid w:val="008E0A34"/>
    <w:rsid w:val="008E77A8"/>
    <w:rsid w:val="008F1134"/>
    <w:rsid w:val="008F18D2"/>
    <w:rsid w:val="008F55D9"/>
    <w:rsid w:val="008F6405"/>
    <w:rsid w:val="0090311D"/>
    <w:rsid w:val="0090709E"/>
    <w:rsid w:val="009155B1"/>
    <w:rsid w:val="00920665"/>
    <w:rsid w:val="00925669"/>
    <w:rsid w:val="009265F6"/>
    <w:rsid w:val="00927BFB"/>
    <w:rsid w:val="0093022A"/>
    <w:rsid w:val="009303E4"/>
    <w:rsid w:val="00931229"/>
    <w:rsid w:val="00937ED5"/>
    <w:rsid w:val="00945ED8"/>
    <w:rsid w:val="00957DD2"/>
    <w:rsid w:val="009609A6"/>
    <w:rsid w:val="00965D69"/>
    <w:rsid w:val="0097072B"/>
    <w:rsid w:val="00971513"/>
    <w:rsid w:val="00976104"/>
    <w:rsid w:val="00981C30"/>
    <w:rsid w:val="0098389A"/>
    <w:rsid w:val="00992197"/>
    <w:rsid w:val="00995ED8"/>
    <w:rsid w:val="009A12F5"/>
    <w:rsid w:val="009A5392"/>
    <w:rsid w:val="009B278D"/>
    <w:rsid w:val="009C1EDA"/>
    <w:rsid w:val="009C37A0"/>
    <w:rsid w:val="009C4059"/>
    <w:rsid w:val="009C4B22"/>
    <w:rsid w:val="009D2BBC"/>
    <w:rsid w:val="009E377F"/>
    <w:rsid w:val="009F03B2"/>
    <w:rsid w:val="009F41D6"/>
    <w:rsid w:val="00A02FED"/>
    <w:rsid w:val="00A064CA"/>
    <w:rsid w:val="00A07316"/>
    <w:rsid w:val="00A114FB"/>
    <w:rsid w:val="00A12E51"/>
    <w:rsid w:val="00A158C3"/>
    <w:rsid w:val="00A2027C"/>
    <w:rsid w:val="00A275AD"/>
    <w:rsid w:val="00A36586"/>
    <w:rsid w:val="00A4510F"/>
    <w:rsid w:val="00A523E4"/>
    <w:rsid w:val="00A63493"/>
    <w:rsid w:val="00A6658C"/>
    <w:rsid w:val="00A66BB7"/>
    <w:rsid w:val="00A677C3"/>
    <w:rsid w:val="00A72FE5"/>
    <w:rsid w:val="00A76A62"/>
    <w:rsid w:val="00A811FA"/>
    <w:rsid w:val="00A83196"/>
    <w:rsid w:val="00A85982"/>
    <w:rsid w:val="00AA0BAA"/>
    <w:rsid w:val="00AA3384"/>
    <w:rsid w:val="00AA40BD"/>
    <w:rsid w:val="00AA4CE3"/>
    <w:rsid w:val="00AA5C64"/>
    <w:rsid w:val="00AA78D9"/>
    <w:rsid w:val="00AB07D5"/>
    <w:rsid w:val="00AB2C19"/>
    <w:rsid w:val="00AC3594"/>
    <w:rsid w:val="00AC4934"/>
    <w:rsid w:val="00AC6BBC"/>
    <w:rsid w:val="00AC7AE0"/>
    <w:rsid w:val="00AD1D76"/>
    <w:rsid w:val="00AD5052"/>
    <w:rsid w:val="00AD6240"/>
    <w:rsid w:val="00AD7617"/>
    <w:rsid w:val="00AE35F9"/>
    <w:rsid w:val="00AE5519"/>
    <w:rsid w:val="00AF3E64"/>
    <w:rsid w:val="00AF7244"/>
    <w:rsid w:val="00AF726E"/>
    <w:rsid w:val="00B01DC2"/>
    <w:rsid w:val="00B0317D"/>
    <w:rsid w:val="00B04362"/>
    <w:rsid w:val="00B11888"/>
    <w:rsid w:val="00B13815"/>
    <w:rsid w:val="00B1697D"/>
    <w:rsid w:val="00B17B8C"/>
    <w:rsid w:val="00B2127C"/>
    <w:rsid w:val="00B23BD6"/>
    <w:rsid w:val="00B24843"/>
    <w:rsid w:val="00B36FD0"/>
    <w:rsid w:val="00B42283"/>
    <w:rsid w:val="00B4301C"/>
    <w:rsid w:val="00B45C8C"/>
    <w:rsid w:val="00B53AA3"/>
    <w:rsid w:val="00B557CC"/>
    <w:rsid w:val="00B57161"/>
    <w:rsid w:val="00B612AA"/>
    <w:rsid w:val="00B67B5D"/>
    <w:rsid w:val="00B67D71"/>
    <w:rsid w:val="00B7707E"/>
    <w:rsid w:val="00B7772B"/>
    <w:rsid w:val="00B828BB"/>
    <w:rsid w:val="00B840AF"/>
    <w:rsid w:val="00B92BB5"/>
    <w:rsid w:val="00B94374"/>
    <w:rsid w:val="00B94F00"/>
    <w:rsid w:val="00BA3E7A"/>
    <w:rsid w:val="00BA4112"/>
    <w:rsid w:val="00BA7CE7"/>
    <w:rsid w:val="00BB4E9E"/>
    <w:rsid w:val="00BB5CAB"/>
    <w:rsid w:val="00BB761D"/>
    <w:rsid w:val="00BC0162"/>
    <w:rsid w:val="00BC7F62"/>
    <w:rsid w:val="00BD252F"/>
    <w:rsid w:val="00BD3C95"/>
    <w:rsid w:val="00BD4C7F"/>
    <w:rsid w:val="00BD5F36"/>
    <w:rsid w:val="00BD7F37"/>
    <w:rsid w:val="00BE4EAE"/>
    <w:rsid w:val="00BF10DA"/>
    <w:rsid w:val="00BF6238"/>
    <w:rsid w:val="00BF68B6"/>
    <w:rsid w:val="00BF7141"/>
    <w:rsid w:val="00C00215"/>
    <w:rsid w:val="00C058A1"/>
    <w:rsid w:val="00C151DC"/>
    <w:rsid w:val="00C1597B"/>
    <w:rsid w:val="00C3477D"/>
    <w:rsid w:val="00C3698D"/>
    <w:rsid w:val="00C50980"/>
    <w:rsid w:val="00C516A3"/>
    <w:rsid w:val="00C537E3"/>
    <w:rsid w:val="00C55BEB"/>
    <w:rsid w:val="00C65404"/>
    <w:rsid w:val="00C86531"/>
    <w:rsid w:val="00C9284F"/>
    <w:rsid w:val="00C96AD0"/>
    <w:rsid w:val="00CA0630"/>
    <w:rsid w:val="00CA7161"/>
    <w:rsid w:val="00CA79FD"/>
    <w:rsid w:val="00CB070F"/>
    <w:rsid w:val="00CB2B1C"/>
    <w:rsid w:val="00CB6406"/>
    <w:rsid w:val="00CB7E42"/>
    <w:rsid w:val="00CC06A3"/>
    <w:rsid w:val="00CC30EA"/>
    <w:rsid w:val="00CC4C6A"/>
    <w:rsid w:val="00CC5F73"/>
    <w:rsid w:val="00CC670A"/>
    <w:rsid w:val="00CC716F"/>
    <w:rsid w:val="00CE779E"/>
    <w:rsid w:val="00CF602B"/>
    <w:rsid w:val="00D05156"/>
    <w:rsid w:val="00D101D9"/>
    <w:rsid w:val="00D12EDF"/>
    <w:rsid w:val="00D13EA7"/>
    <w:rsid w:val="00D20E01"/>
    <w:rsid w:val="00D23424"/>
    <w:rsid w:val="00D27D35"/>
    <w:rsid w:val="00D27EC0"/>
    <w:rsid w:val="00D30962"/>
    <w:rsid w:val="00D34829"/>
    <w:rsid w:val="00D350B7"/>
    <w:rsid w:val="00D35B8F"/>
    <w:rsid w:val="00D441AE"/>
    <w:rsid w:val="00D45393"/>
    <w:rsid w:val="00D510B3"/>
    <w:rsid w:val="00D62F5C"/>
    <w:rsid w:val="00D7669D"/>
    <w:rsid w:val="00D9462F"/>
    <w:rsid w:val="00D960D5"/>
    <w:rsid w:val="00DA1836"/>
    <w:rsid w:val="00DA70EF"/>
    <w:rsid w:val="00DB4FC8"/>
    <w:rsid w:val="00DB68AC"/>
    <w:rsid w:val="00DB6FBC"/>
    <w:rsid w:val="00DC009F"/>
    <w:rsid w:val="00DC1BDB"/>
    <w:rsid w:val="00DC324A"/>
    <w:rsid w:val="00DC4C68"/>
    <w:rsid w:val="00DC672E"/>
    <w:rsid w:val="00DD1328"/>
    <w:rsid w:val="00DE1605"/>
    <w:rsid w:val="00DE4ABF"/>
    <w:rsid w:val="00DF0D6B"/>
    <w:rsid w:val="00DF5594"/>
    <w:rsid w:val="00DF59AB"/>
    <w:rsid w:val="00DF7178"/>
    <w:rsid w:val="00DF7C49"/>
    <w:rsid w:val="00E04081"/>
    <w:rsid w:val="00E06CEA"/>
    <w:rsid w:val="00E20BA9"/>
    <w:rsid w:val="00E21949"/>
    <w:rsid w:val="00E2446C"/>
    <w:rsid w:val="00E25AEC"/>
    <w:rsid w:val="00E507E6"/>
    <w:rsid w:val="00E5094E"/>
    <w:rsid w:val="00E52C53"/>
    <w:rsid w:val="00E54433"/>
    <w:rsid w:val="00E56F9F"/>
    <w:rsid w:val="00E60A20"/>
    <w:rsid w:val="00E62EAA"/>
    <w:rsid w:val="00E65755"/>
    <w:rsid w:val="00E67373"/>
    <w:rsid w:val="00E72294"/>
    <w:rsid w:val="00E75796"/>
    <w:rsid w:val="00E75D91"/>
    <w:rsid w:val="00E94869"/>
    <w:rsid w:val="00E96B98"/>
    <w:rsid w:val="00E97613"/>
    <w:rsid w:val="00EB529D"/>
    <w:rsid w:val="00EB7D87"/>
    <w:rsid w:val="00EB7ED1"/>
    <w:rsid w:val="00EC1CEC"/>
    <w:rsid w:val="00EC61D2"/>
    <w:rsid w:val="00EE0346"/>
    <w:rsid w:val="00EE0CE9"/>
    <w:rsid w:val="00EE0EBF"/>
    <w:rsid w:val="00EE40EE"/>
    <w:rsid w:val="00EE5E2F"/>
    <w:rsid w:val="00EE6356"/>
    <w:rsid w:val="00EE7208"/>
    <w:rsid w:val="00EF515D"/>
    <w:rsid w:val="00F0148D"/>
    <w:rsid w:val="00F0496C"/>
    <w:rsid w:val="00F11F20"/>
    <w:rsid w:val="00F13688"/>
    <w:rsid w:val="00F15884"/>
    <w:rsid w:val="00F175B2"/>
    <w:rsid w:val="00F2097A"/>
    <w:rsid w:val="00F2218F"/>
    <w:rsid w:val="00F23EE2"/>
    <w:rsid w:val="00F27AA4"/>
    <w:rsid w:val="00F37C18"/>
    <w:rsid w:val="00F42AFF"/>
    <w:rsid w:val="00F46EFF"/>
    <w:rsid w:val="00F5085F"/>
    <w:rsid w:val="00F54BEA"/>
    <w:rsid w:val="00F57E18"/>
    <w:rsid w:val="00F6166B"/>
    <w:rsid w:val="00F655E1"/>
    <w:rsid w:val="00F76CB4"/>
    <w:rsid w:val="00F823DF"/>
    <w:rsid w:val="00F9049F"/>
    <w:rsid w:val="00F90777"/>
    <w:rsid w:val="00F93D47"/>
    <w:rsid w:val="00FA0610"/>
    <w:rsid w:val="00FA401C"/>
    <w:rsid w:val="00FA5B67"/>
    <w:rsid w:val="00FA6F7A"/>
    <w:rsid w:val="00FA7F49"/>
    <w:rsid w:val="00FB438A"/>
    <w:rsid w:val="00FB4EC5"/>
    <w:rsid w:val="00FB5E61"/>
    <w:rsid w:val="00FC0189"/>
    <w:rsid w:val="00FC0A14"/>
    <w:rsid w:val="00FC2D24"/>
    <w:rsid w:val="00FC67AB"/>
    <w:rsid w:val="00FC7AD6"/>
    <w:rsid w:val="00FD0798"/>
    <w:rsid w:val="00FD09F7"/>
    <w:rsid w:val="00FE4673"/>
    <w:rsid w:val="00FF2295"/>
    <w:rsid w:val="00FF28E5"/>
    <w:rsid w:val="00FF5E5D"/>
    <w:rsid w:val="00FF5E67"/>
    <w:rsid w:val="00FF6598"/>
    <w:rsid w:val="00FF70C9"/>
    <w:rsid w:val="00FF7348"/>
    <w:rsid w:val="029FF822"/>
    <w:rsid w:val="02EBD416"/>
    <w:rsid w:val="030292DF"/>
    <w:rsid w:val="036D9C5B"/>
    <w:rsid w:val="03B5BD18"/>
    <w:rsid w:val="040BD9C5"/>
    <w:rsid w:val="04B940A5"/>
    <w:rsid w:val="071DC21D"/>
    <w:rsid w:val="0765EB2D"/>
    <w:rsid w:val="0851C33C"/>
    <w:rsid w:val="09F732B7"/>
    <w:rsid w:val="0A896A95"/>
    <w:rsid w:val="0C411DD7"/>
    <w:rsid w:val="0C8CD7F7"/>
    <w:rsid w:val="0CCB9095"/>
    <w:rsid w:val="0CD9A391"/>
    <w:rsid w:val="0E3B3A8D"/>
    <w:rsid w:val="0E612C56"/>
    <w:rsid w:val="0FA09B76"/>
    <w:rsid w:val="11767903"/>
    <w:rsid w:val="119979AA"/>
    <w:rsid w:val="11C5E258"/>
    <w:rsid w:val="12A58904"/>
    <w:rsid w:val="17F82718"/>
    <w:rsid w:val="18803F9D"/>
    <w:rsid w:val="19D805C1"/>
    <w:rsid w:val="1A7C9CE0"/>
    <w:rsid w:val="1B432975"/>
    <w:rsid w:val="1BD2D9D5"/>
    <w:rsid w:val="1BD6A9D6"/>
    <w:rsid w:val="1E0EB421"/>
    <w:rsid w:val="1EDEA332"/>
    <w:rsid w:val="1F23D445"/>
    <w:rsid w:val="1FCE321A"/>
    <w:rsid w:val="2041F48A"/>
    <w:rsid w:val="206B07F1"/>
    <w:rsid w:val="2181EE30"/>
    <w:rsid w:val="2353E06C"/>
    <w:rsid w:val="2386C484"/>
    <w:rsid w:val="23C617BC"/>
    <w:rsid w:val="2442D5E3"/>
    <w:rsid w:val="2739402B"/>
    <w:rsid w:val="290B880F"/>
    <w:rsid w:val="291243B2"/>
    <w:rsid w:val="2ABEC8D4"/>
    <w:rsid w:val="2AEEC571"/>
    <w:rsid w:val="2B15CCD0"/>
    <w:rsid w:val="2C4BBDB3"/>
    <w:rsid w:val="2C64C224"/>
    <w:rsid w:val="2E30C677"/>
    <w:rsid w:val="2ED8283C"/>
    <w:rsid w:val="2F479457"/>
    <w:rsid w:val="2F62090D"/>
    <w:rsid w:val="2FA722AB"/>
    <w:rsid w:val="2FB1D432"/>
    <w:rsid w:val="2FF4DD65"/>
    <w:rsid w:val="3093A0F8"/>
    <w:rsid w:val="318A9D82"/>
    <w:rsid w:val="3191A98C"/>
    <w:rsid w:val="333F0871"/>
    <w:rsid w:val="334BE365"/>
    <w:rsid w:val="336CEB24"/>
    <w:rsid w:val="343C805D"/>
    <w:rsid w:val="34816ED6"/>
    <w:rsid w:val="36244DCB"/>
    <w:rsid w:val="3750E4BE"/>
    <w:rsid w:val="3A979B70"/>
    <w:rsid w:val="3AA4F756"/>
    <w:rsid w:val="3DCE6AA8"/>
    <w:rsid w:val="3ED4F3BD"/>
    <w:rsid w:val="3F65AD51"/>
    <w:rsid w:val="3F8117F2"/>
    <w:rsid w:val="3FE4A03E"/>
    <w:rsid w:val="404A8B63"/>
    <w:rsid w:val="40AC2647"/>
    <w:rsid w:val="44A06E16"/>
    <w:rsid w:val="45BCCD58"/>
    <w:rsid w:val="46319CB6"/>
    <w:rsid w:val="468C24BC"/>
    <w:rsid w:val="46E34B94"/>
    <w:rsid w:val="4947D6DD"/>
    <w:rsid w:val="49F8DAD5"/>
    <w:rsid w:val="4B2F30E2"/>
    <w:rsid w:val="4CD3C9FD"/>
    <w:rsid w:val="4DF23CD6"/>
    <w:rsid w:val="4E08CCD5"/>
    <w:rsid w:val="4E996140"/>
    <w:rsid w:val="4F23397B"/>
    <w:rsid w:val="4FFB4B86"/>
    <w:rsid w:val="500CAF27"/>
    <w:rsid w:val="5127E17B"/>
    <w:rsid w:val="54944A76"/>
    <w:rsid w:val="55899ABE"/>
    <w:rsid w:val="566C771B"/>
    <w:rsid w:val="57499A79"/>
    <w:rsid w:val="57EC22FD"/>
    <w:rsid w:val="58C98124"/>
    <w:rsid w:val="5956F98F"/>
    <w:rsid w:val="5BC0553A"/>
    <w:rsid w:val="5D546590"/>
    <w:rsid w:val="5D85D7B4"/>
    <w:rsid w:val="5DFE8184"/>
    <w:rsid w:val="5E3DDA3C"/>
    <w:rsid w:val="6053B4A8"/>
    <w:rsid w:val="617658F7"/>
    <w:rsid w:val="61F339DE"/>
    <w:rsid w:val="631AF353"/>
    <w:rsid w:val="631C8DF6"/>
    <w:rsid w:val="643404A8"/>
    <w:rsid w:val="644E18B3"/>
    <w:rsid w:val="65AB895B"/>
    <w:rsid w:val="6829195B"/>
    <w:rsid w:val="69EE0507"/>
    <w:rsid w:val="6AB5EE75"/>
    <w:rsid w:val="6B82F198"/>
    <w:rsid w:val="6C8FEF5D"/>
    <w:rsid w:val="6E7FE0AB"/>
    <w:rsid w:val="7009ED17"/>
    <w:rsid w:val="708ABBF4"/>
    <w:rsid w:val="716E75FB"/>
    <w:rsid w:val="71F3A853"/>
    <w:rsid w:val="729DB126"/>
    <w:rsid w:val="740C18B3"/>
    <w:rsid w:val="75E9EF7D"/>
    <w:rsid w:val="75FC5D74"/>
    <w:rsid w:val="76A275C3"/>
    <w:rsid w:val="76ECC886"/>
    <w:rsid w:val="776F7B7A"/>
    <w:rsid w:val="78368BA4"/>
    <w:rsid w:val="7A4F6E08"/>
    <w:rsid w:val="7A86C4A1"/>
    <w:rsid w:val="7CD557BE"/>
    <w:rsid w:val="7E28A4A2"/>
    <w:rsid w:val="7F223813"/>
    <w:rsid w:val="7FF1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CC886"/>
  <w15:docId w15:val="{816D2DD2-AA47-4098-83EA-0A0E7958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020C5"/>
    <w:pPr>
      <w:spacing w:after="0" w:line="240" w:lineRule="auto"/>
    </w:pPr>
  </w:style>
  <w:style w:type="character" w:styleId="CommentReference">
    <w:name w:val="annotation reference"/>
    <w:basedOn w:val="DefaultParagraphFont"/>
    <w:uiPriority w:val="99"/>
    <w:semiHidden/>
    <w:unhideWhenUsed/>
    <w:rsid w:val="00BF7141"/>
    <w:rPr>
      <w:sz w:val="16"/>
      <w:szCs w:val="16"/>
    </w:rPr>
  </w:style>
  <w:style w:type="paragraph" w:styleId="CommentText">
    <w:name w:val="annotation text"/>
    <w:basedOn w:val="Normal"/>
    <w:link w:val="CommentTextChar"/>
    <w:uiPriority w:val="99"/>
    <w:unhideWhenUsed/>
    <w:rsid w:val="00BF7141"/>
    <w:pPr>
      <w:spacing w:line="240" w:lineRule="auto"/>
    </w:pPr>
    <w:rPr>
      <w:sz w:val="20"/>
      <w:szCs w:val="20"/>
    </w:rPr>
  </w:style>
  <w:style w:type="character" w:customStyle="1" w:styleId="CommentTextChar">
    <w:name w:val="Comment Text Char"/>
    <w:basedOn w:val="DefaultParagraphFont"/>
    <w:link w:val="CommentText"/>
    <w:uiPriority w:val="99"/>
    <w:rsid w:val="00BF7141"/>
    <w:rPr>
      <w:sz w:val="20"/>
      <w:szCs w:val="20"/>
    </w:rPr>
  </w:style>
  <w:style w:type="paragraph" w:styleId="CommentSubject">
    <w:name w:val="annotation subject"/>
    <w:basedOn w:val="CommentText"/>
    <w:next w:val="CommentText"/>
    <w:link w:val="CommentSubjectChar"/>
    <w:uiPriority w:val="99"/>
    <w:semiHidden/>
    <w:unhideWhenUsed/>
    <w:rsid w:val="00BF7141"/>
    <w:rPr>
      <w:b/>
      <w:bCs/>
    </w:rPr>
  </w:style>
  <w:style w:type="character" w:customStyle="1" w:styleId="CommentSubjectChar">
    <w:name w:val="Comment Subject Char"/>
    <w:basedOn w:val="CommentTextChar"/>
    <w:link w:val="CommentSubject"/>
    <w:uiPriority w:val="99"/>
    <w:semiHidden/>
    <w:rsid w:val="00BF7141"/>
    <w:rPr>
      <w:b/>
      <w:bCs/>
      <w:sz w:val="20"/>
      <w:szCs w:val="20"/>
    </w:rPr>
  </w:style>
  <w:style w:type="paragraph" w:styleId="Header">
    <w:name w:val="header"/>
    <w:basedOn w:val="Normal"/>
    <w:link w:val="HeaderChar"/>
    <w:uiPriority w:val="99"/>
    <w:unhideWhenUsed/>
    <w:rsid w:val="00A1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51"/>
  </w:style>
  <w:style w:type="paragraph" w:styleId="Footer">
    <w:name w:val="footer"/>
    <w:basedOn w:val="Normal"/>
    <w:link w:val="FooterChar"/>
    <w:uiPriority w:val="99"/>
    <w:unhideWhenUsed/>
    <w:rsid w:val="00A1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51"/>
  </w:style>
  <w:style w:type="character" w:styleId="Hyperlink">
    <w:name w:val="Hyperlink"/>
    <w:basedOn w:val="DefaultParagraphFont"/>
    <w:uiPriority w:val="99"/>
    <w:unhideWhenUsed/>
    <w:rsid w:val="001129EB"/>
    <w:rPr>
      <w:color w:val="0000FF"/>
      <w:u w:val="single"/>
    </w:rPr>
  </w:style>
  <w:style w:type="character" w:styleId="PageNumber">
    <w:name w:val="page number"/>
    <w:basedOn w:val="DefaultParagraphFont"/>
    <w:uiPriority w:val="99"/>
    <w:semiHidden/>
    <w:unhideWhenUsed/>
    <w:rsid w:val="008854C9"/>
  </w:style>
  <w:style w:type="paragraph" w:styleId="FootnoteText">
    <w:name w:val="footnote text"/>
    <w:basedOn w:val="Normal"/>
    <w:link w:val="FootnoteTextChar"/>
    <w:uiPriority w:val="99"/>
    <w:unhideWhenUsed/>
    <w:rsid w:val="0035675B"/>
    <w:pPr>
      <w:spacing w:after="200" w:line="276" w:lineRule="auto"/>
    </w:pPr>
    <w:rPr>
      <w:rFonts w:ascii="Calibri" w:eastAsia="Times New Roman" w:hAnsi="Calibri" w:cs="Times New Roman"/>
      <w:sz w:val="20"/>
      <w:szCs w:val="20"/>
      <w:lang w:eastAsia="en-US"/>
    </w:rPr>
  </w:style>
  <w:style w:type="character" w:customStyle="1" w:styleId="FootnoteTextChar">
    <w:name w:val="Footnote Text Char"/>
    <w:basedOn w:val="DefaultParagraphFont"/>
    <w:link w:val="FootnoteText"/>
    <w:uiPriority w:val="99"/>
    <w:rsid w:val="0035675B"/>
    <w:rPr>
      <w:rFonts w:ascii="Calibri" w:eastAsia="Times New Roman" w:hAnsi="Calibri" w:cs="Times New Roman"/>
      <w:sz w:val="20"/>
      <w:szCs w:val="20"/>
      <w:lang w:eastAsia="en-US"/>
    </w:rPr>
  </w:style>
  <w:style w:type="character" w:styleId="FootnoteReference">
    <w:name w:val="footnote reference"/>
    <w:uiPriority w:val="99"/>
    <w:unhideWhenUsed/>
    <w:rsid w:val="0035675B"/>
    <w:rPr>
      <w:vertAlign w:val="superscript"/>
    </w:rPr>
  </w:style>
  <w:style w:type="paragraph" w:styleId="ListParagraph">
    <w:name w:val="List Paragraph"/>
    <w:basedOn w:val="Normal"/>
    <w:uiPriority w:val="34"/>
    <w:qFormat/>
    <w:rsid w:val="00271B7E"/>
    <w:pPr>
      <w:ind w:left="720"/>
      <w:contextualSpacing/>
    </w:pPr>
  </w:style>
  <w:style w:type="character" w:styleId="UnresolvedMention">
    <w:name w:val="Unresolved Mention"/>
    <w:basedOn w:val="DefaultParagraphFont"/>
    <w:uiPriority w:val="99"/>
    <w:semiHidden/>
    <w:unhideWhenUsed/>
    <w:rsid w:val="00767AB1"/>
    <w:rPr>
      <w:color w:val="605E5C"/>
      <w:shd w:val="clear" w:color="auto" w:fill="E1DFDD"/>
    </w:rPr>
  </w:style>
  <w:style w:type="paragraph" w:styleId="BodyText">
    <w:name w:val="Body Text"/>
    <w:basedOn w:val="Normal"/>
    <w:link w:val="BodyTextChar"/>
    <w:semiHidden/>
    <w:unhideWhenUsed/>
    <w:qFormat/>
    <w:rsid w:val="00E5094E"/>
    <w:pPr>
      <w:spacing w:after="240" w:line="240" w:lineRule="auto"/>
      <w:jc w:val="both"/>
    </w:pPr>
    <w:rPr>
      <w:rFonts w:ascii="Arial" w:eastAsiaTheme="minorHAnsi" w:hAnsi="Arial" w:cs="Times New Roman"/>
      <w:sz w:val="20"/>
      <w:szCs w:val="20"/>
      <w:lang w:eastAsia="en-US"/>
    </w:rPr>
  </w:style>
  <w:style w:type="character" w:customStyle="1" w:styleId="BodyTextChar">
    <w:name w:val="Body Text Char"/>
    <w:basedOn w:val="DefaultParagraphFont"/>
    <w:link w:val="BodyText"/>
    <w:semiHidden/>
    <w:rsid w:val="00E5094E"/>
    <w:rPr>
      <w:rFonts w:ascii="Arial" w:eastAsiaTheme="minorHAnsi" w:hAnsi="Arial" w:cs="Times New Roman"/>
      <w:sz w:val="20"/>
      <w:szCs w:val="20"/>
      <w:lang w:eastAsia="en-US"/>
    </w:rPr>
  </w:style>
  <w:style w:type="table" w:styleId="GridTable4-Accent1">
    <w:name w:val="Grid Table 4 Accent 1"/>
    <w:basedOn w:val="TableNormal"/>
    <w:uiPriority w:val="49"/>
    <w:rsid w:val="00EE5E2F"/>
    <w:pPr>
      <w:spacing w:after="0" w:line="240" w:lineRule="auto"/>
    </w:pPr>
    <w:rPr>
      <w:rFonts w:ascii="Calibri" w:eastAsia="Calibri" w:hAnsi="Calibri" w:cs="Times New Roman"/>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E20BA9"/>
    <w:pPr>
      <w:spacing w:after="200" w:line="240" w:lineRule="auto"/>
    </w:pPr>
    <w:rPr>
      <w:i/>
      <w:iCs/>
      <w:color w:val="0E2841" w:themeColor="text2"/>
      <w:sz w:val="18"/>
      <w:szCs w:val="18"/>
    </w:rPr>
  </w:style>
  <w:style w:type="paragraph" w:styleId="NormalWeb">
    <w:name w:val="Normal (Web)"/>
    <w:basedOn w:val="Normal"/>
    <w:uiPriority w:val="99"/>
    <w:semiHidden/>
    <w:unhideWhenUsed/>
    <w:rsid w:val="00D441AE"/>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81492">
      <w:bodyDiv w:val="1"/>
      <w:marLeft w:val="0"/>
      <w:marRight w:val="0"/>
      <w:marTop w:val="0"/>
      <w:marBottom w:val="0"/>
      <w:divBdr>
        <w:top w:val="none" w:sz="0" w:space="0" w:color="auto"/>
        <w:left w:val="none" w:sz="0" w:space="0" w:color="auto"/>
        <w:bottom w:val="none" w:sz="0" w:space="0" w:color="auto"/>
        <w:right w:val="none" w:sz="0" w:space="0" w:color="auto"/>
      </w:divBdr>
    </w:div>
    <w:div w:id="101000069">
      <w:bodyDiv w:val="1"/>
      <w:marLeft w:val="0"/>
      <w:marRight w:val="0"/>
      <w:marTop w:val="0"/>
      <w:marBottom w:val="0"/>
      <w:divBdr>
        <w:top w:val="none" w:sz="0" w:space="0" w:color="auto"/>
        <w:left w:val="none" w:sz="0" w:space="0" w:color="auto"/>
        <w:bottom w:val="none" w:sz="0" w:space="0" w:color="auto"/>
        <w:right w:val="none" w:sz="0" w:space="0" w:color="auto"/>
      </w:divBdr>
    </w:div>
    <w:div w:id="293951031">
      <w:bodyDiv w:val="1"/>
      <w:marLeft w:val="0"/>
      <w:marRight w:val="0"/>
      <w:marTop w:val="0"/>
      <w:marBottom w:val="0"/>
      <w:divBdr>
        <w:top w:val="none" w:sz="0" w:space="0" w:color="auto"/>
        <w:left w:val="none" w:sz="0" w:space="0" w:color="auto"/>
        <w:bottom w:val="none" w:sz="0" w:space="0" w:color="auto"/>
        <w:right w:val="none" w:sz="0" w:space="0" w:color="auto"/>
      </w:divBdr>
    </w:div>
    <w:div w:id="297757908">
      <w:bodyDiv w:val="1"/>
      <w:marLeft w:val="0"/>
      <w:marRight w:val="0"/>
      <w:marTop w:val="0"/>
      <w:marBottom w:val="0"/>
      <w:divBdr>
        <w:top w:val="none" w:sz="0" w:space="0" w:color="auto"/>
        <w:left w:val="none" w:sz="0" w:space="0" w:color="auto"/>
        <w:bottom w:val="none" w:sz="0" w:space="0" w:color="auto"/>
        <w:right w:val="none" w:sz="0" w:space="0" w:color="auto"/>
      </w:divBdr>
    </w:div>
    <w:div w:id="362219410">
      <w:bodyDiv w:val="1"/>
      <w:marLeft w:val="0"/>
      <w:marRight w:val="0"/>
      <w:marTop w:val="0"/>
      <w:marBottom w:val="0"/>
      <w:divBdr>
        <w:top w:val="none" w:sz="0" w:space="0" w:color="auto"/>
        <w:left w:val="none" w:sz="0" w:space="0" w:color="auto"/>
        <w:bottom w:val="none" w:sz="0" w:space="0" w:color="auto"/>
        <w:right w:val="none" w:sz="0" w:space="0" w:color="auto"/>
      </w:divBdr>
    </w:div>
    <w:div w:id="584073995">
      <w:bodyDiv w:val="1"/>
      <w:marLeft w:val="0"/>
      <w:marRight w:val="0"/>
      <w:marTop w:val="0"/>
      <w:marBottom w:val="0"/>
      <w:divBdr>
        <w:top w:val="none" w:sz="0" w:space="0" w:color="auto"/>
        <w:left w:val="none" w:sz="0" w:space="0" w:color="auto"/>
        <w:bottom w:val="none" w:sz="0" w:space="0" w:color="auto"/>
        <w:right w:val="none" w:sz="0" w:space="0" w:color="auto"/>
      </w:divBdr>
    </w:div>
    <w:div w:id="612249449">
      <w:bodyDiv w:val="1"/>
      <w:marLeft w:val="0"/>
      <w:marRight w:val="0"/>
      <w:marTop w:val="0"/>
      <w:marBottom w:val="0"/>
      <w:divBdr>
        <w:top w:val="none" w:sz="0" w:space="0" w:color="auto"/>
        <w:left w:val="none" w:sz="0" w:space="0" w:color="auto"/>
        <w:bottom w:val="none" w:sz="0" w:space="0" w:color="auto"/>
        <w:right w:val="none" w:sz="0" w:space="0" w:color="auto"/>
      </w:divBdr>
    </w:div>
    <w:div w:id="652489282">
      <w:bodyDiv w:val="1"/>
      <w:marLeft w:val="0"/>
      <w:marRight w:val="0"/>
      <w:marTop w:val="0"/>
      <w:marBottom w:val="0"/>
      <w:divBdr>
        <w:top w:val="none" w:sz="0" w:space="0" w:color="auto"/>
        <w:left w:val="none" w:sz="0" w:space="0" w:color="auto"/>
        <w:bottom w:val="none" w:sz="0" w:space="0" w:color="auto"/>
        <w:right w:val="none" w:sz="0" w:space="0" w:color="auto"/>
      </w:divBdr>
    </w:div>
    <w:div w:id="861015094">
      <w:bodyDiv w:val="1"/>
      <w:marLeft w:val="0"/>
      <w:marRight w:val="0"/>
      <w:marTop w:val="0"/>
      <w:marBottom w:val="0"/>
      <w:divBdr>
        <w:top w:val="none" w:sz="0" w:space="0" w:color="auto"/>
        <w:left w:val="none" w:sz="0" w:space="0" w:color="auto"/>
        <w:bottom w:val="none" w:sz="0" w:space="0" w:color="auto"/>
        <w:right w:val="none" w:sz="0" w:space="0" w:color="auto"/>
      </w:divBdr>
    </w:div>
    <w:div w:id="977304475">
      <w:bodyDiv w:val="1"/>
      <w:marLeft w:val="0"/>
      <w:marRight w:val="0"/>
      <w:marTop w:val="0"/>
      <w:marBottom w:val="0"/>
      <w:divBdr>
        <w:top w:val="none" w:sz="0" w:space="0" w:color="auto"/>
        <w:left w:val="none" w:sz="0" w:space="0" w:color="auto"/>
        <w:bottom w:val="none" w:sz="0" w:space="0" w:color="auto"/>
        <w:right w:val="none" w:sz="0" w:space="0" w:color="auto"/>
      </w:divBdr>
    </w:div>
    <w:div w:id="1166900643">
      <w:bodyDiv w:val="1"/>
      <w:marLeft w:val="0"/>
      <w:marRight w:val="0"/>
      <w:marTop w:val="0"/>
      <w:marBottom w:val="0"/>
      <w:divBdr>
        <w:top w:val="none" w:sz="0" w:space="0" w:color="auto"/>
        <w:left w:val="none" w:sz="0" w:space="0" w:color="auto"/>
        <w:bottom w:val="none" w:sz="0" w:space="0" w:color="auto"/>
        <w:right w:val="none" w:sz="0" w:space="0" w:color="auto"/>
      </w:divBdr>
    </w:div>
    <w:div w:id="1267425610">
      <w:bodyDiv w:val="1"/>
      <w:marLeft w:val="0"/>
      <w:marRight w:val="0"/>
      <w:marTop w:val="0"/>
      <w:marBottom w:val="0"/>
      <w:divBdr>
        <w:top w:val="none" w:sz="0" w:space="0" w:color="auto"/>
        <w:left w:val="none" w:sz="0" w:space="0" w:color="auto"/>
        <w:bottom w:val="none" w:sz="0" w:space="0" w:color="auto"/>
        <w:right w:val="none" w:sz="0" w:space="0" w:color="auto"/>
      </w:divBdr>
    </w:div>
    <w:div w:id="1337727527">
      <w:bodyDiv w:val="1"/>
      <w:marLeft w:val="0"/>
      <w:marRight w:val="0"/>
      <w:marTop w:val="0"/>
      <w:marBottom w:val="0"/>
      <w:divBdr>
        <w:top w:val="none" w:sz="0" w:space="0" w:color="auto"/>
        <w:left w:val="none" w:sz="0" w:space="0" w:color="auto"/>
        <w:bottom w:val="none" w:sz="0" w:space="0" w:color="auto"/>
        <w:right w:val="none" w:sz="0" w:space="0" w:color="auto"/>
      </w:divBdr>
    </w:div>
    <w:div w:id="1375930272">
      <w:bodyDiv w:val="1"/>
      <w:marLeft w:val="0"/>
      <w:marRight w:val="0"/>
      <w:marTop w:val="0"/>
      <w:marBottom w:val="0"/>
      <w:divBdr>
        <w:top w:val="none" w:sz="0" w:space="0" w:color="auto"/>
        <w:left w:val="none" w:sz="0" w:space="0" w:color="auto"/>
        <w:bottom w:val="none" w:sz="0" w:space="0" w:color="auto"/>
        <w:right w:val="none" w:sz="0" w:space="0" w:color="auto"/>
      </w:divBdr>
    </w:div>
    <w:div w:id="1412700089">
      <w:bodyDiv w:val="1"/>
      <w:marLeft w:val="0"/>
      <w:marRight w:val="0"/>
      <w:marTop w:val="0"/>
      <w:marBottom w:val="0"/>
      <w:divBdr>
        <w:top w:val="none" w:sz="0" w:space="0" w:color="auto"/>
        <w:left w:val="none" w:sz="0" w:space="0" w:color="auto"/>
        <w:bottom w:val="none" w:sz="0" w:space="0" w:color="auto"/>
        <w:right w:val="none" w:sz="0" w:space="0" w:color="auto"/>
      </w:divBdr>
    </w:div>
    <w:div w:id="1647972978">
      <w:bodyDiv w:val="1"/>
      <w:marLeft w:val="0"/>
      <w:marRight w:val="0"/>
      <w:marTop w:val="0"/>
      <w:marBottom w:val="0"/>
      <w:divBdr>
        <w:top w:val="none" w:sz="0" w:space="0" w:color="auto"/>
        <w:left w:val="none" w:sz="0" w:space="0" w:color="auto"/>
        <w:bottom w:val="none" w:sz="0" w:space="0" w:color="auto"/>
        <w:right w:val="none" w:sz="0" w:space="0" w:color="auto"/>
      </w:divBdr>
    </w:div>
    <w:div w:id="1766227293">
      <w:bodyDiv w:val="1"/>
      <w:marLeft w:val="0"/>
      <w:marRight w:val="0"/>
      <w:marTop w:val="0"/>
      <w:marBottom w:val="0"/>
      <w:divBdr>
        <w:top w:val="none" w:sz="0" w:space="0" w:color="auto"/>
        <w:left w:val="none" w:sz="0" w:space="0" w:color="auto"/>
        <w:bottom w:val="none" w:sz="0" w:space="0" w:color="auto"/>
        <w:right w:val="none" w:sz="0" w:space="0" w:color="auto"/>
      </w:divBdr>
    </w:div>
    <w:div w:id="1940285051">
      <w:bodyDiv w:val="1"/>
      <w:marLeft w:val="0"/>
      <w:marRight w:val="0"/>
      <w:marTop w:val="0"/>
      <w:marBottom w:val="0"/>
      <w:divBdr>
        <w:top w:val="none" w:sz="0" w:space="0" w:color="auto"/>
        <w:left w:val="none" w:sz="0" w:space="0" w:color="auto"/>
        <w:bottom w:val="none" w:sz="0" w:space="0" w:color="auto"/>
        <w:right w:val="none" w:sz="0" w:space="0" w:color="auto"/>
      </w:divBdr>
    </w:div>
    <w:div w:id="2097676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cbiomass.accionpower.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5.xml"/><Relationship Id="rId10" Type="http://schemas.openxmlformats.org/officeDocument/2006/relationships/hyperlink" Target="mailto:advisors@accion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3.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rPr>
              <a:t>Total</a:t>
            </a:r>
            <a:r>
              <a:rPr lang="en-US" sz="1050" b="1" baseline="0">
                <a:solidFill>
                  <a:sysClr val="windowText" lastClr="000000"/>
                </a:solidFill>
              </a:rPr>
              <a:t> Users </a:t>
            </a:r>
            <a:r>
              <a:rPr lang="en-US" sz="1050" b="1">
                <a:solidFill>
                  <a:sysClr val="windowText" lastClr="000000"/>
                </a:solidFill>
              </a:rPr>
              <a:t>= 111</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User Types Total= 112</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3335-4266-B13F-7F73D87CB2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35-4266-B13F-7F73D87CB2DE}"/>
              </c:ext>
            </c:extLst>
          </c:dPt>
          <c:dPt>
            <c:idx val="2"/>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5-3335-4266-B13F-7F73D87CB2DE}"/>
              </c:ext>
            </c:extLst>
          </c:dPt>
          <c:dPt>
            <c:idx val="3"/>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7-3335-4266-B13F-7F73D87CB2DE}"/>
              </c:ext>
            </c:extLst>
          </c:dPt>
          <c:dLbls>
            <c:dLbl>
              <c:idx val="0"/>
              <c:layout>
                <c:manualLayout>
                  <c:x val="3.1887941090696996E-4"/>
                  <c:y val="-1.5989251343582051E-2"/>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335-4266-B13F-7F73D87CB2DE}"/>
                </c:ext>
              </c:extLst>
            </c:dLbl>
            <c:dLbl>
              <c:idx val="1"/>
              <c:layout>
                <c:manualLayout>
                  <c:x val="4.5418433830690934E-2"/>
                  <c:y val="4.281669080195965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Calibri" panose="020F0502020204030204" pitchFamily="34" charset="0"/>
                        <a:ea typeface="+mn-ea"/>
                        <a:cs typeface="+mn-cs"/>
                      </a:defRPr>
                    </a:pPr>
                    <a:r>
                      <a:rPr lang="en-US" sz="1000"/>
                      <a:t>(22)</a:t>
                    </a:r>
                  </a:p>
                </c:rich>
              </c:tx>
              <c:numFmt formatCode="\(#,##0_)\);[Red]\(\#\,##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Calibri" panose="020F0502020204030204"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2106638844057519E-2"/>
                      <c:h val="9.4021216097987748E-2"/>
                    </c:manualLayout>
                  </c15:layout>
                  <c15:showDataLabelsRange val="0"/>
                </c:ext>
                <c:ext xmlns:c16="http://schemas.microsoft.com/office/drawing/2014/chart" uri="{C3380CC4-5D6E-409C-BE32-E72D297353CC}">
                  <c16:uniqueId val="{00000003-3335-4266-B13F-7F73D87CB2DE}"/>
                </c:ext>
              </c:extLst>
            </c:dLbl>
            <c:dLbl>
              <c:idx val="2"/>
              <c:layout>
                <c:manualLayout>
                  <c:x val="0.12352866642176827"/>
                  <c:y val="-4.8590598902410014E-2"/>
                </c:manualLayout>
              </c:layout>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335-4266-B13F-7F73D87CB2DE}"/>
                </c:ext>
              </c:extLst>
            </c:dLbl>
            <c:dLbl>
              <c:idx val="3"/>
              <c:layout>
                <c:manualLayout>
                  <c:x val="-3.7156623170582381E-2"/>
                  <c:y val="-1.9966976855165831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335-4266-B13F-7F73D87CB2DE}"/>
                </c:ext>
              </c:extLst>
            </c:dLbl>
            <c:numFmt formatCode="\(#,##0_)\);[Red]\(\#\,##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Admin</c:v>
                </c:pt>
                <c:pt idx="1">
                  <c:v>Company</c:v>
                </c:pt>
                <c:pt idx="2">
                  <c:v>Bidder</c:v>
                </c:pt>
                <c:pt idx="3">
                  <c:v>Non-Bidder</c:v>
                </c:pt>
              </c:strCache>
            </c:strRef>
          </c:cat>
          <c:val>
            <c:numRef>
              <c:f>Sheet1!$B$2:$B$5</c:f>
              <c:numCache>
                <c:formatCode>General</c:formatCode>
                <c:ptCount val="4"/>
                <c:pt idx="0">
                  <c:v>12</c:v>
                </c:pt>
                <c:pt idx="1">
                  <c:v>22</c:v>
                </c:pt>
                <c:pt idx="2">
                  <c:v>38</c:v>
                </c:pt>
                <c:pt idx="3">
                  <c:v>40</c:v>
                </c:pt>
              </c:numCache>
            </c:numRef>
          </c:val>
          <c:extLst>
            <c:ext xmlns:c16="http://schemas.microsoft.com/office/drawing/2014/chart" uri="{C3380CC4-5D6E-409C-BE32-E72D297353CC}">
              <c16:uniqueId val="{00000008-3335-4266-B13F-7F73D87CB2D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ysClr val="windowText" lastClr="000000"/>
                </a:solidFill>
                <a:latin typeface="+mn-lt"/>
                <a:ea typeface="+mn-ea"/>
                <a:cs typeface="+mn-cs"/>
              </a:defRPr>
            </a:pPr>
            <a:r>
              <a:rPr lang="en-US" sz="1100" b="1"/>
              <a:t>Questions</a:t>
            </a:r>
            <a:r>
              <a:rPr lang="en-US" sz="1100" b="1" baseline="0"/>
              <a:t> Asked by Category</a:t>
            </a:r>
            <a:endParaRPr lang="en-US" sz="1100" b="1"/>
          </a:p>
          <a:p>
            <a:pPr algn="ctr">
              <a:defRPr b="1">
                <a:solidFill>
                  <a:sysClr val="windowText" lastClr="000000"/>
                </a:solidFill>
              </a:defRPr>
            </a:pPr>
            <a:endParaRPr lang="en-US" sz="1100" b="1"/>
          </a:p>
        </c:rich>
      </c:tx>
      <c:layout>
        <c:manualLayout>
          <c:xMode val="edge"/>
          <c:yMode val="edge"/>
          <c:x val="0.15407263183011213"/>
          <c:y val="6.3157894736842107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Questions Asked by Category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8E-4F0B-B7BF-4D84786DFE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8E-4F0B-B7BF-4D84786DFE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28E-4F0B-B7BF-4D84786DFE07}"/>
              </c:ext>
            </c:extLst>
          </c:dPt>
          <c:dLbls>
            <c:dLbl>
              <c:idx val="0"/>
              <c:layout>
                <c:manualLayout>
                  <c:x val="1.5948253864100322E-2"/>
                  <c:y val="-3.2309086364204473E-2"/>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28E-4F0B-B7BF-4D84786DFE07}"/>
                </c:ext>
              </c:extLst>
            </c:dLbl>
            <c:dLbl>
              <c:idx val="1"/>
              <c:layout>
                <c:manualLayout>
                  <c:x val="-5.297290068040858E-2"/>
                  <c:y val="-5.966492994345856E-3"/>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28E-4F0B-B7BF-4D84786DFE07}"/>
                </c:ext>
              </c:extLst>
            </c:dLbl>
            <c:dLbl>
              <c:idx val="2"/>
              <c:layout>
                <c:manualLayout>
                  <c:x val="-2.2227126067840247E-2"/>
                  <c:y val="-4.083832804481529E-2"/>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28E-4F0B-B7BF-4D84786DFE07}"/>
                </c:ext>
              </c:extLst>
            </c:dLbl>
            <c:numFmt formatCode="\(#,##0_)\);[Red]\(\$#,##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Sheet1!$A$2:$A$4</c:f>
              <c:strCache>
                <c:ptCount val="3"/>
                <c:pt idx="0">
                  <c:v>Other</c:v>
                </c:pt>
                <c:pt idx="1">
                  <c:v>Contract Terms </c:v>
                </c:pt>
                <c:pt idx="2">
                  <c:v>Transmission</c:v>
                </c:pt>
              </c:strCache>
            </c:strRef>
          </c:cat>
          <c:val>
            <c:numRef>
              <c:f>Sheet1!$B$2:$B$4</c:f>
              <c:numCache>
                <c:formatCode>General</c:formatCode>
                <c:ptCount val="3"/>
                <c:pt idx="0">
                  <c:v>17</c:v>
                </c:pt>
                <c:pt idx="1">
                  <c:v>4</c:v>
                </c:pt>
                <c:pt idx="2">
                  <c:v>2</c:v>
                </c:pt>
              </c:numCache>
            </c:numRef>
          </c:val>
          <c:extLst>
            <c:ext xmlns:c16="http://schemas.microsoft.com/office/drawing/2014/chart" uri="{C3380CC4-5D6E-409C-BE32-E72D297353CC}">
              <c16:uniqueId val="{00000006-D28E-4F0B-B7BF-4D84786DFE0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7.3960111273515955E-2"/>
          <c:y val="0.84705010639102196"/>
          <c:w val="0.82413566567652097"/>
          <c:h val="0.1200280829093893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Messages Exchanged with Bidders</a:t>
            </a:r>
          </a:p>
        </c:rich>
      </c:tx>
      <c:layout>
        <c:manualLayout>
          <c:xMode val="edge"/>
          <c:yMode val="edge"/>
          <c:x val="0.17476707869616856"/>
          <c:y val="4.3010752688172046E-2"/>
        </c:manualLayout>
      </c:layout>
      <c:overlay val="0"/>
      <c:spPr>
        <a:noFill/>
        <a:ln>
          <a:noFill/>
        </a:ln>
        <a:effectLst/>
      </c:spPr>
      <c:txPr>
        <a:bodyPr rot="0" spcFirstLastPara="1" vertOverflow="ellipsis" vert="horz" wrap="square" anchor="ctr" anchorCtr="1"/>
        <a:lstStyle/>
        <a:p>
          <a:pPr algn="ctr">
            <a:defRPr sz="11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Messages Exchanged</c:v>
                </c:pt>
              </c:strCache>
            </c:strRef>
          </c:tx>
          <c:spPr>
            <a:solidFill>
              <a:schemeClr val="accent1">
                <a:lumMod val="75000"/>
              </a:schemeClr>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C53C-400F-AA30-BDCB185E706C}"/>
              </c:ext>
            </c:extLst>
          </c:dPt>
          <c:dLbls>
            <c:dLbl>
              <c:idx val="0"/>
              <c:tx>
                <c:rich>
                  <a:bodyPr/>
                  <a:lstStyle/>
                  <a:p>
                    <a:r>
                      <a:rPr lang="en-US"/>
                      <a:t>293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3C-400F-AA30-BDCB185E706C}"/>
                </c:ext>
              </c:extLst>
            </c:dLbl>
            <c:dLbl>
              <c:idx val="1"/>
              <c:tx>
                <c:rich>
                  <a:bodyPr/>
                  <a:lstStyle/>
                  <a:p>
                    <a:r>
                      <a:rPr lang="en-US"/>
                      <a:t>357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53C-400F-AA30-BDCB185E70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Messages from Bidders</c:v>
                </c:pt>
                <c:pt idx="1">
                  <c:v>Messages to Bidders</c:v>
                </c:pt>
              </c:strCache>
            </c:strRef>
          </c:cat>
          <c:val>
            <c:numRef>
              <c:f>Sheet1!$B$2:$B$3</c:f>
              <c:numCache>
                <c:formatCode>General</c:formatCode>
                <c:ptCount val="2"/>
                <c:pt idx="0">
                  <c:v>293</c:v>
                </c:pt>
                <c:pt idx="1">
                  <c:v>357</c:v>
                </c:pt>
              </c:numCache>
            </c:numRef>
          </c:val>
          <c:extLst>
            <c:ext xmlns:c16="http://schemas.microsoft.com/office/drawing/2014/chart" uri="{C3380CC4-5D6E-409C-BE32-E72D297353CC}">
              <c16:uniqueId val="{00000003-C53C-400F-AA30-BDCB185E706C}"/>
            </c:ext>
          </c:extLst>
        </c:ser>
        <c:dLbls>
          <c:showLegendKey val="0"/>
          <c:showVal val="0"/>
          <c:showCatName val="0"/>
          <c:showSerName val="0"/>
          <c:showPercent val="0"/>
          <c:showBubbleSize val="0"/>
        </c:dLbls>
        <c:gapWidth val="219"/>
        <c:overlap val="-27"/>
        <c:axId val="1055314576"/>
        <c:axId val="1055301136"/>
      </c:barChart>
      <c:catAx>
        <c:axId val="105531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055301136"/>
        <c:crosses val="autoZero"/>
        <c:auto val="1"/>
        <c:lblAlgn val="ctr"/>
        <c:lblOffset val="100"/>
        <c:noMultiLvlLbl val="0"/>
      </c:catAx>
      <c:valAx>
        <c:axId val="105530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5531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sz="1200" b="1">
              <a:solidFill>
                <a:sysClr val="windowText" lastClr="000000"/>
              </a:solidFill>
            </a:endParaRPr>
          </a:p>
          <a:p>
            <a:pPr>
              <a:defRPr>
                <a:solidFill>
                  <a:sysClr val="windowText" lastClr="000000"/>
                </a:solidFill>
              </a:defRPr>
            </a:pPr>
            <a:r>
              <a:rPr lang="en-US" sz="1200" b="1">
                <a:solidFill>
                  <a:sysClr val="windowText" lastClr="000000"/>
                </a:solidFill>
              </a:rPr>
              <a:t>Summary of </a:t>
            </a:r>
          </a:p>
          <a:p>
            <a:pPr>
              <a:defRPr>
                <a:solidFill>
                  <a:sysClr val="windowText" lastClr="000000"/>
                </a:solidFill>
              </a:defRPr>
            </a:pPr>
            <a:r>
              <a:rPr lang="en-US" sz="1200" b="1">
                <a:solidFill>
                  <a:sysClr val="windowText" lastClr="000000"/>
                </a:solidFill>
              </a:rPr>
              <a:t>10 Potential Bids </a:t>
            </a:r>
          </a:p>
        </c:rich>
      </c:tx>
      <c:layout>
        <c:manualLayout>
          <c:xMode val="edge"/>
          <c:yMode val="edge"/>
          <c:x val="0.2974481982855591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Bid Types Total= 10</c:v>
                </c:pt>
              </c:strCache>
            </c:strRef>
          </c:tx>
          <c:dPt>
            <c:idx val="0"/>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1-9E3F-4EA6-8B27-A418B78408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3F-4EA6-8B27-A418B78408A3}"/>
              </c:ext>
            </c:extLst>
          </c:dPt>
          <c:dPt>
            <c:idx val="2"/>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5-9E3F-4EA6-8B27-A418B78408A3}"/>
              </c:ext>
            </c:extLst>
          </c:dPt>
          <c:dLbls>
            <c:dLbl>
              <c:idx val="0"/>
              <c:layout>
                <c:manualLayout>
                  <c:x val="1.8131561679789941E-2"/>
                  <c:y val="-4.893169603799525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E3F-4EA6-8B27-A418B78408A3}"/>
                </c:ext>
              </c:extLst>
            </c:dLbl>
            <c:dLbl>
              <c:idx val="1"/>
              <c:layout>
                <c:manualLayout>
                  <c:x val="-3.3228255322251384E-2"/>
                  <c:y val="-1.4232908386451694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E3F-4EA6-8B27-A418B78408A3}"/>
                </c:ext>
              </c:extLst>
            </c:dLbl>
            <c:dLbl>
              <c:idx val="2"/>
              <c:layout>
                <c:manualLayout>
                  <c:x val="-2.8240011665208516E-2"/>
                  <c:y val="-2.8605799275090615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E3F-4EA6-8B27-A418B78408A3}"/>
                </c:ext>
              </c:extLst>
            </c:dLbl>
            <c:numFmt formatCode="\(#,##0_)\);[Red]\(\$#,##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Submitted</c:v>
                </c:pt>
                <c:pt idx="1">
                  <c:v>Deleted</c:v>
                </c:pt>
                <c:pt idx="2">
                  <c:v>Pending</c:v>
                </c:pt>
              </c:strCache>
            </c:strRef>
          </c:cat>
          <c:val>
            <c:numRef>
              <c:f>Sheet1!$B$2:$B$4</c:f>
              <c:numCache>
                <c:formatCode>General</c:formatCode>
                <c:ptCount val="3"/>
                <c:pt idx="0">
                  <c:v>4</c:v>
                </c:pt>
                <c:pt idx="1">
                  <c:v>3</c:v>
                </c:pt>
                <c:pt idx="2">
                  <c:v>3</c:v>
                </c:pt>
              </c:numCache>
            </c:numRef>
          </c:val>
          <c:extLst>
            <c:ext xmlns:c16="http://schemas.microsoft.com/office/drawing/2014/chart" uri="{C3380CC4-5D6E-409C-BE32-E72D297353CC}">
              <c16:uniqueId val="{00000006-9E3F-4EA6-8B27-A418B78408A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9A2E-3A47-4F93-A2A0-C4351EEA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5676</Words>
  <Characters>32357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Hadi</dc:creator>
  <cp:keywords/>
  <dc:description/>
  <cp:lastModifiedBy>Sheri Vincent-Crisp</cp:lastModifiedBy>
  <cp:revision>4</cp:revision>
  <cp:lastPrinted>2024-08-13T21:27:00Z</cp:lastPrinted>
  <dcterms:created xsi:type="dcterms:W3CDTF">2024-08-13T21:26:00Z</dcterms:created>
  <dcterms:modified xsi:type="dcterms:W3CDTF">2024-08-13T21:28:00Z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5bbe7e7d11203317eada3c2dbe1b58fb3e7d3029e8838eb1dcded3c9008421fe</vt:lpwstr>
  </property>
</Properties>
</file>