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F2763" w:rsidRPr="00611A1D" w14:paraId="53BD6692" w14:textId="77777777" w:rsidTr="008065F6">
        <w:trPr>
          <w:trHeight w:val="1681"/>
          <w:jc w:val="center"/>
        </w:trPr>
        <w:tc>
          <w:tcPr>
            <w:tcW w:w="4358" w:type="dxa"/>
            <w:hideMark/>
          </w:tcPr>
          <w:p w14:paraId="7C825C5E" w14:textId="77777777" w:rsidR="003F2763" w:rsidRPr="00611A1D" w:rsidRDefault="003F2763" w:rsidP="008065F6">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01E7132" w14:textId="77777777" w:rsidR="00BA2A06" w:rsidRPr="00611A1D" w:rsidRDefault="00BA2A06" w:rsidP="008065F6">
            <w:pPr>
              <w:spacing w:line="276" w:lineRule="auto"/>
              <w:rPr>
                <w:rStyle w:val="Strong"/>
                <w:sz w:val="20"/>
                <w:szCs w:val="20"/>
              </w:rPr>
            </w:pPr>
          </w:p>
          <w:p w14:paraId="1AE94623" w14:textId="108492D5" w:rsidR="00E92FA4" w:rsidRPr="00611A1D" w:rsidRDefault="003A0D04" w:rsidP="008065F6">
            <w:pPr>
              <w:spacing w:line="276" w:lineRule="auto"/>
              <w:rPr>
                <w:rStyle w:val="Strong"/>
                <w:sz w:val="20"/>
                <w:szCs w:val="20"/>
              </w:rPr>
            </w:pPr>
            <w:r>
              <w:rPr>
                <w:rStyle w:val="Strong"/>
                <w:sz w:val="20"/>
                <w:szCs w:val="20"/>
              </w:rPr>
              <w:t>JASON SHAW</w:t>
            </w:r>
            <w:r w:rsidR="00994AB6" w:rsidRPr="00611A1D">
              <w:rPr>
                <w:rStyle w:val="Strong"/>
                <w:sz w:val="20"/>
                <w:szCs w:val="20"/>
              </w:rPr>
              <w:t xml:space="preserve">, Chairman </w:t>
            </w:r>
          </w:p>
          <w:p w14:paraId="02345E52" w14:textId="77777777" w:rsidR="001D0747" w:rsidRPr="00611A1D" w:rsidRDefault="00E92FA4" w:rsidP="0006325A">
            <w:pPr>
              <w:tabs>
                <w:tab w:val="right" w:pos="4189"/>
              </w:tabs>
              <w:spacing w:line="276" w:lineRule="auto"/>
              <w:rPr>
                <w:rStyle w:val="Strong"/>
                <w:sz w:val="20"/>
                <w:szCs w:val="20"/>
              </w:rPr>
            </w:pPr>
            <w:r w:rsidRPr="00611A1D">
              <w:rPr>
                <w:rStyle w:val="Strong"/>
                <w:sz w:val="20"/>
                <w:szCs w:val="20"/>
              </w:rPr>
              <w:t>TIM G. ECHOLS, Vice-Chairman</w:t>
            </w:r>
            <w:r w:rsidR="0006325A">
              <w:rPr>
                <w:rStyle w:val="Strong"/>
                <w:sz w:val="20"/>
                <w:szCs w:val="20"/>
              </w:rPr>
              <w:tab/>
              <w:t xml:space="preserve">   </w:t>
            </w:r>
          </w:p>
          <w:p w14:paraId="2E132CB5" w14:textId="77777777" w:rsidR="006862E4" w:rsidRPr="00611A1D" w:rsidRDefault="001D0747" w:rsidP="008065F6">
            <w:pPr>
              <w:spacing w:line="276" w:lineRule="auto"/>
              <w:rPr>
                <w:rStyle w:val="Strong"/>
                <w:sz w:val="20"/>
                <w:szCs w:val="20"/>
              </w:rPr>
            </w:pPr>
            <w:r w:rsidRPr="00611A1D">
              <w:rPr>
                <w:rStyle w:val="Strong"/>
                <w:sz w:val="20"/>
                <w:szCs w:val="20"/>
              </w:rPr>
              <w:t>FITZ JOHNSON</w:t>
            </w:r>
            <w:r w:rsidR="00994AB6" w:rsidRPr="00611A1D">
              <w:rPr>
                <w:rStyle w:val="Strong"/>
                <w:sz w:val="20"/>
                <w:szCs w:val="20"/>
              </w:rPr>
              <w:t xml:space="preserve"> </w:t>
            </w:r>
          </w:p>
          <w:p w14:paraId="30A6E915" w14:textId="1515A1A7" w:rsidR="003F2763" w:rsidRDefault="003F2763" w:rsidP="006862E4">
            <w:pPr>
              <w:spacing w:line="276" w:lineRule="auto"/>
            </w:pPr>
            <w:r w:rsidRPr="00611A1D">
              <w:rPr>
                <w:rStyle w:val="Strong"/>
                <w:sz w:val="20"/>
                <w:szCs w:val="20"/>
              </w:rPr>
              <w:t>LAU</w:t>
            </w:r>
            <w:r w:rsidR="00994AB6" w:rsidRPr="00611A1D">
              <w:rPr>
                <w:rStyle w:val="Strong"/>
                <w:sz w:val="20"/>
                <w:szCs w:val="20"/>
              </w:rPr>
              <w:t xml:space="preserve">REN “BUBBA” </w:t>
            </w:r>
            <w:proofErr w:type="spellStart"/>
            <w:r w:rsidR="00994AB6" w:rsidRPr="00611A1D">
              <w:rPr>
                <w:rStyle w:val="Strong"/>
                <w:sz w:val="20"/>
                <w:szCs w:val="20"/>
              </w:rPr>
              <w:t>McDONALD</w:t>
            </w:r>
            <w:proofErr w:type="spellEnd"/>
            <w:r w:rsidRPr="00611A1D">
              <w:rPr>
                <w:rStyle w:val="Strong"/>
                <w:sz w:val="20"/>
                <w:szCs w:val="20"/>
              </w:rPr>
              <w:t xml:space="preserve">                                  </w:t>
            </w:r>
            <w:r w:rsidRPr="00611A1D">
              <w:rPr>
                <w:b/>
                <w:sz w:val="20"/>
                <w:szCs w:val="20"/>
              </w:rPr>
              <w:br/>
            </w:r>
            <w:r w:rsidR="003A0D04">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0E48A67F" w14:textId="77777777" w:rsidR="003F2763" w:rsidRDefault="008F38EF" w:rsidP="001C4F42">
            <w:pPr>
              <w:tabs>
                <w:tab w:val="left" w:pos="1410"/>
              </w:tabs>
              <w:spacing w:line="276" w:lineRule="auto"/>
            </w:pPr>
            <w:r>
              <w:t xml:space="preserve"> </w:t>
            </w:r>
            <w:r w:rsidR="0006325A">
              <w:t xml:space="preserve">   </w:t>
            </w:r>
            <w:r w:rsidR="001F00F3" w:rsidRPr="00A958CB">
              <w:rPr>
                <w:noProof/>
              </w:rPr>
              <w:drawing>
                <wp:inline distT="0" distB="0" distL="0" distR="0" wp14:anchorId="6258780E" wp14:editId="7702A765">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427FDC7" w14:textId="77777777" w:rsidR="00BA2A06" w:rsidRPr="00611A1D" w:rsidRDefault="00BA2A06" w:rsidP="00611A1D">
            <w:pPr>
              <w:spacing w:line="276" w:lineRule="auto"/>
              <w:rPr>
                <w:b/>
                <w:sz w:val="20"/>
                <w:szCs w:val="20"/>
              </w:rPr>
            </w:pPr>
          </w:p>
          <w:p w14:paraId="5D3F7224" w14:textId="77777777" w:rsidR="003F2763" w:rsidRPr="00611A1D" w:rsidRDefault="00467B71" w:rsidP="008065F6">
            <w:pPr>
              <w:spacing w:line="276" w:lineRule="auto"/>
              <w:jc w:val="right"/>
              <w:rPr>
                <w:b/>
                <w:sz w:val="20"/>
                <w:szCs w:val="20"/>
              </w:rPr>
            </w:pPr>
            <w:r w:rsidRPr="00611A1D">
              <w:rPr>
                <w:b/>
                <w:sz w:val="20"/>
                <w:szCs w:val="20"/>
              </w:rPr>
              <w:t xml:space="preserve">REECE </w:t>
            </w:r>
            <w:proofErr w:type="spellStart"/>
            <w:r w:rsidRPr="00611A1D">
              <w:rPr>
                <w:b/>
                <w:sz w:val="20"/>
                <w:szCs w:val="20"/>
              </w:rPr>
              <w:t>McALISTER</w:t>
            </w:r>
            <w:proofErr w:type="spellEnd"/>
            <w:r w:rsidR="003F2763" w:rsidRPr="00611A1D">
              <w:rPr>
                <w:b/>
                <w:sz w:val="20"/>
                <w:szCs w:val="20"/>
              </w:rPr>
              <w:t> </w:t>
            </w:r>
          </w:p>
          <w:p w14:paraId="660AA76B" w14:textId="77777777" w:rsidR="005529E4" w:rsidRPr="00611A1D" w:rsidRDefault="00467B71" w:rsidP="008065F6">
            <w:pPr>
              <w:spacing w:line="276" w:lineRule="auto"/>
              <w:jc w:val="right"/>
              <w:rPr>
                <w:b/>
                <w:sz w:val="20"/>
                <w:szCs w:val="20"/>
              </w:rPr>
            </w:pPr>
            <w:r w:rsidRPr="00611A1D">
              <w:rPr>
                <w:b/>
                <w:sz w:val="20"/>
                <w:szCs w:val="20"/>
              </w:rPr>
              <w:t>EXECUTIVE DIRECTOR</w:t>
            </w:r>
          </w:p>
          <w:p w14:paraId="41C593A1" w14:textId="77777777" w:rsidR="003F2763" w:rsidRPr="00611A1D" w:rsidRDefault="003F2763" w:rsidP="00467B71">
            <w:pPr>
              <w:spacing w:line="276" w:lineRule="auto"/>
              <w:jc w:val="right"/>
              <w:rPr>
                <w:sz w:val="20"/>
                <w:szCs w:val="20"/>
              </w:rPr>
            </w:pPr>
            <w:r w:rsidRPr="00611A1D">
              <w:rPr>
                <w:b/>
                <w:sz w:val="20"/>
                <w:szCs w:val="20"/>
              </w:rPr>
              <w:t xml:space="preserve"> </w:t>
            </w:r>
            <w:r w:rsidRPr="00611A1D">
              <w:rPr>
                <w:b/>
                <w:sz w:val="20"/>
                <w:szCs w:val="20"/>
              </w:rPr>
              <w:br/>
            </w:r>
            <w:r w:rsidR="00467B71" w:rsidRPr="00611A1D">
              <w:rPr>
                <w:b/>
                <w:sz w:val="20"/>
                <w:szCs w:val="20"/>
              </w:rPr>
              <w:t>SALLIE TANNER</w:t>
            </w:r>
            <w:r w:rsidRPr="00611A1D">
              <w:rPr>
                <w:b/>
                <w:sz w:val="20"/>
                <w:szCs w:val="20"/>
              </w:rPr>
              <w:br/>
              <w:t>EXECUTIVE SECRETARY</w:t>
            </w:r>
          </w:p>
        </w:tc>
      </w:tr>
      <w:tr w:rsidR="003F2763" w14:paraId="4F4DF02C" w14:textId="77777777" w:rsidTr="008065F6">
        <w:trPr>
          <w:trHeight w:val="772"/>
          <w:jc w:val="center"/>
        </w:trPr>
        <w:tc>
          <w:tcPr>
            <w:tcW w:w="11056" w:type="dxa"/>
            <w:gridSpan w:val="3"/>
            <w:hideMark/>
          </w:tcPr>
          <w:p w14:paraId="2414DC23" w14:textId="77777777" w:rsidR="003F2763" w:rsidRDefault="00897E9B" w:rsidP="0048564B">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w:t>
            </w:r>
            <w:r w:rsidR="003F2763">
              <w:rPr>
                <w:rFonts w:ascii="Old English Text MT" w:hAnsi="Old English Text MT"/>
                <w:sz w:val="42"/>
              </w:rPr>
              <w:t>Georgia Public Service Commission</w:t>
            </w:r>
          </w:p>
        </w:tc>
      </w:tr>
      <w:tr w:rsidR="003F2763" w14:paraId="112B004E" w14:textId="77777777" w:rsidTr="008065F6">
        <w:trPr>
          <w:jc w:val="center"/>
        </w:trPr>
        <w:tc>
          <w:tcPr>
            <w:tcW w:w="4358" w:type="dxa"/>
            <w:hideMark/>
          </w:tcPr>
          <w:p w14:paraId="7C03B06E" w14:textId="77777777" w:rsidR="003F2763" w:rsidRDefault="003F2763" w:rsidP="008065F6">
            <w:pPr>
              <w:spacing w:line="276" w:lineRule="auto"/>
              <w:rPr>
                <w:rFonts w:cs="Arial"/>
                <w:b/>
                <w:bCs/>
                <w:sz w:val="17"/>
                <w:szCs w:val="17"/>
              </w:rPr>
            </w:pPr>
            <w:r>
              <w:rPr>
                <w:rFonts w:cs="Arial"/>
                <w:b/>
                <w:bCs/>
                <w:sz w:val="17"/>
                <w:szCs w:val="17"/>
              </w:rPr>
              <w:t>(404) 656-4501</w:t>
            </w:r>
          </w:p>
          <w:p w14:paraId="3494741B" w14:textId="77777777" w:rsidR="003F2763" w:rsidRDefault="003F2763" w:rsidP="008065F6">
            <w:pPr>
              <w:spacing w:line="276" w:lineRule="auto"/>
              <w:rPr>
                <w:rFonts w:cs="Arial"/>
                <w:b/>
                <w:bCs/>
              </w:rPr>
            </w:pPr>
            <w:r>
              <w:rPr>
                <w:rFonts w:cs="Arial"/>
                <w:b/>
                <w:bCs/>
                <w:sz w:val="17"/>
                <w:szCs w:val="17"/>
              </w:rPr>
              <w:t>(800) 282-5813</w:t>
            </w:r>
          </w:p>
        </w:tc>
        <w:tc>
          <w:tcPr>
            <w:tcW w:w="2970" w:type="dxa"/>
            <w:hideMark/>
          </w:tcPr>
          <w:p w14:paraId="3E370B4C" w14:textId="77777777" w:rsidR="003F2763" w:rsidRDefault="003F2763" w:rsidP="0048564B">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60B93421" w14:textId="77777777" w:rsidR="0011770D" w:rsidRDefault="0011770D" w:rsidP="0011770D">
            <w:pPr>
              <w:spacing w:line="276" w:lineRule="auto"/>
              <w:jc w:val="right"/>
              <w:rPr>
                <w:rFonts w:cs="Arial"/>
                <w:b/>
                <w:bCs/>
                <w:sz w:val="17"/>
                <w:szCs w:val="17"/>
              </w:rPr>
            </w:pPr>
            <w:r>
              <w:rPr>
                <w:rFonts w:cs="Arial"/>
                <w:b/>
                <w:bCs/>
                <w:sz w:val="17"/>
                <w:szCs w:val="17"/>
              </w:rPr>
              <w:t xml:space="preserve">FAX: </w:t>
            </w:r>
            <w:r w:rsidR="003F2763">
              <w:rPr>
                <w:rFonts w:cs="Arial"/>
                <w:b/>
                <w:bCs/>
                <w:sz w:val="17"/>
                <w:szCs w:val="17"/>
              </w:rPr>
              <w:t xml:space="preserve">(404) 656-2341                   </w:t>
            </w:r>
          </w:p>
          <w:p w14:paraId="3C11C7CE" w14:textId="77777777" w:rsidR="003F2763" w:rsidRDefault="003F2763" w:rsidP="0011770D">
            <w:pPr>
              <w:spacing w:line="276" w:lineRule="auto"/>
              <w:jc w:val="right"/>
              <w:rPr>
                <w:rFonts w:cs="Arial"/>
                <w:b/>
                <w:bCs/>
              </w:rPr>
            </w:pPr>
            <w:r>
              <w:rPr>
                <w:rFonts w:cs="Arial"/>
                <w:b/>
                <w:bCs/>
                <w:sz w:val="17"/>
                <w:szCs w:val="17"/>
              </w:rPr>
              <w:t>psc.ga.</w:t>
            </w:r>
            <w:r w:rsidR="0011770D">
              <w:rPr>
                <w:rFonts w:cs="Arial"/>
                <w:b/>
                <w:bCs/>
                <w:sz w:val="17"/>
                <w:szCs w:val="17"/>
              </w:rPr>
              <w:t>gov</w:t>
            </w:r>
          </w:p>
        </w:tc>
      </w:tr>
      <w:tr w:rsidR="0011770D" w14:paraId="4CC70E55" w14:textId="77777777" w:rsidTr="008065F6">
        <w:trPr>
          <w:jc w:val="center"/>
        </w:trPr>
        <w:tc>
          <w:tcPr>
            <w:tcW w:w="4358" w:type="dxa"/>
          </w:tcPr>
          <w:p w14:paraId="39B77B57" w14:textId="77777777" w:rsidR="0011770D" w:rsidRDefault="0011770D" w:rsidP="008065F6">
            <w:pPr>
              <w:spacing w:line="276" w:lineRule="auto"/>
              <w:rPr>
                <w:rFonts w:cs="Arial"/>
                <w:b/>
                <w:bCs/>
                <w:sz w:val="17"/>
                <w:szCs w:val="17"/>
              </w:rPr>
            </w:pPr>
          </w:p>
        </w:tc>
        <w:tc>
          <w:tcPr>
            <w:tcW w:w="2970" w:type="dxa"/>
          </w:tcPr>
          <w:p w14:paraId="4F038BA0" w14:textId="77777777" w:rsidR="0011770D" w:rsidRDefault="0011770D" w:rsidP="0048564B">
            <w:pPr>
              <w:tabs>
                <w:tab w:val="left" w:pos="1410"/>
              </w:tabs>
              <w:spacing w:line="276" w:lineRule="auto"/>
              <w:jc w:val="center"/>
              <w:rPr>
                <w:rFonts w:cs="Arial"/>
                <w:b/>
                <w:sz w:val="17"/>
                <w:szCs w:val="17"/>
              </w:rPr>
            </w:pPr>
          </w:p>
        </w:tc>
        <w:tc>
          <w:tcPr>
            <w:tcW w:w="3728" w:type="dxa"/>
          </w:tcPr>
          <w:p w14:paraId="56105CDB" w14:textId="77777777" w:rsidR="0011770D" w:rsidRDefault="0011770D" w:rsidP="0011770D">
            <w:pPr>
              <w:spacing w:line="276" w:lineRule="auto"/>
              <w:jc w:val="right"/>
              <w:rPr>
                <w:rFonts w:cs="Arial"/>
                <w:b/>
                <w:bCs/>
                <w:sz w:val="17"/>
                <w:szCs w:val="17"/>
              </w:rPr>
            </w:pPr>
          </w:p>
        </w:tc>
      </w:tr>
    </w:tbl>
    <w:p w14:paraId="189AE9E5" w14:textId="3F69A29D" w:rsidR="004D511B" w:rsidRDefault="004D511B" w:rsidP="0043349B">
      <w:pPr>
        <w:pStyle w:val="Subtitle"/>
        <w:ind w:left="0" w:firstLine="0"/>
      </w:pPr>
    </w:p>
    <w:p w14:paraId="4F370903" w14:textId="77777777" w:rsidR="008F3F13" w:rsidRDefault="008F3F13" w:rsidP="008F3F13">
      <w:pPr>
        <w:rPr>
          <w:b/>
          <w:bCs/>
        </w:rPr>
      </w:pPr>
    </w:p>
    <w:p w14:paraId="0EAACCDE" w14:textId="77777777" w:rsidR="008F3F13" w:rsidRDefault="008F3F13" w:rsidP="008F3F13">
      <w:pPr>
        <w:rPr>
          <w:b/>
          <w:bCs/>
        </w:rPr>
      </w:pPr>
    </w:p>
    <w:p w14:paraId="04381081" w14:textId="643E7BEB" w:rsidR="008F3F13" w:rsidRDefault="008F3F13" w:rsidP="008F3F13">
      <w:pPr>
        <w:pStyle w:val="Title"/>
        <w:rPr>
          <w:b/>
        </w:rPr>
      </w:pPr>
      <w:r>
        <w:rPr>
          <w:b/>
        </w:rPr>
        <w:t xml:space="preserve">DOCKET NO. </w:t>
      </w:r>
      <w:r w:rsidR="00B66771">
        <w:rPr>
          <w:b/>
        </w:rPr>
        <w:t>55268</w:t>
      </w:r>
    </w:p>
    <w:p w14:paraId="75DDDFFB" w14:textId="77777777" w:rsidR="008F3F13" w:rsidRDefault="008F3F13" w:rsidP="008F3F13">
      <w:pPr>
        <w:pStyle w:val="Title"/>
        <w:jc w:val="both"/>
        <w:rPr>
          <w:szCs w:val="22"/>
        </w:rPr>
      </w:pPr>
    </w:p>
    <w:p w14:paraId="5BE68616" w14:textId="40136904" w:rsidR="008F3F13" w:rsidRDefault="008F3F13" w:rsidP="008F3F13">
      <w:pPr>
        <w:pStyle w:val="Subtitle"/>
        <w:jc w:val="both"/>
        <w:rPr>
          <w:rFonts w:ascii="Times New Roman" w:hAnsi="Times New Roman"/>
          <w:b/>
        </w:rPr>
      </w:pPr>
      <w:r>
        <w:rPr>
          <w:rFonts w:ascii="Times New Roman" w:hAnsi="Times New Roman"/>
          <w:b/>
        </w:rPr>
        <w:t xml:space="preserve">IN RE:  </w:t>
      </w:r>
      <w:r w:rsidR="00B66771" w:rsidRPr="00B66771">
        <w:rPr>
          <w:rFonts w:ascii="Times New Roman" w:hAnsi="Times New Roman"/>
          <w:b/>
          <w:caps/>
        </w:rPr>
        <w:t>Georgia Power Company’s 2029-2031 All-Source Capacity Request For Proposal (“RFP”)</w:t>
      </w:r>
    </w:p>
    <w:p w14:paraId="35B2D508" w14:textId="77777777" w:rsidR="008F3F13" w:rsidRDefault="008F3F13" w:rsidP="008F3F13">
      <w:pPr>
        <w:pStyle w:val="Heading1"/>
        <w:jc w:val="both"/>
      </w:pPr>
    </w:p>
    <w:p w14:paraId="28A361FC" w14:textId="77777777" w:rsidR="008F3F13" w:rsidRDefault="008F3F13" w:rsidP="008F3F13">
      <w:pPr>
        <w:jc w:val="both"/>
        <w:rPr>
          <w:b/>
        </w:rPr>
      </w:pPr>
    </w:p>
    <w:p w14:paraId="4693EFB0" w14:textId="3A7BB4E3" w:rsidR="00213553" w:rsidRPr="003F0BB0" w:rsidRDefault="00B66771" w:rsidP="0043349B">
      <w:pPr>
        <w:jc w:val="center"/>
        <w:rPr>
          <w:b/>
          <w:bCs/>
          <w:u w:val="single"/>
        </w:rPr>
      </w:pPr>
      <w:r>
        <w:rPr>
          <w:b/>
          <w:caps/>
        </w:rPr>
        <w:t xml:space="preserve">ORDER APPROVING </w:t>
      </w:r>
      <w:r w:rsidR="0092781F">
        <w:rPr>
          <w:b/>
          <w:caps/>
        </w:rPr>
        <w:t xml:space="preserve">FINAL </w:t>
      </w:r>
      <w:r w:rsidR="78C8BF48" w:rsidRPr="29A80A0B">
        <w:rPr>
          <w:b/>
          <w:bCs/>
          <w:caps/>
        </w:rPr>
        <w:t xml:space="preserve">RFP </w:t>
      </w:r>
      <w:r w:rsidR="0092781F">
        <w:rPr>
          <w:b/>
          <w:caps/>
        </w:rPr>
        <w:t>DOCUMENTS</w:t>
      </w:r>
      <w:r w:rsidR="2095ADEC" w:rsidRPr="29A80A0B">
        <w:rPr>
          <w:b/>
          <w:bCs/>
          <w:caps/>
        </w:rPr>
        <w:t xml:space="preserve"> WITH MODICATIONS</w:t>
      </w:r>
      <w:r w:rsidR="0019256C">
        <w:rPr>
          <w:b/>
          <w:bCs/>
          <w:caps/>
        </w:rPr>
        <w:t xml:space="preserve"> </w:t>
      </w:r>
      <w:r w:rsidR="1C3831A6" w:rsidRPr="29A80A0B">
        <w:rPr>
          <w:b/>
          <w:bCs/>
          <w:caps/>
        </w:rPr>
        <w:t>FOR</w:t>
      </w:r>
      <w:r w:rsidR="007B57BC">
        <w:rPr>
          <w:b/>
          <w:caps/>
        </w:rPr>
        <w:t xml:space="preserve"> </w:t>
      </w:r>
      <w:r w:rsidRPr="00B66771">
        <w:rPr>
          <w:b/>
          <w:caps/>
        </w:rPr>
        <w:t xml:space="preserve">Georgia Power Company’s 2029-2031 All-Source Capacity </w:t>
      </w:r>
      <w:r>
        <w:rPr>
          <w:b/>
          <w:caps/>
        </w:rPr>
        <w:t>RFP</w:t>
      </w:r>
    </w:p>
    <w:p w14:paraId="6E3E2D30" w14:textId="77777777" w:rsidR="003F2763" w:rsidRDefault="003F2763" w:rsidP="003F2763">
      <w:pPr>
        <w:pStyle w:val="Heading1"/>
      </w:pPr>
    </w:p>
    <w:p w14:paraId="42CA34A4" w14:textId="77777777" w:rsidR="005943FE" w:rsidRDefault="005943FE" w:rsidP="005943FE">
      <w:pPr>
        <w:spacing w:line="360" w:lineRule="auto"/>
        <w:ind w:firstLine="720"/>
        <w:jc w:val="both"/>
      </w:pPr>
      <w:r>
        <w:t xml:space="preserve">In Docket No. 44160, Georgia Power Company’s (“Georgia Power” or “Company”) 2022 Integrated Resource Plan (“IRP”), the Georgia Public Service Commission’s (“Commission”) Public Interest Advocacy Staff provided the following testimony: </w:t>
      </w:r>
    </w:p>
    <w:p w14:paraId="62524E58" w14:textId="77777777" w:rsidR="005943FE" w:rsidRDefault="005943FE" w:rsidP="005943FE">
      <w:pPr>
        <w:jc w:val="both"/>
      </w:pPr>
    </w:p>
    <w:p w14:paraId="0A946CD9" w14:textId="77777777" w:rsidR="005943FE" w:rsidRDefault="005943FE" w:rsidP="005943FE">
      <w:pPr>
        <w:ind w:left="720" w:right="900"/>
        <w:jc w:val="both"/>
      </w:pPr>
      <w:r>
        <w:t>Staff concludes that the Company will likely have a need for capacity in the 2029-2031 time-period. Staff believes an all-source capacity RFP should be initiated following this IRP to address future capacity needs. An all-source capacity RFP should include traditional fossil fuel resources, stand-alone battery, and solar plus battery resources as was permitted in the most recent capacity RFP. In the next capacity RFP Demand-Side resources could also be treated as eligible resources.</w:t>
      </w:r>
      <w:r>
        <w:rPr>
          <w:rStyle w:val="FootnoteReference"/>
        </w:rPr>
        <w:footnoteReference w:id="2"/>
      </w:r>
    </w:p>
    <w:p w14:paraId="7B20835D" w14:textId="77777777" w:rsidR="005943FE" w:rsidRDefault="005943FE" w:rsidP="005943FE">
      <w:pPr>
        <w:jc w:val="both"/>
      </w:pPr>
      <w:r>
        <w:rPr>
          <w:color w:val="FF0000"/>
        </w:rPr>
        <w:t xml:space="preserve"> </w:t>
      </w:r>
    </w:p>
    <w:p w14:paraId="295C9261" w14:textId="14212E2E" w:rsidR="005943FE" w:rsidRDefault="005943FE" w:rsidP="005943FE">
      <w:pPr>
        <w:spacing w:line="360" w:lineRule="auto"/>
        <w:ind w:firstLine="720"/>
        <w:jc w:val="both"/>
      </w:pPr>
      <w:r>
        <w:t xml:space="preserve">The Company agreed to conduct an all-source RFP as part of the stipulation approved by the Commission’s Final IRP Order, dated July 21, 2022. </w:t>
      </w:r>
      <w:r w:rsidR="3DF26888">
        <w:t xml:space="preserve">Paragraph 18 of </w:t>
      </w:r>
      <w:r w:rsidR="309BAB7F">
        <w:t>t</w:t>
      </w:r>
      <w:r>
        <w:t xml:space="preserve">he stipulation states: </w:t>
      </w:r>
    </w:p>
    <w:p w14:paraId="5F6855FF" w14:textId="77777777" w:rsidR="005943FE" w:rsidRDefault="005943FE" w:rsidP="005943FE">
      <w:pPr>
        <w:ind w:left="1440"/>
      </w:pPr>
    </w:p>
    <w:p w14:paraId="69F4D469" w14:textId="36E7067B" w:rsidR="29A80A0B" w:rsidRDefault="29A80A0B" w:rsidP="29A80A0B">
      <w:pPr>
        <w:spacing w:after="160" w:line="254" w:lineRule="auto"/>
        <w:ind w:right="900" w:firstLine="720"/>
        <w:jc w:val="both"/>
      </w:pPr>
    </w:p>
    <w:p w14:paraId="40B811C5" w14:textId="5C2A059E" w:rsidR="005943FE" w:rsidRDefault="005943FE" w:rsidP="005C27B3">
      <w:pPr>
        <w:autoSpaceDE w:val="0"/>
        <w:autoSpaceDN w:val="0"/>
        <w:adjustRightInd w:val="0"/>
        <w:spacing w:after="160" w:line="254" w:lineRule="auto"/>
        <w:ind w:left="1260" w:right="900"/>
        <w:jc w:val="both"/>
      </w:pPr>
      <w:r>
        <w:lastRenderedPageBreak/>
        <w:t xml:space="preserve">The Company will conduct an all-source Request For Proposal (RFP) for capacity needed in the 2029 – 2031 period to address the expiration of capacity PPAs during 2029 – 2031 and any generation retirements. Specific RFP guidelines, including resource eligibility requirements, will be approved by the Commission in accordance with the Commission’s RFP process. </w:t>
      </w:r>
    </w:p>
    <w:p w14:paraId="3543B2BB" w14:textId="68F178AA" w:rsidR="005943FE" w:rsidRDefault="005943FE" w:rsidP="005943FE">
      <w:pPr>
        <w:spacing w:line="360" w:lineRule="auto"/>
        <w:ind w:firstLine="720"/>
        <w:jc w:val="both"/>
      </w:pPr>
      <w:r>
        <w:t xml:space="preserve">At the request of the Company, Docket No. 55268 was established for the </w:t>
      </w:r>
      <w:r w:rsidR="71645FAA">
        <w:t>A</w:t>
      </w:r>
      <w:r>
        <w:t>ll-</w:t>
      </w:r>
      <w:r w:rsidR="3C257933">
        <w:t>S</w:t>
      </w:r>
      <w:r>
        <w:t xml:space="preserve">ource Capacity RFP on July 14, 2023. On November 15, 2023, Accion Group, LLC was selected to serve as the Independent Evaluator (“IE”). </w:t>
      </w:r>
    </w:p>
    <w:p w14:paraId="79E0AB89" w14:textId="3469EF90" w:rsidR="00B66771" w:rsidRDefault="00B66771" w:rsidP="00B66771">
      <w:pPr>
        <w:spacing w:line="360" w:lineRule="auto"/>
        <w:ind w:firstLine="720"/>
        <w:jc w:val="both"/>
      </w:pPr>
      <w:r>
        <w:t>On May 23, 2024</w:t>
      </w:r>
      <w:r w:rsidR="38E9289C">
        <w:t>,</w:t>
      </w:r>
      <w:r w:rsidR="00127F30">
        <w:t xml:space="preserve"> </w:t>
      </w:r>
      <w:r>
        <w:t>Georgia Power</w:t>
      </w:r>
      <w:r>
        <w:rPr>
          <w:color w:val="FF0000"/>
        </w:rPr>
        <w:t xml:space="preserve"> </w:t>
      </w:r>
      <w:r>
        <w:t>filed a request for Commission approval of the final drafts of its 2029-2031 All-Source Capacity RFP</w:t>
      </w:r>
      <w:r w:rsidR="00425761">
        <w:rPr>
          <w:rStyle w:val="FootnoteReference"/>
        </w:rPr>
        <w:footnoteReference w:id="3"/>
      </w:r>
      <w:r>
        <w:t xml:space="preserve">, including: </w:t>
      </w:r>
    </w:p>
    <w:p w14:paraId="3B21A626" w14:textId="77777777" w:rsidR="00B66771" w:rsidRDefault="00B66771" w:rsidP="00B66771">
      <w:pPr>
        <w:pStyle w:val="ListParagraph"/>
        <w:numPr>
          <w:ilvl w:val="0"/>
          <w:numId w:val="3"/>
        </w:numPr>
        <w:autoSpaceDE w:val="0"/>
        <w:autoSpaceDN w:val="0"/>
        <w:adjustRightInd w:val="0"/>
        <w:jc w:val="both"/>
        <w:rPr>
          <w:szCs w:val="22"/>
        </w:rPr>
      </w:pPr>
      <w:r>
        <w:rPr>
          <w:szCs w:val="22"/>
        </w:rPr>
        <w:t>All-Source Capacity RFP for 2029-2031</w:t>
      </w:r>
    </w:p>
    <w:p w14:paraId="14EFD18E" w14:textId="77777777" w:rsidR="00B66771" w:rsidRDefault="00B66771" w:rsidP="00B66771">
      <w:pPr>
        <w:pStyle w:val="ListParagraph"/>
        <w:numPr>
          <w:ilvl w:val="0"/>
          <w:numId w:val="3"/>
        </w:numPr>
        <w:autoSpaceDE w:val="0"/>
        <w:autoSpaceDN w:val="0"/>
        <w:adjustRightInd w:val="0"/>
        <w:contextualSpacing w:val="0"/>
        <w:jc w:val="both"/>
        <w:rPr>
          <w:szCs w:val="22"/>
        </w:rPr>
      </w:pPr>
      <w:r>
        <w:rPr>
          <w:szCs w:val="22"/>
        </w:rPr>
        <w:t>All-Source Pro Forma Combined Cycle Power Purchase Agreement (“PPA”) (New Units)</w:t>
      </w:r>
    </w:p>
    <w:p w14:paraId="4F46EE94" w14:textId="77777777" w:rsidR="00B66771" w:rsidRDefault="00B66771" w:rsidP="00B66771">
      <w:pPr>
        <w:pStyle w:val="ListParagraph"/>
        <w:numPr>
          <w:ilvl w:val="0"/>
          <w:numId w:val="3"/>
        </w:numPr>
        <w:autoSpaceDE w:val="0"/>
        <w:autoSpaceDN w:val="0"/>
        <w:adjustRightInd w:val="0"/>
        <w:contextualSpacing w:val="0"/>
        <w:jc w:val="both"/>
        <w:rPr>
          <w:szCs w:val="22"/>
        </w:rPr>
      </w:pPr>
      <w:r>
        <w:rPr>
          <w:szCs w:val="22"/>
        </w:rPr>
        <w:t>All-Source Pro Forma Combustion Turbine PPA (New Units)</w:t>
      </w:r>
    </w:p>
    <w:p w14:paraId="6F3B943B" w14:textId="77777777" w:rsidR="00B66771" w:rsidRDefault="00B66771" w:rsidP="00B66771">
      <w:pPr>
        <w:pStyle w:val="ListParagraph"/>
        <w:numPr>
          <w:ilvl w:val="0"/>
          <w:numId w:val="3"/>
        </w:numPr>
        <w:autoSpaceDE w:val="0"/>
        <w:autoSpaceDN w:val="0"/>
        <w:adjustRightInd w:val="0"/>
        <w:contextualSpacing w:val="0"/>
        <w:jc w:val="both"/>
        <w:rPr>
          <w:szCs w:val="22"/>
        </w:rPr>
      </w:pPr>
      <w:r>
        <w:rPr>
          <w:szCs w:val="22"/>
        </w:rPr>
        <w:t>All-Source Pro Forma Energy Storage System (“ESS”) with Renewable Resource PPA (New Facility)</w:t>
      </w:r>
    </w:p>
    <w:p w14:paraId="5BB28DEC" w14:textId="77777777" w:rsidR="00B66771" w:rsidRDefault="00B66771" w:rsidP="00B66771">
      <w:pPr>
        <w:pStyle w:val="ListParagraph"/>
        <w:numPr>
          <w:ilvl w:val="0"/>
          <w:numId w:val="3"/>
        </w:numPr>
        <w:autoSpaceDE w:val="0"/>
        <w:autoSpaceDN w:val="0"/>
        <w:adjustRightInd w:val="0"/>
        <w:contextualSpacing w:val="0"/>
        <w:jc w:val="both"/>
        <w:rPr>
          <w:szCs w:val="22"/>
        </w:rPr>
      </w:pPr>
      <w:r>
        <w:rPr>
          <w:szCs w:val="22"/>
        </w:rPr>
        <w:t>All-Source Pro Forma Standalone ESS PPA (New Facility)</w:t>
      </w:r>
    </w:p>
    <w:p w14:paraId="6BFB858D" w14:textId="77777777" w:rsidR="00B66771" w:rsidRDefault="00B66771" w:rsidP="00B66771">
      <w:pPr>
        <w:pStyle w:val="ListParagraph"/>
        <w:numPr>
          <w:ilvl w:val="0"/>
          <w:numId w:val="3"/>
        </w:numPr>
        <w:autoSpaceDE w:val="0"/>
        <w:autoSpaceDN w:val="0"/>
        <w:adjustRightInd w:val="0"/>
        <w:contextualSpacing w:val="0"/>
        <w:jc w:val="both"/>
        <w:rPr>
          <w:szCs w:val="22"/>
        </w:rPr>
      </w:pPr>
      <w:r>
        <w:rPr>
          <w:szCs w:val="22"/>
        </w:rPr>
        <w:t>All-Source Pro Forma Asset Purchase Agreement (“APA”)</w:t>
      </w:r>
    </w:p>
    <w:p w14:paraId="2B3F64DD" w14:textId="38D798AB" w:rsidR="00B66771" w:rsidRDefault="00B66771" w:rsidP="29A80A0B">
      <w:pPr>
        <w:pStyle w:val="ListParagraph"/>
        <w:numPr>
          <w:ilvl w:val="0"/>
          <w:numId w:val="3"/>
        </w:numPr>
        <w:autoSpaceDE w:val="0"/>
        <w:autoSpaceDN w:val="0"/>
        <w:adjustRightInd w:val="0"/>
        <w:jc w:val="both"/>
      </w:pPr>
      <w:r>
        <w:t>All-Source Pro Forma Build Transfer Agreement (“BTA”)</w:t>
      </w:r>
    </w:p>
    <w:p w14:paraId="2A0572BA" w14:textId="77777777" w:rsidR="00B66771" w:rsidRDefault="00B66771" w:rsidP="00B66771">
      <w:pPr>
        <w:pStyle w:val="ListParagraph"/>
        <w:autoSpaceDE w:val="0"/>
        <w:autoSpaceDN w:val="0"/>
        <w:adjustRightInd w:val="0"/>
        <w:contextualSpacing w:val="0"/>
        <w:jc w:val="both"/>
        <w:rPr>
          <w:szCs w:val="22"/>
        </w:rPr>
      </w:pPr>
    </w:p>
    <w:p w14:paraId="3A0D48D4" w14:textId="1FFAB291" w:rsidR="00B66771" w:rsidRDefault="00B66771" w:rsidP="00B66771">
      <w:pPr>
        <w:spacing w:line="360" w:lineRule="auto"/>
        <w:ind w:firstLine="360"/>
        <w:jc w:val="both"/>
      </w:pPr>
      <w:r>
        <w:t xml:space="preserve">The RFP is being conducted to assure a reliable and economic supply of capacity and energy for the Company’s customers during the 2029-2031 timeframe.  This Capacity RFP seeks to procure capacity resources from facilities between 80 and 1,200 </w:t>
      </w:r>
      <w:r w:rsidR="48E15688">
        <w:t>megawatts (“</w:t>
      </w:r>
      <w:r>
        <w:t>MW</w:t>
      </w:r>
      <w:r w:rsidR="30D3F11A">
        <w:t>”)</w:t>
      </w:r>
      <w:r>
        <w:t xml:space="preserve"> in size. G</w:t>
      </w:r>
      <w:r w:rsidR="6878C31A">
        <w:t>eorgia Power</w:t>
      </w:r>
      <w:r>
        <w:t xml:space="preserve"> estimated that up to 8,500 MW of Capacity Resources are necessary to satisfy capacity needs, as reflected in the following table.</w:t>
      </w:r>
    </w:p>
    <w:p w14:paraId="2AAFBEFD" w14:textId="77777777" w:rsidR="00B66771" w:rsidRDefault="00B66771" w:rsidP="00B66771">
      <w:pPr>
        <w:kinsoku w:val="0"/>
        <w:overflowPunct w:val="0"/>
        <w:autoSpaceDE w:val="0"/>
        <w:autoSpaceDN w:val="0"/>
        <w:adjustRightInd w:val="0"/>
        <w:spacing w:before="11"/>
        <w:rPr>
          <w:sz w:val="7"/>
          <w:szCs w:val="7"/>
        </w:rPr>
      </w:pPr>
      <w:bookmarkStart w:id="0" w:name="_bookmark0"/>
      <w:bookmarkEnd w:id="0"/>
    </w:p>
    <w:tbl>
      <w:tblPr>
        <w:tblW w:w="0" w:type="auto"/>
        <w:jc w:val="center"/>
        <w:tblCellMar>
          <w:left w:w="0" w:type="dxa"/>
          <w:right w:w="0" w:type="dxa"/>
        </w:tblCellMar>
        <w:tblLook w:val="04A0" w:firstRow="1" w:lastRow="0" w:firstColumn="1" w:lastColumn="0" w:noHBand="0" w:noVBand="1"/>
      </w:tblPr>
      <w:tblGrid>
        <w:gridCol w:w="1880"/>
        <w:gridCol w:w="4500"/>
      </w:tblGrid>
      <w:tr w:rsidR="00B66771" w14:paraId="4BBF6EBF" w14:textId="77777777" w:rsidTr="00B66771">
        <w:trPr>
          <w:jc w:val="center"/>
        </w:trPr>
        <w:tc>
          <w:tcPr>
            <w:tcW w:w="1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3EBED0" w14:textId="77777777" w:rsidR="00B66771" w:rsidRDefault="00B66771">
            <w:pPr>
              <w:jc w:val="center"/>
              <w:rPr>
                <w:b/>
                <w:bCs/>
              </w:rPr>
            </w:pPr>
            <w:r>
              <w:rPr>
                <w:b/>
                <w:bCs/>
              </w:rPr>
              <w:t>Winter</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2AEF4F" w14:textId="77777777" w:rsidR="00B66771" w:rsidRDefault="00B66771">
            <w:pPr>
              <w:jc w:val="center"/>
              <w:rPr>
                <w:b/>
                <w:bCs/>
              </w:rPr>
            </w:pPr>
            <w:r>
              <w:rPr>
                <w:b/>
                <w:bCs/>
              </w:rPr>
              <w:t xml:space="preserve">Estimated Capacity Needs from </w:t>
            </w:r>
          </w:p>
          <w:p w14:paraId="4F2B5096" w14:textId="77777777" w:rsidR="00B66771" w:rsidRDefault="00B66771">
            <w:pPr>
              <w:jc w:val="center"/>
              <w:rPr>
                <w:b/>
                <w:bCs/>
              </w:rPr>
            </w:pPr>
            <w:r>
              <w:rPr>
                <w:b/>
                <w:bCs/>
              </w:rPr>
              <w:t>2023 IRP Update (MW)</w:t>
            </w:r>
          </w:p>
        </w:tc>
      </w:tr>
      <w:tr w:rsidR="00B66771" w14:paraId="4FCB2572" w14:textId="77777777" w:rsidTr="00B66771">
        <w:trPr>
          <w:jc w:val="center"/>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87094" w14:textId="77777777" w:rsidR="00B66771" w:rsidRDefault="00B66771">
            <w:pPr>
              <w:jc w:val="center"/>
            </w:pPr>
            <w:r>
              <w:t>2028/2029</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00D3936B" w14:textId="77777777" w:rsidR="00B66771" w:rsidRDefault="00B66771">
            <w:pPr>
              <w:pStyle w:val="PHPgNum"/>
              <w:rPr>
                <w:rFonts w:ascii="Times New Roman" w:eastAsia="Times New Roman" w:hAnsi="Times New Roman"/>
                <w:sz w:val="24"/>
                <w:szCs w:val="24"/>
              </w:rPr>
            </w:pPr>
            <w:r>
              <w:rPr>
                <w:rFonts w:ascii="Times New Roman" w:eastAsia="Times New Roman" w:hAnsi="Times New Roman"/>
                <w:sz w:val="24"/>
                <w:szCs w:val="24"/>
              </w:rPr>
              <w:t>2,280</w:t>
            </w:r>
          </w:p>
        </w:tc>
      </w:tr>
      <w:tr w:rsidR="00B66771" w14:paraId="452E063B" w14:textId="77777777" w:rsidTr="00B66771">
        <w:trPr>
          <w:jc w:val="center"/>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85B62" w14:textId="77777777" w:rsidR="00B66771" w:rsidRDefault="00B66771">
            <w:pPr>
              <w:jc w:val="center"/>
            </w:pPr>
            <w:r>
              <w:t>2029/2030</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2186A328" w14:textId="77777777" w:rsidR="00B66771" w:rsidRDefault="00B66771">
            <w:pPr>
              <w:jc w:val="center"/>
            </w:pPr>
            <w:r>
              <w:t>3,247</w:t>
            </w:r>
          </w:p>
        </w:tc>
      </w:tr>
      <w:tr w:rsidR="00B66771" w14:paraId="390487B8" w14:textId="77777777" w:rsidTr="00B66771">
        <w:trPr>
          <w:jc w:val="center"/>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1D0F7" w14:textId="77777777" w:rsidR="00B66771" w:rsidRDefault="00B66771">
            <w:pPr>
              <w:jc w:val="center"/>
            </w:pPr>
            <w:r>
              <w:t>2030/2031</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DAA4ACD" w14:textId="77777777" w:rsidR="00B66771" w:rsidRDefault="00B66771">
            <w:pPr>
              <w:jc w:val="center"/>
            </w:pPr>
            <w:r>
              <w:t>5,960</w:t>
            </w:r>
          </w:p>
        </w:tc>
      </w:tr>
    </w:tbl>
    <w:p w14:paraId="7DD77163" w14:textId="77777777" w:rsidR="00B66771" w:rsidRDefault="00B66771" w:rsidP="00B66771">
      <w:pPr>
        <w:spacing w:line="360" w:lineRule="auto"/>
        <w:jc w:val="both"/>
        <w:rPr>
          <w:color w:val="FF0000"/>
        </w:rPr>
      </w:pPr>
    </w:p>
    <w:p w14:paraId="4D25D11C" w14:textId="77777777" w:rsidR="00B66771" w:rsidRDefault="00B66771" w:rsidP="00B66771">
      <w:pPr>
        <w:spacing w:line="360" w:lineRule="auto"/>
        <w:ind w:firstLine="720"/>
        <w:jc w:val="both"/>
      </w:pPr>
      <w:r>
        <w:t>The Company’s expectation is that it will need additional resources to be available beginning in December 2028, but will also consider commencement as early as January 1, 2026, if resources are determined to be the most economic option to meet customer needs.</w:t>
      </w:r>
    </w:p>
    <w:p w14:paraId="3ED3F99C" w14:textId="35C43F04" w:rsidR="00B66771" w:rsidRDefault="00B66771" w:rsidP="00B66771">
      <w:pPr>
        <w:spacing w:line="360" w:lineRule="auto"/>
        <w:ind w:firstLine="720"/>
        <w:jc w:val="both"/>
      </w:pPr>
      <w:r>
        <w:lastRenderedPageBreak/>
        <w:t>This RFP is governed by the Commission’s RFP Rule. All communications and submission of bids will be through the IE’s website.</w:t>
      </w:r>
      <w:r>
        <w:rPr>
          <w:rStyle w:val="FootnoteReference"/>
        </w:rPr>
        <w:footnoteReference w:id="4"/>
      </w:r>
      <w:r>
        <w:t xml:space="preserve">  The IE’s report on the development of this RFP w</w:t>
      </w:r>
      <w:r w:rsidR="07B7D128">
        <w:t>as</w:t>
      </w:r>
      <w:r>
        <w:t xml:space="preserve"> filed with the Commission in this docket. </w:t>
      </w:r>
    </w:p>
    <w:p w14:paraId="651BB8BA" w14:textId="4C6D8B56" w:rsidR="00B66771" w:rsidRDefault="00B66771" w:rsidP="00B66771">
      <w:pPr>
        <w:spacing w:line="360" w:lineRule="auto"/>
        <w:ind w:firstLine="720"/>
        <w:jc w:val="both"/>
      </w:pPr>
      <w:r>
        <w:t xml:space="preserve">Under the oversight of the IE and Commission Staff </w:t>
      </w:r>
      <w:r w:rsidR="00A17ABA">
        <w:t>(</w:t>
      </w:r>
      <w:r w:rsidR="7987E16C">
        <w:t>“</w:t>
      </w:r>
      <w:r>
        <w:t>Staff</w:t>
      </w:r>
      <w:r w:rsidR="4D90F05D">
        <w:t>”</w:t>
      </w:r>
      <w:r>
        <w:t xml:space="preserve">), the Company will evaluate all bid proposals submitted and will determine a Competitive Tier that consists of the most competitive proposals. After the detailed transmission and portfolio analysis concludes, the Company will select </w:t>
      </w:r>
      <w:r w:rsidR="005943FE">
        <w:t>a short-list of the most competitive bids,</w:t>
      </w:r>
      <w:r>
        <w:t xml:space="preserve"> which may include one or more Company-owned Proposals (</w:t>
      </w:r>
      <w:r w:rsidR="23ECAD71">
        <w:t>“</w:t>
      </w:r>
      <w:r>
        <w:t>COP</w:t>
      </w:r>
      <w:r w:rsidR="252ACFD8">
        <w:t>”</w:t>
      </w:r>
      <w:r>
        <w:t>), for final evaluation and selection. A bidder selected for the Competitive Tier or Short List, or released from this RFP, will be notified in accordance with the RFP Schedule.</w:t>
      </w:r>
      <w:r w:rsidR="0025092E">
        <w:t xml:space="preserve"> </w:t>
      </w:r>
      <w:r w:rsidR="00651C41" w:rsidRPr="00651C41">
        <w:t>Georgia Power requested that as part of the bid refresh, that bidders be permitted to modify their bid prices by either decreasing or increasing their original bid price. Therefore, a waiver to Commission Rule 515-3-4-.04(3)(e)(4) is required to allow bidders to make such modifications.</w:t>
      </w:r>
      <w:r w:rsidR="000E38FE">
        <w:t xml:space="preserve"> </w:t>
      </w:r>
    </w:p>
    <w:p w14:paraId="738A965A" w14:textId="1EB90667" w:rsidR="00B66771" w:rsidRDefault="00B66771" w:rsidP="00B66771">
      <w:pPr>
        <w:spacing w:line="360" w:lineRule="auto"/>
        <w:ind w:firstLine="720"/>
        <w:jc w:val="both"/>
      </w:pPr>
      <w:r>
        <w:t>Finally, any Qualifying Facility (“QF”) sized 30 MW or less, unless a waiver of the Commission’s 30 MW size limit rule is requested and granted for a larger facility, may submit a notice of intent (“NOI”) to participate in this RFP in accordance with the Commission’s Orders in Docket No. 19279. The RFP document describes in detail what the requirements are for a QF to provide in its NOI submission.</w:t>
      </w:r>
      <w:r w:rsidR="0083390C">
        <w:t xml:space="preserve">  </w:t>
      </w:r>
      <w:r w:rsidR="00CF5C90" w:rsidRPr="00CF5C90">
        <w:t xml:space="preserve">Any small power production </w:t>
      </w:r>
      <w:r w:rsidR="007E6AD8">
        <w:t>or</w:t>
      </w:r>
      <w:r w:rsidR="00CF5C90">
        <w:t xml:space="preserve"> </w:t>
      </w:r>
      <w:r w:rsidR="00CF5C90" w:rsidRPr="00CF5C90">
        <w:t xml:space="preserve">cogeneration QF sized larger than 30 MW </w:t>
      </w:r>
      <w:r w:rsidR="007E6AD8">
        <w:t xml:space="preserve">can submit </w:t>
      </w:r>
      <w:r w:rsidR="008F5CEE">
        <w:t>a bid into this RFP.</w:t>
      </w:r>
      <w:r w:rsidR="00CF5C90" w:rsidRPr="00CF5C90">
        <w:t xml:space="preserve"> </w:t>
      </w:r>
    </w:p>
    <w:p w14:paraId="26B6F248" w14:textId="77777777" w:rsidR="00B66771" w:rsidRDefault="00B66771" w:rsidP="00B66771">
      <w:pPr>
        <w:spacing w:line="360" w:lineRule="auto"/>
        <w:ind w:firstLine="720"/>
        <w:jc w:val="both"/>
      </w:pPr>
      <w:r>
        <w:t>The Company will consider bids for: (</w:t>
      </w:r>
      <w:proofErr w:type="spellStart"/>
      <w:r>
        <w:t>i</w:t>
      </w:r>
      <w:proofErr w:type="spellEnd"/>
      <w:r>
        <w:t>) PPAs with a PPA Term of 5, 10, 15, or 20, 25, or 30 Annual Periods; (ii) APAs for Facilities with a Facility Design Life of at least 10 years; and (iii) BTAs with a Facility Design Life appropriate with the technology type and consistent with Prudent Industry Practices.</w:t>
      </w:r>
    </w:p>
    <w:p w14:paraId="53798A19" w14:textId="006FD9D4" w:rsidR="00B66771" w:rsidRDefault="00B66771" w:rsidP="00B66771">
      <w:pPr>
        <w:spacing w:line="360" w:lineRule="auto"/>
        <w:ind w:firstLine="720"/>
        <w:jc w:val="both"/>
      </w:pPr>
      <w:bookmarkStart w:id="1" w:name="_Hlk43740365"/>
      <w:r>
        <w:t xml:space="preserve">The RFP Schedule covers a timeframe of approximately 17 months between the bid due date and the anticipated Commission approval of selected winning proposals. Because of the length of time between the bid due date and Certification of the resource(s), the Company </w:t>
      </w:r>
      <w:r w:rsidR="26D86C74">
        <w:t>proposed</w:t>
      </w:r>
      <w:r>
        <w:t xml:space="preserve"> to use the “competitive tier and refreshed bid” process reflected in Commission Rule 515-3-4-.04(3)(e)(ix) to allow a participant with a competitive proposal the opportunity to refresh its pricing after the Competitive Tier has been selected. </w:t>
      </w:r>
      <w:bookmarkStart w:id="2" w:name="_Hlk33709166"/>
      <w:bookmarkStart w:id="3" w:name="_Hlk37333763"/>
      <w:bookmarkEnd w:id="1"/>
    </w:p>
    <w:p w14:paraId="78B3C808" w14:textId="0DCFF24E" w:rsidR="00B66771" w:rsidRDefault="00B66771" w:rsidP="00B66771">
      <w:pPr>
        <w:spacing w:line="360" w:lineRule="auto"/>
        <w:ind w:firstLine="720"/>
        <w:jc w:val="both"/>
        <w:rPr>
          <w:color w:val="FF0000"/>
        </w:rPr>
      </w:pPr>
      <w:r>
        <w:lastRenderedPageBreak/>
        <w:t xml:space="preserve">As filed, the RFP allows the Company to develop one or more COPs. The Company, along with the IE and Staff, will compare all bids received, including APA and BTA bids, with the COP and will select the best option(s) to meet the specific needs for the anticipated need years. In accordance with O.C.G.A. § 46-3A-5, and pursuant to Commission Rule 515-3-4-.07(2), if a COP is selected, it will be submitted for Certification together with any other winning bids or selected APA/BTA proposals. The Commission’s certificate approving any </w:t>
      </w:r>
      <w:r w:rsidR="25269B42">
        <w:t>COP</w:t>
      </w:r>
      <w:r>
        <w:t xml:space="preserve"> will set forth the not-to-exceed cost, which, </w:t>
      </w:r>
      <w:proofErr w:type="gramStart"/>
      <w:r>
        <w:t>similar to</w:t>
      </w:r>
      <w:proofErr w:type="gramEnd"/>
      <w:r>
        <w:t xml:space="preserve"> the certified cost of any PPA, APA or BTA, may not otherwise change, except as allowed by law pursuant to O.C.G.A. § 46-3A-7, and only with the express approval of the Commission.</w:t>
      </w:r>
      <w:r>
        <w:rPr>
          <w:color w:val="FF0000"/>
        </w:rPr>
        <w:t xml:space="preserve">  </w:t>
      </w:r>
    </w:p>
    <w:bookmarkEnd w:id="2"/>
    <w:bookmarkEnd w:id="3"/>
    <w:p w14:paraId="12A15E66" w14:textId="1719185C" w:rsidR="00B66771" w:rsidRDefault="00B66771" w:rsidP="00E3291F">
      <w:pPr>
        <w:spacing w:line="360" w:lineRule="auto"/>
        <w:ind w:firstLine="720"/>
        <w:jc w:val="both"/>
      </w:pPr>
      <w:r>
        <w:t xml:space="preserve">On March 4, 2024, a Bidders’ Conference webinar was held to allow potential bidders the opportunity to hear more and ask questions regarding the </w:t>
      </w:r>
      <w:r w:rsidR="26B9E0E4">
        <w:t>A</w:t>
      </w:r>
      <w:r>
        <w:t>ll-</w:t>
      </w:r>
      <w:r w:rsidR="180C9CF0">
        <w:t>S</w:t>
      </w:r>
      <w:r>
        <w:t>ource capacity RFP.  There were 84 participants that attended the Bidder’s Conference. Excluding the IE, Southern Company personnel and Staff, there were 56 attendees. Bidders and interested parties that registered may view the Bidders Conference webinar presentation on the IE Website.</w:t>
      </w:r>
    </w:p>
    <w:p w14:paraId="53AF1B90" w14:textId="38C84E73" w:rsidR="00B66771" w:rsidRDefault="00B66771" w:rsidP="00B66771">
      <w:pPr>
        <w:spacing w:line="360" w:lineRule="auto"/>
        <w:ind w:firstLine="720"/>
        <w:jc w:val="both"/>
      </w:pPr>
      <w:r>
        <w:t xml:space="preserve">The final draft RFP and PPA documents that were filed by Georgia Power on May 23, 2024 reflected several changes from the initial draft documents.  Modifications were made to address feedback from Staff and the IE, and questions and concerns of potential bidders that were submitted by parties and prospective bidders during the comment period.  On June 6, 2024, Georgia Power filed its </w:t>
      </w:r>
      <w:r w:rsidR="00ED4557">
        <w:t>r</w:t>
      </w:r>
      <w:r>
        <w:t xml:space="preserve">evised Final Draft RFP and </w:t>
      </w:r>
      <w:r w:rsidR="007F2B55">
        <w:t xml:space="preserve">four revised </w:t>
      </w:r>
      <w:r>
        <w:t xml:space="preserve">Pro Forma Agreements and provided Staff and the IE a Summary of Changes document to list the major revisions between the Revised Drafts of the RFP and PPA documents that were originally posted on the IE Website and the Final Draft Documents. </w:t>
      </w:r>
    </w:p>
    <w:p w14:paraId="42F57009" w14:textId="2537CA49" w:rsidR="00C60910" w:rsidRDefault="528773B1" w:rsidP="0052187C">
      <w:pPr>
        <w:spacing w:line="360" w:lineRule="auto"/>
        <w:ind w:firstLine="720"/>
        <w:jc w:val="both"/>
      </w:pPr>
      <w:r>
        <w:t>Staff recommended</w:t>
      </w:r>
      <w:r w:rsidR="00C23971">
        <w:t xml:space="preserve"> </w:t>
      </w:r>
      <w:r w:rsidR="0A961C05">
        <w:t xml:space="preserve">that </w:t>
      </w:r>
      <w:r w:rsidR="00C23971">
        <w:t>a clarification for the minimum</w:t>
      </w:r>
      <w:r w:rsidR="00475564">
        <w:t xml:space="preserve"> </w:t>
      </w:r>
      <w:r w:rsidR="00C23971">
        <w:t>resource size for qualifying facilities in</w:t>
      </w:r>
      <w:r w:rsidR="00475564">
        <w:t xml:space="preserve"> </w:t>
      </w:r>
      <w:r w:rsidR="00C23971">
        <w:t>Section 9.1 of the draft RFP</w:t>
      </w:r>
      <w:r w:rsidR="00ED4557">
        <w:t xml:space="preserve"> was necessary</w:t>
      </w:r>
      <w:r w:rsidR="00C23971">
        <w:t>.</w:t>
      </w:r>
      <w:r w:rsidR="00475564">
        <w:t xml:space="preserve"> </w:t>
      </w:r>
      <w:r w:rsidR="00ED4557">
        <w:t xml:space="preserve">On the morning of June 18, 2024, </w:t>
      </w:r>
      <w:r w:rsidR="00C23971">
        <w:t>Georgia Power provided a</w:t>
      </w:r>
      <w:r w:rsidR="00475564">
        <w:t xml:space="preserve"> </w:t>
      </w:r>
      <w:r w:rsidR="00C23971">
        <w:t>clarification regarding qualifying facilities, which</w:t>
      </w:r>
      <w:r w:rsidR="00475564">
        <w:t xml:space="preserve"> </w:t>
      </w:r>
      <w:r w:rsidR="00C23971">
        <w:t>specifies that qualifying facilities greater than</w:t>
      </w:r>
      <w:r w:rsidR="00204AB5">
        <w:t xml:space="preserve"> 30 </w:t>
      </w:r>
      <w:r w:rsidR="00B817BB">
        <w:t>MW</w:t>
      </w:r>
      <w:r w:rsidR="00204AB5">
        <w:t xml:space="preserve"> and less than or equal to 80 </w:t>
      </w:r>
      <w:r w:rsidR="00B817BB">
        <w:t>MW</w:t>
      </w:r>
      <w:r w:rsidR="0052187C">
        <w:t xml:space="preserve"> may bid into the RFP and compete, despite not meeting the 80-</w:t>
      </w:r>
      <w:r w:rsidR="00B817BB">
        <w:t>MW</w:t>
      </w:r>
      <w:r w:rsidR="0052187C">
        <w:t xml:space="preserve"> minimum resource size identified elsewhere in the </w:t>
      </w:r>
      <w:r w:rsidR="00ED4557">
        <w:t>RFP</w:t>
      </w:r>
      <w:r w:rsidR="0052187C">
        <w:t xml:space="preserve">. Resources of that size may also request a waiver </w:t>
      </w:r>
      <w:r w:rsidR="006C51BA">
        <w:t xml:space="preserve">with the Commission </w:t>
      </w:r>
      <w:r w:rsidR="0052187C">
        <w:t xml:space="preserve">and participate through the </w:t>
      </w:r>
      <w:r w:rsidR="0D989FE9">
        <w:t xml:space="preserve">NOI </w:t>
      </w:r>
      <w:r w:rsidR="00ED4557">
        <w:t>process</w:t>
      </w:r>
      <w:r w:rsidR="003B152C">
        <w:t xml:space="preserve"> </w:t>
      </w:r>
      <w:r w:rsidR="00C913E9">
        <w:t xml:space="preserve">established </w:t>
      </w:r>
      <w:r w:rsidR="003B152C">
        <w:t xml:space="preserve">for </w:t>
      </w:r>
      <w:r w:rsidR="0052187C">
        <w:t xml:space="preserve">QFs less than or equal to 30 </w:t>
      </w:r>
      <w:r w:rsidR="00B817BB">
        <w:t>MW</w:t>
      </w:r>
      <w:r w:rsidR="0052187C">
        <w:t xml:space="preserve">. Staff </w:t>
      </w:r>
      <w:r w:rsidR="00CE0BAB">
        <w:t>recommended</w:t>
      </w:r>
      <w:r w:rsidR="0052187C">
        <w:t xml:space="preserve"> this language be </w:t>
      </w:r>
      <w:r w:rsidR="00CE0BAB">
        <w:t>communicated</w:t>
      </w:r>
      <w:r w:rsidR="0052187C">
        <w:t xml:space="preserve"> to the market through the IE website. </w:t>
      </w:r>
    </w:p>
    <w:p w14:paraId="15B79E4E" w14:textId="7A1BB7D5" w:rsidR="528773B1" w:rsidRDefault="00C60910" w:rsidP="0052187C">
      <w:pPr>
        <w:spacing w:line="360" w:lineRule="auto"/>
        <w:ind w:firstLine="720"/>
        <w:jc w:val="both"/>
      </w:pPr>
      <w:r>
        <w:lastRenderedPageBreak/>
        <w:t xml:space="preserve">While </w:t>
      </w:r>
      <w:r w:rsidR="0052187C">
        <w:t xml:space="preserve">Staff </w:t>
      </w:r>
      <w:r>
        <w:t>was</w:t>
      </w:r>
      <w:r w:rsidR="0052187C">
        <w:t xml:space="preserve"> not opposed to allowing a refresh process as part of the RFP after the competitive tier ha</w:t>
      </w:r>
      <w:r>
        <w:t>d</w:t>
      </w:r>
      <w:r w:rsidR="0052187C">
        <w:t xml:space="preserve"> been set</w:t>
      </w:r>
      <w:r>
        <w:t>, Staff</w:t>
      </w:r>
      <w:r w:rsidR="0052187C">
        <w:t xml:space="preserve"> recommended that the refresh be limited to price improvements</w:t>
      </w:r>
      <w:r>
        <w:t xml:space="preserve"> </w:t>
      </w:r>
      <w:r w:rsidR="005D7E45">
        <w:t>(</w:t>
      </w:r>
      <w:r w:rsidR="0052187C">
        <w:t>price decreases</w:t>
      </w:r>
      <w:r w:rsidR="005D7E45">
        <w:t>)</w:t>
      </w:r>
      <w:r w:rsidR="0052187C">
        <w:t>. Staff recommend</w:t>
      </w:r>
      <w:r w:rsidR="005D7E45">
        <w:t>ed</w:t>
      </w:r>
      <w:r w:rsidR="0052187C">
        <w:t xml:space="preserve"> approval of the RFP </w:t>
      </w:r>
      <w:r w:rsidR="009C3333">
        <w:t xml:space="preserve">and Pro Forma PPA </w:t>
      </w:r>
      <w:r w:rsidR="0052187C">
        <w:t>documents filed on June 6th, and the CT and CC pro forma PPAs filed on May 23</w:t>
      </w:r>
      <w:r w:rsidR="0052187C" w:rsidRPr="005C27B3">
        <w:rPr>
          <w:vertAlign w:val="superscript"/>
        </w:rPr>
        <w:t>rd</w:t>
      </w:r>
      <w:r w:rsidR="009C3333">
        <w:t>,</w:t>
      </w:r>
      <w:r w:rsidR="0052187C">
        <w:t xml:space="preserve"> with the changes to reflect the IE report recommendations, and to exclude the option for </w:t>
      </w:r>
      <w:r w:rsidR="51A7A46D">
        <w:t xml:space="preserve">the </w:t>
      </w:r>
      <w:r w:rsidR="0052187C">
        <w:t xml:space="preserve">competitive tier to increase pricing </w:t>
      </w:r>
      <w:r w:rsidR="0A3C09AC">
        <w:t>during</w:t>
      </w:r>
      <w:r w:rsidR="0052187C">
        <w:t xml:space="preserve"> the bid refresh process.</w:t>
      </w:r>
      <w:r w:rsidR="00204AB5" w:rsidDel="00C23971">
        <w:t xml:space="preserve"> </w:t>
      </w:r>
    </w:p>
    <w:p w14:paraId="21388EE8" w14:textId="4459CA69" w:rsidR="00B92582" w:rsidRDefault="00FD48F2" w:rsidP="00B92582">
      <w:pPr>
        <w:pStyle w:val="Addressee"/>
        <w:spacing w:line="276" w:lineRule="auto"/>
        <w:ind w:firstLine="360"/>
        <w:jc w:val="both"/>
      </w:pPr>
      <w:r>
        <w:t xml:space="preserve">Staff also recommended adoption of the IE Report recommendations as follows: </w:t>
      </w:r>
    </w:p>
    <w:p w14:paraId="3C30CB29" w14:textId="77777777" w:rsidR="00FD48F2" w:rsidRDefault="00FD48F2" w:rsidP="00B92582">
      <w:pPr>
        <w:pStyle w:val="Addressee"/>
        <w:spacing w:line="276" w:lineRule="auto"/>
        <w:ind w:firstLine="360"/>
        <w:jc w:val="both"/>
      </w:pPr>
    </w:p>
    <w:p w14:paraId="65B4CE5E" w14:textId="77777777" w:rsidR="00500AFB" w:rsidRDefault="00500AFB" w:rsidP="005C27B3">
      <w:pPr>
        <w:pStyle w:val="Addressee"/>
        <w:numPr>
          <w:ilvl w:val="0"/>
          <w:numId w:val="6"/>
        </w:numPr>
        <w:spacing w:line="276" w:lineRule="auto"/>
        <w:jc w:val="both"/>
      </w:pPr>
      <w:r>
        <w:t xml:space="preserve">If the Commission permits re-pricing in the RFP: </w:t>
      </w:r>
    </w:p>
    <w:p w14:paraId="58B3BE30" w14:textId="0D5CDB12" w:rsidR="00EA3ED8" w:rsidRDefault="00EA3ED8" w:rsidP="005C27B3">
      <w:pPr>
        <w:pStyle w:val="Addressee"/>
        <w:tabs>
          <w:tab w:val="left" w:pos="1080"/>
        </w:tabs>
        <w:spacing w:line="276" w:lineRule="auto"/>
        <w:ind w:left="1080" w:hanging="360"/>
        <w:jc w:val="both"/>
      </w:pPr>
      <w:r>
        <w:t xml:space="preserve">1. Participants should be provided with </w:t>
      </w:r>
      <w:proofErr w:type="gramStart"/>
      <w:r>
        <w:t>the</w:t>
      </w:r>
      <w:proofErr w:type="gramEnd"/>
      <w:r>
        <w:t xml:space="preserve"> relative ranking of their Submissions, relative to other</w:t>
      </w:r>
      <w:r w:rsidR="0024399F">
        <w:t xml:space="preserve"> </w:t>
      </w:r>
      <w:r>
        <w:t>Submissions. This information should be provided “blinded,” so that the identity of other Participants</w:t>
      </w:r>
      <w:r w:rsidR="0054303A">
        <w:t xml:space="preserve"> </w:t>
      </w:r>
      <w:proofErr w:type="gramStart"/>
      <w:r>
        <w:t>are</w:t>
      </w:r>
      <w:proofErr w:type="gramEnd"/>
      <w:r>
        <w:t xml:space="preserve"> not disclosed. While this ranking should be based on the total cost analysis at that stage in</w:t>
      </w:r>
      <w:r w:rsidR="0054303A">
        <w:t xml:space="preserve"> </w:t>
      </w:r>
      <w:r>
        <w:t>evaluation, the cost information should not be disclosed.</w:t>
      </w:r>
    </w:p>
    <w:p w14:paraId="1971A031" w14:textId="70EB8FA9" w:rsidR="00EA3ED8" w:rsidRDefault="00EA3ED8" w:rsidP="005C27B3">
      <w:pPr>
        <w:pStyle w:val="Addressee"/>
        <w:tabs>
          <w:tab w:val="left" w:pos="1080"/>
        </w:tabs>
        <w:spacing w:line="276" w:lineRule="auto"/>
        <w:ind w:left="1080" w:hanging="360"/>
        <w:jc w:val="both"/>
      </w:pPr>
      <w:r>
        <w:t>2. The date for a re-price submission should be part of the established schedule before the Submission</w:t>
      </w:r>
      <w:r w:rsidR="0054303A">
        <w:t xml:space="preserve"> </w:t>
      </w:r>
      <w:r>
        <w:t>date and remain fixed. This will advise Participants from the outset of when to be ready to submit</w:t>
      </w:r>
      <w:r w:rsidR="0054303A">
        <w:t xml:space="preserve"> </w:t>
      </w:r>
      <w:r>
        <w:t>revised prices, and thereby avoid delays later as Participants request extensions on the submission</w:t>
      </w:r>
      <w:r w:rsidR="0054303A">
        <w:t xml:space="preserve"> </w:t>
      </w:r>
      <w:r>
        <w:t>date.</w:t>
      </w:r>
    </w:p>
    <w:p w14:paraId="5209F047" w14:textId="207F0A9C" w:rsidR="00EA3ED8" w:rsidRDefault="00EA3ED8" w:rsidP="005C27B3">
      <w:pPr>
        <w:pStyle w:val="Addressee"/>
        <w:tabs>
          <w:tab w:val="left" w:pos="1080"/>
        </w:tabs>
        <w:spacing w:line="276" w:lineRule="auto"/>
        <w:ind w:left="1080" w:hanging="360"/>
        <w:jc w:val="both"/>
      </w:pPr>
      <w:r>
        <w:t>3. The re-fresh should be limited to price only. Changes to the size, technology, etc., which impact</w:t>
      </w:r>
      <w:r w:rsidR="0054303A">
        <w:t xml:space="preserve"> </w:t>
      </w:r>
      <w:r>
        <w:t>pricing and/or facility output, should not be permitted as part of a revised Submission. Change to the</w:t>
      </w:r>
      <w:r w:rsidR="0054303A">
        <w:t xml:space="preserve"> </w:t>
      </w:r>
      <w:r>
        <w:t>COD of a project should not be permitted.</w:t>
      </w:r>
    </w:p>
    <w:p w14:paraId="4592D0C5" w14:textId="3B980512" w:rsidR="00EA3ED8" w:rsidRDefault="00EA3ED8" w:rsidP="005C27B3">
      <w:pPr>
        <w:pStyle w:val="Addressee"/>
        <w:tabs>
          <w:tab w:val="left" w:pos="1080"/>
        </w:tabs>
        <w:spacing w:line="276" w:lineRule="auto"/>
        <w:ind w:left="1080" w:hanging="360"/>
        <w:jc w:val="both"/>
      </w:pPr>
      <w:r>
        <w:t>4. A re-price opportunity should be available to all conforming Submissions. That is, Submissions</w:t>
      </w:r>
      <w:r w:rsidR="0054303A">
        <w:t xml:space="preserve"> </w:t>
      </w:r>
      <w:r>
        <w:t>eliminated during the cure period or otherwise to be non-conforming should be excluded from a price</w:t>
      </w:r>
      <w:r w:rsidR="0054303A">
        <w:t xml:space="preserve"> </w:t>
      </w:r>
      <w:r>
        <w:t>re-fresh process. Weeks before the re-price submission date Participants should be advised, with</w:t>
      </w:r>
      <w:r w:rsidR="0054303A">
        <w:t xml:space="preserve"> </w:t>
      </w:r>
      <w:r>
        <w:t>“blinded” data, of the ranking of their projects. That ranking information should include the impute</w:t>
      </w:r>
      <w:r w:rsidR="0054303A">
        <w:t xml:space="preserve">d </w:t>
      </w:r>
      <w:r>
        <w:t>cost impact of transmission.</w:t>
      </w:r>
    </w:p>
    <w:p w14:paraId="05319B43" w14:textId="36F73C18" w:rsidR="00C17322" w:rsidRDefault="00C17322" w:rsidP="005C27B3">
      <w:pPr>
        <w:pStyle w:val="Addressee"/>
        <w:spacing w:line="276" w:lineRule="auto"/>
        <w:jc w:val="both"/>
      </w:pPr>
    </w:p>
    <w:p w14:paraId="5D03B971" w14:textId="4CCD0CCA" w:rsidR="002801DC" w:rsidRDefault="0092293D" w:rsidP="005C27B3">
      <w:pPr>
        <w:pStyle w:val="Addressee"/>
        <w:numPr>
          <w:ilvl w:val="0"/>
          <w:numId w:val="5"/>
        </w:numPr>
        <w:spacing w:line="276" w:lineRule="auto"/>
        <w:jc w:val="both"/>
      </w:pPr>
      <w:r>
        <w:t>If a Seller is creditworthy, requiring that Seller to have a Seller Guarantor in place seems unnecessary and that requirement should be removed.</w:t>
      </w:r>
    </w:p>
    <w:p w14:paraId="081E943E" w14:textId="77777777" w:rsidR="00E45F46" w:rsidRDefault="00E45F46" w:rsidP="0092293D">
      <w:pPr>
        <w:pStyle w:val="Addressee"/>
        <w:spacing w:line="276" w:lineRule="auto"/>
        <w:jc w:val="both"/>
      </w:pPr>
    </w:p>
    <w:p w14:paraId="5769680E" w14:textId="4D6818EF" w:rsidR="00E45F46" w:rsidRDefault="00A84EA3" w:rsidP="005C27B3">
      <w:pPr>
        <w:pStyle w:val="Addressee"/>
        <w:numPr>
          <w:ilvl w:val="0"/>
          <w:numId w:val="5"/>
        </w:numPr>
        <w:spacing w:line="276" w:lineRule="auto"/>
        <w:jc w:val="both"/>
      </w:pPr>
      <w:r>
        <w:t>If a Seller can establish a Net Worth of several billion dollars</w:t>
      </w:r>
      <w:r w:rsidR="00586BCB">
        <w:t xml:space="preserve">, </w:t>
      </w:r>
      <w:r>
        <w:t>or whatever number the Commission deem</w:t>
      </w:r>
      <w:r w:rsidR="00586BCB">
        <w:t>ed</w:t>
      </w:r>
      <w:r>
        <w:t xml:space="preserve"> reasonable for the size of the project, that should give GPC</w:t>
      </w:r>
      <w:r w:rsidR="00923B3D">
        <w:t xml:space="preserve"> </w:t>
      </w:r>
      <w:r>
        <w:t>more comfort that Sellers will perform their obligations under the contract than Seller’s credit rating.</w:t>
      </w:r>
      <w:r w:rsidR="00441610">
        <w:t xml:space="preserve"> Th</w:t>
      </w:r>
      <w:r w:rsidR="00C938AD">
        <w:t xml:space="preserve">is would </w:t>
      </w:r>
      <w:r w:rsidR="00AA1663">
        <w:t xml:space="preserve">accommodate a Net Worth standard to </w:t>
      </w:r>
      <w:r w:rsidR="004F1EFB">
        <w:t xml:space="preserve">establish creditworthiness. </w:t>
      </w:r>
    </w:p>
    <w:p w14:paraId="435BB237" w14:textId="77777777" w:rsidR="004F1EFB" w:rsidRDefault="004F1EFB" w:rsidP="000F782C">
      <w:pPr>
        <w:pStyle w:val="Addressee"/>
        <w:spacing w:line="276" w:lineRule="auto"/>
        <w:jc w:val="both"/>
      </w:pPr>
    </w:p>
    <w:p w14:paraId="40060BD2" w14:textId="30D7A70E" w:rsidR="004F1EFB" w:rsidRDefault="00A07139" w:rsidP="005C27B3">
      <w:pPr>
        <w:pStyle w:val="Addressee"/>
        <w:numPr>
          <w:ilvl w:val="0"/>
          <w:numId w:val="5"/>
        </w:numPr>
        <w:spacing w:line="276" w:lineRule="auto"/>
        <w:jc w:val="both"/>
      </w:pPr>
      <w:r>
        <w:t xml:space="preserve">For APAs, </w:t>
      </w:r>
      <w:r w:rsidR="00F92CDA">
        <w:t>requiring no more than 7 years of tax returns be required and believes as few as 3 would be appropriate.</w:t>
      </w:r>
    </w:p>
    <w:p w14:paraId="0C9B2BE3" w14:textId="77777777" w:rsidR="00A07139" w:rsidRDefault="00A07139" w:rsidP="00F92CDA">
      <w:pPr>
        <w:pStyle w:val="Addressee"/>
        <w:spacing w:line="276" w:lineRule="auto"/>
        <w:ind w:firstLine="360"/>
        <w:jc w:val="both"/>
      </w:pPr>
    </w:p>
    <w:p w14:paraId="524A6139" w14:textId="77777777" w:rsidR="009744AF" w:rsidRDefault="001674CD" w:rsidP="00751606">
      <w:pPr>
        <w:pStyle w:val="Addressee"/>
        <w:numPr>
          <w:ilvl w:val="0"/>
          <w:numId w:val="5"/>
        </w:numPr>
        <w:spacing w:line="276" w:lineRule="auto"/>
        <w:jc w:val="both"/>
      </w:pPr>
      <w:r>
        <w:t xml:space="preserve">That GPC be required to </w:t>
      </w:r>
      <w:r w:rsidR="00913CE2">
        <w:t xml:space="preserve">refine </w:t>
      </w:r>
      <w:r w:rsidR="007579BF">
        <w:t>Section 5.10 of the APA</w:t>
      </w:r>
      <w:r w:rsidR="00080DD0">
        <w:t xml:space="preserve"> </w:t>
      </w:r>
      <w:r w:rsidR="00A12FDD">
        <w:t>well in advance of the bid submission date.</w:t>
      </w:r>
    </w:p>
    <w:p w14:paraId="0A80A4EC" w14:textId="77777777" w:rsidR="009744AF" w:rsidRDefault="009744AF" w:rsidP="005C27B3">
      <w:pPr>
        <w:pStyle w:val="ListParagraph"/>
      </w:pPr>
    </w:p>
    <w:p w14:paraId="3A70E0EE" w14:textId="5E4DA3A0" w:rsidR="001674CD" w:rsidRDefault="006A3481" w:rsidP="004F453B">
      <w:pPr>
        <w:pStyle w:val="Addressee"/>
        <w:numPr>
          <w:ilvl w:val="0"/>
          <w:numId w:val="5"/>
        </w:numPr>
        <w:spacing w:line="276" w:lineRule="auto"/>
        <w:jc w:val="both"/>
      </w:pPr>
      <w:r>
        <w:t>P</w:t>
      </w:r>
      <w:r w:rsidR="004F453B">
        <w:t>rovisio</w:t>
      </w:r>
      <w:r>
        <w:t xml:space="preserve">n 7.4 of the APA </w:t>
      </w:r>
      <w:r w:rsidR="004F453B">
        <w:t>should be revised to clarify that the Seller, not GPC, will be responsible for any past tax return audits.</w:t>
      </w:r>
      <w:r w:rsidR="00A12FDD">
        <w:t xml:space="preserve"> </w:t>
      </w:r>
    </w:p>
    <w:p w14:paraId="6951AB74" w14:textId="77777777" w:rsidR="00647B1C" w:rsidRDefault="00647B1C" w:rsidP="005C27B3">
      <w:pPr>
        <w:pStyle w:val="ListParagraph"/>
      </w:pPr>
    </w:p>
    <w:p w14:paraId="03297A9E" w14:textId="25431AD0" w:rsidR="00647B1C" w:rsidRDefault="00647B1C" w:rsidP="006D29A1">
      <w:pPr>
        <w:pStyle w:val="Addressee"/>
        <w:numPr>
          <w:ilvl w:val="0"/>
          <w:numId w:val="5"/>
        </w:numPr>
        <w:spacing w:line="276" w:lineRule="auto"/>
        <w:jc w:val="both"/>
      </w:pPr>
      <w:r>
        <w:t xml:space="preserve">The RFP should be revised to commit GPC to having only two persons from Southern Company Treasury available to advise the COP Team before the proposal Submission date, </w:t>
      </w:r>
      <w:proofErr w:type="gramStart"/>
      <w:r>
        <w:t>and also</w:t>
      </w:r>
      <w:proofErr w:type="gramEnd"/>
      <w:r>
        <w:t xml:space="preserve"> be available to the Evaluation Team to determine the creditworthiness of Bidders and the financial impact of Bids</w:t>
      </w:r>
      <w:r w:rsidR="006D29A1">
        <w:t xml:space="preserve"> </w:t>
      </w:r>
      <w:r>
        <w:t>and proposals.</w:t>
      </w:r>
    </w:p>
    <w:p w14:paraId="2BE77B27" w14:textId="77777777" w:rsidR="006D29A1" w:rsidRDefault="006D29A1" w:rsidP="005C27B3">
      <w:pPr>
        <w:pStyle w:val="ListParagraph"/>
      </w:pPr>
    </w:p>
    <w:p w14:paraId="7016B82B" w14:textId="14E0B614" w:rsidR="006D29A1" w:rsidRDefault="005012F0" w:rsidP="006D29A1">
      <w:pPr>
        <w:pStyle w:val="Addressee"/>
        <w:numPr>
          <w:ilvl w:val="0"/>
          <w:numId w:val="5"/>
        </w:numPr>
        <w:spacing w:line="276" w:lineRule="auto"/>
        <w:jc w:val="both"/>
      </w:pPr>
      <w:r>
        <w:t>That t</w:t>
      </w:r>
      <w:r w:rsidRPr="005012F0">
        <w:t xml:space="preserve">he Commission </w:t>
      </w:r>
      <w:proofErr w:type="gramStart"/>
      <w:r w:rsidRPr="005012F0">
        <w:t>direct</w:t>
      </w:r>
      <w:proofErr w:type="gramEnd"/>
      <w:r w:rsidRPr="005012F0">
        <w:t xml:space="preserve"> GPC to engage with Staff and the IE in a </w:t>
      </w:r>
      <w:proofErr w:type="gramStart"/>
      <w:r w:rsidRPr="005012F0">
        <w:t>more timely</w:t>
      </w:r>
      <w:proofErr w:type="gramEnd"/>
      <w:r w:rsidRPr="005012F0">
        <w:t xml:space="preserve"> manner in all future RFPs.</w:t>
      </w:r>
    </w:p>
    <w:p w14:paraId="69B52648" w14:textId="77777777" w:rsidR="005012F0" w:rsidRDefault="005012F0" w:rsidP="005C27B3">
      <w:pPr>
        <w:pStyle w:val="ListParagraph"/>
      </w:pPr>
    </w:p>
    <w:p w14:paraId="458A6799" w14:textId="3B347401" w:rsidR="005012F0" w:rsidRDefault="005C1659" w:rsidP="00A03616">
      <w:pPr>
        <w:pStyle w:val="Addressee"/>
        <w:numPr>
          <w:ilvl w:val="0"/>
          <w:numId w:val="5"/>
        </w:numPr>
        <w:spacing w:line="276" w:lineRule="auto"/>
        <w:jc w:val="both"/>
      </w:pPr>
      <w:r>
        <w:t>That</w:t>
      </w:r>
      <w:r w:rsidR="00A03616">
        <w:t xml:space="preserve"> BTA, Part 14</w:t>
      </w:r>
      <w:r w:rsidR="003A16C2">
        <w:t xml:space="preserve"> requirements related to</w:t>
      </w:r>
      <w:r w:rsidR="00A03616">
        <w:t xml:space="preserve"> extended warranty obligations reflected in the price bid by a developer</w:t>
      </w:r>
      <w:r w:rsidR="006A769C">
        <w:t xml:space="preserve"> be </w:t>
      </w:r>
      <w:r w:rsidR="00A03616">
        <w:t>imposed on GPC for any COP proposal that is identified as a finalist so the Company will be held to the same standards and costs imposed on third-party developers. Should any COP proposal be identified as a finalist, GPC should provide a cross-reference to the BTA identifying each provision the Company believes is not applicable to a self-</w:t>
      </w:r>
      <w:proofErr w:type="gramStart"/>
      <w:r w:rsidR="00A03616">
        <w:t>build</w:t>
      </w:r>
      <w:proofErr w:type="gramEnd"/>
      <w:r w:rsidR="00A03616">
        <w:t xml:space="preserve"> proposal.</w:t>
      </w:r>
    </w:p>
    <w:p w14:paraId="3FFC3FC4" w14:textId="77777777" w:rsidR="006A769C" w:rsidRDefault="006A769C" w:rsidP="005C27B3">
      <w:pPr>
        <w:pStyle w:val="ListParagraph"/>
      </w:pPr>
    </w:p>
    <w:p w14:paraId="60ABF5A9" w14:textId="010186C0" w:rsidR="006A769C" w:rsidRDefault="007501F0" w:rsidP="005C27B3">
      <w:pPr>
        <w:pStyle w:val="Addressee"/>
        <w:numPr>
          <w:ilvl w:val="0"/>
          <w:numId w:val="5"/>
        </w:numPr>
        <w:spacing w:line="276" w:lineRule="auto"/>
        <w:jc w:val="both"/>
      </w:pPr>
      <w:r>
        <w:t xml:space="preserve">The Staff and IE should be involved in all </w:t>
      </w:r>
      <w:r w:rsidR="00DF77FD">
        <w:t xml:space="preserve">APA and BTA contract </w:t>
      </w:r>
      <w:r>
        <w:t>discussions to ensure no</w:t>
      </w:r>
      <w:r w:rsidR="00DF77FD">
        <w:t xml:space="preserve"> </w:t>
      </w:r>
      <w:r>
        <w:t>negotiation of terms and conditions would change the direct costs or risk allocation from the</w:t>
      </w:r>
      <w:r w:rsidR="00DF77FD">
        <w:t xml:space="preserve"> </w:t>
      </w:r>
      <w:r>
        <w:t>draft contracts.</w:t>
      </w:r>
    </w:p>
    <w:p w14:paraId="644CD59E" w14:textId="77777777" w:rsidR="00E45F46" w:rsidRDefault="00E45F46" w:rsidP="005C27B3">
      <w:pPr>
        <w:pStyle w:val="Addressee"/>
        <w:spacing w:line="276" w:lineRule="auto"/>
        <w:jc w:val="both"/>
      </w:pPr>
    </w:p>
    <w:p w14:paraId="359FFBE1" w14:textId="06B53CF1" w:rsidR="00B92582" w:rsidRDefault="00B92582" w:rsidP="00FE5F9E">
      <w:pPr>
        <w:pStyle w:val="Addressee"/>
        <w:spacing w:line="276" w:lineRule="auto"/>
        <w:ind w:firstLine="720"/>
        <w:jc w:val="both"/>
      </w:pPr>
      <w:r>
        <w:t xml:space="preserve">At its June </w:t>
      </w:r>
      <w:r w:rsidR="00D61448">
        <w:t>18</w:t>
      </w:r>
      <w:r>
        <w:t xml:space="preserve">, 2024, Administrative Session, the Commission adopted </w:t>
      </w:r>
      <w:r w:rsidR="000973F8">
        <w:t xml:space="preserve">a motion by </w:t>
      </w:r>
      <w:r>
        <w:t xml:space="preserve">Commissioner </w:t>
      </w:r>
      <w:r w:rsidR="00B66771">
        <w:t>Johnson</w:t>
      </w:r>
      <w:r>
        <w:t xml:space="preserve"> to amend</w:t>
      </w:r>
      <w:r w:rsidR="0035616F">
        <w:t xml:space="preserve"> Staff’s recommendation</w:t>
      </w:r>
      <w:r>
        <w:t xml:space="preserve"> to </w:t>
      </w:r>
      <w:r w:rsidR="00D61448">
        <w:t xml:space="preserve">require a credit worthiness determination through credit ratings agencies </w:t>
      </w:r>
      <w:r w:rsidR="009C0C7C">
        <w:t xml:space="preserve">as defined in the RFP </w:t>
      </w:r>
      <w:r w:rsidR="00D61448">
        <w:t>and allow a bid refresh process prior to select</w:t>
      </w:r>
      <w:r w:rsidR="00EC69C7">
        <w:t>i</w:t>
      </w:r>
      <w:r w:rsidR="00D61448">
        <w:t xml:space="preserve">on of the </w:t>
      </w:r>
      <w:r w:rsidR="440CB935">
        <w:t>C</w:t>
      </w:r>
      <w:r w:rsidR="00D61448">
        <w:t xml:space="preserve">ompetitive </w:t>
      </w:r>
      <w:r w:rsidR="32F2819C">
        <w:t>T</w:t>
      </w:r>
      <w:r w:rsidR="00D61448">
        <w:t>ier</w:t>
      </w:r>
      <w:r w:rsidR="7BEA91C0">
        <w:t xml:space="preserve"> and allows the bid price to either increase or decrease</w:t>
      </w:r>
      <w:r w:rsidR="00D61448">
        <w:t xml:space="preserve">.   </w:t>
      </w:r>
      <w:r>
        <w:t xml:space="preserve"> </w:t>
      </w:r>
    </w:p>
    <w:p w14:paraId="535D4E76" w14:textId="77777777" w:rsidR="00B92582" w:rsidRPr="00566F85" w:rsidRDefault="00B92582" w:rsidP="00B92582">
      <w:pPr>
        <w:pStyle w:val="Addressee"/>
        <w:spacing w:line="276" w:lineRule="auto"/>
        <w:ind w:firstLine="360"/>
        <w:jc w:val="both"/>
      </w:pPr>
    </w:p>
    <w:p w14:paraId="4DCC1239" w14:textId="7A679F1A" w:rsidR="002B4EE3" w:rsidRPr="00922E66" w:rsidRDefault="003E13F9" w:rsidP="0018785B">
      <w:pPr>
        <w:spacing w:after="160" w:line="276" w:lineRule="auto"/>
        <w:ind w:firstLine="720"/>
        <w:jc w:val="both"/>
        <w:rPr>
          <w:rFonts w:eastAsia="Calibri"/>
          <w:kern w:val="2"/>
          <w14:ligatures w14:val="standardContextual"/>
        </w:rPr>
      </w:pPr>
      <w:r>
        <w:rPr>
          <w:rFonts w:eastAsia="Calibri"/>
          <w:kern w:val="2"/>
          <w14:ligatures w14:val="standardContextual"/>
        </w:rPr>
        <w:t xml:space="preserve">The Commission approved Staff’s recommendation </w:t>
      </w:r>
      <w:r w:rsidR="00B92582">
        <w:rPr>
          <w:rFonts w:eastAsia="Calibri"/>
          <w:kern w:val="2"/>
          <w14:ligatures w14:val="standardContextual"/>
        </w:rPr>
        <w:t xml:space="preserve">as amended </w:t>
      </w:r>
      <w:r>
        <w:rPr>
          <w:rFonts w:eastAsia="Calibri"/>
          <w:kern w:val="2"/>
          <w14:ligatures w14:val="standardContextual"/>
        </w:rPr>
        <w:t xml:space="preserve">at the </w:t>
      </w:r>
      <w:r w:rsidR="005D364B">
        <w:rPr>
          <w:rFonts w:eastAsia="Calibri"/>
          <w:kern w:val="2"/>
          <w14:ligatures w14:val="standardContextual"/>
        </w:rPr>
        <w:t>June</w:t>
      </w:r>
      <w:r>
        <w:rPr>
          <w:rFonts w:eastAsia="Calibri"/>
          <w:kern w:val="2"/>
          <w14:ligatures w14:val="standardContextual"/>
        </w:rPr>
        <w:t xml:space="preserve"> </w:t>
      </w:r>
      <w:r w:rsidR="00B66771">
        <w:rPr>
          <w:rFonts w:eastAsia="Calibri"/>
          <w:kern w:val="2"/>
          <w14:ligatures w14:val="standardContextual"/>
        </w:rPr>
        <w:t>18</w:t>
      </w:r>
      <w:r>
        <w:rPr>
          <w:rFonts w:eastAsia="Calibri"/>
          <w:kern w:val="2"/>
          <w14:ligatures w14:val="standardContextual"/>
        </w:rPr>
        <w:t>, 202</w:t>
      </w:r>
      <w:r w:rsidR="005D364B">
        <w:rPr>
          <w:rFonts w:eastAsia="Calibri"/>
          <w:kern w:val="2"/>
          <w14:ligatures w14:val="standardContextual"/>
        </w:rPr>
        <w:t>4</w:t>
      </w:r>
      <w:r w:rsidR="007070F0">
        <w:rPr>
          <w:rFonts w:eastAsia="Calibri"/>
          <w:kern w:val="2"/>
          <w14:ligatures w14:val="standardContextual"/>
        </w:rPr>
        <w:t>,</w:t>
      </w:r>
      <w:r>
        <w:rPr>
          <w:rFonts w:eastAsia="Calibri"/>
          <w:kern w:val="2"/>
          <w14:ligatures w14:val="standardContextual"/>
        </w:rPr>
        <w:t xml:space="preserve"> Administrative Session. </w:t>
      </w:r>
    </w:p>
    <w:p w14:paraId="2A2C08A2" w14:textId="593C9EF1" w:rsidR="00801C6A" w:rsidRDefault="00C8661A" w:rsidP="00C8661A">
      <w:pPr>
        <w:spacing w:line="360" w:lineRule="auto"/>
        <w:ind w:right="720" w:firstLine="695"/>
        <w:jc w:val="center"/>
      </w:pPr>
      <w:r w:rsidRPr="00D42742">
        <w:t>* * * * * * * * * * * * *</w:t>
      </w:r>
    </w:p>
    <w:p w14:paraId="78AD052E" w14:textId="77777777" w:rsidR="002B4EE3" w:rsidRDefault="002B4EE3" w:rsidP="00C8661A">
      <w:pPr>
        <w:spacing w:line="360" w:lineRule="auto"/>
        <w:ind w:right="720" w:firstLine="695"/>
        <w:jc w:val="center"/>
      </w:pPr>
    </w:p>
    <w:p w14:paraId="7994764E" w14:textId="1670FB67" w:rsidR="00D61448" w:rsidRDefault="00D61448" w:rsidP="529067B7">
      <w:pPr>
        <w:pStyle w:val="BodyText"/>
        <w:spacing w:after="360" w:line="360" w:lineRule="auto"/>
        <w:ind w:firstLine="720"/>
        <w:jc w:val="both"/>
        <w:rPr>
          <w:rFonts w:cs="Arial"/>
        </w:rPr>
      </w:pPr>
      <w:r w:rsidRPr="29A80A0B">
        <w:rPr>
          <w:rFonts w:cs="Arial"/>
          <w:b/>
        </w:rPr>
        <w:t>WHEREFORE IT IS ORDERED</w:t>
      </w:r>
      <w:r w:rsidRPr="29A80A0B">
        <w:rPr>
          <w:rFonts w:cs="Arial"/>
        </w:rPr>
        <w:t xml:space="preserve"> that the Final Draft 2029-2031 All Source Capacity RFP </w:t>
      </w:r>
      <w:r w:rsidR="11549AE3" w:rsidRPr="29A80A0B">
        <w:rPr>
          <w:rFonts w:cs="Arial"/>
        </w:rPr>
        <w:t xml:space="preserve">and </w:t>
      </w:r>
      <w:proofErr w:type="gramStart"/>
      <w:r w:rsidR="11549AE3" w:rsidRPr="29A80A0B">
        <w:rPr>
          <w:rFonts w:cs="Arial"/>
        </w:rPr>
        <w:t>all of</w:t>
      </w:r>
      <w:proofErr w:type="gramEnd"/>
      <w:r w:rsidR="11549AE3" w:rsidRPr="29A80A0B">
        <w:rPr>
          <w:rFonts w:cs="Arial"/>
        </w:rPr>
        <w:t xml:space="preserve"> the PPA documents</w:t>
      </w:r>
      <w:r w:rsidRPr="29A80A0B">
        <w:rPr>
          <w:rFonts w:cs="Arial"/>
        </w:rPr>
        <w:t xml:space="preserve"> </w:t>
      </w:r>
      <w:r w:rsidR="41F5DF22" w:rsidRPr="5CDD0834">
        <w:rPr>
          <w:rFonts w:cs="Arial"/>
        </w:rPr>
        <w:t>are</w:t>
      </w:r>
      <w:r w:rsidRPr="29A80A0B">
        <w:rPr>
          <w:rFonts w:cs="Arial"/>
        </w:rPr>
        <w:t xml:space="preserve"> approved, as modified by the IE report</w:t>
      </w:r>
      <w:r w:rsidR="0E0384B8" w:rsidRPr="29A80A0B">
        <w:rPr>
          <w:rFonts w:cs="Arial"/>
        </w:rPr>
        <w:t xml:space="preserve"> and </w:t>
      </w:r>
      <w:r w:rsidR="00781C81" w:rsidRPr="29A80A0B">
        <w:rPr>
          <w:rFonts w:cs="Arial"/>
        </w:rPr>
        <w:t>Commissioner</w:t>
      </w:r>
      <w:r w:rsidR="0E0384B8" w:rsidRPr="29A80A0B">
        <w:rPr>
          <w:rFonts w:cs="Arial"/>
        </w:rPr>
        <w:t xml:space="preserve"> Johnson’s motion</w:t>
      </w:r>
      <w:r w:rsidR="77DC274A" w:rsidRPr="529067B7">
        <w:rPr>
          <w:rFonts w:cs="Arial"/>
        </w:rPr>
        <w:t>.</w:t>
      </w:r>
    </w:p>
    <w:p w14:paraId="2F389BDF" w14:textId="62F48D8B" w:rsidR="00D61448" w:rsidRDefault="174E1E7C" w:rsidP="00D61448">
      <w:pPr>
        <w:pStyle w:val="BodyText"/>
        <w:spacing w:after="360" w:line="360" w:lineRule="auto"/>
        <w:ind w:firstLine="720"/>
        <w:jc w:val="both"/>
        <w:rPr>
          <w:rFonts w:cs="Arial"/>
        </w:rPr>
      </w:pPr>
      <w:r w:rsidRPr="529067B7">
        <w:rPr>
          <w:rFonts w:cs="Arial"/>
          <w:b/>
          <w:bCs/>
        </w:rPr>
        <w:lastRenderedPageBreak/>
        <w:t>ORDERED FURTHER</w:t>
      </w:r>
      <w:r w:rsidR="00D61448" w:rsidRPr="529067B7">
        <w:rPr>
          <w:rFonts w:cs="Arial"/>
          <w:b/>
        </w:rPr>
        <w:t>,</w:t>
      </w:r>
      <w:r w:rsidR="00D61448" w:rsidRPr="29A80A0B">
        <w:rPr>
          <w:rFonts w:cs="Arial"/>
        </w:rPr>
        <w:t xml:space="preserve"> creditworthiness</w:t>
      </w:r>
      <w:r w:rsidR="00D61448" w:rsidRPr="529067B7">
        <w:rPr>
          <w:rFonts w:cs="Arial"/>
        </w:rPr>
        <w:t xml:space="preserve"> </w:t>
      </w:r>
      <w:r w:rsidR="7F7264FF" w:rsidRPr="529067B7">
        <w:rPr>
          <w:rFonts w:cs="Arial"/>
        </w:rPr>
        <w:t>will be</w:t>
      </w:r>
      <w:r w:rsidR="00D61448" w:rsidRPr="29A80A0B">
        <w:rPr>
          <w:rFonts w:cs="Arial"/>
        </w:rPr>
        <w:t xml:space="preserve"> determined through credit rating agencies as</w:t>
      </w:r>
      <w:r w:rsidR="00580AB4" w:rsidRPr="29A80A0B">
        <w:rPr>
          <w:rFonts w:cs="Arial"/>
        </w:rPr>
        <w:t xml:space="preserve"> defined in the RFP</w:t>
      </w:r>
      <w:r w:rsidR="00D61448" w:rsidRPr="29A80A0B">
        <w:rPr>
          <w:rFonts w:cs="Arial"/>
        </w:rPr>
        <w:t>.</w:t>
      </w:r>
    </w:p>
    <w:p w14:paraId="57EF0FE7" w14:textId="37A021E6" w:rsidR="00D61448" w:rsidRDefault="00D61448" w:rsidP="00D61448">
      <w:pPr>
        <w:pStyle w:val="BodyText"/>
        <w:spacing w:after="360" w:line="360" w:lineRule="auto"/>
        <w:ind w:firstLine="720"/>
        <w:jc w:val="both"/>
        <w:rPr>
          <w:rFonts w:cs="Arial"/>
        </w:rPr>
      </w:pPr>
      <w:r>
        <w:rPr>
          <w:rFonts w:cs="Arial"/>
          <w:b/>
        </w:rPr>
        <w:t>ORDERED FURTHER,</w:t>
      </w:r>
      <w:r>
        <w:rPr>
          <w:rFonts w:cs="Arial"/>
        </w:rPr>
        <w:t xml:space="preserve"> that a bid refresh process and rule waiver, allowing a bid refresh prior to the selection of the </w:t>
      </w:r>
      <w:r w:rsidR="17AA4C02" w:rsidRPr="446B5258">
        <w:rPr>
          <w:rFonts w:cs="Arial"/>
        </w:rPr>
        <w:t>C</w:t>
      </w:r>
      <w:r w:rsidRPr="446B5258">
        <w:rPr>
          <w:rFonts w:cs="Arial"/>
        </w:rPr>
        <w:t xml:space="preserve">ompetitive </w:t>
      </w:r>
      <w:r w:rsidR="0814B384" w:rsidRPr="446B5258">
        <w:rPr>
          <w:rFonts w:cs="Arial"/>
        </w:rPr>
        <w:t>T</w:t>
      </w:r>
      <w:r w:rsidRPr="446B5258">
        <w:rPr>
          <w:rFonts w:cs="Arial"/>
        </w:rPr>
        <w:t>ier</w:t>
      </w:r>
      <w:r>
        <w:rPr>
          <w:rFonts w:cs="Arial"/>
        </w:rPr>
        <w:t>, are hereby approved.</w:t>
      </w:r>
      <w:r w:rsidRPr="29A80A0B">
        <w:rPr>
          <w:rFonts w:cs="Arial"/>
        </w:rPr>
        <w:t xml:space="preserve"> </w:t>
      </w:r>
    </w:p>
    <w:p w14:paraId="0941E8BD" w14:textId="77777777" w:rsidR="00D61448" w:rsidRPr="00B8508A" w:rsidRDefault="00D61448" w:rsidP="00D61448">
      <w:pPr>
        <w:spacing w:after="360" w:line="360" w:lineRule="auto"/>
        <w:ind w:firstLine="720"/>
        <w:jc w:val="both"/>
        <w:rPr>
          <w:rFonts w:cs="Arial"/>
        </w:rPr>
      </w:pPr>
      <w:r w:rsidRPr="00301D2F">
        <w:rPr>
          <w:rFonts w:cs="Arial"/>
          <w:b/>
        </w:rPr>
        <w:t>ORDERED FURTHER</w:t>
      </w:r>
      <w:r w:rsidRPr="00301D2F">
        <w:rPr>
          <w:rFonts w:cs="Arial"/>
        </w:rPr>
        <w:t xml:space="preserve">, </w:t>
      </w:r>
      <w:r w:rsidRPr="000A4BAA">
        <w:rPr>
          <w:rFonts w:cs="Arial"/>
        </w:rPr>
        <w:t>that all findings, conclusions, statements, and directives made by the Commission and contained in the foregoing sections of this Order are hereby adopted as findings of fact, conclusions of law, statements of regulatory policy, and orders of this Commission.</w:t>
      </w:r>
    </w:p>
    <w:p w14:paraId="408A49A4" w14:textId="77777777" w:rsidR="00D61448" w:rsidRPr="00FE77C8" w:rsidRDefault="00D61448" w:rsidP="00D61448">
      <w:pPr>
        <w:spacing w:after="360" w:line="360" w:lineRule="auto"/>
        <w:ind w:firstLine="720"/>
        <w:jc w:val="both"/>
        <w:rPr>
          <w:rFonts w:cs="Arial"/>
          <w:b/>
          <w:szCs w:val="22"/>
        </w:rPr>
      </w:pPr>
      <w:r w:rsidRPr="00FE77C8">
        <w:rPr>
          <w:rFonts w:cs="Arial"/>
          <w:b/>
          <w:szCs w:val="22"/>
        </w:rPr>
        <w:t>ORDERED FURTHER</w:t>
      </w:r>
      <w:r w:rsidRPr="00FE77C8">
        <w:rPr>
          <w:rFonts w:cs="Arial"/>
          <w:szCs w:val="22"/>
        </w:rPr>
        <w:t>, that a motion for reconsideration, rehearing, or oral argument or any other motion shall not stay the effective date of this Order, unless otherwise ordered by the Commission.</w:t>
      </w:r>
    </w:p>
    <w:p w14:paraId="1437EE26" w14:textId="77777777" w:rsidR="00D61448" w:rsidRDefault="00D61448" w:rsidP="00D61448">
      <w:pPr>
        <w:spacing w:after="360" w:line="360" w:lineRule="auto"/>
        <w:ind w:firstLine="720"/>
        <w:jc w:val="both"/>
        <w:rPr>
          <w:rFonts w:cs="Arial"/>
        </w:rPr>
      </w:pPr>
      <w:r w:rsidRPr="5CDD0834">
        <w:rPr>
          <w:rFonts w:cs="Arial"/>
          <w:b/>
        </w:rPr>
        <w:t>ORDERED FURTHER</w:t>
      </w:r>
      <w:r w:rsidRPr="5CDD0834">
        <w:rPr>
          <w:rFonts w:cs="Arial"/>
        </w:rPr>
        <w:t>, that jurisdiction over this matter is expressly retained for the purpose of entering such further Order or Orders as this Commission may deem just and proper.</w:t>
      </w:r>
    </w:p>
    <w:p w14:paraId="4B913885" w14:textId="10D3F555" w:rsidR="00632439" w:rsidRDefault="00801C6A" w:rsidP="00D61448">
      <w:pPr>
        <w:spacing w:after="360" w:line="360" w:lineRule="auto"/>
        <w:ind w:firstLine="695"/>
        <w:jc w:val="both"/>
        <w:rPr>
          <w:rFonts w:cs="Arial"/>
        </w:rPr>
      </w:pPr>
      <w:r w:rsidRPr="5CDD0834">
        <w:rPr>
          <w:rFonts w:cs="Arial"/>
          <w:b/>
        </w:rPr>
        <w:t>ORDERED FURTHER</w:t>
      </w:r>
      <w:r w:rsidRPr="5CDD0834">
        <w:rPr>
          <w:rFonts w:cs="Arial"/>
        </w:rPr>
        <w:t>, that jurisdiction over this matter is expressly retained for the purpose of entering such further Order or Orders as this Commission may deem just and proper.</w:t>
      </w:r>
    </w:p>
    <w:p w14:paraId="25C1B118" w14:textId="51D53E90" w:rsidR="0018785B" w:rsidRDefault="00801C6A" w:rsidP="0018785B">
      <w:pPr>
        <w:spacing w:after="360" w:line="360" w:lineRule="auto"/>
        <w:ind w:firstLine="695"/>
        <w:jc w:val="both"/>
        <w:rPr>
          <w:rFonts w:cs="Arial"/>
          <w:szCs w:val="22"/>
        </w:rPr>
      </w:pPr>
      <w:r w:rsidRPr="006E37E6">
        <w:rPr>
          <w:rFonts w:cs="Arial"/>
          <w:szCs w:val="22"/>
        </w:rPr>
        <w:t>The above by action of the Commission in Administrative Session on the</w:t>
      </w:r>
      <w:r>
        <w:rPr>
          <w:rFonts w:cs="Arial"/>
          <w:szCs w:val="22"/>
        </w:rPr>
        <w:t xml:space="preserve"> </w:t>
      </w:r>
      <w:r w:rsidR="00B66771">
        <w:rPr>
          <w:rFonts w:cs="Arial"/>
          <w:szCs w:val="22"/>
        </w:rPr>
        <w:t>18</w:t>
      </w:r>
      <w:r w:rsidR="005D364B">
        <w:rPr>
          <w:rFonts w:cs="Arial"/>
          <w:szCs w:val="22"/>
        </w:rPr>
        <w:t>th</w:t>
      </w:r>
      <w:r>
        <w:rPr>
          <w:rFonts w:cs="Arial"/>
          <w:szCs w:val="22"/>
          <w:vertAlign w:val="superscript"/>
        </w:rPr>
        <w:t xml:space="preserve"> </w:t>
      </w:r>
      <w:r w:rsidRPr="006E37E6">
        <w:rPr>
          <w:rFonts w:cs="Arial"/>
          <w:szCs w:val="22"/>
        </w:rPr>
        <w:t xml:space="preserve">day of </w:t>
      </w:r>
      <w:proofErr w:type="gramStart"/>
      <w:r w:rsidR="005D364B">
        <w:rPr>
          <w:rFonts w:cs="Arial"/>
          <w:szCs w:val="22"/>
        </w:rPr>
        <w:t>June</w:t>
      </w:r>
      <w:r w:rsidR="006164D6">
        <w:rPr>
          <w:rFonts w:cs="Arial"/>
          <w:szCs w:val="22"/>
        </w:rPr>
        <w:t>,</w:t>
      </w:r>
      <w:proofErr w:type="gramEnd"/>
      <w:r w:rsidRPr="006E37E6">
        <w:rPr>
          <w:rFonts w:cs="Arial"/>
          <w:szCs w:val="22"/>
        </w:rPr>
        <w:t xml:space="preserve"> 20</w:t>
      </w:r>
      <w:r>
        <w:rPr>
          <w:rFonts w:cs="Arial"/>
          <w:szCs w:val="22"/>
        </w:rPr>
        <w:t>2</w:t>
      </w:r>
      <w:r w:rsidR="005D364B">
        <w:rPr>
          <w:rFonts w:cs="Arial"/>
          <w:szCs w:val="22"/>
        </w:rPr>
        <w:t>4</w:t>
      </w:r>
      <w:r w:rsidR="00F1288E">
        <w:rPr>
          <w:rFonts w:cs="Arial"/>
          <w:szCs w:val="22"/>
        </w:rPr>
        <w:t>.</w:t>
      </w:r>
    </w:p>
    <w:p w14:paraId="06D6CE6B" w14:textId="77777777" w:rsidR="0018785B" w:rsidRDefault="0018785B" w:rsidP="0018785B">
      <w:pPr>
        <w:spacing w:after="360" w:line="360" w:lineRule="auto"/>
        <w:ind w:firstLine="695"/>
        <w:jc w:val="both"/>
        <w:rPr>
          <w:rFonts w:cs="Arial"/>
          <w:szCs w:val="22"/>
        </w:rPr>
      </w:pPr>
    </w:p>
    <w:p w14:paraId="3A0BADE5" w14:textId="77777777" w:rsidR="00F1288E" w:rsidRPr="006E37E6" w:rsidRDefault="00F1288E" w:rsidP="00F1288E">
      <w:pPr>
        <w:ind w:firstLine="695"/>
        <w:jc w:val="both"/>
        <w:rPr>
          <w:rFonts w:cs="Arial"/>
          <w:szCs w:val="22"/>
        </w:rPr>
      </w:pPr>
      <w:r w:rsidRPr="006E37E6">
        <w:rPr>
          <w:rFonts w:cs="Arial"/>
          <w:szCs w:val="22"/>
        </w:rPr>
        <w:t>_________________________</w:t>
      </w:r>
      <w:r w:rsidRPr="006E37E6">
        <w:rPr>
          <w:rFonts w:cs="Arial"/>
          <w:szCs w:val="22"/>
        </w:rPr>
        <w:tab/>
      </w:r>
      <w:r w:rsidRPr="006E37E6">
        <w:rPr>
          <w:rFonts w:cs="Arial"/>
          <w:szCs w:val="22"/>
        </w:rPr>
        <w:tab/>
      </w:r>
      <w:r w:rsidRPr="006E37E6">
        <w:rPr>
          <w:rFonts w:cs="Arial"/>
          <w:szCs w:val="22"/>
        </w:rPr>
        <w:tab/>
        <w:t>_________________________</w:t>
      </w:r>
    </w:p>
    <w:p w14:paraId="6D1B0D65" w14:textId="77777777" w:rsidR="00F1288E" w:rsidRPr="006E37E6" w:rsidRDefault="00F1288E" w:rsidP="00F1288E">
      <w:pPr>
        <w:ind w:firstLine="695"/>
        <w:jc w:val="both"/>
        <w:rPr>
          <w:rFonts w:cs="Arial"/>
          <w:szCs w:val="22"/>
        </w:rPr>
      </w:pPr>
      <w:r>
        <w:rPr>
          <w:rFonts w:cs="Arial"/>
          <w:szCs w:val="22"/>
        </w:rPr>
        <w:t>Sallie</w:t>
      </w:r>
      <w:r w:rsidRPr="006E37E6">
        <w:rPr>
          <w:rFonts w:cs="Arial"/>
          <w:szCs w:val="22"/>
        </w:rPr>
        <w:t xml:space="preserve"> </w:t>
      </w:r>
      <w:r>
        <w:rPr>
          <w:rFonts w:cs="Arial"/>
          <w:szCs w:val="22"/>
        </w:rPr>
        <w:t>Tanner</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Pr>
          <w:rFonts w:cs="Arial"/>
          <w:szCs w:val="22"/>
        </w:rPr>
        <w:tab/>
        <w:t>Jason Shaw</w:t>
      </w:r>
    </w:p>
    <w:p w14:paraId="41DDC86A" w14:textId="77777777" w:rsidR="00F1288E" w:rsidRPr="006E37E6" w:rsidRDefault="00F1288E" w:rsidP="00F1288E">
      <w:pPr>
        <w:ind w:firstLine="695"/>
        <w:jc w:val="both"/>
        <w:rPr>
          <w:rFonts w:cs="Arial"/>
          <w:szCs w:val="22"/>
        </w:rPr>
      </w:pPr>
      <w:r w:rsidRPr="006E37E6">
        <w:rPr>
          <w:rFonts w:cs="Arial"/>
          <w:szCs w:val="22"/>
        </w:rPr>
        <w:t>Executive Secretary</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t>Chairman</w:t>
      </w:r>
    </w:p>
    <w:p w14:paraId="745E538F" w14:textId="77777777" w:rsidR="00F1288E" w:rsidRDefault="00F1288E" w:rsidP="00F1288E">
      <w:pPr>
        <w:jc w:val="both"/>
        <w:rPr>
          <w:rFonts w:cs="Arial"/>
          <w:szCs w:val="22"/>
        </w:rPr>
      </w:pPr>
    </w:p>
    <w:p w14:paraId="331C2D41" w14:textId="77777777" w:rsidR="00761BD3" w:rsidRPr="006E37E6" w:rsidRDefault="00761BD3" w:rsidP="0018785B">
      <w:pPr>
        <w:jc w:val="both"/>
        <w:rPr>
          <w:rFonts w:cs="Arial"/>
          <w:szCs w:val="22"/>
        </w:rPr>
      </w:pPr>
    </w:p>
    <w:p w14:paraId="01D16466" w14:textId="77777777" w:rsidR="00F1288E" w:rsidRPr="006E37E6" w:rsidRDefault="00F1288E" w:rsidP="00F1288E">
      <w:pPr>
        <w:ind w:firstLine="695"/>
        <w:jc w:val="both"/>
        <w:rPr>
          <w:rFonts w:cs="Arial"/>
          <w:szCs w:val="22"/>
        </w:rPr>
      </w:pPr>
      <w:r w:rsidRPr="006E37E6">
        <w:rPr>
          <w:rFonts w:cs="Arial"/>
          <w:szCs w:val="22"/>
        </w:rPr>
        <w:t>_________________________</w:t>
      </w:r>
      <w:r w:rsidRPr="006E37E6">
        <w:rPr>
          <w:rFonts w:cs="Arial"/>
          <w:szCs w:val="22"/>
        </w:rPr>
        <w:tab/>
      </w:r>
      <w:r w:rsidRPr="006E37E6">
        <w:rPr>
          <w:rFonts w:cs="Arial"/>
          <w:szCs w:val="22"/>
        </w:rPr>
        <w:tab/>
      </w:r>
      <w:r w:rsidRPr="006E37E6">
        <w:rPr>
          <w:rFonts w:cs="Arial"/>
          <w:szCs w:val="22"/>
        </w:rPr>
        <w:tab/>
        <w:t>__________________________</w:t>
      </w:r>
    </w:p>
    <w:p w14:paraId="59054BA9" w14:textId="77777777" w:rsidR="00F1288E" w:rsidRDefault="00F1288E" w:rsidP="00F1288E">
      <w:pPr>
        <w:ind w:firstLine="695"/>
        <w:jc w:val="both"/>
        <w:rPr>
          <w:rFonts w:cs="Arial"/>
        </w:rPr>
      </w:pPr>
      <w:r w:rsidRPr="5CDD0834">
        <w:rPr>
          <w:rFonts w:cs="Arial"/>
        </w:rPr>
        <w:t>Date</w:t>
      </w:r>
      <w:r>
        <w:tab/>
      </w:r>
      <w:r>
        <w:tab/>
      </w:r>
      <w:r>
        <w:tab/>
      </w:r>
      <w:r>
        <w:tab/>
      </w:r>
      <w:r>
        <w:tab/>
      </w:r>
      <w:r>
        <w:tab/>
      </w:r>
      <w:r>
        <w:tab/>
      </w:r>
      <w:proofErr w:type="spellStart"/>
      <w:r w:rsidRPr="5CDD0834">
        <w:rPr>
          <w:rFonts w:cs="Arial"/>
        </w:rPr>
        <w:t>Date</w:t>
      </w:r>
      <w:proofErr w:type="spellEnd"/>
    </w:p>
    <w:p w14:paraId="748C90A0" w14:textId="77777777" w:rsidR="009C79EB" w:rsidRPr="009E6D0D" w:rsidRDefault="009C79EB" w:rsidP="009E6D0D"/>
    <w:sectPr w:rsidR="009C79EB" w:rsidRPr="009E6D0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C1946" w14:textId="77777777" w:rsidR="00764ABD" w:rsidRDefault="00764ABD" w:rsidP="009C79EB">
      <w:r>
        <w:separator/>
      </w:r>
    </w:p>
  </w:endnote>
  <w:endnote w:type="continuationSeparator" w:id="0">
    <w:p w14:paraId="1E6F8D17" w14:textId="77777777" w:rsidR="00764ABD" w:rsidRDefault="00764ABD" w:rsidP="009C79EB">
      <w:r>
        <w:continuationSeparator/>
      </w:r>
    </w:p>
  </w:endnote>
  <w:endnote w:type="continuationNotice" w:id="1">
    <w:p w14:paraId="4C1C81AF" w14:textId="77777777" w:rsidR="00764ABD" w:rsidRDefault="00764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23E7" w14:textId="35395086" w:rsidR="009C79EB" w:rsidRPr="00627F0B" w:rsidRDefault="009C79EB" w:rsidP="009C79EB">
    <w:pPr>
      <w:tabs>
        <w:tab w:val="center" w:pos="4320"/>
        <w:tab w:val="right" w:pos="8640"/>
      </w:tabs>
      <w:jc w:val="center"/>
      <w:rPr>
        <w:sz w:val="20"/>
        <w:szCs w:val="20"/>
      </w:rPr>
    </w:pPr>
    <w:r w:rsidRPr="00627F0B">
      <w:rPr>
        <w:sz w:val="20"/>
        <w:szCs w:val="20"/>
      </w:rPr>
      <w:t xml:space="preserve">Docket No. </w:t>
    </w:r>
    <w:r w:rsidR="00B66771">
      <w:rPr>
        <w:sz w:val="20"/>
        <w:szCs w:val="20"/>
      </w:rPr>
      <w:t>55268</w:t>
    </w:r>
  </w:p>
  <w:p w14:paraId="01B35E3D" w14:textId="019D0B9A" w:rsidR="00230502" w:rsidRDefault="00230502" w:rsidP="009C79EB">
    <w:pPr>
      <w:jc w:val="center"/>
      <w:rPr>
        <w:sz w:val="20"/>
        <w:szCs w:val="20"/>
      </w:rPr>
    </w:pPr>
    <w:r w:rsidRPr="00230502">
      <w:rPr>
        <w:sz w:val="20"/>
        <w:szCs w:val="20"/>
      </w:rPr>
      <w:t>Order Approving Final Documents</w:t>
    </w:r>
    <w:r w:rsidR="29A80A0B" w:rsidRPr="29A80A0B">
      <w:rPr>
        <w:sz w:val="20"/>
        <w:szCs w:val="20"/>
      </w:rPr>
      <w:t xml:space="preserve"> with </w:t>
    </w:r>
    <w:r w:rsidR="4E570C88" w:rsidRPr="4E570C88">
      <w:rPr>
        <w:sz w:val="20"/>
        <w:szCs w:val="20"/>
      </w:rPr>
      <w:t>Modifications for</w:t>
    </w:r>
    <w:r w:rsidRPr="00230502">
      <w:rPr>
        <w:sz w:val="20"/>
        <w:szCs w:val="20"/>
      </w:rPr>
      <w:t xml:space="preserve"> Georgia Power Company’s 2029-2031 All-Source Capacity RFP</w:t>
    </w:r>
  </w:p>
  <w:p w14:paraId="7F9A9037" w14:textId="08B4231A" w:rsidR="009C79EB" w:rsidRDefault="00000000" w:rsidP="009C79EB">
    <w:pPr>
      <w:jc w:val="center"/>
    </w:pPr>
    <w:sdt>
      <w:sdtPr>
        <w:id w:val="250395305"/>
        <w:docPartObj>
          <w:docPartGallery w:val="Page Numbers (Top of Page)"/>
          <w:docPartUnique/>
        </w:docPartObj>
      </w:sdtPr>
      <w:sdtContent>
        <w:r w:rsidR="009C79EB" w:rsidRPr="00627F0B">
          <w:rPr>
            <w:sz w:val="20"/>
            <w:szCs w:val="20"/>
          </w:rPr>
          <w:t xml:space="preserve">Page </w:t>
        </w:r>
        <w:r w:rsidR="009C79EB" w:rsidRPr="00627F0B">
          <w:rPr>
            <w:sz w:val="20"/>
            <w:szCs w:val="20"/>
          </w:rPr>
          <w:fldChar w:fldCharType="begin"/>
        </w:r>
        <w:r w:rsidR="009C79EB" w:rsidRPr="00627F0B">
          <w:rPr>
            <w:sz w:val="20"/>
            <w:szCs w:val="20"/>
          </w:rPr>
          <w:instrText xml:space="preserve"> PAGE </w:instrText>
        </w:r>
        <w:r w:rsidR="009C79EB" w:rsidRPr="00627F0B">
          <w:rPr>
            <w:sz w:val="20"/>
            <w:szCs w:val="20"/>
          </w:rPr>
          <w:fldChar w:fldCharType="separate"/>
        </w:r>
        <w:r w:rsidR="009C79EB">
          <w:rPr>
            <w:sz w:val="20"/>
            <w:szCs w:val="20"/>
          </w:rPr>
          <w:t>1</w:t>
        </w:r>
        <w:r w:rsidR="009C79EB" w:rsidRPr="00627F0B">
          <w:rPr>
            <w:sz w:val="20"/>
            <w:szCs w:val="20"/>
          </w:rPr>
          <w:fldChar w:fldCharType="end"/>
        </w:r>
        <w:r w:rsidR="009C79EB" w:rsidRPr="00627F0B">
          <w:rPr>
            <w:sz w:val="20"/>
            <w:szCs w:val="20"/>
          </w:rPr>
          <w:t xml:space="preserve"> of </w:t>
        </w:r>
        <w:r w:rsidR="009C79EB" w:rsidRPr="00627F0B">
          <w:rPr>
            <w:sz w:val="20"/>
            <w:szCs w:val="20"/>
          </w:rPr>
          <w:fldChar w:fldCharType="begin"/>
        </w:r>
        <w:r w:rsidR="009C79EB" w:rsidRPr="00627F0B">
          <w:rPr>
            <w:sz w:val="20"/>
            <w:szCs w:val="20"/>
          </w:rPr>
          <w:instrText xml:space="preserve"> NUMPAGES  </w:instrText>
        </w:r>
        <w:r w:rsidR="009C79EB" w:rsidRPr="00627F0B">
          <w:rPr>
            <w:sz w:val="20"/>
            <w:szCs w:val="20"/>
          </w:rPr>
          <w:fldChar w:fldCharType="separate"/>
        </w:r>
        <w:r w:rsidR="009C79EB">
          <w:rPr>
            <w:sz w:val="20"/>
            <w:szCs w:val="20"/>
          </w:rPr>
          <w:t>3</w:t>
        </w:r>
        <w:r w:rsidR="009C79EB" w:rsidRPr="00627F0B">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B3BBF" w14:textId="77777777" w:rsidR="00764ABD" w:rsidRDefault="00764ABD" w:rsidP="009C79EB">
      <w:r>
        <w:separator/>
      </w:r>
    </w:p>
  </w:footnote>
  <w:footnote w:type="continuationSeparator" w:id="0">
    <w:p w14:paraId="2DBEF680" w14:textId="77777777" w:rsidR="00764ABD" w:rsidRDefault="00764ABD" w:rsidP="009C79EB">
      <w:r>
        <w:continuationSeparator/>
      </w:r>
    </w:p>
  </w:footnote>
  <w:footnote w:type="continuationNotice" w:id="1">
    <w:p w14:paraId="227DA2B3" w14:textId="77777777" w:rsidR="00764ABD" w:rsidRDefault="00764ABD"/>
  </w:footnote>
  <w:footnote w:id="2">
    <w:p w14:paraId="281A7E8A" w14:textId="77777777" w:rsidR="005943FE" w:rsidRDefault="005943FE" w:rsidP="005943FE">
      <w:r>
        <w:rPr>
          <w:rStyle w:val="FootnoteReference"/>
        </w:rPr>
        <w:footnoteRef/>
      </w:r>
      <w:r>
        <w:t xml:space="preserve"> Pre-filed testimony of Newsome, Hayet, Baron and Wellborn p. 77, lines 11-15</w:t>
      </w:r>
    </w:p>
    <w:p w14:paraId="1B754A61" w14:textId="77777777" w:rsidR="005943FE" w:rsidRDefault="005943FE" w:rsidP="005943FE">
      <w:pPr>
        <w:pStyle w:val="FootnoteText"/>
        <w:rPr>
          <w:rFonts w:ascii="Times New Roman" w:hAnsi="Times New Roman"/>
        </w:rPr>
      </w:pPr>
    </w:p>
  </w:footnote>
  <w:footnote w:id="3">
    <w:p w14:paraId="37B445BD" w14:textId="5AE6F3FF" w:rsidR="00425761" w:rsidRPr="005C27B3" w:rsidRDefault="00425761">
      <w:pPr>
        <w:pStyle w:val="FootnoteText"/>
        <w:rPr>
          <w:rFonts w:ascii="Times New Roman" w:hAnsi="Times New Roman"/>
        </w:rPr>
      </w:pPr>
      <w:r w:rsidRPr="005C27B3">
        <w:rPr>
          <w:rStyle w:val="FootnoteReference"/>
          <w:rFonts w:ascii="Times New Roman" w:hAnsi="Times New Roman"/>
        </w:rPr>
        <w:footnoteRef/>
      </w:r>
      <w:r w:rsidRPr="005C27B3">
        <w:rPr>
          <w:rFonts w:ascii="Times New Roman" w:hAnsi="Times New Roman"/>
        </w:rPr>
        <w:t xml:space="preserve"> </w:t>
      </w:r>
      <w:r w:rsidR="000B247A" w:rsidRPr="005C27B3">
        <w:rPr>
          <w:rFonts w:ascii="Times New Roman" w:hAnsi="Times New Roman"/>
        </w:rPr>
        <w:t>G</w:t>
      </w:r>
      <w:r w:rsidR="00695633" w:rsidRPr="005C27B3">
        <w:rPr>
          <w:rFonts w:ascii="Times New Roman" w:hAnsi="Times New Roman"/>
        </w:rPr>
        <w:t xml:space="preserve">eorgia Power </w:t>
      </w:r>
      <w:r w:rsidR="005B5132" w:rsidRPr="005C27B3">
        <w:rPr>
          <w:rFonts w:ascii="Times New Roman" w:hAnsi="Times New Roman"/>
        </w:rPr>
        <w:t xml:space="preserve">filed </w:t>
      </w:r>
      <w:r w:rsidR="004C3300" w:rsidRPr="005C27B3">
        <w:rPr>
          <w:rFonts w:ascii="Times New Roman" w:hAnsi="Times New Roman"/>
        </w:rPr>
        <w:t xml:space="preserve">revised </w:t>
      </w:r>
      <w:r w:rsidR="00736A7C" w:rsidRPr="005C27B3">
        <w:rPr>
          <w:rFonts w:ascii="Times New Roman" w:hAnsi="Times New Roman"/>
        </w:rPr>
        <w:t xml:space="preserve">final draft documents on </w:t>
      </w:r>
      <w:r w:rsidR="00250C8B" w:rsidRPr="005C27B3">
        <w:rPr>
          <w:rFonts w:ascii="Times New Roman" w:hAnsi="Times New Roman"/>
        </w:rPr>
        <w:t>June 6, 2024</w:t>
      </w:r>
      <w:r w:rsidR="00C320F6" w:rsidRPr="005C27B3">
        <w:rPr>
          <w:rFonts w:ascii="Times New Roman" w:hAnsi="Times New Roman"/>
        </w:rPr>
        <w:t xml:space="preserve">, but did not </w:t>
      </w:r>
      <w:r w:rsidR="00E3291F" w:rsidRPr="005C27B3">
        <w:rPr>
          <w:rFonts w:ascii="Times New Roman" w:hAnsi="Times New Roman"/>
        </w:rPr>
        <w:t>revise</w:t>
      </w:r>
      <w:r w:rsidR="000B357B" w:rsidRPr="005C27B3">
        <w:rPr>
          <w:rFonts w:ascii="Times New Roman" w:hAnsi="Times New Roman"/>
        </w:rPr>
        <w:t xml:space="preserve"> the CT and CC PPAs. </w:t>
      </w:r>
    </w:p>
  </w:footnote>
  <w:footnote w:id="4">
    <w:p w14:paraId="7FC1391A" w14:textId="77777777" w:rsidR="00B66771" w:rsidRDefault="00B66771" w:rsidP="00B66771">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u w:val="single"/>
        </w:rPr>
        <w:t>https://gpc2029-2031all-sourcerfp.accionpower.com/_gpc_2301/home.asp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9A80A0B" w14:paraId="3D54D112" w14:textId="77777777" w:rsidTr="446B5258">
      <w:trPr>
        <w:trHeight w:val="300"/>
      </w:trPr>
      <w:tc>
        <w:tcPr>
          <w:tcW w:w="3120" w:type="dxa"/>
        </w:tcPr>
        <w:p w14:paraId="471DA89D" w14:textId="575E565A" w:rsidR="29A80A0B" w:rsidRDefault="29A80A0B" w:rsidP="5CDD0834">
          <w:pPr>
            <w:pStyle w:val="Header"/>
            <w:ind w:left="-115"/>
          </w:pPr>
        </w:p>
      </w:tc>
      <w:tc>
        <w:tcPr>
          <w:tcW w:w="3120" w:type="dxa"/>
        </w:tcPr>
        <w:p w14:paraId="75BFF872" w14:textId="5F15C162" w:rsidR="29A80A0B" w:rsidRDefault="29A80A0B" w:rsidP="0826C97A">
          <w:pPr>
            <w:pStyle w:val="Header"/>
            <w:jc w:val="center"/>
          </w:pPr>
        </w:p>
      </w:tc>
      <w:tc>
        <w:tcPr>
          <w:tcW w:w="3120" w:type="dxa"/>
        </w:tcPr>
        <w:p w14:paraId="021F7454" w14:textId="0D857912" w:rsidR="29A80A0B" w:rsidRDefault="29A80A0B" w:rsidP="5FDAAC79">
          <w:pPr>
            <w:pStyle w:val="Header"/>
            <w:ind w:right="-115"/>
            <w:jc w:val="right"/>
          </w:pPr>
        </w:p>
      </w:tc>
    </w:tr>
  </w:tbl>
  <w:p w14:paraId="36AE1226" w14:textId="2E7D0962" w:rsidR="00EF59D5" w:rsidRDefault="00EF5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E7121"/>
    <w:multiLevelType w:val="hybridMultilevel"/>
    <w:tmpl w:val="8BF4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64492"/>
    <w:multiLevelType w:val="hybridMultilevel"/>
    <w:tmpl w:val="CE34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15666"/>
    <w:multiLevelType w:val="hybridMultilevel"/>
    <w:tmpl w:val="C4300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E186932"/>
    <w:multiLevelType w:val="hybridMultilevel"/>
    <w:tmpl w:val="05C2240A"/>
    <w:lvl w:ilvl="0" w:tplc="FC6C6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633834"/>
    <w:multiLevelType w:val="hybridMultilevel"/>
    <w:tmpl w:val="0DC82626"/>
    <w:lvl w:ilvl="0" w:tplc="950A4F2E">
      <w:start w:val="18"/>
      <w:numFmt w:val="decimal"/>
      <w:lvlText w:val="%1."/>
      <w:lvlJc w:val="left"/>
      <w:pPr>
        <w:ind w:left="720" w:hanging="360"/>
      </w:pPr>
      <w:rPr>
        <w:rFonts w:ascii="Times New Roman" w:hAnsi="Times New Roman" w:cs="Times New Roman" w:hint="default"/>
      </w:rPr>
    </w:lvl>
    <w:lvl w:ilvl="1" w:tplc="3604CA40">
      <w:start w:val="1"/>
      <w:numFmt w:val="lowerLetter"/>
      <w:lvlText w:val="%2."/>
      <w:lvlJc w:val="left"/>
      <w:pPr>
        <w:ind w:left="1440" w:hanging="360"/>
      </w:pPr>
    </w:lvl>
    <w:lvl w:ilvl="2" w:tplc="73783D70">
      <w:start w:val="1"/>
      <w:numFmt w:val="lowerRoman"/>
      <w:lvlText w:val="%3."/>
      <w:lvlJc w:val="right"/>
      <w:pPr>
        <w:ind w:left="2160" w:hanging="180"/>
      </w:pPr>
    </w:lvl>
    <w:lvl w:ilvl="3" w:tplc="4D3ED88E">
      <w:start w:val="1"/>
      <w:numFmt w:val="decimal"/>
      <w:lvlText w:val="%4."/>
      <w:lvlJc w:val="left"/>
      <w:pPr>
        <w:ind w:left="2880" w:hanging="360"/>
      </w:pPr>
    </w:lvl>
    <w:lvl w:ilvl="4" w:tplc="5044D72A">
      <w:start w:val="1"/>
      <w:numFmt w:val="lowerLetter"/>
      <w:lvlText w:val="%5."/>
      <w:lvlJc w:val="left"/>
      <w:pPr>
        <w:ind w:left="3600" w:hanging="360"/>
      </w:pPr>
    </w:lvl>
    <w:lvl w:ilvl="5" w:tplc="F314DB2A">
      <w:start w:val="1"/>
      <w:numFmt w:val="lowerRoman"/>
      <w:lvlText w:val="%6."/>
      <w:lvlJc w:val="right"/>
      <w:pPr>
        <w:ind w:left="4320" w:hanging="180"/>
      </w:pPr>
    </w:lvl>
    <w:lvl w:ilvl="6" w:tplc="87DEE19E">
      <w:start w:val="1"/>
      <w:numFmt w:val="decimal"/>
      <w:lvlText w:val="%7."/>
      <w:lvlJc w:val="left"/>
      <w:pPr>
        <w:ind w:left="5040" w:hanging="360"/>
      </w:pPr>
    </w:lvl>
    <w:lvl w:ilvl="7" w:tplc="ECEA6FA6">
      <w:start w:val="1"/>
      <w:numFmt w:val="lowerLetter"/>
      <w:lvlText w:val="%8."/>
      <w:lvlJc w:val="left"/>
      <w:pPr>
        <w:ind w:left="5760" w:hanging="360"/>
      </w:pPr>
    </w:lvl>
    <w:lvl w:ilvl="8" w:tplc="CFF0B11E">
      <w:start w:val="1"/>
      <w:numFmt w:val="lowerRoman"/>
      <w:lvlText w:val="%9."/>
      <w:lvlJc w:val="right"/>
      <w:pPr>
        <w:ind w:left="6480" w:hanging="180"/>
      </w:pPr>
    </w:lvl>
  </w:abstractNum>
  <w:num w:numId="1" w16cid:durableId="1888377376">
    <w:abstractNumId w:val="2"/>
  </w:num>
  <w:num w:numId="2" w16cid:durableId="955524695">
    <w:abstractNumId w:val="4"/>
  </w:num>
  <w:num w:numId="3" w16cid:durableId="2003854981">
    <w:abstractNumId w:val="3"/>
  </w:num>
  <w:num w:numId="4" w16cid:durableId="1338459163">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4272446">
    <w:abstractNumId w:val="0"/>
  </w:num>
  <w:num w:numId="6" w16cid:durableId="224024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removePersonalInformation/>
  <w:removeDateAndTim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0797D"/>
    <w:rsid w:val="000112CB"/>
    <w:rsid w:val="000126AE"/>
    <w:rsid w:val="0002665B"/>
    <w:rsid w:val="00027573"/>
    <w:rsid w:val="000317D8"/>
    <w:rsid w:val="00052D7F"/>
    <w:rsid w:val="0005442F"/>
    <w:rsid w:val="00060139"/>
    <w:rsid w:val="00060C22"/>
    <w:rsid w:val="0006325A"/>
    <w:rsid w:val="00076FF4"/>
    <w:rsid w:val="00080DD0"/>
    <w:rsid w:val="00081D83"/>
    <w:rsid w:val="000864D9"/>
    <w:rsid w:val="000973F8"/>
    <w:rsid w:val="000A4914"/>
    <w:rsid w:val="000B05BB"/>
    <w:rsid w:val="000B247A"/>
    <w:rsid w:val="000B357B"/>
    <w:rsid w:val="000C2008"/>
    <w:rsid w:val="000C589F"/>
    <w:rsid w:val="000D25CC"/>
    <w:rsid w:val="000D5531"/>
    <w:rsid w:val="000D570B"/>
    <w:rsid w:val="000E2BE7"/>
    <w:rsid w:val="000E38FE"/>
    <w:rsid w:val="000F782C"/>
    <w:rsid w:val="001013B2"/>
    <w:rsid w:val="001038CD"/>
    <w:rsid w:val="001050F4"/>
    <w:rsid w:val="0010753E"/>
    <w:rsid w:val="001078BC"/>
    <w:rsid w:val="00110869"/>
    <w:rsid w:val="0011770D"/>
    <w:rsid w:val="00127F30"/>
    <w:rsid w:val="00143A97"/>
    <w:rsid w:val="001453A6"/>
    <w:rsid w:val="00153895"/>
    <w:rsid w:val="0016487B"/>
    <w:rsid w:val="001674CD"/>
    <w:rsid w:val="001704C0"/>
    <w:rsid w:val="00171CD8"/>
    <w:rsid w:val="00182196"/>
    <w:rsid w:val="00187341"/>
    <w:rsid w:val="0018785B"/>
    <w:rsid w:val="0019256C"/>
    <w:rsid w:val="0019466A"/>
    <w:rsid w:val="001B2917"/>
    <w:rsid w:val="001B6528"/>
    <w:rsid w:val="001C1775"/>
    <w:rsid w:val="001C4F42"/>
    <w:rsid w:val="001C6A33"/>
    <w:rsid w:val="001D0747"/>
    <w:rsid w:val="001D2F24"/>
    <w:rsid w:val="001D4635"/>
    <w:rsid w:val="001D7CAA"/>
    <w:rsid w:val="001F00F3"/>
    <w:rsid w:val="001F3B99"/>
    <w:rsid w:val="001F3C71"/>
    <w:rsid w:val="001F405F"/>
    <w:rsid w:val="00204AB5"/>
    <w:rsid w:val="0021009A"/>
    <w:rsid w:val="00213553"/>
    <w:rsid w:val="00217D99"/>
    <w:rsid w:val="00230502"/>
    <w:rsid w:val="00237B30"/>
    <w:rsid w:val="0024399F"/>
    <w:rsid w:val="0025092E"/>
    <w:rsid w:val="00250C8B"/>
    <w:rsid w:val="00251B3E"/>
    <w:rsid w:val="0025581F"/>
    <w:rsid w:val="0025620E"/>
    <w:rsid w:val="002670F1"/>
    <w:rsid w:val="00270459"/>
    <w:rsid w:val="00274C17"/>
    <w:rsid w:val="00276BA5"/>
    <w:rsid w:val="00276FB2"/>
    <w:rsid w:val="00277173"/>
    <w:rsid w:val="002801DC"/>
    <w:rsid w:val="00282F68"/>
    <w:rsid w:val="00291C03"/>
    <w:rsid w:val="002A3D95"/>
    <w:rsid w:val="002A61FE"/>
    <w:rsid w:val="002A7AF0"/>
    <w:rsid w:val="002B2DD0"/>
    <w:rsid w:val="002B4EE3"/>
    <w:rsid w:val="002B5184"/>
    <w:rsid w:val="002C6DD1"/>
    <w:rsid w:val="002C7576"/>
    <w:rsid w:val="002D3841"/>
    <w:rsid w:val="002E1AB5"/>
    <w:rsid w:val="002F1460"/>
    <w:rsid w:val="002F7209"/>
    <w:rsid w:val="00303A42"/>
    <w:rsid w:val="003147B7"/>
    <w:rsid w:val="003151EB"/>
    <w:rsid w:val="003250F8"/>
    <w:rsid w:val="00334F65"/>
    <w:rsid w:val="00335DC9"/>
    <w:rsid w:val="003407B1"/>
    <w:rsid w:val="00342E96"/>
    <w:rsid w:val="003528D7"/>
    <w:rsid w:val="003542B6"/>
    <w:rsid w:val="00355233"/>
    <w:rsid w:val="00355A58"/>
    <w:rsid w:val="0035616F"/>
    <w:rsid w:val="00366EAA"/>
    <w:rsid w:val="00367B60"/>
    <w:rsid w:val="00370D32"/>
    <w:rsid w:val="00371B31"/>
    <w:rsid w:val="00376987"/>
    <w:rsid w:val="00390257"/>
    <w:rsid w:val="00390A23"/>
    <w:rsid w:val="00393266"/>
    <w:rsid w:val="0039653D"/>
    <w:rsid w:val="003A0D04"/>
    <w:rsid w:val="003A16C2"/>
    <w:rsid w:val="003A3AEA"/>
    <w:rsid w:val="003B1182"/>
    <w:rsid w:val="003B152C"/>
    <w:rsid w:val="003C0DA1"/>
    <w:rsid w:val="003C2C77"/>
    <w:rsid w:val="003D1F3A"/>
    <w:rsid w:val="003D3361"/>
    <w:rsid w:val="003D5C12"/>
    <w:rsid w:val="003E13F9"/>
    <w:rsid w:val="003E7829"/>
    <w:rsid w:val="003F0BB0"/>
    <w:rsid w:val="003F2763"/>
    <w:rsid w:val="003F35C2"/>
    <w:rsid w:val="00400050"/>
    <w:rsid w:val="00401B70"/>
    <w:rsid w:val="00404A66"/>
    <w:rsid w:val="00411ACB"/>
    <w:rsid w:val="00423026"/>
    <w:rsid w:val="004235A5"/>
    <w:rsid w:val="00425761"/>
    <w:rsid w:val="00426FB3"/>
    <w:rsid w:val="00430F2D"/>
    <w:rsid w:val="0043349B"/>
    <w:rsid w:val="00435834"/>
    <w:rsid w:val="00435D12"/>
    <w:rsid w:val="00441610"/>
    <w:rsid w:val="00444814"/>
    <w:rsid w:val="004537C1"/>
    <w:rsid w:val="004649F1"/>
    <w:rsid w:val="00467B71"/>
    <w:rsid w:val="00474D4E"/>
    <w:rsid w:val="00475564"/>
    <w:rsid w:val="004764BE"/>
    <w:rsid w:val="00476AA2"/>
    <w:rsid w:val="00482654"/>
    <w:rsid w:val="00483104"/>
    <w:rsid w:val="0048564B"/>
    <w:rsid w:val="00487DF6"/>
    <w:rsid w:val="00494A05"/>
    <w:rsid w:val="0049740B"/>
    <w:rsid w:val="004A1829"/>
    <w:rsid w:val="004B4863"/>
    <w:rsid w:val="004C3300"/>
    <w:rsid w:val="004C622C"/>
    <w:rsid w:val="004D026E"/>
    <w:rsid w:val="004D511B"/>
    <w:rsid w:val="004D581C"/>
    <w:rsid w:val="004D75CE"/>
    <w:rsid w:val="004D7BC6"/>
    <w:rsid w:val="004E37A1"/>
    <w:rsid w:val="004E4852"/>
    <w:rsid w:val="004F1EFB"/>
    <w:rsid w:val="004F3500"/>
    <w:rsid w:val="004F453B"/>
    <w:rsid w:val="004F6ABB"/>
    <w:rsid w:val="0050072A"/>
    <w:rsid w:val="00500AFB"/>
    <w:rsid w:val="005012F0"/>
    <w:rsid w:val="00502DFC"/>
    <w:rsid w:val="005039A2"/>
    <w:rsid w:val="005137C7"/>
    <w:rsid w:val="00513AD2"/>
    <w:rsid w:val="005152C8"/>
    <w:rsid w:val="00517EE4"/>
    <w:rsid w:val="00521687"/>
    <w:rsid w:val="0052187C"/>
    <w:rsid w:val="00521FEE"/>
    <w:rsid w:val="00532CBF"/>
    <w:rsid w:val="00536EFF"/>
    <w:rsid w:val="0054303A"/>
    <w:rsid w:val="00547321"/>
    <w:rsid w:val="005529E4"/>
    <w:rsid w:val="00566F85"/>
    <w:rsid w:val="00567C68"/>
    <w:rsid w:val="0057750F"/>
    <w:rsid w:val="00580132"/>
    <w:rsid w:val="00580AB4"/>
    <w:rsid w:val="0058394D"/>
    <w:rsid w:val="0058652E"/>
    <w:rsid w:val="00586BCB"/>
    <w:rsid w:val="005912C1"/>
    <w:rsid w:val="005943FE"/>
    <w:rsid w:val="005977F7"/>
    <w:rsid w:val="005A4638"/>
    <w:rsid w:val="005B334B"/>
    <w:rsid w:val="005B39AF"/>
    <w:rsid w:val="005B5132"/>
    <w:rsid w:val="005B52CC"/>
    <w:rsid w:val="005C1659"/>
    <w:rsid w:val="005C27B3"/>
    <w:rsid w:val="005D34B5"/>
    <w:rsid w:val="005D364B"/>
    <w:rsid w:val="005D523A"/>
    <w:rsid w:val="005D7E45"/>
    <w:rsid w:val="005F2927"/>
    <w:rsid w:val="005F7054"/>
    <w:rsid w:val="006027D5"/>
    <w:rsid w:val="00605ACA"/>
    <w:rsid w:val="00610572"/>
    <w:rsid w:val="0061089E"/>
    <w:rsid w:val="00611A1D"/>
    <w:rsid w:val="0061377A"/>
    <w:rsid w:val="006164D6"/>
    <w:rsid w:val="00632439"/>
    <w:rsid w:val="00632AAB"/>
    <w:rsid w:val="0064400B"/>
    <w:rsid w:val="006465C2"/>
    <w:rsid w:val="00647579"/>
    <w:rsid w:val="00647B1C"/>
    <w:rsid w:val="00651C41"/>
    <w:rsid w:val="006571DB"/>
    <w:rsid w:val="006611FF"/>
    <w:rsid w:val="0066212E"/>
    <w:rsid w:val="006632C9"/>
    <w:rsid w:val="00670AF6"/>
    <w:rsid w:val="00673507"/>
    <w:rsid w:val="00673564"/>
    <w:rsid w:val="0067521E"/>
    <w:rsid w:val="00676292"/>
    <w:rsid w:val="006825E2"/>
    <w:rsid w:val="006862E4"/>
    <w:rsid w:val="006952CD"/>
    <w:rsid w:val="00695633"/>
    <w:rsid w:val="00696518"/>
    <w:rsid w:val="006A3481"/>
    <w:rsid w:val="006A4488"/>
    <w:rsid w:val="006A4919"/>
    <w:rsid w:val="006A5FC2"/>
    <w:rsid w:val="006A769C"/>
    <w:rsid w:val="006B07A7"/>
    <w:rsid w:val="006B4E1B"/>
    <w:rsid w:val="006B5F1B"/>
    <w:rsid w:val="006B716D"/>
    <w:rsid w:val="006C00B8"/>
    <w:rsid w:val="006C25B2"/>
    <w:rsid w:val="006C51BA"/>
    <w:rsid w:val="006D29A1"/>
    <w:rsid w:val="006D3EAD"/>
    <w:rsid w:val="006D6992"/>
    <w:rsid w:val="006E65D8"/>
    <w:rsid w:val="006E7A0B"/>
    <w:rsid w:val="006F270E"/>
    <w:rsid w:val="006F581D"/>
    <w:rsid w:val="00704699"/>
    <w:rsid w:val="007070F0"/>
    <w:rsid w:val="007105CC"/>
    <w:rsid w:val="0072141E"/>
    <w:rsid w:val="00732150"/>
    <w:rsid w:val="00736A7C"/>
    <w:rsid w:val="007501F0"/>
    <w:rsid w:val="00751606"/>
    <w:rsid w:val="007578E1"/>
    <w:rsid w:val="007579BF"/>
    <w:rsid w:val="00761035"/>
    <w:rsid w:val="00761BD3"/>
    <w:rsid w:val="00764ABD"/>
    <w:rsid w:val="007651E7"/>
    <w:rsid w:val="00781C81"/>
    <w:rsid w:val="007832C6"/>
    <w:rsid w:val="0078694D"/>
    <w:rsid w:val="00790EA8"/>
    <w:rsid w:val="00792C7B"/>
    <w:rsid w:val="007A08C7"/>
    <w:rsid w:val="007B57BC"/>
    <w:rsid w:val="007C0A92"/>
    <w:rsid w:val="007C0CD4"/>
    <w:rsid w:val="007C40EE"/>
    <w:rsid w:val="007D115C"/>
    <w:rsid w:val="007D1A4F"/>
    <w:rsid w:val="007E5BC8"/>
    <w:rsid w:val="007E6AD8"/>
    <w:rsid w:val="007F2B55"/>
    <w:rsid w:val="00801C6A"/>
    <w:rsid w:val="00810B63"/>
    <w:rsid w:val="00814822"/>
    <w:rsid w:val="00821E82"/>
    <w:rsid w:val="00831899"/>
    <w:rsid w:val="00831D0D"/>
    <w:rsid w:val="0083390C"/>
    <w:rsid w:val="008366FC"/>
    <w:rsid w:val="00867E71"/>
    <w:rsid w:val="00870D76"/>
    <w:rsid w:val="00886025"/>
    <w:rsid w:val="00886BED"/>
    <w:rsid w:val="008873F1"/>
    <w:rsid w:val="00897E9B"/>
    <w:rsid w:val="008A2D71"/>
    <w:rsid w:val="008A7640"/>
    <w:rsid w:val="008B78A4"/>
    <w:rsid w:val="008C685E"/>
    <w:rsid w:val="008C7184"/>
    <w:rsid w:val="008D1780"/>
    <w:rsid w:val="008E656A"/>
    <w:rsid w:val="008E69A6"/>
    <w:rsid w:val="008F0D9A"/>
    <w:rsid w:val="008F38EF"/>
    <w:rsid w:val="008F3F13"/>
    <w:rsid w:val="008F5CEE"/>
    <w:rsid w:val="009012B5"/>
    <w:rsid w:val="009017B8"/>
    <w:rsid w:val="0090272C"/>
    <w:rsid w:val="0090319A"/>
    <w:rsid w:val="00913CE2"/>
    <w:rsid w:val="00914913"/>
    <w:rsid w:val="00915570"/>
    <w:rsid w:val="0092293D"/>
    <w:rsid w:val="00922E66"/>
    <w:rsid w:val="00923B3D"/>
    <w:rsid w:val="0092781F"/>
    <w:rsid w:val="00932033"/>
    <w:rsid w:val="00932D5D"/>
    <w:rsid w:val="009368C6"/>
    <w:rsid w:val="00937C69"/>
    <w:rsid w:val="00945A5F"/>
    <w:rsid w:val="00956305"/>
    <w:rsid w:val="009572C5"/>
    <w:rsid w:val="00962211"/>
    <w:rsid w:val="009744AF"/>
    <w:rsid w:val="00976375"/>
    <w:rsid w:val="009767A6"/>
    <w:rsid w:val="0097707F"/>
    <w:rsid w:val="0097787A"/>
    <w:rsid w:val="00982125"/>
    <w:rsid w:val="00994AB6"/>
    <w:rsid w:val="009973CB"/>
    <w:rsid w:val="009A263F"/>
    <w:rsid w:val="009A3A3B"/>
    <w:rsid w:val="009A4D99"/>
    <w:rsid w:val="009A6D98"/>
    <w:rsid w:val="009B3549"/>
    <w:rsid w:val="009C0C7C"/>
    <w:rsid w:val="009C3333"/>
    <w:rsid w:val="009C4F54"/>
    <w:rsid w:val="009C6241"/>
    <w:rsid w:val="009C79EB"/>
    <w:rsid w:val="009E04D6"/>
    <w:rsid w:val="009E33D5"/>
    <w:rsid w:val="009E4476"/>
    <w:rsid w:val="009E64E2"/>
    <w:rsid w:val="009E6D0D"/>
    <w:rsid w:val="009F167E"/>
    <w:rsid w:val="00A03616"/>
    <w:rsid w:val="00A06574"/>
    <w:rsid w:val="00A07139"/>
    <w:rsid w:val="00A12FDD"/>
    <w:rsid w:val="00A17ABA"/>
    <w:rsid w:val="00A32446"/>
    <w:rsid w:val="00A51178"/>
    <w:rsid w:val="00A512A3"/>
    <w:rsid w:val="00A623AB"/>
    <w:rsid w:val="00A6445E"/>
    <w:rsid w:val="00A72BAC"/>
    <w:rsid w:val="00A84EA3"/>
    <w:rsid w:val="00A8721D"/>
    <w:rsid w:val="00A91101"/>
    <w:rsid w:val="00A954D7"/>
    <w:rsid w:val="00A958CB"/>
    <w:rsid w:val="00AA0A23"/>
    <w:rsid w:val="00AA1663"/>
    <w:rsid w:val="00AA3447"/>
    <w:rsid w:val="00AD5B26"/>
    <w:rsid w:val="00AE237C"/>
    <w:rsid w:val="00AF4F85"/>
    <w:rsid w:val="00AF7496"/>
    <w:rsid w:val="00B11BEB"/>
    <w:rsid w:val="00B144EE"/>
    <w:rsid w:val="00B20CD1"/>
    <w:rsid w:val="00B22ADF"/>
    <w:rsid w:val="00B23F25"/>
    <w:rsid w:val="00B2487F"/>
    <w:rsid w:val="00B24C97"/>
    <w:rsid w:val="00B47516"/>
    <w:rsid w:val="00B50AAC"/>
    <w:rsid w:val="00B532B3"/>
    <w:rsid w:val="00B62BD7"/>
    <w:rsid w:val="00B66771"/>
    <w:rsid w:val="00B7607A"/>
    <w:rsid w:val="00B76E6E"/>
    <w:rsid w:val="00B817BB"/>
    <w:rsid w:val="00B867B6"/>
    <w:rsid w:val="00B92582"/>
    <w:rsid w:val="00B94544"/>
    <w:rsid w:val="00B963D9"/>
    <w:rsid w:val="00BA2A06"/>
    <w:rsid w:val="00BA5565"/>
    <w:rsid w:val="00BC27C0"/>
    <w:rsid w:val="00BC69D1"/>
    <w:rsid w:val="00BC7152"/>
    <w:rsid w:val="00BD163F"/>
    <w:rsid w:val="00BD2713"/>
    <w:rsid w:val="00BD2F2B"/>
    <w:rsid w:val="00BD3418"/>
    <w:rsid w:val="00BD5E6E"/>
    <w:rsid w:val="00BE0348"/>
    <w:rsid w:val="00BF0E64"/>
    <w:rsid w:val="00BF36C5"/>
    <w:rsid w:val="00BF5590"/>
    <w:rsid w:val="00BF698B"/>
    <w:rsid w:val="00C12600"/>
    <w:rsid w:val="00C17322"/>
    <w:rsid w:val="00C23971"/>
    <w:rsid w:val="00C25E57"/>
    <w:rsid w:val="00C30561"/>
    <w:rsid w:val="00C3089D"/>
    <w:rsid w:val="00C320F6"/>
    <w:rsid w:val="00C36999"/>
    <w:rsid w:val="00C36BA0"/>
    <w:rsid w:val="00C37696"/>
    <w:rsid w:val="00C41257"/>
    <w:rsid w:val="00C4245B"/>
    <w:rsid w:val="00C5031B"/>
    <w:rsid w:val="00C569B3"/>
    <w:rsid w:val="00C60910"/>
    <w:rsid w:val="00C6215F"/>
    <w:rsid w:val="00C678C7"/>
    <w:rsid w:val="00C73128"/>
    <w:rsid w:val="00C76D89"/>
    <w:rsid w:val="00C8661A"/>
    <w:rsid w:val="00C871FB"/>
    <w:rsid w:val="00C913E9"/>
    <w:rsid w:val="00C938AD"/>
    <w:rsid w:val="00CB5DBA"/>
    <w:rsid w:val="00CC135C"/>
    <w:rsid w:val="00CD513B"/>
    <w:rsid w:val="00CE0312"/>
    <w:rsid w:val="00CE0BAB"/>
    <w:rsid w:val="00CE7962"/>
    <w:rsid w:val="00CF5C90"/>
    <w:rsid w:val="00CF6288"/>
    <w:rsid w:val="00D00267"/>
    <w:rsid w:val="00D15C27"/>
    <w:rsid w:val="00D25FD2"/>
    <w:rsid w:val="00D27E1E"/>
    <w:rsid w:val="00D36284"/>
    <w:rsid w:val="00D43AE0"/>
    <w:rsid w:val="00D52AFB"/>
    <w:rsid w:val="00D53A40"/>
    <w:rsid w:val="00D61448"/>
    <w:rsid w:val="00D872A8"/>
    <w:rsid w:val="00DB34CB"/>
    <w:rsid w:val="00DB3B7D"/>
    <w:rsid w:val="00DB41D6"/>
    <w:rsid w:val="00DB4AA2"/>
    <w:rsid w:val="00DB7DD8"/>
    <w:rsid w:val="00DC3521"/>
    <w:rsid w:val="00DC7E18"/>
    <w:rsid w:val="00DD47C3"/>
    <w:rsid w:val="00DE2202"/>
    <w:rsid w:val="00DE40A2"/>
    <w:rsid w:val="00DF2A0A"/>
    <w:rsid w:val="00DF2C9C"/>
    <w:rsid w:val="00DF77FD"/>
    <w:rsid w:val="00E071A4"/>
    <w:rsid w:val="00E112AD"/>
    <w:rsid w:val="00E11B4E"/>
    <w:rsid w:val="00E15CD8"/>
    <w:rsid w:val="00E3291F"/>
    <w:rsid w:val="00E35780"/>
    <w:rsid w:val="00E37B0C"/>
    <w:rsid w:val="00E45F46"/>
    <w:rsid w:val="00E52BFA"/>
    <w:rsid w:val="00E56DC0"/>
    <w:rsid w:val="00E63433"/>
    <w:rsid w:val="00E70BB2"/>
    <w:rsid w:val="00E76382"/>
    <w:rsid w:val="00E847D4"/>
    <w:rsid w:val="00E87C44"/>
    <w:rsid w:val="00E90AFB"/>
    <w:rsid w:val="00E92FA4"/>
    <w:rsid w:val="00EA3ED8"/>
    <w:rsid w:val="00EA54EC"/>
    <w:rsid w:val="00EC300E"/>
    <w:rsid w:val="00EC69C7"/>
    <w:rsid w:val="00ED2258"/>
    <w:rsid w:val="00ED4557"/>
    <w:rsid w:val="00EF59D5"/>
    <w:rsid w:val="00F1288E"/>
    <w:rsid w:val="00F12A35"/>
    <w:rsid w:val="00F16ADB"/>
    <w:rsid w:val="00F2192D"/>
    <w:rsid w:val="00F30FDC"/>
    <w:rsid w:val="00F554E0"/>
    <w:rsid w:val="00F578F4"/>
    <w:rsid w:val="00F64E96"/>
    <w:rsid w:val="00F721DF"/>
    <w:rsid w:val="00F92674"/>
    <w:rsid w:val="00F92CDA"/>
    <w:rsid w:val="00FA0F1B"/>
    <w:rsid w:val="00FA67E7"/>
    <w:rsid w:val="00FC2CA0"/>
    <w:rsid w:val="00FD32CA"/>
    <w:rsid w:val="00FD48F2"/>
    <w:rsid w:val="00FD7D77"/>
    <w:rsid w:val="00FE5F9E"/>
    <w:rsid w:val="00FF1696"/>
    <w:rsid w:val="00FF1F22"/>
    <w:rsid w:val="01A99D37"/>
    <w:rsid w:val="0348694F"/>
    <w:rsid w:val="04CF4606"/>
    <w:rsid w:val="064F02CB"/>
    <w:rsid w:val="07B7D128"/>
    <w:rsid w:val="0814B384"/>
    <w:rsid w:val="0826C97A"/>
    <w:rsid w:val="0A3C09AC"/>
    <w:rsid w:val="0A822904"/>
    <w:rsid w:val="0A961C05"/>
    <w:rsid w:val="0D1712ED"/>
    <w:rsid w:val="0D989FE9"/>
    <w:rsid w:val="0E0384B8"/>
    <w:rsid w:val="1119235B"/>
    <w:rsid w:val="11549AE3"/>
    <w:rsid w:val="14EA1A58"/>
    <w:rsid w:val="174E1E7C"/>
    <w:rsid w:val="17AA4C02"/>
    <w:rsid w:val="180C9CF0"/>
    <w:rsid w:val="1C3831A6"/>
    <w:rsid w:val="1D508DCC"/>
    <w:rsid w:val="2095ADEC"/>
    <w:rsid w:val="23ECAD71"/>
    <w:rsid w:val="25269B42"/>
    <w:rsid w:val="252ACFD8"/>
    <w:rsid w:val="26B9E0E4"/>
    <w:rsid w:val="26D86C74"/>
    <w:rsid w:val="2917511F"/>
    <w:rsid w:val="29A80A0B"/>
    <w:rsid w:val="2C432C45"/>
    <w:rsid w:val="2DE8320C"/>
    <w:rsid w:val="2E275A8B"/>
    <w:rsid w:val="2F19C8B1"/>
    <w:rsid w:val="309BAB7F"/>
    <w:rsid w:val="30D3F11A"/>
    <w:rsid w:val="31310172"/>
    <w:rsid w:val="32788DB0"/>
    <w:rsid w:val="32F2819C"/>
    <w:rsid w:val="3308BC6C"/>
    <w:rsid w:val="334C8179"/>
    <w:rsid w:val="346B3941"/>
    <w:rsid w:val="3688E725"/>
    <w:rsid w:val="36EB628E"/>
    <w:rsid w:val="37085B57"/>
    <w:rsid w:val="37D2FA72"/>
    <w:rsid w:val="387459BA"/>
    <w:rsid w:val="38E9289C"/>
    <w:rsid w:val="39F6488A"/>
    <w:rsid w:val="3C257933"/>
    <w:rsid w:val="3DF26888"/>
    <w:rsid w:val="41BE92E5"/>
    <w:rsid w:val="41F5DF22"/>
    <w:rsid w:val="440CB935"/>
    <w:rsid w:val="446B5258"/>
    <w:rsid w:val="47E3AF6C"/>
    <w:rsid w:val="48E15688"/>
    <w:rsid w:val="4A5E7DE3"/>
    <w:rsid w:val="4CA9363B"/>
    <w:rsid w:val="4CAD92E9"/>
    <w:rsid w:val="4D90F05D"/>
    <w:rsid w:val="4E570C88"/>
    <w:rsid w:val="507CFDFA"/>
    <w:rsid w:val="514AB99C"/>
    <w:rsid w:val="51A7A46D"/>
    <w:rsid w:val="51B42376"/>
    <w:rsid w:val="528773B1"/>
    <w:rsid w:val="529067B7"/>
    <w:rsid w:val="549DEBA7"/>
    <w:rsid w:val="5694AB02"/>
    <w:rsid w:val="5B6C8604"/>
    <w:rsid w:val="5CDD0834"/>
    <w:rsid w:val="5FDAAC79"/>
    <w:rsid w:val="61E7D5EC"/>
    <w:rsid w:val="66C70FAC"/>
    <w:rsid w:val="67BDB375"/>
    <w:rsid w:val="6878C31A"/>
    <w:rsid w:val="68DB2949"/>
    <w:rsid w:val="71645FAA"/>
    <w:rsid w:val="7166E578"/>
    <w:rsid w:val="7503B987"/>
    <w:rsid w:val="755C5B29"/>
    <w:rsid w:val="77DC274A"/>
    <w:rsid w:val="78C8BF48"/>
    <w:rsid w:val="7987E16C"/>
    <w:rsid w:val="7BEA91C0"/>
    <w:rsid w:val="7F72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1FBC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79EB"/>
    <w:pPr>
      <w:tabs>
        <w:tab w:val="center" w:pos="4680"/>
        <w:tab w:val="right" w:pos="9360"/>
      </w:tabs>
    </w:pPr>
  </w:style>
  <w:style w:type="character" w:customStyle="1" w:styleId="HeaderChar">
    <w:name w:val="Header Char"/>
    <w:basedOn w:val="DefaultParagraphFont"/>
    <w:link w:val="Header"/>
    <w:uiPriority w:val="99"/>
    <w:rsid w:val="009C79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79EB"/>
    <w:pPr>
      <w:tabs>
        <w:tab w:val="center" w:pos="4680"/>
        <w:tab w:val="right" w:pos="9360"/>
      </w:tabs>
    </w:pPr>
  </w:style>
  <w:style w:type="character" w:customStyle="1" w:styleId="FooterChar">
    <w:name w:val="Footer Char"/>
    <w:basedOn w:val="DefaultParagraphFont"/>
    <w:link w:val="Footer"/>
    <w:uiPriority w:val="99"/>
    <w:rsid w:val="009C79EB"/>
    <w:rPr>
      <w:rFonts w:ascii="Times New Roman" w:eastAsia="Times New Roman" w:hAnsi="Times New Roman" w:cs="Times New Roman"/>
      <w:sz w:val="24"/>
      <w:szCs w:val="24"/>
    </w:rPr>
  </w:style>
  <w:style w:type="paragraph" w:styleId="Subtitle">
    <w:name w:val="Subtitle"/>
    <w:basedOn w:val="Normal"/>
    <w:link w:val="SubtitleChar"/>
    <w:qFormat/>
    <w:rsid w:val="008F3F13"/>
    <w:pPr>
      <w:ind w:left="1260" w:hanging="1260"/>
    </w:pPr>
    <w:rPr>
      <w:rFonts w:ascii="Cambria" w:hAnsi="Cambria"/>
    </w:rPr>
  </w:style>
  <w:style w:type="character" w:customStyle="1" w:styleId="SubtitleChar">
    <w:name w:val="Subtitle Char"/>
    <w:basedOn w:val="DefaultParagraphFont"/>
    <w:link w:val="Subtitle"/>
    <w:rsid w:val="008F3F13"/>
    <w:rPr>
      <w:rFonts w:ascii="Cambria" w:eastAsia="Times New Roman" w:hAnsi="Cambria" w:cs="Times New Roman"/>
      <w:sz w:val="24"/>
      <w:szCs w:val="24"/>
    </w:rPr>
  </w:style>
  <w:style w:type="character" w:styleId="CommentReference">
    <w:name w:val="annotation reference"/>
    <w:basedOn w:val="DefaultParagraphFont"/>
    <w:uiPriority w:val="99"/>
    <w:semiHidden/>
    <w:unhideWhenUsed/>
    <w:rsid w:val="00B23F25"/>
    <w:rPr>
      <w:sz w:val="16"/>
      <w:szCs w:val="16"/>
    </w:rPr>
  </w:style>
  <w:style w:type="paragraph" w:styleId="CommentText">
    <w:name w:val="annotation text"/>
    <w:basedOn w:val="Normal"/>
    <w:link w:val="CommentTextChar"/>
    <w:uiPriority w:val="99"/>
    <w:unhideWhenUsed/>
    <w:rsid w:val="00B23F25"/>
    <w:rPr>
      <w:sz w:val="20"/>
      <w:szCs w:val="20"/>
    </w:rPr>
  </w:style>
  <w:style w:type="character" w:customStyle="1" w:styleId="CommentTextChar">
    <w:name w:val="Comment Text Char"/>
    <w:basedOn w:val="DefaultParagraphFont"/>
    <w:link w:val="CommentText"/>
    <w:uiPriority w:val="99"/>
    <w:rsid w:val="00B23F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3F25"/>
    <w:rPr>
      <w:b/>
      <w:bCs/>
    </w:rPr>
  </w:style>
  <w:style w:type="character" w:customStyle="1" w:styleId="CommentSubjectChar">
    <w:name w:val="Comment Subject Char"/>
    <w:basedOn w:val="CommentTextChar"/>
    <w:link w:val="CommentSubject"/>
    <w:uiPriority w:val="99"/>
    <w:semiHidden/>
    <w:rsid w:val="00B23F25"/>
    <w:rPr>
      <w:rFonts w:ascii="Times New Roman" w:eastAsia="Times New Roman" w:hAnsi="Times New Roman" w:cs="Times New Roman"/>
      <w:b/>
      <w:bCs/>
      <w:sz w:val="20"/>
      <w:szCs w:val="20"/>
    </w:rPr>
  </w:style>
  <w:style w:type="paragraph" w:styleId="Revision">
    <w:name w:val="Revision"/>
    <w:hidden/>
    <w:uiPriority w:val="99"/>
    <w:semiHidden/>
    <w:rsid w:val="00342E96"/>
    <w:pPr>
      <w:spacing w:after="0" w:line="240" w:lineRule="auto"/>
    </w:pPr>
    <w:rPr>
      <w:rFonts w:ascii="Times New Roman" w:eastAsia="Times New Roman" w:hAnsi="Times New Roman" w:cs="Times New Roman"/>
      <w:sz w:val="24"/>
      <w:szCs w:val="24"/>
    </w:rPr>
  </w:style>
  <w:style w:type="paragraph" w:customStyle="1" w:styleId="Addressee">
    <w:name w:val="Addressee"/>
    <w:basedOn w:val="Normal"/>
    <w:rsid w:val="005D364B"/>
    <w:rPr>
      <w:szCs w:val="20"/>
    </w:rPr>
  </w:style>
  <w:style w:type="paragraph" w:styleId="ListParagraph">
    <w:name w:val="List Paragraph"/>
    <w:basedOn w:val="Normal"/>
    <w:link w:val="ListParagraphChar"/>
    <w:uiPriority w:val="34"/>
    <w:qFormat/>
    <w:rsid w:val="005D364B"/>
    <w:pPr>
      <w:ind w:left="720"/>
      <w:contextualSpacing/>
    </w:pPr>
  </w:style>
  <w:style w:type="paragraph" w:styleId="FootnoteText">
    <w:name w:val="footnote text"/>
    <w:basedOn w:val="Normal"/>
    <w:link w:val="FootnoteTextChar"/>
    <w:semiHidden/>
    <w:unhideWhenUsed/>
    <w:rsid w:val="00B66771"/>
    <w:rPr>
      <w:rFonts w:ascii="Calibri" w:eastAsia="Calibri" w:hAnsi="Calibri"/>
      <w:sz w:val="20"/>
      <w:szCs w:val="20"/>
    </w:rPr>
  </w:style>
  <w:style w:type="character" w:customStyle="1" w:styleId="FootnoteTextChar">
    <w:name w:val="Footnote Text Char"/>
    <w:basedOn w:val="DefaultParagraphFont"/>
    <w:link w:val="FootnoteText"/>
    <w:semiHidden/>
    <w:rsid w:val="00B66771"/>
    <w:rPr>
      <w:rFonts w:ascii="Calibri" w:eastAsia="Calibri" w:hAnsi="Calibri" w:cs="Times New Roman"/>
      <w:sz w:val="20"/>
      <w:szCs w:val="20"/>
    </w:rPr>
  </w:style>
  <w:style w:type="character" w:customStyle="1" w:styleId="ListParagraphChar">
    <w:name w:val="List Paragraph Char"/>
    <w:link w:val="ListParagraph"/>
    <w:uiPriority w:val="34"/>
    <w:locked/>
    <w:rsid w:val="00B66771"/>
    <w:rPr>
      <w:rFonts w:ascii="Times New Roman" w:eastAsia="Times New Roman" w:hAnsi="Times New Roman" w:cs="Times New Roman"/>
      <w:sz w:val="24"/>
      <w:szCs w:val="24"/>
    </w:rPr>
  </w:style>
  <w:style w:type="paragraph" w:customStyle="1" w:styleId="PHPgNum">
    <w:name w:val="PH PgNum"/>
    <w:basedOn w:val="Normal"/>
    <w:uiPriority w:val="99"/>
    <w:rsid w:val="00B66771"/>
    <w:pPr>
      <w:jc w:val="center"/>
    </w:pPr>
    <w:rPr>
      <w:rFonts w:ascii="Arial" w:eastAsiaTheme="minorHAnsi" w:hAnsi="Arial"/>
      <w:sz w:val="20"/>
      <w:szCs w:val="20"/>
    </w:rPr>
  </w:style>
  <w:style w:type="character" w:styleId="FootnoteReference">
    <w:name w:val="footnote reference"/>
    <w:uiPriority w:val="99"/>
    <w:semiHidden/>
    <w:unhideWhenUsed/>
    <w:rsid w:val="00B66771"/>
    <w:rPr>
      <w:vertAlign w:val="superscript"/>
    </w:rPr>
  </w:style>
  <w:style w:type="table" w:styleId="TableGrid">
    <w:name w:val="Table Grid"/>
    <w:basedOn w:val="TableNormal"/>
    <w:uiPriority w:val="59"/>
    <w:rsid w:val="00EF59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26300">
      <w:bodyDiv w:val="1"/>
      <w:marLeft w:val="0"/>
      <w:marRight w:val="0"/>
      <w:marTop w:val="0"/>
      <w:marBottom w:val="0"/>
      <w:divBdr>
        <w:top w:val="none" w:sz="0" w:space="0" w:color="auto"/>
        <w:left w:val="none" w:sz="0" w:space="0" w:color="auto"/>
        <w:bottom w:val="none" w:sz="0" w:space="0" w:color="auto"/>
        <w:right w:val="none" w:sz="0" w:space="0" w:color="auto"/>
      </w:divBdr>
    </w:div>
    <w:div w:id="339740599">
      <w:bodyDiv w:val="1"/>
      <w:marLeft w:val="0"/>
      <w:marRight w:val="0"/>
      <w:marTop w:val="0"/>
      <w:marBottom w:val="0"/>
      <w:divBdr>
        <w:top w:val="none" w:sz="0" w:space="0" w:color="auto"/>
        <w:left w:val="none" w:sz="0" w:space="0" w:color="auto"/>
        <w:bottom w:val="none" w:sz="0" w:space="0" w:color="auto"/>
        <w:right w:val="none" w:sz="0" w:space="0" w:color="auto"/>
      </w:divBdr>
    </w:div>
    <w:div w:id="956912461">
      <w:bodyDiv w:val="1"/>
      <w:marLeft w:val="0"/>
      <w:marRight w:val="0"/>
      <w:marTop w:val="0"/>
      <w:marBottom w:val="0"/>
      <w:divBdr>
        <w:top w:val="none" w:sz="0" w:space="0" w:color="auto"/>
        <w:left w:val="none" w:sz="0" w:space="0" w:color="auto"/>
        <w:bottom w:val="none" w:sz="0" w:space="0" w:color="auto"/>
        <w:right w:val="none" w:sz="0" w:space="0" w:color="auto"/>
      </w:divBdr>
    </w:div>
    <w:div w:id="1717972591">
      <w:bodyDiv w:val="1"/>
      <w:marLeft w:val="0"/>
      <w:marRight w:val="0"/>
      <w:marTop w:val="0"/>
      <w:marBottom w:val="0"/>
      <w:divBdr>
        <w:top w:val="none" w:sz="0" w:space="0" w:color="auto"/>
        <w:left w:val="none" w:sz="0" w:space="0" w:color="auto"/>
        <w:bottom w:val="none" w:sz="0" w:space="0" w:color="auto"/>
        <w:right w:val="none" w:sz="0" w:space="0" w:color="auto"/>
      </w:divBdr>
    </w:div>
    <w:div w:id="1990556188">
      <w:bodyDiv w:val="1"/>
      <w:marLeft w:val="0"/>
      <w:marRight w:val="0"/>
      <w:marTop w:val="0"/>
      <w:marBottom w:val="0"/>
      <w:divBdr>
        <w:top w:val="none" w:sz="0" w:space="0" w:color="auto"/>
        <w:left w:val="none" w:sz="0" w:space="0" w:color="auto"/>
        <w:bottom w:val="none" w:sz="0" w:space="0" w:color="auto"/>
        <w:right w:val="none" w:sz="0" w:space="0" w:color="auto"/>
      </w:divBdr>
    </w:div>
    <w:div w:id="2025476102">
      <w:bodyDiv w:val="1"/>
      <w:marLeft w:val="0"/>
      <w:marRight w:val="0"/>
      <w:marTop w:val="0"/>
      <w:marBottom w:val="0"/>
      <w:divBdr>
        <w:top w:val="none" w:sz="0" w:space="0" w:color="auto"/>
        <w:left w:val="none" w:sz="0" w:space="0" w:color="auto"/>
        <w:bottom w:val="none" w:sz="0" w:space="0" w:color="auto"/>
        <w:right w:val="none" w:sz="0" w:space="0" w:color="auto"/>
      </w:divBdr>
    </w:div>
    <w:div w:id="203680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2" ma:contentTypeDescription="Create a new document." ma:contentTypeScope="" ma:versionID="5a86396fd2cb6f86c5b752de4676b216">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7a786e2a0e5e33f524ea46fbc1a5c75b"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12ae2-ab96-4019-a5e3-379b699c49fb}"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e06535-efc6-4487-9d5e-01610a6d7e4b" xsi:nil="true"/>
    <lcf76f155ced4ddcb4097134ff3c332f xmlns="956c91bd-07e9-4e5e-8b56-2a74e9369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89E982-B0A3-46EB-8FDE-EFCB7CC8590F}">
  <ds:schemaRefs>
    <ds:schemaRef ds:uri="http://schemas.openxmlformats.org/officeDocument/2006/bibliography"/>
  </ds:schemaRefs>
</ds:datastoreItem>
</file>

<file path=customXml/itemProps2.xml><?xml version="1.0" encoding="utf-8"?>
<ds:datastoreItem xmlns:ds="http://schemas.openxmlformats.org/officeDocument/2006/customXml" ds:itemID="{265D8565-2941-4085-AEEE-82DF1F899D94}"/>
</file>

<file path=customXml/itemProps3.xml><?xml version="1.0" encoding="utf-8"?>
<ds:datastoreItem xmlns:ds="http://schemas.openxmlformats.org/officeDocument/2006/customXml" ds:itemID="{2847F00A-4FEA-4A88-A72C-8BD8E2DE0FDB}"/>
</file>

<file path=customXml/itemProps4.xml><?xml version="1.0" encoding="utf-8"?>
<ds:datastoreItem xmlns:ds="http://schemas.openxmlformats.org/officeDocument/2006/customXml" ds:itemID="{CCBF419D-0FCB-46E3-B5EC-2DAA42AC28C0}"/>
</file>

<file path=docProps/app.xml><?xml version="1.0" encoding="utf-8"?>
<Properties xmlns="http://schemas.openxmlformats.org/officeDocument/2006/extended-properties" xmlns:vt="http://schemas.openxmlformats.org/officeDocument/2006/docPropsVTypes">
  <Template>Normal.dotm</Template>
  <TotalTime>0</TotalTime>
  <Pages>7</Pages>
  <Words>2319</Words>
  <Characters>12201</Characters>
  <Application>Microsoft Office Word</Application>
  <DocSecurity>0</DocSecurity>
  <Lines>210</Lines>
  <Paragraphs>79</Paragraphs>
  <ScaleCrop>false</ScaleCrop>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2024-06-25T16:31:00Z</dcterms:created>
  <dcterms:modified xsi:type="dcterms:W3CDTF">2024-06-25T16:34:00Z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0x010100D9D604C9416F7D42B19D04356824670A</vt:lpwstr>
  </property>
</Properties>
</file>