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8065F6">
            <w:pPr>
              <w:spacing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8065F6">
            <w:pPr>
              <w:spacing w:line="276" w:lineRule="auto"/>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06325A">
            <w:pPr>
              <w:tabs>
                <w:tab w:val="right" w:pos="4189"/>
              </w:tabs>
              <w:spacing w:line="276" w:lineRule="auto"/>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8065F6">
            <w:pPr>
              <w:spacing w:line="276" w:lineRule="auto"/>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6862E4">
            <w:pPr>
              <w:spacing w:line="276" w:lineRule="auto"/>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7777777" w:rsidR="003F2763" w:rsidRDefault="00897E9B" w:rsidP="0048564B">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w:t>
            </w:r>
            <w:r w:rsidR="003F2763">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8065F6">
            <w:pPr>
              <w:spacing w:line="276" w:lineRule="auto"/>
              <w:rPr>
                <w:rFonts w:cs="Arial"/>
                <w:b/>
                <w:bCs/>
                <w:sz w:val="17"/>
                <w:szCs w:val="17"/>
              </w:rPr>
            </w:pPr>
            <w:r>
              <w:rPr>
                <w:rFonts w:cs="Arial"/>
                <w:b/>
                <w:bCs/>
                <w:sz w:val="17"/>
                <w:szCs w:val="17"/>
              </w:rPr>
              <w:t>(404) 656-4501</w:t>
            </w:r>
          </w:p>
          <w:p w14:paraId="3494741B" w14:textId="77777777" w:rsidR="003F2763" w:rsidRDefault="003F2763" w:rsidP="008065F6">
            <w:pPr>
              <w:spacing w:line="276" w:lineRule="auto"/>
              <w:rPr>
                <w:rFonts w:cs="Arial"/>
                <w:b/>
                <w:bCs/>
              </w:rPr>
            </w:pPr>
            <w:r>
              <w:rPr>
                <w:rFonts w:cs="Arial"/>
                <w:b/>
                <w:bCs/>
                <w:sz w:val="17"/>
                <w:szCs w:val="17"/>
              </w:rPr>
              <w:t>(800) 282-5813</w:t>
            </w:r>
          </w:p>
        </w:tc>
        <w:tc>
          <w:tcPr>
            <w:tcW w:w="2970" w:type="dxa"/>
            <w:hideMark/>
          </w:tcPr>
          <w:p w14:paraId="3E370B4C" w14:textId="77777777" w:rsidR="003F2763" w:rsidRDefault="003F2763" w:rsidP="0048564B">
            <w:pPr>
              <w:tabs>
                <w:tab w:val="left" w:pos="1410"/>
              </w:tabs>
              <w:spacing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0B7DA561" w14:textId="77777777" w:rsidR="003F2763" w:rsidRDefault="003F2763" w:rsidP="003F2763">
      <w:pPr>
        <w:rPr>
          <w:color w:val="FF0000"/>
        </w:rPr>
      </w:pPr>
    </w:p>
    <w:p w14:paraId="6E3E2D30" w14:textId="77777777" w:rsidR="003F2763" w:rsidRDefault="003F2763" w:rsidP="003F2763">
      <w:pPr>
        <w:pStyle w:val="Heading1"/>
      </w:pPr>
    </w:p>
    <w:p w14:paraId="29CB27FD" w14:textId="77777777" w:rsidR="00E803AB" w:rsidRPr="0087602A" w:rsidRDefault="00E803AB" w:rsidP="00E803AB">
      <w:pPr>
        <w:suppressAutoHyphens/>
        <w:jc w:val="both"/>
        <w:rPr>
          <w:spacing w:val="-3"/>
        </w:rPr>
      </w:pPr>
    </w:p>
    <w:p w14:paraId="71C9CD67" w14:textId="0D8FBE4B" w:rsidR="00E803AB" w:rsidRPr="00DD387C" w:rsidRDefault="00DD387C" w:rsidP="00E803AB">
      <w:pPr>
        <w:suppressAutoHyphens/>
        <w:jc w:val="center"/>
        <w:rPr>
          <w:b/>
          <w:caps/>
          <w:spacing w:val="-3"/>
        </w:rPr>
      </w:pPr>
      <w:r w:rsidRPr="00DD387C">
        <w:rPr>
          <w:b/>
          <w:caps/>
          <w:spacing w:val="-3"/>
        </w:rPr>
        <w:t>Pine Gate Renewables</w:t>
      </w:r>
      <w:r w:rsidR="0045125B">
        <w:rPr>
          <w:b/>
          <w:caps/>
          <w:spacing w:val="-3"/>
        </w:rPr>
        <w:t>, LLC</w:t>
      </w:r>
      <w:r w:rsidRPr="00DD387C">
        <w:rPr>
          <w:b/>
          <w:caps/>
          <w:spacing w:val="-3"/>
        </w:rPr>
        <w:t xml:space="preserve"> Emergency Petition Order</w:t>
      </w:r>
    </w:p>
    <w:p w14:paraId="65D9E6F8" w14:textId="77777777" w:rsidR="00E803AB" w:rsidRPr="0087602A" w:rsidRDefault="00E803AB" w:rsidP="00E803AB">
      <w:pPr>
        <w:suppressAutoHyphens/>
        <w:jc w:val="both"/>
        <w:rPr>
          <w:spacing w:val="-3"/>
        </w:rPr>
      </w:pPr>
    </w:p>
    <w:p w14:paraId="737EB05A" w14:textId="3C816C6C" w:rsidR="00E803AB" w:rsidRDefault="00E803AB" w:rsidP="00E803AB">
      <w:pPr>
        <w:pStyle w:val="Title"/>
        <w:rPr>
          <w:b/>
        </w:rPr>
      </w:pPr>
      <w:bookmarkStart w:id="0" w:name="_Hlk164853140"/>
      <w:r w:rsidRPr="00152A06">
        <w:rPr>
          <w:b/>
        </w:rPr>
        <w:t xml:space="preserve">Docket No. </w:t>
      </w:r>
      <w:r w:rsidR="00DD387C">
        <w:rPr>
          <w:b/>
        </w:rPr>
        <w:t>4822</w:t>
      </w:r>
    </w:p>
    <w:p w14:paraId="5E405AFD" w14:textId="77777777" w:rsidR="00E803AB" w:rsidRPr="00152A06" w:rsidRDefault="00E803AB" w:rsidP="00E803AB">
      <w:pPr>
        <w:ind w:left="720" w:hanging="720"/>
        <w:jc w:val="center"/>
        <w:rPr>
          <w:b/>
        </w:rPr>
      </w:pPr>
    </w:p>
    <w:p w14:paraId="65EF8422" w14:textId="77777777" w:rsidR="00E803AB" w:rsidRPr="00152A06" w:rsidRDefault="00E803AB" w:rsidP="00E803AB">
      <w:pPr>
        <w:ind w:left="1080" w:right="720" w:hanging="720"/>
        <w:rPr>
          <w:b/>
        </w:rPr>
      </w:pPr>
    </w:p>
    <w:p w14:paraId="30ACFF98" w14:textId="3E0647ED" w:rsidR="00E803AB" w:rsidRPr="00143B0F" w:rsidRDefault="00E803AB" w:rsidP="00DD387C">
      <w:pPr>
        <w:pStyle w:val="Subtitle"/>
        <w:ind w:left="720" w:hanging="720"/>
        <w:jc w:val="both"/>
      </w:pPr>
      <w:r w:rsidRPr="00143B0F">
        <w:rPr>
          <w:rFonts w:ascii="Times New Roman" w:hAnsi="Times New Roman"/>
          <w:b/>
        </w:rPr>
        <w:t xml:space="preserve">In Re: </w:t>
      </w:r>
      <w:bookmarkEnd w:id="0"/>
      <w:r w:rsidR="00DD387C" w:rsidRPr="00DD387C">
        <w:rPr>
          <w:rFonts w:ascii="Times New Roman" w:hAnsi="Times New Roman"/>
          <w:b/>
        </w:rPr>
        <w:t>Capacity and Energy Payments to Cogenerators under the Public Utility Regulatory Policies Act of 1978 (PURPA)</w:t>
      </w:r>
    </w:p>
    <w:p w14:paraId="77D62BA1" w14:textId="77777777" w:rsidR="00E803AB" w:rsidRPr="00152A06" w:rsidRDefault="00E803AB" w:rsidP="00E803AB">
      <w:pPr>
        <w:pBdr>
          <w:bottom w:val="single" w:sz="12" w:space="6" w:color="auto"/>
        </w:pBdr>
        <w:rPr>
          <w:b/>
        </w:rPr>
      </w:pPr>
    </w:p>
    <w:p w14:paraId="6E54AF47" w14:textId="77777777" w:rsidR="00E803AB" w:rsidRPr="00CA08CA" w:rsidRDefault="00E803AB" w:rsidP="00E803AB"/>
    <w:p w14:paraId="35A0B785" w14:textId="77777777" w:rsidR="003E1318" w:rsidRDefault="003E1318" w:rsidP="00E803AB">
      <w:pPr>
        <w:tabs>
          <w:tab w:val="left" w:pos="-720"/>
        </w:tabs>
        <w:suppressAutoHyphens/>
        <w:jc w:val="both"/>
        <w:rPr>
          <w:b/>
          <w:bCs/>
        </w:rPr>
      </w:pPr>
    </w:p>
    <w:p w14:paraId="20CE3D8D" w14:textId="77777777" w:rsidR="003E1318" w:rsidRDefault="003E1318" w:rsidP="00BA0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jc w:val="both"/>
      </w:pPr>
      <w:r>
        <w:t xml:space="preserve">On January 30, 2024, Pine Gate Renewables, LLC (“Pine Gate”) </w:t>
      </w:r>
      <w:r w:rsidRPr="0078103C">
        <w:t>file</w:t>
      </w:r>
      <w:r>
        <w:t>d</w:t>
      </w:r>
      <w:r w:rsidRPr="0078103C">
        <w:t xml:space="preserve"> </w:t>
      </w:r>
      <w:r>
        <w:t>an</w:t>
      </w:r>
      <w:r w:rsidRPr="0078103C">
        <w:t xml:space="preserve"> “Emergency Petition for Extension of Time and </w:t>
      </w:r>
      <w:r>
        <w:t xml:space="preserve">Petition for Declaratory Ruling on </w:t>
      </w:r>
      <w:r w:rsidRPr="0078103C">
        <w:t>Interconnection Costs for Qualifying Facilities” (“Petition”)</w:t>
      </w:r>
      <w:r>
        <w:t xml:space="preserve"> with the Georgia Public Service Commission (“Commission”).  The Emergency Petition sought the </w:t>
      </w:r>
      <w:r w:rsidRPr="0078103C">
        <w:t>following relief:</w:t>
      </w:r>
    </w:p>
    <w:p w14:paraId="231BFB9A" w14:textId="77777777" w:rsidR="003E1318" w:rsidRPr="0078103C" w:rsidRDefault="003E1318" w:rsidP="003E1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p>
    <w:p w14:paraId="03901153" w14:textId="77777777" w:rsidR="003E1318" w:rsidRDefault="003E1318" w:rsidP="003E1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1. A</w:t>
      </w:r>
      <w:r w:rsidRPr="0078103C">
        <w:t>n emergency extension of time of at least ninety (90) days or until the issues raised in this Petition are resolved, whichever is later, to execute State-jurisdictional Transmission Qualifying Facility (“QF”) Interconnection Agreements (“QFIAs”) for the interconnection of five (5) Pine Gate solar photovoltaic generation facilities the execution of which</w:t>
      </w:r>
      <w:r>
        <w:t xml:space="preserve"> </w:t>
      </w:r>
      <w:r w:rsidRPr="0078103C">
        <w:t>is currently requir</w:t>
      </w:r>
      <w:r>
        <w:t>ed</w:t>
      </w:r>
      <w:r w:rsidRPr="0078103C">
        <w:t xml:space="preserve"> on or before January 31, 2024; </w:t>
      </w:r>
    </w:p>
    <w:p w14:paraId="48F5507A" w14:textId="77777777" w:rsidR="003E1318" w:rsidRPr="0078103C" w:rsidRDefault="003E1318" w:rsidP="003E1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p>
    <w:p w14:paraId="061D426C" w14:textId="77777777" w:rsidR="003E1318" w:rsidRDefault="003E1318" w:rsidP="003E1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2</w:t>
      </w:r>
      <w:r w:rsidRPr="0078103C">
        <w:t xml:space="preserve">.  </w:t>
      </w:r>
      <w:r>
        <w:t>A</w:t>
      </w:r>
      <w:r w:rsidRPr="001E25F7">
        <w:t xml:space="preserve"> declaratory ruling that Georgia Power</w:t>
      </w:r>
      <w:r>
        <w:t xml:space="preserve"> Company</w:t>
      </w:r>
      <w:r w:rsidRPr="001E25F7">
        <w:t>’s</w:t>
      </w:r>
      <w:r>
        <w:t xml:space="preserve"> (“Georgia Power” or “Company”)</w:t>
      </w:r>
      <w:r w:rsidRPr="001E25F7">
        <w:t xml:space="preserve"> requirement that Pine Gate provide $30,050,000 in financial security to Georgia Power for an already-planned transmission upgrade project on the Municipal Electric Authority of Georgia </w:t>
      </w:r>
      <w:r>
        <w:t xml:space="preserve">(“MEAG”) </w:t>
      </w:r>
      <w:r w:rsidRPr="001E25F7">
        <w:t>system violates the Commission’s Order, the Qualifying Facilities Transmission Generator Interconnection Procedures (“QF-TGIP”) and pertinent provisions of the QFIA, and is unjust and unreasonable; and</w:t>
      </w:r>
    </w:p>
    <w:p w14:paraId="2B89E481" w14:textId="77777777" w:rsidR="003E1318" w:rsidRPr="0078103C" w:rsidRDefault="003E1318" w:rsidP="003E1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p>
    <w:p w14:paraId="640FF656" w14:textId="77777777" w:rsidR="003E1318" w:rsidRDefault="003E1318" w:rsidP="003E1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jc w:val="both"/>
      </w:pPr>
      <w:r>
        <w:t>3</w:t>
      </w:r>
      <w:r w:rsidRPr="0078103C">
        <w:t xml:space="preserve">.  </w:t>
      </w:r>
      <w:r>
        <w:t xml:space="preserve">A </w:t>
      </w:r>
      <w:r w:rsidRPr="006802B0">
        <w:t xml:space="preserve">declaratory ruling that </w:t>
      </w:r>
      <w:r>
        <w:t xml:space="preserve">Georgia Power’s </w:t>
      </w:r>
      <w:r w:rsidRPr="006802B0">
        <w:t>requirement that Pine Gate pay unreasonably high operation and maintenance (“O&amp;M”) expenses for interconnection facilities at its facilities pursuant to an unreviewed and undisclosed formula are multiple times higher than O&amp;M expenses imposed by other utilities for similar facilities and require prepaid expenses that likely exceed Georgia Power’s actual costs violates the Commission’s Order, the QF-TGIP and QFIA.</w:t>
      </w:r>
    </w:p>
    <w:p w14:paraId="536A3A66" w14:textId="77777777" w:rsidR="003E1318" w:rsidRDefault="003E1318" w:rsidP="003E13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both"/>
      </w:pPr>
    </w:p>
    <w:p w14:paraId="2D4F503E" w14:textId="4E496FC4" w:rsidR="003E1318" w:rsidRDefault="003E1318" w:rsidP="00BA0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jc w:val="both"/>
      </w:pPr>
      <w:r>
        <w:t>Pine Gate’s Petition argue</w:t>
      </w:r>
      <w:r w:rsidR="00CB20E0">
        <w:t>d</w:t>
      </w:r>
      <w:r>
        <w:t xml:space="preserve"> that </w:t>
      </w:r>
      <w:r w:rsidRPr="003C34A7">
        <w:t xml:space="preserve">the Commission should allow Pine Gate to pay reasonable costs to accelerate the MEAG </w:t>
      </w:r>
      <w:r w:rsidRPr="001E25F7">
        <w:t>transmission upgrade project</w:t>
      </w:r>
      <w:r w:rsidR="00FE5A30" w:rsidRPr="00FE5A30">
        <w:t xml:space="preserve"> (“Warrenton Line Rebuild Project”)</w:t>
      </w:r>
      <w:r w:rsidRPr="003C34A7">
        <w:t>, which would bring th</w:t>
      </w:r>
      <w:r>
        <w:t>e</w:t>
      </w:r>
      <w:r w:rsidRPr="003C34A7">
        <w:t xml:space="preserve"> needed project into service three years earlier than it otherwise would.</w:t>
      </w:r>
      <w:r w:rsidRPr="00CF6799">
        <w:t xml:space="preserve"> Pine Gate</w:t>
      </w:r>
      <w:r>
        <w:t xml:space="preserve"> also mention</w:t>
      </w:r>
      <w:r w:rsidR="00FE5A30">
        <w:t>ed</w:t>
      </w:r>
      <w:r>
        <w:t xml:space="preserve"> that it has a </w:t>
      </w:r>
      <w:r w:rsidRPr="00CF6799">
        <w:t xml:space="preserve">sixth </w:t>
      </w:r>
      <w:r>
        <w:t xml:space="preserve">QF </w:t>
      </w:r>
      <w:r w:rsidRPr="00CF6799">
        <w:t xml:space="preserve">project, Drawhorn Solar, LLC (“Drawhorn Solar”), </w:t>
      </w:r>
      <w:r>
        <w:t>that had</w:t>
      </w:r>
      <w:r w:rsidRPr="00CF6799">
        <w:t xml:space="preserve"> not </w:t>
      </w:r>
      <w:r>
        <w:t xml:space="preserve">yet </w:t>
      </w:r>
      <w:r w:rsidRPr="00CF6799">
        <w:t>received a QFIA for execution. Pine Gate expect</w:t>
      </w:r>
      <w:r w:rsidR="00FE5A30">
        <w:t>ed</w:t>
      </w:r>
      <w:r w:rsidRPr="00CF6799">
        <w:t xml:space="preserve"> its requests in </w:t>
      </w:r>
      <w:r>
        <w:t>its</w:t>
      </w:r>
      <w:r w:rsidRPr="00CF6799">
        <w:t xml:space="preserve"> Petition to similarly apply to Drawhorn Solar.</w:t>
      </w:r>
    </w:p>
    <w:p w14:paraId="56C637A9" w14:textId="77777777" w:rsidR="003E1318" w:rsidRDefault="003E1318" w:rsidP="00BA0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jc w:val="both"/>
      </w:pPr>
    </w:p>
    <w:p w14:paraId="0D521FC5" w14:textId="779275F5" w:rsidR="003E1318" w:rsidRDefault="003E1318" w:rsidP="002636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ind w:firstLine="720"/>
        <w:jc w:val="both"/>
      </w:pPr>
      <w:r>
        <w:t xml:space="preserve">Pine Gate’s Petition was discussed at the Commission’s February 1, 2024, Energy Committee. Subsequently, Georgia Power, Pine Gate, and Commission Staff (“Staff”) held a conference call to work out the dates by which to address the issues contained in Pine Gate’s Petition and the resolution of the timing of signing the QFIAs in order for Georgia Power to begin its transmission studies. The Parties (Pine Gate and Georgia Power) reached a Stipulation on several issues and on </w:t>
      </w:r>
      <w:r w:rsidRPr="00023869">
        <w:t>February 1</w:t>
      </w:r>
      <w:r>
        <w:t>6</w:t>
      </w:r>
      <w:r w:rsidRPr="00023869">
        <w:t>, 2024</w:t>
      </w:r>
      <w:r>
        <w:t>, Pine Gate filed a copy of the Stipulation (Attachment A) with the Commission. The Stipulation called for the following (among other issues):</w:t>
      </w:r>
    </w:p>
    <w:p w14:paraId="22998616" w14:textId="77777777" w:rsidR="003E1318" w:rsidRDefault="003E1318" w:rsidP="00821346">
      <w:pPr>
        <w:pStyle w:val="BodyText"/>
        <w:numPr>
          <w:ilvl w:val="0"/>
          <w:numId w:val="5"/>
        </w:numPr>
        <w:spacing w:before="120" w:after="240" w:line="276" w:lineRule="auto"/>
        <w:rPr>
          <w:szCs w:val="22"/>
        </w:rPr>
      </w:pPr>
      <w:r>
        <w:rPr>
          <w:szCs w:val="22"/>
        </w:rPr>
        <w:t>Georgia Power will respond to Pine Gate’s Petition on or before February 16, 2024.</w:t>
      </w:r>
    </w:p>
    <w:p w14:paraId="76B9B256" w14:textId="77777777" w:rsidR="003E1318" w:rsidRDefault="003E1318" w:rsidP="00821346">
      <w:pPr>
        <w:pStyle w:val="BodyText"/>
        <w:numPr>
          <w:ilvl w:val="0"/>
          <w:numId w:val="5"/>
        </w:numPr>
        <w:spacing w:after="240" w:line="276" w:lineRule="auto"/>
        <w:rPr>
          <w:szCs w:val="22"/>
        </w:rPr>
      </w:pPr>
      <w:r>
        <w:rPr>
          <w:szCs w:val="22"/>
        </w:rPr>
        <w:t>Pine Gate may reply to Georgia Power’s response on or before February 23, 2024.</w:t>
      </w:r>
    </w:p>
    <w:p w14:paraId="4CFB7DDC" w14:textId="61B069E8" w:rsidR="003E1318" w:rsidRDefault="003E1318" w:rsidP="00821346">
      <w:pPr>
        <w:pStyle w:val="BodyText"/>
        <w:numPr>
          <w:ilvl w:val="0"/>
          <w:numId w:val="5"/>
        </w:numPr>
        <w:spacing w:after="240" w:line="276" w:lineRule="auto"/>
        <w:rPr>
          <w:szCs w:val="22"/>
        </w:rPr>
      </w:pPr>
      <w:r>
        <w:rPr>
          <w:szCs w:val="22"/>
        </w:rPr>
        <w:t>Pursuant to the procedure set forth herein, the Commission shall resolve all issues raised in the Petition, specifically: Estimated O&amp;M Costs (QFIA, Exhibit A, Section 3); the Security for Upgrade Projects identified in Future Years and the necessity for such project (QFIA, Exhibit A, Section 6); and determination of reasonable costs to accelerate that project(s)’ in-service date from 2030 to year 2027.</w:t>
      </w:r>
    </w:p>
    <w:p w14:paraId="67183B0F" w14:textId="77777777" w:rsidR="003E1318" w:rsidRDefault="003E1318" w:rsidP="00821346">
      <w:pPr>
        <w:pStyle w:val="BodyText"/>
        <w:numPr>
          <w:ilvl w:val="0"/>
          <w:numId w:val="5"/>
        </w:numPr>
        <w:spacing w:after="240" w:line="276" w:lineRule="auto"/>
        <w:rPr>
          <w:szCs w:val="22"/>
        </w:rPr>
      </w:pPr>
      <w:r>
        <w:rPr>
          <w:szCs w:val="22"/>
        </w:rPr>
        <w:t>To assist the Commission in the resolution of all issues raised in the Petition, Georgia Power will provide to the Commission’s Staff the formula and calculations used to determine the estimated O&amp;M costs in Exhibit A, Section 3, and the reasonable costs to accelerate that project(s)’ in-service date from 2030 to 2027.</w:t>
      </w:r>
    </w:p>
    <w:p w14:paraId="279E9BFF" w14:textId="77777777" w:rsidR="003E1318" w:rsidRDefault="003E1318" w:rsidP="003E1318">
      <w:pPr>
        <w:pStyle w:val="BodyText"/>
        <w:numPr>
          <w:ilvl w:val="0"/>
          <w:numId w:val="5"/>
        </w:numPr>
        <w:spacing w:after="240" w:line="276" w:lineRule="auto"/>
        <w:jc w:val="both"/>
        <w:rPr>
          <w:szCs w:val="22"/>
        </w:rPr>
      </w:pPr>
      <w:r>
        <w:rPr>
          <w:szCs w:val="22"/>
        </w:rPr>
        <w:t>Should a mutually agreeable outcome not be reached sooner, the Parties agree that the issues raised in the Petition shall be placed on the Commission’s Energy Committee agenda for March 14, 2024, unless otherwise directed by the Commission or its Staff.</w:t>
      </w:r>
    </w:p>
    <w:p w14:paraId="0AD34E8C" w14:textId="77777777" w:rsidR="003E1318" w:rsidRDefault="003E1318" w:rsidP="00FE5A30">
      <w:pPr>
        <w:pStyle w:val="BodyText"/>
        <w:numPr>
          <w:ilvl w:val="0"/>
          <w:numId w:val="5"/>
        </w:numPr>
        <w:spacing w:after="360" w:line="276" w:lineRule="auto"/>
        <w:jc w:val="both"/>
        <w:rPr>
          <w:szCs w:val="22"/>
        </w:rPr>
      </w:pPr>
      <w:r>
        <w:rPr>
          <w:szCs w:val="22"/>
        </w:rPr>
        <w:t>Once the Commission renders a decision on the issues raised in the Petition (which is anticipated by oral vote on March 19, 2024), Pine Gate shall have 10 business days in which to notify Georgia Power of its decision to withdraw any of the executed QFIAs.</w:t>
      </w:r>
    </w:p>
    <w:p w14:paraId="20DB4462" w14:textId="7D950427" w:rsidR="003E1318" w:rsidRPr="000F60C8" w:rsidRDefault="003E1318" w:rsidP="000F26BB">
      <w:pPr>
        <w:pStyle w:val="Addressee"/>
        <w:spacing w:after="240" w:line="360" w:lineRule="auto"/>
        <w:ind w:firstLine="720"/>
        <w:jc w:val="both"/>
      </w:pPr>
      <w:r>
        <w:t>On February 16, 2024, Georgia Power filed its</w:t>
      </w:r>
      <w:r w:rsidRPr="00ED64EB">
        <w:t xml:space="preserve"> Response to Pine Gate's Petition</w:t>
      </w:r>
      <w:r w:rsidR="00821346">
        <w:t>.</w:t>
      </w:r>
      <w:r>
        <w:t xml:space="preserve"> On February 23, 2024, Pine Gate filed a </w:t>
      </w:r>
      <w:r w:rsidRPr="00F22C51">
        <w:t>Reply Brief</w:t>
      </w:r>
      <w:r>
        <w:t xml:space="preserve">. Georgia Power met with Staff and Pine Gate on </w:t>
      </w:r>
      <w:r w:rsidRPr="008F720D">
        <w:t>March 26, 2024 and April 24, 2024</w:t>
      </w:r>
      <w:r>
        <w:t xml:space="preserve"> to explain its interconnection study processes and O&amp;M calculations. Georgia Power provided several Excel workbooks showing how the Company derives its annual O&amp;M rate and how Pine Gate’s O&amp;M costs were calculated for each QF project.</w:t>
      </w:r>
    </w:p>
    <w:p w14:paraId="0BAB6C62" w14:textId="09A8C48F" w:rsidR="003E1318" w:rsidRDefault="003E1318" w:rsidP="00800549">
      <w:pPr>
        <w:pStyle w:val="Addressee"/>
        <w:spacing w:after="240" w:line="360" w:lineRule="auto"/>
        <w:ind w:firstLine="720"/>
        <w:jc w:val="both"/>
        <w:rPr>
          <w:bCs/>
        </w:rPr>
      </w:pPr>
      <w:r>
        <w:t xml:space="preserve">Pine Gate’s Petition was discussed at the Commission’s May 2, 2024 Energy Committee meeting. On May 3, 2024, Pine Gate and Georgia Power met with MEAG concerning the </w:t>
      </w:r>
      <w:r>
        <w:rPr>
          <w:bCs/>
        </w:rPr>
        <w:t xml:space="preserve">Warrenton Line Rebuild Project. On May 7, 2024, Pine Gate requested additional time </w:t>
      </w:r>
      <w:r w:rsidRPr="007E03B9">
        <w:rPr>
          <w:bCs/>
        </w:rPr>
        <w:t xml:space="preserve">to review </w:t>
      </w:r>
      <w:r>
        <w:rPr>
          <w:bCs/>
        </w:rPr>
        <w:t>any</w:t>
      </w:r>
      <w:r w:rsidRPr="007E03B9">
        <w:rPr>
          <w:bCs/>
        </w:rPr>
        <w:t xml:space="preserve"> MEAG proposal </w:t>
      </w:r>
      <w:r>
        <w:rPr>
          <w:bCs/>
        </w:rPr>
        <w:t>if/</w:t>
      </w:r>
      <w:r w:rsidRPr="007E03B9">
        <w:rPr>
          <w:bCs/>
        </w:rPr>
        <w:t xml:space="preserve">when </w:t>
      </w:r>
      <w:r>
        <w:rPr>
          <w:bCs/>
        </w:rPr>
        <w:t xml:space="preserve">one </w:t>
      </w:r>
      <w:r w:rsidRPr="007E03B9">
        <w:rPr>
          <w:bCs/>
        </w:rPr>
        <w:t>is finalized</w:t>
      </w:r>
      <w:r>
        <w:rPr>
          <w:bCs/>
        </w:rPr>
        <w:t xml:space="preserve">. The Commission held this item at its May 7, 2024 Administrative Session.  </w:t>
      </w:r>
    </w:p>
    <w:p w14:paraId="18B111D5" w14:textId="26E12966" w:rsidR="00A93290" w:rsidRDefault="00A93290" w:rsidP="000F26BB">
      <w:pPr>
        <w:pStyle w:val="Addressee"/>
        <w:spacing w:after="240" w:line="360" w:lineRule="auto"/>
        <w:ind w:firstLine="720"/>
        <w:jc w:val="both"/>
      </w:pPr>
      <w:r>
        <w:rPr>
          <w:bCs/>
        </w:rPr>
        <w:t xml:space="preserve">On </w:t>
      </w:r>
      <w:r w:rsidR="008646FC">
        <w:rPr>
          <w:bCs/>
        </w:rPr>
        <w:t xml:space="preserve">May 21, 2024, Pine Gate notified Staff </w:t>
      </w:r>
      <w:r w:rsidR="00DF24C9">
        <w:rPr>
          <w:bCs/>
        </w:rPr>
        <w:t xml:space="preserve">and the Commission </w:t>
      </w:r>
      <w:r w:rsidR="008646FC">
        <w:rPr>
          <w:bCs/>
        </w:rPr>
        <w:t xml:space="preserve">that </w:t>
      </w:r>
      <w:r w:rsidR="00B64695">
        <w:rPr>
          <w:bCs/>
        </w:rPr>
        <w:t>it had reached an understanding between MEAG Power and Pine Gate concerning the Warrenton Line Rebuild Project</w:t>
      </w:r>
      <w:r w:rsidR="003B5DC7">
        <w:rPr>
          <w:bCs/>
        </w:rPr>
        <w:t>. MEAG Power agreed to move forward with the project</w:t>
      </w:r>
      <w:r w:rsidR="002855A4">
        <w:rPr>
          <w:bCs/>
        </w:rPr>
        <w:t xml:space="preserve"> and submit </w:t>
      </w:r>
      <w:r w:rsidR="00DF24C9">
        <w:rPr>
          <w:bCs/>
        </w:rPr>
        <w:t>the project</w:t>
      </w:r>
      <w:r w:rsidR="00464B3A">
        <w:rPr>
          <w:bCs/>
        </w:rPr>
        <w:t xml:space="preserve"> for </w:t>
      </w:r>
      <w:r w:rsidR="00AC0FF3">
        <w:rPr>
          <w:bCs/>
        </w:rPr>
        <w:t>Integrated Transmission System (“</w:t>
      </w:r>
      <w:r w:rsidR="00464B3A">
        <w:rPr>
          <w:bCs/>
        </w:rPr>
        <w:t>ITS</w:t>
      </w:r>
      <w:r w:rsidR="00AC0FF3">
        <w:rPr>
          <w:bCs/>
        </w:rPr>
        <w:t>”)</w:t>
      </w:r>
      <w:r w:rsidR="00464B3A">
        <w:rPr>
          <w:bCs/>
        </w:rPr>
        <w:t xml:space="preserve"> approval</w:t>
      </w:r>
      <w:r w:rsidR="002855A4">
        <w:rPr>
          <w:bCs/>
        </w:rPr>
        <w:t xml:space="preserve">. </w:t>
      </w:r>
      <w:r w:rsidR="00464B3A">
        <w:rPr>
          <w:bCs/>
        </w:rPr>
        <w:t>If approval is not obtained for any reason,</w:t>
      </w:r>
      <w:r w:rsidR="00C17310">
        <w:rPr>
          <w:bCs/>
        </w:rPr>
        <w:t xml:space="preserve"> </w:t>
      </w:r>
      <w:r w:rsidR="00612C6B">
        <w:rPr>
          <w:bCs/>
        </w:rPr>
        <w:t>Pine Gate agree</w:t>
      </w:r>
      <w:r w:rsidR="000F26BB">
        <w:rPr>
          <w:bCs/>
        </w:rPr>
        <w:t>s</w:t>
      </w:r>
      <w:r w:rsidR="00612C6B">
        <w:rPr>
          <w:bCs/>
        </w:rPr>
        <w:t xml:space="preserve"> </w:t>
      </w:r>
      <w:r w:rsidR="002855A4">
        <w:rPr>
          <w:bCs/>
        </w:rPr>
        <w:t>to fund the entire cost of the project</w:t>
      </w:r>
      <w:r w:rsidR="00C17310">
        <w:rPr>
          <w:bCs/>
        </w:rPr>
        <w:t xml:space="preserve"> in advance of </w:t>
      </w:r>
      <w:r w:rsidR="00821346">
        <w:rPr>
          <w:bCs/>
        </w:rPr>
        <w:t>commencement</w:t>
      </w:r>
      <w:r w:rsidR="00173C32">
        <w:rPr>
          <w:bCs/>
        </w:rPr>
        <w:t xml:space="preserve"> of work.</w:t>
      </w:r>
    </w:p>
    <w:p w14:paraId="75363FC2" w14:textId="4FEBCA50" w:rsidR="00571A92" w:rsidRDefault="00DF7B6B" w:rsidP="00B36D9A">
      <w:pPr>
        <w:spacing w:after="240" w:line="360" w:lineRule="auto"/>
        <w:ind w:right="720" w:firstLine="720"/>
        <w:jc w:val="both"/>
      </w:pPr>
      <w:r>
        <w:t xml:space="preserve">On May 21, 2024, </w:t>
      </w:r>
      <w:r w:rsidR="00486030">
        <w:t>at t</w:t>
      </w:r>
      <w:r w:rsidR="00571A92" w:rsidRPr="00D42742">
        <w:t>he Commission</w:t>
      </w:r>
      <w:r w:rsidR="00486030">
        <w:t xml:space="preserve">’s </w:t>
      </w:r>
      <w:r w:rsidR="00486030" w:rsidRPr="00D42742">
        <w:t>Administrative Session</w:t>
      </w:r>
      <w:r w:rsidR="00486030">
        <w:t xml:space="preserve">, </w:t>
      </w:r>
      <w:r w:rsidR="00571A92">
        <w:t>Staf</w:t>
      </w:r>
      <w:r w:rsidR="004A0513">
        <w:t>f recommended the following:</w:t>
      </w:r>
    </w:p>
    <w:p w14:paraId="4F4DE7DA" w14:textId="561E52A6" w:rsidR="003E1318" w:rsidRDefault="003E1318" w:rsidP="00B36D9A">
      <w:pPr>
        <w:spacing w:after="240"/>
        <w:ind w:firstLine="720"/>
        <w:jc w:val="both"/>
        <w:rPr>
          <w:bCs/>
        </w:rPr>
      </w:pPr>
      <w:r>
        <w:rPr>
          <w:bCs/>
        </w:rPr>
        <w:t xml:space="preserve">  Pine Gate’s requested extension of time to sign its QFIAs is a moot issue </w:t>
      </w:r>
      <w:r w:rsidR="009D0D44">
        <w:rPr>
          <w:bCs/>
        </w:rPr>
        <w:t xml:space="preserve">due to the stipulation between Pine Gate and Georgia Power </w:t>
      </w:r>
      <w:r>
        <w:rPr>
          <w:bCs/>
        </w:rPr>
        <w:t xml:space="preserve">and </w:t>
      </w:r>
      <w:r w:rsidR="007806B7">
        <w:rPr>
          <w:bCs/>
        </w:rPr>
        <w:t xml:space="preserve">therefore </w:t>
      </w:r>
      <w:r>
        <w:rPr>
          <w:bCs/>
        </w:rPr>
        <w:t>Staff recommends no action be taken.</w:t>
      </w:r>
    </w:p>
    <w:p w14:paraId="7AC48469" w14:textId="59DC80E8" w:rsidR="003E1318" w:rsidRDefault="00AB763A" w:rsidP="00B36D9A">
      <w:pPr>
        <w:spacing w:after="240"/>
        <w:ind w:firstLine="720"/>
        <w:jc w:val="both"/>
        <w:rPr>
          <w:bCs/>
        </w:rPr>
      </w:pPr>
      <w:r>
        <w:rPr>
          <w:bCs/>
        </w:rPr>
        <w:t xml:space="preserve">Pine Gate’s request for </w:t>
      </w:r>
      <w:r w:rsidR="0065068A">
        <w:rPr>
          <w:bCs/>
        </w:rPr>
        <w:t>a</w:t>
      </w:r>
      <w:r w:rsidRPr="00AB763A">
        <w:rPr>
          <w:bCs/>
        </w:rPr>
        <w:t xml:space="preserve"> declaratory ruling </w:t>
      </w:r>
      <w:r w:rsidR="0065068A">
        <w:rPr>
          <w:bCs/>
        </w:rPr>
        <w:t xml:space="preserve">on Georgia Power’s requirement </w:t>
      </w:r>
      <w:r w:rsidRPr="00AB763A">
        <w:rPr>
          <w:bCs/>
        </w:rPr>
        <w:t xml:space="preserve">that Pine Gate provide financial security </w:t>
      </w:r>
      <w:r w:rsidR="0065068A">
        <w:rPr>
          <w:bCs/>
        </w:rPr>
        <w:t>for the Warrenton Line Rebuild Project</w:t>
      </w:r>
      <w:r w:rsidR="00AF1D85">
        <w:rPr>
          <w:bCs/>
        </w:rPr>
        <w:t xml:space="preserve"> is al</w:t>
      </w:r>
      <w:r w:rsidR="009D0D44">
        <w:rPr>
          <w:bCs/>
        </w:rPr>
        <w:t xml:space="preserve">so a moot point due to the agreement between Pine Gate and MEAG </w:t>
      </w:r>
      <w:r w:rsidR="004B7114">
        <w:rPr>
          <w:bCs/>
        </w:rPr>
        <w:t>concerning the cost responsibility of the Warrenton Line Rebuild Project</w:t>
      </w:r>
      <w:r w:rsidR="009D0D44" w:rsidRPr="009D0D44">
        <w:rPr>
          <w:bCs/>
        </w:rPr>
        <w:t xml:space="preserve"> </w:t>
      </w:r>
      <w:r w:rsidR="009D0D44">
        <w:rPr>
          <w:bCs/>
        </w:rPr>
        <w:t xml:space="preserve">and </w:t>
      </w:r>
      <w:r w:rsidR="007806B7">
        <w:rPr>
          <w:bCs/>
        </w:rPr>
        <w:t xml:space="preserve">therefore </w:t>
      </w:r>
      <w:r w:rsidR="009D0D44">
        <w:rPr>
          <w:bCs/>
        </w:rPr>
        <w:t>Staff recommends no action be taken.</w:t>
      </w:r>
      <w:r w:rsidR="003E1318">
        <w:rPr>
          <w:bCs/>
        </w:rPr>
        <w:t xml:space="preserve"> </w:t>
      </w:r>
      <w:r w:rsidR="00821346">
        <w:rPr>
          <w:bCs/>
        </w:rPr>
        <w:t xml:space="preserve">However, the QFIA’s will need to be reissued by Georgia Power, to remove the MEAG costs, prior to signing by Pine Gate.  </w:t>
      </w:r>
    </w:p>
    <w:p w14:paraId="19E47B25" w14:textId="41E46433" w:rsidR="003E1318" w:rsidRPr="00B36D9A" w:rsidRDefault="00EC6F7C" w:rsidP="00821346">
      <w:pPr>
        <w:spacing w:after="240"/>
        <w:ind w:firstLine="720"/>
        <w:jc w:val="both"/>
        <w:rPr>
          <w:bCs/>
        </w:rPr>
      </w:pPr>
      <w:r>
        <w:rPr>
          <w:bCs/>
        </w:rPr>
        <w:t>Pine Gate’s request for a</w:t>
      </w:r>
      <w:r w:rsidRPr="00EC6F7C">
        <w:rPr>
          <w:bCs/>
        </w:rPr>
        <w:t xml:space="preserve"> declaratory ruling </w:t>
      </w:r>
      <w:r>
        <w:rPr>
          <w:bCs/>
        </w:rPr>
        <w:t>on</w:t>
      </w:r>
      <w:r w:rsidRPr="00EC6F7C">
        <w:rPr>
          <w:bCs/>
        </w:rPr>
        <w:t xml:space="preserve"> Georgia Power’s requirement that Pine Gate pay unreasonably high O&amp;M expenses for interconnection facilities at its facilities </w:t>
      </w:r>
      <w:r w:rsidR="00895048">
        <w:rPr>
          <w:bCs/>
        </w:rPr>
        <w:t>is</w:t>
      </w:r>
      <w:r w:rsidR="005B72B5">
        <w:rPr>
          <w:bCs/>
        </w:rPr>
        <w:t xml:space="preserve"> still an </w:t>
      </w:r>
      <w:r w:rsidR="00895048">
        <w:rPr>
          <w:bCs/>
        </w:rPr>
        <w:t>outs</w:t>
      </w:r>
      <w:r w:rsidR="0027312E">
        <w:rPr>
          <w:bCs/>
        </w:rPr>
        <w:t xml:space="preserve">tanding </w:t>
      </w:r>
      <w:r w:rsidR="005B72B5">
        <w:rPr>
          <w:bCs/>
        </w:rPr>
        <w:t xml:space="preserve">issue for Commission decision. Staff </w:t>
      </w:r>
      <w:r w:rsidR="003E1318">
        <w:rPr>
          <w:bCs/>
        </w:rPr>
        <w:t xml:space="preserve">recommends that Georgia Power’s </w:t>
      </w:r>
      <w:r w:rsidR="003E1318" w:rsidRPr="007F0A85">
        <w:rPr>
          <w:bCs/>
        </w:rPr>
        <w:t xml:space="preserve">transmission/distribution line and substation O&amp;M rates </w:t>
      </w:r>
      <w:r w:rsidR="003E1318">
        <w:rPr>
          <w:bCs/>
        </w:rPr>
        <w:t xml:space="preserve">should </w:t>
      </w:r>
      <w:r w:rsidR="003E1318" w:rsidRPr="007F0A85">
        <w:rPr>
          <w:bCs/>
        </w:rPr>
        <w:t xml:space="preserve">be calculated separately </w:t>
      </w:r>
      <w:r w:rsidR="003E1318">
        <w:rPr>
          <w:bCs/>
        </w:rPr>
        <w:t xml:space="preserve">using expense to investment ratios from relevant </w:t>
      </w:r>
      <w:r w:rsidR="00E034B5">
        <w:rPr>
          <w:bCs/>
        </w:rPr>
        <w:t>Federal Energy Regulatory Commission (“</w:t>
      </w:r>
      <w:r w:rsidR="003E1318">
        <w:rPr>
          <w:bCs/>
        </w:rPr>
        <w:t>FERC</w:t>
      </w:r>
      <w:r w:rsidR="00E034B5">
        <w:rPr>
          <w:bCs/>
        </w:rPr>
        <w:t>”)</w:t>
      </w:r>
      <w:r w:rsidR="003E1318">
        <w:rPr>
          <w:bCs/>
        </w:rPr>
        <w:t xml:space="preserve"> accounts for projects greater than 6 </w:t>
      </w:r>
      <w:r w:rsidR="0055378D">
        <w:rPr>
          <w:bCs/>
        </w:rPr>
        <w:t>megawatts (“</w:t>
      </w:r>
      <w:r w:rsidR="003E1318">
        <w:rPr>
          <w:bCs/>
        </w:rPr>
        <w:t>MW</w:t>
      </w:r>
      <w:r w:rsidR="0055378D">
        <w:rPr>
          <w:bCs/>
        </w:rPr>
        <w:t>”)</w:t>
      </w:r>
      <w:r w:rsidR="003E1318">
        <w:rPr>
          <w:bCs/>
        </w:rPr>
        <w:t xml:space="preserve">, as such sized projects typically require substations to be built, in addition to line upgrades. These rates should be </w:t>
      </w:r>
      <w:r w:rsidR="003E1318" w:rsidRPr="007F0A85">
        <w:rPr>
          <w:bCs/>
        </w:rPr>
        <w:t xml:space="preserve">applied </w:t>
      </w:r>
      <w:r w:rsidR="003E1318">
        <w:rPr>
          <w:bCs/>
        </w:rPr>
        <w:t>respectively</w:t>
      </w:r>
      <w:r w:rsidR="003E1318" w:rsidRPr="007F0A85">
        <w:rPr>
          <w:bCs/>
        </w:rPr>
        <w:t xml:space="preserve"> to the transmission/distribution line and substation </w:t>
      </w:r>
      <w:r w:rsidR="003E1318">
        <w:rPr>
          <w:bCs/>
        </w:rPr>
        <w:t xml:space="preserve">capital </w:t>
      </w:r>
      <w:r w:rsidR="003E1318" w:rsidRPr="007F0A85">
        <w:rPr>
          <w:bCs/>
        </w:rPr>
        <w:t>costs incurred for each QF project.</w:t>
      </w:r>
      <w:r w:rsidR="003E1318">
        <w:rPr>
          <w:bCs/>
        </w:rPr>
        <w:t xml:space="preserve"> The calculated monthly O&amp;M amount for each QFIA would be adjusted based on actual capital project costs after </w:t>
      </w:r>
      <w:r w:rsidR="0055378D">
        <w:rPr>
          <w:bCs/>
        </w:rPr>
        <w:t>commercial operation</w:t>
      </w:r>
      <w:r w:rsidR="003E1318">
        <w:rPr>
          <w:bCs/>
        </w:rPr>
        <w:t>.</w:t>
      </w:r>
      <w:r w:rsidR="0027312E">
        <w:rPr>
          <w:bCs/>
        </w:rPr>
        <w:t xml:space="preserve"> </w:t>
      </w:r>
      <w:r w:rsidR="003E1318">
        <w:rPr>
          <w:bCs/>
        </w:rPr>
        <w:t xml:space="preserve">Staff does not recommend changing Georgia Power’s methodology of estimating future O&amp;M costs.  </w:t>
      </w:r>
    </w:p>
    <w:p w14:paraId="1B502EB5" w14:textId="1569AF87" w:rsidR="00A57A92" w:rsidRDefault="00A57A92" w:rsidP="00821346">
      <w:pPr>
        <w:spacing w:line="360" w:lineRule="auto"/>
        <w:ind w:right="720" w:firstLine="720"/>
        <w:jc w:val="both"/>
      </w:pPr>
      <w:r w:rsidRPr="00D42742">
        <w:t xml:space="preserve">The Commission approved </w:t>
      </w:r>
      <w:r>
        <w:t xml:space="preserve">Staff’s recommendation </w:t>
      </w:r>
      <w:r w:rsidRPr="00D42742">
        <w:t xml:space="preserve">at the </w:t>
      </w:r>
      <w:r w:rsidR="003E5872">
        <w:t>May</w:t>
      </w:r>
      <w:r>
        <w:t xml:space="preserve"> </w:t>
      </w:r>
      <w:r w:rsidR="003E5872">
        <w:t>2</w:t>
      </w:r>
      <w:r>
        <w:t>1</w:t>
      </w:r>
      <w:r w:rsidRPr="00D42742">
        <w:t>, 20</w:t>
      </w:r>
      <w:r>
        <w:t>2</w:t>
      </w:r>
      <w:r w:rsidR="003E5872">
        <w:t>4</w:t>
      </w:r>
      <w:r>
        <w:t xml:space="preserve">, </w:t>
      </w:r>
      <w:r w:rsidRPr="00D42742">
        <w:t>Administrative Session.</w:t>
      </w:r>
    </w:p>
    <w:p w14:paraId="6E1C9C1C" w14:textId="77777777" w:rsidR="00A57A92" w:rsidRDefault="00A57A92" w:rsidP="00461F52">
      <w:pPr>
        <w:spacing w:line="360" w:lineRule="auto"/>
        <w:ind w:right="720" w:firstLine="720"/>
        <w:jc w:val="both"/>
      </w:pPr>
    </w:p>
    <w:p w14:paraId="5A9DCD84" w14:textId="77777777" w:rsidR="00A57A92" w:rsidRPr="00D42742" w:rsidRDefault="00A57A92" w:rsidP="00461F52">
      <w:pPr>
        <w:spacing w:line="360" w:lineRule="auto"/>
        <w:ind w:right="720"/>
        <w:jc w:val="center"/>
      </w:pPr>
      <w:r w:rsidRPr="00D42742">
        <w:t>* * * * * * * * * * * * *</w:t>
      </w:r>
    </w:p>
    <w:p w14:paraId="72E217CB" w14:textId="77777777" w:rsidR="00A57A92" w:rsidRPr="00D42742" w:rsidRDefault="00A57A92" w:rsidP="00461F52">
      <w:pPr>
        <w:spacing w:line="360" w:lineRule="auto"/>
        <w:jc w:val="both"/>
        <w:rPr>
          <w:rFonts w:cs="Arial"/>
        </w:rPr>
      </w:pPr>
    </w:p>
    <w:p w14:paraId="66B7B497" w14:textId="77777777" w:rsidR="00A57A92" w:rsidRPr="00301D2F" w:rsidRDefault="00A57A92" w:rsidP="00461F52">
      <w:pPr>
        <w:spacing w:line="360" w:lineRule="auto"/>
        <w:jc w:val="both"/>
        <w:rPr>
          <w:rFonts w:cs="Arial"/>
        </w:rPr>
      </w:pPr>
    </w:p>
    <w:p w14:paraId="6CDB9A80" w14:textId="709C28FF" w:rsidR="00E803AB" w:rsidRPr="00E31E0D" w:rsidRDefault="00A57A92" w:rsidP="00AA29FF">
      <w:pPr>
        <w:pStyle w:val="BodyText"/>
        <w:spacing w:after="360" w:line="360" w:lineRule="auto"/>
        <w:ind w:firstLine="720"/>
        <w:jc w:val="both"/>
      </w:pPr>
      <w:r w:rsidRPr="00301D2F">
        <w:rPr>
          <w:rFonts w:cs="Arial"/>
          <w:b/>
          <w:szCs w:val="24"/>
        </w:rPr>
        <w:t>WHEREFORE</w:t>
      </w:r>
      <w:r w:rsidR="0066259D">
        <w:rPr>
          <w:rFonts w:cs="Arial"/>
          <w:b/>
          <w:szCs w:val="24"/>
        </w:rPr>
        <w:t>,</w:t>
      </w:r>
      <w:r w:rsidRPr="00301D2F">
        <w:rPr>
          <w:rFonts w:cs="Arial"/>
          <w:b/>
          <w:szCs w:val="24"/>
        </w:rPr>
        <w:t xml:space="preserve"> IT IS ORDERED</w:t>
      </w:r>
      <w:r w:rsidR="0066259D">
        <w:rPr>
          <w:rFonts w:cs="Arial"/>
          <w:b/>
          <w:szCs w:val="24"/>
        </w:rPr>
        <w:t>,</w:t>
      </w:r>
      <w:r w:rsidRPr="00301D2F">
        <w:rPr>
          <w:rFonts w:cs="Arial"/>
          <w:szCs w:val="24"/>
        </w:rPr>
        <w:t xml:space="preserve"> </w:t>
      </w:r>
      <w:r w:rsidR="008034D4" w:rsidRPr="000A4BAA">
        <w:rPr>
          <w:rFonts w:cs="Arial"/>
        </w:rPr>
        <w:t xml:space="preserve">that </w:t>
      </w:r>
      <w:r w:rsidR="00A02DB6" w:rsidRPr="00A02DB6">
        <w:rPr>
          <w:rFonts w:cs="Arial"/>
          <w:szCs w:val="24"/>
        </w:rPr>
        <w:t>Georgia Power</w:t>
      </w:r>
      <w:r w:rsidR="008034D4">
        <w:rPr>
          <w:rFonts w:cs="Arial"/>
          <w:szCs w:val="24"/>
        </w:rPr>
        <w:t xml:space="preserve"> Company</w:t>
      </w:r>
      <w:r w:rsidR="00A02DB6" w:rsidRPr="00A02DB6">
        <w:rPr>
          <w:rFonts w:cs="Arial"/>
          <w:szCs w:val="24"/>
        </w:rPr>
        <w:t xml:space="preserve">’s transmission/distribution line and substation </w:t>
      </w:r>
      <w:r w:rsidR="00463EA2">
        <w:rPr>
          <w:rFonts w:cs="Arial"/>
          <w:szCs w:val="24"/>
        </w:rPr>
        <w:t>operations and maintenance</w:t>
      </w:r>
      <w:r w:rsidR="00A02DB6" w:rsidRPr="00A02DB6">
        <w:rPr>
          <w:rFonts w:cs="Arial"/>
          <w:szCs w:val="24"/>
        </w:rPr>
        <w:t xml:space="preserve"> rates </w:t>
      </w:r>
      <w:r w:rsidR="00463EA2">
        <w:rPr>
          <w:rFonts w:cs="Arial"/>
          <w:szCs w:val="24"/>
        </w:rPr>
        <w:t>shall</w:t>
      </w:r>
      <w:r w:rsidR="00A02DB6" w:rsidRPr="00A02DB6">
        <w:rPr>
          <w:rFonts w:cs="Arial"/>
          <w:szCs w:val="24"/>
        </w:rPr>
        <w:t xml:space="preserve"> be calculated separately using expense to investment ratios from relevant Federal Energy Regulatory Commission accounts for </w:t>
      </w:r>
      <w:r w:rsidR="008F5F64">
        <w:rPr>
          <w:rFonts w:cs="Arial"/>
          <w:szCs w:val="24"/>
        </w:rPr>
        <w:t>qualifying facility</w:t>
      </w:r>
      <w:r w:rsidR="000D0AC7">
        <w:rPr>
          <w:rFonts w:cs="Arial"/>
          <w:szCs w:val="24"/>
        </w:rPr>
        <w:t xml:space="preserve"> </w:t>
      </w:r>
      <w:r w:rsidR="00A02DB6" w:rsidRPr="00A02DB6">
        <w:rPr>
          <w:rFonts w:cs="Arial"/>
          <w:szCs w:val="24"/>
        </w:rPr>
        <w:t xml:space="preserve">projects greater than </w:t>
      </w:r>
      <w:r w:rsidR="00E73055">
        <w:rPr>
          <w:rFonts w:cs="Arial"/>
          <w:szCs w:val="24"/>
        </w:rPr>
        <w:t>six (</w:t>
      </w:r>
      <w:r w:rsidR="00A02DB6" w:rsidRPr="00A02DB6">
        <w:rPr>
          <w:rFonts w:cs="Arial"/>
          <w:szCs w:val="24"/>
        </w:rPr>
        <w:t>6</w:t>
      </w:r>
      <w:r w:rsidR="00E73055">
        <w:rPr>
          <w:rFonts w:cs="Arial"/>
          <w:szCs w:val="24"/>
        </w:rPr>
        <w:t>)</w:t>
      </w:r>
      <w:r w:rsidR="00A02DB6" w:rsidRPr="00A02DB6">
        <w:rPr>
          <w:rFonts w:cs="Arial"/>
          <w:szCs w:val="24"/>
        </w:rPr>
        <w:t xml:space="preserve"> megawatts. </w:t>
      </w:r>
      <w:r w:rsidR="000D0AC7">
        <w:rPr>
          <w:rFonts w:cs="Arial"/>
          <w:szCs w:val="24"/>
        </w:rPr>
        <w:t>Such</w:t>
      </w:r>
      <w:r w:rsidR="00A02DB6" w:rsidRPr="00A02DB6">
        <w:rPr>
          <w:rFonts w:cs="Arial"/>
          <w:szCs w:val="24"/>
        </w:rPr>
        <w:t xml:space="preserve"> rates </w:t>
      </w:r>
      <w:r w:rsidR="00E73055">
        <w:rPr>
          <w:rFonts w:cs="Arial"/>
          <w:szCs w:val="24"/>
        </w:rPr>
        <w:t>shall</w:t>
      </w:r>
      <w:r w:rsidR="00A02DB6" w:rsidRPr="00A02DB6">
        <w:rPr>
          <w:rFonts w:cs="Arial"/>
          <w:szCs w:val="24"/>
        </w:rPr>
        <w:t xml:space="preserve"> be applied respectively to the transmission/distribution line and substation capital costs incurred for each </w:t>
      </w:r>
      <w:r w:rsidR="00E73055">
        <w:rPr>
          <w:rFonts w:cs="Arial"/>
          <w:szCs w:val="24"/>
        </w:rPr>
        <w:t>qualifying facility</w:t>
      </w:r>
      <w:r w:rsidR="00A02DB6" w:rsidRPr="00A02DB6">
        <w:rPr>
          <w:rFonts w:cs="Arial"/>
          <w:szCs w:val="24"/>
        </w:rPr>
        <w:t xml:space="preserve"> project.  </w:t>
      </w:r>
    </w:p>
    <w:p w14:paraId="50A0DA51" w14:textId="53800B02" w:rsidR="005012C6" w:rsidRPr="00B8508A" w:rsidRDefault="005012C6" w:rsidP="00461F52">
      <w:pPr>
        <w:spacing w:after="360" w:line="360" w:lineRule="auto"/>
        <w:ind w:firstLine="720"/>
        <w:jc w:val="both"/>
        <w:rPr>
          <w:rFonts w:cs="Arial"/>
        </w:rPr>
      </w:pPr>
      <w:r w:rsidRPr="00301D2F">
        <w:rPr>
          <w:rFonts w:cs="Arial"/>
          <w:b/>
        </w:rPr>
        <w:t>ORDERED FURTHER</w:t>
      </w:r>
      <w:r w:rsidRPr="00301D2F">
        <w:rPr>
          <w:rFonts w:cs="Arial"/>
        </w:rPr>
        <w:t xml:space="preserve">, </w:t>
      </w:r>
      <w:r w:rsidRPr="000A4BAA">
        <w:rPr>
          <w:rFonts w:cs="Arial"/>
        </w:rPr>
        <w:t>that all findings, conclusions, statements, and directives made by the Commission and contained in the foregoing sections of this Order are hereby adopted as findings of fact, conclusions of law, statements of regulatory policy, and orders of this Commission.</w:t>
      </w:r>
    </w:p>
    <w:p w14:paraId="45E437F5" w14:textId="77777777" w:rsidR="005012C6" w:rsidRPr="00FE77C8" w:rsidRDefault="005012C6" w:rsidP="00461F52">
      <w:pPr>
        <w:spacing w:after="360" w:line="360" w:lineRule="auto"/>
        <w:ind w:firstLine="720"/>
        <w:jc w:val="both"/>
        <w:rPr>
          <w:rFonts w:cs="Arial"/>
          <w:b/>
          <w:szCs w:val="22"/>
        </w:rPr>
      </w:pPr>
      <w:r w:rsidRPr="00FE77C8">
        <w:rPr>
          <w:rFonts w:cs="Arial"/>
          <w:b/>
          <w:szCs w:val="22"/>
        </w:rPr>
        <w:t>ORDERED FURTHER</w:t>
      </w:r>
      <w:r w:rsidRPr="00FE77C8">
        <w:rPr>
          <w:rFonts w:cs="Arial"/>
          <w:szCs w:val="22"/>
        </w:rPr>
        <w:t>, that a motion for reconsideration, rehearing, or oral argument or any other motion shall not stay the effective date of this Order, unless otherwise ordered by the Commission.</w:t>
      </w:r>
    </w:p>
    <w:p w14:paraId="4022E663" w14:textId="4ABC6171" w:rsidR="00E803AB" w:rsidRPr="005012C6" w:rsidRDefault="005012C6" w:rsidP="00461F52">
      <w:pPr>
        <w:spacing w:after="360" w:line="360" w:lineRule="auto"/>
        <w:ind w:firstLine="720"/>
        <w:jc w:val="both"/>
        <w:rPr>
          <w:rFonts w:cs="Arial"/>
          <w:szCs w:val="22"/>
        </w:rPr>
      </w:pPr>
      <w:r w:rsidRPr="00FE77C8">
        <w:rPr>
          <w:rFonts w:cs="Arial"/>
          <w:b/>
          <w:szCs w:val="22"/>
        </w:rPr>
        <w:t>ORDERED FURTHER</w:t>
      </w:r>
      <w:r w:rsidRPr="00FE77C8">
        <w:rPr>
          <w:rFonts w:cs="Arial"/>
          <w:szCs w:val="22"/>
        </w:rPr>
        <w:t>, that jurisdiction over this matter is expressly retained for the purpose of entering such further Order or Orders as this Commission may deem just and proper.</w:t>
      </w:r>
    </w:p>
    <w:p w14:paraId="15ED4500" w14:textId="6CFE6CC4" w:rsidR="00E803AB" w:rsidRPr="00E31E0D" w:rsidRDefault="00E803AB" w:rsidP="00461F52">
      <w:pPr>
        <w:suppressAutoHyphens/>
        <w:spacing w:line="360" w:lineRule="auto"/>
        <w:ind w:firstLine="720"/>
        <w:jc w:val="both"/>
      </w:pPr>
      <w:r w:rsidRPr="65E32A7D">
        <w:t xml:space="preserve">The above by action of the Commission in its Administrative Session on the </w:t>
      </w:r>
      <w:r w:rsidR="0052554C">
        <w:t>21</w:t>
      </w:r>
      <w:r w:rsidR="0052554C">
        <w:rPr>
          <w:vertAlign w:val="superscript"/>
        </w:rPr>
        <w:t>st</w:t>
      </w:r>
      <w:r w:rsidRPr="65E32A7D">
        <w:t xml:space="preserve"> day of May 2024.</w:t>
      </w:r>
    </w:p>
    <w:p w14:paraId="4A7CCD18" w14:textId="77777777" w:rsidR="00E803AB" w:rsidRPr="00D62B94" w:rsidRDefault="00E803AB" w:rsidP="00E803AB">
      <w:pPr>
        <w:tabs>
          <w:tab w:val="left" w:pos="-720"/>
        </w:tabs>
        <w:suppressAutoHyphens/>
        <w:jc w:val="both"/>
        <w:rPr>
          <w:color w:val="FF0000"/>
          <w:spacing w:val="-3"/>
        </w:rPr>
      </w:pPr>
    </w:p>
    <w:p w14:paraId="30D4DF1F" w14:textId="77777777" w:rsidR="00E803AB" w:rsidRPr="00D62B94" w:rsidRDefault="00E803AB" w:rsidP="00E803AB">
      <w:pPr>
        <w:tabs>
          <w:tab w:val="left" w:pos="-720"/>
        </w:tabs>
        <w:suppressAutoHyphens/>
        <w:jc w:val="both"/>
        <w:rPr>
          <w:color w:val="FF0000"/>
          <w:spacing w:val="-3"/>
        </w:rPr>
      </w:pPr>
    </w:p>
    <w:p w14:paraId="71807416" w14:textId="77777777" w:rsidR="00E803AB" w:rsidRPr="00035D9F" w:rsidRDefault="00E803AB" w:rsidP="00E803AB">
      <w:pPr>
        <w:tabs>
          <w:tab w:val="left" w:pos="-720"/>
        </w:tabs>
        <w:suppressAutoHyphens/>
        <w:jc w:val="both"/>
        <w:rPr>
          <w:spacing w:val="-3"/>
        </w:rPr>
      </w:pPr>
    </w:p>
    <w:p w14:paraId="67F2694D" w14:textId="77777777" w:rsidR="00E803AB" w:rsidRPr="00035D9F" w:rsidRDefault="00E803AB" w:rsidP="00E803AB">
      <w:pPr>
        <w:tabs>
          <w:tab w:val="left" w:pos="-720"/>
        </w:tabs>
        <w:suppressAutoHyphens/>
        <w:jc w:val="both"/>
        <w:rPr>
          <w:spacing w:val="-3"/>
        </w:rPr>
      </w:pPr>
    </w:p>
    <w:p w14:paraId="59BE8BCF" w14:textId="77777777" w:rsidR="00E803AB" w:rsidRPr="00035D9F" w:rsidRDefault="00E803AB" w:rsidP="00E803AB">
      <w:pPr>
        <w:tabs>
          <w:tab w:val="left" w:pos="0"/>
          <w:tab w:val="left" w:pos="5040"/>
        </w:tabs>
        <w:suppressAutoHyphens/>
        <w:jc w:val="both"/>
        <w:rPr>
          <w:spacing w:val="-3"/>
        </w:rPr>
      </w:pPr>
      <w:r w:rsidRPr="00035D9F">
        <w:rPr>
          <w:spacing w:val="-3"/>
        </w:rPr>
        <w:t>______________________________</w:t>
      </w:r>
      <w:r w:rsidRPr="00035D9F">
        <w:rPr>
          <w:spacing w:val="-3"/>
        </w:rPr>
        <w:tab/>
        <w:t>______________________________</w:t>
      </w:r>
    </w:p>
    <w:p w14:paraId="7E06600F" w14:textId="77777777" w:rsidR="00E803AB" w:rsidRPr="00035D9F" w:rsidRDefault="00E803AB" w:rsidP="00E803AB">
      <w:pPr>
        <w:tabs>
          <w:tab w:val="left" w:pos="0"/>
          <w:tab w:val="left" w:pos="5040"/>
        </w:tabs>
        <w:suppressAutoHyphens/>
        <w:jc w:val="both"/>
        <w:rPr>
          <w:b/>
          <w:bCs/>
          <w:spacing w:val="-3"/>
        </w:rPr>
      </w:pPr>
      <w:r w:rsidRPr="00035D9F">
        <w:rPr>
          <w:b/>
          <w:bCs/>
          <w:spacing w:val="-3"/>
        </w:rPr>
        <w:t>SALLIE TANNER</w:t>
      </w:r>
      <w:r w:rsidRPr="00035D9F">
        <w:rPr>
          <w:b/>
          <w:bCs/>
          <w:spacing w:val="-3"/>
        </w:rPr>
        <w:tab/>
        <w:t>JASON SHAW</w:t>
      </w:r>
    </w:p>
    <w:p w14:paraId="55A013D0" w14:textId="77777777" w:rsidR="00E803AB" w:rsidRPr="00035D9F" w:rsidRDefault="00E803AB" w:rsidP="00E803AB">
      <w:pPr>
        <w:tabs>
          <w:tab w:val="left" w:pos="0"/>
          <w:tab w:val="left" w:pos="5040"/>
          <w:tab w:val="left" w:pos="8190"/>
          <w:tab w:val="left" w:pos="8640"/>
        </w:tabs>
        <w:suppressAutoHyphens/>
        <w:jc w:val="both"/>
        <w:rPr>
          <w:b/>
          <w:bCs/>
          <w:spacing w:val="-3"/>
        </w:rPr>
      </w:pPr>
      <w:r w:rsidRPr="00035D9F">
        <w:rPr>
          <w:b/>
          <w:bCs/>
          <w:spacing w:val="-3"/>
        </w:rPr>
        <w:t>EXECUTIVE SECRETARY</w:t>
      </w:r>
      <w:r w:rsidRPr="00035D9F">
        <w:rPr>
          <w:b/>
          <w:bCs/>
          <w:spacing w:val="-3"/>
        </w:rPr>
        <w:tab/>
        <w:t>CHAIRMAN</w:t>
      </w:r>
    </w:p>
    <w:p w14:paraId="7924EFD8" w14:textId="77777777" w:rsidR="00E803AB" w:rsidRPr="00035D9F" w:rsidRDefault="00E803AB" w:rsidP="00E803AB">
      <w:pPr>
        <w:tabs>
          <w:tab w:val="left" w:pos="0"/>
          <w:tab w:val="left" w:pos="5040"/>
          <w:tab w:val="left" w:pos="8190"/>
          <w:tab w:val="left" w:pos="8640"/>
        </w:tabs>
        <w:suppressAutoHyphens/>
        <w:jc w:val="both"/>
        <w:rPr>
          <w:spacing w:val="-3"/>
        </w:rPr>
      </w:pPr>
    </w:p>
    <w:p w14:paraId="19123725" w14:textId="77777777" w:rsidR="00E803AB" w:rsidRPr="00035D9F" w:rsidRDefault="00E803AB" w:rsidP="00E803AB">
      <w:pPr>
        <w:tabs>
          <w:tab w:val="left" w:pos="0"/>
          <w:tab w:val="left" w:pos="5040"/>
          <w:tab w:val="left" w:pos="8190"/>
          <w:tab w:val="left" w:pos="8640"/>
        </w:tabs>
        <w:suppressAutoHyphens/>
        <w:jc w:val="both"/>
        <w:rPr>
          <w:spacing w:val="-3"/>
        </w:rPr>
      </w:pPr>
    </w:p>
    <w:p w14:paraId="6ADA3BB7" w14:textId="77777777" w:rsidR="00E803AB" w:rsidRPr="00035D9F" w:rsidRDefault="00E803AB" w:rsidP="00E803AB">
      <w:pPr>
        <w:tabs>
          <w:tab w:val="left" w:pos="0"/>
          <w:tab w:val="left" w:pos="5040"/>
          <w:tab w:val="left" w:pos="8190"/>
          <w:tab w:val="left" w:pos="8640"/>
        </w:tabs>
        <w:suppressAutoHyphens/>
        <w:jc w:val="both"/>
        <w:rPr>
          <w:spacing w:val="-3"/>
        </w:rPr>
      </w:pPr>
    </w:p>
    <w:p w14:paraId="5131BAF0" w14:textId="77777777" w:rsidR="00E803AB" w:rsidRPr="00035D9F" w:rsidRDefault="00E803AB" w:rsidP="00E803AB">
      <w:pPr>
        <w:tabs>
          <w:tab w:val="left" w:pos="0"/>
          <w:tab w:val="left" w:pos="5040"/>
          <w:tab w:val="left" w:pos="8190"/>
          <w:tab w:val="left" w:pos="8640"/>
        </w:tabs>
        <w:suppressAutoHyphens/>
        <w:jc w:val="both"/>
        <w:rPr>
          <w:spacing w:val="-3"/>
        </w:rPr>
      </w:pPr>
    </w:p>
    <w:p w14:paraId="7BDD72E8" w14:textId="77777777" w:rsidR="00E803AB" w:rsidRPr="00035D9F" w:rsidRDefault="00E803AB" w:rsidP="00E803AB">
      <w:pPr>
        <w:tabs>
          <w:tab w:val="left" w:pos="0"/>
          <w:tab w:val="left" w:pos="5040"/>
          <w:tab w:val="left" w:pos="8190"/>
          <w:tab w:val="left" w:pos="8640"/>
        </w:tabs>
        <w:suppressAutoHyphens/>
        <w:jc w:val="both"/>
        <w:rPr>
          <w:spacing w:val="-3"/>
        </w:rPr>
      </w:pPr>
      <w:r w:rsidRPr="00035D9F">
        <w:rPr>
          <w:spacing w:val="-3"/>
        </w:rPr>
        <w:t>______________________________</w:t>
      </w:r>
      <w:r w:rsidRPr="00035D9F">
        <w:rPr>
          <w:spacing w:val="-3"/>
        </w:rPr>
        <w:tab/>
        <w:t>______________________________</w:t>
      </w:r>
    </w:p>
    <w:p w14:paraId="798E39CB" w14:textId="77777777" w:rsidR="00E803AB" w:rsidRPr="00035D9F" w:rsidRDefault="00E803AB" w:rsidP="00E803AB">
      <w:pPr>
        <w:tabs>
          <w:tab w:val="left" w:pos="0"/>
          <w:tab w:val="left" w:pos="5040"/>
          <w:tab w:val="left" w:pos="8190"/>
          <w:tab w:val="left" w:pos="8640"/>
        </w:tabs>
        <w:suppressAutoHyphens/>
        <w:jc w:val="both"/>
        <w:rPr>
          <w:spacing w:val="-3"/>
        </w:rPr>
      </w:pPr>
      <w:r w:rsidRPr="00035D9F">
        <w:rPr>
          <w:spacing w:val="-3"/>
        </w:rPr>
        <w:t>Date</w:t>
      </w:r>
      <w:r w:rsidRPr="00035D9F">
        <w:rPr>
          <w:spacing w:val="-3"/>
        </w:rPr>
        <w:tab/>
        <w:t>Date</w:t>
      </w:r>
    </w:p>
    <w:p w14:paraId="604C2957" w14:textId="77777777" w:rsidR="00E803AB" w:rsidRPr="001F5C8C" w:rsidRDefault="00E803AB" w:rsidP="00E803AB">
      <w:pPr>
        <w:tabs>
          <w:tab w:val="left" w:pos="0"/>
          <w:tab w:val="left" w:pos="5040"/>
          <w:tab w:val="left" w:pos="8190"/>
          <w:tab w:val="left" w:pos="8640"/>
        </w:tabs>
        <w:suppressAutoHyphens/>
        <w:jc w:val="both"/>
        <w:rPr>
          <w:color w:val="FF0000"/>
          <w:spacing w:val="-3"/>
        </w:rPr>
      </w:pPr>
    </w:p>
    <w:p w14:paraId="4FA364AD" w14:textId="77777777" w:rsidR="009E6D0D" w:rsidRDefault="009E6D0D" w:rsidP="009E6D0D">
      <w:pPr>
        <w:rPr>
          <w:rFonts w:ascii="Arial" w:hAnsi="Arial"/>
          <w:b/>
        </w:rPr>
      </w:pPr>
    </w:p>
    <w:p w14:paraId="4A5A2F24" w14:textId="77777777" w:rsidR="009E6D0D" w:rsidRDefault="009E6D0D" w:rsidP="009E6D0D">
      <w:pPr>
        <w:rPr>
          <w:rFonts w:ascii="Arial" w:hAnsi="Arial"/>
        </w:rPr>
      </w:pPr>
      <w:r>
        <w:rPr>
          <w:rFonts w:ascii="Arial" w:hAnsi="Arial"/>
        </w:rPr>
        <w:tab/>
      </w:r>
    </w:p>
    <w:p w14:paraId="39660166" w14:textId="77777777" w:rsidR="009E6D0D" w:rsidRPr="009E6D0D" w:rsidRDefault="009E6D0D" w:rsidP="009E6D0D"/>
    <w:sectPr w:rsidR="009E6D0D" w:rsidRPr="009E6D0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207FA" w14:textId="77777777" w:rsidR="00D70F63" w:rsidRDefault="00D70F63" w:rsidP="00F74526">
      <w:r>
        <w:separator/>
      </w:r>
    </w:p>
  </w:endnote>
  <w:endnote w:type="continuationSeparator" w:id="0">
    <w:p w14:paraId="036B4235" w14:textId="77777777" w:rsidR="00D70F63" w:rsidRDefault="00D70F63" w:rsidP="00F74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1D230" w14:textId="77777777" w:rsidR="002D135D" w:rsidRDefault="002D135D" w:rsidP="003E1318">
    <w:pPr>
      <w:pStyle w:val="Title"/>
      <w:jc w:val="left"/>
      <w:rPr>
        <w:sz w:val="20"/>
        <w:szCs w:val="20"/>
      </w:rPr>
    </w:pPr>
  </w:p>
  <w:p w14:paraId="35278027" w14:textId="1A08076E" w:rsidR="00736DE2" w:rsidRPr="003E1318" w:rsidRDefault="00736DE2" w:rsidP="002D135D">
    <w:pPr>
      <w:pStyle w:val="Title"/>
      <w:rPr>
        <w:b/>
        <w:sz w:val="20"/>
        <w:szCs w:val="20"/>
      </w:rPr>
    </w:pPr>
    <w:r w:rsidRPr="003E1318">
      <w:rPr>
        <w:sz w:val="20"/>
        <w:szCs w:val="20"/>
      </w:rPr>
      <w:t xml:space="preserve">Docket No. </w:t>
    </w:r>
    <w:r w:rsidR="003E1318" w:rsidRPr="003E1318">
      <w:rPr>
        <w:bCs/>
        <w:sz w:val="20"/>
        <w:szCs w:val="20"/>
      </w:rPr>
      <w:t>4822</w:t>
    </w:r>
  </w:p>
  <w:p w14:paraId="476C3335" w14:textId="05B7CDDD" w:rsidR="00736DE2" w:rsidRPr="003E1318" w:rsidRDefault="002D135D" w:rsidP="00736DE2">
    <w:pPr>
      <w:pStyle w:val="Footer"/>
      <w:jc w:val="center"/>
      <w:rPr>
        <w:sz w:val="20"/>
        <w:szCs w:val="20"/>
      </w:rPr>
    </w:pPr>
    <w:r>
      <w:rPr>
        <w:sz w:val="20"/>
        <w:szCs w:val="20"/>
      </w:rPr>
      <w:t>Pine Gate Renewables</w:t>
    </w:r>
    <w:r w:rsidR="00F41B52">
      <w:rPr>
        <w:sz w:val="20"/>
        <w:szCs w:val="20"/>
      </w:rPr>
      <w:t>, LLC</w:t>
    </w:r>
    <w:r>
      <w:rPr>
        <w:sz w:val="20"/>
        <w:szCs w:val="20"/>
      </w:rPr>
      <w:t xml:space="preserve"> Emergency Petition Order</w:t>
    </w:r>
  </w:p>
  <w:p w14:paraId="3A9885DB" w14:textId="701499D2" w:rsidR="00736DE2" w:rsidRPr="003E1318" w:rsidRDefault="00736DE2" w:rsidP="003E1318">
    <w:pPr>
      <w:tabs>
        <w:tab w:val="left" w:pos="-720"/>
        <w:tab w:val="left" w:pos="3768"/>
        <w:tab w:val="center" w:pos="4680"/>
      </w:tabs>
      <w:suppressAutoHyphens/>
      <w:jc w:val="center"/>
      <w:rPr>
        <w:rFonts w:ascii="Arial" w:hAnsi="Arial"/>
        <w:sz w:val="20"/>
        <w:szCs w:val="20"/>
      </w:rPr>
    </w:pPr>
    <w:r w:rsidRPr="003E1318">
      <w:rPr>
        <w:sz w:val="20"/>
        <w:szCs w:val="20"/>
      </w:rPr>
      <w:t xml:space="preserve">Page </w:t>
    </w:r>
    <w:r w:rsidRPr="003E1318">
      <w:rPr>
        <w:rStyle w:val="PageNumber"/>
        <w:sz w:val="20"/>
        <w:szCs w:val="20"/>
      </w:rPr>
      <w:fldChar w:fldCharType="begin"/>
    </w:r>
    <w:r w:rsidRPr="003E1318">
      <w:rPr>
        <w:rStyle w:val="PageNumber"/>
        <w:sz w:val="20"/>
        <w:szCs w:val="20"/>
      </w:rPr>
      <w:instrText xml:space="preserve"> PAGE </w:instrText>
    </w:r>
    <w:r w:rsidRPr="003E1318">
      <w:rPr>
        <w:rStyle w:val="PageNumber"/>
        <w:sz w:val="20"/>
        <w:szCs w:val="20"/>
      </w:rPr>
      <w:fldChar w:fldCharType="separate"/>
    </w:r>
    <w:r w:rsidRPr="003E1318">
      <w:rPr>
        <w:rStyle w:val="PageNumber"/>
        <w:sz w:val="20"/>
        <w:szCs w:val="20"/>
      </w:rPr>
      <w:t>8</w:t>
    </w:r>
    <w:r w:rsidRPr="003E1318">
      <w:rPr>
        <w:rStyle w:val="PageNumber"/>
        <w:sz w:val="20"/>
        <w:szCs w:val="20"/>
      </w:rPr>
      <w:fldChar w:fldCharType="end"/>
    </w:r>
    <w:r w:rsidRPr="003E1318">
      <w:rPr>
        <w:rStyle w:val="PageNumber"/>
        <w:sz w:val="20"/>
        <w:szCs w:val="20"/>
      </w:rPr>
      <w:t xml:space="preserve"> of </w:t>
    </w:r>
    <w:r w:rsidRPr="003E1318">
      <w:rPr>
        <w:rStyle w:val="PageNumber"/>
        <w:sz w:val="20"/>
        <w:szCs w:val="20"/>
      </w:rPr>
      <w:fldChar w:fldCharType="begin"/>
    </w:r>
    <w:r w:rsidRPr="003E1318">
      <w:rPr>
        <w:rStyle w:val="PageNumber"/>
        <w:sz w:val="20"/>
        <w:szCs w:val="20"/>
      </w:rPr>
      <w:instrText xml:space="preserve"> NUMPAGES </w:instrText>
    </w:r>
    <w:r w:rsidRPr="003E1318">
      <w:rPr>
        <w:rStyle w:val="PageNumber"/>
        <w:sz w:val="20"/>
        <w:szCs w:val="20"/>
      </w:rPr>
      <w:fldChar w:fldCharType="separate"/>
    </w:r>
    <w:r w:rsidRPr="003E1318">
      <w:rPr>
        <w:rStyle w:val="PageNumber"/>
        <w:sz w:val="20"/>
        <w:szCs w:val="20"/>
      </w:rPr>
      <w:t>8</w:t>
    </w:r>
    <w:r w:rsidRPr="003E131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33A4D" w14:textId="77777777" w:rsidR="00D70F63" w:rsidRDefault="00D70F63" w:rsidP="00F74526">
      <w:r>
        <w:separator/>
      </w:r>
    </w:p>
  </w:footnote>
  <w:footnote w:type="continuationSeparator" w:id="0">
    <w:p w14:paraId="604E973C" w14:textId="77777777" w:rsidR="00D70F63" w:rsidRDefault="00D70F63" w:rsidP="00F74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E006E"/>
    <w:multiLevelType w:val="hybridMultilevel"/>
    <w:tmpl w:val="5B0EB3F2"/>
    <w:lvl w:ilvl="0" w:tplc="8466C39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15A553E"/>
    <w:multiLevelType w:val="hybridMultilevel"/>
    <w:tmpl w:val="2744C94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D34E91"/>
    <w:multiLevelType w:val="hybridMultilevel"/>
    <w:tmpl w:val="08E69F40"/>
    <w:lvl w:ilvl="0" w:tplc="F928040E">
      <w:start w:val="6"/>
      <w:numFmt w:val="lowerLetter"/>
      <w:lvlText w:val="(%1)"/>
      <w:lvlJc w:val="left"/>
      <w:pPr>
        <w:tabs>
          <w:tab w:val="num" w:pos="2220"/>
        </w:tabs>
        <w:ind w:left="2220" w:hanging="360"/>
      </w:pPr>
      <w:rPr>
        <w:rFonts w:hint="default"/>
      </w:rPr>
    </w:lvl>
    <w:lvl w:ilvl="1" w:tplc="04090019">
      <w:start w:val="1"/>
      <w:numFmt w:val="lowerLetter"/>
      <w:lvlText w:val="%2."/>
      <w:lvlJc w:val="left"/>
      <w:pPr>
        <w:tabs>
          <w:tab w:val="num" w:pos="2940"/>
        </w:tabs>
        <w:ind w:left="2940" w:hanging="360"/>
      </w:pPr>
    </w:lvl>
    <w:lvl w:ilvl="2" w:tplc="0409001B">
      <w:start w:val="1"/>
      <w:numFmt w:val="lowerRoman"/>
      <w:lvlText w:val="%3."/>
      <w:lvlJc w:val="right"/>
      <w:pPr>
        <w:tabs>
          <w:tab w:val="num" w:pos="3660"/>
        </w:tabs>
        <w:ind w:left="3660" w:hanging="180"/>
      </w:pPr>
    </w:lvl>
    <w:lvl w:ilvl="3" w:tplc="0409000F">
      <w:start w:val="1"/>
      <w:numFmt w:val="decimal"/>
      <w:lvlText w:val="%4."/>
      <w:lvlJc w:val="left"/>
      <w:pPr>
        <w:tabs>
          <w:tab w:val="num" w:pos="4380"/>
        </w:tabs>
        <w:ind w:left="4380" w:hanging="360"/>
      </w:pPr>
    </w:lvl>
    <w:lvl w:ilvl="4" w:tplc="04090019">
      <w:start w:val="1"/>
      <w:numFmt w:val="lowerLetter"/>
      <w:lvlText w:val="%5."/>
      <w:lvlJc w:val="left"/>
      <w:pPr>
        <w:tabs>
          <w:tab w:val="num" w:pos="5100"/>
        </w:tabs>
        <w:ind w:left="5100" w:hanging="360"/>
      </w:pPr>
    </w:lvl>
    <w:lvl w:ilvl="5" w:tplc="0409001B">
      <w:start w:val="1"/>
      <w:numFmt w:val="lowerRoman"/>
      <w:lvlText w:val="%6."/>
      <w:lvlJc w:val="right"/>
      <w:pPr>
        <w:tabs>
          <w:tab w:val="num" w:pos="5820"/>
        </w:tabs>
        <w:ind w:left="5820" w:hanging="180"/>
      </w:pPr>
    </w:lvl>
    <w:lvl w:ilvl="6" w:tplc="0409000F">
      <w:start w:val="1"/>
      <w:numFmt w:val="decimal"/>
      <w:lvlText w:val="%7."/>
      <w:lvlJc w:val="left"/>
      <w:pPr>
        <w:tabs>
          <w:tab w:val="num" w:pos="6540"/>
        </w:tabs>
        <w:ind w:left="6540" w:hanging="360"/>
      </w:pPr>
    </w:lvl>
    <w:lvl w:ilvl="7" w:tplc="04090019">
      <w:start w:val="1"/>
      <w:numFmt w:val="lowerLetter"/>
      <w:lvlText w:val="%8."/>
      <w:lvlJc w:val="left"/>
      <w:pPr>
        <w:tabs>
          <w:tab w:val="num" w:pos="7260"/>
        </w:tabs>
        <w:ind w:left="7260" w:hanging="360"/>
      </w:pPr>
    </w:lvl>
    <w:lvl w:ilvl="8" w:tplc="0409001B">
      <w:start w:val="1"/>
      <w:numFmt w:val="lowerRoman"/>
      <w:lvlText w:val="%9."/>
      <w:lvlJc w:val="right"/>
      <w:pPr>
        <w:tabs>
          <w:tab w:val="num" w:pos="7980"/>
        </w:tabs>
        <w:ind w:left="7980" w:hanging="180"/>
      </w:pPr>
    </w:lvl>
  </w:abstractNum>
  <w:abstractNum w:abstractNumId="3"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E51AD8"/>
    <w:multiLevelType w:val="hybridMultilevel"/>
    <w:tmpl w:val="7828F440"/>
    <w:lvl w:ilvl="0" w:tplc="5D7A9F0C">
      <w:start w:val="1"/>
      <w:numFmt w:val="decimal"/>
      <w:lvlText w:val="(%1)"/>
      <w:lvlJc w:val="left"/>
      <w:pPr>
        <w:tabs>
          <w:tab w:val="num" w:pos="1440"/>
        </w:tabs>
        <w:ind w:left="1440" w:hanging="360"/>
      </w:pPr>
      <w:rPr>
        <w:rFonts w:ascii="Times New Roman" w:eastAsia="Times New Roman" w:hAnsi="Times New Roman"/>
      </w:rPr>
    </w:lvl>
    <w:lvl w:ilvl="1" w:tplc="0BAE968A">
      <w:start w:val="1"/>
      <w:numFmt w:val="bullet"/>
      <w:lvlText w:val="o"/>
      <w:lvlJc w:val="left"/>
      <w:pPr>
        <w:tabs>
          <w:tab w:val="num" w:pos="2160"/>
        </w:tabs>
        <w:ind w:left="2160" w:hanging="360"/>
      </w:pPr>
      <w:rPr>
        <w:rFonts w:ascii="Courier New" w:hAnsi="Courier New" w:cs="Courier New" w:hint="default"/>
      </w:rPr>
    </w:lvl>
    <w:lvl w:ilvl="2" w:tplc="AD948BA2">
      <w:start w:val="1"/>
      <w:numFmt w:val="bullet"/>
      <w:lvlText w:val=""/>
      <w:lvlJc w:val="left"/>
      <w:pPr>
        <w:tabs>
          <w:tab w:val="num" w:pos="2880"/>
        </w:tabs>
        <w:ind w:left="2880" w:hanging="360"/>
      </w:pPr>
      <w:rPr>
        <w:rFonts w:ascii="Wingdings" w:hAnsi="Wingdings" w:cs="Wingdings" w:hint="default"/>
      </w:rPr>
    </w:lvl>
    <w:lvl w:ilvl="3" w:tplc="6C80E184">
      <w:start w:val="1"/>
      <w:numFmt w:val="bullet"/>
      <w:lvlText w:val=""/>
      <w:lvlJc w:val="left"/>
      <w:pPr>
        <w:tabs>
          <w:tab w:val="num" w:pos="3600"/>
        </w:tabs>
        <w:ind w:left="3600" w:hanging="360"/>
      </w:pPr>
      <w:rPr>
        <w:rFonts w:ascii="Symbol" w:hAnsi="Symbol" w:cs="Symbol" w:hint="default"/>
      </w:rPr>
    </w:lvl>
    <w:lvl w:ilvl="4" w:tplc="21C62C48">
      <w:start w:val="1"/>
      <w:numFmt w:val="bullet"/>
      <w:lvlText w:val="o"/>
      <w:lvlJc w:val="left"/>
      <w:pPr>
        <w:tabs>
          <w:tab w:val="num" w:pos="4320"/>
        </w:tabs>
        <w:ind w:left="4320" w:hanging="360"/>
      </w:pPr>
      <w:rPr>
        <w:rFonts w:ascii="Courier New" w:hAnsi="Courier New" w:cs="Courier New" w:hint="default"/>
      </w:rPr>
    </w:lvl>
    <w:lvl w:ilvl="5" w:tplc="51BCF974">
      <w:start w:val="1"/>
      <w:numFmt w:val="bullet"/>
      <w:lvlText w:val=""/>
      <w:lvlJc w:val="left"/>
      <w:pPr>
        <w:tabs>
          <w:tab w:val="num" w:pos="5040"/>
        </w:tabs>
        <w:ind w:left="5040" w:hanging="360"/>
      </w:pPr>
      <w:rPr>
        <w:rFonts w:ascii="Wingdings" w:hAnsi="Wingdings" w:cs="Wingdings" w:hint="default"/>
      </w:rPr>
    </w:lvl>
    <w:lvl w:ilvl="6" w:tplc="8DE4E1BC">
      <w:start w:val="1"/>
      <w:numFmt w:val="bullet"/>
      <w:lvlText w:val=""/>
      <w:lvlJc w:val="left"/>
      <w:pPr>
        <w:tabs>
          <w:tab w:val="num" w:pos="5760"/>
        </w:tabs>
        <w:ind w:left="5760" w:hanging="360"/>
      </w:pPr>
      <w:rPr>
        <w:rFonts w:ascii="Symbol" w:hAnsi="Symbol" w:cs="Symbol" w:hint="default"/>
      </w:rPr>
    </w:lvl>
    <w:lvl w:ilvl="7" w:tplc="65083A7E">
      <w:start w:val="1"/>
      <w:numFmt w:val="bullet"/>
      <w:lvlText w:val="o"/>
      <w:lvlJc w:val="left"/>
      <w:pPr>
        <w:tabs>
          <w:tab w:val="num" w:pos="6480"/>
        </w:tabs>
        <w:ind w:left="6480" w:hanging="360"/>
      </w:pPr>
      <w:rPr>
        <w:rFonts w:ascii="Courier New" w:hAnsi="Courier New" w:cs="Courier New" w:hint="default"/>
      </w:rPr>
    </w:lvl>
    <w:lvl w:ilvl="8" w:tplc="60728752">
      <w:start w:val="1"/>
      <w:numFmt w:val="bullet"/>
      <w:lvlText w:val=""/>
      <w:lvlJc w:val="left"/>
      <w:pPr>
        <w:tabs>
          <w:tab w:val="num" w:pos="7200"/>
        </w:tabs>
        <w:ind w:left="7200" w:hanging="360"/>
      </w:pPr>
      <w:rPr>
        <w:rFonts w:ascii="Wingdings" w:hAnsi="Wingdings" w:cs="Wingdings" w:hint="default"/>
      </w:rPr>
    </w:lvl>
  </w:abstractNum>
  <w:num w:numId="1" w16cid:durableId="1888377376">
    <w:abstractNumId w:val="3"/>
  </w:num>
  <w:num w:numId="2" w16cid:durableId="2007518214">
    <w:abstractNumId w:val="0"/>
  </w:num>
  <w:num w:numId="3" w16cid:durableId="653995873">
    <w:abstractNumId w:val="2"/>
  </w:num>
  <w:num w:numId="4" w16cid:durableId="1857958199">
    <w:abstractNumId w:val="4"/>
  </w:num>
  <w:num w:numId="5" w16cid:durableId="177146973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304F3"/>
    <w:rsid w:val="0005442F"/>
    <w:rsid w:val="0006325A"/>
    <w:rsid w:val="000A4872"/>
    <w:rsid w:val="000B7120"/>
    <w:rsid w:val="000D0AC7"/>
    <w:rsid w:val="000F26BB"/>
    <w:rsid w:val="0010753E"/>
    <w:rsid w:val="001078BC"/>
    <w:rsid w:val="0011770D"/>
    <w:rsid w:val="001216C8"/>
    <w:rsid w:val="001704C0"/>
    <w:rsid w:val="00173C32"/>
    <w:rsid w:val="001C4F42"/>
    <w:rsid w:val="001D0747"/>
    <w:rsid w:val="001F00F3"/>
    <w:rsid w:val="00237B30"/>
    <w:rsid w:val="00250BA2"/>
    <w:rsid w:val="00263634"/>
    <w:rsid w:val="0027312E"/>
    <w:rsid w:val="0027432D"/>
    <w:rsid w:val="002855A4"/>
    <w:rsid w:val="00291C03"/>
    <w:rsid w:val="002A3D95"/>
    <w:rsid w:val="002A61FE"/>
    <w:rsid w:val="002B5184"/>
    <w:rsid w:val="002C6DD1"/>
    <w:rsid w:val="002D135D"/>
    <w:rsid w:val="00362D39"/>
    <w:rsid w:val="003A0D04"/>
    <w:rsid w:val="003B1182"/>
    <w:rsid w:val="003B5DC7"/>
    <w:rsid w:val="003B7EB2"/>
    <w:rsid w:val="003D1BC8"/>
    <w:rsid w:val="003E1318"/>
    <w:rsid w:val="003E5872"/>
    <w:rsid w:val="003F2763"/>
    <w:rsid w:val="00413004"/>
    <w:rsid w:val="0045125B"/>
    <w:rsid w:val="00461F52"/>
    <w:rsid w:val="00463EA2"/>
    <w:rsid w:val="00464B3A"/>
    <w:rsid w:val="00467B71"/>
    <w:rsid w:val="00476AA2"/>
    <w:rsid w:val="0048564B"/>
    <w:rsid w:val="00486030"/>
    <w:rsid w:val="00494A05"/>
    <w:rsid w:val="004A0513"/>
    <w:rsid w:val="004B7114"/>
    <w:rsid w:val="004C622C"/>
    <w:rsid w:val="004D75CE"/>
    <w:rsid w:val="004D7BC6"/>
    <w:rsid w:val="005012C6"/>
    <w:rsid w:val="00521687"/>
    <w:rsid w:val="00521FEE"/>
    <w:rsid w:val="0052554C"/>
    <w:rsid w:val="00540EAD"/>
    <w:rsid w:val="005529E4"/>
    <w:rsid w:val="0055378D"/>
    <w:rsid w:val="00571A92"/>
    <w:rsid w:val="00596245"/>
    <w:rsid w:val="005A7039"/>
    <w:rsid w:val="005B72B5"/>
    <w:rsid w:val="005C12BF"/>
    <w:rsid w:val="005F2927"/>
    <w:rsid w:val="005F7054"/>
    <w:rsid w:val="00611A1D"/>
    <w:rsid w:val="00612C6B"/>
    <w:rsid w:val="00640F49"/>
    <w:rsid w:val="006465C2"/>
    <w:rsid w:val="0065068A"/>
    <w:rsid w:val="00654277"/>
    <w:rsid w:val="0066259D"/>
    <w:rsid w:val="00670AF6"/>
    <w:rsid w:val="00673564"/>
    <w:rsid w:val="006862E4"/>
    <w:rsid w:val="006952CD"/>
    <w:rsid w:val="006A4919"/>
    <w:rsid w:val="006A5FC2"/>
    <w:rsid w:val="006D6992"/>
    <w:rsid w:val="006E65D8"/>
    <w:rsid w:val="00736DE2"/>
    <w:rsid w:val="00746CDB"/>
    <w:rsid w:val="00761035"/>
    <w:rsid w:val="00774DBA"/>
    <w:rsid w:val="007806B7"/>
    <w:rsid w:val="0079355B"/>
    <w:rsid w:val="00795B7E"/>
    <w:rsid w:val="007C40EE"/>
    <w:rsid w:val="007C6C89"/>
    <w:rsid w:val="007D1A4F"/>
    <w:rsid w:val="007F204C"/>
    <w:rsid w:val="00800549"/>
    <w:rsid w:val="008034D4"/>
    <w:rsid w:val="00810B63"/>
    <w:rsid w:val="00821346"/>
    <w:rsid w:val="008646FC"/>
    <w:rsid w:val="00886BED"/>
    <w:rsid w:val="00895048"/>
    <w:rsid w:val="00897E9B"/>
    <w:rsid w:val="008B22FB"/>
    <w:rsid w:val="008D0451"/>
    <w:rsid w:val="008F38EF"/>
    <w:rsid w:val="008F5F64"/>
    <w:rsid w:val="009176A7"/>
    <w:rsid w:val="00937103"/>
    <w:rsid w:val="00945A5F"/>
    <w:rsid w:val="009572C5"/>
    <w:rsid w:val="00994095"/>
    <w:rsid w:val="00994AB6"/>
    <w:rsid w:val="009A074B"/>
    <w:rsid w:val="009A4D99"/>
    <w:rsid w:val="009A6D98"/>
    <w:rsid w:val="009D0D44"/>
    <w:rsid w:val="009E6D0D"/>
    <w:rsid w:val="009F0695"/>
    <w:rsid w:val="00A02DB6"/>
    <w:rsid w:val="00A04F92"/>
    <w:rsid w:val="00A05D91"/>
    <w:rsid w:val="00A101C7"/>
    <w:rsid w:val="00A57A92"/>
    <w:rsid w:val="00A93290"/>
    <w:rsid w:val="00A958CB"/>
    <w:rsid w:val="00AA29FF"/>
    <w:rsid w:val="00AB763A"/>
    <w:rsid w:val="00AC0FF3"/>
    <w:rsid w:val="00AC4822"/>
    <w:rsid w:val="00AE4C3C"/>
    <w:rsid w:val="00AF1D85"/>
    <w:rsid w:val="00AF7496"/>
    <w:rsid w:val="00B11BEB"/>
    <w:rsid w:val="00B20444"/>
    <w:rsid w:val="00B36D9A"/>
    <w:rsid w:val="00B60D68"/>
    <w:rsid w:val="00B615EC"/>
    <w:rsid w:val="00B64695"/>
    <w:rsid w:val="00BA06DF"/>
    <w:rsid w:val="00BA2A06"/>
    <w:rsid w:val="00BA350C"/>
    <w:rsid w:val="00BC27C0"/>
    <w:rsid w:val="00BD2F2B"/>
    <w:rsid w:val="00C17310"/>
    <w:rsid w:val="00C36999"/>
    <w:rsid w:val="00CB20E0"/>
    <w:rsid w:val="00CF737B"/>
    <w:rsid w:val="00D06B84"/>
    <w:rsid w:val="00D70F63"/>
    <w:rsid w:val="00D927A6"/>
    <w:rsid w:val="00DC7E18"/>
    <w:rsid w:val="00DD387C"/>
    <w:rsid w:val="00DE40A2"/>
    <w:rsid w:val="00DF24C9"/>
    <w:rsid w:val="00DF7B6B"/>
    <w:rsid w:val="00E034B5"/>
    <w:rsid w:val="00E112AD"/>
    <w:rsid w:val="00E24B52"/>
    <w:rsid w:val="00E73055"/>
    <w:rsid w:val="00E803AB"/>
    <w:rsid w:val="00E87C44"/>
    <w:rsid w:val="00E92FA4"/>
    <w:rsid w:val="00EC6F7C"/>
    <w:rsid w:val="00EE0AE9"/>
    <w:rsid w:val="00F41B52"/>
    <w:rsid w:val="00F72065"/>
    <w:rsid w:val="00F721DF"/>
    <w:rsid w:val="00F74526"/>
    <w:rsid w:val="00FB50EA"/>
    <w:rsid w:val="00FD7D77"/>
    <w:rsid w:val="00FE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1FBC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paragraph" w:styleId="Heading2">
    <w:name w:val="heading 2"/>
    <w:basedOn w:val="Normal"/>
    <w:next w:val="Normal"/>
    <w:link w:val="Heading2Char"/>
    <w:uiPriority w:val="9"/>
    <w:semiHidden/>
    <w:unhideWhenUsed/>
    <w:qFormat/>
    <w:rsid w:val="00E803A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4526"/>
    <w:pPr>
      <w:tabs>
        <w:tab w:val="center" w:pos="4680"/>
        <w:tab w:val="right" w:pos="9360"/>
      </w:tabs>
    </w:pPr>
  </w:style>
  <w:style w:type="character" w:customStyle="1" w:styleId="HeaderChar">
    <w:name w:val="Header Char"/>
    <w:basedOn w:val="DefaultParagraphFont"/>
    <w:link w:val="Header"/>
    <w:uiPriority w:val="99"/>
    <w:rsid w:val="00F74526"/>
    <w:rPr>
      <w:rFonts w:ascii="Times New Roman" w:eastAsia="Times New Roman" w:hAnsi="Times New Roman" w:cs="Times New Roman"/>
      <w:sz w:val="24"/>
      <w:szCs w:val="24"/>
    </w:rPr>
  </w:style>
  <w:style w:type="paragraph" w:styleId="Footer">
    <w:name w:val="footer"/>
    <w:basedOn w:val="Normal"/>
    <w:link w:val="FooterChar"/>
    <w:unhideWhenUsed/>
    <w:rsid w:val="00F74526"/>
    <w:pPr>
      <w:tabs>
        <w:tab w:val="center" w:pos="4680"/>
        <w:tab w:val="right" w:pos="9360"/>
      </w:tabs>
    </w:pPr>
  </w:style>
  <w:style w:type="character" w:customStyle="1" w:styleId="FooterChar">
    <w:name w:val="Footer Char"/>
    <w:basedOn w:val="DefaultParagraphFont"/>
    <w:link w:val="Footer"/>
    <w:uiPriority w:val="99"/>
    <w:rsid w:val="00F7452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803AB"/>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semiHidden/>
    <w:rsid w:val="00E803AB"/>
    <w:pPr>
      <w:widowControl w:val="0"/>
    </w:pPr>
    <w:rPr>
      <w:rFonts w:ascii="Lucida Sans Typewriter" w:hAnsi="Lucida Sans Typewriter"/>
      <w:snapToGrid w:val="0"/>
      <w:szCs w:val="20"/>
    </w:rPr>
  </w:style>
  <w:style w:type="character" w:customStyle="1" w:styleId="FootnoteTextChar">
    <w:name w:val="Footnote Text Char"/>
    <w:basedOn w:val="DefaultParagraphFont"/>
    <w:link w:val="FootnoteText"/>
    <w:semiHidden/>
    <w:rsid w:val="00E803AB"/>
    <w:rPr>
      <w:rFonts w:ascii="Lucida Sans Typewriter" w:eastAsia="Times New Roman" w:hAnsi="Lucida Sans Typewriter" w:cs="Times New Roman"/>
      <w:snapToGrid w:val="0"/>
      <w:sz w:val="24"/>
      <w:szCs w:val="20"/>
    </w:rPr>
  </w:style>
  <w:style w:type="character" w:styleId="FootnoteReference">
    <w:name w:val="footnote reference"/>
    <w:uiPriority w:val="99"/>
    <w:semiHidden/>
    <w:rsid w:val="00E803AB"/>
    <w:rPr>
      <w:vertAlign w:val="superscript"/>
    </w:rPr>
  </w:style>
  <w:style w:type="paragraph" w:styleId="Subtitle">
    <w:name w:val="Subtitle"/>
    <w:basedOn w:val="Normal"/>
    <w:link w:val="SubtitleChar"/>
    <w:qFormat/>
    <w:rsid w:val="00E803AB"/>
    <w:pPr>
      <w:ind w:left="1260" w:hanging="1260"/>
    </w:pPr>
    <w:rPr>
      <w:rFonts w:ascii="Cambria" w:hAnsi="Cambria"/>
    </w:rPr>
  </w:style>
  <w:style w:type="character" w:customStyle="1" w:styleId="SubtitleChar">
    <w:name w:val="Subtitle Char"/>
    <w:basedOn w:val="DefaultParagraphFont"/>
    <w:link w:val="Subtitle"/>
    <w:rsid w:val="00E803AB"/>
    <w:rPr>
      <w:rFonts w:ascii="Cambria" w:eastAsia="Times New Roman" w:hAnsi="Cambria" w:cs="Times New Roman"/>
      <w:sz w:val="24"/>
      <w:szCs w:val="24"/>
    </w:rPr>
  </w:style>
  <w:style w:type="character" w:styleId="PageNumber">
    <w:name w:val="page number"/>
    <w:basedOn w:val="DefaultParagraphFont"/>
    <w:rsid w:val="00736DE2"/>
  </w:style>
  <w:style w:type="paragraph" w:customStyle="1" w:styleId="Addressee">
    <w:name w:val="Addressee"/>
    <w:basedOn w:val="Normal"/>
    <w:rsid w:val="003E1318"/>
    <w:rPr>
      <w:szCs w:val="20"/>
    </w:rPr>
  </w:style>
  <w:style w:type="paragraph" w:styleId="Revision">
    <w:name w:val="Revision"/>
    <w:hidden/>
    <w:uiPriority w:val="99"/>
    <w:semiHidden/>
    <w:rsid w:val="0082134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1346"/>
    <w:rPr>
      <w:sz w:val="16"/>
      <w:szCs w:val="16"/>
    </w:rPr>
  </w:style>
  <w:style w:type="paragraph" w:styleId="CommentText">
    <w:name w:val="annotation text"/>
    <w:basedOn w:val="Normal"/>
    <w:link w:val="CommentTextChar"/>
    <w:uiPriority w:val="99"/>
    <w:unhideWhenUsed/>
    <w:rsid w:val="00821346"/>
    <w:rPr>
      <w:sz w:val="20"/>
      <w:szCs w:val="20"/>
    </w:rPr>
  </w:style>
  <w:style w:type="character" w:customStyle="1" w:styleId="CommentTextChar">
    <w:name w:val="Comment Text Char"/>
    <w:basedOn w:val="DefaultParagraphFont"/>
    <w:link w:val="CommentText"/>
    <w:uiPriority w:val="99"/>
    <w:rsid w:val="0082134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1346"/>
    <w:rPr>
      <w:b/>
      <w:bCs/>
    </w:rPr>
  </w:style>
  <w:style w:type="character" w:customStyle="1" w:styleId="CommentSubjectChar">
    <w:name w:val="Comment Subject Char"/>
    <w:basedOn w:val="CommentTextChar"/>
    <w:link w:val="CommentSubject"/>
    <w:uiPriority w:val="99"/>
    <w:semiHidden/>
    <w:rsid w:val="0082134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1406</Words>
  <Characters>8017</Characters>
  <Application>Microsoft Office Word</Application>
  <DocSecurity>0</DocSecurity>
  <Lines>66</Lines>
  <Paragraphs>18</Paragraphs>
  <ScaleCrop>false</ScaleCrop>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2024-05-30T16:36:00Z</dcterms:created>
  <dcterms:modified xsi:type="dcterms:W3CDTF">2024-05-30T16:38:00Z</dcterms:modified>
</cp:coreProperties>
</file>