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4BB9C" w14:textId="77777777" w:rsidR="00501D91" w:rsidRDefault="00501D91">
      <w:pPr>
        <w:widowControl/>
        <w:jc w:val="both"/>
        <w:rPr>
          <w:b/>
        </w:rPr>
      </w:pPr>
      <w:bookmarkStart w:id="0" w:name="_GoBack"/>
      <w:bookmarkEnd w:id="0"/>
    </w:p>
    <w:p w14:paraId="2D9DF450" w14:textId="77777777" w:rsidR="00501D91" w:rsidRDefault="00501D91">
      <w:pPr>
        <w:widowControl/>
        <w:jc w:val="both"/>
        <w:rPr>
          <w:b/>
        </w:rPr>
      </w:pPr>
    </w:p>
    <w:p w14:paraId="1FB27416" w14:textId="1A816F96" w:rsidR="00A317EA" w:rsidRDefault="00A317EA" w:rsidP="00A317EA">
      <w:pPr>
        <w:widowControl/>
        <w:tabs>
          <w:tab w:val="center" w:pos="4464"/>
        </w:tabs>
        <w:jc w:val="center"/>
        <w:rPr>
          <w:b/>
        </w:rPr>
      </w:pPr>
      <w:r>
        <w:rPr>
          <w:b/>
        </w:rPr>
        <w:t>BEFORE THE</w:t>
      </w:r>
    </w:p>
    <w:p w14:paraId="1C1C38DD" w14:textId="77777777" w:rsidR="00A317EA" w:rsidRDefault="00A317EA" w:rsidP="00A317EA">
      <w:pPr>
        <w:widowControl/>
        <w:tabs>
          <w:tab w:val="center" w:pos="4464"/>
        </w:tabs>
        <w:jc w:val="center"/>
        <w:rPr>
          <w:b/>
        </w:rPr>
      </w:pPr>
    </w:p>
    <w:p w14:paraId="27F31ED6" w14:textId="6722C6C1" w:rsidR="00A317EA" w:rsidRDefault="006E654E" w:rsidP="006E654E">
      <w:pPr>
        <w:widowControl/>
        <w:tabs>
          <w:tab w:val="center" w:pos="4464"/>
        </w:tabs>
        <w:jc w:val="center"/>
        <w:rPr>
          <w:b/>
        </w:rPr>
      </w:pPr>
      <w:r>
        <w:rPr>
          <w:b/>
        </w:rPr>
        <w:t>GEORGIA PUBLIC SERVICE COMMISSION</w:t>
      </w:r>
    </w:p>
    <w:p w14:paraId="34F2D2A2" w14:textId="77777777" w:rsidR="00A317EA" w:rsidRDefault="00A317EA" w:rsidP="00A317EA">
      <w:pPr>
        <w:widowControl/>
        <w:jc w:val="center"/>
        <w:rPr>
          <w:b/>
        </w:rPr>
      </w:pPr>
    </w:p>
    <w:p w14:paraId="628750FD" w14:textId="77777777" w:rsidR="00A317EA" w:rsidRDefault="00A317EA" w:rsidP="00A317EA">
      <w:pPr>
        <w:widowControl/>
        <w:tabs>
          <w:tab w:val="left" w:pos="1440"/>
          <w:tab w:val="left" w:pos="4770"/>
        </w:tabs>
        <w:ind w:left="1530" w:hanging="1080"/>
        <w:rPr>
          <w:b/>
        </w:rPr>
      </w:pPr>
    </w:p>
    <w:p w14:paraId="7C3AE654" w14:textId="77777777" w:rsidR="00A317EA" w:rsidRDefault="00A317EA" w:rsidP="00A317EA">
      <w:pPr>
        <w:widowControl/>
        <w:tabs>
          <w:tab w:val="left" w:pos="1440"/>
          <w:tab w:val="left" w:pos="4770"/>
        </w:tabs>
        <w:ind w:left="1530" w:hanging="1080"/>
        <w:rPr>
          <w:b/>
        </w:rPr>
      </w:pPr>
    </w:p>
    <w:p w14:paraId="7AA31E59" w14:textId="241ECC96" w:rsidR="00A317EA" w:rsidRDefault="00A317EA" w:rsidP="00493EFE">
      <w:pPr>
        <w:widowControl/>
        <w:tabs>
          <w:tab w:val="left" w:pos="1440"/>
          <w:tab w:val="left" w:pos="4770"/>
          <w:tab w:val="left" w:pos="5760"/>
        </w:tabs>
        <w:ind w:left="1440" w:hanging="990"/>
        <w:rPr>
          <w:b/>
        </w:rPr>
      </w:pPr>
      <w:r>
        <w:rPr>
          <w:b/>
        </w:rPr>
        <w:t>IN RE:</w:t>
      </w:r>
      <w:r>
        <w:rPr>
          <w:b/>
        </w:rPr>
        <w:tab/>
      </w:r>
      <w:r w:rsidR="00493EFE" w:rsidRPr="00A93E0F">
        <w:rPr>
          <w:b/>
          <w:szCs w:val="24"/>
        </w:rPr>
        <w:t xml:space="preserve">ATLANTA GAS LIGHT COMPANY’S </w:t>
      </w:r>
      <w:r w:rsidR="00493EFE">
        <w:rPr>
          <w:b/>
          <w:szCs w:val="24"/>
        </w:rPr>
        <w:tab/>
      </w:r>
      <w:proofErr w:type="gramStart"/>
      <w:r w:rsidR="00493EFE">
        <w:rPr>
          <w:b/>
          <w:szCs w:val="24"/>
        </w:rPr>
        <w:t>)</w:t>
      </w:r>
      <w:proofErr w:type="gramEnd"/>
      <w:r w:rsidR="00493EFE">
        <w:rPr>
          <w:b/>
          <w:szCs w:val="24"/>
        </w:rPr>
        <w:br/>
      </w:r>
      <w:r w:rsidR="00493EFE" w:rsidRPr="00A93E0F">
        <w:rPr>
          <w:b/>
          <w:szCs w:val="24"/>
        </w:rPr>
        <w:t xml:space="preserve">INTEGRATED CAPACITY AND </w:t>
      </w:r>
      <w:r w:rsidR="00493EFE">
        <w:rPr>
          <w:b/>
          <w:szCs w:val="24"/>
        </w:rPr>
        <w:tab/>
        <w:t xml:space="preserve">)      </w:t>
      </w:r>
      <w:r w:rsidR="00493EFE">
        <w:rPr>
          <w:b/>
        </w:rPr>
        <w:t>DOCKET NO. 43820</w:t>
      </w:r>
      <w:r w:rsidR="00493EFE">
        <w:rPr>
          <w:b/>
          <w:szCs w:val="24"/>
        </w:rPr>
        <w:br/>
      </w:r>
      <w:r w:rsidR="00493EFE" w:rsidRPr="00A93E0F">
        <w:rPr>
          <w:b/>
          <w:szCs w:val="24"/>
        </w:rPr>
        <w:t>DELIVERY PLAN (</w:t>
      </w:r>
      <w:proofErr w:type="spellStart"/>
      <w:r w:rsidR="00493EFE" w:rsidRPr="00A93E0F">
        <w:rPr>
          <w:b/>
          <w:szCs w:val="24"/>
        </w:rPr>
        <w:t>i</w:t>
      </w:r>
      <w:proofErr w:type="spellEnd"/>
      <w:r w:rsidR="00493EFE" w:rsidRPr="00A93E0F">
        <w:rPr>
          <w:b/>
          <w:szCs w:val="24"/>
        </w:rPr>
        <w:t>-CDP)</w:t>
      </w:r>
      <w:r>
        <w:rPr>
          <w:b/>
        </w:rPr>
        <w:tab/>
      </w:r>
      <w:r w:rsidR="00493EFE">
        <w:rPr>
          <w:b/>
        </w:rPr>
        <w:tab/>
      </w:r>
      <w:r>
        <w:rPr>
          <w:b/>
        </w:rPr>
        <w:t>)</w:t>
      </w:r>
    </w:p>
    <w:p w14:paraId="0F199BDD" w14:textId="4C9B5AFA" w:rsidR="00511C33" w:rsidRDefault="00A317EA" w:rsidP="00493EFE">
      <w:pPr>
        <w:widowControl/>
        <w:tabs>
          <w:tab w:val="left" w:pos="1440"/>
          <w:tab w:val="left" w:pos="4770"/>
          <w:tab w:val="left" w:pos="5760"/>
        </w:tabs>
        <w:ind w:left="1530" w:hanging="1080"/>
        <w:rPr>
          <w:b/>
        </w:rPr>
      </w:pPr>
      <w:r>
        <w:rPr>
          <w:b/>
        </w:rPr>
        <w:tab/>
      </w:r>
    </w:p>
    <w:p w14:paraId="7EFE0368" w14:textId="77777777" w:rsidR="00493EFE" w:rsidRDefault="00493EFE" w:rsidP="00493EFE">
      <w:pPr>
        <w:widowControl/>
        <w:tabs>
          <w:tab w:val="left" w:pos="1440"/>
          <w:tab w:val="left" w:pos="4770"/>
          <w:tab w:val="left" w:pos="5760"/>
        </w:tabs>
        <w:ind w:left="1530" w:hanging="1080"/>
        <w:rPr>
          <w:b/>
        </w:rPr>
      </w:pPr>
    </w:p>
    <w:p w14:paraId="71D59DC5" w14:textId="77777777" w:rsidR="00493EFE" w:rsidRDefault="00493EFE" w:rsidP="00493EFE">
      <w:pPr>
        <w:widowControl/>
        <w:tabs>
          <w:tab w:val="left" w:pos="1440"/>
          <w:tab w:val="left" w:pos="4770"/>
          <w:tab w:val="left" w:pos="5760"/>
        </w:tabs>
        <w:ind w:left="1530" w:hanging="1080"/>
        <w:rPr>
          <w:b/>
          <w:smallCaps/>
        </w:rPr>
      </w:pPr>
    </w:p>
    <w:p w14:paraId="690B9AFB" w14:textId="77777777" w:rsidR="00A317EA" w:rsidRDefault="00A317EA" w:rsidP="00A317EA">
      <w:pPr>
        <w:widowControl/>
        <w:ind w:left="720"/>
        <w:jc w:val="center"/>
        <w:rPr>
          <w:b/>
          <w:smallCaps/>
        </w:rPr>
      </w:pPr>
    </w:p>
    <w:p w14:paraId="6E9AF1A7" w14:textId="77777777" w:rsidR="00A317EA" w:rsidRDefault="00A317EA" w:rsidP="00A317EA">
      <w:pPr>
        <w:widowControl/>
        <w:tabs>
          <w:tab w:val="left" w:pos="-1440"/>
        </w:tabs>
        <w:ind w:left="720" w:hanging="720"/>
        <w:jc w:val="center"/>
        <w:rPr>
          <w:b/>
        </w:rPr>
      </w:pPr>
    </w:p>
    <w:p w14:paraId="49359811" w14:textId="77777777" w:rsidR="00A317EA" w:rsidRDefault="00A317EA" w:rsidP="00A317EA">
      <w:pPr>
        <w:widowControl/>
        <w:jc w:val="center"/>
      </w:pPr>
    </w:p>
    <w:tbl>
      <w:tblPr>
        <w:tblW w:w="0" w:type="auto"/>
        <w:jc w:val="center"/>
        <w:tblLayout w:type="fixed"/>
        <w:tblCellMar>
          <w:left w:w="177" w:type="dxa"/>
          <w:right w:w="177" w:type="dxa"/>
        </w:tblCellMar>
        <w:tblLook w:val="0000" w:firstRow="0" w:lastRow="0" w:firstColumn="0" w:lastColumn="0" w:noHBand="0" w:noVBand="0"/>
      </w:tblPr>
      <w:tblGrid>
        <w:gridCol w:w="4752"/>
      </w:tblGrid>
      <w:tr w:rsidR="00A317EA" w14:paraId="0CE2300A" w14:textId="77777777">
        <w:trPr>
          <w:jc w:val="center"/>
        </w:trPr>
        <w:tc>
          <w:tcPr>
            <w:tcW w:w="4752" w:type="dxa"/>
            <w:tcBorders>
              <w:top w:val="double" w:sz="7" w:space="0" w:color="000000"/>
              <w:left w:val="double" w:sz="7" w:space="0" w:color="000000"/>
              <w:bottom w:val="double" w:sz="7" w:space="0" w:color="000000"/>
              <w:right w:val="double" w:sz="7" w:space="0" w:color="000000"/>
            </w:tcBorders>
          </w:tcPr>
          <w:p w14:paraId="28179C85" w14:textId="77777777" w:rsidR="00A317EA" w:rsidRDefault="00A317EA" w:rsidP="00CD2C6B">
            <w:pPr>
              <w:spacing w:line="201" w:lineRule="exact"/>
              <w:jc w:val="center"/>
            </w:pPr>
          </w:p>
          <w:p w14:paraId="2CDC53B7" w14:textId="77777777" w:rsidR="00A317EA" w:rsidRDefault="00A317EA" w:rsidP="00CD2C6B">
            <w:pPr>
              <w:widowControl/>
              <w:tabs>
                <w:tab w:val="center" w:pos="2199"/>
              </w:tabs>
              <w:jc w:val="center"/>
            </w:pPr>
          </w:p>
          <w:p w14:paraId="1B844C34" w14:textId="77777777" w:rsidR="00A317EA" w:rsidRDefault="00A317EA" w:rsidP="00CD2C6B">
            <w:pPr>
              <w:widowControl/>
              <w:tabs>
                <w:tab w:val="center" w:pos="2199"/>
              </w:tabs>
              <w:jc w:val="center"/>
              <w:rPr>
                <w:b/>
              </w:rPr>
            </w:pPr>
          </w:p>
          <w:p w14:paraId="3D6C2DA0" w14:textId="77777777" w:rsidR="00A317EA" w:rsidRDefault="00A317EA" w:rsidP="00511C33">
            <w:pPr>
              <w:widowControl/>
              <w:tabs>
                <w:tab w:val="center" w:pos="2199"/>
              </w:tabs>
              <w:jc w:val="center"/>
              <w:rPr>
                <w:b/>
              </w:rPr>
            </w:pPr>
            <w:r>
              <w:rPr>
                <w:b/>
              </w:rPr>
              <w:t>DIRECT TESTIMONY</w:t>
            </w:r>
          </w:p>
          <w:p w14:paraId="7A1F1895" w14:textId="77777777" w:rsidR="00A317EA" w:rsidRDefault="00A317EA" w:rsidP="00511C33">
            <w:pPr>
              <w:widowControl/>
              <w:jc w:val="center"/>
              <w:rPr>
                <w:b/>
              </w:rPr>
            </w:pPr>
          </w:p>
          <w:p w14:paraId="15FEF495" w14:textId="77777777" w:rsidR="00A317EA" w:rsidRDefault="00A317EA" w:rsidP="00511C33">
            <w:pPr>
              <w:widowControl/>
              <w:tabs>
                <w:tab w:val="center" w:pos="2199"/>
              </w:tabs>
              <w:jc w:val="center"/>
              <w:rPr>
                <w:b/>
              </w:rPr>
            </w:pPr>
            <w:r>
              <w:rPr>
                <w:b/>
              </w:rPr>
              <w:t>AND EXHIBITS</w:t>
            </w:r>
          </w:p>
          <w:p w14:paraId="70F9B3B2" w14:textId="77777777" w:rsidR="00A317EA" w:rsidRDefault="00A317EA" w:rsidP="00511C33">
            <w:pPr>
              <w:widowControl/>
              <w:jc w:val="center"/>
              <w:rPr>
                <w:b/>
              </w:rPr>
            </w:pPr>
          </w:p>
          <w:p w14:paraId="366F9D04" w14:textId="77777777" w:rsidR="00A317EA" w:rsidRDefault="00A317EA" w:rsidP="00511C33">
            <w:pPr>
              <w:widowControl/>
              <w:tabs>
                <w:tab w:val="center" w:pos="2199"/>
              </w:tabs>
              <w:jc w:val="center"/>
              <w:rPr>
                <w:b/>
              </w:rPr>
            </w:pPr>
            <w:r>
              <w:rPr>
                <w:b/>
              </w:rPr>
              <w:t>OF</w:t>
            </w:r>
          </w:p>
          <w:p w14:paraId="72E764E9" w14:textId="77777777" w:rsidR="00A317EA" w:rsidRDefault="00A317EA" w:rsidP="00511C33">
            <w:pPr>
              <w:widowControl/>
              <w:tabs>
                <w:tab w:val="center" w:pos="2199"/>
              </w:tabs>
              <w:jc w:val="center"/>
              <w:rPr>
                <w:b/>
              </w:rPr>
            </w:pPr>
          </w:p>
          <w:p w14:paraId="32174345" w14:textId="0D61DF45" w:rsidR="00A317EA" w:rsidRDefault="00195761" w:rsidP="00511C33">
            <w:pPr>
              <w:widowControl/>
              <w:tabs>
                <w:tab w:val="center" w:pos="2199"/>
              </w:tabs>
              <w:jc w:val="center"/>
              <w:rPr>
                <w:b/>
              </w:rPr>
            </w:pPr>
            <w:r>
              <w:rPr>
                <w:b/>
              </w:rPr>
              <w:t xml:space="preserve">RANDY </w:t>
            </w:r>
            <w:r w:rsidR="00BE2BC0">
              <w:rPr>
                <w:b/>
              </w:rPr>
              <w:t xml:space="preserve">A. </w:t>
            </w:r>
            <w:r>
              <w:rPr>
                <w:b/>
              </w:rPr>
              <w:t>FUTRAL</w:t>
            </w:r>
          </w:p>
          <w:p w14:paraId="417C7506" w14:textId="77777777" w:rsidR="00A317EA" w:rsidRDefault="00A317EA" w:rsidP="00CD2C6B">
            <w:pPr>
              <w:widowControl/>
              <w:jc w:val="center"/>
            </w:pPr>
          </w:p>
          <w:p w14:paraId="11B94D96" w14:textId="77777777" w:rsidR="00A317EA" w:rsidRDefault="00A317EA" w:rsidP="00CD2C6B">
            <w:pPr>
              <w:widowControl/>
              <w:spacing w:after="58"/>
              <w:jc w:val="center"/>
            </w:pPr>
          </w:p>
        </w:tc>
      </w:tr>
    </w:tbl>
    <w:p w14:paraId="5C599A1E" w14:textId="77777777" w:rsidR="00A317EA" w:rsidRDefault="00A317EA" w:rsidP="00A317EA">
      <w:pPr>
        <w:widowControl/>
        <w:jc w:val="center"/>
      </w:pPr>
    </w:p>
    <w:p w14:paraId="1283A6FB" w14:textId="77777777" w:rsidR="00A317EA" w:rsidRDefault="00A317EA" w:rsidP="00A317EA">
      <w:pPr>
        <w:widowControl/>
        <w:jc w:val="center"/>
      </w:pPr>
    </w:p>
    <w:p w14:paraId="5FA9B2E3" w14:textId="77777777" w:rsidR="00A317EA" w:rsidRDefault="00A317EA" w:rsidP="00A317EA">
      <w:pPr>
        <w:widowControl/>
        <w:jc w:val="center"/>
      </w:pPr>
    </w:p>
    <w:p w14:paraId="0C40A827" w14:textId="77777777" w:rsidR="00A317EA" w:rsidRDefault="00A317EA" w:rsidP="00A317EA">
      <w:pPr>
        <w:widowControl/>
        <w:tabs>
          <w:tab w:val="center" w:pos="4464"/>
        </w:tabs>
        <w:jc w:val="center"/>
        <w:rPr>
          <w:b/>
        </w:rPr>
      </w:pPr>
      <w:r>
        <w:rPr>
          <w:b/>
        </w:rPr>
        <w:t>ON BEHALF OF THE</w:t>
      </w:r>
    </w:p>
    <w:p w14:paraId="277F930C" w14:textId="77777777" w:rsidR="0037351E" w:rsidRDefault="0037351E" w:rsidP="00A317EA">
      <w:pPr>
        <w:widowControl/>
        <w:jc w:val="center"/>
        <w:rPr>
          <w:b/>
        </w:rPr>
      </w:pPr>
    </w:p>
    <w:p w14:paraId="6438F3A5" w14:textId="73F61DAD" w:rsidR="00A317EA" w:rsidRDefault="00511C33" w:rsidP="00A317EA">
      <w:pPr>
        <w:widowControl/>
        <w:jc w:val="center"/>
        <w:rPr>
          <w:b/>
        </w:rPr>
      </w:pPr>
      <w:r>
        <w:rPr>
          <w:b/>
        </w:rPr>
        <w:t xml:space="preserve">PUBLIC INTEREST </w:t>
      </w:r>
      <w:r w:rsidR="00AE314E">
        <w:rPr>
          <w:b/>
        </w:rPr>
        <w:t xml:space="preserve">ADVOCACY </w:t>
      </w:r>
      <w:r>
        <w:rPr>
          <w:b/>
        </w:rPr>
        <w:t>STAFF</w:t>
      </w:r>
    </w:p>
    <w:p w14:paraId="77E7FB4C" w14:textId="77777777" w:rsidR="00A317EA" w:rsidRDefault="00A317EA" w:rsidP="00A317EA">
      <w:pPr>
        <w:widowControl/>
        <w:jc w:val="center"/>
      </w:pPr>
    </w:p>
    <w:p w14:paraId="3DFC8074" w14:textId="77777777" w:rsidR="00A317EA" w:rsidRDefault="00A317EA" w:rsidP="00A317EA">
      <w:pPr>
        <w:widowControl/>
        <w:jc w:val="center"/>
      </w:pPr>
    </w:p>
    <w:p w14:paraId="1AD8B982" w14:textId="77777777" w:rsidR="00F82B7C" w:rsidRDefault="00F82B7C" w:rsidP="00A317EA">
      <w:pPr>
        <w:widowControl/>
        <w:tabs>
          <w:tab w:val="center" w:pos="4464"/>
        </w:tabs>
        <w:jc w:val="center"/>
        <w:rPr>
          <w:b/>
        </w:rPr>
      </w:pPr>
    </w:p>
    <w:p w14:paraId="07518221" w14:textId="77777777" w:rsidR="00976E47" w:rsidRDefault="00976E47" w:rsidP="00976E47">
      <w:pPr>
        <w:widowControl/>
        <w:tabs>
          <w:tab w:val="center" w:pos="4464"/>
        </w:tabs>
        <w:jc w:val="center"/>
        <w:rPr>
          <w:b/>
        </w:rPr>
      </w:pPr>
      <w:r>
        <w:rPr>
          <w:b/>
        </w:rPr>
        <w:t>J. Kennedy and Associates, Inc.</w:t>
      </w:r>
    </w:p>
    <w:p w14:paraId="5CF9CD8E" w14:textId="77777777" w:rsidR="00976E47" w:rsidRDefault="00976E47" w:rsidP="00976E47">
      <w:pPr>
        <w:widowControl/>
        <w:tabs>
          <w:tab w:val="center" w:pos="4464"/>
        </w:tabs>
        <w:jc w:val="center"/>
        <w:rPr>
          <w:b/>
        </w:rPr>
      </w:pPr>
      <w:r>
        <w:rPr>
          <w:b/>
        </w:rPr>
        <w:t>570 Colonial Park Drive, Suite 305</w:t>
      </w:r>
    </w:p>
    <w:p w14:paraId="764FA8CF" w14:textId="77777777" w:rsidR="00F82B7C" w:rsidRDefault="00976E47" w:rsidP="00976E47">
      <w:pPr>
        <w:widowControl/>
        <w:tabs>
          <w:tab w:val="center" w:pos="4464"/>
        </w:tabs>
        <w:jc w:val="center"/>
        <w:rPr>
          <w:b/>
        </w:rPr>
      </w:pPr>
      <w:r>
        <w:rPr>
          <w:b/>
        </w:rPr>
        <w:t>Roswell, GA 30075</w:t>
      </w:r>
    </w:p>
    <w:p w14:paraId="690C0070" w14:textId="77777777" w:rsidR="00F82B7C" w:rsidRDefault="00F82B7C" w:rsidP="00A317EA">
      <w:pPr>
        <w:widowControl/>
        <w:tabs>
          <w:tab w:val="center" w:pos="4464"/>
        </w:tabs>
        <w:jc w:val="center"/>
        <w:rPr>
          <w:b/>
        </w:rPr>
      </w:pPr>
    </w:p>
    <w:p w14:paraId="729B8E6A" w14:textId="77777777" w:rsidR="00493EFE" w:rsidRDefault="00493EFE" w:rsidP="00A317EA">
      <w:pPr>
        <w:widowControl/>
        <w:tabs>
          <w:tab w:val="center" w:pos="4464"/>
        </w:tabs>
        <w:jc w:val="center"/>
        <w:rPr>
          <w:b/>
        </w:rPr>
      </w:pPr>
    </w:p>
    <w:p w14:paraId="54B377F6" w14:textId="77777777" w:rsidR="00493EFE" w:rsidRDefault="00493EFE" w:rsidP="00A317EA">
      <w:pPr>
        <w:widowControl/>
        <w:tabs>
          <w:tab w:val="center" w:pos="4464"/>
        </w:tabs>
        <w:jc w:val="center"/>
        <w:rPr>
          <w:b/>
        </w:rPr>
      </w:pPr>
    </w:p>
    <w:p w14:paraId="0C79B09E" w14:textId="77777777" w:rsidR="00F82B7C" w:rsidRDefault="00F82B7C" w:rsidP="00A317EA">
      <w:pPr>
        <w:widowControl/>
        <w:tabs>
          <w:tab w:val="center" w:pos="4464"/>
        </w:tabs>
        <w:jc w:val="center"/>
        <w:rPr>
          <w:b/>
        </w:rPr>
      </w:pPr>
    </w:p>
    <w:p w14:paraId="33794E67" w14:textId="77777777" w:rsidR="00F82B7C" w:rsidRDefault="00F82B7C" w:rsidP="00A317EA">
      <w:pPr>
        <w:widowControl/>
        <w:tabs>
          <w:tab w:val="center" w:pos="4464"/>
        </w:tabs>
        <w:jc w:val="center"/>
        <w:rPr>
          <w:b/>
        </w:rPr>
      </w:pPr>
    </w:p>
    <w:p w14:paraId="4FC19750" w14:textId="5E2423E1" w:rsidR="00501D91" w:rsidRDefault="00493EFE" w:rsidP="00A317EA">
      <w:pPr>
        <w:widowControl/>
        <w:tabs>
          <w:tab w:val="center" w:pos="4464"/>
        </w:tabs>
        <w:jc w:val="center"/>
        <w:rPr>
          <w:b/>
        </w:rPr>
      </w:pPr>
      <w:r>
        <w:rPr>
          <w:b/>
        </w:rPr>
        <w:t xml:space="preserve">May </w:t>
      </w:r>
      <w:r w:rsidR="00427DCA">
        <w:rPr>
          <w:b/>
        </w:rPr>
        <w:t>14</w:t>
      </w:r>
      <w:r>
        <w:rPr>
          <w:b/>
        </w:rPr>
        <w:t>, 2024</w:t>
      </w:r>
    </w:p>
    <w:p w14:paraId="235F1389" w14:textId="440B7D30" w:rsidR="00114135" w:rsidRDefault="00501D91" w:rsidP="006B0BC3">
      <w:pPr>
        <w:widowControl/>
        <w:tabs>
          <w:tab w:val="center" w:pos="4464"/>
        </w:tabs>
        <w:jc w:val="center"/>
      </w:pPr>
      <w:r>
        <w:rPr>
          <w:b/>
        </w:rPr>
        <w:br w:type="page"/>
      </w:r>
    </w:p>
    <w:p w14:paraId="117D2FBC" w14:textId="77777777" w:rsidR="00501D91" w:rsidRDefault="00501D91">
      <w:pPr>
        <w:widowControl/>
        <w:tabs>
          <w:tab w:val="center" w:pos="4464"/>
        </w:tabs>
        <w:jc w:val="both"/>
        <w:sectPr w:rsidR="00501D91" w:rsidSect="001E6DBF">
          <w:endnotePr>
            <w:numFmt w:val="decimal"/>
          </w:endnotePr>
          <w:pgSz w:w="12240" w:h="15840"/>
          <w:pgMar w:top="720" w:right="1656" w:bottom="720" w:left="1656" w:header="720" w:footer="720" w:gutter="0"/>
          <w:cols w:space="720"/>
          <w:noEndnote/>
        </w:sectPr>
      </w:pPr>
    </w:p>
    <w:p w14:paraId="0A9D0549" w14:textId="77777777" w:rsidR="00501D91" w:rsidRDefault="00501D91">
      <w:pPr>
        <w:widowControl/>
        <w:suppressLineNumbers/>
        <w:tabs>
          <w:tab w:val="center" w:pos="4464"/>
        </w:tabs>
        <w:jc w:val="both"/>
      </w:pPr>
      <w:r>
        <w:lastRenderedPageBreak/>
        <w:tab/>
      </w:r>
    </w:p>
    <w:p w14:paraId="265F420D" w14:textId="77777777" w:rsidR="006E654E" w:rsidRDefault="006E654E" w:rsidP="006E654E">
      <w:pPr>
        <w:widowControl/>
        <w:tabs>
          <w:tab w:val="center" w:pos="4464"/>
        </w:tabs>
        <w:jc w:val="center"/>
        <w:rPr>
          <w:b/>
        </w:rPr>
      </w:pPr>
      <w:r>
        <w:rPr>
          <w:b/>
        </w:rPr>
        <w:t>BEFORE THE</w:t>
      </w:r>
    </w:p>
    <w:p w14:paraId="2F75B568" w14:textId="77777777" w:rsidR="006E654E" w:rsidRDefault="006E654E" w:rsidP="006E654E">
      <w:pPr>
        <w:widowControl/>
        <w:tabs>
          <w:tab w:val="center" w:pos="4464"/>
        </w:tabs>
        <w:jc w:val="center"/>
        <w:rPr>
          <w:b/>
        </w:rPr>
      </w:pPr>
    </w:p>
    <w:p w14:paraId="51BD1199" w14:textId="77777777" w:rsidR="006E654E" w:rsidRDefault="006E654E" w:rsidP="006E654E">
      <w:pPr>
        <w:widowControl/>
        <w:tabs>
          <w:tab w:val="center" w:pos="4464"/>
        </w:tabs>
        <w:jc w:val="center"/>
        <w:rPr>
          <w:b/>
        </w:rPr>
      </w:pPr>
      <w:r>
        <w:rPr>
          <w:b/>
        </w:rPr>
        <w:t>GEORGIA PUBLIC SERVICE COMMISSION</w:t>
      </w:r>
    </w:p>
    <w:p w14:paraId="5D590AF9" w14:textId="77777777" w:rsidR="006E654E" w:rsidRDefault="006E654E" w:rsidP="006E654E">
      <w:pPr>
        <w:widowControl/>
        <w:jc w:val="center"/>
        <w:rPr>
          <w:b/>
        </w:rPr>
      </w:pPr>
    </w:p>
    <w:p w14:paraId="3C06DDFB" w14:textId="77777777" w:rsidR="006E654E" w:rsidRDefault="006E654E" w:rsidP="006E654E">
      <w:pPr>
        <w:widowControl/>
        <w:tabs>
          <w:tab w:val="left" w:pos="1440"/>
          <w:tab w:val="left" w:pos="4770"/>
        </w:tabs>
        <w:ind w:left="1530" w:hanging="1080"/>
        <w:rPr>
          <w:b/>
        </w:rPr>
      </w:pPr>
    </w:p>
    <w:p w14:paraId="6E7EB2C2" w14:textId="77777777" w:rsidR="006E654E" w:rsidRDefault="006E654E" w:rsidP="006E654E">
      <w:pPr>
        <w:widowControl/>
        <w:tabs>
          <w:tab w:val="left" w:pos="1440"/>
          <w:tab w:val="left" w:pos="4770"/>
        </w:tabs>
        <w:ind w:left="1530" w:hanging="1080"/>
        <w:rPr>
          <w:b/>
        </w:rPr>
      </w:pPr>
    </w:p>
    <w:p w14:paraId="295DD68E" w14:textId="77777777" w:rsidR="00493EFE" w:rsidRDefault="00493EFE" w:rsidP="00493EFE">
      <w:pPr>
        <w:widowControl/>
        <w:tabs>
          <w:tab w:val="left" w:pos="1440"/>
          <w:tab w:val="left" w:pos="4770"/>
          <w:tab w:val="left" w:pos="5760"/>
        </w:tabs>
        <w:ind w:left="1440" w:hanging="990"/>
        <w:rPr>
          <w:b/>
        </w:rPr>
      </w:pPr>
      <w:r>
        <w:rPr>
          <w:b/>
        </w:rPr>
        <w:t>IN RE:</w:t>
      </w:r>
      <w:r>
        <w:rPr>
          <w:b/>
        </w:rPr>
        <w:tab/>
      </w:r>
      <w:r w:rsidRPr="00A93E0F">
        <w:rPr>
          <w:b/>
          <w:szCs w:val="24"/>
        </w:rPr>
        <w:t xml:space="preserve">ATLANTA GAS LIGHT COMPANY’S </w:t>
      </w:r>
      <w:r>
        <w:rPr>
          <w:b/>
          <w:szCs w:val="24"/>
        </w:rPr>
        <w:tab/>
      </w:r>
      <w:proofErr w:type="gramStart"/>
      <w:r>
        <w:rPr>
          <w:b/>
          <w:szCs w:val="24"/>
        </w:rPr>
        <w:t>)</w:t>
      </w:r>
      <w:proofErr w:type="gramEnd"/>
      <w:r>
        <w:rPr>
          <w:b/>
          <w:szCs w:val="24"/>
        </w:rPr>
        <w:br/>
      </w:r>
      <w:r w:rsidRPr="00A93E0F">
        <w:rPr>
          <w:b/>
          <w:szCs w:val="24"/>
        </w:rPr>
        <w:t xml:space="preserve">INTEGRATED CAPACITY AND </w:t>
      </w:r>
      <w:r>
        <w:rPr>
          <w:b/>
          <w:szCs w:val="24"/>
        </w:rPr>
        <w:tab/>
        <w:t xml:space="preserve">)      </w:t>
      </w:r>
      <w:r>
        <w:rPr>
          <w:b/>
        </w:rPr>
        <w:t>DOCKET NO. 43820</w:t>
      </w:r>
      <w:r>
        <w:rPr>
          <w:b/>
          <w:szCs w:val="24"/>
        </w:rPr>
        <w:br/>
      </w:r>
      <w:r w:rsidRPr="00A93E0F">
        <w:rPr>
          <w:b/>
          <w:szCs w:val="24"/>
        </w:rPr>
        <w:t>DELIVERY PLAN (</w:t>
      </w:r>
      <w:proofErr w:type="spellStart"/>
      <w:r w:rsidRPr="00A93E0F">
        <w:rPr>
          <w:b/>
          <w:szCs w:val="24"/>
        </w:rPr>
        <w:t>i</w:t>
      </w:r>
      <w:proofErr w:type="spellEnd"/>
      <w:r w:rsidRPr="00A93E0F">
        <w:rPr>
          <w:b/>
          <w:szCs w:val="24"/>
        </w:rPr>
        <w:t>-CDP)</w:t>
      </w:r>
      <w:r>
        <w:rPr>
          <w:b/>
        </w:rPr>
        <w:tab/>
      </w:r>
      <w:r>
        <w:rPr>
          <w:b/>
        </w:rPr>
        <w:tab/>
        <w:t>)</w:t>
      </w:r>
    </w:p>
    <w:p w14:paraId="45759576" w14:textId="77777777" w:rsidR="00501D91" w:rsidRDefault="00501D91">
      <w:pPr>
        <w:widowControl/>
        <w:ind w:left="720"/>
        <w:jc w:val="both"/>
        <w:rPr>
          <w:b/>
          <w:smallCaps/>
        </w:rPr>
      </w:pPr>
      <w:r>
        <w:rPr>
          <w:b/>
        </w:rPr>
        <w:tab/>
      </w:r>
    </w:p>
    <w:p w14:paraId="4AF3A5F6" w14:textId="77777777" w:rsidR="00501D91" w:rsidRDefault="00501D91">
      <w:pPr>
        <w:widowControl/>
        <w:ind w:left="720"/>
        <w:jc w:val="both"/>
      </w:pPr>
      <w:r>
        <w:rPr>
          <w:b/>
          <w:smallCaps/>
        </w:rPr>
        <w:tab/>
      </w:r>
    </w:p>
    <w:p w14:paraId="00329CE5" w14:textId="77777777" w:rsidR="00501D91" w:rsidRDefault="00501D91">
      <w:pPr>
        <w:widowControl/>
        <w:suppressLineNumbers/>
        <w:jc w:val="both"/>
      </w:pPr>
    </w:p>
    <w:p w14:paraId="30B9BE75" w14:textId="1D93CB52" w:rsidR="00501D91" w:rsidRDefault="00501D91">
      <w:pPr>
        <w:widowControl/>
        <w:suppressLineNumbers/>
        <w:tabs>
          <w:tab w:val="center" w:pos="4464"/>
        </w:tabs>
        <w:jc w:val="both"/>
      </w:pPr>
      <w:r>
        <w:tab/>
      </w:r>
      <w:r>
        <w:rPr>
          <w:b/>
        </w:rPr>
        <w:t xml:space="preserve">DIRECT TESTIMONY OF </w:t>
      </w:r>
      <w:r w:rsidR="00A4399B">
        <w:rPr>
          <w:b/>
        </w:rPr>
        <w:t>RANDY FUTRAL</w:t>
      </w:r>
    </w:p>
    <w:p w14:paraId="60CC49FF" w14:textId="77777777" w:rsidR="00501D91" w:rsidRDefault="00501D91">
      <w:pPr>
        <w:widowControl/>
        <w:tabs>
          <w:tab w:val="left" w:pos="-1440"/>
        </w:tabs>
        <w:spacing w:line="480" w:lineRule="auto"/>
        <w:ind w:left="720" w:hanging="720"/>
        <w:jc w:val="center"/>
        <w:rPr>
          <w:b/>
        </w:rPr>
      </w:pPr>
    </w:p>
    <w:p w14:paraId="183FAC68" w14:textId="77777777" w:rsidR="00501D91" w:rsidRDefault="00501D91">
      <w:pPr>
        <w:widowControl/>
        <w:tabs>
          <w:tab w:val="left" w:pos="-1440"/>
        </w:tabs>
        <w:spacing w:line="480" w:lineRule="auto"/>
        <w:ind w:left="720" w:hanging="720"/>
        <w:jc w:val="both"/>
        <w:rPr>
          <w:b/>
        </w:rPr>
        <w:sectPr w:rsidR="00501D91" w:rsidSect="001E6DBF">
          <w:headerReference w:type="default" r:id="rId9"/>
          <w:footerReference w:type="default" r:id="rId10"/>
          <w:endnotePr>
            <w:numFmt w:val="decimal"/>
          </w:endnotePr>
          <w:pgSz w:w="12240" w:h="15840" w:code="1"/>
          <w:pgMar w:top="1080" w:right="1656" w:bottom="1080" w:left="1656" w:header="720" w:footer="720" w:gutter="0"/>
          <w:pgNumType w:start="1"/>
          <w:cols w:space="720"/>
          <w:noEndnote/>
        </w:sectPr>
      </w:pPr>
    </w:p>
    <w:p w14:paraId="5BDAEF34" w14:textId="23611B1B" w:rsidR="00427DCA" w:rsidRDefault="00427DCA" w:rsidP="00427DCA">
      <w:pPr>
        <w:widowControl/>
        <w:tabs>
          <w:tab w:val="left" w:pos="-1440"/>
        </w:tabs>
        <w:spacing w:line="480" w:lineRule="auto"/>
        <w:ind w:left="720" w:hanging="720"/>
        <w:jc w:val="both"/>
      </w:pPr>
      <w:r>
        <w:rPr>
          <w:b/>
        </w:rPr>
        <w:lastRenderedPageBreak/>
        <w:t>Q.</w:t>
      </w:r>
      <w:r>
        <w:rPr>
          <w:b/>
        </w:rPr>
        <w:tab/>
      </w:r>
      <w:r w:rsidR="00195761">
        <w:rPr>
          <w:b/>
        </w:rPr>
        <w:t>P</w:t>
      </w:r>
      <w:r>
        <w:rPr>
          <w:b/>
        </w:rPr>
        <w:t>lease state your name and business address.</w:t>
      </w:r>
    </w:p>
    <w:p w14:paraId="79178703" w14:textId="68879131" w:rsidR="00427DCA" w:rsidRDefault="00427DCA" w:rsidP="00427DCA">
      <w:pPr>
        <w:widowControl/>
        <w:tabs>
          <w:tab w:val="left" w:pos="-1440"/>
        </w:tabs>
        <w:spacing w:line="480" w:lineRule="auto"/>
        <w:ind w:left="720" w:hanging="720"/>
        <w:jc w:val="both"/>
      </w:pPr>
      <w:r>
        <w:t>A.</w:t>
      </w:r>
      <w:r>
        <w:tab/>
        <w:t xml:space="preserve">My name is Randy </w:t>
      </w:r>
      <w:r w:rsidR="00657550">
        <w:t xml:space="preserve">A. </w:t>
      </w:r>
      <w:r>
        <w:t xml:space="preserve">Futral.  My business address is J. Kennedy and Associates, Inc. ("Kennedy and Associates"), </w:t>
      </w:r>
      <w:smartTag w:uri="urn:schemas-microsoft-com:office:smarttags" w:element="address">
        <w:smartTag w:uri="urn:schemas-microsoft-com:office:smarttags" w:element="Street">
          <w:r>
            <w:t>570 Colonial Park Drive, Suite 305</w:t>
          </w:r>
        </w:smartTag>
        <w:r>
          <w:t xml:space="preserve">, </w:t>
        </w:r>
        <w:smartTag w:uri="urn:schemas-microsoft-com:office:smarttags" w:element="City">
          <w:r>
            <w:t>Roswell</w:t>
          </w:r>
        </w:smartTag>
        <w:r>
          <w:t xml:space="preserve">, </w:t>
        </w:r>
        <w:smartTag w:uri="urn:schemas-microsoft-com:office:smarttags" w:element="country-region">
          <w:r>
            <w:t>Georgia</w:t>
          </w:r>
        </w:smartTag>
      </w:smartTag>
      <w:r>
        <w:t xml:space="preserve"> 30075.</w:t>
      </w:r>
    </w:p>
    <w:p w14:paraId="16A3783A" w14:textId="77777777" w:rsidR="00427DCA" w:rsidRDefault="00427DCA" w:rsidP="00427DCA">
      <w:pPr>
        <w:widowControl/>
        <w:spacing w:line="480" w:lineRule="auto"/>
        <w:jc w:val="both"/>
      </w:pPr>
    </w:p>
    <w:p w14:paraId="1847FF8C" w14:textId="58BA4FA6" w:rsidR="00427DCA" w:rsidRDefault="00427DCA" w:rsidP="00427DCA">
      <w:pPr>
        <w:widowControl/>
        <w:tabs>
          <w:tab w:val="left" w:pos="-1440"/>
        </w:tabs>
        <w:spacing w:line="480" w:lineRule="auto"/>
        <w:ind w:left="720" w:hanging="720"/>
        <w:jc w:val="both"/>
        <w:rPr>
          <w:b/>
        </w:rPr>
      </w:pPr>
      <w:r>
        <w:rPr>
          <w:b/>
        </w:rPr>
        <w:t>Q.</w:t>
      </w:r>
      <w:r>
        <w:rPr>
          <w:b/>
        </w:rPr>
        <w:tab/>
      </w:r>
      <w:r w:rsidR="000A1E6F">
        <w:rPr>
          <w:b/>
        </w:rPr>
        <w:t xml:space="preserve">Please state </w:t>
      </w:r>
      <w:r>
        <w:rPr>
          <w:b/>
        </w:rPr>
        <w:t>your occupation and you</w:t>
      </w:r>
      <w:r w:rsidR="000A1E6F">
        <w:rPr>
          <w:b/>
        </w:rPr>
        <w:t>r</w:t>
      </w:r>
      <w:r>
        <w:rPr>
          <w:b/>
        </w:rPr>
        <w:t xml:space="preserve"> employe</w:t>
      </w:r>
      <w:r w:rsidR="000A1E6F">
        <w:rPr>
          <w:b/>
        </w:rPr>
        <w:t>r</w:t>
      </w:r>
      <w:r>
        <w:rPr>
          <w:b/>
        </w:rPr>
        <w:t>?</w:t>
      </w:r>
    </w:p>
    <w:p w14:paraId="1D23535C" w14:textId="04F5DC18" w:rsidR="00427DCA" w:rsidRDefault="00427DCA" w:rsidP="465B3A8A">
      <w:pPr>
        <w:widowControl/>
        <w:spacing w:line="480" w:lineRule="auto"/>
        <w:ind w:left="720" w:hanging="720"/>
        <w:jc w:val="both"/>
      </w:pPr>
      <w:r>
        <w:t>A.</w:t>
      </w:r>
      <w:r>
        <w:tab/>
        <w:t>I am a utility rate and planning consultant holding the position of Director, Consulting with the firm of Kennedy and Associates.</w:t>
      </w:r>
    </w:p>
    <w:p w14:paraId="6F41BE6B" w14:textId="77777777" w:rsidR="00427DCA" w:rsidRDefault="00427DCA" w:rsidP="00427DCA">
      <w:pPr>
        <w:widowControl/>
        <w:tabs>
          <w:tab w:val="left" w:pos="-1440"/>
        </w:tabs>
        <w:spacing w:line="480" w:lineRule="auto"/>
        <w:ind w:left="720" w:hanging="720"/>
        <w:jc w:val="both"/>
      </w:pPr>
    </w:p>
    <w:p w14:paraId="48331272" w14:textId="77777777" w:rsidR="00427DCA" w:rsidRPr="00340EAB" w:rsidRDefault="00427DCA" w:rsidP="00427DCA">
      <w:pPr>
        <w:widowControl/>
        <w:tabs>
          <w:tab w:val="left" w:pos="-1440"/>
        </w:tabs>
        <w:spacing w:line="480" w:lineRule="auto"/>
        <w:ind w:left="720" w:hanging="720"/>
        <w:jc w:val="both"/>
        <w:rPr>
          <w:b/>
        </w:rPr>
      </w:pPr>
      <w:r w:rsidRPr="00340EAB">
        <w:rPr>
          <w:b/>
        </w:rPr>
        <w:t>Q.</w:t>
      </w:r>
      <w:r w:rsidRPr="00340EAB">
        <w:rPr>
          <w:b/>
        </w:rPr>
        <w:tab/>
        <w:t>Please describe your education and professional experience.</w:t>
      </w:r>
    </w:p>
    <w:p w14:paraId="52DAC088" w14:textId="11495B2E" w:rsidR="0026685E" w:rsidRPr="00340EAB" w:rsidRDefault="00427DCA" w:rsidP="0026685E">
      <w:pPr>
        <w:tabs>
          <w:tab w:val="left" w:pos="-1440"/>
        </w:tabs>
        <w:spacing w:line="480" w:lineRule="auto"/>
        <w:ind w:left="720" w:hanging="720"/>
        <w:contextualSpacing/>
        <w:jc w:val="both"/>
        <w:rPr>
          <w:szCs w:val="24"/>
        </w:rPr>
      </w:pPr>
      <w:r w:rsidRPr="00340EAB">
        <w:t>A.</w:t>
      </w:r>
      <w:r w:rsidRPr="00340EAB">
        <w:tab/>
      </w:r>
      <w:r w:rsidR="0026685E" w:rsidRPr="00340EAB">
        <w:rPr>
          <w:szCs w:val="24"/>
        </w:rPr>
        <w:t xml:space="preserve">I earned a Bachelor of Business and Science degree in Business Administration with an emphasis in Accounting from Mississippi State University.  I have held various positions in the field of accounting for a period of almost 40 years, both as an employee and more recently as a consultant.  My experience has been focused in the areas of accounting, auditing, tax, budgeting, forecasting, financial reporting, and management.  </w:t>
      </w:r>
    </w:p>
    <w:p w14:paraId="3D074B9C" w14:textId="3E76753D" w:rsidR="0026685E" w:rsidRPr="008360FC" w:rsidRDefault="0026685E" w:rsidP="0026685E">
      <w:pPr>
        <w:tabs>
          <w:tab w:val="left" w:pos="-1440"/>
        </w:tabs>
        <w:spacing w:line="480" w:lineRule="auto"/>
        <w:ind w:left="720" w:hanging="720"/>
        <w:contextualSpacing/>
        <w:jc w:val="both"/>
        <w:rPr>
          <w:szCs w:val="24"/>
        </w:rPr>
      </w:pPr>
      <w:r w:rsidRPr="00340EAB">
        <w:rPr>
          <w:szCs w:val="24"/>
        </w:rPr>
        <w:lastRenderedPageBreak/>
        <w:tab/>
      </w:r>
      <w:r w:rsidRPr="00340EAB">
        <w:rPr>
          <w:szCs w:val="24"/>
        </w:rPr>
        <w:tab/>
        <w:t xml:space="preserve">Since 2003, I have been a consultant with Kennedy and Associates, providing services to state government agencies and large consumers of utility services in the ratemaking, financial, tax, accounting, and management areas.  </w:t>
      </w:r>
      <w:r w:rsidRPr="008360FC">
        <w:rPr>
          <w:szCs w:val="24"/>
        </w:rPr>
        <w:t xml:space="preserve">From 1997 to 2003, I served both as the Corporate Controller and Assistant Controller of </w:t>
      </w:r>
      <w:proofErr w:type="spellStart"/>
      <w:r w:rsidRPr="008360FC">
        <w:rPr>
          <w:szCs w:val="24"/>
        </w:rPr>
        <w:t>Telscape</w:t>
      </w:r>
      <w:proofErr w:type="spellEnd"/>
      <w:r w:rsidRPr="008360FC">
        <w:rPr>
          <w:szCs w:val="24"/>
        </w:rPr>
        <w:t xml:space="preserve"> International, Inc., an international public company providing telecommunication and high-end internet access services.  My tenure with </w:t>
      </w:r>
      <w:proofErr w:type="spellStart"/>
      <w:r w:rsidRPr="008360FC">
        <w:rPr>
          <w:szCs w:val="24"/>
        </w:rPr>
        <w:t>Telscape</w:t>
      </w:r>
      <w:proofErr w:type="spellEnd"/>
      <w:r w:rsidRPr="008360FC">
        <w:rPr>
          <w:szCs w:val="24"/>
        </w:rPr>
        <w:t xml:space="preserve"> included responsibilities in the areas of accounting, financial reporting, budgeting, forecasting, banking, and management.  From 1988 to 1997, I was employed by Comcast Communications, Inc., then the world’s third largest cable television provider, in a series of positions including Regional Controller for their South Central regional office. My duties with Comcast encompassed various accounting, tax, budgeting, forecasting, and managerial functions.  From 1984 to 1988, I held various staff and senior level accounting positions for both public accounting and private concerns focusing in the areas of accounting, budgeting, tax and financial reporting.</w:t>
      </w:r>
    </w:p>
    <w:p w14:paraId="08067819" w14:textId="458DEC28" w:rsidR="00427DCA" w:rsidRPr="008360FC" w:rsidRDefault="0026685E" w:rsidP="00340EAB">
      <w:pPr>
        <w:tabs>
          <w:tab w:val="left" w:pos="-1440"/>
        </w:tabs>
        <w:spacing w:line="480" w:lineRule="auto"/>
        <w:ind w:left="720" w:hanging="720"/>
        <w:contextualSpacing/>
        <w:jc w:val="both"/>
        <w:rPr>
          <w:szCs w:val="24"/>
        </w:rPr>
      </w:pPr>
      <w:r w:rsidRPr="008360FC">
        <w:rPr>
          <w:szCs w:val="24"/>
        </w:rPr>
        <w:tab/>
      </w:r>
      <w:r w:rsidRPr="008360FC">
        <w:rPr>
          <w:szCs w:val="24"/>
        </w:rPr>
        <w:tab/>
        <w:t xml:space="preserve">I have testified as an expert on ratemaking, accounting, finance, tax, and other issues in proceedings before regulatory commissions at the federal and state levels on numerous occasions.  While I have not testified before the </w:t>
      </w:r>
      <w:r w:rsidR="0030255E">
        <w:rPr>
          <w:szCs w:val="24"/>
        </w:rPr>
        <w:t xml:space="preserve">Georgia Public Service </w:t>
      </w:r>
      <w:r w:rsidRPr="008360FC">
        <w:rPr>
          <w:szCs w:val="24"/>
        </w:rPr>
        <w:t>Commission</w:t>
      </w:r>
      <w:r w:rsidR="0030255E">
        <w:rPr>
          <w:szCs w:val="24"/>
        </w:rPr>
        <w:t xml:space="preserve"> (</w:t>
      </w:r>
      <w:r w:rsidR="00521479">
        <w:rPr>
          <w:szCs w:val="24"/>
        </w:rPr>
        <w:t>“</w:t>
      </w:r>
      <w:r w:rsidR="0030255E">
        <w:rPr>
          <w:szCs w:val="24"/>
        </w:rPr>
        <w:t>Commission</w:t>
      </w:r>
      <w:r w:rsidR="00521479">
        <w:rPr>
          <w:szCs w:val="24"/>
        </w:rPr>
        <w:t>”</w:t>
      </w:r>
      <w:r w:rsidR="0030255E">
        <w:rPr>
          <w:szCs w:val="24"/>
        </w:rPr>
        <w:t>)</w:t>
      </w:r>
      <w:r w:rsidRPr="008360FC">
        <w:rPr>
          <w:szCs w:val="24"/>
        </w:rPr>
        <w:t xml:space="preserve">, I have assisted </w:t>
      </w:r>
      <w:r w:rsidR="00340EAB" w:rsidRPr="008360FC">
        <w:rPr>
          <w:szCs w:val="24"/>
        </w:rPr>
        <w:t xml:space="preserve">the Commission’s Staff and </w:t>
      </w:r>
      <w:r w:rsidRPr="008360FC">
        <w:rPr>
          <w:szCs w:val="24"/>
        </w:rPr>
        <w:t>other Kennedy and Associates’ experts</w:t>
      </w:r>
      <w:r w:rsidR="00340EAB" w:rsidRPr="008360FC">
        <w:rPr>
          <w:szCs w:val="24"/>
        </w:rPr>
        <w:t xml:space="preserve"> </w:t>
      </w:r>
      <w:r w:rsidRPr="008360FC">
        <w:rPr>
          <w:szCs w:val="24"/>
        </w:rPr>
        <w:t xml:space="preserve">in numerous proceedings before the Commission, including </w:t>
      </w:r>
      <w:r w:rsidR="00340EAB" w:rsidRPr="008360FC">
        <w:rPr>
          <w:szCs w:val="24"/>
        </w:rPr>
        <w:t xml:space="preserve">those involving </w:t>
      </w:r>
      <w:r w:rsidR="007D5576">
        <w:rPr>
          <w:szCs w:val="24"/>
        </w:rPr>
        <w:t>Atlanta Gas Light Company (“</w:t>
      </w:r>
      <w:r w:rsidR="00340EAB" w:rsidRPr="008360FC">
        <w:rPr>
          <w:szCs w:val="24"/>
        </w:rPr>
        <w:t>AGL</w:t>
      </w:r>
      <w:r w:rsidR="007D5576">
        <w:rPr>
          <w:szCs w:val="24"/>
        </w:rPr>
        <w:t>”)</w:t>
      </w:r>
      <w:r w:rsidR="00427DCA" w:rsidRPr="008360FC">
        <w:t>.</w:t>
      </w:r>
      <w:r w:rsidR="00427DCA" w:rsidRPr="008360FC">
        <w:rPr>
          <w:rStyle w:val="FootnoteReference"/>
          <w:vertAlign w:val="superscript"/>
        </w:rPr>
        <w:footnoteReference w:id="2"/>
      </w:r>
      <w:r w:rsidR="00427DCA" w:rsidRPr="008360FC">
        <w:rPr>
          <w:vertAlign w:val="superscript"/>
        </w:rPr>
        <w:t xml:space="preserve"> </w:t>
      </w:r>
      <w:r w:rsidR="00427DCA" w:rsidRPr="008360FC">
        <w:t xml:space="preserve"> </w:t>
      </w:r>
    </w:p>
    <w:p w14:paraId="20C7DEBC" w14:textId="77777777" w:rsidR="00427DCA" w:rsidRPr="008360FC" w:rsidRDefault="00427DCA" w:rsidP="00427DCA">
      <w:pPr>
        <w:widowControl/>
        <w:spacing w:line="480" w:lineRule="auto"/>
        <w:ind w:left="720"/>
        <w:jc w:val="center"/>
      </w:pPr>
    </w:p>
    <w:p w14:paraId="5AB8A912" w14:textId="5250FB32" w:rsidR="00501D91" w:rsidRPr="008360FC" w:rsidRDefault="00501D91">
      <w:pPr>
        <w:widowControl/>
        <w:tabs>
          <w:tab w:val="left" w:pos="-1440"/>
        </w:tabs>
        <w:spacing w:line="480" w:lineRule="auto"/>
        <w:ind w:left="720" w:hanging="720"/>
        <w:jc w:val="both"/>
      </w:pPr>
      <w:r w:rsidRPr="008360FC">
        <w:rPr>
          <w:b/>
        </w:rPr>
        <w:lastRenderedPageBreak/>
        <w:t>Q.</w:t>
      </w:r>
      <w:r w:rsidRPr="008360FC">
        <w:rPr>
          <w:b/>
        </w:rPr>
        <w:tab/>
      </w:r>
      <w:r w:rsidR="00427DCA" w:rsidRPr="008360FC">
        <w:rPr>
          <w:b/>
        </w:rPr>
        <w:t>O</w:t>
      </w:r>
      <w:r w:rsidRPr="008360FC">
        <w:rPr>
          <w:b/>
        </w:rPr>
        <w:t xml:space="preserve">n whose behalf are you </w:t>
      </w:r>
      <w:r w:rsidR="00427DCA" w:rsidRPr="008360FC">
        <w:rPr>
          <w:b/>
        </w:rPr>
        <w:t xml:space="preserve">providing </w:t>
      </w:r>
      <w:r w:rsidRPr="008360FC">
        <w:rPr>
          <w:b/>
        </w:rPr>
        <w:t>testi</w:t>
      </w:r>
      <w:r w:rsidR="00427DCA" w:rsidRPr="008360FC">
        <w:rPr>
          <w:b/>
        </w:rPr>
        <w:t>mony</w:t>
      </w:r>
      <w:r w:rsidRPr="008360FC">
        <w:rPr>
          <w:b/>
        </w:rPr>
        <w:t>?</w:t>
      </w:r>
    </w:p>
    <w:p w14:paraId="793B078E" w14:textId="3AEEB4B7" w:rsidR="00501D91" w:rsidRPr="008360FC" w:rsidRDefault="00501D91">
      <w:pPr>
        <w:widowControl/>
        <w:spacing w:line="480" w:lineRule="auto"/>
        <w:ind w:left="720" w:hanging="720"/>
        <w:jc w:val="both"/>
      </w:pPr>
      <w:r w:rsidRPr="008360FC">
        <w:t>A.</w:t>
      </w:r>
      <w:r w:rsidRPr="008360FC">
        <w:tab/>
      </w:r>
      <w:r w:rsidR="00195761" w:rsidRPr="008360FC">
        <w:t xml:space="preserve">I am </w:t>
      </w:r>
      <w:r w:rsidR="00A2692F" w:rsidRPr="008360FC">
        <w:t>providing t</w:t>
      </w:r>
      <w:r w:rsidRPr="008360FC">
        <w:t>estimony on behalf of the</w:t>
      </w:r>
      <w:r w:rsidR="00227D41" w:rsidRPr="008360FC">
        <w:t xml:space="preserve"> </w:t>
      </w:r>
      <w:r w:rsidR="00FE64E2" w:rsidRPr="008360FC">
        <w:t xml:space="preserve">Commission’s </w:t>
      </w:r>
      <w:r w:rsidR="0019430F" w:rsidRPr="008360FC">
        <w:t>Pub</w:t>
      </w:r>
      <w:r w:rsidR="000A1E6F" w:rsidRPr="008360FC">
        <w:t>l</w:t>
      </w:r>
      <w:r w:rsidR="0019430F" w:rsidRPr="008360FC">
        <w:t xml:space="preserve">ic Interest </w:t>
      </w:r>
      <w:r w:rsidR="007D011F" w:rsidRPr="008360FC">
        <w:t xml:space="preserve">Advocacy </w:t>
      </w:r>
      <w:r w:rsidR="0019430F" w:rsidRPr="008360FC">
        <w:t xml:space="preserve">Staff (“PIA Staff”).  </w:t>
      </w:r>
    </w:p>
    <w:p w14:paraId="5AD42A89" w14:textId="613A79D6" w:rsidR="00C84054" w:rsidRPr="008360FC" w:rsidRDefault="00BE79CE" w:rsidP="00195761">
      <w:pPr>
        <w:widowControl/>
        <w:spacing w:after="240"/>
        <w:ind w:hanging="720"/>
        <w:contextualSpacing/>
        <w:jc w:val="both"/>
        <w:rPr>
          <w:b/>
          <w:bCs/>
        </w:rPr>
      </w:pPr>
      <w:r w:rsidRPr="008360FC">
        <w:tab/>
      </w:r>
    </w:p>
    <w:p w14:paraId="071A1ED3" w14:textId="25F6032E" w:rsidR="00501D91" w:rsidRPr="008360FC" w:rsidRDefault="00501D91" w:rsidP="00BE0747">
      <w:pPr>
        <w:widowControl/>
        <w:spacing w:line="480" w:lineRule="auto"/>
        <w:contextualSpacing/>
        <w:rPr>
          <w:b/>
          <w:bCs/>
        </w:rPr>
      </w:pPr>
      <w:r w:rsidRPr="008360FC">
        <w:rPr>
          <w:b/>
          <w:bCs/>
        </w:rPr>
        <w:t>Q.</w:t>
      </w:r>
      <w:r w:rsidR="000A1E6F" w:rsidRPr="008360FC">
        <w:rPr>
          <w:b/>
          <w:bCs/>
        </w:rPr>
        <w:tab/>
        <w:t xml:space="preserve">Please state the </w:t>
      </w:r>
      <w:r w:rsidRPr="008360FC">
        <w:rPr>
          <w:b/>
          <w:bCs/>
        </w:rPr>
        <w:t>purpose of your testimony?</w:t>
      </w:r>
    </w:p>
    <w:p w14:paraId="3D24B5A0" w14:textId="1A123592" w:rsidR="00466295" w:rsidRPr="008360FC" w:rsidRDefault="00501D91" w:rsidP="00A317EA">
      <w:pPr>
        <w:widowControl/>
        <w:spacing w:line="480" w:lineRule="auto"/>
        <w:ind w:left="720" w:hanging="720"/>
        <w:jc w:val="both"/>
      </w:pPr>
      <w:bookmarkStart w:id="1" w:name="_Toc93806222"/>
      <w:r w:rsidRPr="008360FC">
        <w:t>A.</w:t>
      </w:r>
      <w:r w:rsidRPr="008360FC">
        <w:tab/>
        <w:t xml:space="preserve">The purpose of </w:t>
      </w:r>
      <w:r w:rsidR="00195761" w:rsidRPr="008360FC">
        <w:t xml:space="preserve">my </w:t>
      </w:r>
      <w:r w:rsidRPr="008360FC">
        <w:t>testimony is to</w:t>
      </w:r>
      <w:bookmarkEnd w:id="1"/>
      <w:r w:rsidR="00A91808" w:rsidRPr="008360FC">
        <w:t xml:space="preserve"> </w:t>
      </w:r>
      <w:r w:rsidR="008925D5" w:rsidRPr="008360FC">
        <w:t xml:space="preserve">provide a brief summary of </w:t>
      </w:r>
      <w:r w:rsidR="00A91808" w:rsidRPr="008360FC">
        <w:t xml:space="preserve">the </w:t>
      </w:r>
      <w:r w:rsidR="00466295" w:rsidRPr="008360FC">
        <w:t xml:space="preserve">findings, </w:t>
      </w:r>
      <w:r w:rsidR="00A91808" w:rsidRPr="008360FC">
        <w:t>conclusions</w:t>
      </w:r>
      <w:r w:rsidR="00466295" w:rsidRPr="008360FC">
        <w:t>,</w:t>
      </w:r>
      <w:r w:rsidR="00A91808" w:rsidRPr="008360FC">
        <w:t xml:space="preserve"> and recommendations </w:t>
      </w:r>
      <w:r w:rsidR="00466295" w:rsidRPr="008360FC">
        <w:t xml:space="preserve">resulting from the affiliate audit performed by Kennedy and Associates that are </w:t>
      </w:r>
      <w:r w:rsidR="00195761" w:rsidRPr="008360FC">
        <w:t xml:space="preserve">set forth </w:t>
      </w:r>
      <w:r w:rsidR="00A91808" w:rsidRPr="008360FC">
        <w:t xml:space="preserve">in </w:t>
      </w:r>
      <w:r w:rsidR="00195761" w:rsidRPr="008360FC">
        <w:t xml:space="preserve">the 2024 </w:t>
      </w:r>
      <w:r w:rsidR="00A91808" w:rsidRPr="008360FC">
        <w:t>Affiliate Audit Report</w:t>
      </w:r>
      <w:r w:rsidR="00195761" w:rsidRPr="008360FC">
        <w:t xml:space="preserve"> (“Audit Report”)</w:t>
      </w:r>
      <w:r w:rsidR="007751FA" w:rsidRPr="008360FC">
        <w:t>.</w:t>
      </w:r>
      <w:r w:rsidR="00A4399B" w:rsidRPr="008360FC">
        <w:rPr>
          <w:rStyle w:val="FootnoteReference"/>
          <w:vertAlign w:val="superscript"/>
        </w:rPr>
        <w:footnoteReference w:id="3"/>
      </w:r>
      <w:r w:rsidR="00195761" w:rsidRPr="008360FC">
        <w:t xml:space="preserve">  </w:t>
      </w:r>
      <w:r w:rsidR="007751FA" w:rsidRPr="008360FC">
        <w:t>Th</w:t>
      </w:r>
      <w:r w:rsidR="000A1E6F" w:rsidRPr="008360FC">
        <w:t>is</w:t>
      </w:r>
      <w:r w:rsidR="007751FA" w:rsidRPr="008360FC">
        <w:t xml:space="preserve"> </w:t>
      </w:r>
      <w:r w:rsidR="00466295" w:rsidRPr="008360FC">
        <w:t xml:space="preserve">affiliate audit </w:t>
      </w:r>
      <w:r w:rsidR="000764F2" w:rsidRPr="008360FC">
        <w:t xml:space="preserve">is </w:t>
      </w:r>
      <w:r w:rsidR="00466295" w:rsidRPr="008360FC">
        <w:t>an update to the prior affiliate audit that PIA Staff and Kennedy and Associates performed in 2019.</w:t>
      </w:r>
      <w:r w:rsidR="00466295" w:rsidRPr="008360FC">
        <w:rPr>
          <w:rStyle w:val="FootnoteReference"/>
          <w:vertAlign w:val="superscript"/>
        </w:rPr>
        <w:footnoteReference w:id="4"/>
      </w:r>
      <w:r w:rsidR="00466295" w:rsidRPr="008360FC">
        <w:t xml:space="preserve">  </w:t>
      </w:r>
    </w:p>
    <w:p w14:paraId="60AF93A4" w14:textId="77777777" w:rsidR="00BE79CE" w:rsidRPr="008360FC" w:rsidRDefault="00BE79CE" w:rsidP="00A317EA">
      <w:pPr>
        <w:widowControl/>
        <w:spacing w:line="480" w:lineRule="auto"/>
        <w:ind w:left="720" w:hanging="720"/>
        <w:jc w:val="both"/>
        <w:rPr>
          <w:b/>
        </w:rPr>
      </w:pPr>
    </w:p>
    <w:p w14:paraId="4FF4A484" w14:textId="32437D23" w:rsidR="00501D91" w:rsidRPr="008360FC" w:rsidRDefault="00501D91" w:rsidP="00A317EA">
      <w:pPr>
        <w:widowControl/>
        <w:spacing w:line="480" w:lineRule="auto"/>
        <w:ind w:left="720" w:hanging="720"/>
        <w:jc w:val="both"/>
        <w:rPr>
          <w:b/>
        </w:rPr>
      </w:pPr>
      <w:r w:rsidRPr="008360FC">
        <w:rPr>
          <w:b/>
        </w:rPr>
        <w:t>Q.</w:t>
      </w:r>
      <w:r w:rsidRPr="008360FC">
        <w:rPr>
          <w:b/>
        </w:rPr>
        <w:tab/>
        <w:t>Please summarize your testimony.</w:t>
      </w:r>
    </w:p>
    <w:p w14:paraId="0F4B7DB2" w14:textId="4B9D55DD" w:rsidR="006422A7" w:rsidRPr="008360FC" w:rsidRDefault="00501D91" w:rsidP="006422A7">
      <w:pPr>
        <w:widowControl/>
        <w:spacing w:line="480" w:lineRule="auto"/>
        <w:ind w:left="720" w:hanging="720"/>
        <w:jc w:val="both"/>
      </w:pPr>
      <w:r w:rsidRPr="008360FC">
        <w:t>A.</w:t>
      </w:r>
      <w:r w:rsidRPr="008360FC">
        <w:tab/>
      </w:r>
      <w:bookmarkStart w:id="2" w:name="_Toc115594605"/>
      <w:r w:rsidR="006422A7" w:rsidRPr="008360FC">
        <w:t>The Audit Report addresses the historic costs incurred by AGL through charges from its two affiliate centralized service providers, Southern Company Services, Inc. (“SCS”) and AGL Services Company (“ASC”)</w:t>
      </w:r>
      <w:r w:rsidR="00075B78">
        <w:t xml:space="preserve">.  The Audit Report also addresses </w:t>
      </w:r>
      <w:r w:rsidR="006422A7" w:rsidRPr="008360FC">
        <w:t xml:space="preserve">the methodologies used by SCS and ASC to </w:t>
      </w:r>
      <w:r w:rsidR="006B0BC3" w:rsidRPr="008360FC">
        <w:t xml:space="preserve">direct </w:t>
      </w:r>
      <w:r w:rsidR="006422A7" w:rsidRPr="008360FC">
        <w:t>assign</w:t>
      </w:r>
      <w:r w:rsidR="006B0BC3" w:rsidRPr="008360FC">
        <w:t xml:space="preserve">, direct charge, </w:t>
      </w:r>
      <w:r w:rsidR="006422A7" w:rsidRPr="008360FC">
        <w:t>and allocate their costs to AGL.</w:t>
      </w:r>
      <w:r w:rsidR="006422A7" w:rsidRPr="008360FC">
        <w:rPr>
          <w:rStyle w:val="FootnoteReference"/>
          <w:vertAlign w:val="superscript"/>
        </w:rPr>
        <w:footnoteReference w:id="5"/>
      </w:r>
      <w:r w:rsidR="006422A7" w:rsidRPr="008360FC">
        <w:t xml:space="preserve">  </w:t>
      </w:r>
      <w:r w:rsidR="00BE3490" w:rsidRPr="006F7575">
        <w:rPr>
          <w:spacing w:val="-3"/>
        </w:rPr>
        <w:t xml:space="preserve">The direct charges are for costs incurred by </w:t>
      </w:r>
      <w:r w:rsidR="00BE3490">
        <w:rPr>
          <w:spacing w:val="-3"/>
        </w:rPr>
        <w:t xml:space="preserve">SCS and </w:t>
      </w:r>
      <w:r w:rsidR="00BE3490" w:rsidRPr="006F7575">
        <w:rPr>
          <w:spacing w:val="-3"/>
        </w:rPr>
        <w:t>ASC directly on behalf of a</w:t>
      </w:r>
      <w:r w:rsidR="00855E13">
        <w:rPr>
          <w:spacing w:val="-3"/>
        </w:rPr>
        <w:t xml:space="preserve"> single </w:t>
      </w:r>
      <w:r w:rsidR="00BE3490" w:rsidRPr="006F7575">
        <w:rPr>
          <w:spacing w:val="-3"/>
        </w:rPr>
        <w:t xml:space="preserve">affiliate. The direct assignments are for costs of services provided to specific affiliates and charged to those affiliates based upon </w:t>
      </w:r>
      <w:r w:rsidR="00855E13">
        <w:rPr>
          <w:spacing w:val="-3"/>
        </w:rPr>
        <w:t xml:space="preserve">certain factors </w:t>
      </w:r>
      <w:r w:rsidR="00855E13">
        <w:rPr>
          <w:spacing w:val="-3"/>
        </w:rPr>
        <w:lastRenderedPageBreak/>
        <w:t xml:space="preserve">such as </w:t>
      </w:r>
      <w:r w:rsidR="00BE3490" w:rsidRPr="006F7575">
        <w:rPr>
          <w:spacing w:val="-3"/>
        </w:rPr>
        <w:t>time reporting</w:t>
      </w:r>
      <w:r w:rsidR="00855E13">
        <w:rPr>
          <w:spacing w:val="-3"/>
        </w:rPr>
        <w:t xml:space="preserve"> and end use customers</w:t>
      </w:r>
      <w:r w:rsidR="00BE3490" w:rsidRPr="006F7575">
        <w:rPr>
          <w:spacing w:val="-3"/>
        </w:rPr>
        <w:t xml:space="preserve">.  The allocations are for the costs of services that are provided to multiple affiliates </w:t>
      </w:r>
      <w:r w:rsidR="00855E13">
        <w:rPr>
          <w:spacing w:val="-3"/>
        </w:rPr>
        <w:t xml:space="preserve">that are more general in nature </w:t>
      </w:r>
      <w:r w:rsidR="00BE3490" w:rsidRPr="006F7575">
        <w:rPr>
          <w:spacing w:val="-3"/>
        </w:rPr>
        <w:t xml:space="preserve">and charged to those affiliates based upon various factors such as full time equivalent employees, end use customers, </w:t>
      </w:r>
      <w:r w:rsidR="00855E13">
        <w:rPr>
          <w:spacing w:val="-3"/>
        </w:rPr>
        <w:t xml:space="preserve">and a financial basis ratio </w:t>
      </w:r>
      <w:r w:rsidR="00BE3490" w:rsidRPr="006F7575">
        <w:rPr>
          <w:spacing w:val="-3"/>
        </w:rPr>
        <w:t xml:space="preserve">and a composite ratio based upon other factors, including </w:t>
      </w:r>
      <w:r w:rsidR="00855E13">
        <w:rPr>
          <w:spacing w:val="-3"/>
        </w:rPr>
        <w:t xml:space="preserve">revenues, revenue margins, and </w:t>
      </w:r>
      <w:r w:rsidR="00BE3490" w:rsidRPr="006F7575">
        <w:rPr>
          <w:spacing w:val="-3"/>
        </w:rPr>
        <w:t>operating expenses.</w:t>
      </w:r>
    </w:p>
    <w:p w14:paraId="0A141D5A" w14:textId="717F8B1E" w:rsidR="008925D5" w:rsidRPr="008360FC" w:rsidRDefault="008925D5" w:rsidP="008925D5">
      <w:pPr>
        <w:widowControl/>
        <w:spacing w:line="480" w:lineRule="auto"/>
        <w:ind w:left="720" w:hanging="720"/>
        <w:jc w:val="both"/>
        <w:rPr>
          <w:snapToGrid/>
          <w:szCs w:val="24"/>
        </w:rPr>
      </w:pPr>
      <w:r w:rsidRPr="008360FC">
        <w:rPr>
          <w:snapToGrid/>
          <w:szCs w:val="24"/>
        </w:rPr>
        <w:tab/>
      </w:r>
      <w:r w:rsidRPr="008360FC">
        <w:rPr>
          <w:snapToGrid/>
          <w:szCs w:val="24"/>
        </w:rPr>
        <w:tab/>
      </w:r>
      <w:r w:rsidR="00075B78">
        <w:rPr>
          <w:snapToGrid/>
          <w:szCs w:val="24"/>
        </w:rPr>
        <w:t>These a</w:t>
      </w:r>
      <w:r w:rsidRPr="008360FC">
        <w:rPr>
          <w:szCs w:val="24"/>
        </w:rPr>
        <w:t xml:space="preserve">ffiliate charges to AGL from SCS and ASC are significant and affect the expense </w:t>
      </w:r>
      <w:r w:rsidR="006422A7" w:rsidRPr="008360FC">
        <w:rPr>
          <w:szCs w:val="24"/>
        </w:rPr>
        <w:t xml:space="preserve">and capital </w:t>
      </w:r>
      <w:r w:rsidRPr="008360FC">
        <w:rPr>
          <w:szCs w:val="24"/>
        </w:rPr>
        <w:t>costs included in the 202</w:t>
      </w:r>
      <w:r w:rsidR="00075B78">
        <w:rPr>
          <w:szCs w:val="24"/>
        </w:rPr>
        <w:t>5-2034</w:t>
      </w:r>
      <w:r w:rsidRPr="008360FC">
        <w:rPr>
          <w:szCs w:val="24"/>
        </w:rPr>
        <w:t xml:space="preserve"> Integrated Capacity and Delivery Plan (“</w:t>
      </w:r>
      <w:proofErr w:type="spellStart"/>
      <w:r w:rsidRPr="008360FC">
        <w:rPr>
          <w:szCs w:val="24"/>
        </w:rPr>
        <w:t>i</w:t>
      </w:r>
      <w:proofErr w:type="spellEnd"/>
      <w:r w:rsidRPr="008360FC">
        <w:rPr>
          <w:szCs w:val="24"/>
        </w:rPr>
        <w:t xml:space="preserve">-CDP”), as well as the rates </w:t>
      </w:r>
      <w:r w:rsidR="000A1E6F" w:rsidRPr="008360FC">
        <w:rPr>
          <w:szCs w:val="24"/>
        </w:rPr>
        <w:t xml:space="preserve">proposed by AGL </w:t>
      </w:r>
      <w:r w:rsidRPr="008360FC">
        <w:rPr>
          <w:szCs w:val="24"/>
        </w:rPr>
        <w:t xml:space="preserve">for the </w:t>
      </w:r>
      <w:r w:rsidRPr="008360FC">
        <w:rPr>
          <w:snapToGrid/>
          <w:szCs w:val="24"/>
        </w:rPr>
        <w:t xml:space="preserve">System Reinforcement Rider (“SRR”) </w:t>
      </w:r>
      <w:r w:rsidR="000A1E6F" w:rsidRPr="008360FC">
        <w:rPr>
          <w:snapToGrid/>
          <w:szCs w:val="24"/>
        </w:rPr>
        <w:t xml:space="preserve">in this proceeding that will be in effect </w:t>
      </w:r>
      <w:r w:rsidRPr="008360FC">
        <w:rPr>
          <w:snapToGrid/>
          <w:szCs w:val="24"/>
        </w:rPr>
        <w:t xml:space="preserve">for the next three years and the Georgia Rate Adjustment Mechanism (“GRAM”) filings and rates </w:t>
      </w:r>
      <w:r w:rsidR="000A1E6F" w:rsidRPr="008360FC">
        <w:rPr>
          <w:snapToGrid/>
          <w:szCs w:val="24"/>
        </w:rPr>
        <w:t xml:space="preserve">that will be </w:t>
      </w:r>
      <w:r w:rsidR="000764F2" w:rsidRPr="008360FC">
        <w:rPr>
          <w:snapToGrid/>
          <w:szCs w:val="24"/>
        </w:rPr>
        <w:t xml:space="preserve">in effect and </w:t>
      </w:r>
      <w:r w:rsidR="000A1E6F" w:rsidRPr="008360FC">
        <w:rPr>
          <w:snapToGrid/>
          <w:szCs w:val="24"/>
        </w:rPr>
        <w:t xml:space="preserve">revised annually starting in </w:t>
      </w:r>
      <w:r w:rsidR="00E624D8" w:rsidRPr="008360FC">
        <w:rPr>
          <w:snapToGrid/>
          <w:szCs w:val="24"/>
        </w:rPr>
        <w:t>January 2025</w:t>
      </w:r>
      <w:r w:rsidR="006422A7" w:rsidRPr="008360FC">
        <w:rPr>
          <w:snapToGrid/>
          <w:szCs w:val="24"/>
        </w:rPr>
        <w:t>.</w:t>
      </w:r>
      <w:r w:rsidR="00075B78">
        <w:rPr>
          <w:snapToGrid/>
          <w:szCs w:val="24"/>
        </w:rPr>
        <w:t xml:space="preserve">  It is my understanding that PIA Staff proposes </w:t>
      </w:r>
      <w:r w:rsidR="00ED4120">
        <w:rPr>
          <w:snapToGrid/>
          <w:szCs w:val="24"/>
        </w:rPr>
        <w:t xml:space="preserve">in this proceeding </w:t>
      </w:r>
      <w:r w:rsidR="00075B78">
        <w:rPr>
          <w:snapToGrid/>
          <w:szCs w:val="24"/>
        </w:rPr>
        <w:t xml:space="preserve">to discontinue the SRR and roll in the costs of those assets into future GRAM filings for recovery purposes.  </w:t>
      </w:r>
    </w:p>
    <w:p w14:paraId="1EEF4C43" w14:textId="56E00D60" w:rsidR="006F6884" w:rsidRPr="008360FC" w:rsidRDefault="008925D5" w:rsidP="00E500B8">
      <w:pPr>
        <w:widowControl/>
        <w:spacing w:line="480" w:lineRule="auto"/>
        <w:ind w:left="720" w:hanging="720"/>
        <w:jc w:val="both"/>
      </w:pPr>
      <w:r w:rsidRPr="008360FC">
        <w:tab/>
      </w:r>
      <w:r w:rsidRPr="008360FC">
        <w:tab/>
      </w:r>
      <w:r w:rsidR="006F6884" w:rsidRPr="008360FC">
        <w:t>The SCS and ASC affiliate charges to AGL include both expense charges, which affect AGL’s operating income, and capital charges, which affect AGL’s rate base</w:t>
      </w:r>
      <w:r w:rsidR="00CC0F56">
        <w:t>.  These charges</w:t>
      </w:r>
      <w:r w:rsidR="006F6884" w:rsidRPr="008360FC">
        <w:t xml:space="preserve">, together with the increases in expenses and capital costs incurred directly by AGL, have resulted in significant increases in charges to end-use customers through the AGL component portion </w:t>
      </w:r>
      <w:r w:rsidR="00330E7E">
        <w:t>(AGL pass through charges), which is part of the total cost charged to the customers on the marketers’ bills.</w:t>
      </w:r>
    </w:p>
    <w:p w14:paraId="5DBC1FF2" w14:textId="33F1C63A" w:rsidR="0012243E" w:rsidRPr="008360FC" w:rsidRDefault="006F6884" w:rsidP="00E500B8">
      <w:pPr>
        <w:widowControl/>
        <w:spacing w:line="480" w:lineRule="auto"/>
        <w:ind w:left="720" w:hanging="720"/>
        <w:jc w:val="both"/>
      </w:pPr>
      <w:r w:rsidRPr="008360FC">
        <w:tab/>
      </w:r>
      <w:r w:rsidRPr="008360FC">
        <w:tab/>
      </w:r>
      <w:r w:rsidR="008925D5" w:rsidRPr="008360FC">
        <w:t xml:space="preserve">The SCS and ASC </w:t>
      </w:r>
      <w:r w:rsidRPr="008360FC">
        <w:t xml:space="preserve">expense </w:t>
      </w:r>
      <w:r w:rsidR="008925D5" w:rsidRPr="008360FC">
        <w:t>charges to AGL h</w:t>
      </w:r>
      <w:r w:rsidR="0012243E" w:rsidRPr="008360FC">
        <w:t xml:space="preserve">ave </w:t>
      </w:r>
      <w:r w:rsidR="00E624D8" w:rsidRPr="008360FC">
        <w:t xml:space="preserve">continued to </w:t>
      </w:r>
      <w:r w:rsidR="0012243E" w:rsidRPr="008360FC">
        <w:t>grow significantly since Southern Company acquired AGL Resources</w:t>
      </w:r>
      <w:r w:rsidRPr="008360FC">
        <w:t>, Inc.</w:t>
      </w:r>
      <w:r w:rsidR="0012243E" w:rsidRPr="008360FC">
        <w:t xml:space="preserve"> in 2016</w:t>
      </w:r>
      <w:r w:rsidR="00D0458B">
        <w:t>.</w:t>
      </w:r>
      <w:r w:rsidR="00466295" w:rsidRPr="008360FC">
        <w:rPr>
          <w:rStyle w:val="FootnoteReference"/>
          <w:vertAlign w:val="superscript"/>
        </w:rPr>
        <w:footnoteReference w:id="6"/>
      </w:r>
      <w:r w:rsidR="00832983" w:rsidRPr="008360FC">
        <w:t xml:space="preserve"> </w:t>
      </w:r>
      <w:r w:rsidR="00D0458B">
        <w:t xml:space="preserve"> However, the </w:t>
      </w:r>
      <w:r w:rsidR="00832983" w:rsidRPr="008360FC">
        <w:t>most rapid growth occurr</w:t>
      </w:r>
      <w:r w:rsidR="00D0458B">
        <w:t>ed</w:t>
      </w:r>
      <w:r w:rsidR="00832983" w:rsidRPr="008360FC">
        <w:t xml:space="preserve"> in the last four years after the </w:t>
      </w:r>
      <w:r w:rsidR="000C59D0">
        <w:t>approval</w:t>
      </w:r>
      <w:r w:rsidR="000C59D0" w:rsidRPr="008360FC">
        <w:t xml:space="preserve"> </w:t>
      </w:r>
      <w:r w:rsidR="00832983" w:rsidRPr="008360FC">
        <w:t xml:space="preserve">of </w:t>
      </w:r>
      <w:r w:rsidR="00E941CE">
        <w:lastRenderedPageBreak/>
        <w:t xml:space="preserve">new base rates </w:t>
      </w:r>
      <w:r w:rsidR="00E624D8" w:rsidRPr="008360FC">
        <w:t xml:space="preserve">in 2019 </w:t>
      </w:r>
      <w:r w:rsidR="00832983" w:rsidRPr="008360FC">
        <w:t xml:space="preserve">and </w:t>
      </w:r>
      <w:r w:rsidR="00E624D8" w:rsidRPr="008360FC">
        <w:t xml:space="preserve">the </w:t>
      </w:r>
      <w:r w:rsidR="00832983" w:rsidRPr="008360FC">
        <w:t xml:space="preserve">SRR rider </w:t>
      </w:r>
      <w:r w:rsidR="00E624D8" w:rsidRPr="008360FC">
        <w:t>in 2020</w:t>
      </w:r>
      <w:r w:rsidR="0068158E" w:rsidRPr="008360FC">
        <w:t>.</w:t>
      </w:r>
      <w:r w:rsidR="0012243E" w:rsidRPr="008360FC">
        <w:t xml:space="preserve">  </w:t>
      </w:r>
      <w:r w:rsidR="00F90DFE" w:rsidRPr="008360FC">
        <w:t xml:space="preserve">As </w:t>
      </w:r>
      <w:r w:rsidR="000764F2" w:rsidRPr="008360FC">
        <w:t>shown</w:t>
      </w:r>
      <w:r w:rsidR="00F90DFE" w:rsidRPr="008360FC">
        <w:t xml:space="preserve"> in the </w:t>
      </w:r>
      <w:r w:rsidR="000764F2" w:rsidRPr="008360FC">
        <w:t xml:space="preserve">following </w:t>
      </w:r>
      <w:r w:rsidR="00F90DFE" w:rsidRPr="008360FC">
        <w:t xml:space="preserve">chart, these expense charges were $62.5 million in 2015, the year before the acquisition, and </w:t>
      </w:r>
      <w:r w:rsidR="000764F2" w:rsidRPr="008360FC">
        <w:t xml:space="preserve">have grown </w:t>
      </w:r>
      <w:r w:rsidR="00F90DFE" w:rsidRPr="008360FC">
        <w:t>to $132.3 million in 2023.</w:t>
      </w:r>
      <w:r w:rsidR="0012243E" w:rsidRPr="008360FC">
        <w:t xml:space="preserve">  </w:t>
      </w:r>
      <w:r w:rsidR="00BF7EF9" w:rsidRPr="008360FC">
        <w:t xml:space="preserve">This </w:t>
      </w:r>
      <w:r w:rsidR="00400008">
        <w:t xml:space="preserve">represents </w:t>
      </w:r>
      <w:r w:rsidR="00BF7EF9" w:rsidRPr="008360FC">
        <w:t xml:space="preserve">a </w:t>
      </w:r>
      <w:r w:rsidR="000764F2" w:rsidRPr="008360FC">
        <w:t xml:space="preserve">compound annual growth rate of </w:t>
      </w:r>
      <w:r w:rsidR="00FA041E" w:rsidRPr="008360FC">
        <w:t>9.8</w:t>
      </w:r>
      <w:r w:rsidR="000764F2" w:rsidRPr="008360FC">
        <w:t>%</w:t>
      </w:r>
      <w:r w:rsidR="00FA041E" w:rsidRPr="008360FC">
        <w:t xml:space="preserve">, </w:t>
      </w:r>
      <w:r w:rsidR="00D0458B">
        <w:t xml:space="preserve">which is </w:t>
      </w:r>
      <w:r w:rsidR="00967325">
        <w:t xml:space="preserve">around </w:t>
      </w:r>
      <w:r w:rsidR="00D0458B">
        <w:t xml:space="preserve">three times </w:t>
      </w:r>
      <w:r w:rsidR="00FA041E" w:rsidRPr="008360FC">
        <w:t>more than the annual rate of inflation</w:t>
      </w:r>
      <w:r w:rsidR="00ED4120">
        <w:t xml:space="preserve">.  This becomes </w:t>
      </w:r>
      <w:r w:rsidR="000764F2" w:rsidRPr="008360FC">
        <w:t xml:space="preserve">a total </w:t>
      </w:r>
      <w:r w:rsidR="00BF7EF9" w:rsidRPr="008360FC">
        <w:t xml:space="preserve">increase of 111.7% </w:t>
      </w:r>
      <w:r w:rsidR="000764F2" w:rsidRPr="008360FC">
        <w:t>over this</w:t>
      </w:r>
      <w:r w:rsidR="00BF7EF9" w:rsidRPr="008360FC">
        <w:t xml:space="preserve"> eight</w:t>
      </w:r>
      <w:r w:rsidR="00D0458B">
        <w:t>-</w:t>
      </w:r>
      <w:r w:rsidR="00BF7EF9" w:rsidRPr="008360FC">
        <w:t>year</w:t>
      </w:r>
      <w:r w:rsidR="000764F2" w:rsidRPr="008360FC">
        <w:t xml:space="preserve"> period</w:t>
      </w:r>
      <w:r w:rsidR="00BF7EF9" w:rsidRPr="008360FC">
        <w:t xml:space="preserve">. </w:t>
      </w:r>
    </w:p>
    <w:p w14:paraId="3E192BA2" w14:textId="21FEFA1E" w:rsidR="0012243E" w:rsidRPr="008360FC" w:rsidRDefault="0012243E" w:rsidP="00E500B8">
      <w:pPr>
        <w:widowControl/>
        <w:spacing w:line="480" w:lineRule="auto"/>
        <w:ind w:left="720" w:hanging="720"/>
        <w:jc w:val="both"/>
      </w:pPr>
      <w:r w:rsidRPr="008360FC">
        <w:tab/>
      </w:r>
      <w:r w:rsidR="006F6884" w:rsidRPr="008360FC">
        <w:rPr>
          <w:noProof/>
        </w:rPr>
        <w:drawing>
          <wp:inline distT="0" distB="0" distL="0" distR="0" wp14:anchorId="7B1F1476" wp14:editId="1BB92B79">
            <wp:extent cx="5219700" cy="3835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23502" cy="3837926"/>
                    </a:xfrm>
                    <a:prstGeom prst="rect">
                      <a:avLst/>
                    </a:prstGeom>
                    <a:noFill/>
                    <a:ln>
                      <a:noFill/>
                    </a:ln>
                  </pic:spPr>
                </pic:pic>
              </a:graphicData>
            </a:graphic>
          </wp:inline>
        </w:drawing>
      </w:r>
    </w:p>
    <w:p w14:paraId="35A96969" w14:textId="77777777" w:rsidR="00455F06" w:rsidRPr="008360FC" w:rsidRDefault="00455F06" w:rsidP="00E500B8">
      <w:pPr>
        <w:widowControl/>
        <w:spacing w:line="480" w:lineRule="auto"/>
        <w:ind w:left="720" w:hanging="720"/>
        <w:jc w:val="both"/>
      </w:pPr>
    </w:p>
    <w:p w14:paraId="2D91F7E2" w14:textId="73AEE7C8" w:rsidR="0054100C" w:rsidRDefault="00832983" w:rsidP="000D3FF9">
      <w:pPr>
        <w:widowControl/>
        <w:spacing w:line="480" w:lineRule="auto"/>
        <w:ind w:left="720" w:hanging="720"/>
        <w:jc w:val="both"/>
      </w:pPr>
      <w:r w:rsidRPr="008360FC">
        <w:tab/>
      </w:r>
      <w:r w:rsidR="00F90DFE" w:rsidRPr="008360FC">
        <w:tab/>
        <w:t xml:space="preserve">Capital charges </w:t>
      </w:r>
      <w:r w:rsidR="00FA041E" w:rsidRPr="008360FC">
        <w:t xml:space="preserve">also </w:t>
      </w:r>
      <w:r w:rsidR="00F90DFE" w:rsidRPr="008360FC">
        <w:t xml:space="preserve">have also grown </w:t>
      </w:r>
      <w:r w:rsidR="000764F2" w:rsidRPr="008360FC">
        <w:t xml:space="preserve">significantly </w:t>
      </w:r>
      <w:r w:rsidR="00F90DFE" w:rsidRPr="008360FC">
        <w:t>in recent years.  Plant assets assigned directly to AGL</w:t>
      </w:r>
      <w:r w:rsidR="006657DC" w:rsidRPr="008360FC">
        <w:t xml:space="preserve"> by ASC </w:t>
      </w:r>
      <w:r w:rsidR="00455F06" w:rsidRPr="008360FC">
        <w:t>on a cumulative basis for all pr</w:t>
      </w:r>
      <w:r w:rsidR="00CC1E1F" w:rsidRPr="008360FC">
        <w:t>evious</w:t>
      </w:r>
      <w:r w:rsidR="00455F06" w:rsidRPr="008360FC">
        <w:t xml:space="preserve"> years </w:t>
      </w:r>
      <w:r w:rsidR="006657DC" w:rsidRPr="008360FC">
        <w:t>amounted to $10</w:t>
      </w:r>
      <w:r w:rsidR="00455F06" w:rsidRPr="008360FC">
        <w:t>1.2</w:t>
      </w:r>
      <w:r w:rsidR="006657DC" w:rsidRPr="008360FC">
        <w:t xml:space="preserve"> million as of the end of 2018.</w:t>
      </w:r>
      <w:r w:rsidR="00385DD4" w:rsidRPr="008360FC">
        <w:rPr>
          <w:rStyle w:val="FootnoteReference"/>
          <w:vertAlign w:val="superscript"/>
        </w:rPr>
        <w:footnoteReference w:id="7"/>
      </w:r>
      <w:r w:rsidR="00455F06" w:rsidRPr="008360FC">
        <w:rPr>
          <w:vertAlign w:val="superscript"/>
        </w:rPr>
        <w:t xml:space="preserve"> </w:t>
      </w:r>
      <w:r w:rsidR="00455F06" w:rsidRPr="008360FC">
        <w:t xml:space="preserve"> Plant assets assigned directly to </w:t>
      </w:r>
      <w:r w:rsidR="00455F06" w:rsidRPr="008360FC">
        <w:lastRenderedPageBreak/>
        <w:t>AGL by ASC for only the four years 2019 through 2023 amounted to $45.3 million, almost half of the amount directly assigned to AGL in all pr</w:t>
      </w:r>
      <w:r w:rsidR="00CC1E1F" w:rsidRPr="008360FC">
        <w:t xml:space="preserve">evious </w:t>
      </w:r>
      <w:r w:rsidR="00455F06" w:rsidRPr="008360FC">
        <w:t>years</w:t>
      </w:r>
      <w:r w:rsidR="00CC1E1F" w:rsidRPr="008360FC">
        <w:t xml:space="preserve"> combined</w:t>
      </w:r>
      <w:r w:rsidR="00455F06" w:rsidRPr="008360FC">
        <w:t xml:space="preserve">.  </w:t>
      </w:r>
      <w:r w:rsidR="006657DC" w:rsidRPr="008360FC">
        <w:t xml:space="preserve">  </w:t>
      </w:r>
      <w:r w:rsidR="0054100C">
        <w:tab/>
      </w:r>
      <w:r w:rsidR="00967325">
        <w:t xml:space="preserve">Based on the findings and conclusions detailed in the Kennedy and Associates Audit Report, </w:t>
      </w:r>
      <w:r w:rsidR="0054100C">
        <w:t>I make the following recommendation.</w:t>
      </w:r>
    </w:p>
    <w:p w14:paraId="5F5BEF17" w14:textId="4D0D69CB" w:rsidR="0054100C" w:rsidRPr="00406828" w:rsidRDefault="0054100C" w:rsidP="0066386D">
      <w:pPr>
        <w:pStyle w:val="BodyText"/>
        <w:numPr>
          <w:ilvl w:val="0"/>
          <w:numId w:val="47"/>
        </w:numPr>
        <w:tabs>
          <w:tab w:val="left" w:pos="-720"/>
          <w:tab w:val="num" w:pos="1425"/>
        </w:tabs>
        <w:suppressAutoHyphens/>
        <w:spacing w:line="480" w:lineRule="auto"/>
        <w:ind w:firstLine="720"/>
      </w:pPr>
      <w:r w:rsidRPr="008D7AD7">
        <w:t xml:space="preserve">For ASC plant related CWIP allocated to AGL for ratemaking purposes, </w:t>
      </w:r>
      <w:r w:rsidR="00F020BE">
        <w:t xml:space="preserve">the Commission should </w:t>
      </w:r>
      <w:r w:rsidRPr="008D7AD7">
        <w:t>require</w:t>
      </w:r>
      <w:r w:rsidR="00F020BE">
        <w:t xml:space="preserve"> AGL </w:t>
      </w:r>
      <w:r w:rsidRPr="008D7AD7">
        <w:t>to include AFUDC in operating income based on AGL’s after-tax full rate of return, similar to the actual AFUDC operating income adjustments related to AGL-owned CWIP assets in the GRAM model.  When this AFUDC is grossed-up as a component of and offset to the operating income deficiency, the resulting revenue requirement effect will offset the revenue requirement calculated on the ASC CWIP pushed down and included in AGL’s rate base</w:t>
      </w:r>
      <w:r w:rsidR="00653659">
        <w:t xml:space="preserve">.  This </w:t>
      </w:r>
      <w:r w:rsidRPr="008D7AD7">
        <w:t>ensur</w:t>
      </w:r>
      <w:r w:rsidR="00653659">
        <w:t>es</w:t>
      </w:r>
      <w:r w:rsidRPr="008D7AD7">
        <w:t xml:space="preserve"> </w:t>
      </w:r>
      <w:r w:rsidR="00653659">
        <w:t xml:space="preserve">that </w:t>
      </w:r>
      <w:r w:rsidRPr="008D7AD7">
        <w:t>there is no AGL net revenue requirement on ASC CWIP that already earns AFUDC on ASC’s accounting books.</w:t>
      </w:r>
    </w:p>
    <w:p w14:paraId="7C0E8201" w14:textId="53DF6467" w:rsidR="008925D5" w:rsidRPr="008360FC" w:rsidRDefault="00832983" w:rsidP="000D3FF9">
      <w:pPr>
        <w:widowControl/>
        <w:spacing w:line="480" w:lineRule="auto"/>
        <w:ind w:left="720" w:hanging="720"/>
        <w:jc w:val="both"/>
        <w:rPr>
          <w:b/>
          <w:bCs/>
        </w:rPr>
      </w:pPr>
      <w:r w:rsidRPr="008360FC">
        <w:tab/>
      </w:r>
      <w:r w:rsidR="0012243E" w:rsidRPr="008360FC">
        <w:t xml:space="preserve">  </w:t>
      </w:r>
      <w:r w:rsidR="008925D5" w:rsidRPr="008360FC">
        <w:tab/>
      </w:r>
      <w:r w:rsidR="008925D5" w:rsidRPr="008360FC">
        <w:tab/>
      </w:r>
    </w:p>
    <w:p w14:paraId="53156FC5" w14:textId="71343CD4" w:rsidR="00A4399B" w:rsidRPr="008360FC" w:rsidRDefault="00A4399B" w:rsidP="00E500B8">
      <w:pPr>
        <w:widowControl/>
        <w:spacing w:line="480" w:lineRule="auto"/>
        <w:ind w:left="720" w:hanging="720"/>
        <w:jc w:val="both"/>
        <w:rPr>
          <w:b/>
          <w:bCs/>
        </w:rPr>
      </w:pPr>
      <w:r w:rsidRPr="008360FC">
        <w:rPr>
          <w:b/>
          <w:bCs/>
        </w:rPr>
        <w:t>Q.</w:t>
      </w:r>
      <w:r w:rsidRPr="008360FC">
        <w:rPr>
          <w:b/>
          <w:bCs/>
        </w:rPr>
        <w:tab/>
        <w:t>Why are these affiliate service company charges relevant in this proceeding?</w:t>
      </w:r>
    </w:p>
    <w:p w14:paraId="3D90EAA0" w14:textId="3B38F426" w:rsidR="00ED4120" w:rsidRPr="008360FC" w:rsidRDefault="00A4399B" w:rsidP="00ED4120">
      <w:pPr>
        <w:widowControl/>
        <w:spacing w:line="480" w:lineRule="auto"/>
        <w:ind w:left="720" w:hanging="720"/>
        <w:jc w:val="both"/>
        <w:rPr>
          <w:snapToGrid/>
          <w:szCs w:val="24"/>
        </w:rPr>
      </w:pPr>
      <w:r w:rsidRPr="008360FC">
        <w:t>A.</w:t>
      </w:r>
      <w:r w:rsidRPr="008360FC">
        <w:tab/>
      </w:r>
      <w:r w:rsidR="00832983" w:rsidRPr="008360FC">
        <w:t xml:space="preserve">The affiliate </w:t>
      </w:r>
      <w:r w:rsidR="00A91808" w:rsidRPr="008360FC">
        <w:t xml:space="preserve">service company </w:t>
      </w:r>
      <w:r w:rsidR="00832983" w:rsidRPr="008360FC">
        <w:t xml:space="preserve">charges are relevant in this proceeding because the </w:t>
      </w:r>
      <w:proofErr w:type="spellStart"/>
      <w:r w:rsidR="00832983" w:rsidRPr="008360FC">
        <w:t>i</w:t>
      </w:r>
      <w:proofErr w:type="spellEnd"/>
      <w:r w:rsidR="00832983" w:rsidRPr="008360FC">
        <w:t>-CDP filing provides a ten</w:t>
      </w:r>
      <w:r w:rsidR="00A91808" w:rsidRPr="008360FC">
        <w:t>-</w:t>
      </w:r>
      <w:r w:rsidR="00832983" w:rsidRPr="008360FC">
        <w:t>year forecast of AGL’s planned investment and expenses</w:t>
      </w:r>
      <w:r w:rsidR="00A91808" w:rsidRPr="008360FC">
        <w:t xml:space="preserve">.  </w:t>
      </w:r>
      <w:r w:rsidR="0068158E" w:rsidRPr="008360FC">
        <w:t xml:space="preserve">The forecasts of AGL’s planned investment and expenses include the costs charged to AGL from SCS and ASC.  The </w:t>
      </w:r>
      <w:proofErr w:type="spellStart"/>
      <w:r w:rsidR="0068158E" w:rsidRPr="008360FC">
        <w:t>i</w:t>
      </w:r>
      <w:proofErr w:type="spellEnd"/>
      <w:r w:rsidR="0068158E" w:rsidRPr="008360FC">
        <w:t>-CDP filing</w:t>
      </w:r>
      <w:r w:rsidR="00A91808" w:rsidRPr="008360FC">
        <w:t xml:space="preserve"> also provides the basis for the </w:t>
      </w:r>
      <w:r w:rsidR="000764F2" w:rsidRPr="008360FC">
        <w:t xml:space="preserve">proposed </w:t>
      </w:r>
      <w:r w:rsidR="00A91808" w:rsidRPr="008360FC">
        <w:t>SRR rates for the next three years as well as the framework for the annual changes in the GRAM rates.</w:t>
      </w:r>
      <w:r w:rsidR="00ED4120">
        <w:t xml:space="preserve">  Again, i</w:t>
      </w:r>
      <w:r w:rsidR="00ED4120">
        <w:rPr>
          <w:snapToGrid/>
          <w:szCs w:val="24"/>
        </w:rPr>
        <w:t xml:space="preserve">t is my understanding that PIA Staff proposes </w:t>
      </w:r>
      <w:r w:rsidR="00ED4120">
        <w:rPr>
          <w:snapToGrid/>
          <w:szCs w:val="24"/>
        </w:rPr>
        <w:lastRenderedPageBreak/>
        <w:t xml:space="preserve">in this proceeding to discontinue the SRR and roll in the costs of those assets into future GRAM filings for recovery purposes.  </w:t>
      </w:r>
    </w:p>
    <w:p w14:paraId="720D0112" w14:textId="231DABF9" w:rsidR="00EE66BC" w:rsidRPr="008360FC" w:rsidRDefault="00A91808" w:rsidP="00A4399B">
      <w:pPr>
        <w:widowControl/>
        <w:spacing w:line="480" w:lineRule="auto"/>
        <w:ind w:left="720" w:hanging="720"/>
        <w:jc w:val="both"/>
      </w:pPr>
      <w:r w:rsidRPr="008360FC">
        <w:t xml:space="preserve">  </w:t>
      </w:r>
    </w:p>
    <w:p w14:paraId="41DCD000" w14:textId="4883D8DB" w:rsidR="00EE66BC" w:rsidRPr="008360FC" w:rsidRDefault="00EE66BC" w:rsidP="00A4399B">
      <w:pPr>
        <w:widowControl/>
        <w:spacing w:line="480" w:lineRule="auto"/>
        <w:ind w:left="720" w:hanging="720"/>
        <w:jc w:val="both"/>
        <w:rPr>
          <w:b/>
          <w:bCs/>
        </w:rPr>
      </w:pPr>
      <w:r w:rsidRPr="008360FC">
        <w:rPr>
          <w:b/>
          <w:bCs/>
        </w:rPr>
        <w:t>Q.</w:t>
      </w:r>
      <w:r w:rsidRPr="008360FC">
        <w:rPr>
          <w:b/>
          <w:bCs/>
        </w:rPr>
        <w:tab/>
      </w:r>
      <w:r w:rsidR="00CD5F38">
        <w:rPr>
          <w:b/>
          <w:bCs/>
        </w:rPr>
        <w:t xml:space="preserve">Can you describe the growth in </w:t>
      </w:r>
      <w:r w:rsidRPr="008360FC">
        <w:rPr>
          <w:b/>
          <w:bCs/>
        </w:rPr>
        <w:t xml:space="preserve">affiliate service </w:t>
      </w:r>
      <w:r w:rsidR="000764F2" w:rsidRPr="008360FC">
        <w:rPr>
          <w:b/>
          <w:bCs/>
        </w:rPr>
        <w:t xml:space="preserve">company </w:t>
      </w:r>
      <w:r w:rsidR="00CD5F38">
        <w:rPr>
          <w:b/>
          <w:bCs/>
        </w:rPr>
        <w:t xml:space="preserve">expense </w:t>
      </w:r>
      <w:r w:rsidRPr="008360FC">
        <w:rPr>
          <w:b/>
          <w:bCs/>
        </w:rPr>
        <w:t>charges</w:t>
      </w:r>
      <w:r w:rsidR="00CD5F38">
        <w:rPr>
          <w:b/>
          <w:bCs/>
        </w:rPr>
        <w:t xml:space="preserve"> since the last affiliate audit performed in Docket No. 42315</w:t>
      </w:r>
      <w:r w:rsidRPr="008360FC">
        <w:rPr>
          <w:b/>
          <w:bCs/>
        </w:rPr>
        <w:t>?</w:t>
      </w:r>
    </w:p>
    <w:p w14:paraId="5D835A41" w14:textId="4AD4F4DE" w:rsidR="00B50E6B" w:rsidRPr="001B3845" w:rsidRDefault="00EE66BC" w:rsidP="005063C9">
      <w:pPr>
        <w:pStyle w:val="BodyText"/>
        <w:tabs>
          <w:tab w:val="center" w:pos="4680"/>
        </w:tabs>
        <w:ind w:left="720" w:hanging="720"/>
      </w:pPr>
      <w:r w:rsidRPr="008360FC">
        <w:t>A.</w:t>
      </w:r>
      <w:r w:rsidRPr="008360FC">
        <w:tab/>
      </w:r>
      <w:r w:rsidR="00CD5F38">
        <w:t xml:space="preserve">Yes.  </w:t>
      </w:r>
      <w:r w:rsidR="00B50E6B" w:rsidRPr="001B3845">
        <w:t xml:space="preserve">The expensed costs charged by SCS and ASC to AGL have increased significantly since the </w:t>
      </w:r>
      <w:r w:rsidR="005063C9">
        <w:t xml:space="preserve">years applicable to the affiliate audit in Docket No. 42315.   </w:t>
      </w:r>
      <w:r w:rsidR="00B50E6B" w:rsidRPr="001B3845">
        <w:t>The table below provides expensed cost data from Staff’s last audit report and consists of expense charges to AGL for the years 2016 through 2018 for expenses originating at both SCS and ASC.  Expense charges to AGL increased from $65.006 million in 2016 to $80.130 million in 2018 as shown on the following table</w:t>
      </w:r>
      <w:r w:rsidR="00380C23">
        <w:t xml:space="preserve">.  </w:t>
      </w:r>
    </w:p>
    <w:p w14:paraId="132A5B97" w14:textId="61A7D6AC" w:rsidR="00B50E6B" w:rsidRPr="001B3845" w:rsidRDefault="00380C23" w:rsidP="00380C23">
      <w:pPr>
        <w:pStyle w:val="BodyText"/>
        <w:tabs>
          <w:tab w:val="center" w:pos="4680"/>
        </w:tabs>
        <w:ind w:firstLine="1440"/>
      </w:pPr>
      <w:r w:rsidRPr="00380C23">
        <w:rPr>
          <w:noProof/>
        </w:rPr>
        <w:drawing>
          <wp:inline distT="0" distB="0" distL="0" distR="0" wp14:anchorId="18FB396F" wp14:editId="73B34007">
            <wp:extent cx="4241074" cy="381079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5950" cy="3815178"/>
                    </a:xfrm>
                    <a:prstGeom prst="rect">
                      <a:avLst/>
                    </a:prstGeom>
                    <a:noFill/>
                    <a:ln>
                      <a:noFill/>
                    </a:ln>
                  </pic:spPr>
                </pic:pic>
              </a:graphicData>
            </a:graphic>
          </wp:inline>
        </w:drawing>
      </w:r>
    </w:p>
    <w:p w14:paraId="5B085984" w14:textId="59DEAB9B" w:rsidR="00B50E6B" w:rsidRPr="001B3845" w:rsidRDefault="005063C9" w:rsidP="005063C9">
      <w:pPr>
        <w:pStyle w:val="BodyText"/>
        <w:tabs>
          <w:tab w:val="center" w:pos="4680"/>
        </w:tabs>
        <w:ind w:left="720"/>
      </w:pPr>
      <w:r>
        <w:tab/>
      </w:r>
      <w:r w:rsidR="00B50E6B" w:rsidRPr="001B3845">
        <w:t xml:space="preserve">SCS and ASC expense charges to AGL increased even more significantly in the years 2019 through 2023, as shown in the following table.  The annual expense </w:t>
      </w:r>
      <w:r w:rsidR="00B50E6B" w:rsidRPr="001B3845">
        <w:lastRenderedPageBreak/>
        <w:t xml:space="preserve">charges more than doubled from $65.006 million incurred in 2016 to $132.343 million incurred in 2023, an increase of nearly 104%.        </w:t>
      </w:r>
    </w:p>
    <w:p w14:paraId="6A5EF67D" w14:textId="77777777" w:rsidR="00B50E6B" w:rsidRPr="001B3845" w:rsidRDefault="00B50E6B" w:rsidP="00380C23">
      <w:pPr>
        <w:pStyle w:val="BodyText"/>
        <w:tabs>
          <w:tab w:val="center" w:pos="4680"/>
        </w:tabs>
        <w:ind w:firstLine="720"/>
      </w:pPr>
      <w:r w:rsidRPr="00F54772">
        <w:rPr>
          <w:noProof/>
        </w:rPr>
        <w:drawing>
          <wp:inline distT="0" distB="0" distL="0" distR="0" wp14:anchorId="7AF664C0" wp14:editId="5DF78908">
            <wp:extent cx="5203372" cy="3844934"/>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842" cy="3851932"/>
                    </a:xfrm>
                    <a:prstGeom prst="rect">
                      <a:avLst/>
                    </a:prstGeom>
                    <a:noFill/>
                    <a:ln>
                      <a:noFill/>
                    </a:ln>
                  </pic:spPr>
                </pic:pic>
              </a:graphicData>
            </a:graphic>
          </wp:inline>
        </w:drawing>
      </w:r>
    </w:p>
    <w:p w14:paraId="3C6AFA2F" w14:textId="3C65ACC4" w:rsidR="00F14357" w:rsidRDefault="0066386D" w:rsidP="00FA041E">
      <w:pPr>
        <w:widowControl/>
        <w:spacing w:line="480" w:lineRule="auto"/>
        <w:ind w:left="720" w:hanging="720"/>
        <w:jc w:val="both"/>
      </w:pPr>
      <w:r>
        <w:tab/>
      </w:r>
      <w:r>
        <w:tab/>
      </w:r>
      <w:r w:rsidR="00C3041F">
        <w:t xml:space="preserve">It is my understanding that PIA Staff reserves the right to address the large increase in affiliate service company expense charges to AGL as part of the upcoming 2025 GRAM proceeding.  </w:t>
      </w:r>
      <w:r w:rsidR="00AF3246">
        <w:t xml:space="preserve">  </w:t>
      </w:r>
    </w:p>
    <w:p w14:paraId="356E1425" w14:textId="77777777" w:rsidR="008D7159" w:rsidRPr="008360FC" w:rsidRDefault="008D7159" w:rsidP="00EE66BC">
      <w:pPr>
        <w:widowControl/>
        <w:spacing w:line="480" w:lineRule="auto"/>
        <w:ind w:left="720" w:hanging="720"/>
        <w:jc w:val="both"/>
      </w:pPr>
    </w:p>
    <w:p w14:paraId="71A8E498" w14:textId="77777777" w:rsidR="00C3041F" w:rsidRDefault="00C3041F" w:rsidP="00C3041F">
      <w:pPr>
        <w:widowControl/>
        <w:spacing w:line="480" w:lineRule="auto"/>
        <w:ind w:left="720" w:hanging="720"/>
        <w:jc w:val="both"/>
        <w:rPr>
          <w:b/>
          <w:bCs/>
        </w:rPr>
      </w:pPr>
      <w:r w:rsidRPr="008360FC">
        <w:rPr>
          <w:b/>
          <w:bCs/>
        </w:rPr>
        <w:t>Q.</w:t>
      </w:r>
      <w:r w:rsidRPr="008360FC">
        <w:rPr>
          <w:b/>
          <w:bCs/>
        </w:rPr>
        <w:tab/>
      </w:r>
      <w:r>
        <w:rPr>
          <w:b/>
          <w:bCs/>
        </w:rPr>
        <w:t>What is the main reason for the large increase in service company expenses being charged to AGL?</w:t>
      </w:r>
    </w:p>
    <w:p w14:paraId="57DF8242" w14:textId="4A15405F" w:rsidR="00C3041F" w:rsidRDefault="00C3041F" w:rsidP="00C3041F">
      <w:pPr>
        <w:widowControl/>
        <w:spacing w:line="480" w:lineRule="auto"/>
        <w:ind w:left="720" w:hanging="720"/>
        <w:jc w:val="both"/>
      </w:pPr>
      <w:r w:rsidRPr="008360FC">
        <w:lastRenderedPageBreak/>
        <w:t>A.</w:t>
      </w:r>
      <w:r w:rsidRPr="008360FC">
        <w:tab/>
      </w:r>
      <w:r>
        <w:t xml:space="preserve">The main reason for the increase in </w:t>
      </w:r>
      <w:r w:rsidRPr="00C3041F">
        <w:rPr>
          <w:bCs/>
        </w:rPr>
        <w:t>service company</w:t>
      </w:r>
      <w:r>
        <w:rPr>
          <w:b/>
          <w:bCs/>
        </w:rPr>
        <w:t xml:space="preserve"> </w:t>
      </w:r>
      <w:r>
        <w:t>expenses charged to AGL is the large increase in overall service company expenses that are being charged out to each of the affiliates, including AGL, in the aggregate.</w:t>
      </w:r>
      <w:r w:rsidRPr="00AF3246">
        <w:rPr>
          <w:rStyle w:val="FootnoteReference"/>
          <w:vertAlign w:val="superscript"/>
        </w:rPr>
        <w:footnoteReference w:id="8"/>
      </w:r>
    </w:p>
    <w:p w14:paraId="6D78BC9F" w14:textId="6D6C5FB9" w:rsidR="00E624D8" w:rsidRPr="008360FC" w:rsidRDefault="00E624D8" w:rsidP="00C3041F">
      <w:pPr>
        <w:widowControl/>
        <w:spacing w:line="480" w:lineRule="auto"/>
        <w:ind w:left="720" w:hanging="720"/>
        <w:jc w:val="both"/>
        <w:rPr>
          <w:b/>
          <w:bCs/>
        </w:rPr>
      </w:pPr>
      <w:r w:rsidRPr="008360FC">
        <w:rPr>
          <w:b/>
          <w:bCs/>
        </w:rPr>
        <w:t>Q.</w:t>
      </w:r>
      <w:r w:rsidRPr="008360FC">
        <w:rPr>
          <w:b/>
          <w:bCs/>
        </w:rPr>
        <w:tab/>
      </w:r>
      <w:r w:rsidR="0068158E" w:rsidRPr="008360FC">
        <w:rPr>
          <w:b/>
          <w:bCs/>
        </w:rPr>
        <w:t xml:space="preserve">Did the </w:t>
      </w:r>
      <w:r w:rsidRPr="008360FC">
        <w:rPr>
          <w:b/>
          <w:bCs/>
        </w:rPr>
        <w:t xml:space="preserve">Southern Company </w:t>
      </w:r>
      <w:r w:rsidR="0068158E" w:rsidRPr="008360FC">
        <w:rPr>
          <w:b/>
          <w:bCs/>
        </w:rPr>
        <w:t xml:space="preserve">and </w:t>
      </w:r>
      <w:r w:rsidR="000C23F4">
        <w:rPr>
          <w:b/>
          <w:bCs/>
        </w:rPr>
        <w:t>Southern Company Gas</w:t>
      </w:r>
      <w:r w:rsidR="0068158E" w:rsidRPr="008360FC">
        <w:rPr>
          <w:b/>
          <w:bCs/>
        </w:rPr>
        <w:t xml:space="preserve"> </w:t>
      </w:r>
      <w:r w:rsidRPr="008360FC">
        <w:rPr>
          <w:b/>
          <w:bCs/>
        </w:rPr>
        <w:t xml:space="preserve">divestitures of regulated electric and gas utilities and other unregulated entities result in an increase in </w:t>
      </w:r>
      <w:r w:rsidR="000C23F4">
        <w:rPr>
          <w:b/>
          <w:bCs/>
        </w:rPr>
        <w:t xml:space="preserve">expense charges </w:t>
      </w:r>
      <w:r w:rsidRPr="008360FC">
        <w:rPr>
          <w:b/>
          <w:bCs/>
        </w:rPr>
        <w:t>to AGL?</w:t>
      </w:r>
    </w:p>
    <w:p w14:paraId="0961B7F3" w14:textId="23C30C1A" w:rsidR="00671751" w:rsidRPr="008360FC" w:rsidRDefault="00E624D8" w:rsidP="00A4399B">
      <w:pPr>
        <w:widowControl/>
        <w:spacing w:line="480" w:lineRule="auto"/>
        <w:ind w:left="720" w:hanging="720"/>
        <w:jc w:val="both"/>
      </w:pPr>
      <w:r w:rsidRPr="008360FC">
        <w:t>A.</w:t>
      </w:r>
      <w:r w:rsidRPr="008360FC">
        <w:tab/>
        <w:t xml:space="preserve">Yes.  Southern Company divested Gulf Power Company </w:t>
      </w:r>
      <w:r w:rsidR="0068158E" w:rsidRPr="008360FC">
        <w:t>in 2019</w:t>
      </w:r>
      <w:r w:rsidR="00761646" w:rsidRPr="008360FC">
        <w:t>.</w:t>
      </w:r>
      <w:r w:rsidRPr="008360FC">
        <w:t xml:space="preserve"> </w:t>
      </w:r>
      <w:r w:rsidR="00761646" w:rsidRPr="008360FC">
        <w:t xml:space="preserve"> </w:t>
      </w:r>
      <w:r w:rsidR="000C23F4">
        <w:t>Southern Company Gas</w:t>
      </w:r>
      <w:r w:rsidRPr="008360FC">
        <w:t xml:space="preserve"> divested </w:t>
      </w:r>
      <w:r w:rsidR="00761646" w:rsidRPr="008360FC">
        <w:t>Elizabethtown Gas Company, Elkton Gas Services, Florida City Gas</w:t>
      </w:r>
      <w:r w:rsidR="00D1719F" w:rsidRPr="008360FC">
        <w:t>,</w:t>
      </w:r>
      <w:r w:rsidR="00761646" w:rsidRPr="008360FC">
        <w:t xml:space="preserve"> and other smaller entities </w:t>
      </w:r>
      <w:r w:rsidR="00D1719F" w:rsidRPr="008360FC">
        <w:t xml:space="preserve">in </w:t>
      </w:r>
      <w:r w:rsidR="0068158E" w:rsidRPr="008360FC">
        <w:t>201</w:t>
      </w:r>
      <w:r w:rsidR="005B7625" w:rsidRPr="008360FC">
        <w:t xml:space="preserve">8 </w:t>
      </w:r>
      <w:r w:rsidR="00D1719F" w:rsidRPr="008360FC">
        <w:t xml:space="preserve">and </w:t>
      </w:r>
      <w:r w:rsidR="00761646" w:rsidRPr="008360FC">
        <w:rPr>
          <w:spacing w:val="-3"/>
        </w:rPr>
        <w:t xml:space="preserve">Sequent Energy Management, LP </w:t>
      </w:r>
      <w:r w:rsidR="00D1719F" w:rsidRPr="008360FC">
        <w:rPr>
          <w:spacing w:val="-3"/>
        </w:rPr>
        <w:t xml:space="preserve">in 2021.  These divestitures </w:t>
      </w:r>
      <w:r w:rsidRPr="008360FC">
        <w:t>reduc</w:t>
      </w:r>
      <w:r w:rsidR="00D1719F" w:rsidRPr="008360FC">
        <w:t xml:space="preserve">ed </w:t>
      </w:r>
      <w:r w:rsidRPr="008360FC">
        <w:t xml:space="preserve">the number of utilities and other entities </w:t>
      </w:r>
      <w:r w:rsidR="005B7625" w:rsidRPr="008360FC">
        <w:t xml:space="preserve">that were </w:t>
      </w:r>
      <w:r w:rsidRPr="008360FC">
        <w:t xml:space="preserve">provided centralized services by the two service companies.  </w:t>
      </w:r>
      <w:r w:rsidR="005B7625" w:rsidRPr="008360FC">
        <w:t xml:space="preserve">Instead of </w:t>
      </w:r>
      <w:r w:rsidR="00D1719F" w:rsidRPr="008360FC">
        <w:t xml:space="preserve">a </w:t>
      </w:r>
      <w:r w:rsidR="005B7625" w:rsidRPr="008360FC">
        <w:t>reduc</w:t>
      </w:r>
      <w:r w:rsidR="00D1719F" w:rsidRPr="008360FC">
        <w:t>tion in</w:t>
      </w:r>
      <w:r w:rsidR="005B7625" w:rsidRPr="008360FC">
        <w:t xml:space="preserve"> the SCS and ASC total costs due to serving fewer Southern Company affiliates, the two service companies continued to increase their total costs and their affiliate charges to AGL.  The increases in total costs impacted the costs charged to AGL, but the fact that there were fewer affiliates compounded the increase in costs charged to AGL over this time period.  </w:t>
      </w:r>
      <w:r w:rsidR="00671751" w:rsidRPr="008360FC">
        <w:t xml:space="preserve">These </w:t>
      </w:r>
      <w:r w:rsidR="005B7625" w:rsidRPr="008360FC">
        <w:t xml:space="preserve">increased cost impacts </w:t>
      </w:r>
      <w:r w:rsidR="00671751" w:rsidRPr="008360FC">
        <w:t xml:space="preserve">on AGL continue today and </w:t>
      </w:r>
      <w:r w:rsidR="5E58F49A" w:rsidRPr="008360FC">
        <w:t xml:space="preserve">will continue to be </w:t>
      </w:r>
      <w:proofErr w:type="gramStart"/>
      <w:r w:rsidR="00671751" w:rsidRPr="008360FC">
        <w:t xml:space="preserve">reflected </w:t>
      </w:r>
      <w:r w:rsidR="01B82046">
        <w:t xml:space="preserve"> </w:t>
      </w:r>
      <w:r w:rsidR="00671751" w:rsidRPr="008360FC">
        <w:t>in</w:t>
      </w:r>
      <w:proofErr w:type="gramEnd"/>
      <w:r w:rsidR="00671751" w:rsidRPr="008360FC">
        <w:t xml:space="preserve"> customer rates unless the SCS and ASC costs are reduced</w:t>
      </w:r>
      <w:r w:rsidR="00AA09D5">
        <w:t xml:space="preserve">.  </w:t>
      </w:r>
    </w:p>
    <w:p w14:paraId="1D3616D3" w14:textId="7E868322" w:rsidR="00E624D8" w:rsidRPr="008360FC" w:rsidRDefault="00671751" w:rsidP="00A4399B">
      <w:pPr>
        <w:widowControl/>
        <w:spacing w:line="480" w:lineRule="auto"/>
        <w:ind w:left="720" w:hanging="720"/>
        <w:jc w:val="both"/>
        <w:rPr>
          <w:b/>
          <w:bCs/>
        </w:rPr>
      </w:pPr>
      <w:r w:rsidRPr="008360FC">
        <w:t xml:space="preserve"> </w:t>
      </w:r>
    </w:p>
    <w:p w14:paraId="26FAE7AC" w14:textId="3B095045" w:rsidR="00A4399B" w:rsidRPr="008360FC" w:rsidRDefault="00A4399B" w:rsidP="00A4399B">
      <w:pPr>
        <w:widowControl/>
        <w:spacing w:line="480" w:lineRule="auto"/>
        <w:ind w:left="720" w:hanging="720"/>
        <w:jc w:val="both"/>
        <w:rPr>
          <w:b/>
          <w:bCs/>
        </w:rPr>
      </w:pPr>
      <w:r w:rsidRPr="008360FC">
        <w:rPr>
          <w:b/>
          <w:bCs/>
        </w:rPr>
        <w:t>Q.</w:t>
      </w:r>
      <w:r w:rsidRPr="008360FC">
        <w:rPr>
          <w:b/>
          <w:bCs/>
        </w:rPr>
        <w:tab/>
        <w:t>Is the increase in the number of employees at SCS and A</w:t>
      </w:r>
      <w:r w:rsidR="00D1719F" w:rsidRPr="008360FC">
        <w:rPr>
          <w:b/>
          <w:bCs/>
        </w:rPr>
        <w:t>S</w:t>
      </w:r>
      <w:r w:rsidRPr="008360FC">
        <w:rPr>
          <w:b/>
          <w:bCs/>
        </w:rPr>
        <w:t xml:space="preserve">C </w:t>
      </w:r>
      <w:r w:rsidR="00671751" w:rsidRPr="008360FC">
        <w:rPr>
          <w:b/>
          <w:bCs/>
        </w:rPr>
        <w:t xml:space="preserve">also </w:t>
      </w:r>
      <w:r w:rsidRPr="008360FC">
        <w:rPr>
          <w:b/>
          <w:bCs/>
        </w:rPr>
        <w:t xml:space="preserve">a factor in the significant increases in affiliate </w:t>
      </w:r>
      <w:r w:rsidR="00310191">
        <w:rPr>
          <w:b/>
          <w:bCs/>
        </w:rPr>
        <w:t xml:space="preserve">expense </w:t>
      </w:r>
      <w:r w:rsidRPr="008360FC">
        <w:rPr>
          <w:b/>
          <w:bCs/>
        </w:rPr>
        <w:t>charges to AGL?</w:t>
      </w:r>
    </w:p>
    <w:p w14:paraId="1433B389" w14:textId="3813A537" w:rsidR="00BA1FE2" w:rsidRPr="008360FC" w:rsidRDefault="00A4399B" w:rsidP="004F640E">
      <w:pPr>
        <w:widowControl/>
        <w:spacing w:line="480" w:lineRule="auto"/>
        <w:ind w:left="720" w:hanging="720"/>
        <w:jc w:val="both"/>
      </w:pPr>
      <w:r w:rsidRPr="008360FC">
        <w:lastRenderedPageBreak/>
        <w:t>A.</w:t>
      </w:r>
      <w:r w:rsidRPr="008360FC">
        <w:tab/>
        <w:t xml:space="preserve">Yes. </w:t>
      </w:r>
      <w:r w:rsidR="00A91808" w:rsidRPr="008360FC">
        <w:tab/>
        <w:t>The</w:t>
      </w:r>
      <w:r w:rsidR="00671751" w:rsidRPr="008360FC">
        <w:t xml:space="preserve">re </w:t>
      </w:r>
      <w:r w:rsidR="00FA041E" w:rsidRPr="008360FC">
        <w:t>have been significant</w:t>
      </w:r>
      <w:r w:rsidR="00A91808" w:rsidRPr="008360FC">
        <w:t xml:space="preserve"> increase</w:t>
      </w:r>
      <w:r w:rsidR="00BA1FE2" w:rsidRPr="008360FC">
        <w:t>s</w:t>
      </w:r>
      <w:r w:rsidR="00A91808" w:rsidRPr="008360FC">
        <w:t xml:space="preserve"> in </w:t>
      </w:r>
      <w:r w:rsidR="00BA1FE2" w:rsidRPr="008360FC">
        <w:t xml:space="preserve">the </w:t>
      </w:r>
      <w:r w:rsidR="00A91808" w:rsidRPr="008360FC">
        <w:t xml:space="preserve">affiliate </w:t>
      </w:r>
      <w:r w:rsidR="00BA1FE2" w:rsidRPr="008360FC">
        <w:t>service company full</w:t>
      </w:r>
      <w:r w:rsidR="00E624D8" w:rsidRPr="008360FC">
        <w:t>-</w:t>
      </w:r>
      <w:r w:rsidR="00BA1FE2" w:rsidRPr="008360FC">
        <w:t xml:space="preserve">time equivalent employees </w:t>
      </w:r>
      <w:r w:rsidRPr="008360FC">
        <w:t xml:space="preserve">(“FTEs”) </w:t>
      </w:r>
      <w:r w:rsidR="00671751" w:rsidRPr="008360FC">
        <w:t xml:space="preserve">even with the Southern Company and </w:t>
      </w:r>
      <w:r w:rsidR="000C23F4">
        <w:t>Southern Company Gas</w:t>
      </w:r>
      <w:r w:rsidR="000C23F4" w:rsidRPr="008360FC">
        <w:t xml:space="preserve"> </w:t>
      </w:r>
      <w:r w:rsidR="00671751" w:rsidRPr="008360FC">
        <w:t>divestitures.</w:t>
      </w:r>
      <w:r w:rsidR="00D1719F" w:rsidRPr="008360FC">
        <w:rPr>
          <w:rStyle w:val="FootnoteReference"/>
          <w:vertAlign w:val="superscript"/>
        </w:rPr>
        <w:footnoteReference w:id="9"/>
      </w:r>
      <w:r w:rsidR="00314093">
        <w:t xml:space="preserve">  </w:t>
      </w:r>
      <w:r w:rsidR="00CD45CD" w:rsidRPr="00560BAA">
        <w:t xml:space="preserve">There </w:t>
      </w:r>
      <w:r w:rsidR="00CD45CD">
        <w:t>has</w:t>
      </w:r>
      <w:r w:rsidR="00CD45CD" w:rsidRPr="00560BAA">
        <w:t xml:space="preserve"> been an increase in SCS FTEs since the beginning of 2019</w:t>
      </w:r>
      <w:r w:rsidR="62423CBA" w:rsidRPr="00560BAA">
        <w:t>,</w:t>
      </w:r>
      <w:r w:rsidR="00CD45CD" w:rsidRPr="00560BAA">
        <w:t xml:space="preserve"> of 464, an increase of 12.3%</w:t>
      </w:r>
      <w:r w:rsidR="00CD45CD">
        <w:t xml:space="preserve">.  </w:t>
      </w:r>
      <w:r w:rsidR="00CD45CD" w:rsidRPr="00560BAA">
        <w:t xml:space="preserve">There has </w:t>
      </w:r>
      <w:r w:rsidR="00CD45CD">
        <w:t xml:space="preserve">also </w:t>
      </w:r>
      <w:r w:rsidR="00CD45CD" w:rsidRPr="00560BAA">
        <w:t>been an increase in ASC FTEs since the beginning of 2019</w:t>
      </w:r>
      <w:r w:rsidR="491C0010" w:rsidRPr="00560BAA">
        <w:t>,</w:t>
      </w:r>
      <w:r w:rsidR="00CD45CD" w:rsidRPr="00560BAA">
        <w:t xml:space="preserve"> of 159, an increase of 15.7%.  </w:t>
      </w:r>
      <w:r w:rsidR="00314093">
        <w:t xml:space="preserve">This increase in FTEs is a major component of the overall increase in service company expense costs being charged to AGL.   </w:t>
      </w:r>
    </w:p>
    <w:p w14:paraId="6ECFB6BE" w14:textId="77777777" w:rsidR="00CC1E1F" w:rsidRPr="008360FC" w:rsidRDefault="00CC1E1F" w:rsidP="00CC1E1F">
      <w:pPr>
        <w:widowControl/>
        <w:spacing w:line="480" w:lineRule="auto"/>
        <w:ind w:left="720" w:hanging="720"/>
        <w:jc w:val="both"/>
        <w:rPr>
          <w:b/>
          <w:bCs/>
        </w:rPr>
      </w:pPr>
    </w:p>
    <w:p w14:paraId="1B600359" w14:textId="0CB4118C" w:rsidR="00CC1E1F" w:rsidRPr="008360FC" w:rsidRDefault="00CC1E1F" w:rsidP="00CC1E1F">
      <w:pPr>
        <w:widowControl/>
        <w:spacing w:line="480" w:lineRule="auto"/>
        <w:ind w:left="720" w:hanging="720"/>
        <w:jc w:val="both"/>
        <w:rPr>
          <w:b/>
          <w:bCs/>
        </w:rPr>
      </w:pPr>
      <w:r w:rsidRPr="34CF3473">
        <w:rPr>
          <w:b/>
          <w:bCs/>
        </w:rPr>
        <w:t>Q.</w:t>
      </w:r>
      <w:r>
        <w:tab/>
      </w:r>
      <w:r w:rsidR="00383536" w:rsidRPr="34CF3473">
        <w:rPr>
          <w:b/>
          <w:bCs/>
        </w:rPr>
        <w:t>Can you d</w:t>
      </w:r>
      <w:r w:rsidR="00FA041E" w:rsidRPr="34CF3473">
        <w:rPr>
          <w:b/>
          <w:bCs/>
        </w:rPr>
        <w:t xml:space="preserve">escribe the </w:t>
      </w:r>
      <w:r w:rsidRPr="34CF3473">
        <w:rPr>
          <w:b/>
          <w:bCs/>
        </w:rPr>
        <w:t xml:space="preserve">capital costs </w:t>
      </w:r>
      <w:r w:rsidR="00FA041E" w:rsidRPr="34CF3473">
        <w:rPr>
          <w:b/>
          <w:bCs/>
        </w:rPr>
        <w:t xml:space="preserve">charged </w:t>
      </w:r>
      <w:r w:rsidRPr="34CF3473">
        <w:rPr>
          <w:b/>
          <w:bCs/>
        </w:rPr>
        <w:t xml:space="preserve">by the service companies to </w:t>
      </w:r>
      <w:proofErr w:type="gramStart"/>
      <w:r w:rsidRPr="34CF3473">
        <w:rPr>
          <w:b/>
          <w:bCs/>
        </w:rPr>
        <w:t>AGL</w:t>
      </w:r>
      <w:r w:rsidR="00FA041E" w:rsidRPr="34CF3473">
        <w:rPr>
          <w:b/>
          <w:bCs/>
        </w:rPr>
        <w:t>.</w:t>
      </w:r>
      <w:proofErr w:type="gramEnd"/>
    </w:p>
    <w:p w14:paraId="7CB09265" w14:textId="7311E200" w:rsidR="00EE66BC" w:rsidRPr="008360FC" w:rsidRDefault="00CC1E1F" w:rsidP="00CC1E1F">
      <w:pPr>
        <w:widowControl/>
        <w:spacing w:line="480" w:lineRule="auto"/>
        <w:ind w:left="720" w:hanging="720"/>
        <w:jc w:val="both"/>
      </w:pPr>
      <w:r w:rsidRPr="008360FC">
        <w:t>A.</w:t>
      </w:r>
      <w:r w:rsidRPr="008360FC">
        <w:tab/>
      </w:r>
      <w:r w:rsidR="00383536">
        <w:t xml:space="preserve">Yes.  </w:t>
      </w:r>
      <w:r w:rsidR="00FA041E" w:rsidRPr="00314093">
        <w:t xml:space="preserve">Construction (capital) </w:t>
      </w:r>
      <w:r w:rsidRPr="00314093">
        <w:t xml:space="preserve">costs are incurred by </w:t>
      </w:r>
      <w:r w:rsidR="00EE7AA5" w:rsidRPr="00314093">
        <w:t xml:space="preserve">SCS and </w:t>
      </w:r>
      <w:r w:rsidRPr="00314093">
        <w:t xml:space="preserve">ASC </w:t>
      </w:r>
      <w:r w:rsidR="00FA041E" w:rsidRPr="00314093">
        <w:t xml:space="preserve">on behalf of </w:t>
      </w:r>
      <w:r w:rsidR="007E5AA0" w:rsidRPr="00314093">
        <w:t xml:space="preserve">AGL, and the other </w:t>
      </w:r>
      <w:r w:rsidR="000C23F4" w:rsidRPr="00314093">
        <w:t xml:space="preserve">Southern Company Gas </w:t>
      </w:r>
      <w:r w:rsidR="00FA041E" w:rsidRPr="00314093">
        <w:t>affiliates</w:t>
      </w:r>
      <w:r w:rsidR="007E5AA0" w:rsidRPr="00314093">
        <w:t>, a</w:t>
      </w:r>
      <w:r w:rsidRPr="00314093">
        <w:t>nd are either direct assigned to AGL or allocated to AGL</w:t>
      </w:r>
      <w:r w:rsidR="007E5AA0" w:rsidRPr="00314093">
        <w:t xml:space="preserve"> for ratemaking purposes only</w:t>
      </w:r>
      <w:r w:rsidRPr="00314093">
        <w:t>.</w:t>
      </w:r>
      <w:r w:rsidRPr="008360FC">
        <w:t xml:space="preserve">  These plant asset costs are mostly technology based but also include other classes of general plant, such as facilities, furniture, and fixtures.</w:t>
      </w:r>
      <w:r w:rsidRPr="008360FC">
        <w:rPr>
          <w:rStyle w:val="FootnoteReference"/>
          <w:vertAlign w:val="superscript"/>
        </w:rPr>
        <w:footnoteReference w:id="10"/>
      </w:r>
      <w:r w:rsidRPr="008360FC">
        <w:t xml:space="preserve">  Assets are direct assigned</w:t>
      </w:r>
      <w:r w:rsidR="00197374" w:rsidRPr="008360FC">
        <w:t xml:space="preserve">, or pushed down, </w:t>
      </w:r>
      <w:r w:rsidRPr="008360FC">
        <w:t>to specific ASC affiliate</w:t>
      </w:r>
      <w:r w:rsidR="00197374" w:rsidRPr="008360FC">
        <w:t>s</w:t>
      </w:r>
      <w:r w:rsidRPr="008360FC">
        <w:t xml:space="preserve"> when they benefit </w:t>
      </w:r>
      <w:r w:rsidR="004D5CC3" w:rsidRPr="008360FC">
        <w:t xml:space="preserve">those </w:t>
      </w:r>
      <w:r w:rsidRPr="008360FC">
        <w:t xml:space="preserve">specific affiliates.  These </w:t>
      </w:r>
      <w:r w:rsidR="0079386E" w:rsidRPr="008360FC">
        <w:t xml:space="preserve">capital costs are recorded </w:t>
      </w:r>
      <w:r w:rsidRPr="008360FC">
        <w:t xml:space="preserve">on the </w:t>
      </w:r>
      <w:r w:rsidR="0079386E" w:rsidRPr="008360FC">
        <w:t xml:space="preserve">accounting </w:t>
      </w:r>
      <w:r w:rsidRPr="008360FC">
        <w:t xml:space="preserve">books of AGL </w:t>
      </w:r>
      <w:r w:rsidR="00197374" w:rsidRPr="008360FC">
        <w:t>and/</w:t>
      </w:r>
      <w:r w:rsidRPr="008360FC">
        <w:t xml:space="preserve">or the other applicable affiliates.  </w:t>
      </w:r>
      <w:r w:rsidR="007E5AA0">
        <w:t xml:space="preserve">I refer to these </w:t>
      </w:r>
      <w:r w:rsidR="006E7948">
        <w:t xml:space="preserve">assigned </w:t>
      </w:r>
      <w:r w:rsidR="00B61029">
        <w:t xml:space="preserve">plant </w:t>
      </w:r>
      <w:r w:rsidR="007E5AA0">
        <w:t>asset</w:t>
      </w:r>
      <w:r w:rsidR="006E7948">
        <w:t xml:space="preserve"> costs </w:t>
      </w:r>
      <w:r w:rsidR="007E5AA0">
        <w:t xml:space="preserve">on AGL’s accounting books as ASC Embedded </w:t>
      </w:r>
      <w:r w:rsidR="00B61029">
        <w:t xml:space="preserve">Plant </w:t>
      </w:r>
      <w:r w:rsidR="006E7948">
        <w:t>to distinguish them from assigned expense costs</w:t>
      </w:r>
      <w:r w:rsidR="007E5AA0">
        <w:t xml:space="preserve">.  </w:t>
      </w:r>
      <w:r w:rsidR="0079386E" w:rsidRPr="008360FC">
        <w:t xml:space="preserve">Other capital costs incurred by ASC are retained on the accounting books of ASC.  </w:t>
      </w:r>
      <w:r w:rsidRPr="008360FC">
        <w:t xml:space="preserve">When the asset serves as a benefit to all </w:t>
      </w:r>
      <w:r w:rsidR="000C23F4">
        <w:t>Southern Company Gas</w:t>
      </w:r>
      <w:r w:rsidR="000C23F4" w:rsidRPr="008360FC">
        <w:t xml:space="preserve"> </w:t>
      </w:r>
      <w:r w:rsidRPr="008360FC">
        <w:t xml:space="preserve">affiliates, the asset is recorded on the books of ASC and remains there.   </w:t>
      </w:r>
      <w:r w:rsidR="0079386E" w:rsidRPr="008360FC">
        <w:t xml:space="preserve">The manner in which the costs </w:t>
      </w:r>
      <w:r w:rsidR="0079386E" w:rsidRPr="008360FC">
        <w:lastRenderedPageBreak/>
        <w:t xml:space="preserve">are recorded by ASC and AGL and the other </w:t>
      </w:r>
      <w:r w:rsidR="000C23F4">
        <w:t>Southern Company Gas</w:t>
      </w:r>
      <w:r w:rsidR="000C23F4" w:rsidRPr="008360FC">
        <w:t xml:space="preserve"> </w:t>
      </w:r>
      <w:r w:rsidR="0079386E" w:rsidRPr="008360FC">
        <w:t xml:space="preserve">affiliates </w:t>
      </w:r>
      <w:r w:rsidRPr="008360FC">
        <w:t xml:space="preserve">defines the way each type of cost is </w:t>
      </w:r>
      <w:r w:rsidR="0079386E" w:rsidRPr="008360FC">
        <w:t xml:space="preserve">included in AGL </w:t>
      </w:r>
      <w:r w:rsidRPr="008360FC">
        <w:t xml:space="preserve">rate base </w:t>
      </w:r>
      <w:r w:rsidR="0079386E" w:rsidRPr="008360FC">
        <w:t xml:space="preserve">and operating income </w:t>
      </w:r>
      <w:r w:rsidRPr="008360FC">
        <w:t>for rate recovery purposes.  AGL</w:t>
      </w:r>
      <w:r w:rsidR="00293DA5" w:rsidRPr="008360FC">
        <w:t xml:space="preserve"> includes the </w:t>
      </w:r>
      <w:r w:rsidR="007E5AA0">
        <w:t xml:space="preserve">ASC Embedded </w:t>
      </w:r>
      <w:r w:rsidR="00B61029">
        <w:t>Plant</w:t>
      </w:r>
      <w:r w:rsidR="007E5AA0" w:rsidRPr="008360FC">
        <w:t xml:space="preserve"> </w:t>
      </w:r>
      <w:r w:rsidRPr="008360FC">
        <w:t xml:space="preserve">costs for cost recovery purposes in rate base as </w:t>
      </w:r>
      <w:r w:rsidR="0079386E" w:rsidRPr="008360FC">
        <w:t xml:space="preserve">CWIP and </w:t>
      </w:r>
      <w:r w:rsidRPr="008360FC">
        <w:t>plant in service assets owned by AGL.  AGL performs a pro</w:t>
      </w:r>
      <w:r w:rsidR="7FFC938B" w:rsidRPr="008360FC">
        <w:t xml:space="preserve"> </w:t>
      </w:r>
      <w:r w:rsidRPr="008360FC">
        <w:t xml:space="preserve">forma adjustment </w:t>
      </w:r>
      <w:r w:rsidR="00197374" w:rsidRPr="008360FC">
        <w:t>related to</w:t>
      </w:r>
      <w:r w:rsidRPr="008360FC">
        <w:t xml:space="preserve"> the ASC-owned </w:t>
      </w:r>
      <w:r w:rsidR="00197374" w:rsidRPr="008360FC">
        <w:t xml:space="preserve">asset </w:t>
      </w:r>
      <w:r w:rsidRPr="008360FC">
        <w:t>costs</w:t>
      </w:r>
      <w:r w:rsidR="00197374" w:rsidRPr="008360FC">
        <w:t xml:space="preserve"> s</w:t>
      </w:r>
      <w:r w:rsidRPr="008360FC">
        <w:t>o that the allocated portions of th</w:t>
      </w:r>
      <w:r w:rsidR="004D5CC3" w:rsidRPr="008360FC">
        <w:t>o</w:t>
      </w:r>
      <w:r w:rsidRPr="008360FC">
        <w:t>se plant-related costs are also included as a component of AGL’s rate base</w:t>
      </w:r>
      <w:r w:rsidR="0079386E" w:rsidRPr="008360FC">
        <w:t xml:space="preserve"> even though AGL neither owns nor finances the costs of those assets</w:t>
      </w:r>
      <w:r w:rsidRPr="008360FC">
        <w:t>.</w:t>
      </w:r>
      <w:r w:rsidR="007E5AA0">
        <w:t xml:space="preserve">  AGL receives a full rate of return on these ASC</w:t>
      </w:r>
      <w:r w:rsidR="00205B50">
        <w:t xml:space="preserve">-owned and </w:t>
      </w:r>
      <w:r w:rsidR="007E5AA0">
        <w:t>allocated costs as if they are owned and financed by AGL.</w:t>
      </w:r>
      <w:r w:rsidR="0089593F">
        <w:t xml:space="preserve">  </w:t>
      </w:r>
      <w:r w:rsidR="00143EC2">
        <w:t>The ASC</w:t>
      </w:r>
      <w:r w:rsidR="00205B50">
        <w:t>-owned and</w:t>
      </w:r>
      <w:r w:rsidR="00143EC2">
        <w:t xml:space="preserve"> allocated costs are actually financed </w:t>
      </w:r>
      <w:r w:rsidR="00205B50">
        <w:t xml:space="preserve">entirely through debt at a lower rate of return.  </w:t>
      </w:r>
    </w:p>
    <w:p w14:paraId="5850F3C8" w14:textId="77777777" w:rsidR="006E7948" w:rsidRDefault="006E7948" w:rsidP="006E7948">
      <w:pPr>
        <w:widowControl/>
        <w:spacing w:line="480" w:lineRule="auto"/>
        <w:ind w:left="720" w:hanging="720"/>
        <w:jc w:val="both"/>
        <w:rPr>
          <w:b/>
          <w:bCs/>
        </w:rPr>
      </w:pPr>
    </w:p>
    <w:p w14:paraId="65C592D4" w14:textId="355512E7" w:rsidR="006E7948" w:rsidRPr="008360FC" w:rsidRDefault="006E7948" w:rsidP="006E7948">
      <w:pPr>
        <w:widowControl/>
        <w:spacing w:line="480" w:lineRule="auto"/>
        <w:ind w:left="720" w:hanging="720"/>
        <w:jc w:val="both"/>
        <w:rPr>
          <w:b/>
          <w:bCs/>
        </w:rPr>
      </w:pPr>
      <w:r w:rsidRPr="008360FC">
        <w:rPr>
          <w:b/>
          <w:bCs/>
        </w:rPr>
        <w:t>Q.</w:t>
      </w:r>
      <w:r w:rsidRPr="008360FC">
        <w:rPr>
          <w:b/>
          <w:bCs/>
        </w:rPr>
        <w:tab/>
      </w:r>
      <w:r w:rsidR="008D3B96">
        <w:rPr>
          <w:b/>
          <w:bCs/>
        </w:rPr>
        <w:t>Until recently, h</w:t>
      </w:r>
      <w:r>
        <w:rPr>
          <w:b/>
          <w:bCs/>
        </w:rPr>
        <w:t xml:space="preserve">ave the </w:t>
      </w:r>
      <w:r w:rsidR="008D3B96">
        <w:rPr>
          <w:b/>
          <w:bCs/>
        </w:rPr>
        <w:t xml:space="preserve">details regarding the </w:t>
      </w:r>
      <w:r w:rsidRPr="00314093">
        <w:rPr>
          <w:b/>
        </w:rPr>
        <w:t xml:space="preserve">ASC Embedded </w:t>
      </w:r>
      <w:r w:rsidR="00B61029">
        <w:rPr>
          <w:b/>
        </w:rPr>
        <w:t>Plant</w:t>
      </w:r>
      <w:r w:rsidRPr="00314093">
        <w:rPr>
          <w:b/>
        </w:rPr>
        <w:t xml:space="preserve"> </w:t>
      </w:r>
      <w:r w:rsidR="00B61029">
        <w:rPr>
          <w:b/>
        </w:rPr>
        <w:t>costs</w:t>
      </w:r>
      <w:r w:rsidR="008D3B10">
        <w:rPr>
          <w:b/>
        </w:rPr>
        <w:t xml:space="preserve"> been explicitly described as part of prior </w:t>
      </w:r>
      <w:r w:rsidRPr="008360FC">
        <w:rPr>
          <w:b/>
          <w:bCs/>
        </w:rPr>
        <w:t xml:space="preserve">AGL ratemaking </w:t>
      </w:r>
      <w:r w:rsidR="008D3B10">
        <w:rPr>
          <w:b/>
          <w:bCs/>
        </w:rPr>
        <w:t xml:space="preserve">proceedings and </w:t>
      </w:r>
      <w:r w:rsidR="008D3B96">
        <w:rPr>
          <w:b/>
          <w:bCs/>
        </w:rPr>
        <w:t xml:space="preserve">mandatory affiliate transaction </w:t>
      </w:r>
      <w:r w:rsidR="008D3B10">
        <w:rPr>
          <w:b/>
          <w:bCs/>
        </w:rPr>
        <w:t xml:space="preserve">quarterly reporting.  </w:t>
      </w:r>
    </w:p>
    <w:p w14:paraId="2995A7D0" w14:textId="72771511" w:rsidR="008D3B10" w:rsidRPr="007503D4" w:rsidRDefault="006E7948" w:rsidP="008D3B96">
      <w:pPr>
        <w:pStyle w:val="BodyText"/>
        <w:spacing w:line="480" w:lineRule="auto"/>
        <w:ind w:left="720" w:hanging="720"/>
      </w:pPr>
      <w:r w:rsidRPr="008360FC">
        <w:t>A.</w:t>
      </w:r>
      <w:r w:rsidRPr="008360FC">
        <w:tab/>
      </w:r>
      <w:r w:rsidR="008D3B10">
        <w:t xml:space="preserve">No.  </w:t>
      </w:r>
      <w:r w:rsidR="008D3B10" w:rsidRPr="007503D4">
        <w:t xml:space="preserve">Prior reporting in </w:t>
      </w:r>
      <w:r w:rsidR="008D3B96">
        <w:t xml:space="preserve">AGL ratemaking proceedings and in quarterly </w:t>
      </w:r>
      <w:r w:rsidR="00035696">
        <w:t xml:space="preserve">filed </w:t>
      </w:r>
      <w:r w:rsidR="008D3B10" w:rsidRPr="007503D4">
        <w:t xml:space="preserve">GRAM </w:t>
      </w:r>
      <w:r w:rsidR="008D3B96">
        <w:t>and</w:t>
      </w:r>
      <w:r w:rsidR="008D3B10" w:rsidRPr="007503D4">
        <w:t xml:space="preserve"> affiliate reports did not provide information detailing the</w:t>
      </w:r>
      <w:r w:rsidR="008D3B96">
        <w:t xml:space="preserve">se ASC Embedded </w:t>
      </w:r>
      <w:r w:rsidR="00B61029">
        <w:t>Plant</w:t>
      </w:r>
      <w:r w:rsidR="008D3B96" w:rsidRPr="008360FC">
        <w:t xml:space="preserve"> costs</w:t>
      </w:r>
      <w:r w:rsidR="008D3B96">
        <w:t xml:space="preserve"> that had been assigned to AGL over the years.  </w:t>
      </w:r>
      <w:r w:rsidR="008D3B10" w:rsidRPr="007503D4">
        <w:t xml:space="preserve">Previously, such affiliate reporting </w:t>
      </w:r>
      <w:r w:rsidR="00035696">
        <w:t xml:space="preserve">and discovery response reporting </w:t>
      </w:r>
      <w:r w:rsidR="008D3B10" w:rsidRPr="007503D4">
        <w:t>had been limited to expense charges from each of the service companies to AGL.  In response to the Commission Staff’s concerns</w:t>
      </w:r>
      <w:r w:rsidR="00035696">
        <w:t xml:space="preserve"> about this lack of reporting</w:t>
      </w:r>
      <w:r w:rsidR="008D3B10" w:rsidRPr="007503D4">
        <w:t xml:space="preserve">, the Company has </w:t>
      </w:r>
      <w:r w:rsidR="00035696">
        <w:t xml:space="preserve">agreed to provide </w:t>
      </w:r>
      <w:r w:rsidR="008D3B10" w:rsidRPr="007503D4">
        <w:t xml:space="preserve">additional information in regards to the </w:t>
      </w:r>
      <w:r w:rsidR="00035696">
        <w:t xml:space="preserve">ASC Embedded </w:t>
      </w:r>
      <w:r w:rsidR="00B61029">
        <w:t>Plant</w:t>
      </w:r>
      <w:r w:rsidR="00035696">
        <w:t xml:space="preserve"> costs </w:t>
      </w:r>
      <w:r w:rsidR="008D3B10" w:rsidRPr="007503D4">
        <w:t>in its quarterly and annual reporting</w:t>
      </w:r>
      <w:r w:rsidR="00035696">
        <w:t xml:space="preserve"> and </w:t>
      </w:r>
      <w:r w:rsidR="005007EB">
        <w:t xml:space="preserve">in </w:t>
      </w:r>
      <w:r w:rsidR="00035696">
        <w:t>ratemaking proceedings</w:t>
      </w:r>
      <w:r w:rsidR="008D3B10" w:rsidRPr="007503D4">
        <w:t>.</w:t>
      </w:r>
      <w:r w:rsidR="00035696">
        <w:t xml:space="preserve">  </w:t>
      </w:r>
      <w:r w:rsidR="008F6772">
        <w:t xml:space="preserve">This is evident from the </w:t>
      </w:r>
      <w:r w:rsidR="005007EB">
        <w:t xml:space="preserve">detailed </w:t>
      </w:r>
      <w:r w:rsidR="00035696">
        <w:lastRenderedPageBreak/>
        <w:t xml:space="preserve">description of </w:t>
      </w:r>
      <w:r w:rsidR="008F6772">
        <w:t xml:space="preserve">such </w:t>
      </w:r>
      <w:r w:rsidR="00035696">
        <w:t xml:space="preserve">costs </w:t>
      </w:r>
      <w:r w:rsidR="008F6772">
        <w:t xml:space="preserve">that </w:t>
      </w:r>
      <w:r w:rsidR="00035696">
        <w:t xml:space="preserve">were provided </w:t>
      </w:r>
      <w:r w:rsidR="005007EB">
        <w:t>in the Direct Testimony of M</w:t>
      </w:r>
      <w:r w:rsidR="008F6772">
        <w:t xml:space="preserve">r. </w:t>
      </w:r>
      <w:r w:rsidR="005007EB">
        <w:t>Mor</w:t>
      </w:r>
      <w:r w:rsidR="008F6772">
        <w:t>ley</w:t>
      </w:r>
      <w:r w:rsidR="005007EB">
        <w:t xml:space="preserve"> in this proceeding</w:t>
      </w:r>
      <w:r w:rsidR="008F6772">
        <w:t>.</w:t>
      </w:r>
      <w:r w:rsidR="001E0ADC" w:rsidRPr="001E0ADC">
        <w:rPr>
          <w:rStyle w:val="FootnoteReference"/>
          <w:vertAlign w:val="superscript"/>
        </w:rPr>
        <w:footnoteReference w:id="11"/>
      </w:r>
      <w:r w:rsidR="008F6772">
        <w:t xml:space="preserve">  </w:t>
      </w:r>
      <w:r w:rsidR="00035696">
        <w:t xml:space="preserve"> </w:t>
      </w:r>
    </w:p>
    <w:p w14:paraId="6D539CFE" w14:textId="1580BA94" w:rsidR="008D3B10" w:rsidRPr="007503D4" w:rsidRDefault="008D3B10" w:rsidP="008D3B10">
      <w:pPr>
        <w:widowControl/>
        <w:spacing w:line="480" w:lineRule="auto"/>
        <w:ind w:left="720" w:hanging="720"/>
        <w:jc w:val="both"/>
      </w:pPr>
      <w:r w:rsidRPr="007503D4">
        <w:tab/>
      </w:r>
      <w:r w:rsidR="004052C8">
        <w:tab/>
      </w:r>
      <w:r w:rsidRPr="007503D4">
        <w:t xml:space="preserve">Kennedy and Associates was able to confirm that ASC had direct assigned, or pushed down, </w:t>
      </w:r>
      <w:r w:rsidR="008A47BA">
        <w:t xml:space="preserve">ASC Embedded </w:t>
      </w:r>
      <w:r w:rsidR="00B61029">
        <w:t>Plant</w:t>
      </w:r>
      <w:r w:rsidR="008A47BA" w:rsidRPr="007503D4">
        <w:t xml:space="preserve"> </w:t>
      </w:r>
      <w:r w:rsidR="008A47BA">
        <w:t xml:space="preserve">costs </w:t>
      </w:r>
      <w:r w:rsidRPr="007503D4">
        <w:t xml:space="preserve">to AGL </w:t>
      </w:r>
      <w:r>
        <w:t xml:space="preserve">for accounting and ratemaking purposes </w:t>
      </w:r>
      <w:r w:rsidRPr="007503D4">
        <w:t>in prior years.  In response to discovery, AGL quantified at least $101.237 million in such information technology hardware and software costs that had been pushed down from ASC and that was recorded on the accounting books of AGL as of the end of 2018.</w:t>
      </w:r>
      <w:r w:rsidRPr="004052C8">
        <w:rPr>
          <w:rStyle w:val="FootnoteReference"/>
          <w:vertAlign w:val="superscript"/>
        </w:rPr>
        <w:footnoteReference w:id="12"/>
      </w:r>
      <w:r w:rsidRPr="007503D4">
        <w:t xml:space="preserve">  AGL also provided </w:t>
      </w:r>
      <w:r w:rsidR="004052C8">
        <w:t xml:space="preserve">a </w:t>
      </w:r>
      <w:r w:rsidRPr="007503D4">
        <w:t>cop</w:t>
      </w:r>
      <w:r w:rsidR="004052C8">
        <w:t>y</w:t>
      </w:r>
      <w:r w:rsidRPr="007503D4">
        <w:t xml:space="preserve"> of </w:t>
      </w:r>
      <w:r w:rsidR="004052C8">
        <w:t xml:space="preserve">a </w:t>
      </w:r>
      <w:r w:rsidRPr="007503D4">
        <w:t xml:space="preserve">data response from the 2019 rate case, Docket No. 42315, which </w:t>
      </w:r>
      <w:r w:rsidR="007111C0">
        <w:t xml:space="preserve">included </w:t>
      </w:r>
      <w:r w:rsidR="004052C8">
        <w:t xml:space="preserve">a brief description of </w:t>
      </w:r>
      <w:r w:rsidR="007111C0">
        <w:t xml:space="preserve">a portion of </w:t>
      </w:r>
      <w:r w:rsidR="004052C8">
        <w:t xml:space="preserve">these costs </w:t>
      </w:r>
      <w:r w:rsidRPr="007503D4">
        <w:t>and how they were reflected in the Company’s revenue requirement determination.</w:t>
      </w:r>
      <w:r w:rsidRPr="004052C8">
        <w:rPr>
          <w:rStyle w:val="FootnoteReference"/>
          <w:vertAlign w:val="superscript"/>
        </w:rPr>
        <w:footnoteReference w:id="13"/>
      </w:r>
      <w:r w:rsidRPr="007503D4">
        <w:t xml:space="preserve">  From 2019 through 2023, an additional $45.299 million in ASC </w:t>
      </w:r>
      <w:r w:rsidR="008A47BA">
        <w:t xml:space="preserve">Embedded </w:t>
      </w:r>
      <w:r w:rsidR="00B61029">
        <w:t xml:space="preserve">Plant </w:t>
      </w:r>
      <w:r w:rsidRPr="007503D4">
        <w:t>costs has been added to AGL’s plant in service due to the push down of such costs.</w:t>
      </w:r>
      <w:r w:rsidRPr="004052C8">
        <w:rPr>
          <w:rStyle w:val="FootnoteReference"/>
          <w:vertAlign w:val="superscript"/>
        </w:rPr>
        <w:footnoteReference w:id="14"/>
      </w:r>
      <w:r w:rsidRPr="007503D4">
        <w:t xml:space="preserve">  </w:t>
      </w:r>
    </w:p>
    <w:p w14:paraId="39272F2F" w14:textId="14BDF142" w:rsidR="004D5CC3" w:rsidRPr="008360FC" w:rsidRDefault="004D5CC3" w:rsidP="006E7948">
      <w:pPr>
        <w:widowControl/>
        <w:spacing w:line="480" w:lineRule="auto"/>
        <w:ind w:left="720" w:hanging="720"/>
        <w:jc w:val="both"/>
        <w:rPr>
          <w:b/>
          <w:bCs/>
        </w:rPr>
      </w:pPr>
    </w:p>
    <w:p w14:paraId="070A74A2" w14:textId="47235DCF" w:rsidR="00EE66BC" w:rsidRPr="008360FC" w:rsidRDefault="00EE66BC" w:rsidP="00A4399B">
      <w:pPr>
        <w:widowControl/>
        <w:spacing w:line="480" w:lineRule="auto"/>
        <w:ind w:left="720" w:hanging="720"/>
        <w:jc w:val="both"/>
        <w:rPr>
          <w:b/>
          <w:bCs/>
        </w:rPr>
      </w:pPr>
      <w:r w:rsidRPr="008360FC">
        <w:rPr>
          <w:b/>
          <w:bCs/>
        </w:rPr>
        <w:t>Q.</w:t>
      </w:r>
      <w:r w:rsidRPr="008360FC">
        <w:rPr>
          <w:b/>
          <w:bCs/>
        </w:rPr>
        <w:tab/>
      </w:r>
      <w:r w:rsidR="00753AC2" w:rsidRPr="008360FC">
        <w:rPr>
          <w:b/>
          <w:bCs/>
        </w:rPr>
        <w:t>Briefly describe the</w:t>
      </w:r>
      <w:r w:rsidRPr="008360FC">
        <w:rPr>
          <w:b/>
          <w:bCs/>
        </w:rPr>
        <w:t xml:space="preserve"> </w:t>
      </w:r>
      <w:r w:rsidR="00C153DD" w:rsidRPr="008360FC">
        <w:rPr>
          <w:b/>
          <w:bCs/>
        </w:rPr>
        <w:t xml:space="preserve">changes </w:t>
      </w:r>
      <w:r w:rsidR="001B339B" w:rsidRPr="008360FC">
        <w:rPr>
          <w:b/>
          <w:bCs/>
        </w:rPr>
        <w:t>i</w:t>
      </w:r>
      <w:r w:rsidR="00C153DD" w:rsidRPr="008360FC">
        <w:rPr>
          <w:b/>
          <w:bCs/>
        </w:rPr>
        <w:t xml:space="preserve">n </w:t>
      </w:r>
      <w:r w:rsidR="00753AC2" w:rsidRPr="008360FC">
        <w:rPr>
          <w:b/>
          <w:bCs/>
        </w:rPr>
        <w:t>ASC</w:t>
      </w:r>
      <w:r w:rsidR="005C7F39" w:rsidRPr="008360FC">
        <w:rPr>
          <w:b/>
          <w:bCs/>
        </w:rPr>
        <w:t>’s</w:t>
      </w:r>
      <w:r w:rsidR="00753AC2" w:rsidRPr="008360FC">
        <w:rPr>
          <w:b/>
          <w:bCs/>
        </w:rPr>
        <w:t xml:space="preserve"> and AGL</w:t>
      </w:r>
      <w:r w:rsidR="005C7F39" w:rsidRPr="008360FC">
        <w:rPr>
          <w:b/>
          <w:bCs/>
        </w:rPr>
        <w:t>’s</w:t>
      </w:r>
      <w:r w:rsidR="00753AC2" w:rsidRPr="008360FC">
        <w:rPr>
          <w:b/>
          <w:bCs/>
        </w:rPr>
        <w:t xml:space="preserve"> accounting</w:t>
      </w:r>
      <w:r w:rsidR="00CF4319" w:rsidRPr="008360FC">
        <w:rPr>
          <w:b/>
          <w:bCs/>
        </w:rPr>
        <w:t xml:space="preserve"> for </w:t>
      </w:r>
      <w:r w:rsidR="00314093" w:rsidRPr="00314093">
        <w:rPr>
          <w:b/>
          <w:bCs/>
        </w:rPr>
        <w:t xml:space="preserve">the </w:t>
      </w:r>
      <w:r w:rsidR="00314093" w:rsidRPr="00314093">
        <w:rPr>
          <w:b/>
        </w:rPr>
        <w:t xml:space="preserve">ASC Embedded </w:t>
      </w:r>
      <w:r w:rsidR="00B61029">
        <w:rPr>
          <w:b/>
        </w:rPr>
        <w:t>Plant</w:t>
      </w:r>
      <w:r w:rsidR="00314093" w:rsidRPr="00314093">
        <w:rPr>
          <w:b/>
        </w:rPr>
        <w:t xml:space="preserve"> costs </w:t>
      </w:r>
      <w:r w:rsidR="005C7F39" w:rsidRPr="008360FC">
        <w:rPr>
          <w:b/>
          <w:bCs/>
        </w:rPr>
        <w:t xml:space="preserve">and changes in </w:t>
      </w:r>
      <w:r w:rsidR="00753AC2" w:rsidRPr="008360FC">
        <w:rPr>
          <w:b/>
          <w:bCs/>
        </w:rPr>
        <w:t>AGL</w:t>
      </w:r>
      <w:r w:rsidR="005C7F39" w:rsidRPr="008360FC">
        <w:rPr>
          <w:b/>
          <w:bCs/>
        </w:rPr>
        <w:t>’s</w:t>
      </w:r>
      <w:r w:rsidR="00753AC2" w:rsidRPr="008360FC">
        <w:rPr>
          <w:b/>
          <w:bCs/>
        </w:rPr>
        <w:t xml:space="preserve"> ratemaking affect</w:t>
      </w:r>
      <w:r w:rsidR="000E4DA0" w:rsidRPr="008360FC">
        <w:rPr>
          <w:b/>
          <w:bCs/>
        </w:rPr>
        <w:t>ing</w:t>
      </w:r>
      <w:r w:rsidR="00753AC2" w:rsidRPr="008360FC">
        <w:rPr>
          <w:b/>
          <w:bCs/>
        </w:rPr>
        <w:t xml:space="preserve"> </w:t>
      </w:r>
      <w:r w:rsidR="005C7F39" w:rsidRPr="008360FC">
        <w:rPr>
          <w:b/>
          <w:bCs/>
        </w:rPr>
        <w:t xml:space="preserve">its </w:t>
      </w:r>
      <w:r w:rsidRPr="008360FC">
        <w:rPr>
          <w:b/>
          <w:bCs/>
        </w:rPr>
        <w:t>GRAM and SRR ratemaking calculations</w:t>
      </w:r>
      <w:r w:rsidR="00753AC2" w:rsidRPr="008360FC">
        <w:rPr>
          <w:b/>
          <w:bCs/>
        </w:rPr>
        <w:t>.</w:t>
      </w:r>
    </w:p>
    <w:p w14:paraId="00EC0EB7" w14:textId="2036C161" w:rsidR="00C153DD" w:rsidRPr="008360FC" w:rsidRDefault="00EE66BC" w:rsidP="001B339B">
      <w:pPr>
        <w:widowControl/>
        <w:spacing w:line="480" w:lineRule="auto"/>
        <w:ind w:left="720" w:hanging="720"/>
        <w:jc w:val="both"/>
      </w:pPr>
      <w:r w:rsidRPr="008360FC">
        <w:t>A.</w:t>
      </w:r>
      <w:r w:rsidRPr="008360FC">
        <w:tab/>
      </w:r>
      <w:r w:rsidR="00385DD4" w:rsidRPr="008360FC">
        <w:t>ASC and AGL implemented a</w:t>
      </w:r>
      <w:r w:rsidR="00CF4319" w:rsidRPr="008360FC">
        <w:t xml:space="preserve"> </w:t>
      </w:r>
      <w:r w:rsidR="001B339B" w:rsidRPr="008360FC">
        <w:t xml:space="preserve">methodology and accounting </w:t>
      </w:r>
      <w:r w:rsidR="00C153DD" w:rsidRPr="008360FC">
        <w:t xml:space="preserve">change </w:t>
      </w:r>
      <w:r w:rsidR="001B339B" w:rsidRPr="008360FC">
        <w:t xml:space="preserve">in August 2022 in conjunction with the implementation of </w:t>
      </w:r>
      <w:r w:rsidR="004633D7" w:rsidRPr="008360FC">
        <w:t xml:space="preserve">new accounting procedures </w:t>
      </w:r>
      <w:r w:rsidR="0079386E" w:rsidRPr="008360FC">
        <w:t>when Southern Company implemented t</w:t>
      </w:r>
      <w:r w:rsidR="004633D7" w:rsidRPr="008360FC">
        <w:t xml:space="preserve">he Enterprise Foundations (“Enterprise”) </w:t>
      </w:r>
      <w:r w:rsidR="0079386E" w:rsidRPr="008360FC">
        <w:lastRenderedPageBreak/>
        <w:t xml:space="preserve">accounting </w:t>
      </w:r>
      <w:r w:rsidR="004633D7" w:rsidRPr="008360FC">
        <w:t>software</w:t>
      </w:r>
      <w:r w:rsidR="00245E70" w:rsidRPr="008360FC">
        <w:t>.</w:t>
      </w:r>
      <w:r w:rsidR="0079386E" w:rsidRPr="008360FC">
        <w:rPr>
          <w:rStyle w:val="FootnoteReference"/>
          <w:vertAlign w:val="superscript"/>
        </w:rPr>
        <w:footnoteReference w:id="15"/>
      </w:r>
      <w:r w:rsidR="004633D7" w:rsidRPr="008360FC">
        <w:t xml:space="preserve">  Prior to the </w:t>
      </w:r>
      <w:r w:rsidR="0079386E" w:rsidRPr="008360FC">
        <w:t>methodology and accounting change</w:t>
      </w:r>
      <w:r w:rsidR="004633D7" w:rsidRPr="008360FC">
        <w:t xml:space="preserve">, ASC retained </w:t>
      </w:r>
      <w:r w:rsidR="0079386E" w:rsidRPr="008360FC">
        <w:t xml:space="preserve">all </w:t>
      </w:r>
      <w:r w:rsidR="004633D7" w:rsidRPr="008360FC">
        <w:t>construction work in progress (</w:t>
      </w:r>
      <w:r w:rsidR="000E4DA0" w:rsidRPr="008360FC">
        <w:t>“</w:t>
      </w:r>
      <w:r w:rsidR="004633D7" w:rsidRPr="008360FC">
        <w:t xml:space="preserve">CWIP”) incurred for its affiliates on its accounting books during the construction period, where </w:t>
      </w:r>
      <w:r w:rsidR="00294EA8" w:rsidRPr="008360FC">
        <w:t>ASC</w:t>
      </w:r>
      <w:r w:rsidR="004633D7" w:rsidRPr="008360FC">
        <w:t xml:space="preserve"> added allowance for funds </w:t>
      </w:r>
      <w:r w:rsidR="000E4DA0" w:rsidRPr="008360FC">
        <w:t xml:space="preserve">used </w:t>
      </w:r>
      <w:r w:rsidR="004633D7" w:rsidRPr="008360FC">
        <w:t>during construction (“AFUDC</w:t>
      </w:r>
      <w:r w:rsidR="000E4DA0" w:rsidRPr="008360FC">
        <w:t>”</w:t>
      </w:r>
      <w:r w:rsidR="004633D7" w:rsidRPr="008360FC">
        <w:t xml:space="preserve">) calculated at its cost of debt to CWIP.  </w:t>
      </w:r>
      <w:r w:rsidR="005E74AF" w:rsidRPr="008360FC">
        <w:t xml:space="preserve">ASC allocated the CWIP, including the AFUDC that was recorded on its accounting books, to AGL </w:t>
      </w:r>
      <w:r w:rsidR="00294EA8" w:rsidRPr="008360FC">
        <w:t xml:space="preserve">solely </w:t>
      </w:r>
      <w:r w:rsidR="005E74AF" w:rsidRPr="008360FC">
        <w:t xml:space="preserve">for ratemaking purposes during the construction period.  AGL included this ASC CWIP in its rate base.  </w:t>
      </w:r>
      <w:r w:rsidR="0079386E" w:rsidRPr="008360FC">
        <w:t xml:space="preserve">Since </w:t>
      </w:r>
      <w:r w:rsidR="005E74AF" w:rsidRPr="008360FC">
        <w:t xml:space="preserve">the implementation of Enterprise, ASC </w:t>
      </w:r>
      <w:r w:rsidR="0079386E" w:rsidRPr="008360FC">
        <w:t xml:space="preserve">now </w:t>
      </w:r>
      <w:r w:rsidR="005C7F39" w:rsidRPr="008360FC">
        <w:t xml:space="preserve">direct </w:t>
      </w:r>
      <w:r w:rsidR="005E74AF" w:rsidRPr="008360FC">
        <w:t>assign</w:t>
      </w:r>
      <w:r w:rsidR="0079386E" w:rsidRPr="008360FC">
        <w:t>s</w:t>
      </w:r>
      <w:r w:rsidR="005E74AF" w:rsidRPr="008360FC">
        <w:t xml:space="preserve"> </w:t>
      </w:r>
      <w:r w:rsidR="005C7F39" w:rsidRPr="008360FC">
        <w:t>t</w:t>
      </w:r>
      <w:r w:rsidR="005E74AF" w:rsidRPr="008360FC">
        <w:t xml:space="preserve">he CWIP each month to AGL for book accounting purposes and </w:t>
      </w:r>
      <w:r w:rsidR="0079386E" w:rsidRPr="008360FC">
        <w:t xml:space="preserve">no longer </w:t>
      </w:r>
      <w:r w:rsidR="005E74AF" w:rsidRPr="008360FC">
        <w:t>add</w:t>
      </w:r>
      <w:r w:rsidR="00EE7AA5" w:rsidRPr="008360FC">
        <w:t>s</w:t>
      </w:r>
      <w:r w:rsidR="005E74AF" w:rsidRPr="008360FC">
        <w:t xml:space="preserve"> AFUDC on its accounting books.  On </w:t>
      </w:r>
      <w:r w:rsidR="0079386E" w:rsidRPr="008360FC">
        <w:t xml:space="preserve">the </w:t>
      </w:r>
      <w:r w:rsidR="005E74AF" w:rsidRPr="008360FC">
        <w:t>CWIP projects that ASC retain</w:t>
      </w:r>
      <w:r w:rsidR="005C7F39" w:rsidRPr="008360FC">
        <w:t>s</w:t>
      </w:r>
      <w:r w:rsidR="005E74AF" w:rsidRPr="008360FC">
        <w:t xml:space="preserve"> </w:t>
      </w:r>
      <w:r w:rsidR="0079386E" w:rsidRPr="008360FC">
        <w:t>on its accounting</w:t>
      </w:r>
      <w:r w:rsidR="00EE7AA5" w:rsidRPr="008360FC">
        <w:t xml:space="preserve"> books </w:t>
      </w:r>
      <w:r w:rsidR="005E74AF" w:rsidRPr="008360FC">
        <w:t>and d</w:t>
      </w:r>
      <w:r w:rsidR="005C7F39" w:rsidRPr="008360FC">
        <w:t xml:space="preserve">oes </w:t>
      </w:r>
      <w:r w:rsidR="005E74AF" w:rsidRPr="008360FC">
        <w:t xml:space="preserve">not </w:t>
      </w:r>
      <w:r w:rsidR="005C7F39" w:rsidRPr="008360FC">
        <w:t xml:space="preserve">direct </w:t>
      </w:r>
      <w:r w:rsidR="005E74AF" w:rsidRPr="008360FC">
        <w:t>assign to AGL</w:t>
      </w:r>
      <w:r w:rsidR="0079386E" w:rsidRPr="008360FC">
        <w:t xml:space="preserve"> for accounting purposes</w:t>
      </w:r>
      <w:r w:rsidR="005E74AF" w:rsidRPr="008360FC">
        <w:t>, ASC continues to add AFUDC to the CWIP balance and continues to allocate this CWIP to AGL solely for ratemaking purposes.</w:t>
      </w:r>
    </w:p>
    <w:p w14:paraId="7FD86630" w14:textId="2F55D6FD" w:rsidR="00753AC2" w:rsidRPr="008360FC" w:rsidRDefault="005E74AF" w:rsidP="002C1B80">
      <w:pPr>
        <w:widowControl/>
        <w:spacing w:line="480" w:lineRule="auto"/>
        <w:ind w:left="720" w:hanging="720"/>
        <w:jc w:val="both"/>
      </w:pPr>
      <w:r w:rsidRPr="008360FC">
        <w:tab/>
      </w:r>
      <w:r w:rsidRPr="008360FC">
        <w:tab/>
        <w:t xml:space="preserve">AGL included and continues to include its own directly incurred CWIP, the ASC capital charges </w:t>
      </w:r>
      <w:r w:rsidR="006811B3" w:rsidRPr="008360FC">
        <w:t xml:space="preserve">direct assigned and </w:t>
      </w:r>
      <w:r w:rsidRPr="008360FC">
        <w:t xml:space="preserve">recorded to CWIP on AGL’s accounting books </w:t>
      </w:r>
      <w:r w:rsidR="00294EA8" w:rsidRPr="008360FC">
        <w:t xml:space="preserve">since </w:t>
      </w:r>
      <w:r w:rsidRPr="008360FC">
        <w:t xml:space="preserve">the implementation of Enterprise, and the ASC capital charges allocated to AGL </w:t>
      </w:r>
      <w:r w:rsidR="00294EA8" w:rsidRPr="008360FC">
        <w:t xml:space="preserve">solely </w:t>
      </w:r>
      <w:r w:rsidRPr="008360FC">
        <w:t xml:space="preserve">for ratemaking purposes in </w:t>
      </w:r>
      <w:r w:rsidR="00294EA8" w:rsidRPr="008360FC">
        <w:t xml:space="preserve">its </w:t>
      </w:r>
      <w:r w:rsidRPr="008360FC">
        <w:t>rate base</w:t>
      </w:r>
      <w:r w:rsidR="00294EA8" w:rsidRPr="008360FC">
        <w:t>, including the SRR and GRAM rate base calculations</w:t>
      </w:r>
      <w:r w:rsidRPr="008360FC">
        <w:t xml:space="preserve">, where the grossed-up return </w:t>
      </w:r>
      <w:r w:rsidR="00294EA8" w:rsidRPr="008360FC">
        <w:t xml:space="preserve">on those rate base investments </w:t>
      </w:r>
      <w:r w:rsidRPr="008360FC">
        <w:t>is included in the revenue requirement.  AGL continues to include AFUDC on its own directly incurred CWIP</w:t>
      </w:r>
      <w:r w:rsidR="002C1B80" w:rsidRPr="008360FC">
        <w:t xml:space="preserve"> and now, since the</w:t>
      </w:r>
      <w:r w:rsidRPr="008360FC">
        <w:t xml:space="preserve"> accounting changes implemented contemporaneously with Enterprise, </w:t>
      </w:r>
      <w:r w:rsidR="002C1B80" w:rsidRPr="008360FC">
        <w:t xml:space="preserve">includes AFUDC on the ASC CWIP recorded on AGL’s accounting in operating income, which, when grossed up </w:t>
      </w:r>
      <w:r w:rsidR="002C1B80" w:rsidRPr="008360FC">
        <w:lastRenderedPageBreak/>
        <w:t xml:space="preserve">for income taxes, offsets and reduces the effect of the grossed-up return included in the revenue requirement.  </w:t>
      </w:r>
    </w:p>
    <w:p w14:paraId="1F8B17F5" w14:textId="0D8D9F8F" w:rsidR="001B339B" w:rsidRPr="008360FC" w:rsidRDefault="002C1B80" w:rsidP="005F58B7">
      <w:pPr>
        <w:widowControl/>
        <w:spacing w:line="480" w:lineRule="auto"/>
        <w:ind w:left="720" w:firstLine="720"/>
        <w:jc w:val="both"/>
      </w:pPr>
      <w:r w:rsidRPr="008360FC">
        <w:t xml:space="preserve">Prior to the change in accounting in August 2022, AGL </w:t>
      </w:r>
      <w:r w:rsidR="00BB1A13" w:rsidRPr="008360FC">
        <w:t>did not</w:t>
      </w:r>
      <w:r w:rsidRPr="008360FC">
        <w:t xml:space="preserve"> include AFUDC in operating income on any of the CWIP that was recorded on ASC’s accounting books, </w:t>
      </w:r>
      <w:r w:rsidR="006811B3" w:rsidRPr="008360FC">
        <w:t xml:space="preserve">whether it would be later direct </w:t>
      </w:r>
      <w:r w:rsidRPr="008360FC">
        <w:t xml:space="preserve">assigned </w:t>
      </w:r>
      <w:r w:rsidR="006811B3" w:rsidRPr="008360FC">
        <w:t xml:space="preserve">to AGL </w:t>
      </w:r>
      <w:r w:rsidRPr="008360FC">
        <w:t>or allocated to AGL for ratemaking purposes</w:t>
      </w:r>
      <w:r w:rsidR="006811B3" w:rsidRPr="008360FC">
        <w:t xml:space="preserve"> only</w:t>
      </w:r>
      <w:r w:rsidRPr="008360FC">
        <w:t>.</w:t>
      </w:r>
      <w:r w:rsidR="0079386E" w:rsidRPr="008360FC">
        <w:rPr>
          <w:rStyle w:val="FootnoteReference"/>
          <w:vertAlign w:val="superscript"/>
        </w:rPr>
        <w:footnoteReference w:id="16"/>
      </w:r>
      <w:r w:rsidRPr="008360FC">
        <w:t xml:space="preserve">  </w:t>
      </w:r>
      <w:r w:rsidR="00294EA8" w:rsidRPr="008360FC">
        <w:t xml:space="preserve">This </w:t>
      </w:r>
      <w:r w:rsidR="00BB1A13" w:rsidRPr="008360FC">
        <w:t xml:space="preserve">mistake </w:t>
      </w:r>
      <w:r w:rsidR="00294EA8" w:rsidRPr="008360FC">
        <w:t xml:space="preserve">had the effect of </w:t>
      </w:r>
      <w:r w:rsidR="00385DD4" w:rsidRPr="008360FC">
        <w:t>improperly</w:t>
      </w:r>
      <w:r w:rsidR="00294EA8" w:rsidRPr="008360FC">
        <w:t xml:space="preserve"> increasing the GRAM </w:t>
      </w:r>
      <w:r w:rsidR="00656385" w:rsidRPr="008360FC">
        <w:t xml:space="preserve">and other </w:t>
      </w:r>
      <w:r w:rsidR="00294EA8" w:rsidRPr="008360FC">
        <w:t>revenue requirement</w:t>
      </w:r>
      <w:r w:rsidR="00656385" w:rsidRPr="008360FC">
        <w:t xml:space="preserve"> determinations</w:t>
      </w:r>
      <w:r w:rsidR="00294EA8" w:rsidRPr="008360FC">
        <w:t xml:space="preserve">.  </w:t>
      </w:r>
      <w:r w:rsidR="00FA6F9D">
        <w:t>Reflecting the AFUDC in operating income prevents the double recovery of the return on the CWIP assets</w:t>
      </w:r>
      <w:r w:rsidR="00395F82">
        <w:t xml:space="preserve"> in the buildup of </w:t>
      </w:r>
      <w:r w:rsidR="00745CB8">
        <w:t xml:space="preserve">CWIP balances and the recovery of the return on the overall CWIP balances for ratemaking purposes.  </w:t>
      </w:r>
      <w:r w:rsidRPr="008360FC">
        <w:t>Th</w:t>
      </w:r>
      <w:r w:rsidR="0079386E" w:rsidRPr="008360FC">
        <w:t>e Company corrected this</w:t>
      </w:r>
      <w:r w:rsidRPr="008360FC">
        <w:t xml:space="preserve"> </w:t>
      </w:r>
      <w:r w:rsidR="00405FD4" w:rsidRPr="008360FC">
        <w:t xml:space="preserve">mistake </w:t>
      </w:r>
      <w:r w:rsidRPr="008360FC">
        <w:t>in August 2022 with the change in accounting</w:t>
      </w:r>
      <w:r w:rsidR="00294EA8" w:rsidRPr="008360FC">
        <w:t xml:space="preserve"> for the CWIP costs incurred by ASC, but </w:t>
      </w:r>
      <w:r w:rsidR="006811B3" w:rsidRPr="008360FC">
        <w:t xml:space="preserve">direct assigned and </w:t>
      </w:r>
      <w:r w:rsidR="00294EA8" w:rsidRPr="008360FC">
        <w:t>recorded on AGL’s accounting books each month during construction</w:t>
      </w:r>
      <w:r w:rsidRPr="008360FC">
        <w:t>.  However, th</w:t>
      </w:r>
      <w:r w:rsidR="00770149" w:rsidRPr="008360FC">
        <w:t>e Company has not yet corrected this</w:t>
      </w:r>
      <w:r w:rsidRPr="008360FC">
        <w:t xml:space="preserve"> </w:t>
      </w:r>
      <w:r w:rsidR="00405FD4" w:rsidRPr="008360FC">
        <w:t xml:space="preserve">mistake </w:t>
      </w:r>
      <w:r w:rsidRPr="008360FC">
        <w:t>for the CWIP that is retained on ASC’s accounting books, but allocated to AGL solely for ratemaking purposes.  The Company acknowledge</w:t>
      </w:r>
      <w:r w:rsidR="00770149" w:rsidRPr="008360FC">
        <w:t>d</w:t>
      </w:r>
      <w:r w:rsidRPr="008360FC">
        <w:t xml:space="preserve"> </w:t>
      </w:r>
      <w:r w:rsidR="000E4DA0" w:rsidRPr="008360FC">
        <w:t xml:space="preserve">that </w:t>
      </w:r>
      <w:r w:rsidRPr="008360FC">
        <w:t xml:space="preserve">this </w:t>
      </w:r>
      <w:r w:rsidR="00770149" w:rsidRPr="008360FC">
        <w:t xml:space="preserve">mistake should be corrected in response to PIA Staff discovery.  </w:t>
      </w:r>
      <w:r w:rsidR="00385DD4" w:rsidRPr="008360FC">
        <w:t xml:space="preserve">It also proposed a methodology </w:t>
      </w:r>
      <w:r w:rsidR="0008131E" w:rsidRPr="008360FC">
        <w:t>to correct the remaining mistake</w:t>
      </w:r>
      <w:r w:rsidR="00385DD4" w:rsidRPr="008360FC">
        <w:t xml:space="preserve"> starting with</w:t>
      </w:r>
      <w:r w:rsidRPr="008360FC">
        <w:t xml:space="preserve"> the 2025 GRAM filing</w:t>
      </w:r>
      <w:r w:rsidR="004E5CD3" w:rsidRPr="008360FC">
        <w:t xml:space="preserve"> and other future rate case filings that require the calculation of AGL’s revenue requirement</w:t>
      </w:r>
      <w:r w:rsidRPr="008360FC">
        <w:t>.</w:t>
      </w:r>
      <w:r w:rsidR="004E5CD3" w:rsidRPr="008360FC">
        <w:t xml:space="preserve">  In response to discovery, AGL made the following statement</w:t>
      </w:r>
      <w:r w:rsidR="00385DD4" w:rsidRPr="008360FC">
        <w:t xml:space="preserve"> and proposal</w:t>
      </w:r>
      <w:r w:rsidR="004E5CD3" w:rsidRPr="008360FC">
        <w:t>.</w:t>
      </w:r>
      <w:r w:rsidR="004E5CD3" w:rsidRPr="008360FC">
        <w:rPr>
          <w:rStyle w:val="FootnoteReference"/>
          <w:vertAlign w:val="superscript"/>
        </w:rPr>
        <w:footnoteReference w:id="17"/>
      </w:r>
    </w:p>
    <w:p w14:paraId="7166328C" w14:textId="77777777" w:rsidR="00831D0C" w:rsidRPr="008360FC" w:rsidRDefault="00831D0C" w:rsidP="00831D0C">
      <w:pPr>
        <w:pStyle w:val="ListParagraph"/>
        <w:ind w:left="1440"/>
        <w:jc w:val="both"/>
        <w:rPr>
          <w:szCs w:val="24"/>
        </w:rPr>
      </w:pPr>
      <w:r w:rsidRPr="008360FC">
        <w:rPr>
          <w:szCs w:val="24"/>
        </w:rPr>
        <w:t xml:space="preserve">AGL currently does not include an operating income adjustment for ratemaking purposes for capitalized interest on ASC allocable shared assets.  In future GRAM filings, rate case proceedings, and other filings that require </w:t>
      </w:r>
      <w:r w:rsidRPr="008360FC">
        <w:rPr>
          <w:szCs w:val="24"/>
        </w:rPr>
        <w:lastRenderedPageBreak/>
        <w:t>the calculation of AGL’s revenue requirement, the Company will include a ratemaking adjustment to incorporate AGL’s portion of the capitalized interest on ASC allocable shared assets.</w:t>
      </w:r>
    </w:p>
    <w:p w14:paraId="23E6BD25" w14:textId="77777777" w:rsidR="00E15234" w:rsidRPr="008360FC" w:rsidRDefault="00E15234" w:rsidP="00831D0C">
      <w:pPr>
        <w:widowControl/>
        <w:spacing w:line="480" w:lineRule="auto"/>
        <w:ind w:left="720" w:hanging="720"/>
        <w:jc w:val="both"/>
        <w:rPr>
          <w:b/>
          <w:bCs/>
        </w:rPr>
      </w:pPr>
    </w:p>
    <w:p w14:paraId="5BE73DBF" w14:textId="443EFC08" w:rsidR="00831D0C" w:rsidRPr="008360FC" w:rsidRDefault="004E5CD3" w:rsidP="00831D0C">
      <w:pPr>
        <w:widowControl/>
        <w:spacing w:line="480" w:lineRule="auto"/>
        <w:ind w:left="720" w:hanging="720"/>
        <w:jc w:val="both"/>
        <w:rPr>
          <w:b/>
          <w:bCs/>
        </w:rPr>
      </w:pPr>
      <w:r w:rsidRPr="008360FC">
        <w:rPr>
          <w:b/>
          <w:bCs/>
        </w:rPr>
        <w:t>Q.</w:t>
      </w:r>
      <w:r w:rsidRPr="008360FC">
        <w:rPr>
          <w:b/>
          <w:bCs/>
        </w:rPr>
        <w:tab/>
      </w:r>
      <w:r w:rsidR="00385DD4" w:rsidRPr="008360FC">
        <w:rPr>
          <w:b/>
          <w:bCs/>
        </w:rPr>
        <w:t xml:space="preserve">Does </w:t>
      </w:r>
      <w:r w:rsidR="00831D0C" w:rsidRPr="008360FC">
        <w:rPr>
          <w:b/>
          <w:bCs/>
        </w:rPr>
        <w:t>the Company’s propos</w:t>
      </w:r>
      <w:r w:rsidR="00385DD4" w:rsidRPr="008360FC">
        <w:rPr>
          <w:b/>
          <w:bCs/>
        </w:rPr>
        <w:t xml:space="preserve">al fully </w:t>
      </w:r>
      <w:r w:rsidR="00770149" w:rsidRPr="008360FC">
        <w:rPr>
          <w:b/>
          <w:bCs/>
        </w:rPr>
        <w:t>correct</w:t>
      </w:r>
      <w:r w:rsidR="00385DD4" w:rsidRPr="008360FC">
        <w:rPr>
          <w:b/>
          <w:bCs/>
        </w:rPr>
        <w:t xml:space="preserve"> the </w:t>
      </w:r>
      <w:r w:rsidR="0008131E" w:rsidRPr="008360FC">
        <w:rPr>
          <w:b/>
          <w:bCs/>
        </w:rPr>
        <w:t xml:space="preserve">mistake </w:t>
      </w:r>
      <w:r w:rsidR="00385DD4" w:rsidRPr="008360FC">
        <w:rPr>
          <w:b/>
          <w:bCs/>
        </w:rPr>
        <w:t>for</w:t>
      </w:r>
      <w:r w:rsidR="00831D0C" w:rsidRPr="008360FC">
        <w:rPr>
          <w:b/>
          <w:bCs/>
        </w:rPr>
        <w:t xml:space="preserve"> ratemaking purposes?</w:t>
      </w:r>
    </w:p>
    <w:p w14:paraId="69723CDB" w14:textId="380C1476" w:rsidR="004E5CD3" w:rsidRPr="008360FC" w:rsidRDefault="004E5CD3" w:rsidP="00831D0C">
      <w:pPr>
        <w:widowControl/>
        <w:spacing w:line="480" w:lineRule="auto"/>
        <w:ind w:left="720" w:hanging="720"/>
        <w:jc w:val="both"/>
        <w:rPr>
          <w:b/>
          <w:bCs/>
        </w:rPr>
      </w:pPr>
      <w:r w:rsidRPr="008360FC">
        <w:t>A.</w:t>
      </w:r>
      <w:r w:rsidRPr="008360FC">
        <w:tab/>
      </w:r>
      <w:r w:rsidR="00385DD4" w:rsidRPr="008360FC">
        <w:t xml:space="preserve">No.  </w:t>
      </w:r>
      <w:r w:rsidR="00831D0C" w:rsidRPr="008360FC">
        <w:t xml:space="preserve">While ratemaking adjustment to incorporate the effects of the AFUDC on operating income is appropriate, the Company’s proposed fix </w:t>
      </w:r>
      <w:r w:rsidR="0008131E" w:rsidRPr="008360FC">
        <w:t>does not completely correct the issue.</w:t>
      </w:r>
      <w:r w:rsidR="00831D0C" w:rsidRPr="008360FC">
        <w:t xml:space="preserve">  The return on the CWIP assets allocated to AGL for ratemaking purposes is computed based upon AGL’s fully grossed-up rate of return</w:t>
      </w:r>
      <w:r w:rsidR="00017A91" w:rsidRPr="008360FC">
        <w:t xml:space="preserve"> applicable to 100% of the CWIP assets</w:t>
      </w:r>
      <w:r w:rsidR="00831D0C" w:rsidRPr="008360FC">
        <w:t xml:space="preserve">, not just the debt rate applicable to ASC as the response seems to indicate.  The </w:t>
      </w:r>
      <w:r w:rsidR="00017A91" w:rsidRPr="008360FC">
        <w:t xml:space="preserve">ratemaking adjustment to reflect </w:t>
      </w:r>
      <w:r w:rsidR="00432D46" w:rsidRPr="008360FC">
        <w:t xml:space="preserve">the ASC AFUDC as </w:t>
      </w:r>
      <w:r w:rsidR="00017A91" w:rsidRPr="008360FC">
        <w:t xml:space="preserve">additional </w:t>
      </w:r>
      <w:r w:rsidR="00831D0C" w:rsidRPr="008360FC">
        <w:t xml:space="preserve">operating income </w:t>
      </w:r>
      <w:r w:rsidR="00432D46" w:rsidRPr="008360FC">
        <w:t xml:space="preserve">does not fully offset the return </w:t>
      </w:r>
      <w:r w:rsidR="00017A91" w:rsidRPr="008360FC">
        <w:t xml:space="preserve">on the CWIP balances included in the revenue requirement.  </w:t>
      </w:r>
      <w:r w:rsidR="00831D0C" w:rsidRPr="008360FC">
        <w:t xml:space="preserve">   </w:t>
      </w:r>
    </w:p>
    <w:bookmarkEnd w:id="2"/>
    <w:p w14:paraId="256AB30F" w14:textId="77777777" w:rsidR="004F640E" w:rsidRPr="008360FC" w:rsidRDefault="004F640E" w:rsidP="004F640E">
      <w:pPr>
        <w:widowControl/>
        <w:tabs>
          <w:tab w:val="left" w:pos="-1440"/>
        </w:tabs>
        <w:spacing w:line="480" w:lineRule="auto"/>
        <w:ind w:left="720" w:hanging="720"/>
        <w:jc w:val="both"/>
      </w:pPr>
    </w:p>
    <w:p w14:paraId="7B9E7C1E" w14:textId="64CF7EDE" w:rsidR="008C3C29" w:rsidRPr="008360FC" w:rsidRDefault="008C3C29" w:rsidP="008C3C29">
      <w:pPr>
        <w:widowControl/>
        <w:spacing w:line="480" w:lineRule="auto"/>
        <w:ind w:left="720" w:hanging="720"/>
        <w:jc w:val="both"/>
        <w:rPr>
          <w:b/>
          <w:bCs/>
        </w:rPr>
      </w:pPr>
      <w:r w:rsidRPr="008360FC">
        <w:rPr>
          <w:b/>
          <w:bCs/>
        </w:rPr>
        <w:t>Q.</w:t>
      </w:r>
      <w:r w:rsidRPr="008360FC">
        <w:rPr>
          <w:b/>
          <w:bCs/>
        </w:rPr>
        <w:tab/>
        <w:t xml:space="preserve">What is your recommendation in regards to </w:t>
      </w:r>
      <w:r w:rsidR="00017A91" w:rsidRPr="008360FC">
        <w:rPr>
          <w:b/>
          <w:bCs/>
        </w:rPr>
        <w:t xml:space="preserve">future ratemaking adjustments to incorporate the effects of </w:t>
      </w:r>
      <w:r w:rsidRPr="008360FC">
        <w:rPr>
          <w:b/>
        </w:rPr>
        <w:t xml:space="preserve">AFUDC in </w:t>
      </w:r>
      <w:r w:rsidR="00017A91" w:rsidRPr="008360FC">
        <w:rPr>
          <w:b/>
        </w:rPr>
        <w:t xml:space="preserve">AGL’s </w:t>
      </w:r>
      <w:r w:rsidRPr="008360FC">
        <w:rPr>
          <w:b/>
        </w:rPr>
        <w:t>operating income</w:t>
      </w:r>
      <w:r w:rsidR="00017A91" w:rsidRPr="008360FC">
        <w:rPr>
          <w:b/>
        </w:rPr>
        <w:t>?</w:t>
      </w:r>
    </w:p>
    <w:p w14:paraId="1B0EBACE" w14:textId="760278E3" w:rsidR="0047449B" w:rsidRPr="008360FC" w:rsidRDefault="008C3C29" w:rsidP="008C3C29">
      <w:pPr>
        <w:widowControl/>
        <w:tabs>
          <w:tab w:val="left" w:pos="-1440"/>
        </w:tabs>
        <w:spacing w:line="480" w:lineRule="auto"/>
        <w:ind w:left="720" w:hanging="720"/>
        <w:jc w:val="both"/>
      </w:pPr>
      <w:r w:rsidRPr="008360FC">
        <w:t>A.</w:t>
      </w:r>
      <w:r w:rsidRPr="008360FC">
        <w:tab/>
        <w:t>I recommend that the Commission</w:t>
      </w:r>
      <w:r w:rsidR="00017A91" w:rsidRPr="008360FC">
        <w:t xml:space="preserve"> require AGL to include </w:t>
      </w:r>
      <w:r w:rsidR="00432D46" w:rsidRPr="008360FC">
        <w:t xml:space="preserve">AFUDC in operating income based </w:t>
      </w:r>
      <w:r w:rsidR="00017A91" w:rsidRPr="008360FC">
        <w:t xml:space="preserve">on </w:t>
      </w:r>
      <w:r w:rsidR="00432D46" w:rsidRPr="008360FC">
        <w:t xml:space="preserve">AGL’s </w:t>
      </w:r>
      <w:r w:rsidR="00017A91" w:rsidRPr="008360FC">
        <w:t xml:space="preserve">after-tax full rate of return, similar </w:t>
      </w:r>
      <w:r w:rsidR="0047449B" w:rsidRPr="008360FC">
        <w:t xml:space="preserve">to the actual AFUDC operating income adjustments </w:t>
      </w:r>
      <w:r w:rsidR="00017A91" w:rsidRPr="008360FC">
        <w:t xml:space="preserve">related to AGL-owned CWIP </w:t>
      </w:r>
      <w:r w:rsidR="0047449B" w:rsidRPr="008360FC">
        <w:t>assets</w:t>
      </w:r>
      <w:r w:rsidR="00E15234" w:rsidRPr="008360FC">
        <w:t xml:space="preserve"> in the GRAM model</w:t>
      </w:r>
      <w:r w:rsidR="00017A91" w:rsidRPr="008360FC">
        <w:t>.</w:t>
      </w:r>
      <w:r w:rsidR="00432D46" w:rsidRPr="008360FC">
        <w:t xml:space="preserve">  </w:t>
      </w:r>
      <w:r w:rsidR="00770149" w:rsidRPr="008360FC">
        <w:t xml:space="preserve">The after tax AFUDC is </w:t>
      </w:r>
      <w:r w:rsidR="00432D46" w:rsidRPr="008360FC">
        <w:t>a component of and offset to the operating income deficiency</w:t>
      </w:r>
      <w:r w:rsidR="00770149" w:rsidRPr="008360FC">
        <w:t xml:space="preserve">. When the operating income deficiency is grossed up to a revenue deficiency, the grossed up AFUDC component </w:t>
      </w:r>
      <w:r w:rsidR="00432D46" w:rsidRPr="008360FC">
        <w:t xml:space="preserve">will offset </w:t>
      </w:r>
      <w:r w:rsidR="00770149" w:rsidRPr="008360FC">
        <w:t xml:space="preserve">and reduce </w:t>
      </w:r>
      <w:r w:rsidR="00432D46" w:rsidRPr="008360FC">
        <w:t xml:space="preserve">the revenue requirement calculated on the ASC CWIP pushed down and included in AGL’s rate </w:t>
      </w:r>
      <w:r w:rsidR="00432D46" w:rsidRPr="008360FC">
        <w:lastRenderedPageBreak/>
        <w:t>base</w:t>
      </w:r>
      <w:r w:rsidR="00770149" w:rsidRPr="008360FC">
        <w:t xml:space="preserve">.  This is necessary to ensure that </w:t>
      </w:r>
      <w:r w:rsidR="00432D46" w:rsidRPr="008360FC">
        <w:t>there is no AGL net revenue requirement on ASC CWIP that already earns AFUDC on ASC’s accounting books.</w:t>
      </w:r>
      <w:r w:rsidR="00770149" w:rsidRPr="008360FC">
        <w:t xml:space="preserve">  </w:t>
      </w:r>
    </w:p>
    <w:p w14:paraId="79BB1E7E" w14:textId="1F21254A" w:rsidR="008C3C29" w:rsidRPr="008360FC" w:rsidRDefault="00017A91" w:rsidP="008C3C29">
      <w:pPr>
        <w:widowControl/>
        <w:tabs>
          <w:tab w:val="left" w:pos="-1440"/>
        </w:tabs>
        <w:spacing w:line="480" w:lineRule="auto"/>
        <w:ind w:left="720" w:hanging="720"/>
        <w:jc w:val="both"/>
      </w:pPr>
      <w:r w:rsidRPr="008360FC">
        <w:t xml:space="preserve">   </w:t>
      </w:r>
    </w:p>
    <w:p w14:paraId="7CD11A80" w14:textId="77777777" w:rsidR="00501D91" w:rsidRPr="008360FC" w:rsidRDefault="00501D91">
      <w:pPr>
        <w:spacing w:line="480" w:lineRule="auto"/>
        <w:jc w:val="both"/>
        <w:rPr>
          <w:b/>
          <w:bCs/>
        </w:rPr>
      </w:pPr>
      <w:r w:rsidRPr="008360FC">
        <w:rPr>
          <w:b/>
          <w:bCs/>
        </w:rPr>
        <w:t>Q.</w:t>
      </w:r>
      <w:r w:rsidRPr="008360FC">
        <w:rPr>
          <w:b/>
          <w:bCs/>
        </w:rPr>
        <w:tab/>
        <w:t>Does this complete your testimony?</w:t>
      </w:r>
    </w:p>
    <w:p w14:paraId="7CF29310" w14:textId="77777777" w:rsidR="00501D91" w:rsidRPr="008360FC" w:rsidRDefault="00501D91">
      <w:pPr>
        <w:pStyle w:val="BodyTextIndent"/>
        <w:sectPr w:rsidR="00501D91" w:rsidRPr="008360FC" w:rsidSect="001E6DBF">
          <w:headerReference w:type="default" r:id="rId14"/>
          <w:endnotePr>
            <w:numFmt w:val="decimal"/>
          </w:endnotePr>
          <w:type w:val="continuous"/>
          <w:pgSz w:w="12240" w:h="15840" w:code="1"/>
          <w:pgMar w:top="1080" w:right="1656" w:bottom="1260" w:left="1656" w:header="720" w:footer="0" w:gutter="0"/>
          <w:lnNumType w:countBy="1"/>
          <w:cols w:space="720"/>
          <w:noEndnote/>
          <w:docGrid w:linePitch="326"/>
        </w:sectPr>
      </w:pPr>
      <w:r w:rsidRPr="008360FC">
        <w:t>A.</w:t>
      </w:r>
      <w:r w:rsidRPr="008360FC">
        <w:tab/>
        <w:t>Yes.</w:t>
      </w:r>
    </w:p>
    <w:p w14:paraId="5C99F279" w14:textId="77777777" w:rsidR="006E654E" w:rsidRPr="008360FC" w:rsidRDefault="006E654E" w:rsidP="006E654E">
      <w:pPr>
        <w:widowControl/>
        <w:tabs>
          <w:tab w:val="center" w:pos="4464"/>
        </w:tabs>
        <w:jc w:val="center"/>
        <w:rPr>
          <w:b/>
        </w:rPr>
      </w:pPr>
      <w:r w:rsidRPr="008360FC">
        <w:rPr>
          <w:b/>
        </w:rPr>
        <w:lastRenderedPageBreak/>
        <w:t>BEFORE THE</w:t>
      </w:r>
    </w:p>
    <w:p w14:paraId="18F7F0AA" w14:textId="77777777" w:rsidR="006E654E" w:rsidRPr="008360FC" w:rsidRDefault="006E654E" w:rsidP="006E654E">
      <w:pPr>
        <w:widowControl/>
        <w:tabs>
          <w:tab w:val="center" w:pos="4464"/>
        </w:tabs>
        <w:jc w:val="center"/>
        <w:rPr>
          <w:b/>
        </w:rPr>
      </w:pPr>
    </w:p>
    <w:p w14:paraId="7AD86207" w14:textId="77777777" w:rsidR="006E654E" w:rsidRPr="008360FC" w:rsidRDefault="006E654E" w:rsidP="006E654E">
      <w:pPr>
        <w:widowControl/>
        <w:tabs>
          <w:tab w:val="center" w:pos="4464"/>
        </w:tabs>
        <w:jc w:val="center"/>
        <w:rPr>
          <w:b/>
        </w:rPr>
      </w:pPr>
      <w:r w:rsidRPr="008360FC">
        <w:rPr>
          <w:b/>
        </w:rPr>
        <w:t>GEORGIA PUBLIC SERVICE COMMISSION</w:t>
      </w:r>
    </w:p>
    <w:p w14:paraId="5A359031" w14:textId="77777777" w:rsidR="006E654E" w:rsidRPr="008360FC" w:rsidRDefault="006E654E" w:rsidP="006E654E">
      <w:pPr>
        <w:widowControl/>
        <w:jc w:val="center"/>
        <w:rPr>
          <w:b/>
        </w:rPr>
      </w:pPr>
    </w:p>
    <w:p w14:paraId="53E985FC" w14:textId="77777777" w:rsidR="006E654E" w:rsidRPr="008360FC" w:rsidRDefault="006E654E" w:rsidP="006E654E">
      <w:pPr>
        <w:widowControl/>
        <w:tabs>
          <w:tab w:val="left" w:pos="1440"/>
          <w:tab w:val="left" w:pos="4770"/>
        </w:tabs>
        <w:ind w:left="1530" w:hanging="1080"/>
        <w:rPr>
          <w:b/>
        </w:rPr>
      </w:pPr>
    </w:p>
    <w:p w14:paraId="40C5FAC0" w14:textId="77777777" w:rsidR="006E654E" w:rsidRPr="008360FC" w:rsidRDefault="006E654E" w:rsidP="006E654E">
      <w:pPr>
        <w:widowControl/>
        <w:tabs>
          <w:tab w:val="left" w:pos="1440"/>
          <w:tab w:val="left" w:pos="4770"/>
        </w:tabs>
        <w:ind w:left="1530" w:hanging="1080"/>
        <w:rPr>
          <w:b/>
        </w:rPr>
      </w:pPr>
    </w:p>
    <w:p w14:paraId="70FD49BC" w14:textId="77777777" w:rsidR="00493EFE" w:rsidRPr="008360FC" w:rsidRDefault="00493EFE" w:rsidP="00493EFE">
      <w:pPr>
        <w:widowControl/>
        <w:tabs>
          <w:tab w:val="left" w:pos="1440"/>
          <w:tab w:val="left" w:pos="4770"/>
          <w:tab w:val="left" w:pos="5760"/>
        </w:tabs>
        <w:ind w:left="1440" w:hanging="990"/>
        <w:rPr>
          <w:b/>
        </w:rPr>
      </w:pPr>
      <w:r w:rsidRPr="008360FC">
        <w:rPr>
          <w:b/>
        </w:rPr>
        <w:t>IN RE:</w:t>
      </w:r>
      <w:r w:rsidRPr="008360FC">
        <w:rPr>
          <w:b/>
        </w:rPr>
        <w:tab/>
      </w:r>
      <w:r w:rsidRPr="008360FC">
        <w:rPr>
          <w:b/>
          <w:szCs w:val="24"/>
        </w:rPr>
        <w:t xml:space="preserve">ATLANTA GAS LIGHT COMPANY’S </w:t>
      </w:r>
      <w:r w:rsidRPr="008360FC">
        <w:rPr>
          <w:b/>
          <w:szCs w:val="24"/>
        </w:rPr>
        <w:tab/>
        <w:t>)</w:t>
      </w:r>
      <w:r w:rsidRPr="008360FC">
        <w:rPr>
          <w:b/>
          <w:szCs w:val="24"/>
        </w:rPr>
        <w:br/>
        <w:t xml:space="preserve">INTEGRATED CAPACITY AND </w:t>
      </w:r>
      <w:r w:rsidRPr="008360FC">
        <w:rPr>
          <w:b/>
          <w:szCs w:val="24"/>
        </w:rPr>
        <w:tab/>
        <w:t xml:space="preserve">)      </w:t>
      </w:r>
      <w:r w:rsidRPr="008360FC">
        <w:rPr>
          <w:b/>
        </w:rPr>
        <w:t>DOCKET NO. 43820</w:t>
      </w:r>
      <w:r w:rsidRPr="008360FC">
        <w:rPr>
          <w:b/>
          <w:szCs w:val="24"/>
        </w:rPr>
        <w:br/>
        <w:t>DELIVERY PLAN (</w:t>
      </w:r>
      <w:proofErr w:type="spellStart"/>
      <w:r w:rsidRPr="008360FC">
        <w:rPr>
          <w:b/>
          <w:szCs w:val="24"/>
        </w:rPr>
        <w:t>i</w:t>
      </w:r>
      <w:proofErr w:type="spellEnd"/>
      <w:r w:rsidRPr="008360FC">
        <w:rPr>
          <w:b/>
          <w:szCs w:val="24"/>
        </w:rPr>
        <w:t>-CDP)</w:t>
      </w:r>
      <w:r w:rsidRPr="008360FC">
        <w:rPr>
          <w:b/>
        </w:rPr>
        <w:tab/>
      </w:r>
      <w:r w:rsidRPr="008360FC">
        <w:rPr>
          <w:b/>
        </w:rPr>
        <w:tab/>
        <w:t>)</w:t>
      </w:r>
    </w:p>
    <w:p w14:paraId="681274C8" w14:textId="77777777" w:rsidR="00A317EA" w:rsidRPr="008360FC" w:rsidRDefault="00A317EA" w:rsidP="00A317EA">
      <w:pPr>
        <w:widowControl/>
        <w:jc w:val="both"/>
      </w:pPr>
    </w:p>
    <w:p w14:paraId="40029759" w14:textId="77777777" w:rsidR="00493EFE" w:rsidRPr="008360FC" w:rsidRDefault="00493EFE" w:rsidP="00A317EA">
      <w:pPr>
        <w:widowControl/>
        <w:jc w:val="both"/>
      </w:pPr>
    </w:p>
    <w:p w14:paraId="271706FB" w14:textId="77777777" w:rsidR="00A317EA" w:rsidRPr="008360FC" w:rsidRDefault="00A317EA" w:rsidP="00A317EA">
      <w:pPr>
        <w:widowControl/>
        <w:jc w:val="both"/>
      </w:pPr>
    </w:p>
    <w:p w14:paraId="66AD3E41" w14:textId="77777777" w:rsidR="00493EFE" w:rsidRPr="008360FC" w:rsidRDefault="00493EFE" w:rsidP="00A317EA">
      <w:pPr>
        <w:widowControl/>
        <w:jc w:val="both"/>
      </w:pPr>
    </w:p>
    <w:p w14:paraId="39739B5C" w14:textId="77777777" w:rsidR="00A317EA" w:rsidRPr="008360FC" w:rsidRDefault="00A317EA" w:rsidP="00A317EA">
      <w:pPr>
        <w:widowControl/>
        <w:jc w:val="both"/>
      </w:pPr>
    </w:p>
    <w:tbl>
      <w:tblPr>
        <w:tblW w:w="0" w:type="auto"/>
        <w:jc w:val="center"/>
        <w:tblLayout w:type="fixed"/>
        <w:tblCellMar>
          <w:left w:w="177" w:type="dxa"/>
          <w:right w:w="177" w:type="dxa"/>
        </w:tblCellMar>
        <w:tblLook w:val="0000" w:firstRow="0" w:lastRow="0" w:firstColumn="0" w:lastColumn="0" w:noHBand="0" w:noVBand="0"/>
      </w:tblPr>
      <w:tblGrid>
        <w:gridCol w:w="4752"/>
      </w:tblGrid>
      <w:tr w:rsidR="00A317EA" w14:paraId="0D313547" w14:textId="77777777">
        <w:trPr>
          <w:jc w:val="center"/>
        </w:trPr>
        <w:tc>
          <w:tcPr>
            <w:tcW w:w="4752" w:type="dxa"/>
            <w:tcBorders>
              <w:top w:val="double" w:sz="7" w:space="0" w:color="000000"/>
              <w:left w:val="double" w:sz="7" w:space="0" w:color="000000"/>
              <w:bottom w:val="double" w:sz="7" w:space="0" w:color="000000"/>
              <w:right w:val="double" w:sz="7" w:space="0" w:color="000000"/>
            </w:tcBorders>
          </w:tcPr>
          <w:p w14:paraId="231BD989" w14:textId="77777777" w:rsidR="00A317EA" w:rsidRPr="008360FC" w:rsidRDefault="00A317EA" w:rsidP="00CD2C6B">
            <w:pPr>
              <w:spacing w:line="201" w:lineRule="exact"/>
            </w:pPr>
          </w:p>
          <w:p w14:paraId="7E7530B0" w14:textId="77777777" w:rsidR="00A317EA" w:rsidRPr="008360FC" w:rsidRDefault="00A317EA" w:rsidP="00CD2C6B">
            <w:pPr>
              <w:widowControl/>
              <w:tabs>
                <w:tab w:val="center" w:pos="2199"/>
              </w:tabs>
            </w:pPr>
            <w:r w:rsidRPr="008360FC">
              <w:tab/>
            </w:r>
          </w:p>
          <w:p w14:paraId="70D9BA8F" w14:textId="77777777" w:rsidR="00A317EA" w:rsidRPr="008360FC" w:rsidRDefault="00A317EA" w:rsidP="00CD2C6B">
            <w:pPr>
              <w:widowControl/>
              <w:tabs>
                <w:tab w:val="center" w:pos="2199"/>
              </w:tabs>
              <w:rPr>
                <w:b/>
              </w:rPr>
            </w:pPr>
            <w:r w:rsidRPr="008360FC">
              <w:rPr>
                <w:b/>
              </w:rPr>
              <w:tab/>
            </w:r>
          </w:p>
          <w:p w14:paraId="6BD6EC12" w14:textId="2B223928" w:rsidR="00A317EA" w:rsidRPr="008360FC" w:rsidRDefault="00A317EA" w:rsidP="00511C33">
            <w:pPr>
              <w:widowControl/>
              <w:tabs>
                <w:tab w:val="center" w:pos="2199"/>
              </w:tabs>
              <w:jc w:val="center"/>
              <w:rPr>
                <w:b/>
              </w:rPr>
            </w:pPr>
            <w:r w:rsidRPr="008360FC">
              <w:rPr>
                <w:b/>
              </w:rPr>
              <w:t>EXHIBITS</w:t>
            </w:r>
          </w:p>
          <w:p w14:paraId="2F2B4C93" w14:textId="77777777" w:rsidR="00A317EA" w:rsidRPr="008360FC" w:rsidRDefault="00A317EA" w:rsidP="00511C33">
            <w:pPr>
              <w:widowControl/>
              <w:jc w:val="center"/>
              <w:rPr>
                <w:b/>
              </w:rPr>
            </w:pPr>
          </w:p>
          <w:p w14:paraId="2B257BBF" w14:textId="5AF770BF" w:rsidR="00A317EA" w:rsidRPr="008360FC" w:rsidRDefault="00A317EA" w:rsidP="00511C33">
            <w:pPr>
              <w:widowControl/>
              <w:tabs>
                <w:tab w:val="center" w:pos="2199"/>
              </w:tabs>
              <w:jc w:val="center"/>
              <w:rPr>
                <w:b/>
              </w:rPr>
            </w:pPr>
            <w:r w:rsidRPr="008360FC">
              <w:rPr>
                <w:b/>
              </w:rPr>
              <w:t>OF</w:t>
            </w:r>
          </w:p>
          <w:p w14:paraId="580907C8" w14:textId="61AD3896" w:rsidR="00A317EA" w:rsidRPr="008360FC" w:rsidRDefault="00A317EA" w:rsidP="00511C33">
            <w:pPr>
              <w:widowControl/>
              <w:tabs>
                <w:tab w:val="center" w:pos="2199"/>
              </w:tabs>
              <w:jc w:val="center"/>
              <w:rPr>
                <w:b/>
              </w:rPr>
            </w:pPr>
          </w:p>
          <w:p w14:paraId="613436AB" w14:textId="649258C0" w:rsidR="00511C33" w:rsidRDefault="00294EA8" w:rsidP="00511C33">
            <w:pPr>
              <w:widowControl/>
              <w:tabs>
                <w:tab w:val="center" w:pos="2199"/>
              </w:tabs>
              <w:jc w:val="center"/>
              <w:rPr>
                <w:b/>
              </w:rPr>
            </w:pPr>
            <w:r w:rsidRPr="008360FC">
              <w:rPr>
                <w:b/>
              </w:rPr>
              <w:t xml:space="preserve">RANDY </w:t>
            </w:r>
            <w:r w:rsidR="00BE2BC0" w:rsidRPr="008360FC">
              <w:rPr>
                <w:b/>
              </w:rPr>
              <w:t xml:space="preserve">A. </w:t>
            </w:r>
            <w:r w:rsidRPr="008360FC">
              <w:rPr>
                <w:b/>
              </w:rPr>
              <w:t>FUTRAL</w:t>
            </w:r>
          </w:p>
          <w:p w14:paraId="57E4D9C1" w14:textId="4FAD4769" w:rsidR="00A317EA" w:rsidRDefault="00A317EA" w:rsidP="00CD2C6B">
            <w:pPr>
              <w:widowControl/>
            </w:pPr>
          </w:p>
          <w:p w14:paraId="0182ACF0" w14:textId="77777777" w:rsidR="00A317EA" w:rsidRDefault="00A317EA" w:rsidP="00CD2C6B">
            <w:pPr>
              <w:widowControl/>
              <w:spacing w:after="58"/>
            </w:pPr>
          </w:p>
        </w:tc>
      </w:tr>
    </w:tbl>
    <w:p w14:paraId="33D5A037" w14:textId="434EB5F9" w:rsidR="00A317EA" w:rsidRDefault="00A317EA" w:rsidP="00A317EA">
      <w:pPr>
        <w:widowControl/>
        <w:jc w:val="both"/>
      </w:pPr>
    </w:p>
    <w:p w14:paraId="5950209B" w14:textId="77777777" w:rsidR="00A317EA" w:rsidRDefault="00A317EA" w:rsidP="00A317EA">
      <w:pPr>
        <w:widowControl/>
        <w:jc w:val="both"/>
      </w:pPr>
    </w:p>
    <w:p w14:paraId="71FFD0A8" w14:textId="77777777" w:rsidR="00A317EA" w:rsidRDefault="00A317EA" w:rsidP="00A317EA">
      <w:pPr>
        <w:widowControl/>
        <w:tabs>
          <w:tab w:val="center" w:pos="4464"/>
        </w:tabs>
        <w:jc w:val="both"/>
        <w:rPr>
          <w:b/>
        </w:rPr>
      </w:pPr>
      <w:r>
        <w:rPr>
          <w:b/>
        </w:rPr>
        <w:tab/>
      </w:r>
    </w:p>
    <w:p w14:paraId="7DF4A63A" w14:textId="77777777" w:rsidR="00A317EA" w:rsidRDefault="00A317EA" w:rsidP="00A317EA">
      <w:pPr>
        <w:widowControl/>
        <w:tabs>
          <w:tab w:val="center" w:pos="4464"/>
        </w:tabs>
        <w:jc w:val="center"/>
        <w:rPr>
          <w:b/>
        </w:rPr>
      </w:pPr>
    </w:p>
    <w:p w14:paraId="2D9A002C" w14:textId="7B9ADE3E" w:rsidR="00A317EA" w:rsidRDefault="00A317EA" w:rsidP="00A317EA">
      <w:pPr>
        <w:widowControl/>
        <w:tabs>
          <w:tab w:val="center" w:pos="4464"/>
        </w:tabs>
        <w:jc w:val="center"/>
        <w:rPr>
          <w:b/>
        </w:rPr>
      </w:pPr>
      <w:r>
        <w:rPr>
          <w:b/>
        </w:rPr>
        <w:t>ON BEHALF OF</w:t>
      </w:r>
      <w:r w:rsidR="00511C33">
        <w:rPr>
          <w:b/>
        </w:rPr>
        <w:t xml:space="preserve"> THE</w:t>
      </w:r>
    </w:p>
    <w:p w14:paraId="080570A1" w14:textId="77777777" w:rsidR="00A317EA" w:rsidRDefault="00A317EA" w:rsidP="00A317EA">
      <w:pPr>
        <w:widowControl/>
        <w:jc w:val="center"/>
        <w:rPr>
          <w:b/>
        </w:rPr>
      </w:pPr>
    </w:p>
    <w:p w14:paraId="7F4CF8AA" w14:textId="52C2E0B2" w:rsidR="00511C33" w:rsidRDefault="00511C33" w:rsidP="00511C33">
      <w:pPr>
        <w:widowControl/>
        <w:jc w:val="center"/>
        <w:rPr>
          <w:b/>
        </w:rPr>
      </w:pPr>
      <w:r>
        <w:rPr>
          <w:b/>
        </w:rPr>
        <w:t xml:space="preserve">PUBLIC INTEREST </w:t>
      </w:r>
      <w:r w:rsidR="00AE314E">
        <w:rPr>
          <w:b/>
        </w:rPr>
        <w:t xml:space="preserve">ADVOCACY </w:t>
      </w:r>
      <w:r>
        <w:rPr>
          <w:b/>
        </w:rPr>
        <w:t>STAFF</w:t>
      </w:r>
    </w:p>
    <w:p w14:paraId="3F59497A" w14:textId="77777777" w:rsidR="00A317EA" w:rsidRDefault="00A317EA" w:rsidP="00A317EA">
      <w:pPr>
        <w:widowControl/>
        <w:jc w:val="center"/>
      </w:pPr>
    </w:p>
    <w:p w14:paraId="5F64AB0E" w14:textId="77777777" w:rsidR="00A317EA" w:rsidRDefault="00A317EA" w:rsidP="00A317EA">
      <w:pPr>
        <w:widowControl/>
        <w:jc w:val="center"/>
      </w:pPr>
    </w:p>
    <w:p w14:paraId="34031AD8" w14:textId="77777777" w:rsidR="00A317EA" w:rsidRDefault="00A317EA" w:rsidP="00A317EA">
      <w:pPr>
        <w:widowControl/>
        <w:jc w:val="center"/>
      </w:pPr>
    </w:p>
    <w:p w14:paraId="76299360" w14:textId="481FA7B4" w:rsidR="00A317EA" w:rsidRDefault="00AE314E" w:rsidP="00A317EA">
      <w:pPr>
        <w:widowControl/>
        <w:jc w:val="center"/>
      </w:pPr>
      <w:r>
        <w:t xml:space="preserve"> </w:t>
      </w:r>
      <w:r>
        <w:tab/>
      </w:r>
    </w:p>
    <w:p w14:paraId="3407D1F2" w14:textId="77777777" w:rsidR="00976E47" w:rsidRDefault="00976E47" w:rsidP="00976E47">
      <w:pPr>
        <w:widowControl/>
        <w:tabs>
          <w:tab w:val="center" w:pos="4464"/>
        </w:tabs>
        <w:jc w:val="center"/>
        <w:rPr>
          <w:b/>
        </w:rPr>
      </w:pPr>
      <w:r>
        <w:rPr>
          <w:b/>
        </w:rPr>
        <w:t>J. Kennedy and Associates, Inc.</w:t>
      </w:r>
    </w:p>
    <w:p w14:paraId="2B0E055C" w14:textId="77777777" w:rsidR="00976E47" w:rsidRDefault="00976E47" w:rsidP="00976E47">
      <w:pPr>
        <w:widowControl/>
        <w:tabs>
          <w:tab w:val="center" w:pos="4464"/>
        </w:tabs>
        <w:jc w:val="center"/>
        <w:rPr>
          <w:b/>
        </w:rPr>
      </w:pPr>
      <w:r>
        <w:rPr>
          <w:b/>
        </w:rPr>
        <w:t>570 Colonial Park Drive, Suite 305</w:t>
      </w:r>
    </w:p>
    <w:p w14:paraId="53F06918" w14:textId="77777777" w:rsidR="00F82B7C" w:rsidRDefault="00976E47" w:rsidP="00976E47">
      <w:pPr>
        <w:widowControl/>
        <w:jc w:val="center"/>
        <w:rPr>
          <w:b/>
        </w:rPr>
      </w:pPr>
      <w:r>
        <w:rPr>
          <w:b/>
        </w:rPr>
        <w:t>Roswell, GA 30075</w:t>
      </w:r>
    </w:p>
    <w:p w14:paraId="48FCB348" w14:textId="77777777" w:rsidR="00976E47" w:rsidRDefault="00976E47" w:rsidP="00976E47">
      <w:pPr>
        <w:widowControl/>
        <w:jc w:val="center"/>
      </w:pPr>
    </w:p>
    <w:p w14:paraId="60822AB2" w14:textId="77777777" w:rsidR="00A317EA" w:rsidRDefault="00A317EA" w:rsidP="00F82B7C">
      <w:pPr>
        <w:widowControl/>
        <w:tabs>
          <w:tab w:val="center" w:pos="4464"/>
        </w:tabs>
        <w:jc w:val="center"/>
        <w:rPr>
          <w:b/>
        </w:rPr>
      </w:pPr>
    </w:p>
    <w:p w14:paraId="088467D8" w14:textId="77777777" w:rsidR="00493EFE" w:rsidRDefault="00493EFE" w:rsidP="00F82B7C">
      <w:pPr>
        <w:widowControl/>
        <w:tabs>
          <w:tab w:val="center" w:pos="4464"/>
        </w:tabs>
        <w:jc w:val="center"/>
        <w:rPr>
          <w:b/>
        </w:rPr>
      </w:pPr>
    </w:p>
    <w:p w14:paraId="5A907EBE" w14:textId="77777777" w:rsidR="00493EFE" w:rsidRDefault="00493EFE" w:rsidP="00F82B7C">
      <w:pPr>
        <w:widowControl/>
        <w:tabs>
          <w:tab w:val="center" w:pos="4464"/>
        </w:tabs>
        <w:jc w:val="center"/>
        <w:rPr>
          <w:b/>
        </w:rPr>
      </w:pPr>
    </w:p>
    <w:p w14:paraId="745B1E7B" w14:textId="77777777" w:rsidR="00493EFE" w:rsidRDefault="00493EFE" w:rsidP="00F82B7C">
      <w:pPr>
        <w:widowControl/>
        <w:tabs>
          <w:tab w:val="center" w:pos="4464"/>
        </w:tabs>
        <w:jc w:val="center"/>
        <w:rPr>
          <w:b/>
        </w:rPr>
      </w:pPr>
    </w:p>
    <w:p w14:paraId="3CF45554" w14:textId="77777777" w:rsidR="006E654E" w:rsidRDefault="006E654E" w:rsidP="00A317EA">
      <w:pPr>
        <w:widowControl/>
        <w:tabs>
          <w:tab w:val="center" w:pos="4464"/>
        </w:tabs>
        <w:jc w:val="center"/>
        <w:rPr>
          <w:b/>
        </w:rPr>
      </w:pPr>
    </w:p>
    <w:p w14:paraId="7CACD46A" w14:textId="490E86F1" w:rsidR="00501D91" w:rsidRDefault="00493EFE" w:rsidP="00A317EA">
      <w:pPr>
        <w:widowControl/>
        <w:tabs>
          <w:tab w:val="center" w:pos="4464"/>
        </w:tabs>
        <w:jc w:val="center"/>
        <w:rPr>
          <w:b/>
        </w:rPr>
      </w:pPr>
      <w:r>
        <w:rPr>
          <w:b/>
        </w:rPr>
        <w:t xml:space="preserve">May </w:t>
      </w:r>
      <w:r w:rsidR="00BE2BC0">
        <w:rPr>
          <w:b/>
        </w:rPr>
        <w:t>14</w:t>
      </w:r>
      <w:r>
        <w:rPr>
          <w:b/>
        </w:rPr>
        <w:t>, 2024</w:t>
      </w:r>
    </w:p>
    <w:p w14:paraId="0D5DD9FA" w14:textId="77777777" w:rsidR="00501D91" w:rsidRDefault="00501D91">
      <w:pPr>
        <w:pStyle w:val="BodyTextIndent"/>
        <w:ind w:left="0" w:firstLine="0"/>
      </w:pPr>
    </w:p>
    <w:sectPr w:rsidR="00501D91">
      <w:endnotePr>
        <w:numFmt w:val="decimal"/>
      </w:endnotePr>
      <w:pgSz w:w="12240" w:h="15840" w:code="1"/>
      <w:pgMar w:top="1080" w:right="1656" w:bottom="1080" w:left="1656" w:header="720" w:footer="72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D5494C" w15:done="0"/>
  <w15:commentEx w15:paraId="38CDB05D" w15:done="0"/>
  <w15:commentEx w15:paraId="10BD7E69" w15:paraIdParent="38CDB05D" w15:done="0"/>
  <w15:commentEx w15:paraId="7CB17EA6" w15:paraIdParent="38CDB05D" w15:done="0"/>
  <w15:commentEx w15:paraId="6033D984" w15:done="0"/>
  <w15:commentEx w15:paraId="3E6FE7BD" w15:paraIdParent="6033D984" w15:done="0"/>
  <w15:commentEx w15:paraId="0AF32358" w15:done="0"/>
  <w15:commentEx w15:paraId="12162C57" w15:paraIdParent="0AF323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EF8B01" w16cex:dateUtc="2024-05-03T14:41:00Z"/>
  <w16cex:commentExtensible w16cex:durableId="53DEC423" w16cex:dateUtc="2024-05-02T13:18:00Z"/>
  <w16cex:commentExtensible w16cex:durableId="6508471E" w16cex:dateUtc="2024-05-08T16:03:00Z"/>
  <w16cex:commentExtensible w16cex:durableId="770578F0" w16cex:dateUtc="2024-05-08T16:59:00Z"/>
  <w16cex:commentExtensible w16cex:durableId="1DC58E00" w16cex:dateUtc="2024-05-03T18:04:00Z"/>
  <w16cex:commentExtensible w16cex:durableId="59B44CA4" w16cex:dateUtc="2024-05-08T16:06:00Z">
    <w16cex:extLst>
      <w16:ext w16:uri="{CE6994B0-6A32-4C9F-8C6B-6E91EDA988CE}">
        <cr:reactions xmlns:cr="http://schemas.microsoft.com/office/comments/2020/reactions">
          <cr:reaction reactionType="1">
            <cr:reactionInfo dateUtc="2024-05-08T16:12:51Z">
              <cr:user userId="S::gdavis@psc.ga.gov::12deb2cb-0b1a-489c-942a-567edf057948" userProvider="AD" userName="Ginny Davis"/>
            </cr:reactionInfo>
          </cr:reaction>
        </cr:reactions>
      </w16:ext>
    </w16cex:extLst>
  </w16cex:commentExtensible>
  <w16cex:commentExtensible w16cex:durableId="20FC043A" w16cex:dateUtc="2024-05-03T17:54:00Z"/>
  <w16cex:commentExtensible w16cex:durableId="2A9CF562" w16cex:dateUtc="2024-05-08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D5494C" w16cid:durableId="18EF8B01"/>
  <w16cid:commentId w16cid:paraId="38CDB05D" w16cid:durableId="53DEC423"/>
  <w16cid:commentId w16cid:paraId="10BD7E69" w16cid:durableId="6508471E"/>
  <w16cid:commentId w16cid:paraId="7CB17EA6" w16cid:durableId="770578F0"/>
  <w16cid:commentId w16cid:paraId="6033D984" w16cid:durableId="1DC58E00"/>
  <w16cid:commentId w16cid:paraId="3E6FE7BD" w16cid:durableId="59B44CA4"/>
  <w16cid:commentId w16cid:paraId="0AF32358" w16cid:durableId="20FC043A"/>
  <w16cid:commentId w16cid:paraId="12162C57" w16cid:durableId="2A9CF5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C1E38" w14:textId="77777777" w:rsidR="001E6DBF" w:rsidRDefault="001E6DBF">
      <w:r>
        <w:separator/>
      </w:r>
    </w:p>
  </w:endnote>
  <w:endnote w:type="continuationSeparator" w:id="0">
    <w:p w14:paraId="66040467" w14:textId="77777777" w:rsidR="001E6DBF" w:rsidRDefault="001E6DBF">
      <w:r>
        <w:continuationSeparator/>
      </w:r>
    </w:p>
  </w:endnote>
  <w:endnote w:type="continuationNotice" w:id="1">
    <w:p w14:paraId="3525C971" w14:textId="77777777" w:rsidR="001E6DBF" w:rsidRDefault="001E6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39672"/>
      <w:docPartObj>
        <w:docPartGallery w:val="Page Numbers (Bottom of Page)"/>
        <w:docPartUnique/>
      </w:docPartObj>
    </w:sdtPr>
    <w:sdtEndPr>
      <w:rPr>
        <w:noProof/>
      </w:rPr>
    </w:sdtEndPr>
    <w:sdtContent>
      <w:p w14:paraId="2E70D219" w14:textId="51788242" w:rsidR="00485ED4" w:rsidRDefault="00485ED4">
        <w:pPr>
          <w:pStyle w:val="Footer"/>
          <w:jc w:val="center"/>
        </w:pPr>
        <w:r>
          <w:fldChar w:fldCharType="begin"/>
        </w:r>
        <w:r>
          <w:instrText xml:space="preserve"> PAGE   \* MERGEFORMAT </w:instrText>
        </w:r>
        <w:r>
          <w:fldChar w:fldCharType="separate"/>
        </w:r>
        <w:r w:rsidR="00454AF8">
          <w:rPr>
            <w:noProof/>
          </w:rPr>
          <w:t>1</w:t>
        </w:r>
        <w:r>
          <w:rPr>
            <w:noProof/>
          </w:rPr>
          <w:fldChar w:fldCharType="end"/>
        </w:r>
      </w:p>
    </w:sdtContent>
  </w:sdt>
  <w:p w14:paraId="48230646" w14:textId="7C7EFB04" w:rsidR="00183A60" w:rsidRDefault="00183A60">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548B5" w14:textId="77777777" w:rsidR="001E6DBF" w:rsidRDefault="001E6DBF">
      <w:r>
        <w:separator/>
      </w:r>
    </w:p>
  </w:footnote>
  <w:footnote w:type="continuationSeparator" w:id="0">
    <w:p w14:paraId="46878430" w14:textId="77777777" w:rsidR="001E6DBF" w:rsidRDefault="001E6DBF">
      <w:r>
        <w:continuationSeparator/>
      </w:r>
    </w:p>
  </w:footnote>
  <w:footnote w:type="continuationNotice" w:id="1">
    <w:p w14:paraId="566B7AFA" w14:textId="77777777" w:rsidR="001E6DBF" w:rsidRDefault="001E6DBF"/>
  </w:footnote>
  <w:footnote w:id="2">
    <w:p w14:paraId="7B3A1DD0" w14:textId="5000BAD3" w:rsidR="00427DCA" w:rsidRPr="009D0E50" w:rsidRDefault="00427DCA" w:rsidP="00427DCA">
      <w:pPr>
        <w:widowControl/>
        <w:ind w:firstLine="720"/>
        <w:jc w:val="both"/>
        <w:rPr>
          <w:sz w:val="20"/>
        </w:rPr>
      </w:pPr>
      <w:r w:rsidRPr="009D0E50">
        <w:rPr>
          <w:rStyle w:val="FootnoteReference"/>
          <w:sz w:val="20"/>
          <w:vertAlign w:val="superscript"/>
        </w:rPr>
        <w:footnoteRef/>
      </w:r>
      <w:r w:rsidRPr="009D0E50">
        <w:rPr>
          <w:sz w:val="20"/>
        </w:rPr>
        <w:t xml:space="preserve"> </w:t>
      </w:r>
      <w:r>
        <w:rPr>
          <w:sz w:val="20"/>
        </w:rPr>
        <w:t>M</w:t>
      </w:r>
      <w:r w:rsidR="006B0BC3">
        <w:rPr>
          <w:sz w:val="20"/>
        </w:rPr>
        <w:t>y</w:t>
      </w:r>
      <w:r w:rsidR="00340EAB">
        <w:rPr>
          <w:sz w:val="20"/>
        </w:rPr>
        <w:t xml:space="preserve"> </w:t>
      </w:r>
      <w:r w:rsidRPr="009D0E50">
        <w:rPr>
          <w:sz w:val="20"/>
        </w:rPr>
        <w:t xml:space="preserve">qualifications and regulatory appearances are further detailed in </w:t>
      </w:r>
      <w:r>
        <w:rPr>
          <w:sz w:val="20"/>
        </w:rPr>
        <w:t xml:space="preserve">PIA Staff </w:t>
      </w:r>
      <w:r w:rsidRPr="009D0E50">
        <w:rPr>
          <w:sz w:val="20"/>
        </w:rPr>
        <w:t>Exhibit___(</w:t>
      </w:r>
      <w:r w:rsidR="00195761">
        <w:rPr>
          <w:sz w:val="20"/>
        </w:rPr>
        <w:t>RAF-1</w:t>
      </w:r>
      <w:r w:rsidRPr="009D0E50">
        <w:rPr>
          <w:sz w:val="20"/>
        </w:rPr>
        <w:t>).</w:t>
      </w:r>
    </w:p>
    <w:p w14:paraId="7F96A061" w14:textId="77777777" w:rsidR="00427DCA" w:rsidRPr="009D0E50" w:rsidRDefault="00427DCA" w:rsidP="00427DCA">
      <w:pPr>
        <w:pStyle w:val="FootnoteText"/>
        <w:jc w:val="both"/>
      </w:pPr>
    </w:p>
  </w:footnote>
  <w:footnote w:id="3">
    <w:p w14:paraId="48200673" w14:textId="3F6C71B7" w:rsidR="00A4399B" w:rsidRPr="006422A7" w:rsidRDefault="00820661" w:rsidP="001E0ADC">
      <w:pPr>
        <w:pStyle w:val="FootnoteText"/>
        <w:jc w:val="both"/>
      </w:pPr>
      <w:r>
        <w:tab/>
      </w:r>
      <w:r w:rsidR="00A4399B" w:rsidRPr="006422A7">
        <w:rPr>
          <w:rStyle w:val="FootnoteReference"/>
          <w:vertAlign w:val="superscript"/>
        </w:rPr>
        <w:footnoteRef/>
      </w:r>
      <w:r w:rsidR="00A4399B" w:rsidRPr="006422A7">
        <w:t xml:space="preserve"> The </w:t>
      </w:r>
      <w:r w:rsidR="006422A7" w:rsidRPr="006422A7">
        <w:t xml:space="preserve">2024 Affiliate </w:t>
      </w:r>
      <w:r w:rsidR="00A4399B" w:rsidRPr="006422A7">
        <w:t xml:space="preserve">Audit Report is attached as </w:t>
      </w:r>
      <w:r w:rsidR="006B0BC3">
        <w:t xml:space="preserve">PIA Staff </w:t>
      </w:r>
      <w:r w:rsidR="006B0BC3" w:rsidRPr="009D0E50">
        <w:t>Exhibit___(</w:t>
      </w:r>
      <w:r w:rsidR="006B0BC3">
        <w:t>RAF-2</w:t>
      </w:r>
      <w:r w:rsidR="006B0BC3" w:rsidRPr="009D0E50">
        <w:t>).</w:t>
      </w:r>
      <w:r>
        <w:t xml:space="preserve">  Lane Kollen and I participated in the 2024 Affiliate Audit of AGL and authored this Audit Report.  Mr. Kollen is the President of Kennedy and Associates.</w:t>
      </w:r>
    </w:p>
  </w:footnote>
  <w:footnote w:id="4">
    <w:p w14:paraId="234E098D" w14:textId="5BCBDEE7" w:rsidR="00466295" w:rsidRPr="006422A7" w:rsidRDefault="001E0ADC" w:rsidP="001E0ADC">
      <w:pPr>
        <w:pStyle w:val="FootnoteText"/>
      </w:pPr>
      <w:r>
        <w:tab/>
      </w:r>
      <w:r w:rsidR="00466295" w:rsidRPr="006422A7">
        <w:rPr>
          <w:rStyle w:val="FootnoteReference"/>
          <w:vertAlign w:val="superscript"/>
        </w:rPr>
        <w:footnoteRef/>
      </w:r>
      <w:r w:rsidR="00466295" w:rsidRPr="006422A7">
        <w:t xml:space="preserve"> The 2019 Affiliate Audit Report was </w:t>
      </w:r>
      <w:r w:rsidR="00466295" w:rsidRPr="006F6884">
        <w:t xml:space="preserve">filed </w:t>
      </w:r>
      <w:r w:rsidR="006F6884" w:rsidRPr="006F6884">
        <w:t xml:space="preserve">as PIA Staff Exhibit___(WK-18) </w:t>
      </w:r>
      <w:r w:rsidR="00466295" w:rsidRPr="006F6884">
        <w:t>in</w:t>
      </w:r>
      <w:r w:rsidR="00466295" w:rsidRPr="006422A7">
        <w:t xml:space="preserve"> Docket 42315.</w:t>
      </w:r>
    </w:p>
  </w:footnote>
  <w:footnote w:id="5">
    <w:p w14:paraId="4AD5E551" w14:textId="7373D3E5" w:rsidR="006422A7" w:rsidRPr="006422A7" w:rsidRDefault="001E0ADC" w:rsidP="001E0ADC">
      <w:pPr>
        <w:widowControl/>
        <w:jc w:val="both"/>
        <w:rPr>
          <w:sz w:val="20"/>
        </w:rPr>
      </w:pPr>
      <w:r>
        <w:rPr>
          <w:sz w:val="20"/>
        </w:rPr>
        <w:tab/>
      </w:r>
      <w:r w:rsidR="006422A7" w:rsidRPr="006422A7">
        <w:rPr>
          <w:rStyle w:val="FootnoteReference"/>
          <w:sz w:val="20"/>
          <w:vertAlign w:val="superscript"/>
        </w:rPr>
        <w:footnoteRef/>
      </w:r>
      <w:r w:rsidR="006422A7" w:rsidRPr="006422A7">
        <w:rPr>
          <w:sz w:val="20"/>
        </w:rPr>
        <w:t xml:space="preserve"> Southern Company owns SCS and Southern Company Gas as well as other first tier affiliates, including Georgia Power Company and other regulated electric utilities.  </w:t>
      </w:r>
      <w:r w:rsidR="009E16D9" w:rsidRPr="009E16D9">
        <w:rPr>
          <w:sz w:val="20"/>
        </w:rPr>
        <w:t>Southern Company Gas</w:t>
      </w:r>
      <w:r w:rsidR="009E16D9" w:rsidRPr="006422A7">
        <w:rPr>
          <w:sz w:val="20"/>
        </w:rPr>
        <w:t xml:space="preserve"> </w:t>
      </w:r>
      <w:r w:rsidR="006422A7" w:rsidRPr="006422A7">
        <w:rPr>
          <w:sz w:val="20"/>
        </w:rPr>
        <w:t>owns ASC, as well as other first tier affiliates, including AGL and other regulated natural gas utilities.</w:t>
      </w:r>
    </w:p>
    <w:p w14:paraId="64C259B5" w14:textId="0ACB3E9A" w:rsidR="006422A7" w:rsidRPr="006422A7" w:rsidRDefault="006422A7" w:rsidP="001E0ADC">
      <w:pPr>
        <w:pStyle w:val="FootnoteText"/>
      </w:pPr>
    </w:p>
  </w:footnote>
  <w:footnote w:id="6">
    <w:p w14:paraId="6F5B48EB" w14:textId="51640DFC" w:rsidR="00466295" w:rsidRDefault="00466295" w:rsidP="00466295">
      <w:pPr>
        <w:pStyle w:val="FootnoteText"/>
        <w:ind w:firstLine="720"/>
      </w:pPr>
      <w:r w:rsidRPr="006F6884">
        <w:rPr>
          <w:rStyle w:val="FootnoteReference"/>
          <w:vertAlign w:val="superscript"/>
        </w:rPr>
        <w:footnoteRef/>
      </w:r>
      <w:r>
        <w:t xml:space="preserve"> Southern Company renamed AGL Resources, Inc. as Southern Company Gas.</w:t>
      </w:r>
    </w:p>
  </w:footnote>
  <w:footnote w:id="7">
    <w:p w14:paraId="2DDC474A" w14:textId="5FF0D73E" w:rsidR="00385DD4" w:rsidRDefault="00385DD4" w:rsidP="00656385">
      <w:pPr>
        <w:pStyle w:val="FootnoteText"/>
        <w:ind w:firstLine="720"/>
      </w:pPr>
      <w:r w:rsidRPr="00656385">
        <w:rPr>
          <w:rStyle w:val="FootnoteReference"/>
          <w:vertAlign w:val="superscript"/>
        </w:rPr>
        <w:footnoteRef/>
      </w:r>
      <w:r>
        <w:t xml:space="preserve"> AGL was unable to provide the annual capital charges in each year prior to 2019 in response to PIA Staff discovery.</w:t>
      </w:r>
    </w:p>
  </w:footnote>
  <w:footnote w:id="8">
    <w:p w14:paraId="29ADF660" w14:textId="5FC65E80" w:rsidR="00C3041F" w:rsidRDefault="00C3041F" w:rsidP="00C3041F">
      <w:pPr>
        <w:pStyle w:val="FootnoteText"/>
      </w:pPr>
      <w:r>
        <w:rPr>
          <w:vertAlign w:val="superscript"/>
        </w:rPr>
        <w:tab/>
      </w:r>
      <w:r w:rsidRPr="00AF3246">
        <w:rPr>
          <w:rStyle w:val="FootnoteReference"/>
          <w:vertAlign w:val="superscript"/>
        </w:rPr>
        <w:footnoteRef/>
      </w:r>
      <w:r w:rsidRPr="00AF3246">
        <w:rPr>
          <w:vertAlign w:val="superscript"/>
        </w:rPr>
        <w:t xml:space="preserve"> </w:t>
      </w:r>
      <w:r>
        <w:t xml:space="preserve">The increases in service company expense charges to all affiliates are addressed in greater detail in the Audit Report. </w:t>
      </w:r>
    </w:p>
    <w:p w14:paraId="4BE66342" w14:textId="77777777" w:rsidR="00C3041F" w:rsidRPr="00AF3246" w:rsidRDefault="00C3041F" w:rsidP="00C3041F">
      <w:pPr>
        <w:pStyle w:val="FootnoteText"/>
        <w:rPr>
          <w:vertAlign w:val="superscript"/>
        </w:rPr>
      </w:pPr>
    </w:p>
  </w:footnote>
  <w:footnote w:id="9">
    <w:p w14:paraId="42B69973" w14:textId="1E4CBF0F" w:rsidR="00D1719F" w:rsidRDefault="009158FB">
      <w:pPr>
        <w:pStyle w:val="FootnoteText"/>
      </w:pPr>
      <w:r>
        <w:tab/>
      </w:r>
      <w:r w:rsidR="00D1719F" w:rsidRPr="00D1719F">
        <w:rPr>
          <w:rStyle w:val="FootnoteReference"/>
          <w:vertAlign w:val="superscript"/>
        </w:rPr>
        <w:footnoteRef/>
      </w:r>
      <w:r w:rsidR="00D1719F">
        <w:t xml:space="preserve"> The increases in FTEs are addressed in greater detail in the Audit Report. </w:t>
      </w:r>
    </w:p>
  </w:footnote>
  <w:footnote w:id="10">
    <w:p w14:paraId="6DF34BEF" w14:textId="665C49AB" w:rsidR="00CC1E1F" w:rsidRDefault="00B206E5" w:rsidP="00CC1E1F">
      <w:pPr>
        <w:pStyle w:val="FootnoteText"/>
      </w:pPr>
      <w:r>
        <w:tab/>
      </w:r>
      <w:r w:rsidR="00CC1E1F" w:rsidRPr="00B206E5">
        <w:rPr>
          <w:rStyle w:val="FootnoteReference"/>
          <w:vertAlign w:val="superscript"/>
        </w:rPr>
        <w:footnoteRef/>
      </w:r>
      <w:r w:rsidR="00CC1E1F">
        <w:t xml:space="preserve"> </w:t>
      </w:r>
      <w:r w:rsidR="00CC1E1F" w:rsidRPr="00C6732D">
        <w:t>Direct Testimony of Michael J. M</w:t>
      </w:r>
      <w:r w:rsidR="00CC1E1F">
        <w:t>orley</w:t>
      </w:r>
      <w:r w:rsidR="00CC1E1F" w:rsidRPr="00C6732D">
        <w:t xml:space="preserve"> at 7.</w:t>
      </w:r>
    </w:p>
  </w:footnote>
  <w:footnote w:id="11">
    <w:p w14:paraId="22576375" w14:textId="5FF12745" w:rsidR="001E0ADC" w:rsidRDefault="001E0ADC" w:rsidP="001E0ADC">
      <w:pPr>
        <w:pStyle w:val="FootnoteText"/>
      </w:pPr>
      <w:r>
        <w:rPr>
          <w:vertAlign w:val="superscript"/>
        </w:rPr>
        <w:tab/>
      </w:r>
      <w:r w:rsidRPr="001E0ADC">
        <w:rPr>
          <w:rStyle w:val="FootnoteReference"/>
          <w:vertAlign w:val="superscript"/>
        </w:rPr>
        <w:footnoteRef/>
      </w:r>
      <w:r w:rsidRPr="001E0ADC">
        <w:rPr>
          <w:vertAlign w:val="superscript"/>
        </w:rPr>
        <w:t xml:space="preserve"> </w:t>
      </w:r>
      <w:r w:rsidRPr="00C6732D">
        <w:t>Direct Testimony of Michael J. M</w:t>
      </w:r>
      <w:r>
        <w:t>orley</w:t>
      </w:r>
      <w:r w:rsidRPr="00C6732D">
        <w:t xml:space="preserve"> at </w:t>
      </w:r>
      <w:r>
        <w:t>6-11</w:t>
      </w:r>
      <w:r w:rsidRPr="00C6732D">
        <w:t>.</w:t>
      </w:r>
    </w:p>
    <w:p w14:paraId="126DDA77" w14:textId="36ACD766" w:rsidR="001E0ADC" w:rsidRDefault="001E0ADC">
      <w:pPr>
        <w:pStyle w:val="FootnoteText"/>
      </w:pPr>
    </w:p>
  </w:footnote>
  <w:footnote w:id="12">
    <w:p w14:paraId="3BBAB296" w14:textId="5675DE95" w:rsidR="008D3B10" w:rsidRPr="00994AD9" w:rsidRDefault="005154A4" w:rsidP="008D3B10">
      <w:pPr>
        <w:pStyle w:val="FootnoteText"/>
      </w:pPr>
      <w:r>
        <w:tab/>
      </w:r>
      <w:r w:rsidR="008D3B10" w:rsidRPr="005154A4">
        <w:rPr>
          <w:rStyle w:val="FootnoteReference"/>
          <w:vertAlign w:val="superscript"/>
        </w:rPr>
        <w:footnoteRef/>
      </w:r>
      <w:r w:rsidR="008D3B10">
        <w:t xml:space="preserve"> </w:t>
      </w:r>
      <w:r>
        <w:t>AGL’s r</w:t>
      </w:r>
      <w:r w:rsidR="008D3B10" w:rsidRPr="00994AD9">
        <w:t>esponse to S</w:t>
      </w:r>
      <w:r>
        <w:t>TF-</w:t>
      </w:r>
      <w:r w:rsidR="008D3B10" w:rsidRPr="00994AD9">
        <w:t>10-30, Attachment STF-10-30a.</w:t>
      </w:r>
    </w:p>
  </w:footnote>
  <w:footnote w:id="13">
    <w:p w14:paraId="0461F724" w14:textId="13F13F54" w:rsidR="008D3B10" w:rsidRDefault="005154A4" w:rsidP="008D3B10">
      <w:pPr>
        <w:pStyle w:val="FootnoteText"/>
      </w:pPr>
      <w:r>
        <w:tab/>
      </w:r>
      <w:r w:rsidR="008D3B10" w:rsidRPr="005154A4">
        <w:rPr>
          <w:rStyle w:val="FootnoteReference"/>
          <w:vertAlign w:val="superscript"/>
        </w:rPr>
        <w:footnoteRef/>
      </w:r>
      <w:r w:rsidR="008D3B10">
        <w:t xml:space="preserve"> </w:t>
      </w:r>
      <w:r>
        <w:t>AGL’s r</w:t>
      </w:r>
      <w:r w:rsidR="008D3B10" w:rsidRPr="00994AD9">
        <w:t>esponse to S</w:t>
      </w:r>
      <w:r>
        <w:t>TF-</w:t>
      </w:r>
      <w:r w:rsidR="008D3B10" w:rsidRPr="00994AD9">
        <w:t>10-</w:t>
      </w:r>
      <w:r w:rsidR="008D3B10">
        <w:t>11</w:t>
      </w:r>
      <w:r w:rsidR="008D3B10" w:rsidRPr="00994AD9">
        <w:t xml:space="preserve">, </w:t>
      </w:r>
      <w:r w:rsidR="008D3B10">
        <w:t>including attachments.</w:t>
      </w:r>
    </w:p>
  </w:footnote>
  <w:footnote w:id="14">
    <w:p w14:paraId="3D52E0F7" w14:textId="728E80AD" w:rsidR="008D3B10" w:rsidRDefault="005154A4" w:rsidP="008D3B10">
      <w:pPr>
        <w:pStyle w:val="FootnoteText"/>
      </w:pPr>
      <w:r>
        <w:tab/>
      </w:r>
      <w:r w:rsidR="008D3B10" w:rsidRPr="005154A4">
        <w:rPr>
          <w:rStyle w:val="FootnoteReference"/>
          <w:vertAlign w:val="superscript"/>
        </w:rPr>
        <w:footnoteRef/>
      </w:r>
      <w:r w:rsidR="008D3B10">
        <w:t xml:space="preserve"> </w:t>
      </w:r>
      <w:r>
        <w:t>AGL’s r</w:t>
      </w:r>
      <w:r w:rsidR="008D3B10" w:rsidRPr="00994AD9">
        <w:t>esponse to S</w:t>
      </w:r>
      <w:r>
        <w:t>TF-</w:t>
      </w:r>
      <w:r w:rsidR="008D3B10" w:rsidRPr="00994AD9">
        <w:t>10-30, Attachment STF-10-30</w:t>
      </w:r>
      <w:r w:rsidR="008D3B10">
        <w:t>e</w:t>
      </w:r>
      <w:r w:rsidR="008D3B10" w:rsidRPr="00994AD9">
        <w:t>.</w:t>
      </w:r>
    </w:p>
  </w:footnote>
  <w:footnote w:id="15">
    <w:p w14:paraId="1FD45436" w14:textId="40D0D0E6" w:rsidR="0079386E" w:rsidRDefault="0079386E" w:rsidP="008360FC">
      <w:pPr>
        <w:pStyle w:val="FootnoteText"/>
        <w:ind w:firstLine="720"/>
      </w:pPr>
      <w:r w:rsidRPr="008360FC">
        <w:rPr>
          <w:rStyle w:val="FootnoteReference"/>
          <w:vertAlign w:val="superscript"/>
        </w:rPr>
        <w:footnoteRef/>
      </w:r>
      <w:r>
        <w:t xml:space="preserve"> This was a change at Southern Company Gas from PeopleSoft to Oracle.</w:t>
      </w:r>
    </w:p>
  </w:footnote>
  <w:footnote w:id="16">
    <w:p w14:paraId="4F760C24" w14:textId="78E1453D" w:rsidR="0079386E" w:rsidRDefault="0079386E" w:rsidP="00594B4F">
      <w:pPr>
        <w:pStyle w:val="FootnoteText"/>
        <w:ind w:firstLine="720"/>
        <w:jc w:val="both"/>
      </w:pPr>
      <w:r w:rsidRPr="008360FC">
        <w:rPr>
          <w:rStyle w:val="FootnoteReference"/>
          <w:vertAlign w:val="superscript"/>
        </w:rPr>
        <w:footnoteRef/>
      </w:r>
      <w:r>
        <w:t xml:space="preserve"> </w:t>
      </w:r>
      <w:r w:rsidR="00C76458">
        <w:t>AGL’s r</w:t>
      </w:r>
      <w:r>
        <w:t xml:space="preserve">esponse to </w:t>
      </w:r>
      <w:r w:rsidR="005E47FF">
        <w:t>STF-</w:t>
      </w:r>
      <w:r>
        <w:t>17-2.</w:t>
      </w:r>
      <w:r w:rsidR="00C76458">
        <w:t xml:space="preserve">  I have attached a copy of this response as PIA Staff </w:t>
      </w:r>
      <w:r w:rsidR="00C76458" w:rsidRPr="009D0E50">
        <w:t>Exhibit___(</w:t>
      </w:r>
      <w:r w:rsidR="00C76458">
        <w:t>RAF-</w:t>
      </w:r>
      <w:r w:rsidR="00AA09D5">
        <w:t>3</w:t>
      </w:r>
      <w:r w:rsidR="00C76458" w:rsidRPr="009D0E50">
        <w:t>).</w:t>
      </w:r>
    </w:p>
  </w:footnote>
  <w:footnote w:id="17">
    <w:p w14:paraId="04D549C9" w14:textId="2FE85348" w:rsidR="004E5CD3" w:rsidRDefault="004E5CD3" w:rsidP="004E5CD3">
      <w:pPr>
        <w:pStyle w:val="FootnoteText"/>
        <w:ind w:firstLine="720"/>
      </w:pPr>
      <w:r w:rsidRPr="004E5CD3">
        <w:rPr>
          <w:rStyle w:val="FootnoteReference"/>
          <w:vertAlign w:val="superscript"/>
        </w:rPr>
        <w:footnoteRef/>
      </w:r>
      <w:r>
        <w:t xml:space="preserve"> </w:t>
      </w:r>
      <w:r w:rsidR="00C76458" w:rsidRPr="008360FC">
        <w:rPr>
          <w:i/>
        </w:rPr>
        <w:t>Id.</w:t>
      </w:r>
      <w:r w:rsidR="00C76458">
        <w:t xml:space="preserve">  See PIA Staff </w:t>
      </w:r>
      <w:r w:rsidR="00C76458" w:rsidRPr="009D0E50">
        <w:t>Exhibit___(</w:t>
      </w:r>
      <w:r w:rsidR="00C76458">
        <w:t>RAF-3</w:t>
      </w:r>
      <w:r w:rsidR="00C76458" w:rsidRPr="009D0E50">
        <w:t>)</w:t>
      </w:r>
      <w:r w:rsidR="00C76458">
        <w:t xml:space="preserve"> for a copy of </w:t>
      </w:r>
      <w:r>
        <w:t xml:space="preserve">AGL’s </w:t>
      </w:r>
      <w:r w:rsidR="00C76458">
        <w:t>entire response</w:t>
      </w:r>
      <w:r>
        <w:t xml:space="preserve"> to STF-17-2.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25B0" w14:textId="77777777" w:rsidR="00183A60" w:rsidRDefault="00183A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14:paraId="71BB02C6" w14:textId="77777777" w:rsidR="004D358C" w:rsidRPr="0021448C" w:rsidRDefault="004D358C" w:rsidP="004D358C">
        <w:pPr>
          <w:pStyle w:val="Header"/>
        </w:pPr>
        <w:r w:rsidRPr="0021448C">
          <w:t>D</w:t>
        </w:r>
        <w:r>
          <w:t>ocket No. 43820</w:t>
        </w:r>
        <w:r w:rsidRPr="0021448C">
          <w:t xml:space="preserve"> Atlanta Gas Light Company’s </w:t>
        </w:r>
        <w:r>
          <w:t xml:space="preserve">2025-2034 </w:t>
        </w:r>
        <w:proofErr w:type="spellStart"/>
        <w:r>
          <w:t>i</w:t>
        </w:r>
        <w:proofErr w:type="spellEnd"/>
        <w:r>
          <w:t>-CDP Plan</w:t>
        </w:r>
      </w:p>
      <w:p w14:paraId="0F02CB43" w14:textId="144D4F8D" w:rsidR="004D358C" w:rsidRDefault="004D358C">
        <w:pPr>
          <w:pStyle w:val="Header"/>
        </w:pPr>
        <w:r>
          <w:t>Futral</w:t>
        </w:r>
        <w:r w:rsidRPr="0021448C">
          <w:t xml:space="preserve"> Direct Testimony</w:t>
        </w:r>
      </w:p>
      <w:p w14:paraId="27C49C42" w14:textId="597F49C3" w:rsidR="004D358C" w:rsidRDefault="004D358C">
        <w:pPr>
          <w:pStyle w:val="Header"/>
        </w:pPr>
        <w:r>
          <w:t xml:space="preserve">Page </w:t>
        </w:r>
        <w:r>
          <w:rPr>
            <w:b/>
            <w:bCs/>
            <w:szCs w:val="24"/>
          </w:rPr>
          <w:fldChar w:fldCharType="begin"/>
        </w:r>
        <w:r>
          <w:rPr>
            <w:b/>
            <w:bCs/>
          </w:rPr>
          <w:instrText xml:space="preserve"> PAGE </w:instrText>
        </w:r>
        <w:r>
          <w:rPr>
            <w:b/>
            <w:bCs/>
            <w:szCs w:val="24"/>
          </w:rPr>
          <w:fldChar w:fldCharType="separate"/>
        </w:r>
        <w:r w:rsidR="00454AF8">
          <w:rPr>
            <w:b/>
            <w:bCs/>
            <w:noProof/>
          </w:rPr>
          <w:t>16</w:t>
        </w:r>
        <w:r>
          <w:rPr>
            <w:b/>
            <w:bCs/>
            <w:szCs w:val="24"/>
          </w:rPr>
          <w:fldChar w:fldCharType="end"/>
        </w:r>
        <w:r>
          <w:t xml:space="preserve"> of </w:t>
        </w:r>
        <w:r w:rsidR="000C3DBF">
          <w:rPr>
            <w:b/>
            <w:bCs/>
            <w:szCs w:val="24"/>
          </w:rPr>
          <w:fldChar w:fldCharType="begin"/>
        </w:r>
        <w:r w:rsidR="000C3DBF">
          <w:rPr>
            <w:b/>
            <w:bCs/>
            <w:szCs w:val="24"/>
          </w:rPr>
          <w:instrText xml:space="preserve"> =</w:instrText>
        </w:r>
        <w:r>
          <w:rPr>
            <w:b/>
            <w:bCs/>
            <w:szCs w:val="24"/>
          </w:rPr>
          <w:fldChar w:fldCharType="begin"/>
        </w:r>
        <w:r>
          <w:rPr>
            <w:b/>
            <w:bCs/>
          </w:rPr>
          <w:instrText xml:space="preserve"> NUMPAGES  </w:instrText>
        </w:r>
        <w:r>
          <w:rPr>
            <w:b/>
            <w:bCs/>
            <w:szCs w:val="24"/>
          </w:rPr>
          <w:fldChar w:fldCharType="separate"/>
        </w:r>
        <w:r w:rsidR="00454AF8">
          <w:rPr>
            <w:b/>
            <w:bCs/>
            <w:noProof/>
          </w:rPr>
          <w:instrText>18</w:instrText>
        </w:r>
        <w:r>
          <w:rPr>
            <w:b/>
            <w:bCs/>
            <w:szCs w:val="24"/>
          </w:rPr>
          <w:fldChar w:fldCharType="end"/>
        </w:r>
        <w:r w:rsidR="000C3DBF">
          <w:rPr>
            <w:b/>
            <w:bCs/>
            <w:szCs w:val="24"/>
          </w:rPr>
          <w:instrText xml:space="preserve">-2 </w:instrText>
        </w:r>
        <w:r w:rsidR="000C3DBF">
          <w:rPr>
            <w:b/>
            <w:bCs/>
            <w:szCs w:val="24"/>
          </w:rPr>
          <w:fldChar w:fldCharType="separate"/>
        </w:r>
        <w:r w:rsidR="00454AF8">
          <w:rPr>
            <w:b/>
            <w:bCs/>
            <w:noProof/>
            <w:szCs w:val="24"/>
          </w:rPr>
          <w:t>16</w:t>
        </w:r>
        <w:r w:rsidR="000C3DBF">
          <w:rPr>
            <w:b/>
            <w:bCs/>
            <w:szCs w:val="24"/>
          </w:rPr>
          <w:fldChar w:fldCharType="end"/>
        </w:r>
      </w:p>
    </w:sdtContent>
  </w:sdt>
  <w:p w14:paraId="0D934097" w14:textId="77777777" w:rsidR="00183A60" w:rsidRDefault="00183A6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A58"/>
    <w:multiLevelType w:val="hybridMultilevel"/>
    <w:tmpl w:val="22B0FC02"/>
    <w:lvl w:ilvl="0" w:tplc="0409000F">
      <w:start w:val="2"/>
      <w:numFmt w:val="decimal"/>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
    <w:nsid w:val="01CE58E0"/>
    <w:multiLevelType w:val="hybridMultilevel"/>
    <w:tmpl w:val="9A621192"/>
    <w:lvl w:ilvl="0" w:tplc="33887A44">
      <w:start w:val="1"/>
      <w:numFmt w:val="upperLetter"/>
      <w:lvlText w:val="%1."/>
      <w:lvlJc w:val="left"/>
      <w:pPr>
        <w:ind w:left="720" w:hanging="360"/>
      </w:pPr>
      <w:rPr>
        <w:rFonts w:hint="default"/>
        <w:caps/>
      </w:rPr>
    </w:lvl>
    <w:lvl w:ilvl="1" w:tplc="0409000F">
      <w:start w:val="1"/>
      <w:numFmt w:val="decimal"/>
      <w:lvlText w:val="%2."/>
      <w:lvlJc w:val="left"/>
      <w:pPr>
        <w:ind w:left="1440" w:hanging="360"/>
      </w:pPr>
      <w:rPr>
        <w:rFonts w:hint="default"/>
        <w:caps/>
      </w:rPr>
    </w:lvl>
    <w:lvl w:ilvl="2" w:tplc="3C948A4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55004"/>
    <w:multiLevelType w:val="hybridMultilevel"/>
    <w:tmpl w:val="D584CA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4CF2856"/>
    <w:multiLevelType w:val="hybridMultilevel"/>
    <w:tmpl w:val="E4540AB4"/>
    <w:lvl w:ilvl="0" w:tplc="B48A9D56">
      <w:start w:val="17"/>
      <w:numFmt w:val="upperLetter"/>
      <w:lvlText w:val="%1."/>
      <w:lvlJc w:val="left"/>
      <w:pPr>
        <w:tabs>
          <w:tab w:val="num" w:pos="1080"/>
        </w:tabs>
        <w:ind w:left="1080" w:hanging="720"/>
      </w:pPr>
      <w:rPr>
        <w:rFonts w:hint="default"/>
      </w:rPr>
    </w:lvl>
    <w:lvl w:ilvl="1" w:tplc="57D01AD0" w:tentative="1">
      <w:start w:val="1"/>
      <w:numFmt w:val="lowerLetter"/>
      <w:lvlText w:val="%2."/>
      <w:lvlJc w:val="left"/>
      <w:pPr>
        <w:tabs>
          <w:tab w:val="num" w:pos="1440"/>
        </w:tabs>
        <w:ind w:left="1440" w:hanging="360"/>
      </w:pPr>
    </w:lvl>
    <w:lvl w:ilvl="2" w:tplc="27DEFA56" w:tentative="1">
      <w:start w:val="1"/>
      <w:numFmt w:val="lowerRoman"/>
      <w:lvlText w:val="%3."/>
      <w:lvlJc w:val="right"/>
      <w:pPr>
        <w:tabs>
          <w:tab w:val="num" w:pos="2160"/>
        </w:tabs>
        <w:ind w:left="2160" w:hanging="180"/>
      </w:pPr>
    </w:lvl>
    <w:lvl w:ilvl="3" w:tplc="62D2ADF2" w:tentative="1">
      <w:start w:val="1"/>
      <w:numFmt w:val="decimal"/>
      <w:lvlText w:val="%4."/>
      <w:lvlJc w:val="left"/>
      <w:pPr>
        <w:tabs>
          <w:tab w:val="num" w:pos="2880"/>
        </w:tabs>
        <w:ind w:left="2880" w:hanging="360"/>
      </w:pPr>
    </w:lvl>
    <w:lvl w:ilvl="4" w:tplc="A418B558" w:tentative="1">
      <w:start w:val="1"/>
      <w:numFmt w:val="lowerLetter"/>
      <w:lvlText w:val="%5."/>
      <w:lvlJc w:val="left"/>
      <w:pPr>
        <w:tabs>
          <w:tab w:val="num" w:pos="3600"/>
        </w:tabs>
        <w:ind w:left="3600" w:hanging="360"/>
      </w:pPr>
    </w:lvl>
    <w:lvl w:ilvl="5" w:tplc="9A4AB860" w:tentative="1">
      <w:start w:val="1"/>
      <w:numFmt w:val="lowerRoman"/>
      <w:lvlText w:val="%6."/>
      <w:lvlJc w:val="right"/>
      <w:pPr>
        <w:tabs>
          <w:tab w:val="num" w:pos="4320"/>
        </w:tabs>
        <w:ind w:left="4320" w:hanging="180"/>
      </w:pPr>
    </w:lvl>
    <w:lvl w:ilvl="6" w:tplc="ACACB27A" w:tentative="1">
      <w:start w:val="1"/>
      <w:numFmt w:val="decimal"/>
      <w:lvlText w:val="%7."/>
      <w:lvlJc w:val="left"/>
      <w:pPr>
        <w:tabs>
          <w:tab w:val="num" w:pos="5040"/>
        </w:tabs>
        <w:ind w:left="5040" w:hanging="360"/>
      </w:pPr>
    </w:lvl>
    <w:lvl w:ilvl="7" w:tplc="A3929856" w:tentative="1">
      <w:start w:val="1"/>
      <w:numFmt w:val="lowerLetter"/>
      <w:lvlText w:val="%8."/>
      <w:lvlJc w:val="left"/>
      <w:pPr>
        <w:tabs>
          <w:tab w:val="num" w:pos="5760"/>
        </w:tabs>
        <w:ind w:left="5760" w:hanging="360"/>
      </w:pPr>
    </w:lvl>
    <w:lvl w:ilvl="8" w:tplc="C0EEDFDC" w:tentative="1">
      <w:start w:val="1"/>
      <w:numFmt w:val="lowerRoman"/>
      <w:lvlText w:val="%9."/>
      <w:lvlJc w:val="right"/>
      <w:pPr>
        <w:tabs>
          <w:tab w:val="num" w:pos="6480"/>
        </w:tabs>
        <w:ind w:left="6480" w:hanging="180"/>
      </w:pPr>
    </w:lvl>
  </w:abstractNum>
  <w:abstractNum w:abstractNumId="4">
    <w:nsid w:val="06BE5CC7"/>
    <w:multiLevelType w:val="hybridMultilevel"/>
    <w:tmpl w:val="6C94F74E"/>
    <w:lvl w:ilvl="0" w:tplc="F14A6A02">
      <w:start w:val="17"/>
      <w:numFmt w:val="upperLetter"/>
      <w:lvlText w:val="%1."/>
      <w:lvlJc w:val="left"/>
      <w:pPr>
        <w:tabs>
          <w:tab w:val="num" w:pos="1080"/>
        </w:tabs>
        <w:ind w:left="1080" w:hanging="720"/>
      </w:pPr>
      <w:rPr>
        <w:rFonts w:hint="default"/>
        <w:b/>
      </w:rPr>
    </w:lvl>
    <w:lvl w:ilvl="1" w:tplc="70B08FEC" w:tentative="1">
      <w:start w:val="1"/>
      <w:numFmt w:val="lowerLetter"/>
      <w:lvlText w:val="%2."/>
      <w:lvlJc w:val="left"/>
      <w:pPr>
        <w:tabs>
          <w:tab w:val="num" w:pos="1440"/>
        </w:tabs>
        <w:ind w:left="1440" w:hanging="360"/>
      </w:pPr>
    </w:lvl>
    <w:lvl w:ilvl="2" w:tplc="C8C48B52" w:tentative="1">
      <w:start w:val="1"/>
      <w:numFmt w:val="lowerRoman"/>
      <w:lvlText w:val="%3."/>
      <w:lvlJc w:val="right"/>
      <w:pPr>
        <w:tabs>
          <w:tab w:val="num" w:pos="2160"/>
        </w:tabs>
        <w:ind w:left="2160" w:hanging="180"/>
      </w:pPr>
    </w:lvl>
    <w:lvl w:ilvl="3" w:tplc="467EB2F8" w:tentative="1">
      <w:start w:val="1"/>
      <w:numFmt w:val="decimal"/>
      <w:lvlText w:val="%4."/>
      <w:lvlJc w:val="left"/>
      <w:pPr>
        <w:tabs>
          <w:tab w:val="num" w:pos="2880"/>
        </w:tabs>
        <w:ind w:left="2880" w:hanging="360"/>
      </w:pPr>
    </w:lvl>
    <w:lvl w:ilvl="4" w:tplc="71DC84BC" w:tentative="1">
      <w:start w:val="1"/>
      <w:numFmt w:val="lowerLetter"/>
      <w:lvlText w:val="%5."/>
      <w:lvlJc w:val="left"/>
      <w:pPr>
        <w:tabs>
          <w:tab w:val="num" w:pos="3600"/>
        </w:tabs>
        <w:ind w:left="3600" w:hanging="360"/>
      </w:pPr>
    </w:lvl>
    <w:lvl w:ilvl="5" w:tplc="A106E950" w:tentative="1">
      <w:start w:val="1"/>
      <w:numFmt w:val="lowerRoman"/>
      <w:lvlText w:val="%6."/>
      <w:lvlJc w:val="right"/>
      <w:pPr>
        <w:tabs>
          <w:tab w:val="num" w:pos="4320"/>
        </w:tabs>
        <w:ind w:left="4320" w:hanging="180"/>
      </w:pPr>
    </w:lvl>
    <w:lvl w:ilvl="6" w:tplc="2CF4D4B8" w:tentative="1">
      <w:start w:val="1"/>
      <w:numFmt w:val="decimal"/>
      <w:lvlText w:val="%7."/>
      <w:lvlJc w:val="left"/>
      <w:pPr>
        <w:tabs>
          <w:tab w:val="num" w:pos="5040"/>
        </w:tabs>
        <w:ind w:left="5040" w:hanging="360"/>
      </w:pPr>
    </w:lvl>
    <w:lvl w:ilvl="7" w:tplc="51C8B754" w:tentative="1">
      <w:start w:val="1"/>
      <w:numFmt w:val="lowerLetter"/>
      <w:lvlText w:val="%8."/>
      <w:lvlJc w:val="left"/>
      <w:pPr>
        <w:tabs>
          <w:tab w:val="num" w:pos="5760"/>
        </w:tabs>
        <w:ind w:left="5760" w:hanging="360"/>
      </w:pPr>
    </w:lvl>
    <w:lvl w:ilvl="8" w:tplc="82A0C9F4" w:tentative="1">
      <w:start w:val="1"/>
      <w:numFmt w:val="lowerRoman"/>
      <w:lvlText w:val="%9."/>
      <w:lvlJc w:val="right"/>
      <w:pPr>
        <w:tabs>
          <w:tab w:val="num" w:pos="6480"/>
        </w:tabs>
        <w:ind w:left="6480" w:hanging="180"/>
      </w:pPr>
    </w:lvl>
  </w:abstractNum>
  <w:abstractNum w:abstractNumId="5">
    <w:nsid w:val="092322FC"/>
    <w:multiLevelType w:val="hybridMultilevel"/>
    <w:tmpl w:val="A260EBCE"/>
    <w:lvl w:ilvl="0" w:tplc="F3C8FCBA">
      <w:start w:val="17"/>
      <w:numFmt w:val="upperLetter"/>
      <w:lvlText w:val="%1."/>
      <w:lvlJc w:val="left"/>
      <w:pPr>
        <w:tabs>
          <w:tab w:val="num" w:pos="1080"/>
        </w:tabs>
        <w:ind w:left="1080" w:hanging="720"/>
      </w:pPr>
      <w:rPr>
        <w:rFonts w:hint="default"/>
        <w:b/>
      </w:rPr>
    </w:lvl>
    <w:lvl w:ilvl="1" w:tplc="199CEE82" w:tentative="1">
      <w:start w:val="1"/>
      <w:numFmt w:val="lowerLetter"/>
      <w:lvlText w:val="%2."/>
      <w:lvlJc w:val="left"/>
      <w:pPr>
        <w:tabs>
          <w:tab w:val="num" w:pos="1440"/>
        </w:tabs>
        <w:ind w:left="1440" w:hanging="360"/>
      </w:pPr>
    </w:lvl>
    <w:lvl w:ilvl="2" w:tplc="9154C858" w:tentative="1">
      <w:start w:val="1"/>
      <w:numFmt w:val="lowerRoman"/>
      <w:lvlText w:val="%3."/>
      <w:lvlJc w:val="right"/>
      <w:pPr>
        <w:tabs>
          <w:tab w:val="num" w:pos="2160"/>
        </w:tabs>
        <w:ind w:left="2160" w:hanging="180"/>
      </w:pPr>
    </w:lvl>
    <w:lvl w:ilvl="3" w:tplc="7A6ACFEE" w:tentative="1">
      <w:start w:val="1"/>
      <w:numFmt w:val="decimal"/>
      <w:lvlText w:val="%4."/>
      <w:lvlJc w:val="left"/>
      <w:pPr>
        <w:tabs>
          <w:tab w:val="num" w:pos="2880"/>
        </w:tabs>
        <w:ind w:left="2880" w:hanging="360"/>
      </w:pPr>
    </w:lvl>
    <w:lvl w:ilvl="4" w:tplc="5532B806" w:tentative="1">
      <w:start w:val="1"/>
      <w:numFmt w:val="lowerLetter"/>
      <w:lvlText w:val="%5."/>
      <w:lvlJc w:val="left"/>
      <w:pPr>
        <w:tabs>
          <w:tab w:val="num" w:pos="3600"/>
        </w:tabs>
        <w:ind w:left="3600" w:hanging="360"/>
      </w:pPr>
    </w:lvl>
    <w:lvl w:ilvl="5" w:tplc="4A24DB66" w:tentative="1">
      <w:start w:val="1"/>
      <w:numFmt w:val="lowerRoman"/>
      <w:lvlText w:val="%6."/>
      <w:lvlJc w:val="right"/>
      <w:pPr>
        <w:tabs>
          <w:tab w:val="num" w:pos="4320"/>
        </w:tabs>
        <w:ind w:left="4320" w:hanging="180"/>
      </w:pPr>
    </w:lvl>
    <w:lvl w:ilvl="6" w:tplc="557CE60A" w:tentative="1">
      <w:start w:val="1"/>
      <w:numFmt w:val="decimal"/>
      <w:lvlText w:val="%7."/>
      <w:lvlJc w:val="left"/>
      <w:pPr>
        <w:tabs>
          <w:tab w:val="num" w:pos="5040"/>
        </w:tabs>
        <w:ind w:left="5040" w:hanging="360"/>
      </w:pPr>
    </w:lvl>
    <w:lvl w:ilvl="7" w:tplc="D18474FE" w:tentative="1">
      <w:start w:val="1"/>
      <w:numFmt w:val="lowerLetter"/>
      <w:lvlText w:val="%8."/>
      <w:lvlJc w:val="left"/>
      <w:pPr>
        <w:tabs>
          <w:tab w:val="num" w:pos="5760"/>
        </w:tabs>
        <w:ind w:left="5760" w:hanging="360"/>
      </w:pPr>
    </w:lvl>
    <w:lvl w:ilvl="8" w:tplc="A5A09C7A" w:tentative="1">
      <w:start w:val="1"/>
      <w:numFmt w:val="lowerRoman"/>
      <w:lvlText w:val="%9."/>
      <w:lvlJc w:val="right"/>
      <w:pPr>
        <w:tabs>
          <w:tab w:val="num" w:pos="6480"/>
        </w:tabs>
        <w:ind w:left="6480" w:hanging="180"/>
      </w:pPr>
    </w:lvl>
  </w:abstractNum>
  <w:abstractNum w:abstractNumId="6">
    <w:nsid w:val="0A3B2720"/>
    <w:multiLevelType w:val="hybridMultilevel"/>
    <w:tmpl w:val="383CA076"/>
    <w:lvl w:ilvl="0" w:tplc="33887A44">
      <w:start w:val="1"/>
      <w:numFmt w:val="upperLetter"/>
      <w:lvlText w:val="%1."/>
      <w:lvlJc w:val="left"/>
      <w:pPr>
        <w:ind w:left="720" w:hanging="360"/>
      </w:pPr>
      <w:rPr>
        <w:rFonts w:hint="default"/>
        <w:caps/>
      </w:rPr>
    </w:lvl>
    <w:lvl w:ilvl="1" w:tplc="33887A44">
      <w:start w:val="1"/>
      <w:numFmt w:val="upperLetter"/>
      <w:lvlText w:val="%2."/>
      <w:lvlJc w:val="left"/>
      <w:pPr>
        <w:ind w:left="1440" w:hanging="360"/>
      </w:pPr>
      <w:rPr>
        <w:rFonts w:hint="default"/>
        <w:caps/>
      </w:rPr>
    </w:lvl>
    <w:lvl w:ilvl="2" w:tplc="3C948A4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73B0C"/>
    <w:multiLevelType w:val="hybridMultilevel"/>
    <w:tmpl w:val="031EF3EC"/>
    <w:lvl w:ilvl="0" w:tplc="95AA0660">
      <w:start w:val="1"/>
      <w:numFmt w:val="upperLetter"/>
      <w:lvlText w:val="%1."/>
      <w:lvlJc w:val="left"/>
      <w:pPr>
        <w:ind w:left="900" w:hanging="360"/>
      </w:pPr>
      <w:rPr>
        <w:rFonts w:hint="default"/>
      </w:rPr>
    </w:lvl>
    <w:lvl w:ilvl="1" w:tplc="04090019">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8">
    <w:nsid w:val="0F270D74"/>
    <w:multiLevelType w:val="multilevel"/>
    <w:tmpl w:val="9F54D0BC"/>
    <w:lvl w:ilvl="0">
      <w:start w:val="1"/>
      <w:numFmt w:val="none"/>
      <w:pStyle w:val="Answer"/>
      <w:lvlText w:val="A%1."/>
      <w:lvlJc w:val="left"/>
      <w:pPr>
        <w:tabs>
          <w:tab w:val="num" w:pos="720"/>
        </w:tabs>
        <w:ind w:left="720" w:hanging="720"/>
      </w:pPr>
      <w:rPr>
        <w:rFonts w:ascii="Times New Roman" w:hAnsi="Times New Roman" w:hint="default"/>
        <w:b w:val="0"/>
        <w:i w:val="0"/>
        <w:caps/>
        <w:sz w:val="28"/>
        <w:szCs w:val="28"/>
        <w:u w:val="none"/>
      </w:rPr>
    </w:lvl>
    <w:lvl w:ilvl="1">
      <w:start w:val="1"/>
      <w:numFmt w:val="upperLetter"/>
      <w:lvlText w:val="%2."/>
      <w:lvlJc w:val="left"/>
      <w:pPr>
        <w:tabs>
          <w:tab w:val="num" w:pos="1440"/>
        </w:tabs>
        <w:ind w:left="1440" w:hanging="720"/>
      </w:pPr>
      <w:rPr>
        <w:rFonts w:ascii="Courier New" w:hAnsi="Courier New" w:hint="default"/>
        <w:b w:val="0"/>
        <w:i w:val="0"/>
        <w:sz w:val="24"/>
        <w:u w:val="none"/>
      </w:rPr>
    </w:lvl>
    <w:lvl w:ilvl="2">
      <w:start w:val="1"/>
      <w:numFmt w:val="decimal"/>
      <w:lvlText w:val="%3."/>
      <w:lvlJc w:val="left"/>
      <w:pPr>
        <w:tabs>
          <w:tab w:val="num" w:pos="2160"/>
        </w:tabs>
        <w:ind w:left="2160" w:hanging="720"/>
      </w:pPr>
      <w:rPr>
        <w:b w:val="0"/>
        <w:i w:val="0"/>
        <w:kern w:val="0"/>
        <w:u w:val="none"/>
      </w:rPr>
    </w:lvl>
    <w:lvl w:ilvl="3">
      <w:start w:val="1"/>
      <w:numFmt w:val="lowerLetter"/>
      <w:lvlText w:val="%4."/>
      <w:lvlJc w:val="left"/>
      <w:pPr>
        <w:tabs>
          <w:tab w:val="num" w:pos="2880"/>
        </w:tabs>
        <w:ind w:left="2880" w:hanging="720"/>
      </w:pPr>
      <w:rPr>
        <w:rFonts w:ascii="Courier New" w:hAnsi="Courier New" w:hint="default"/>
        <w:b w:val="0"/>
        <w:i w:val="0"/>
        <w:sz w:val="24"/>
        <w:u w:val="none"/>
      </w:rPr>
    </w:lvl>
    <w:lvl w:ilvl="4">
      <w:start w:val="1"/>
      <w:numFmt w:val="lowerRoman"/>
      <w:lvlText w:val="(%5)"/>
      <w:lvlJc w:val="left"/>
      <w:pPr>
        <w:tabs>
          <w:tab w:val="num" w:pos="4680"/>
        </w:tabs>
        <w:ind w:left="0" w:firstLine="3600"/>
      </w:pPr>
    </w:lvl>
    <w:lvl w:ilvl="5">
      <w:start w:val="1"/>
      <w:numFmt w:val="decimal"/>
      <w:lvlText w:val="(%6)"/>
      <w:lvlJc w:val="left"/>
      <w:pPr>
        <w:tabs>
          <w:tab w:val="num" w:pos="5040"/>
        </w:tabs>
        <w:ind w:left="0" w:firstLine="4320"/>
      </w:pPr>
      <w:rPr>
        <w:u w:val="none"/>
      </w:rPr>
    </w:lvl>
    <w:lvl w:ilvl="6">
      <w:start w:val="1"/>
      <w:numFmt w:val="lowerLetter"/>
      <w:lvlText w:val="(%7)"/>
      <w:lvlJc w:val="left"/>
      <w:pPr>
        <w:tabs>
          <w:tab w:val="num" w:pos="0"/>
        </w:tabs>
        <w:ind w:left="0" w:firstLine="5040"/>
      </w:pPr>
    </w:lvl>
    <w:lvl w:ilvl="7">
      <w:start w:val="1"/>
      <w:numFmt w:val="lowerRoman"/>
      <w:lvlText w:val="%8)"/>
      <w:lvlJc w:val="left"/>
      <w:pPr>
        <w:tabs>
          <w:tab w:val="num" w:pos="0"/>
        </w:tabs>
        <w:ind w:left="0" w:firstLine="5760"/>
      </w:pPr>
    </w:lvl>
    <w:lvl w:ilvl="8">
      <w:start w:val="1"/>
      <w:numFmt w:val="decimal"/>
      <w:lvlText w:val="%9)"/>
      <w:lvlJc w:val="left"/>
      <w:pPr>
        <w:tabs>
          <w:tab w:val="num" w:pos="0"/>
        </w:tabs>
        <w:ind w:left="0" w:firstLine="6480"/>
      </w:pPr>
    </w:lvl>
  </w:abstractNum>
  <w:abstractNum w:abstractNumId="9">
    <w:nsid w:val="108B5B8E"/>
    <w:multiLevelType w:val="hybridMultilevel"/>
    <w:tmpl w:val="2F7875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1AC1EFD"/>
    <w:multiLevelType w:val="hybridMultilevel"/>
    <w:tmpl w:val="EA681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2920C53"/>
    <w:multiLevelType w:val="hybridMultilevel"/>
    <w:tmpl w:val="10AE35D2"/>
    <w:lvl w:ilvl="0" w:tplc="1B7AA0D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FF6375"/>
    <w:multiLevelType w:val="hybridMultilevel"/>
    <w:tmpl w:val="86C48E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5CE2C45"/>
    <w:multiLevelType w:val="hybridMultilevel"/>
    <w:tmpl w:val="F8880F78"/>
    <w:lvl w:ilvl="0" w:tplc="00B20D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6B009C"/>
    <w:multiLevelType w:val="hybridMultilevel"/>
    <w:tmpl w:val="FA484D16"/>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7F2067"/>
    <w:multiLevelType w:val="hybridMultilevel"/>
    <w:tmpl w:val="88664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EF0442"/>
    <w:multiLevelType w:val="hybridMultilevel"/>
    <w:tmpl w:val="4D92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3781F"/>
    <w:multiLevelType w:val="hybridMultilevel"/>
    <w:tmpl w:val="4D92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236C01"/>
    <w:multiLevelType w:val="hybridMultilevel"/>
    <w:tmpl w:val="7770A84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9">
    <w:nsid w:val="26A41784"/>
    <w:multiLevelType w:val="hybridMultilevel"/>
    <w:tmpl w:val="F4A03D82"/>
    <w:lvl w:ilvl="0" w:tplc="F1AA9BE0">
      <w:start w:val="17"/>
      <w:numFmt w:val="upperLetter"/>
      <w:lvlText w:val="%1."/>
      <w:lvlJc w:val="left"/>
      <w:pPr>
        <w:tabs>
          <w:tab w:val="num" w:pos="720"/>
        </w:tabs>
        <w:ind w:left="720" w:hanging="360"/>
      </w:pPr>
      <w:rPr>
        <w:rFonts w:hint="default"/>
      </w:rPr>
    </w:lvl>
    <w:lvl w:ilvl="1" w:tplc="5DBC51C4" w:tentative="1">
      <w:start w:val="1"/>
      <w:numFmt w:val="lowerLetter"/>
      <w:lvlText w:val="%2."/>
      <w:lvlJc w:val="left"/>
      <w:pPr>
        <w:tabs>
          <w:tab w:val="num" w:pos="1440"/>
        </w:tabs>
        <w:ind w:left="1440" w:hanging="360"/>
      </w:pPr>
    </w:lvl>
    <w:lvl w:ilvl="2" w:tplc="5E16F96A" w:tentative="1">
      <w:start w:val="1"/>
      <w:numFmt w:val="lowerRoman"/>
      <w:lvlText w:val="%3."/>
      <w:lvlJc w:val="right"/>
      <w:pPr>
        <w:tabs>
          <w:tab w:val="num" w:pos="2160"/>
        </w:tabs>
        <w:ind w:left="2160" w:hanging="180"/>
      </w:pPr>
    </w:lvl>
    <w:lvl w:ilvl="3" w:tplc="16F87258" w:tentative="1">
      <w:start w:val="1"/>
      <w:numFmt w:val="decimal"/>
      <w:lvlText w:val="%4."/>
      <w:lvlJc w:val="left"/>
      <w:pPr>
        <w:tabs>
          <w:tab w:val="num" w:pos="2880"/>
        </w:tabs>
        <w:ind w:left="2880" w:hanging="360"/>
      </w:pPr>
    </w:lvl>
    <w:lvl w:ilvl="4" w:tplc="F35E17BA" w:tentative="1">
      <w:start w:val="1"/>
      <w:numFmt w:val="lowerLetter"/>
      <w:lvlText w:val="%5."/>
      <w:lvlJc w:val="left"/>
      <w:pPr>
        <w:tabs>
          <w:tab w:val="num" w:pos="3600"/>
        </w:tabs>
        <w:ind w:left="3600" w:hanging="360"/>
      </w:pPr>
    </w:lvl>
    <w:lvl w:ilvl="5" w:tplc="940635D6" w:tentative="1">
      <w:start w:val="1"/>
      <w:numFmt w:val="lowerRoman"/>
      <w:lvlText w:val="%6."/>
      <w:lvlJc w:val="right"/>
      <w:pPr>
        <w:tabs>
          <w:tab w:val="num" w:pos="4320"/>
        </w:tabs>
        <w:ind w:left="4320" w:hanging="180"/>
      </w:pPr>
    </w:lvl>
    <w:lvl w:ilvl="6" w:tplc="DA1C1008" w:tentative="1">
      <w:start w:val="1"/>
      <w:numFmt w:val="decimal"/>
      <w:lvlText w:val="%7."/>
      <w:lvlJc w:val="left"/>
      <w:pPr>
        <w:tabs>
          <w:tab w:val="num" w:pos="5040"/>
        </w:tabs>
        <w:ind w:left="5040" w:hanging="360"/>
      </w:pPr>
    </w:lvl>
    <w:lvl w:ilvl="7" w:tplc="58809DF6" w:tentative="1">
      <w:start w:val="1"/>
      <w:numFmt w:val="lowerLetter"/>
      <w:lvlText w:val="%8."/>
      <w:lvlJc w:val="left"/>
      <w:pPr>
        <w:tabs>
          <w:tab w:val="num" w:pos="5760"/>
        </w:tabs>
        <w:ind w:left="5760" w:hanging="360"/>
      </w:pPr>
    </w:lvl>
    <w:lvl w:ilvl="8" w:tplc="4EC072D4" w:tentative="1">
      <w:start w:val="1"/>
      <w:numFmt w:val="lowerRoman"/>
      <w:lvlText w:val="%9."/>
      <w:lvlJc w:val="right"/>
      <w:pPr>
        <w:tabs>
          <w:tab w:val="num" w:pos="6480"/>
        </w:tabs>
        <w:ind w:left="6480" w:hanging="180"/>
      </w:pPr>
    </w:lvl>
  </w:abstractNum>
  <w:abstractNum w:abstractNumId="20">
    <w:nsid w:val="272562E0"/>
    <w:multiLevelType w:val="hybridMultilevel"/>
    <w:tmpl w:val="FC8C0D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2FF12F0"/>
    <w:multiLevelType w:val="hybridMultilevel"/>
    <w:tmpl w:val="8A3475DA"/>
    <w:lvl w:ilvl="0" w:tplc="D14603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43C240F"/>
    <w:multiLevelType w:val="hybridMultilevel"/>
    <w:tmpl w:val="C85888A6"/>
    <w:lvl w:ilvl="0" w:tplc="C9EC0F8E">
      <w:start w:val="3"/>
      <w:numFmt w:val="upperLetter"/>
      <w:lvlText w:val="%1."/>
      <w:lvlJc w:val="left"/>
      <w:pPr>
        <w:ind w:left="1080" w:hanging="360"/>
      </w:pPr>
      <w:rPr>
        <w:rFonts w:hint="default"/>
        <w:sz w:val="24"/>
        <w:szCs w:val="24"/>
      </w:rPr>
    </w:lvl>
    <w:lvl w:ilvl="1" w:tplc="B3EE557E">
      <w:start w:val="1"/>
      <w:numFmt w:val="lowerLetter"/>
      <w:lvlText w:val="%2."/>
      <w:lvlJc w:val="left"/>
      <w:pPr>
        <w:ind w:left="1800" w:hanging="360"/>
      </w:pPr>
      <w:rPr>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D08E7"/>
    <w:multiLevelType w:val="hybridMultilevel"/>
    <w:tmpl w:val="55E8FDA2"/>
    <w:lvl w:ilvl="0" w:tplc="381A9E2A">
      <w:start w:val="2"/>
      <w:numFmt w:val="decimal"/>
      <w:lvlText w:val="%1."/>
      <w:lvlJc w:val="left"/>
      <w:pPr>
        <w:ind w:left="1440" w:hanging="10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810112"/>
    <w:multiLevelType w:val="hybridMultilevel"/>
    <w:tmpl w:val="585403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3A840D9B"/>
    <w:multiLevelType w:val="hybridMultilevel"/>
    <w:tmpl w:val="373A21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3B9F08C7"/>
    <w:multiLevelType w:val="hybridMultilevel"/>
    <w:tmpl w:val="C5B42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94502B"/>
    <w:multiLevelType w:val="hybridMultilevel"/>
    <w:tmpl w:val="92C8A630"/>
    <w:lvl w:ilvl="0" w:tplc="2318B39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6465BF"/>
    <w:multiLevelType w:val="hybridMultilevel"/>
    <w:tmpl w:val="E7C62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2A4A8F"/>
    <w:multiLevelType w:val="hybridMultilevel"/>
    <w:tmpl w:val="6B6098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45F3360B"/>
    <w:multiLevelType w:val="hybridMultilevel"/>
    <w:tmpl w:val="2F2E8662"/>
    <w:lvl w:ilvl="0" w:tplc="2DA44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34249F"/>
    <w:multiLevelType w:val="hybridMultilevel"/>
    <w:tmpl w:val="2496D4EE"/>
    <w:lvl w:ilvl="0" w:tplc="D7A6A6DA">
      <w:start w:val="17"/>
      <w:numFmt w:val="upperLetter"/>
      <w:lvlText w:val="%1."/>
      <w:lvlJc w:val="left"/>
      <w:pPr>
        <w:tabs>
          <w:tab w:val="num" w:pos="1080"/>
        </w:tabs>
        <w:ind w:left="1080" w:hanging="720"/>
      </w:pPr>
      <w:rPr>
        <w:rFonts w:hint="default"/>
      </w:rPr>
    </w:lvl>
    <w:lvl w:ilvl="1" w:tplc="7672896E" w:tentative="1">
      <w:start w:val="1"/>
      <w:numFmt w:val="lowerLetter"/>
      <w:lvlText w:val="%2."/>
      <w:lvlJc w:val="left"/>
      <w:pPr>
        <w:tabs>
          <w:tab w:val="num" w:pos="1440"/>
        </w:tabs>
        <w:ind w:left="1440" w:hanging="360"/>
      </w:pPr>
    </w:lvl>
    <w:lvl w:ilvl="2" w:tplc="B5A613A8" w:tentative="1">
      <w:start w:val="1"/>
      <w:numFmt w:val="lowerRoman"/>
      <w:lvlText w:val="%3."/>
      <w:lvlJc w:val="right"/>
      <w:pPr>
        <w:tabs>
          <w:tab w:val="num" w:pos="2160"/>
        </w:tabs>
        <w:ind w:left="2160" w:hanging="180"/>
      </w:pPr>
    </w:lvl>
    <w:lvl w:ilvl="3" w:tplc="9B5EFDCA" w:tentative="1">
      <w:start w:val="1"/>
      <w:numFmt w:val="decimal"/>
      <w:lvlText w:val="%4."/>
      <w:lvlJc w:val="left"/>
      <w:pPr>
        <w:tabs>
          <w:tab w:val="num" w:pos="2880"/>
        </w:tabs>
        <w:ind w:left="2880" w:hanging="360"/>
      </w:pPr>
    </w:lvl>
    <w:lvl w:ilvl="4" w:tplc="B0F4066E" w:tentative="1">
      <w:start w:val="1"/>
      <w:numFmt w:val="lowerLetter"/>
      <w:lvlText w:val="%5."/>
      <w:lvlJc w:val="left"/>
      <w:pPr>
        <w:tabs>
          <w:tab w:val="num" w:pos="3600"/>
        </w:tabs>
        <w:ind w:left="3600" w:hanging="360"/>
      </w:pPr>
    </w:lvl>
    <w:lvl w:ilvl="5" w:tplc="E23CA704" w:tentative="1">
      <w:start w:val="1"/>
      <w:numFmt w:val="lowerRoman"/>
      <w:lvlText w:val="%6."/>
      <w:lvlJc w:val="right"/>
      <w:pPr>
        <w:tabs>
          <w:tab w:val="num" w:pos="4320"/>
        </w:tabs>
        <w:ind w:left="4320" w:hanging="180"/>
      </w:pPr>
    </w:lvl>
    <w:lvl w:ilvl="6" w:tplc="D3424988" w:tentative="1">
      <w:start w:val="1"/>
      <w:numFmt w:val="decimal"/>
      <w:lvlText w:val="%7."/>
      <w:lvlJc w:val="left"/>
      <w:pPr>
        <w:tabs>
          <w:tab w:val="num" w:pos="5040"/>
        </w:tabs>
        <w:ind w:left="5040" w:hanging="360"/>
      </w:pPr>
    </w:lvl>
    <w:lvl w:ilvl="7" w:tplc="36C6D93A" w:tentative="1">
      <w:start w:val="1"/>
      <w:numFmt w:val="lowerLetter"/>
      <w:lvlText w:val="%8."/>
      <w:lvlJc w:val="left"/>
      <w:pPr>
        <w:tabs>
          <w:tab w:val="num" w:pos="5760"/>
        </w:tabs>
        <w:ind w:left="5760" w:hanging="360"/>
      </w:pPr>
    </w:lvl>
    <w:lvl w:ilvl="8" w:tplc="20ACD912" w:tentative="1">
      <w:start w:val="1"/>
      <w:numFmt w:val="lowerRoman"/>
      <w:lvlText w:val="%9."/>
      <w:lvlJc w:val="right"/>
      <w:pPr>
        <w:tabs>
          <w:tab w:val="num" w:pos="6480"/>
        </w:tabs>
        <w:ind w:left="6480" w:hanging="180"/>
      </w:pPr>
    </w:lvl>
  </w:abstractNum>
  <w:abstractNum w:abstractNumId="32">
    <w:nsid w:val="50D25FF3"/>
    <w:multiLevelType w:val="hybridMultilevel"/>
    <w:tmpl w:val="E22E78B8"/>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3A2D8F"/>
    <w:multiLevelType w:val="hybridMultilevel"/>
    <w:tmpl w:val="3C5027A6"/>
    <w:lvl w:ilvl="0" w:tplc="41C2FA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F1642D"/>
    <w:multiLevelType w:val="hybridMultilevel"/>
    <w:tmpl w:val="54FA666C"/>
    <w:lvl w:ilvl="0" w:tplc="4C941E4A">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9E91456"/>
    <w:multiLevelType w:val="hybridMultilevel"/>
    <w:tmpl w:val="36E8E16A"/>
    <w:lvl w:ilvl="0" w:tplc="04090015">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6F541A"/>
    <w:multiLevelType w:val="hybridMultilevel"/>
    <w:tmpl w:val="0010D6B2"/>
    <w:lvl w:ilvl="0" w:tplc="5DB0A2F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A26719"/>
    <w:multiLevelType w:val="hybridMultilevel"/>
    <w:tmpl w:val="C0002FFC"/>
    <w:lvl w:ilvl="0" w:tplc="04090015">
      <w:start w:val="17"/>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E7FF2"/>
    <w:multiLevelType w:val="hybridMultilevel"/>
    <w:tmpl w:val="C2245F3E"/>
    <w:lvl w:ilvl="0" w:tplc="A14EC68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C122A38"/>
    <w:multiLevelType w:val="hybridMultilevel"/>
    <w:tmpl w:val="E29ACB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D62265F"/>
    <w:multiLevelType w:val="hybridMultilevel"/>
    <w:tmpl w:val="271E026E"/>
    <w:lvl w:ilvl="0" w:tplc="C2D4D992">
      <w:start w:val="17"/>
      <w:numFmt w:val="upperLetter"/>
      <w:lvlText w:val="%1."/>
      <w:lvlJc w:val="left"/>
      <w:pPr>
        <w:tabs>
          <w:tab w:val="num" w:pos="1080"/>
        </w:tabs>
        <w:ind w:left="1080" w:hanging="720"/>
      </w:pPr>
      <w:rPr>
        <w:rFonts w:hint="default"/>
        <w:b/>
      </w:rPr>
    </w:lvl>
    <w:lvl w:ilvl="1" w:tplc="3134DE36" w:tentative="1">
      <w:start w:val="1"/>
      <w:numFmt w:val="lowerLetter"/>
      <w:lvlText w:val="%2."/>
      <w:lvlJc w:val="left"/>
      <w:pPr>
        <w:tabs>
          <w:tab w:val="num" w:pos="1440"/>
        </w:tabs>
        <w:ind w:left="1440" w:hanging="360"/>
      </w:pPr>
    </w:lvl>
    <w:lvl w:ilvl="2" w:tplc="462EDC8C" w:tentative="1">
      <w:start w:val="1"/>
      <w:numFmt w:val="lowerRoman"/>
      <w:lvlText w:val="%3."/>
      <w:lvlJc w:val="right"/>
      <w:pPr>
        <w:tabs>
          <w:tab w:val="num" w:pos="2160"/>
        </w:tabs>
        <w:ind w:left="2160" w:hanging="180"/>
      </w:pPr>
    </w:lvl>
    <w:lvl w:ilvl="3" w:tplc="67B28486" w:tentative="1">
      <w:start w:val="1"/>
      <w:numFmt w:val="decimal"/>
      <w:lvlText w:val="%4."/>
      <w:lvlJc w:val="left"/>
      <w:pPr>
        <w:tabs>
          <w:tab w:val="num" w:pos="2880"/>
        </w:tabs>
        <w:ind w:left="2880" w:hanging="360"/>
      </w:pPr>
    </w:lvl>
    <w:lvl w:ilvl="4" w:tplc="95E2673E" w:tentative="1">
      <w:start w:val="1"/>
      <w:numFmt w:val="lowerLetter"/>
      <w:lvlText w:val="%5."/>
      <w:lvlJc w:val="left"/>
      <w:pPr>
        <w:tabs>
          <w:tab w:val="num" w:pos="3600"/>
        </w:tabs>
        <w:ind w:left="3600" w:hanging="360"/>
      </w:pPr>
    </w:lvl>
    <w:lvl w:ilvl="5" w:tplc="113EFB9C" w:tentative="1">
      <w:start w:val="1"/>
      <w:numFmt w:val="lowerRoman"/>
      <w:lvlText w:val="%6."/>
      <w:lvlJc w:val="right"/>
      <w:pPr>
        <w:tabs>
          <w:tab w:val="num" w:pos="4320"/>
        </w:tabs>
        <w:ind w:left="4320" w:hanging="180"/>
      </w:pPr>
    </w:lvl>
    <w:lvl w:ilvl="6" w:tplc="178E1CCC" w:tentative="1">
      <w:start w:val="1"/>
      <w:numFmt w:val="decimal"/>
      <w:lvlText w:val="%7."/>
      <w:lvlJc w:val="left"/>
      <w:pPr>
        <w:tabs>
          <w:tab w:val="num" w:pos="5040"/>
        </w:tabs>
        <w:ind w:left="5040" w:hanging="360"/>
      </w:pPr>
    </w:lvl>
    <w:lvl w:ilvl="7" w:tplc="3FF2B7B0" w:tentative="1">
      <w:start w:val="1"/>
      <w:numFmt w:val="lowerLetter"/>
      <w:lvlText w:val="%8."/>
      <w:lvlJc w:val="left"/>
      <w:pPr>
        <w:tabs>
          <w:tab w:val="num" w:pos="5760"/>
        </w:tabs>
        <w:ind w:left="5760" w:hanging="360"/>
      </w:pPr>
    </w:lvl>
    <w:lvl w:ilvl="8" w:tplc="560C5FD2" w:tentative="1">
      <w:start w:val="1"/>
      <w:numFmt w:val="lowerRoman"/>
      <w:lvlText w:val="%9."/>
      <w:lvlJc w:val="right"/>
      <w:pPr>
        <w:tabs>
          <w:tab w:val="num" w:pos="6480"/>
        </w:tabs>
        <w:ind w:left="6480" w:hanging="180"/>
      </w:pPr>
    </w:lvl>
  </w:abstractNum>
  <w:abstractNum w:abstractNumId="41">
    <w:nsid w:val="6EEA5183"/>
    <w:multiLevelType w:val="hybridMultilevel"/>
    <w:tmpl w:val="0D1E9F70"/>
    <w:lvl w:ilvl="0" w:tplc="76F8996A">
      <w:start w:val="17"/>
      <w:numFmt w:val="upperLetter"/>
      <w:lvlText w:val="%1."/>
      <w:lvlJc w:val="left"/>
      <w:pPr>
        <w:tabs>
          <w:tab w:val="num" w:pos="1080"/>
        </w:tabs>
        <w:ind w:left="1080" w:hanging="720"/>
      </w:pPr>
      <w:rPr>
        <w:rFonts w:hint="default"/>
        <w:b/>
      </w:rPr>
    </w:lvl>
    <w:lvl w:ilvl="1" w:tplc="0DA82DD8" w:tentative="1">
      <w:start w:val="1"/>
      <w:numFmt w:val="lowerLetter"/>
      <w:lvlText w:val="%2."/>
      <w:lvlJc w:val="left"/>
      <w:pPr>
        <w:tabs>
          <w:tab w:val="num" w:pos="1440"/>
        </w:tabs>
        <w:ind w:left="1440" w:hanging="360"/>
      </w:pPr>
    </w:lvl>
    <w:lvl w:ilvl="2" w:tplc="36AE04FC" w:tentative="1">
      <w:start w:val="1"/>
      <w:numFmt w:val="lowerRoman"/>
      <w:lvlText w:val="%3."/>
      <w:lvlJc w:val="right"/>
      <w:pPr>
        <w:tabs>
          <w:tab w:val="num" w:pos="2160"/>
        </w:tabs>
        <w:ind w:left="2160" w:hanging="180"/>
      </w:pPr>
    </w:lvl>
    <w:lvl w:ilvl="3" w:tplc="B6FEE19E" w:tentative="1">
      <w:start w:val="1"/>
      <w:numFmt w:val="decimal"/>
      <w:lvlText w:val="%4."/>
      <w:lvlJc w:val="left"/>
      <w:pPr>
        <w:tabs>
          <w:tab w:val="num" w:pos="2880"/>
        </w:tabs>
        <w:ind w:left="2880" w:hanging="360"/>
      </w:pPr>
    </w:lvl>
    <w:lvl w:ilvl="4" w:tplc="28C6B362" w:tentative="1">
      <w:start w:val="1"/>
      <w:numFmt w:val="lowerLetter"/>
      <w:lvlText w:val="%5."/>
      <w:lvlJc w:val="left"/>
      <w:pPr>
        <w:tabs>
          <w:tab w:val="num" w:pos="3600"/>
        </w:tabs>
        <w:ind w:left="3600" w:hanging="360"/>
      </w:pPr>
    </w:lvl>
    <w:lvl w:ilvl="5" w:tplc="5A26FC28" w:tentative="1">
      <w:start w:val="1"/>
      <w:numFmt w:val="lowerRoman"/>
      <w:lvlText w:val="%6."/>
      <w:lvlJc w:val="right"/>
      <w:pPr>
        <w:tabs>
          <w:tab w:val="num" w:pos="4320"/>
        </w:tabs>
        <w:ind w:left="4320" w:hanging="180"/>
      </w:pPr>
    </w:lvl>
    <w:lvl w:ilvl="6" w:tplc="11E4D454" w:tentative="1">
      <w:start w:val="1"/>
      <w:numFmt w:val="decimal"/>
      <w:lvlText w:val="%7."/>
      <w:lvlJc w:val="left"/>
      <w:pPr>
        <w:tabs>
          <w:tab w:val="num" w:pos="5040"/>
        </w:tabs>
        <w:ind w:left="5040" w:hanging="360"/>
      </w:pPr>
    </w:lvl>
    <w:lvl w:ilvl="7" w:tplc="5CC428EA" w:tentative="1">
      <w:start w:val="1"/>
      <w:numFmt w:val="lowerLetter"/>
      <w:lvlText w:val="%8."/>
      <w:lvlJc w:val="left"/>
      <w:pPr>
        <w:tabs>
          <w:tab w:val="num" w:pos="5760"/>
        </w:tabs>
        <w:ind w:left="5760" w:hanging="360"/>
      </w:pPr>
    </w:lvl>
    <w:lvl w:ilvl="8" w:tplc="061A62D2" w:tentative="1">
      <w:start w:val="1"/>
      <w:numFmt w:val="lowerRoman"/>
      <w:lvlText w:val="%9."/>
      <w:lvlJc w:val="right"/>
      <w:pPr>
        <w:tabs>
          <w:tab w:val="num" w:pos="6480"/>
        </w:tabs>
        <w:ind w:left="6480" w:hanging="180"/>
      </w:pPr>
    </w:lvl>
  </w:abstractNum>
  <w:abstractNum w:abstractNumId="42">
    <w:nsid w:val="72696CDF"/>
    <w:multiLevelType w:val="hybridMultilevel"/>
    <w:tmpl w:val="AF8AB520"/>
    <w:lvl w:ilvl="0" w:tplc="5ECE934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25F70"/>
    <w:multiLevelType w:val="hybridMultilevel"/>
    <w:tmpl w:val="362A46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07517E"/>
    <w:multiLevelType w:val="hybridMultilevel"/>
    <w:tmpl w:val="1126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8C7922"/>
    <w:multiLevelType w:val="hybridMultilevel"/>
    <w:tmpl w:val="D7AA20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BB113BE"/>
    <w:multiLevelType w:val="hybridMultilevel"/>
    <w:tmpl w:val="F356CD8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C961EA"/>
    <w:multiLevelType w:val="hybridMultilevel"/>
    <w:tmpl w:val="28DE548C"/>
    <w:lvl w:ilvl="0" w:tplc="366881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41"/>
  </w:num>
  <w:num w:numId="4">
    <w:abstractNumId w:val="3"/>
  </w:num>
  <w:num w:numId="5">
    <w:abstractNumId w:val="40"/>
  </w:num>
  <w:num w:numId="6">
    <w:abstractNumId w:val="31"/>
  </w:num>
  <w:num w:numId="7">
    <w:abstractNumId w:val="19"/>
  </w:num>
  <w:num w:numId="8">
    <w:abstractNumId w:val="39"/>
  </w:num>
  <w:num w:numId="9">
    <w:abstractNumId w:val="25"/>
  </w:num>
  <w:num w:numId="10">
    <w:abstractNumId w:val="12"/>
  </w:num>
  <w:num w:numId="11">
    <w:abstractNumId w:val="20"/>
  </w:num>
  <w:num w:numId="12">
    <w:abstractNumId w:val="2"/>
  </w:num>
  <w:num w:numId="13">
    <w:abstractNumId w:val="24"/>
  </w:num>
  <w:num w:numId="14">
    <w:abstractNumId w:val="10"/>
  </w:num>
  <w:num w:numId="15">
    <w:abstractNumId w:val="45"/>
  </w:num>
  <w:num w:numId="16">
    <w:abstractNumId w:val="38"/>
  </w:num>
  <w:num w:numId="17">
    <w:abstractNumId w:val="34"/>
  </w:num>
  <w:num w:numId="18">
    <w:abstractNumId w:val="32"/>
  </w:num>
  <w:num w:numId="19">
    <w:abstractNumId w:val="37"/>
  </w:num>
  <w:num w:numId="20">
    <w:abstractNumId w:val="11"/>
  </w:num>
  <w:num w:numId="21">
    <w:abstractNumId w:val="9"/>
  </w:num>
  <w:num w:numId="22">
    <w:abstractNumId w:val="29"/>
  </w:num>
  <w:num w:numId="23">
    <w:abstractNumId w:val="27"/>
  </w:num>
  <w:num w:numId="24">
    <w:abstractNumId w:val="36"/>
  </w:num>
  <w:num w:numId="25">
    <w:abstractNumId w:val="35"/>
  </w:num>
  <w:num w:numId="26">
    <w:abstractNumId w:val="14"/>
  </w:num>
  <w:num w:numId="27">
    <w:abstractNumId w:val="18"/>
  </w:num>
  <w:num w:numId="28">
    <w:abstractNumId w:val="7"/>
  </w:num>
  <w:num w:numId="29">
    <w:abstractNumId w:val="6"/>
  </w:num>
  <w:num w:numId="30">
    <w:abstractNumId w:val="1"/>
  </w:num>
  <w:num w:numId="31">
    <w:abstractNumId w:val="8"/>
  </w:num>
  <w:num w:numId="32">
    <w:abstractNumId w:val="16"/>
  </w:num>
  <w:num w:numId="33">
    <w:abstractNumId w:val="0"/>
  </w:num>
  <w:num w:numId="34">
    <w:abstractNumId w:val="33"/>
  </w:num>
  <w:num w:numId="35">
    <w:abstractNumId w:val="30"/>
  </w:num>
  <w:num w:numId="36">
    <w:abstractNumId w:val="42"/>
  </w:num>
  <w:num w:numId="37">
    <w:abstractNumId w:val="44"/>
  </w:num>
  <w:num w:numId="38">
    <w:abstractNumId w:val="17"/>
  </w:num>
  <w:num w:numId="39">
    <w:abstractNumId w:val="21"/>
  </w:num>
  <w:num w:numId="40">
    <w:abstractNumId w:val="22"/>
  </w:num>
  <w:num w:numId="41">
    <w:abstractNumId w:val="47"/>
  </w:num>
  <w:num w:numId="42">
    <w:abstractNumId w:val="13"/>
  </w:num>
  <w:num w:numId="43">
    <w:abstractNumId w:val="23"/>
  </w:num>
  <w:num w:numId="44">
    <w:abstractNumId w:val="43"/>
  </w:num>
  <w:num w:numId="45">
    <w:abstractNumId w:val="28"/>
  </w:num>
  <w:num w:numId="46">
    <w:abstractNumId w:val="46"/>
  </w:num>
  <w:num w:numId="47">
    <w:abstractNumId w:val="15"/>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nny Davis">
    <w15:presenceInfo w15:providerId="AD" w15:userId="S::gdavis@psc.ga.gov::12deb2cb-0b1a-489c-942a-567edf057948"/>
  </w15:person>
  <w15:person w15:author="Nancy Tyer">
    <w15:presenceInfo w15:providerId="AD" w15:userId="S::ntyer@psc.ga.gov::d65d6ac7-8eed-4248-b6a1-e2fc7f4addfc"/>
  </w15:person>
  <w15:person w15:author="Tom Bond">
    <w15:presenceInfo w15:providerId="AD" w15:userId="S::tbond@psc.ga.gov::1771b7f2-75ee-4720-bcb0-1ebed3f755ac"/>
  </w15:person>
  <w15:person w15:author="Tony Wackerly">
    <w15:presenceInfo w15:providerId="AD" w15:userId="S::twackerly@psc.ga.gov::2b60010b-dd74-418f-b850-f8ba507dd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47"/>
    <w:rsid w:val="00002327"/>
    <w:rsid w:val="000031A1"/>
    <w:rsid w:val="000039BC"/>
    <w:rsid w:val="00007F13"/>
    <w:rsid w:val="00010186"/>
    <w:rsid w:val="00011155"/>
    <w:rsid w:val="00012620"/>
    <w:rsid w:val="00013107"/>
    <w:rsid w:val="0001446F"/>
    <w:rsid w:val="000146C7"/>
    <w:rsid w:val="00014A70"/>
    <w:rsid w:val="00014BBF"/>
    <w:rsid w:val="00017A91"/>
    <w:rsid w:val="00020124"/>
    <w:rsid w:val="00020307"/>
    <w:rsid w:val="00020F15"/>
    <w:rsid w:val="00021261"/>
    <w:rsid w:val="00021F6B"/>
    <w:rsid w:val="0002405B"/>
    <w:rsid w:val="00030A93"/>
    <w:rsid w:val="000321FD"/>
    <w:rsid w:val="00033727"/>
    <w:rsid w:val="00033865"/>
    <w:rsid w:val="00035457"/>
    <w:rsid w:val="00035696"/>
    <w:rsid w:val="00036E1D"/>
    <w:rsid w:val="00037502"/>
    <w:rsid w:val="000404ED"/>
    <w:rsid w:val="000408C8"/>
    <w:rsid w:val="00040A4B"/>
    <w:rsid w:val="00041168"/>
    <w:rsid w:val="0004124F"/>
    <w:rsid w:val="00042F82"/>
    <w:rsid w:val="00043A72"/>
    <w:rsid w:val="00044205"/>
    <w:rsid w:val="0004571C"/>
    <w:rsid w:val="00046F4A"/>
    <w:rsid w:val="00047330"/>
    <w:rsid w:val="0005065B"/>
    <w:rsid w:val="00052717"/>
    <w:rsid w:val="000537D7"/>
    <w:rsid w:val="0005440D"/>
    <w:rsid w:val="00055AD6"/>
    <w:rsid w:val="00056AC3"/>
    <w:rsid w:val="00060844"/>
    <w:rsid w:val="00060BC6"/>
    <w:rsid w:val="000636EF"/>
    <w:rsid w:val="00065B69"/>
    <w:rsid w:val="00067C87"/>
    <w:rsid w:val="00071AD3"/>
    <w:rsid w:val="00071F56"/>
    <w:rsid w:val="00073464"/>
    <w:rsid w:val="00073492"/>
    <w:rsid w:val="00074105"/>
    <w:rsid w:val="00075B78"/>
    <w:rsid w:val="000764F2"/>
    <w:rsid w:val="00076CF0"/>
    <w:rsid w:val="00080AB6"/>
    <w:rsid w:val="0008131E"/>
    <w:rsid w:val="0008234D"/>
    <w:rsid w:val="00082397"/>
    <w:rsid w:val="0008255C"/>
    <w:rsid w:val="00083192"/>
    <w:rsid w:val="00083F75"/>
    <w:rsid w:val="0008495D"/>
    <w:rsid w:val="00085C27"/>
    <w:rsid w:val="00085D7B"/>
    <w:rsid w:val="00087950"/>
    <w:rsid w:val="000901B1"/>
    <w:rsid w:val="000902C3"/>
    <w:rsid w:val="000A0541"/>
    <w:rsid w:val="000A1277"/>
    <w:rsid w:val="000A1E6F"/>
    <w:rsid w:val="000A1FD5"/>
    <w:rsid w:val="000A2CC4"/>
    <w:rsid w:val="000B0EB3"/>
    <w:rsid w:val="000B1B50"/>
    <w:rsid w:val="000B21E1"/>
    <w:rsid w:val="000B2AB4"/>
    <w:rsid w:val="000B3C38"/>
    <w:rsid w:val="000B4F55"/>
    <w:rsid w:val="000B5800"/>
    <w:rsid w:val="000C23F4"/>
    <w:rsid w:val="000C2570"/>
    <w:rsid w:val="000C2BC2"/>
    <w:rsid w:val="000C3BAD"/>
    <w:rsid w:val="000C3DBF"/>
    <w:rsid w:val="000C4540"/>
    <w:rsid w:val="000C5584"/>
    <w:rsid w:val="000C58F6"/>
    <w:rsid w:val="000C59D0"/>
    <w:rsid w:val="000C729F"/>
    <w:rsid w:val="000D09EF"/>
    <w:rsid w:val="000D0EDC"/>
    <w:rsid w:val="000D1E27"/>
    <w:rsid w:val="000D2E21"/>
    <w:rsid w:val="000D386D"/>
    <w:rsid w:val="000D3C9C"/>
    <w:rsid w:val="000D3FF9"/>
    <w:rsid w:val="000E359A"/>
    <w:rsid w:val="000E45E8"/>
    <w:rsid w:val="000E468B"/>
    <w:rsid w:val="000E4DA0"/>
    <w:rsid w:val="000E54F4"/>
    <w:rsid w:val="000E600F"/>
    <w:rsid w:val="000E7817"/>
    <w:rsid w:val="000F095D"/>
    <w:rsid w:val="000F1957"/>
    <w:rsid w:val="000F1A87"/>
    <w:rsid w:val="000F1CBA"/>
    <w:rsid w:val="000F2810"/>
    <w:rsid w:val="000F285B"/>
    <w:rsid w:val="000F3A14"/>
    <w:rsid w:val="000F3BEC"/>
    <w:rsid w:val="000F5DC5"/>
    <w:rsid w:val="000F6FD4"/>
    <w:rsid w:val="000F7F5C"/>
    <w:rsid w:val="00102FF4"/>
    <w:rsid w:val="001036C6"/>
    <w:rsid w:val="001046B4"/>
    <w:rsid w:val="00106512"/>
    <w:rsid w:val="00106BCD"/>
    <w:rsid w:val="001127BD"/>
    <w:rsid w:val="001139CB"/>
    <w:rsid w:val="00113CC4"/>
    <w:rsid w:val="00114135"/>
    <w:rsid w:val="001146B6"/>
    <w:rsid w:val="00114BB1"/>
    <w:rsid w:val="00121723"/>
    <w:rsid w:val="0012243E"/>
    <w:rsid w:val="00127FC8"/>
    <w:rsid w:val="00130C5F"/>
    <w:rsid w:val="001313CC"/>
    <w:rsid w:val="00132EFA"/>
    <w:rsid w:val="00134427"/>
    <w:rsid w:val="00135870"/>
    <w:rsid w:val="00136030"/>
    <w:rsid w:val="00140227"/>
    <w:rsid w:val="00142927"/>
    <w:rsid w:val="00143EC2"/>
    <w:rsid w:val="00144633"/>
    <w:rsid w:val="001448E1"/>
    <w:rsid w:val="00146824"/>
    <w:rsid w:val="00151559"/>
    <w:rsid w:val="00151ABA"/>
    <w:rsid w:val="00153444"/>
    <w:rsid w:val="00154886"/>
    <w:rsid w:val="001604C8"/>
    <w:rsid w:val="00160D3C"/>
    <w:rsid w:val="00160FC6"/>
    <w:rsid w:val="001610C3"/>
    <w:rsid w:val="00161271"/>
    <w:rsid w:val="001650D1"/>
    <w:rsid w:val="00165110"/>
    <w:rsid w:val="001664C4"/>
    <w:rsid w:val="00166B17"/>
    <w:rsid w:val="001719BC"/>
    <w:rsid w:val="0017335C"/>
    <w:rsid w:val="00173A47"/>
    <w:rsid w:val="00174609"/>
    <w:rsid w:val="001749EC"/>
    <w:rsid w:val="001751AE"/>
    <w:rsid w:val="0018030D"/>
    <w:rsid w:val="00183A60"/>
    <w:rsid w:val="00184334"/>
    <w:rsid w:val="001845D6"/>
    <w:rsid w:val="00184627"/>
    <w:rsid w:val="001849D4"/>
    <w:rsid w:val="00185E4D"/>
    <w:rsid w:val="00186F74"/>
    <w:rsid w:val="001901E1"/>
    <w:rsid w:val="0019430F"/>
    <w:rsid w:val="001954A3"/>
    <w:rsid w:val="00195761"/>
    <w:rsid w:val="00196B8E"/>
    <w:rsid w:val="00196C3F"/>
    <w:rsid w:val="00197374"/>
    <w:rsid w:val="0019744D"/>
    <w:rsid w:val="001A1543"/>
    <w:rsid w:val="001A3D56"/>
    <w:rsid w:val="001A3F33"/>
    <w:rsid w:val="001A3F59"/>
    <w:rsid w:val="001A584E"/>
    <w:rsid w:val="001A73DF"/>
    <w:rsid w:val="001A7751"/>
    <w:rsid w:val="001B2978"/>
    <w:rsid w:val="001B339B"/>
    <w:rsid w:val="001B3609"/>
    <w:rsid w:val="001B38B7"/>
    <w:rsid w:val="001B422E"/>
    <w:rsid w:val="001B688B"/>
    <w:rsid w:val="001B7829"/>
    <w:rsid w:val="001C0819"/>
    <w:rsid w:val="001C259A"/>
    <w:rsid w:val="001C2D48"/>
    <w:rsid w:val="001C37D1"/>
    <w:rsid w:val="001C46B4"/>
    <w:rsid w:val="001C4FD9"/>
    <w:rsid w:val="001C6763"/>
    <w:rsid w:val="001D0143"/>
    <w:rsid w:val="001D01C8"/>
    <w:rsid w:val="001D1A76"/>
    <w:rsid w:val="001D5B21"/>
    <w:rsid w:val="001D7256"/>
    <w:rsid w:val="001E0ADC"/>
    <w:rsid w:val="001E0F6F"/>
    <w:rsid w:val="001E277A"/>
    <w:rsid w:val="001E3F93"/>
    <w:rsid w:val="001E4DFA"/>
    <w:rsid w:val="001E5F56"/>
    <w:rsid w:val="001E62F4"/>
    <w:rsid w:val="001E6DBF"/>
    <w:rsid w:val="001E7B72"/>
    <w:rsid w:val="001F2B84"/>
    <w:rsid w:val="001F3B91"/>
    <w:rsid w:val="001F523E"/>
    <w:rsid w:val="001F56A0"/>
    <w:rsid w:val="001F7ED0"/>
    <w:rsid w:val="00201F79"/>
    <w:rsid w:val="00202298"/>
    <w:rsid w:val="00202A17"/>
    <w:rsid w:val="00205B50"/>
    <w:rsid w:val="00206660"/>
    <w:rsid w:val="002067E2"/>
    <w:rsid w:val="002070C4"/>
    <w:rsid w:val="00213D2B"/>
    <w:rsid w:val="00216327"/>
    <w:rsid w:val="0021739A"/>
    <w:rsid w:val="002207EF"/>
    <w:rsid w:val="0022085B"/>
    <w:rsid w:val="0022232D"/>
    <w:rsid w:val="00223841"/>
    <w:rsid w:val="00224429"/>
    <w:rsid w:val="00225903"/>
    <w:rsid w:val="0022597B"/>
    <w:rsid w:val="00227D41"/>
    <w:rsid w:val="00230FAA"/>
    <w:rsid w:val="002313FC"/>
    <w:rsid w:val="0023146E"/>
    <w:rsid w:val="002346EC"/>
    <w:rsid w:val="00234B9E"/>
    <w:rsid w:val="00234D0B"/>
    <w:rsid w:val="00237EF1"/>
    <w:rsid w:val="00240ED0"/>
    <w:rsid w:val="00241984"/>
    <w:rsid w:val="00242B65"/>
    <w:rsid w:val="002441AD"/>
    <w:rsid w:val="00244431"/>
    <w:rsid w:val="00245E70"/>
    <w:rsid w:val="0024777D"/>
    <w:rsid w:val="00250024"/>
    <w:rsid w:val="0025180A"/>
    <w:rsid w:val="00252772"/>
    <w:rsid w:val="00252F0E"/>
    <w:rsid w:val="00254603"/>
    <w:rsid w:val="00254B33"/>
    <w:rsid w:val="00256097"/>
    <w:rsid w:val="002561FC"/>
    <w:rsid w:val="00257EE5"/>
    <w:rsid w:val="0026055B"/>
    <w:rsid w:val="00261AC2"/>
    <w:rsid w:val="00261EA0"/>
    <w:rsid w:val="00261FF4"/>
    <w:rsid w:val="00262455"/>
    <w:rsid w:val="002628A6"/>
    <w:rsid w:val="00264BC2"/>
    <w:rsid w:val="002651EF"/>
    <w:rsid w:val="00265D34"/>
    <w:rsid w:val="002663E7"/>
    <w:rsid w:val="0026680C"/>
    <w:rsid w:val="0026685E"/>
    <w:rsid w:val="00266BE2"/>
    <w:rsid w:val="002702E9"/>
    <w:rsid w:val="002706AA"/>
    <w:rsid w:val="00271661"/>
    <w:rsid w:val="00272362"/>
    <w:rsid w:val="00272AE4"/>
    <w:rsid w:val="00272C45"/>
    <w:rsid w:val="00273F27"/>
    <w:rsid w:val="0027412B"/>
    <w:rsid w:val="002743FD"/>
    <w:rsid w:val="00275435"/>
    <w:rsid w:val="002759DA"/>
    <w:rsid w:val="0028212A"/>
    <w:rsid w:val="002824DB"/>
    <w:rsid w:val="002835A2"/>
    <w:rsid w:val="0028361C"/>
    <w:rsid w:val="002861C4"/>
    <w:rsid w:val="00287AE0"/>
    <w:rsid w:val="00287D96"/>
    <w:rsid w:val="002903DF"/>
    <w:rsid w:val="00291626"/>
    <w:rsid w:val="00293DA5"/>
    <w:rsid w:val="00294EA8"/>
    <w:rsid w:val="002A1AD3"/>
    <w:rsid w:val="002A3701"/>
    <w:rsid w:val="002A4802"/>
    <w:rsid w:val="002A4DA3"/>
    <w:rsid w:val="002A7F71"/>
    <w:rsid w:val="002B0E16"/>
    <w:rsid w:val="002B1908"/>
    <w:rsid w:val="002B2638"/>
    <w:rsid w:val="002B3270"/>
    <w:rsid w:val="002B462B"/>
    <w:rsid w:val="002B5604"/>
    <w:rsid w:val="002B5E7B"/>
    <w:rsid w:val="002C1216"/>
    <w:rsid w:val="002C1B80"/>
    <w:rsid w:val="002C32C6"/>
    <w:rsid w:val="002C4AC8"/>
    <w:rsid w:val="002C717A"/>
    <w:rsid w:val="002C7B2A"/>
    <w:rsid w:val="002D24D2"/>
    <w:rsid w:val="002D28FF"/>
    <w:rsid w:val="002D35CC"/>
    <w:rsid w:val="002D3B4F"/>
    <w:rsid w:val="002D4EF6"/>
    <w:rsid w:val="002D637D"/>
    <w:rsid w:val="002D74AD"/>
    <w:rsid w:val="002D7502"/>
    <w:rsid w:val="002D7718"/>
    <w:rsid w:val="002E0D14"/>
    <w:rsid w:val="002E1AED"/>
    <w:rsid w:val="002E24FF"/>
    <w:rsid w:val="002E7DE8"/>
    <w:rsid w:val="002E7FAC"/>
    <w:rsid w:val="002F0E01"/>
    <w:rsid w:val="002F0FED"/>
    <w:rsid w:val="002F26FE"/>
    <w:rsid w:val="002F2AF9"/>
    <w:rsid w:val="002F30D0"/>
    <w:rsid w:val="002F31D2"/>
    <w:rsid w:val="002F391E"/>
    <w:rsid w:val="002F59FF"/>
    <w:rsid w:val="002F79B9"/>
    <w:rsid w:val="00300655"/>
    <w:rsid w:val="00300E17"/>
    <w:rsid w:val="00302373"/>
    <w:rsid w:val="0030255E"/>
    <w:rsid w:val="00303DA1"/>
    <w:rsid w:val="00304C1F"/>
    <w:rsid w:val="00304F92"/>
    <w:rsid w:val="00305F7F"/>
    <w:rsid w:val="003060D6"/>
    <w:rsid w:val="0030720D"/>
    <w:rsid w:val="0030725E"/>
    <w:rsid w:val="0030787C"/>
    <w:rsid w:val="00310191"/>
    <w:rsid w:val="00312728"/>
    <w:rsid w:val="00312A74"/>
    <w:rsid w:val="00313689"/>
    <w:rsid w:val="00314093"/>
    <w:rsid w:val="00314837"/>
    <w:rsid w:val="00314D17"/>
    <w:rsid w:val="003152CA"/>
    <w:rsid w:val="00316A7D"/>
    <w:rsid w:val="00317C59"/>
    <w:rsid w:val="0032123B"/>
    <w:rsid w:val="0032707E"/>
    <w:rsid w:val="00327DCF"/>
    <w:rsid w:val="00327DDC"/>
    <w:rsid w:val="00330E7E"/>
    <w:rsid w:val="00332448"/>
    <w:rsid w:val="0033321D"/>
    <w:rsid w:val="0033358A"/>
    <w:rsid w:val="0033456E"/>
    <w:rsid w:val="0033508A"/>
    <w:rsid w:val="0033572E"/>
    <w:rsid w:val="003375EC"/>
    <w:rsid w:val="00337831"/>
    <w:rsid w:val="00337D49"/>
    <w:rsid w:val="00340E94"/>
    <w:rsid w:val="00340EAB"/>
    <w:rsid w:val="00343EDB"/>
    <w:rsid w:val="0034461A"/>
    <w:rsid w:val="00345336"/>
    <w:rsid w:val="0034585E"/>
    <w:rsid w:val="00346674"/>
    <w:rsid w:val="00351E75"/>
    <w:rsid w:val="00352871"/>
    <w:rsid w:val="00360AAA"/>
    <w:rsid w:val="0036167D"/>
    <w:rsid w:val="00362319"/>
    <w:rsid w:val="00364191"/>
    <w:rsid w:val="00365437"/>
    <w:rsid w:val="003664F7"/>
    <w:rsid w:val="003702A8"/>
    <w:rsid w:val="00370D7F"/>
    <w:rsid w:val="00370EF9"/>
    <w:rsid w:val="003710DF"/>
    <w:rsid w:val="00371313"/>
    <w:rsid w:val="0037351E"/>
    <w:rsid w:val="003748E6"/>
    <w:rsid w:val="00380C23"/>
    <w:rsid w:val="0038160D"/>
    <w:rsid w:val="00383536"/>
    <w:rsid w:val="00385960"/>
    <w:rsid w:val="003859F1"/>
    <w:rsid w:val="00385AF4"/>
    <w:rsid w:val="00385DD4"/>
    <w:rsid w:val="00386495"/>
    <w:rsid w:val="00387FE7"/>
    <w:rsid w:val="003905A5"/>
    <w:rsid w:val="00390AC8"/>
    <w:rsid w:val="00390F61"/>
    <w:rsid w:val="00391B8A"/>
    <w:rsid w:val="00391D27"/>
    <w:rsid w:val="003953C4"/>
    <w:rsid w:val="00395E8B"/>
    <w:rsid w:val="00395F82"/>
    <w:rsid w:val="003960AC"/>
    <w:rsid w:val="003A0ABC"/>
    <w:rsid w:val="003A11E8"/>
    <w:rsid w:val="003A232C"/>
    <w:rsid w:val="003A3F5F"/>
    <w:rsid w:val="003A54B4"/>
    <w:rsid w:val="003A5903"/>
    <w:rsid w:val="003A6523"/>
    <w:rsid w:val="003B185A"/>
    <w:rsid w:val="003B1CBA"/>
    <w:rsid w:val="003B33F8"/>
    <w:rsid w:val="003B4EA4"/>
    <w:rsid w:val="003B5B0F"/>
    <w:rsid w:val="003C19F1"/>
    <w:rsid w:val="003C319C"/>
    <w:rsid w:val="003C518F"/>
    <w:rsid w:val="003C5E73"/>
    <w:rsid w:val="003C7080"/>
    <w:rsid w:val="003D26FA"/>
    <w:rsid w:val="003D31BD"/>
    <w:rsid w:val="003E05D4"/>
    <w:rsid w:val="003E1FFA"/>
    <w:rsid w:val="003E320B"/>
    <w:rsid w:val="003E32BE"/>
    <w:rsid w:val="003E3858"/>
    <w:rsid w:val="003E4315"/>
    <w:rsid w:val="003E4F6E"/>
    <w:rsid w:val="003E5DA7"/>
    <w:rsid w:val="003E743A"/>
    <w:rsid w:val="003F1544"/>
    <w:rsid w:val="003F16C8"/>
    <w:rsid w:val="003F2B85"/>
    <w:rsid w:val="003F521F"/>
    <w:rsid w:val="003F59FF"/>
    <w:rsid w:val="003F71EE"/>
    <w:rsid w:val="003F7222"/>
    <w:rsid w:val="003F7BB2"/>
    <w:rsid w:val="00400008"/>
    <w:rsid w:val="0040218D"/>
    <w:rsid w:val="00402DC0"/>
    <w:rsid w:val="00403129"/>
    <w:rsid w:val="004052C8"/>
    <w:rsid w:val="00405FD4"/>
    <w:rsid w:val="0040724C"/>
    <w:rsid w:val="00411D0B"/>
    <w:rsid w:val="00414C83"/>
    <w:rsid w:val="00415B06"/>
    <w:rsid w:val="00415BEC"/>
    <w:rsid w:val="00417B11"/>
    <w:rsid w:val="00417B7E"/>
    <w:rsid w:val="004203AD"/>
    <w:rsid w:val="0042151B"/>
    <w:rsid w:val="00424CA1"/>
    <w:rsid w:val="00425A82"/>
    <w:rsid w:val="00425EA0"/>
    <w:rsid w:val="004268C4"/>
    <w:rsid w:val="00426D9C"/>
    <w:rsid w:val="00426FBF"/>
    <w:rsid w:val="00427DCA"/>
    <w:rsid w:val="004325A0"/>
    <w:rsid w:val="00432D46"/>
    <w:rsid w:val="00433FF4"/>
    <w:rsid w:val="004345D5"/>
    <w:rsid w:val="00434BF6"/>
    <w:rsid w:val="00435602"/>
    <w:rsid w:val="0043703D"/>
    <w:rsid w:val="00440A5D"/>
    <w:rsid w:val="004417EE"/>
    <w:rsid w:val="004418E1"/>
    <w:rsid w:val="00442DAF"/>
    <w:rsid w:val="00447BF8"/>
    <w:rsid w:val="00447D67"/>
    <w:rsid w:val="004524D3"/>
    <w:rsid w:val="004531C1"/>
    <w:rsid w:val="00453389"/>
    <w:rsid w:val="00453647"/>
    <w:rsid w:val="00454AF8"/>
    <w:rsid w:val="00455F06"/>
    <w:rsid w:val="00456DD2"/>
    <w:rsid w:val="00456F49"/>
    <w:rsid w:val="00461CD1"/>
    <w:rsid w:val="0046285D"/>
    <w:rsid w:val="004633D7"/>
    <w:rsid w:val="004642DD"/>
    <w:rsid w:val="00466295"/>
    <w:rsid w:val="004664FA"/>
    <w:rsid w:val="004743DC"/>
    <w:rsid w:val="0047449B"/>
    <w:rsid w:val="00476D66"/>
    <w:rsid w:val="00477555"/>
    <w:rsid w:val="00477B8E"/>
    <w:rsid w:val="00477DE1"/>
    <w:rsid w:val="00480C0F"/>
    <w:rsid w:val="004823E3"/>
    <w:rsid w:val="00483203"/>
    <w:rsid w:val="00483385"/>
    <w:rsid w:val="00484503"/>
    <w:rsid w:val="00485ED4"/>
    <w:rsid w:val="004875CF"/>
    <w:rsid w:val="00487DD1"/>
    <w:rsid w:val="0049088B"/>
    <w:rsid w:val="00491131"/>
    <w:rsid w:val="004916C0"/>
    <w:rsid w:val="00491DC4"/>
    <w:rsid w:val="00492AE2"/>
    <w:rsid w:val="00493EFE"/>
    <w:rsid w:val="004953EA"/>
    <w:rsid w:val="004A126D"/>
    <w:rsid w:val="004A1559"/>
    <w:rsid w:val="004A5B9F"/>
    <w:rsid w:val="004A74FE"/>
    <w:rsid w:val="004B609D"/>
    <w:rsid w:val="004B615A"/>
    <w:rsid w:val="004C0D4D"/>
    <w:rsid w:val="004C10E9"/>
    <w:rsid w:val="004C33C1"/>
    <w:rsid w:val="004C3454"/>
    <w:rsid w:val="004C433C"/>
    <w:rsid w:val="004C5FD2"/>
    <w:rsid w:val="004C65B5"/>
    <w:rsid w:val="004C6E69"/>
    <w:rsid w:val="004C6F12"/>
    <w:rsid w:val="004C725F"/>
    <w:rsid w:val="004D1E74"/>
    <w:rsid w:val="004D200C"/>
    <w:rsid w:val="004D358C"/>
    <w:rsid w:val="004D3A2B"/>
    <w:rsid w:val="004D3BEC"/>
    <w:rsid w:val="004D5CC3"/>
    <w:rsid w:val="004D6A02"/>
    <w:rsid w:val="004D7D4D"/>
    <w:rsid w:val="004E5CD3"/>
    <w:rsid w:val="004E7F89"/>
    <w:rsid w:val="004F048C"/>
    <w:rsid w:val="004F209F"/>
    <w:rsid w:val="004F2B73"/>
    <w:rsid w:val="004F3D2F"/>
    <w:rsid w:val="004F445F"/>
    <w:rsid w:val="004F640E"/>
    <w:rsid w:val="004F67B0"/>
    <w:rsid w:val="005007EB"/>
    <w:rsid w:val="00500A2F"/>
    <w:rsid w:val="0050111E"/>
    <w:rsid w:val="00501986"/>
    <w:rsid w:val="00501D91"/>
    <w:rsid w:val="005052A0"/>
    <w:rsid w:val="005063C9"/>
    <w:rsid w:val="00507284"/>
    <w:rsid w:val="005103E1"/>
    <w:rsid w:val="00510B34"/>
    <w:rsid w:val="0051151A"/>
    <w:rsid w:val="00511C33"/>
    <w:rsid w:val="005151A9"/>
    <w:rsid w:val="005154A4"/>
    <w:rsid w:val="00515551"/>
    <w:rsid w:val="0051564F"/>
    <w:rsid w:val="00515747"/>
    <w:rsid w:val="005159AA"/>
    <w:rsid w:val="00516685"/>
    <w:rsid w:val="005170F1"/>
    <w:rsid w:val="00517A30"/>
    <w:rsid w:val="0052080E"/>
    <w:rsid w:val="00521479"/>
    <w:rsid w:val="00521743"/>
    <w:rsid w:val="00521C99"/>
    <w:rsid w:val="005230C0"/>
    <w:rsid w:val="00523A45"/>
    <w:rsid w:val="0052443E"/>
    <w:rsid w:val="005244DA"/>
    <w:rsid w:val="00524A08"/>
    <w:rsid w:val="00526F27"/>
    <w:rsid w:val="00531539"/>
    <w:rsid w:val="005352FA"/>
    <w:rsid w:val="005356B7"/>
    <w:rsid w:val="00535AF5"/>
    <w:rsid w:val="00535E6F"/>
    <w:rsid w:val="0053760D"/>
    <w:rsid w:val="00537BF3"/>
    <w:rsid w:val="00537DCC"/>
    <w:rsid w:val="0054100C"/>
    <w:rsid w:val="0054215E"/>
    <w:rsid w:val="00542528"/>
    <w:rsid w:val="005426E2"/>
    <w:rsid w:val="00544857"/>
    <w:rsid w:val="00544B16"/>
    <w:rsid w:val="00544D7D"/>
    <w:rsid w:val="00546136"/>
    <w:rsid w:val="00547FFE"/>
    <w:rsid w:val="005532AB"/>
    <w:rsid w:val="00553F4D"/>
    <w:rsid w:val="00554C3A"/>
    <w:rsid w:val="00555BE9"/>
    <w:rsid w:val="005568AD"/>
    <w:rsid w:val="00560A48"/>
    <w:rsid w:val="00563619"/>
    <w:rsid w:val="005639D5"/>
    <w:rsid w:val="00563D8B"/>
    <w:rsid w:val="0056446A"/>
    <w:rsid w:val="0056473D"/>
    <w:rsid w:val="0056484C"/>
    <w:rsid w:val="00565F2A"/>
    <w:rsid w:val="005701DE"/>
    <w:rsid w:val="00573876"/>
    <w:rsid w:val="005768F5"/>
    <w:rsid w:val="00576DF5"/>
    <w:rsid w:val="005813BC"/>
    <w:rsid w:val="0058198A"/>
    <w:rsid w:val="00584360"/>
    <w:rsid w:val="00584A58"/>
    <w:rsid w:val="005873FE"/>
    <w:rsid w:val="005877E3"/>
    <w:rsid w:val="00587945"/>
    <w:rsid w:val="00587C56"/>
    <w:rsid w:val="00587E01"/>
    <w:rsid w:val="0059389E"/>
    <w:rsid w:val="00594B4F"/>
    <w:rsid w:val="00597DCA"/>
    <w:rsid w:val="005A0718"/>
    <w:rsid w:val="005A1C0B"/>
    <w:rsid w:val="005A4F18"/>
    <w:rsid w:val="005A6700"/>
    <w:rsid w:val="005B06E6"/>
    <w:rsid w:val="005B0831"/>
    <w:rsid w:val="005B1C3F"/>
    <w:rsid w:val="005B1F42"/>
    <w:rsid w:val="005B2C34"/>
    <w:rsid w:val="005B344B"/>
    <w:rsid w:val="005B46AB"/>
    <w:rsid w:val="005B590E"/>
    <w:rsid w:val="005B67E0"/>
    <w:rsid w:val="005B6F47"/>
    <w:rsid w:val="005B7625"/>
    <w:rsid w:val="005B79D6"/>
    <w:rsid w:val="005C081D"/>
    <w:rsid w:val="005C09E6"/>
    <w:rsid w:val="005C2567"/>
    <w:rsid w:val="005C25CA"/>
    <w:rsid w:val="005C2AA1"/>
    <w:rsid w:val="005C5B1F"/>
    <w:rsid w:val="005C613A"/>
    <w:rsid w:val="005C6EEB"/>
    <w:rsid w:val="005C7F39"/>
    <w:rsid w:val="005D0AAC"/>
    <w:rsid w:val="005D0BB9"/>
    <w:rsid w:val="005D2511"/>
    <w:rsid w:val="005D26E4"/>
    <w:rsid w:val="005D38F0"/>
    <w:rsid w:val="005D3D45"/>
    <w:rsid w:val="005D7F6A"/>
    <w:rsid w:val="005E15E0"/>
    <w:rsid w:val="005E2B3B"/>
    <w:rsid w:val="005E30D0"/>
    <w:rsid w:val="005E4193"/>
    <w:rsid w:val="005E43BC"/>
    <w:rsid w:val="005E47FF"/>
    <w:rsid w:val="005E4C4B"/>
    <w:rsid w:val="005E52FF"/>
    <w:rsid w:val="005E5FD2"/>
    <w:rsid w:val="005E740F"/>
    <w:rsid w:val="005E74AF"/>
    <w:rsid w:val="005E784F"/>
    <w:rsid w:val="005F2F5F"/>
    <w:rsid w:val="005F4E13"/>
    <w:rsid w:val="005F501C"/>
    <w:rsid w:val="005F58B7"/>
    <w:rsid w:val="005F60BA"/>
    <w:rsid w:val="005F6760"/>
    <w:rsid w:val="005F6AA0"/>
    <w:rsid w:val="005F6FE9"/>
    <w:rsid w:val="005F7716"/>
    <w:rsid w:val="00600E04"/>
    <w:rsid w:val="00602512"/>
    <w:rsid w:val="00603D91"/>
    <w:rsid w:val="00604EB8"/>
    <w:rsid w:val="00606940"/>
    <w:rsid w:val="00610068"/>
    <w:rsid w:val="006109E0"/>
    <w:rsid w:val="00613DB2"/>
    <w:rsid w:val="00613E07"/>
    <w:rsid w:val="00613F1E"/>
    <w:rsid w:val="00614967"/>
    <w:rsid w:val="00615000"/>
    <w:rsid w:val="006151DC"/>
    <w:rsid w:val="00615668"/>
    <w:rsid w:val="006168E6"/>
    <w:rsid w:val="00617BD5"/>
    <w:rsid w:val="0062093C"/>
    <w:rsid w:val="00622B25"/>
    <w:rsid w:val="00624208"/>
    <w:rsid w:val="0062461E"/>
    <w:rsid w:val="00630D19"/>
    <w:rsid w:val="006326A6"/>
    <w:rsid w:val="00633B92"/>
    <w:rsid w:val="00633E6F"/>
    <w:rsid w:val="0063458B"/>
    <w:rsid w:val="00634F00"/>
    <w:rsid w:val="00636518"/>
    <w:rsid w:val="006372CB"/>
    <w:rsid w:val="00641921"/>
    <w:rsid w:val="006422A7"/>
    <w:rsid w:val="00643247"/>
    <w:rsid w:val="006447D1"/>
    <w:rsid w:val="00645250"/>
    <w:rsid w:val="00645911"/>
    <w:rsid w:val="006468E2"/>
    <w:rsid w:val="00646BA6"/>
    <w:rsid w:val="006478D1"/>
    <w:rsid w:val="0065024F"/>
    <w:rsid w:val="00650F8A"/>
    <w:rsid w:val="00651FC2"/>
    <w:rsid w:val="00652B76"/>
    <w:rsid w:val="00652FFA"/>
    <w:rsid w:val="00653659"/>
    <w:rsid w:val="0065429C"/>
    <w:rsid w:val="00655304"/>
    <w:rsid w:val="00656385"/>
    <w:rsid w:val="0065638F"/>
    <w:rsid w:val="00656E79"/>
    <w:rsid w:val="00657550"/>
    <w:rsid w:val="00657595"/>
    <w:rsid w:val="00660C4D"/>
    <w:rsid w:val="00661AB3"/>
    <w:rsid w:val="00662455"/>
    <w:rsid w:val="0066386D"/>
    <w:rsid w:val="00663C5F"/>
    <w:rsid w:val="006657DC"/>
    <w:rsid w:val="0066592E"/>
    <w:rsid w:val="00665967"/>
    <w:rsid w:val="00667573"/>
    <w:rsid w:val="00671751"/>
    <w:rsid w:val="00672C30"/>
    <w:rsid w:val="00673641"/>
    <w:rsid w:val="006746F7"/>
    <w:rsid w:val="0067653E"/>
    <w:rsid w:val="006811B3"/>
    <w:rsid w:val="0068158E"/>
    <w:rsid w:val="00681BA3"/>
    <w:rsid w:val="00681BD5"/>
    <w:rsid w:val="00682C51"/>
    <w:rsid w:val="0068427B"/>
    <w:rsid w:val="00684AC0"/>
    <w:rsid w:val="0068539C"/>
    <w:rsid w:val="00685423"/>
    <w:rsid w:val="006871BD"/>
    <w:rsid w:val="00687448"/>
    <w:rsid w:val="00687934"/>
    <w:rsid w:val="0069137C"/>
    <w:rsid w:val="00691CE4"/>
    <w:rsid w:val="00693560"/>
    <w:rsid w:val="00694C19"/>
    <w:rsid w:val="006952E3"/>
    <w:rsid w:val="00696D44"/>
    <w:rsid w:val="006976E2"/>
    <w:rsid w:val="00697D4F"/>
    <w:rsid w:val="006A1FAF"/>
    <w:rsid w:val="006A2021"/>
    <w:rsid w:val="006A2462"/>
    <w:rsid w:val="006A3659"/>
    <w:rsid w:val="006A3B71"/>
    <w:rsid w:val="006A6078"/>
    <w:rsid w:val="006A666B"/>
    <w:rsid w:val="006A7925"/>
    <w:rsid w:val="006B0BC3"/>
    <w:rsid w:val="006B1BFA"/>
    <w:rsid w:val="006B1D7F"/>
    <w:rsid w:val="006B4B40"/>
    <w:rsid w:val="006B6B54"/>
    <w:rsid w:val="006C18D4"/>
    <w:rsid w:val="006C229F"/>
    <w:rsid w:val="006C32F0"/>
    <w:rsid w:val="006C54F5"/>
    <w:rsid w:val="006C5D7D"/>
    <w:rsid w:val="006C61A9"/>
    <w:rsid w:val="006C6868"/>
    <w:rsid w:val="006C73D4"/>
    <w:rsid w:val="006D0641"/>
    <w:rsid w:val="006D2349"/>
    <w:rsid w:val="006D23CC"/>
    <w:rsid w:val="006D587C"/>
    <w:rsid w:val="006D7177"/>
    <w:rsid w:val="006D7629"/>
    <w:rsid w:val="006E1096"/>
    <w:rsid w:val="006E1423"/>
    <w:rsid w:val="006E2396"/>
    <w:rsid w:val="006E2A48"/>
    <w:rsid w:val="006E46B2"/>
    <w:rsid w:val="006E4941"/>
    <w:rsid w:val="006E4E71"/>
    <w:rsid w:val="006E5B61"/>
    <w:rsid w:val="006E654E"/>
    <w:rsid w:val="006E6905"/>
    <w:rsid w:val="006E7113"/>
    <w:rsid w:val="006E7948"/>
    <w:rsid w:val="006F365B"/>
    <w:rsid w:val="006F41BD"/>
    <w:rsid w:val="006F45AD"/>
    <w:rsid w:val="006F5C2E"/>
    <w:rsid w:val="006F60E6"/>
    <w:rsid w:val="006F6884"/>
    <w:rsid w:val="007023F3"/>
    <w:rsid w:val="00702F07"/>
    <w:rsid w:val="0070319B"/>
    <w:rsid w:val="00703CA0"/>
    <w:rsid w:val="00703FE3"/>
    <w:rsid w:val="00704F9B"/>
    <w:rsid w:val="00705686"/>
    <w:rsid w:val="007060E6"/>
    <w:rsid w:val="00706C52"/>
    <w:rsid w:val="00710A45"/>
    <w:rsid w:val="00710D52"/>
    <w:rsid w:val="00710F66"/>
    <w:rsid w:val="007111C0"/>
    <w:rsid w:val="0071298B"/>
    <w:rsid w:val="00712A4F"/>
    <w:rsid w:val="00712F3E"/>
    <w:rsid w:val="00716564"/>
    <w:rsid w:val="00717933"/>
    <w:rsid w:val="00717F45"/>
    <w:rsid w:val="007230C3"/>
    <w:rsid w:val="00724890"/>
    <w:rsid w:val="00727EF7"/>
    <w:rsid w:val="007367D3"/>
    <w:rsid w:val="007374FE"/>
    <w:rsid w:val="007405BA"/>
    <w:rsid w:val="0074168D"/>
    <w:rsid w:val="0074362C"/>
    <w:rsid w:val="00745491"/>
    <w:rsid w:val="007459BB"/>
    <w:rsid w:val="00745CB8"/>
    <w:rsid w:val="00746102"/>
    <w:rsid w:val="00746978"/>
    <w:rsid w:val="00750040"/>
    <w:rsid w:val="00750410"/>
    <w:rsid w:val="00751D29"/>
    <w:rsid w:val="007526E9"/>
    <w:rsid w:val="00753209"/>
    <w:rsid w:val="00753AC2"/>
    <w:rsid w:val="00753E9D"/>
    <w:rsid w:val="00754B77"/>
    <w:rsid w:val="00755223"/>
    <w:rsid w:val="00756211"/>
    <w:rsid w:val="00756A53"/>
    <w:rsid w:val="00757BE5"/>
    <w:rsid w:val="007612E4"/>
    <w:rsid w:val="007614AA"/>
    <w:rsid w:val="00761646"/>
    <w:rsid w:val="00761CB4"/>
    <w:rsid w:val="007649D3"/>
    <w:rsid w:val="00764A90"/>
    <w:rsid w:val="00770149"/>
    <w:rsid w:val="0077038F"/>
    <w:rsid w:val="00771C4F"/>
    <w:rsid w:val="00772112"/>
    <w:rsid w:val="00773503"/>
    <w:rsid w:val="007751FA"/>
    <w:rsid w:val="00777022"/>
    <w:rsid w:val="00782C0D"/>
    <w:rsid w:val="00783626"/>
    <w:rsid w:val="00784D87"/>
    <w:rsid w:val="00791A3A"/>
    <w:rsid w:val="0079215A"/>
    <w:rsid w:val="007928EB"/>
    <w:rsid w:val="0079386E"/>
    <w:rsid w:val="00793DBA"/>
    <w:rsid w:val="00795C23"/>
    <w:rsid w:val="00796240"/>
    <w:rsid w:val="00796C26"/>
    <w:rsid w:val="007979E3"/>
    <w:rsid w:val="00797D3A"/>
    <w:rsid w:val="007A0DCC"/>
    <w:rsid w:val="007A3197"/>
    <w:rsid w:val="007A583F"/>
    <w:rsid w:val="007A7CD8"/>
    <w:rsid w:val="007B120D"/>
    <w:rsid w:val="007B332B"/>
    <w:rsid w:val="007B34DD"/>
    <w:rsid w:val="007B39A4"/>
    <w:rsid w:val="007B49EB"/>
    <w:rsid w:val="007B6B1F"/>
    <w:rsid w:val="007C3C3A"/>
    <w:rsid w:val="007C5A7C"/>
    <w:rsid w:val="007C71FA"/>
    <w:rsid w:val="007C7E87"/>
    <w:rsid w:val="007D011F"/>
    <w:rsid w:val="007D0A25"/>
    <w:rsid w:val="007D0C30"/>
    <w:rsid w:val="007D159B"/>
    <w:rsid w:val="007D300D"/>
    <w:rsid w:val="007D41B3"/>
    <w:rsid w:val="007D5576"/>
    <w:rsid w:val="007D55B4"/>
    <w:rsid w:val="007D6377"/>
    <w:rsid w:val="007E1863"/>
    <w:rsid w:val="007E4769"/>
    <w:rsid w:val="007E5AA0"/>
    <w:rsid w:val="007E5DCA"/>
    <w:rsid w:val="007E6D9A"/>
    <w:rsid w:val="007E6EA1"/>
    <w:rsid w:val="007E730B"/>
    <w:rsid w:val="007E7C31"/>
    <w:rsid w:val="007E7E23"/>
    <w:rsid w:val="007F2922"/>
    <w:rsid w:val="007F2D11"/>
    <w:rsid w:val="007F3D6B"/>
    <w:rsid w:val="007F5CB5"/>
    <w:rsid w:val="007F653A"/>
    <w:rsid w:val="007F6B92"/>
    <w:rsid w:val="007F6DB4"/>
    <w:rsid w:val="008003EB"/>
    <w:rsid w:val="00800E8F"/>
    <w:rsid w:val="008011A5"/>
    <w:rsid w:val="00803B85"/>
    <w:rsid w:val="00803B96"/>
    <w:rsid w:val="0080480F"/>
    <w:rsid w:val="0081033E"/>
    <w:rsid w:val="00812006"/>
    <w:rsid w:val="0081235E"/>
    <w:rsid w:val="00812D9E"/>
    <w:rsid w:val="00814385"/>
    <w:rsid w:val="008143D3"/>
    <w:rsid w:val="00814C4E"/>
    <w:rsid w:val="00820661"/>
    <w:rsid w:val="00820D27"/>
    <w:rsid w:val="00821330"/>
    <w:rsid w:val="00821E82"/>
    <w:rsid w:val="00824843"/>
    <w:rsid w:val="00825365"/>
    <w:rsid w:val="00825E4C"/>
    <w:rsid w:val="00827A8C"/>
    <w:rsid w:val="00831212"/>
    <w:rsid w:val="00831D0C"/>
    <w:rsid w:val="00831EE1"/>
    <w:rsid w:val="00832051"/>
    <w:rsid w:val="00832983"/>
    <w:rsid w:val="0083345D"/>
    <w:rsid w:val="008352E7"/>
    <w:rsid w:val="00835FB8"/>
    <w:rsid w:val="008360FC"/>
    <w:rsid w:val="008418CD"/>
    <w:rsid w:val="008425AD"/>
    <w:rsid w:val="00843CBF"/>
    <w:rsid w:val="00844997"/>
    <w:rsid w:val="00845B5A"/>
    <w:rsid w:val="00845C6B"/>
    <w:rsid w:val="00851826"/>
    <w:rsid w:val="00855E13"/>
    <w:rsid w:val="008562D7"/>
    <w:rsid w:val="008568BC"/>
    <w:rsid w:val="00857EC3"/>
    <w:rsid w:val="008603C1"/>
    <w:rsid w:val="008622A2"/>
    <w:rsid w:val="00864115"/>
    <w:rsid w:val="00864D51"/>
    <w:rsid w:val="00867ADE"/>
    <w:rsid w:val="008726D0"/>
    <w:rsid w:val="00873361"/>
    <w:rsid w:val="00874ADE"/>
    <w:rsid w:val="00874D14"/>
    <w:rsid w:val="00877901"/>
    <w:rsid w:val="00877904"/>
    <w:rsid w:val="00881001"/>
    <w:rsid w:val="00881557"/>
    <w:rsid w:val="008820AE"/>
    <w:rsid w:val="008829D6"/>
    <w:rsid w:val="0088434A"/>
    <w:rsid w:val="0088628B"/>
    <w:rsid w:val="00890381"/>
    <w:rsid w:val="008904C6"/>
    <w:rsid w:val="00890F7B"/>
    <w:rsid w:val="00891DB4"/>
    <w:rsid w:val="008925D5"/>
    <w:rsid w:val="008928D1"/>
    <w:rsid w:val="00893A23"/>
    <w:rsid w:val="0089426B"/>
    <w:rsid w:val="008957A3"/>
    <w:rsid w:val="0089589E"/>
    <w:rsid w:val="0089593F"/>
    <w:rsid w:val="00895BE8"/>
    <w:rsid w:val="00895BEF"/>
    <w:rsid w:val="00897A48"/>
    <w:rsid w:val="008A07C7"/>
    <w:rsid w:val="008A08F0"/>
    <w:rsid w:val="008A1EB3"/>
    <w:rsid w:val="008A22E7"/>
    <w:rsid w:val="008A45FE"/>
    <w:rsid w:val="008A47BA"/>
    <w:rsid w:val="008A48FD"/>
    <w:rsid w:val="008A4B06"/>
    <w:rsid w:val="008A70C8"/>
    <w:rsid w:val="008A7BAE"/>
    <w:rsid w:val="008B06BE"/>
    <w:rsid w:val="008B0E45"/>
    <w:rsid w:val="008B1496"/>
    <w:rsid w:val="008B173D"/>
    <w:rsid w:val="008B28C1"/>
    <w:rsid w:val="008B2EF3"/>
    <w:rsid w:val="008B4B0F"/>
    <w:rsid w:val="008C00DE"/>
    <w:rsid w:val="008C083E"/>
    <w:rsid w:val="008C3C29"/>
    <w:rsid w:val="008C3D1B"/>
    <w:rsid w:val="008C3EDE"/>
    <w:rsid w:val="008C3F2A"/>
    <w:rsid w:val="008C4529"/>
    <w:rsid w:val="008C49CE"/>
    <w:rsid w:val="008C4CBC"/>
    <w:rsid w:val="008C57E4"/>
    <w:rsid w:val="008D0EBC"/>
    <w:rsid w:val="008D3B10"/>
    <w:rsid w:val="008D3B96"/>
    <w:rsid w:val="008D6EF0"/>
    <w:rsid w:val="008D7159"/>
    <w:rsid w:val="008D7B9D"/>
    <w:rsid w:val="008E2542"/>
    <w:rsid w:val="008E2564"/>
    <w:rsid w:val="008E3902"/>
    <w:rsid w:val="008E6754"/>
    <w:rsid w:val="008E6B55"/>
    <w:rsid w:val="008E6F22"/>
    <w:rsid w:val="008F07A4"/>
    <w:rsid w:val="008F1FAF"/>
    <w:rsid w:val="008F2DDA"/>
    <w:rsid w:val="008F3A0C"/>
    <w:rsid w:val="008F5714"/>
    <w:rsid w:val="008F60E8"/>
    <w:rsid w:val="008F6772"/>
    <w:rsid w:val="008F6D3F"/>
    <w:rsid w:val="008F6E0D"/>
    <w:rsid w:val="00900E10"/>
    <w:rsid w:val="0090119E"/>
    <w:rsid w:val="009035B8"/>
    <w:rsid w:val="00904A93"/>
    <w:rsid w:val="00910768"/>
    <w:rsid w:val="00910926"/>
    <w:rsid w:val="00910A69"/>
    <w:rsid w:val="00910FA2"/>
    <w:rsid w:val="00912119"/>
    <w:rsid w:val="00912384"/>
    <w:rsid w:val="00912917"/>
    <w:rsid w:val="009158FB"/>
    <w:rsid w:val="00917455"/>
    <w:rsid w:val="00917A0D"/>
    <w:rsid w:val="00917C5C"/>
    <w:rsid w:val="0092008B"/>
    <w:rsid w:val="00923EF8"/>
    <w:rsid w:val="00924083"/>
    <w:rsid w:val="00926731"/>
    <w:rsid w:val="0093106F"/>
    <w:rsid w:val="00931096"/>
    <w:rsid w:val="00932AA0"/>
    <w:rsid w:val="0093313C"/>
    <w:rsid w:val="009337D0"/>
    <w:rsid w:val="00934FBB"/>
    <w:rsid w:val="009358FE"/>
    <w:rsid w:val="00937049"/>
    <w:rsid w:val="00937985"/>
    <w:rsid w:val="0094156D"/>
    <w:rsid w:val="009426C5"/>
    <w:rsid w:val="009453E7"/>
    <w:rsid w:val="0095079E"/>
    <w:rsid w:val="00952C41"/>
    <w:rsid w:val="0095309F"/>
    <w:rsid w:val="00953A0E"/>
    <w:rsid w:val="0095433C"/>
    <w:rsid w:val="009545F0"/>
    <w:rsid w:val="00955D67"/>
    <w:rsid w:val="009564E1"/>
    <w:rsid w:val="0095722D"/>
    <w:rsid w:val="0096103A"/>
    <w:rsid w:val="00965289"/>
    <w:rsid w:val="009655AC"/>
    <w:rsid w:val="00966F8C"/>
    <w:rsid w:val="009671B4"/>
    <w:rsid w:val="00967325"/>
    <w:rsid w:val="00970905"/>
    <w:rsid w:val="0097298E"/>
    <w:rsid w:val="009729AF"/>
    <w:rsid w:val="0097358E"/>
    <w:rsid w:val="00973C8D"/>
    <w:rsid w:val="009761FB"/>
    <w:rsid w:val="009767BF"/>
    <w:rsid w:val="00976E47"/>
    <w:rsid w:val="00982C12"/>
    <w:rsid w:val="00982D8D"/>
    <w:rsid w:val="00983E42"/>
    <w:rsid w:val="009849B9"/>
    <w:rsid w:val="009849C7"/>
    <w:rsid w:val="00985AB3"/>
    <w:rsid w:val="009870AB"/>
    <w:rsid w:val="0098726C"/>
    <w:rsid w:val="00991735"/>
    <w:rsid w:val="009925A1"/>
    <w:rsid w:val="00994A81"/>
    <w:rsid w:val="009954D4"/>
    <w:rsid w:val="00997E28"/>
    <w:rsid w:val="009A1460"/>
    <w:rsid w:val="009A247F"/>
    <w:rsid w:val="009A31EA"/>
    <w:rsid w:val="009A3512"/>
    <w:rsid w:val="009A51C1"/>
    <w:rsid w:val="009A6AFF"/>
    <w:rsid w:val="009A6EE4"/>
    <w:rsid w:val="009B1CEB"/>
    <w:rsid w:val="009B25D0"/>
    <w:rsid w:val="009B4D34"/>
    <w:rsid w:val="009C0175"/>
    <w:rsid w:val="009C3DF4"/>
    <w:rsid w:val="009C4C49"/>
    <w:rsid w:val="009C56F0"/>
    <w:rsid w:val="009C5801"/>
    <w:rsid w:val="009C5DD0"/>
    <w:rsid w:val="009C6446"/>
    <w:rsid w:val="009C747C"/>
    <w:rsid w:val="009D0B8E"/>
    <w:rsid w:val="009D0E50"/>
    <w:rsid w:val="009D4790"/>
    <w:rsid w:val="009D4A99"/>
    <w:rsid w:val="009D5951"/>
    <w:rsid w:val="009D7030"/>
    <w:rsid w:val="009D7542"/>
    <w:rsid w:val="009E07A2"/>
    <w:rsid w:val="009E1609"/>
    <w:rsid w:val="009E16D9"/>
    <w:rsid w:val="009E1B24"/>
    <w:rsid w:val="009E24CE"/>
    <w:rsid w:val="009E28FC"/>
    <w:rsid w:val="009E30D9"/>
    <w:rsid w:val="009E5C69"/>
    <w:rsid w:val="009E73E9"/>
    <w:rsid w:val="009E750F"/>
    <w:rsid w:val="009E7832"/>
    <w:rsid w:val="009F1653"/>
    <w:rsid w:val="009F28BE"/>
    <w:rsid w:val="009F2B25"/>
    <w:rsid w:val="009F3C34"/>
    <w:rsid w:val="009F5374"/>
    <w:rsid w:val="009F54F0"/>
    <w:rsid w:val="009F5B08"/>
    <w:rsid w:val="00A019EB"/>
    <w:rsid w:val="00A020EB"/>
    <w:rsid w:val="00A026FC"/>
    <w:rsid w:val="00A02C15"/>
    <w:rsid w:val="00A02E1C"/>
    <w:rsid w:val="00A03717"/>
    <w:rsid w:val="00A05807"/>
    <w:rsid w:val="00A0651B"/>
    <w:rsid w:val="00A1069A"/>
    <w:rsid w:val="00A12108"/>
    <w:rsid w:val="00A12181"/>
    <w:rsid w:val="00A124F6"/>
    <w:rsid w:val="00A134DE"/>
    <w:rsid w:val="00A13731"/>
    <w:rsid w:val="00A13E90"/>
    <w:rsid w:val="00A1500E"/>
    <w:rsid w:val="00A2378B"/>
    <w:rsid w:val="00A2471C"/>
    <w:rsid w:val="00A261D6"/>
    <w:rsid w:val="00A262D5"/>
    <w:rsid w:val="00A2692F"/>
    <w:rsid w:val="00A27075"/>
    <w:rsid w:val="00A317EA"/>
    <w:rsid w:val="00A318A0"/>
    <w:rsid w:val="00A32CE2"/>
    <w:rsid w:val="00A32E59"/>
    <w:rsid w:val="00A33274"/>
    <w:rsid w:val="00A333BF"/>
    <w:rsid w:val="00A35060"/>
    <w:rsid w:val="00A3615F"/>
    <w:rsid w:val="00A361F9"/>
    <w:rsid w:val="00A37354"/>
    <w:rsid w:val="00A403CA"/>
    <w:rsid w:val="00A413BA"/>
    <w:rsid w:val="00A41E8F"/>
    <w:rsid w:val="00A426CB"/>
    <w:rsid w:val="00A4399B"/>
    <w:rsid w:val="00A45564"/>
    <w:rsid w:val="00A466A2"/>
    <w:rsid w:val="00A46FD2"/>
    <w:rsid w:val="00A47B6E"/>
    <w:rsid w:val="00A50187"/>
    <w:rsid w:val="00A50448"/>
    <w:rsid w:val="00A518FE"/>
    <w:rsid w:val="00A54BCA"/>
    <w:rsid w:val="00A5634C"/>
    <w:rsid w:val="00A567C0"/>
    <w:rsid w:val="00A624F1"/>
    <w:rsid w:val="00A63BEB"/>
    <w:rsid w:val="00A645AE"/>
    <w:rsid w:val="00A65927"/>
    <w:rsid w:val="00A66A7A"/>
    <w:rsid w:val="00A670D8"/>
    <w:rsid w:val="00A671CD"/>
    <w:rsid w:val="00A70EC3"/>
    <w:rsid w:val="00A7107C"/>
    <w:rsid w:val="00A727B6"/>
    <w:rsid w:val="00A753DC"/>
    <w:rsid w:val="00A75BC0"/>
    <w:rsid w:val="00A8137C"/>
    <w:rsid w:val="00A83480"/>
    <w:rsid w:val="00A83528"/>
    <w:rsid w:val="00A84360"/>
    <w:rsid w:val="00A84AC4"/>
    <w:rsid w:val="00A84E55"/>
    <w:rsid w:val="00A86912"/>
    <w:rsid w:val="00A874F9"/>
    <w:rsid w:val="00A91808"/>
    <w:rsid w:val="00A943DC"/>
    <w:rsid w:val="00A9588B"/>
    <w:rsid w:val="00AA09D5"/>
    <w:rsid w:val="00AA0A36"/>
    <w:rsid w:val="00AA0A4D"/>
    <w:rsid w:val="00AA49CC"/>
    <w:rsid w:val="00AA7F5A"/>
    <w:rsid w:val="00AB0792"/>
    <w:rsid w:val="00AB127D"/>
    <w:rsid w:val="00AB14D9"/>
    <w:rsid w:val="00AB7B4A"/>
    <w:rsid w:val="00AC0157"/>
    <w:rsid w:val="00AC0479"/>
    <w:rsid w:val="00AC1DF4"/>
    <w:rsid w:val="00AC21A1"/>
    <w:rsid w:val="00AC4204"/>
    <w:rsid w:val="00AC7316"/>
    <w:rsid w:val="00AD0011"/>
    <w:rsid w:val="00AD0085"/>
    <w:rsid w:val="00AD1747"/>
    <w:rsid w:val="00AD1F3E"/>
    <w:rsid w:val="00AD3D06"/>
    <w:rsid w:val="00AD3DC6"/>
    <w:rsid w:val="00AD4885"/>
    <w:rsid w:val="00AD4A20"/>
    <w:rsid w:val="00AD5F7F"/>
    <w:rsid w:val="00AE3110"/>
    <w:rsid w:val="00AE314E"/>
    <w:rsid w:val="00AE3C39"/>
    <w:rsid w:val="00AE4A63"/>
    <w:rsid w:val="00AE5280"/>
    <w:rsid w:val="00AE5459"/>
    <w:rsid w:val="00AE6F35"/>
    <w:rsid w:val="00AF0855"/>
    <w:rsid w:val="00AF1C90"/>
    <w:rsid w:val="00AF1F7D"/>
    <w:rsid w:val="00AF2392"/>
    <w:rsid w:val="00AF2663"/>
    <w:rsid w:val="00AF2A29"/>
    <w:rsid w:val="00AF2EF5"/>
    <w:rsid w:val="00AF3246"/>
    <w:rsid w:val="00AF5156"/>
    <w:rsid w:val="00B026A6"/>
    <w:rsid w:val="00B03F0A"/>
    <w:rsid w:val="00B0565B"/>
    <w:rsid w:val="00B0585D"/>
    <w:rsid w:val="00B05DFF"/>
    <w:rsid w:val="00B07168"/>
    <w:rsid w:val="00B07E7B"/>
    <w:rsid w:val="00B102C8"/>
    <w:rsid w:val="00B1293C"/>
    <w:rsid w:val="00B1452D"/>
    <w:rsid w:val="00B14848"/>
    <w:rsid w:val="00B14D45"/>
    <w:rsid w:val="00B164CF"/>
    <w:rsid w:val="00B17AAA"/>
    <w:rsid w:val="00B17D3D"/>
    <w:rsid w:val="00B206E5"/>
    <w:rsid w:val="00B218ED"/>
    <w:rsid w:val="00B2198D"/>
    <w:rsid w:val="00B230DE"/>
    <w:rsid w:val="00B234C8"/>
    <w:rsid w:val="00B23C8C"/>
    <w:rsid w:val="00B25046"/>
    <w:rsid w:val="00B2739B"/>
    <w:rsid w:val="00B2792A"/>
    <w:rsid w:val="00B30FB6"/>
    <w:rsid w:val="00B31EA7"/>
    <w:rsid w:val="00B334E2"/>
    <w:rsid w:val="00B37C84"/>
    <w:rsid w:val="00B40FCA"/>
    <w:rsid w:val="00B41E56"/>
    <w:rsid w:val="00B42F3A"/>
    <w:rsid w:val="00B4301D"/>
    <w:rsid w:val="00B43511"/>
    <w:rsid w:val="00B438AF"/>
    <w:rsid w:val="00B43DFD"/>
    <w:rsid w:val="00B44307"/>
    <w:rsid w:val="00B44772"/>
    <w:rsid w:val="00B50309"/>
    <w:rsid w:val="00B50E6B"/>
    <w:rsid w:val="00B51783"/>
    <w:rsid w:val="00B52E19"/>
    <w:rsid w:val="00B543D3"/>
    <w:rsid w:val="00B548E1"/>
    <w:rsid w:val="00B54CFB"/>
    <w:rsid w:val="00B553A1"/>
    <w:rsid w:val="00B5626F"/>
    <w:rsid w:val="00B566DB"/>
    <w:rsid w:val="00B6014C"/>
    <w:rsid w:val="00B60B7A"/>
    <w:rsid w:val="00B61029"/>
    <w:rsid w:val="00B6120C"/>
    <w:rsid w:val="00B62E48"/>
    <w:rsid w:val="00B62E9B"/>
    <w:rsid w:val="00B636EC"/>
    <w:rsid w:val="00B66A16"/>
    <w:rsid w:val="00B67899"/>
    <w:rsid w:val="00B722C6"/>
    <w:rsid w:val="00B73487"/>
    <w:rsid w:val="00B7375E"/>
    <w:rsid w:val="00B74E2C"/>
    <w:rsid w:val="00B755B8"/>
    <w:rsid w:val="00B76840"/>
    <w:rsid w:val="00B76A2F"/>
    <w:rsid w:val="00B76D2E"/>
    <w:rsid w:val="00B77DF9"/>
    <w:rsid w:val="00B8277A"/>
    <w:rsid w:val="00B82F8E"/>
    <w:rsid w:val="00B83108"/>
    <w:rsid w:val="00B86D34"/>
    <w:rsid w:val="00B90102"/>
    <w:rsid w:val="00B906CC"/>
    <w:rsid w:val="00B91B8F"/>
    <w:rsid w:val="00B9380A"/>
    <w:rsid w:val="00B938E7"/>
    <w:rsid w:val="00B94437"/>
    <w:rsid w:val="00B95081"/>
    <w:rsid w:val="00B97995"/>
    <w:rsid w:val="00BA1C6B"/>
    <w:rsid w:val="00BA1FE2"/>
    <w:rsid w:val="00BA374B"/>
    <w:rsid w:val="00BA4118"/>
    <w:rsid w:val="00BA6135"/>
    <w:rsid w:val="00BA655D"/>
    <w:rsid w:val="00BA6920"/>
    <w:rsid w:val="00BA69AC"/>
    <w:rsid w:val="00BA6F0F"/>
    <w:rsid w:val="00BA7C8A"/>
    <w:rsid w:val="00BB1A13"/>
    <w:rsid w:val="00BB1E18"/>
    <w:rsid w:val="00BB2F4F"/>
    <w:rsid w:val="00BB301D"/>
    <w:rsid w:val="00BB4A54"/>
    <w:rsid w:val="00BB4DA7"/>
    <w:rsid w:val="00BB4FD2"/>
    <w:rsid w:val="00BB6170"/>
    <w:rsid w:val="00BC04B1"/>
    <w:rsid w:val="00BC11F4"/>
    <w:rsid w:val="00BC1459"/>
    <w:rsid w:val="00BC1A3D"/>
    <w:rsid w:val="00BC1D27"/>
    <w:rsid w:val="00BC4D4D"/>
    <w:rsid w:val="00BC5A22"/>
    <w:rsid w:val="00BD005F"/>
    <w:rsid w:val="00BD08D2"/>
    <w:rsid w:val="00BD1031"/>
    <w:rsid w:val="00BD2A2D"/>
    <w:rsid w:val="00BD3A64"/>
    <w:rsid w:val="00BD3EE4"/>
    <w:rsid w:val="00BE05BF"/>
    <w:rsid w:val="00BE0747"/>
    <w:rsid w:val="00BE1128"/>
    <w:rsid w:val="00BE2BC0"/>
    <w:rsid w:val="00BE3490"/>
    <w:rsid w:val="00BE3599"/>
    <w:rsid w:val="00BE39B4"/>
    <w:rsid w:val="00BE6995"/>
    <w:rsid w:val="00BE7421"/>
    <w:rsid w:val="00BE7526"/>
    <w:rsid w:val="00BE79CE"/>
    <w:rsid w:val="00BF2051"/>
    <w:rsid w:val="00BF25A6"/>
    <w:rsid w:val="00BF504C"/>
    <w:rsid w:val="00BF5292"/>
    <w:rsid w:val="00BF6F68"/>
    <w:rsid w:val="00BF7DE2"/>
    <w:rsid w:val="00BF7EF9"/>
    <w:rsid w:val="00C00826"/>
    <w:rsid w:val="00C01BE9"/>
    <w:rsid w:val="00C01E2A"/>
    <w:rsid w:val="00C01FD3"/>
    <w:rsid w:val="00C02E68"/>
    <w:rsid w:val="00C03BBA"/>
    <w:rsid w:val="00C03BCD"/>
    <w:rsid w:val="00C04C8B"/>
    <w:rsid w:val="00C04F2D"/>
    <w:rsid w:val="00C05CDF"/>
    <w:rsid w:val="00C062FB"/>
    <w:rsid w:val="00C06EDD"/>
    <w:rsid w:val="00C07FE0"/>
    <w:rsid w:val="00C1061A"/>
    <w:rsid w:val="00C11F36"/>
    <w:rsid w:val="00C12B33"/>
    <w:rsid w:val="00C13349"/>
    <w:rsid w:val="00C13948"/>
    <w:rsid w:val="00C151C7"/>
    <w:rsid w:val="00C153DD"/>
    <w:rsid w:val="00C1720C"/>
    <w:rsid w:val="00C20601"/>
    <w:rsid w:val="00C21CB0"/>
    <w:rsid w:val="00C229D2"/>
    <w:rsid w:val="00C2407C"/>
    <w:rsid w:val="00C257B0"/>
    <w:rsid w:val="00C272F8"/>
    <w:rsid w:val="00C3041F"/>
    <w:rsid w:val="00C30459"/>
    <w:rsid w:val="00C31972"/>
    <w:rsid w:val="00C344DA"/>
    <w:rsid w:val="00C34ADB"/>
    <w:rsid w:val="00C37360"/>
    <w:rsid w:val="00C4289E"/>
    <w:rsid w:val="00C43717"/>
    <w:rsid w:val="00C46251"/>
    <w:rsid w:val="00C4760D"/>
    <w:rsid w:val="00C47711"/>
    <w:rsid w:val="00C47D0F"/>
    <w:rsid w:val="00C512DB"/>
    <w:rsid w:val="00C53313"/>
    <w:rsid w:val="00C54674"/>
    <w:rsid w:val="00C56FA9"/>
    <w:rsid w:val="00C57EF5"/>
    <w:rsid w:val="00C632CF"/>
    <w:rsid w:val="00C64733"/>
    <w:rsid w:val="00C66ABC"/>
    <w:rsid w:val="00C7408E"/>
    <w:rsid w:val="00C756D3"/>
    <w:rsid w:val="00C76261"/>
    <w:rsid w:val="00C76458"/>
    <w:rsid w:val="00C77382"/>
    <w:rsid w:val="00C778B0"/>
    <w:rsid w:val="00C806DD"/>
    <w:rsid w:val="00C81801"/>
    <w:rsid w:val="00C81D0F"/>
    <w:rsid w:val="00C83516"/>
    <w:rsid w:val="00C84054"/>
    <w:rsid w:val="00C842FF"/>
    <w:rsid w:val="00C85549"/>
    <w:rsid w:val="00C867BA"/>
    <w:rsid w:val="00C87C70"/>
    <w:rsid w:val="00C92186"/>
    <w:rsid w:val="00C924E3"/>
    <w:rsid w:val="00C93B4C"/>
    <w:rsid w:val="00C93CA9"/>
    <w:rsid w:val="00C957F2"/>
    <w:rsid w:val="00C960CC"/>
    <w:rsid w:val="00C96A55"/>
    <w:rsid w:val="00C97748"/>
    <w:rsid w:val="00C979B4"/>
    <w:rsid w:val="00C97AD2"/>
    <w:rsid w:val="00CA4172"/>
    <w:rsid w:val="00CA46D3"/>
    <w:rsid w:val="00CA6430"/>
    <w:rsid w:val="00CB0359"/>
    <w:rsid w:val="00CB0498"/>
    <w:rsid w:val="00CB0601"/>
    <w:rsid w:val="00CB309A"/>
    <w:rsid w:val="00CB3273"/>
    <w:rsid w:val="00CB415E"/>
    <w:rsid w:val="00CB5CEC"/>
    <w:rsid w:val="00CB675F"/>
    <w:rsid w:val="00CB7598"/>
    <w:rsid w:val="00CB7D2A"/>
    <w:rsid w:val="00CC0F56"/>
    <w:rsid w:val="00CC1E1F"/>
    <w:rsid w:val="00CC41D0"/>
    <w:rsid w:val="00CC4563"/>
    <w:rsid w:val="00CC4F30"/>
    <w:rsid w:val="00CC5AAA"/>
    <w:rsid w:val="00CC7CDA"/>
    <w:rsid w:val="00CD1D40"/>
    <w:rsid w:val="00CD2185"/>
    <w:rsid w:val="00CD2C6B"/>
    <w:rsid w:val="00CD2FEA"/>
    <w:rsid w:val="00CD3C3E"/>
    <w:rsid w:val="00CD45CD"/>
    <w:rsid w:val="00CD52A7"/>
    <w:rsid w:val="00CD5DA0"/>
    <w:rsid w:val="00CD5F38"/>
    <w:rsid w:val="00CE33A1"/>
    <w:rsid w:val="00CE5262"/>
    <w:rsid w:val="00CE579E"/>
    <w:rsid w:val="00CF070C"/>
    <w:rsid w:val="00CF0E24"/>
    <w:rsid w:val="00CF1055"/>
    <w:rsid w:val="00CF191A"/>
    <w:rsid w:val="00CF2098"/>
    <w:rsid w:val="00CF2D3D"/>
    <w:rsid w:val="00CF4319"/>
    <w:rsid w:val="00CF5335"/>
    <w:rsid w:val="00D00269"/>
    <w:rsid w:val="00D00851"/>
    <w:rsid w:val="00D010CA"/>
    <w:rsid w:val="00D016F7"/>
    <w:rsid w:val="00D021F3"/>
    <w:rsid w:val="00D02661"/>
    <w:rsid w:val="00D0297E"/>
    <w:rsid w:val="00D033A5"/>
    <w:rsid w:val="00D0458B"/>
    <w:rsid w:val="00D04681"/>
    <w:rsid w:val="00D061B9"/>
    <w:rsid w:val="00D06507"/>
    <w:rsid w:val="00D066E5"/>
    <w:rsid w:val="00D07F21"/>
    <w:rsid w:val="00D12320"/>
    <w:rsid w:val="00D1545D"/>
    <w:rsid w:val="00D1719F"/>
    <w:rsid w:val="00D17AC6"/>
    <w:rsid w:val="00D203AF"/>
    <w:rsid w:val="00D2306C"/>
    <w:rsid w:val="00D23493"/>
    <w:rsid w:val="00D25176"/>
    <w:rsid w:val="00D2539B"/>
    <w:rsid w:val="00D25873"/>
    <w:rsid w:val="00D25E6C"/>
    <w:rsid w:val="00D2748A"/>
    <w:rsid w:val="00D27CC1"/>
    <w:rsid w:val="00D30CCC"/>
    <w:rsid w:val="00D315AB"/>
    <w:rsid w:val="00D32715"/>
    <w:rsid w:val="00D34B7F"/>
    <w:rsid w:val="00D34D1D"/>
    <w:rsid w:val="00D35303"/>
    <w:rsid w:val="00D3542F"/>
    <w:rsid w:val="00D36447"/>
    <w:rsid w:val="00D40F11"/>
    <w:rsid w:val="00D436FA"/>
    <w:rsid w:val="00D438DA"/>
    <w:rsid w:val="00D43D42"/>
    <w:rsid w:val="00D444D2"/>
    <w:rsid w:val="00D46BE1"/>
    <w:rsid w:val="00D47170"/>
    <w:rsid w:val="00D47202"/>
    <w:rsid w:val="00D47D42"/>
    <w:rsid w:val="00D51709"/>
    <w:rsid w:val="00D542AB"/>
    <w:rsid w:val="00D62DB2"/>
    <w:rsid w:val="00D63EAF"/>
    <w:rsid w:val="00D64240"/>
    <w:rsid w:val="00D66B68"/>
    <w:rsid w:val="00D66ED5"/>
    <w:rsid w:val="00D70067"/>
    <w:rsid w:val="00D70FFC"/>
    <w:rsid w:val="00D71534"/>
    <w:rsid w:val="00D72EDB"/>
    <w:rsid w:val="00D73E45"/>
    <w:rsid w:val="00D76A80"/>
    <w:rsid w:val="00D76C87"/>
    <w:rsid w:val="00D80AD6"/>
    <w:rsid w:val="00D82562"/>
    <w:rsid w:val="00D82EE2"/>
    <w:rsid w:val="00D848DA"/>
    <w:rsid w:val="00D848DB"/>
    <w:rsid w:val="00D86BE7"/>
    <w:rsid w:val="00D86E14"/>
    <w:rsid w:val="00D91F95"/>
    <w:rsid w:val="00D92D45"/>
    <w:rsid w:val="00D92EE6"/>
    <w:rsid w:val="00D932F6"/>
    <w:rsid w:val="00D9407E"/>
    <w:rsid w:val="00D95185"/>
    <w:rsid w:val="00D954AA"/>
    <w:rsid w:val="00D97EDA"/>
    <w:rsid w:val="00DA0151"/>
    <w:rsid w:val="00DA1335"/>
    <w:rsid w:val="00DA1349"/>
    <w:rsid w:val="00DA1A02"/>
    <w:rsid w:val="00DA2F47"/>
    <w:rsid w:val="00DA37B9"/>
    <w:rsid w:val="00DA666B"/>
    <w:rsid w:val="00DA6CF5"/>
    <w:rsid w:val="00DB06EB"/>
    <w:rsid w:val="00DB15EE"/>
    <w:rsid w:val="00DB17CC"/>
    <w:rsid w:val="00DB2055"/>
    <w:rsid w:val="00DB2DC6"/>
    <w:rsid w:val="00DB4A2C"/>
    <w:rsid w:val="00DB4E3B"/>
    <w:rsid w:val="00DB6035"/>
    <w:rsid w:val="00DB616F"/>
    <w:rsid w:val="00DB6EE2"/>
    <w:rsid w:val="00DB7A81"/>
    <w:rsid w:val="00DC05A8"/>
    <w:rsid w:val="00DC11BC"/>
    <w:rsid w:val="00DC1479"/>
    <w:rsid w:val="00DC21B6"/>
    <w:rsid w:val="00DC5E3B"/>
    <w:rsid w:val="00DC682B"/>
    <w:rsid w:val="00DC69E3"/>
    <w:rsid w:val="00DC6FF0"/>
    <w:rsid w:val="00DC7C97"/>
    <w:rsid w:val="00DD0C9D"/>
    <w:rsid w:val="00DD0CD5"/>
    <w:rsid w:val="00DD2D2C"/>
    <w:rsid w:val="00DD3C10"/>
    <w:rsid w:val="00DD50FC"/>
    <w:rsid w:val="00DD7E8E"/>
    <w:rsid w:val="00DE09C7"/>
    <w:rsid w:val="00DE0B7D"/>
    <w:rsid w:val="00DE1CC8"/>
    <w:rsid w:val="00DE27DB"/>
    <w:rsid w:val="00DE3383"/>
    <w:rsid w:val="00DE380B"/>
    <w:rsid w:val="00DE3BF9"/>
    <w:rsid w:val="00DE43C4"/>
    <w:rsid w:val="00DE57DB"/>
    <w:rsid w:val="00DF0ED1"/>
    <w:rsid w:val="00DF1035"/>
    <w:rsid w:val="00DF351F"/>
    <w:rsid w:val="00DF412B"/>
    <w:rsid w:val="00DF4A63"/>
    <w:rsid w:val="00DF56E6"/>
    <w:rsid w:val="00DF75AB"/>
    <w:rsid w:val="00DF7ED1"/>
    <w:rsid w:val="00E000D9"/>
    <w:rsid w:val="00E0383A"/>
    <w:rsid w:val="00E04EC9"/>
    <w:rsid w:val="00E10671"/>
    <w:rsid w:val="00E10FBD"/>
    <w:rsid w:val="00E1228A"/>
    <w:rsid w:val="00E12CAA"/>
    <w:rsid w:val="00E13B41"/>
    <w:rsid w:val="00E13B9D"/>
    <w:rsid w:val="00E14A8A"/>
    <w:rsid w:val="00E1516A"/>
    <w:rsid w:val="00E15234"/>
    <w:rsid w:val="00E15257"/>
    <w:rsid w:val="00E171A1"/>
    <w:rsid w:val="00E17832"/>
    <w:rsid w:val="00E20D8D"/>
    <w:rsid w:val="00E21C63"/>
    <w:rsid w:val="00E22DB7"/>
    <w:rsid w:val="00E2452C"/>
    <w:rsid w:val="00E25230"/>
    <w:rsid w:val="00E26B92"/>
    <w:rsid w:val="00E27A4E"/>
    <w:rsid w:val="00E318B2"/>
    <w:rsid w:val="00E335F6"/>
    <w:rsid w:val="00E339FF"/>
    <w:rsid w:val="00E34463"/>
    <w:rsid w:val="00E34747"/>
    <w:rsid w:val="00E35D23"/>
    <w:rsid w:val="00E3740E"/>
    <w:rsid w:val="00E37990"/>
    <w:rsid w:val="00E40420"/>
    <w:rsid w:val="00E410DC"/>
    <w:rsid w:val="00E4255C"/>
    <w:rsid w:val="00E43914"/>
    <w:rsid w:val="00E4489E"/>
    <w:rsid w:val="00E4496D"/>
    <w:rsid w:val="00E44F8E"/>
    <w:rsid w:val="00E45595"/>
    <w:rsid w:val="00E45861"/>
    <w:rsid w:val="00E477A7"/>
    <w:rsid w:val="00E500B8"/>
    <w:rsid w:val="00E50676"/>
    <w:rsid w:val="00E50C55"/>
    <w:rsid w:val="00E51200"/>
    <w:rsid w:val="00E5343C"/>
    <w:rsid w:val="00E544A5"/>
    <w:rsid w:val="00E549E2"/>
    <w:rsid w:val="00E556BC"/>
    <w:rsid w:val="00E55C94"/>
    <w:rsid w:val="00E56E5B"/>
    <w:rsid w:val="00E60204"/>
    <w:rsid w:val="00E60D84"/>
    <w:rsid w:val="00E624D8"/>
    <w:rsid w:val="00E63DF6"/>
    <w:rsid w:val="00E64CB5"/>
    <w:rsid w:val="00E65470"/>
    <w:rsid w:val="00E66B8D"/>
    <w:rsid w:val="00E6724E"/>
    <w:rsid w:val="00E70DCB"/>
    <w:rsid w:val="00E70DCF"/>
    <w:rsid w:val="00E72F89"/>
    <w:rsid w:val="00E74DF9"/>
    <w:rsid w:val="00E763A2"/>
    <w:rsid w:val="00E77662"/>
    <w:rsid w:val="00E803D3"/>
    <w:rsid w:val="00E80A0A"/>
    <w:rsid w:val="00E82ACF"/>
    <w:rsid w:val="00E85097"/>
    <w:rsid w:val="00E85262"/>
    <w:rsid w:val="00E9191E"/>
    <w:rsid w:val="00E91E93"/>
    <w:rsid w:val="00E92132"/>
    <w:rsid w:val="00E92A9D"/>
    <w:rsid w:val="00E941CE"/>
    <w:rsid w:val="00E944E4"/>
    <w:rsid w:val="00E94E59"/>
    <w:rsid w:val="00E95700"/>
    <w:rsid w:val="00E96AB7"/>
    <w:rsid w:val="00E97FE8"/>
    <w:rsid w:val="00EA0174"/>
    <w:rsid w:val="00EA1578"/>
    <w:rsid w:val="00EA2600"/>
    <w:rsid w:val="00EA34B5"/>
    <w:rsid w:val="00EA7900"/>
    <w:rsid w:val="00EB056B"/>
    <w:rsid w:val="00EB1331"/>
    <w:rsid w:val="00EB1FAA"/>
    <w:rsid w:val="00EB3252"/>
    <w:rsid w:val="00EB365A"/>
    <w:rsid w:val="00EB5F0F"/>
    <w:rsid w:val="00EB7D05"/>
    <w:rsid w:val="00EB7EF1"/>
    <w:rsid w:val="00EC02F3"/>
    <w:rsid w:val="00EC0CAF"/>
    <w:rsid w:val="00EC21AC"/>
    <w:rsid w:val="00EC6140"/>
    <w:rsid w:val="00ED08EC"/>
    <w:rsid w:val="00ED10B5"/>
    <w:rsid w:val="00ED1AF4"/>
    <w:rsid w:val="00ED1CC9"/>
    <w:rsid w:val="00ED2886"/>
    <w:rsid w:val="00ED2E3C"/>
    <w:rsid w:val="00ED4120"/>
    <w:rsid w:val="00ED4A6A"/>
    <w:rsid w:val="00ED50E9"/>
    <w:rsid w:val="00ED747C"/>
    <w:rsid w:val="00EE0911"/>
    <w:rsid w:val="00EE1B43"/>
    <w:rsid w:val="00EE23E6"/>
    <w:rsid w:val="00EE4092"/>
    <w:rsid w:val="00EE4822"/>
    <w:rsid w:val="00EE5C50"/>
    <w:rsid w:val="00EE66BC"/>
    <w:rsid w:val="00EE716C"/>
    <w:rsid w:val="00EE7AA5"/>
    <w:rsid w:val="00EF32E1"/>
    <w:rsid w:val="00EF3833"/>
    <w:rsid w:val="00EF3DE7"/>
    <w:rsid w:val="00EF4430"/>
    <w:rsid w:val="00EF51C2"/>
    <w:rsid w:val="00EF5430"/>
    <w:rsid w:val="00EF6564"/>
    <w:rsid w:val="00EF70B7"/>
    <w:rsid w:val="00EF7C14"/>
    <w:rsid w:val="00F00427"/>
    <w:rsid w:val="00F020BE"/>
    <w:rsid w:val="00F051AE"/>
    <w:rsid w:val="00F0749E"/>
    <w:rsid w:val="00F07957"/>
    <w:rsid w:val="00F07B0B"/>
    <w:rsid w:val="00F10442"/>
    <w:rsid w:val="00F112A7"/>
    <w:rsid w:val="00F14357"/>
    <w:rsid w:val="00F1461B"/>
    <w:rsid w:val="00F14E41"/>
    <w:rsid w:val="00F20165"/>
    <w:rsid w:val="00F221C6"/>
    <w:rsid w:val="00F2254B"/>
    <w:rsid w:val="00F2574F"/>
    <w:rsid w:val="00F26D69"/>
    <w:rsid w:val="00F27BB5"/>
    <w:rsid w:val="00F30B7D"/>
    <w:rsid w:val="00F33287"/>
    <w:rsid w:val="00F34C8E"/>
    <w:rsid w:val="00F36314"/>
    <w:rsid w:val="00F365C6"/>
    <w:rsid w:val="00F375F8"/>
    <w:rsid w:val="00F376D7"/>
    <w:rsid w:val="00F3789F"/>
    <w:rsid w:val="00F43659"/>
    <w:rsid w:val="00F43F35"/>
    <w:rsid w:val="00F450D3"/>
    <w:rsid w:val="00F45657"/>
    <w:rsid w:val="00F4616F"/>
    <w:rsid w:val="00F47C93"/>
    <w:rsid w:val="00F51752"/>
    <w:rsid w:val="00F51B9D"/>
    <w:rsid w:val="00F51BD7"/>
    <w:rsid w:val="00F51BDF"/>
    <w:rsid w:val="00F51D7D"/>
    <w:rsid w:val="00F52D3F"/>
    <w:rsid w:val="00F53CA4"/>
    <w:rsid w:val="00F56D79"/>
    <w:rsid w:val="00F56F49"/>
    <w:rsid w:val="00F57C78"/>
    <w:rsid w:val="00F60014"/>
    <w:rsid w:val="00F60C48"/>
    <w:rsid w:val="00F61C78"/>
    <w:rsid w:val="00F62261"/>
    <w:rsid w:val="00F625EC"/>
    <w:rsid w:val="00F6390A"/>
    <w:rsid w:val="00F63EBE"/>
    <w:rsid w:val="00F64992"/>
    <w:rsid w:val="00F649FB"/>
    <w:rsid w:val="00F66541"/>
    <w:rsid w:val="00F66690"/>
    <w:rsid w:val="00F66E76"/>
    <w:rsid w:val="00F67B43"/>
    <w:rsid w:val="00F70036"/>
    <w:rsid w:val="00F72EA9"/>
    <w:rsid w:val="00F733F2"/>
    <w:rsid w:val="00F73DBE"/>
    <w:rsid w:val="00F76B97"/>
    <w:rsid w:val="00F80207"/>
    <w:rsid w:val="00F80802"/>
    <w:rsid w:val="00F80DA8"/>
    <w:rsid w:val="00F81A72"/>
    <w:rsid w:val="00F82A3D"/>
    <w:rsid w:val="00F82B7C"/>
    <w:rsid w:val="00F90DFE"/>
    <w:rsid w:val="00F92CD5"/>
    <w:rsid w:val="00F935BC"/>
    <w:rsid w:val="00F9650E"/>
    <w:rsid w:val="00FA041E"/>
    <w:rsid w:val="00FA0A99"/>
    <w:rsid w:val="00FA124B"/>
    <w:rsid w:val="00FA1B94"/>
    <w:rsid w:val="00FA1BC3"/>
    <w:rsid w:val="00FA2297"/>
    <w:rsid w:val="00FA3A9D"/>
    <w:rsid w:val="00FA5196"/>
    <w:rsid w:val="00FA5BB4"/>
    <w:rsid w:val="00FA6F9D"/>
    <w:rsid w:val="00FB009E"/>
    <w:rsid w:val="00FB1714"/>
    <w:rsid w:val="00FB18AF"/>
    <w:rsid w:val="00FB190A"/>
    <w:rsid w:val="00FB1CF2"/>
    <w:rsid w:val="00FB4061"/>
    <w:rsid w:val="00FB5DCC"/>
    <w:rsid w:val="00FB7059"/>
    <w:rsid w:val="00FC57AE"/>
    <w:rsid w:val="00FC580A"/>
    <w:rsid w:val="00FC5DAA"/>
    <w:rsid w:val="00FC7D62"/>
    <w:rsid w:val="00FD0320"/>
    <w:rsid w:val="00FD0742"/>
    <w:rsid w:val="00FD1A02"/>
    <w:rsid w:val="00FD2939"/>
    <w:rsid w:val="00FD42D7"/>
    <w:rsid w:val="00FD47D9"/>
    <w:rsid w:val="00FD667B"/>
    <w:rsid w:val="00FE0C7E"/>
    <w:rsid w:val="00FE17B9"/>
    <w:rsid w:val="00FE3B41"/>
    <w:rsid w:val="00FE4AEC"/>
    <w:rsid w:val="00FE54C9"/>
    <w:rsid w:val="00FE5AB8"/>
    <w:rsid w:val="00FE5B0C"/>
    <w:rsid w:val="00FE64E2"/>
    <w:rsid w:val="00FE682F"/>
    <w:rsid w:val="00FE6982"/>
    <w:rsid w:val="00FE77BD"/>
    <w:rsid w:val="00FF3EB5"/>
    <w:rsid w:val="00FF4D94"/>
    <w:rsid w:val="00FF51E1"/>
    <w:rsid w:val="00FF6E27"/>
    <w:rsid w:val="01B82046"/>
    <w:rsid w:val="02472F76"/>
    <w:rsid w:val="06910DC5"/>
    <w:rsid w:val="180FB517"/>
    <w:rsid w:val="1BB45DAF"/>
    <w:rsid w:val="34CF3473"/>
    <w:rsid w:val="34E881B7"/>
    <w:rsid w:val="39760CFC"/>
    <w:rsid w:val="3C341482"/>
    <w:rsid w:val="465B3A8A"/>
    <w:rsid w:val="491C0010"/>
    <w:rsid w:val="4955963B"/>
    <w:rsid w:val="533B0092"/>
    <w:rsid w:val="56DAF7C1"/>
    <w:rsid w:val="58A5444C"/>
    <w:rsid w:val="5DEAF1A0"/>
    <w:rsid w:val="5E58F49A"/>
    <w:rsid w:val="5F5426C4"/>
    <w:rsid w:val="62423CBA"/>
    <w:rsid w:val="67ED6C53"/>
    <w:rsid w:val="6B97DEE4"/>
    <w:rsid w:val="7FFC9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49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pBdr>
        <w:top w:val="double" w:sz="7" w:space="0" w:color="000000"/>
        <w:left w:val="double" w:sz="7" w:space="0" w:color="000000"/>
        <w:bottom w:val="double" w:sz="7" w:space="0" w:color="000000"/>
        <w:right w:val="double" w:sz="7" w:space="0" w:color="000000"/>
      </w:pBdr>
      <w:tabs>
        <w:tab w:val="center" w:pos="4167"/>
      </w:tabs>
      <w:jc w:val="center"/>
      <w:outlineLvl w:val="0"/>
    </w:pPr>
    <w:rPr>
      <w:b/>
    </w:rPr>
  </w:style>
  <w:style w:type="paragraph" w:styleId="Heading2">
    <w:name w:val="heading 2"/>
    <w:basedOn w:val="Normal"/>
    <w:next w:val="Normal"/>
    <w:uiPriority w:val="9"/>
    <w:qFormat/>
    <w:pPr>
      <w:keepNext/>
      <w:widowControl/>
      <w:spacing w:line="480" w:lineRule="auto"/>
      <w:jc w:val="both"/>
      <w:outlineLvl w:val="1"/>
    </w:pPr>
    <w:rPr>
      <w:b/>
      <w:u w:val="single"/>
    </w:rPr>
  </w:style>
  <w:style w:type="paragraph" w:styleId="Heading3">
    <w:name w:val="heading 3"/>
    <w:basedOn w:val="Normal"/>
    <w:next w:val="Normal"/>
    <w:qFormat/>
    <w:pPr>
      <w:keepNext/>
      <w:widowControl/>
      <w:tabs>
        <w:tab w:val="left" w:pos="-1440"/>
      </w:tabs>
      <w:spacing w:line="480" w:lineRule="auto"/>
      <w:ind w:left="720" w:hanging="720"/>
      <w:jc w:val="both"/>
      <w:outlineLvl w:val="2"/>
    </w:pPr>
    <w:rPr>
      <w:b/>
      <w:bCs/>
      <w:u w:val="single"/>
    </w:rPr>
  </w:style>
  <w:style w:type="paragraph" w:styleId="Heading4">
    <w:name w:val="heading 4"/>
    <w:basedOn w:val="Normal"/>
    <w:next w:val="Normal"/>
    <w:qFormat/>
    <w:pPr>
      <w:keepNext/>
      <w:pBdr>
        <w:top w:val="double" w:sz="7" w:space="0" w:color="000000"/>
        <w:left w:val="double" w:sz="7" w:space="0" w:color="000000"/>
        <w:bottom w:val="double" w:sz="7" w:space="0" w:color="000000"/>
        <w:right w:val="double" w:sz="7" w:space="0" w:color="000000"/>
      </w:pBdr>
      <w:tabs>
        <w:tab w:val="center" w:pos="4167"/>
      </w:tabs>
      <w:jc w:val="center"/>
      <w:outlineLvl w:val="3"/>
    </w:pPr>
    <w:rPr>
      <w:b/>
      <w:u w:val="single"/>
    </w:rPr>
  </w:style>
  <w:style w:type="paragraph" w:styleId="Heading5">
    <w:name w:val="heading 5"/>
    <w:basedOn w:val="Normal"/>
    <w:next w:val="Normal"/>
    <w:link w:val="Heading5Char"/>
    <w:qFormat/>
    <w:pPr>
      <w:keepNext/>
      <w:widowControl/>
      <w:tabs>
        <w:tab w:val="left" w:pos="-1440"/>
      </w:tabs>
      <w:spacing w:line="480" w:lineRule="auto"/>
      <w:ind w:left="720" w:hanging="720"/>
      <w:jc w:val="both"/>
      <w:outlineLvl w:val="4"/>
    </w:pPr>
    <w:rPr>
      <w:b/>
      <w:bCs/>
    </w:rPr>
  </w:style>
  <w:style w:type="paragraph" w:styleId="Heading6">
    <w:name w:val="heading 6"/>
    <w:basedOn w:val="Normal"/>
    <w:next w:val="Normal"/>
    <w:qFormat/>
    <w:pPr>
      <w:keepNext/>
      <w:spacing w:line="480" w:lineRule="auto"/>
      <w:outlineLvl w:val="5"/>
    </w:pPr>
    <w:rPr>
      <w:b/>
      <w:u w:val="single"/>
    </w:rPr>
  </w:style>
  <w:style w:type="paragraph" w:styleId="Heading7">
    <w:name w:val="heading 7"/>
    <w:basedOn w:val="Normal"/>
    <w:next w:val="Normal"/>
    <w:qFormat/>
    <w:pPr>
      <w:keepNext/>
      <w:jc w:val="center"/>
      <w:outlineLvl w:val="6"/>
    </w:pPr>
    <w:rPr>
      <w:sz w:val="18"/>
      <w:u w:val="single"/>
    </w:rPr>
  </w:style>
  <w:style w:type="paragraph" w:styleId="Heading8">
    <w:name w:val="heading 8"/>
    <w:basedOn w:val="Normal"/>
    <w:next w:val="Normal"/>
    <w:qFormat/>
    <w:pPr>
      <w:keepNext/>
      <w:outlineLvl w:val="7"/>
    </w:pPr>
    <w:rPr>
      <w:b/>
      <w:sz w:val="18"/>
      <w:u w:val="single"/>
    </w:rPr>
  </w:style>
  <w:style w:type="paragraph" w:styleId="Heading9">
    <w:name w:val="heading 9"/>
    <w:basedOn w:val="Normal"/>
    <w:next w:val="Normal"/>
    <w:qFormat/>
    <w:pPr>
      <w:keepNext/>
      <w:jc w:val="center"/>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QuickA">
    <w:name w:val="Quick A."/>
  </w:style>
  <w:style w:type="character" w:styleId="LineNumber">
    <w:name w:val="lin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1440"/>
      </w:tabs>
      <w:spacing w:line="480" w:lineRule="auto"/>
      <w:ind w:left="720" w:hanging="720"/>
      <w:jc w:val="both"/>
    </w:pPr>
  </w:style>
  <w:style w:type="paragraph" w:styleId="BodyTextIndent2">
    <w:name w:val="Body Text Indent 2"/>
    <w:basedOn w:val="Normal"/>
    <w:pPr>
      <w:widowControl/>
      <w:tabs>
        <w:tab w:val="left" w:pos="-1440"/>
      </w:tabs>
      <w:spacing w:line="480" w:lineRule="auto"/>
      <w:ind w:left="720" w:hanging="720"/>
      <w:jc w:val="both"/>
    </w:pPr>
    <w:rPr>
      <w:b/>
      <w:bCs/>
    </w:rPr>
  </w:style>
  <w:style w:type="paragraph" w:styleId="BodyText">
    <w:name w:val="Body Text"/>
    <w:basedOn w:val="Normal"/>
    <w:pPr>
      <w:widowControl/>
      <w:spacing w:line="419" w:lineRule="auto"/>
      <w:jc w:val="both"/>
    </w:pPr>
  </w:style>
  <w:style w:type="paragraph" w:styleId="BodyText2">
    <w:name w:val="Body Text 2"/>
    <w:basedOn w:val="Normal"/>
    <w:pPr>
      <w:widowControl/>
      <w:spacing w:line="419" w:lineRule="auto"/>
      <w:jc w:val="both"/>
    </w:pPr>
    <w:rPr>
      <w:b/>
      <w:bCs/>
    </w:rPr>
  </w:style>
  <w:style w:type="paragraph" w:styleId="BodyTextIndent3">
    <w:name w:val="Body Text Indent 3"/>
    <w:basedOn w:val="Normal"/>
    <w:pPr>
      <w:widowControl/>
      <w:spacing w:line="480" w:lineRule="auto"/>
      <w:ind w:left="720" w:hanging="720"/>
      <w:jc w:val="both"/>
    </w:pPr>
    <w:rPr>
      <w:b/>
      <w:bCs/>
      <w:color w:val="000000"/>
    </w:rPr>
  </w:style>
  <w:style w:type="paragraph" w:styleId="BlockText">
    <w:name w:val="Block Text"/>
    <w:basedOn w:val="Normal"/>
    <w:pPr>
      <w:ind w:left="720" w:right="720"/>
      <w:jc w:val="both"/>
    </w:pPr>
    <w:rPr>
      <w:b/>
    </w:rPr>
  </w:style>
  <w:style w:type="paragraph" w:styleId="FootnoteText">
    <w:name w:val="footnote text"/>
    <w:basedOn w:val="Normal"/>
    <w:link w:val="FootnoteTextChar"/>
    <w:uiPriority w:val="99"/>
    <w:semiHidden/>
    <w:rPr>
      <w:sz w:val="20"/>
    </w:rPr>
  </w:style>
  <w:style w:type="paragraph" w:styleId="TOC1">
    <w:name w:val="toc 1"/>
    <w:basedOn w:val="Normal"/>
    <w:next w:val="Normal"/>
    <w:autoRedefine/>
    <w:uiPriority w:val="39"/>
    <w:rsid w:val="002D7718"/>
    <w:pPr>
      <w:tabs>
        <w:tab w:val="left" w:pos="540"/>
        <w:tab w:val="right" w:leader="dot" w:pos="8918"/>
      </w:tabs>
      <w:ind w:left="450" w:hanging="450"/>
    </w:pPr>
    <w:rPr>
      <w:noProof/>
      <w:sz w:val="22"/>
    </w:rPr>
  </w:style>
  <w:style w:type="paragraph" w:styleId="TOC2">
    <w:name w:val="toc 2"/>
    <w:basedOn w:val="Normal"/>
    <w:next w:val="Normal"/>
    <w:autoRedefine/>
    <w:uiPriority w:val="39"/>
    <w:rsid w:val="002D7718"/>
    <w:pPr>
      <w:tabs>
        <w:tab w:val="left" w:pos="-2250"/>
        <w:tab w:val="left" w:pos="1080"/>
        <w:tab w:val="right" w:leader="dot" w:pos="8918"/>
      </w:tabs>
      <w:ind w:left="1080" w:hanging="540"/>
    </w:pPr>
    <w:rPr>
      <w:b/>
      <w:noProof/>
      <w:szCs w:val="24"/>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45B5A"/>
    <w:rPr>
      <w:sz w:val="16"/>
      <w:szCs w:val="16"/>
    </w:rPr>
  </w:style>
  <w:style w:type="paragraph" w:styleId="CommentText">
    <w:name w:val="annotation text"/>
    <w:basedOn w:val="Normal"/>
    <w:link w:val="CommentTextChar"/>
    <w:rsid w:val="00845B5A"/>
    <w:rPr>
      <w:sz w:val="20"/>
    </w:rPr>
  </w:style>
  <w:style w:type="character" w:customStyle="1" w:styleId="CommentTextChar">
    <w:name w:val="Comment Text Char"/>
    <w:link w:val="CommentText"/>
    <w:rsid w:val="00845B5A"/>
    <w:rPr>
      <w:snapToGrid w:val="0"/>
    </w:rPr>
  </w:style>
  <w:style w:type="paragraph" w:styleId="CommentSubject">
    <w:name w:val="annotation subject"/>
    <w:basedOn w:val="CommentText"/>
    <w:next w:val="CommentText"/>
    <w:link w:val="CommentSubjectChar"/>
    <w:rsid w:val="00845B5A"/>
    <w:rPr>
      <w:b/>
      <w:bCs/>
    </w:rPr>
  </w:style>
  <w:style w:type="character" w:customStyle="1" w:styleId="CommentSubjectChar">
    <w:name w:val="Comment Subject Char"/>
    <w:link w:val="CommentSubject"/>
    <w:rsid w:val="00845B5A"/>
    <w:rPr>
      <w:b/>
      <w:bCs/>
      <w:snapToGrid w:val="0"/>
    </w:rPr>
  </w:style>
  <w:style w:type="character" w:customStyle="1" w:styleId="FootnoteTextChar">
    <w:name w:val="Footnote Text Char"/>
    <w:link w:val="FootnoteText"/>
    <w:uiPriority w:val="99"/>
    <w:semiHidden/>
    <w:rsid w:val="00D444D2"/>
    <w:rPr>
      <w:snapToGrid w:val="0"/>
    </w:rPr>
  </w:style>
  <w:style w:type="character" w:customStyle="1" w:styleId="Heading5Char">
    <w:name w:val="Heading 5 Char"/>
    <w:link w:val="Heading5"/>
    <w:rsid w:val="002C7B2A"/>
    <w:rPr>
      <w:b/>
      <w:bCs/>
      <w:snapToGrid w:val="0"/>
      <w:sz w:val="24"/>
    </w:rPr>
  </w:style>
  <w:style w:type="paragraph" w:styleId="ListParagraph">
    <w:name w:val="List Paragraph"/>
    <w:basedOn w:val="Normal"/>
    <w:uiPriority w:val="34"/>
    <w:qFormat/>
    <w:rsid w:val="00F07957"/>
    <w:pPr>
      <w:ind w:left="720"/>
    </w:pPr>
  </w:style>
  <w:style w:type="paragraph" w:styleId="Revision">
    <w:name w:val="Revision"/>
    <w:hidden/>
    <w:uiPriority w:val="99"/>
    <w:semiHidden/>
    <w:rsid w:val="00CE5262"/>
    <w:rPr>
      <w:snapToGrid w:val="0"/>
      <w:sz w:val="24"/>
    </w:rPr>
  </w:style>
  <w:style w:type="paragraph" w:customStyle="1" w:styleId="Answer">
    <w:name w:val="Answer"/>
    <w:basedOn w:val="Normal"/>
    <w:next w:val="Normal"/>
    <w:link w:val="AnswerChar"/>
    <w:uiPriority w:val="99"/>
    <w:qFormat/>
    <w:rsid w:val="00044205"/>
    <w:pPr>
      <w:widowControl/>
      <w:numPr>
        <w:numId w:val="31"/>
      </w:numPr>
      <w:spacing w:after="120" w:line="480" w:lineRule="auto"/>
    </w:pPr>
    <w:rPr>
      <w:snapToGrid/>
      <w:szCs w:val="24"/>
    </w:rPr>
  </w:style>
  <w:style w:type="character" w:customStyle="1" w:styleId="AnswerChar">
    <w:name w:val="Answer Char"/>
    <w:link w:val="Answer"/>
    <w:uiPriority w:val="99"/>
    <w:rsid w:val="00044205"/>
    <w:rPr>
      <w:sz w:val="24"/>
      <w:szCs w:val="24"/>
    </w:rPr>
  </w:style>
  <w:style w:type="paragraph" w:customStyle="1" w:styleId="Questions">
    <w:name w:val="Questions"/>
    <w:basedOn w:val="Normal"/>
    <w:link w:val="QuestionsChar"/>
    <w:rsid w:val="00A426CB"/>
    <w:pPr>
      <w:widowControl/>
      <w:spacing w:before="120" w:line="520" w:lineRule="exact"/>
      <w:ind w:left="720" w:hanging="720"/>
      <w:jc w:val="both"/>
    </w:pPr>
    <w:rPr>
      <w:rFonts w:ascii="Times New Roman Bold" w:hAnsi="Times New Roman Bold"/>
      <w:caps/>
      <w:snapToGrid/>
    </w:rPr>
  </w:style>
  <w:style w:type="paragraph" w:customStyle="1" w:styleId="Answers">
    <w:name w:val="Answers"/>
    <w:basedOn w:val="Normal"/>
    <w:link w:val="AnswersChar"/>
    <w:rsid w:val="00A426CB"/>
    <w:pPr>
      <w:widowControl/>
      <w:spacing w:line="520" w:lineRule="exact"/>
      <w:ind w:left="720" w:hanging="720"/>
      <w:jc w:val="both"/>
    </w:pPr>
    <w:rPr>
      <w:snapToGrid/>
    </w:rPr>
  </w:style>
  <w:style w:type="character" w:customStyle="1" w:styleId="AnswersChar">
    <w:name w:val="Answers Char"/>
    <w:basedOn w:val="DefaultParagraphFont"/>
    <w:link w:val="Answers"/>
    <w:rsid w:val="00A426CB"/>
    <w:rPr>
      <w:sz w:val="24"/>
    </w:rPr>
  </w:style>
  <w:style w:type="character" w:customStyle="1" w:styleId="QuestionsChar">
    <w:name w:val="Questions Char"/>
    <w:basedOn w:val="DefaultParagraphFont"/>
    <w:link w:val="Questions"/>
    <w:rsid w:val="00A426CB"/>
    <w:rPr>
      <w:rFonts w:ascii="Times New Roman Bold" w:hAnsi="Times New Roman Bold"/>
      <w:caps/>
      <w:sz w:val="24"/>
    </w:rPr>
  </w:style>
  <w:style w:type="paragraph" w:customStyle="1" w:styleId="Style">
    <w:name w:val="Style"/>
    <w:basedOn w:val="Normal"/>
    <w:rsid w:val="00ED50E9"/>
  </w:style>
  <w:style w:type="character" w:customStyle="1" w:styleId="HeaderChar">
    <w:name w:val="Header Char"/>
    <w:basedOn w:val="DefaultParagraphFont"/>
    <w:link w:val="Header"/>
    <w:uiPriority w:val="99"/>
    <w:rsid w:val="00704F9B"/>
    <w:rPr>
      <w:snapToGrid w:val="0"/>
      <w:sz w:val="24"/>
    </w:rPr>
  </w:style>
  <w:style w:type="character" w:customStyle="1" w:styleId="FooterChar">
    <w:name w:val="Footer Char"/>
    <w:basedOn w:val="DefaultParagraphFont"/>
    <w:link w:val="Footer"/>
    <w:uiPriority w:val="99"/>
    <w:rsid w:val="00485ED4"/>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pBdr>
        <w:top w:val="double" w:sz="7" w:space="0" w:color="000000"/>
        <w:left w:val="double" w:sz="7" w:space="0" w:color="000000"/>
        <w:bottom w:val="double" w:sz="7" w:space="0" w:color="000000"/>
        <w:right w:val="double" w:sz="7" w:space="0" w:color="000000"/>
      </w:pBdr>
      <w:tabs>
        <w:tab w:val="center" w:pos="4167"/>
      </w:tabs>
      <w:jc w:val="center"/>
      <w:outlineLvl w:val="0"/>
    </w:pPr>
    <w:rPr>
      <w:b/>
    </w:rPr>
  </w:style>
  <w:style w:type="paragraph" w:styleId="Heading2">
    <w:name w:val="heading 2"/>
    <w:basedOn w:val="Normal"/>
    <w:next w:val="Normal"/>
    <w:uiPriority w:val="9"/>
    <w:qFormat/>
    <w:pPr>
      <w:keepNext/>
      <w:widowControl/>
      <w:spacing w:line="480" w:lineRule="auto"/>
      <w:jc w:val="both"/>
      <w:outlineLvl w:val="1"/>
    </w:pPr>
    <w:rPr>
      <w:b/>
      <w:u w:val="single"/>
    </w:rPr>
  </w:style>
  <w:style w:type="paragraph" w:styleId="Heading3">
    <w:name w:val="heading 3"/>
    <w:basedOn w:val="Normal"/>
    <w:next w:val="Normal"/>
    <w:qFormat/>
    <w:pPr>
      <w:keepNext/>
      <w:widowControl/>
      <w:tabs>
        <w:tab w:val="left" w:pos="-1440"/>
      </w:tabs>
      <w:spacing w:line="480" w:lineRule="auto"/>
      <w:ind w:left="720" w:hanging="720"/>
      <w:jc w:val="both"/>
      <w:outlineLvl w:val="2"/>
    </w:pPr>
    <w:rPr>
      <w:b/>
      <w:bCs/>
      <w:u w:val="single"/>
    </w:rPr>
  </w:style>
  <w:style w:type="paragraph" w:styleId="Heading4">
    <w:name w:val="heading 4"/>
    <w:basedOn w:val="Normal"/>
    <w:next w:val="Normal"/>
    <w:qFormat/>
    <w:pPr>
      <w:keepNext/>
      <w:pBdr>
        <w:top w:val="double" w:sz="7" w:space="0" w:color="000000"/>
        <w:left w:val="double" w:sz="7" w:space="0" w:color="000000"/>
        <w:bottom w:val="double" w:sz="7" w:space="0" w:color="000000"/>
        <w:right w:val="double" w:sz="7" w:space="0" w:color="000000"/>
      </w:pBdr>
      <w:tabs>
        <w:tab w:val="center" w:pos="4167"/>
      </w:tabs>
      <w:jc w:val="center"/>
      <w:outlineLvl w:val="3"/>
    </w:pPr>
    <w:rPr>
      <w:b/>
      <w:u w:val="single"/>
    </w:rPr>
  </w:style>
  <w:style w:type="paragraph" w:styleId="Heading5">
    <w:name w:val="heading 5"/>
    <w:basedOn w:val="Normal"/>
    <w:next w:val="Normal"/>
    <w:link w:val="Heading5Char"/>
    <w:qFormat/>
    <w:pPr>
      <w:keepNext/>
      <w:widowControl/>
      <w:tabs>
        <w:tab w:val="left" w:pos="-1440"/>
      </w:tabs>
      <w:spacing w:line="480" w:lineRule="auto"/>
      <w:ind w:left="720" w:hanging="720"/>
      <w:jc w:val="both"/>
      <w:outlineLvl w:val="4"/>
    </w:pPr>
    <w:rPr>
      <w:b/>
      <w:bCs/>
    </w:rPr>
  </w:style>
  <w:style w:type="paragraph" w:styleId="Heading6">
    <w:name w:val="heading 6"/>
    <w:basedOn w:val="Normal"/>
    <w:next w:val="Normal"/>
    <w:qFormat/>
    <w:pPr>
      <w:keepNext/>
      <w:spacing w:line="480" w:lineRule="auto"/>
      <w:outlineLvl w:val="5"/>
    </w:pPr>
    <w:rPr>
      <w:b/>
      <w:u w:val="single"/>
    </w:rPr>
  </w:style>
  <w:style w:type="paragraph" w:styleId="Heading7">
    <w:name w:val="heading 7"/>
    <w:basedOn w:val="Normal"/>
    <w:next w:val="Normal"/>
    <w:qFormat/>
    <w:pPr>
      <w:keepNext/>
      <w:jc w:val="center"/>
      <w:outlineLvl w:val="6"/>
    </w:pPr>
    <w:rPr>
      <w:sz w:val="18"/>
      <w:u w:val="single"/>
    </w:rPr>
  </w:style>
  <w:style w:type="paragraph" w:styleId="Heading8">
    <w:name w:val="heading 8"/>
    <w:basedOn w:val="Normal"/>
    <w:next w:val="Normal"/>
    <w:qFormat/>
    <w:pPr>
      <w:keepNext/>
      <w:outlineLvl w:val="7"/>
    </w:pPr>
    <w:rPr>
      <w:b/>
      <w:sz w:val="18"/>
      <w:u w:val="single"/>
    </w:rPr>
  </w:style>
  <w:style w:type="paragraph" w:styleId="Heading9">
    <w:name w:val="heading 9"/>
    <w:basedOn w:val="Normal"/>
    <w:next w:val="Normal"/>
    <w:qFormat/>
    <w:pPr>
      <w:keepNext/>
      <w:jc w:val="center"/>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QuickA">
    <w:name w:val="Quick A."/>
  </w:style>
  <w:style w:type="character" w:styleId="LineNumber">
    <w:name w:val="lin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1440"/>
      </w:tabs>
      <w:spacing w:line="480" w:lineRule="auto"/>
      <w:ind w:left="720" w:hanging="720"/>
      <w:jc w:val="both"/>
    </w:pPr>
  </w:style>
  <w:style w:type="paragraph" w:styleId="BodyTextIndent2">
    <w:name w:val="Body Text Indent 2"/>
    <w:basedOn w:val="Normal"/>
    <w:pPr>
      <w:widowControl/>
      <w:tabs>
        <w:tab w:val="left" w:pos="-1440"/>
      </w:tabs>
      <w:spacing w:line="480" w:lineRule="auto"/>
      <w:ind w:left="720" w:hanging="720"/>
      <w:jc w:val="both"/>
    </w:pPr>
    <w:rPr>
      <w:b/>
      <w:bCs/>
    </w:rPr>
  </w:style>
  <w:style w:type="paragraph" w:styleId="BodyText">
    <w:name w:val="Body Text"/>
    <w:basedOn w:val="Normal"/>
    <w:pPr>
      <w:widowControl/>
      <w:spacing w:line="419" w:lineRule="auto"/>
      <w:jc w:val="both"/>
    </w:pPr>
  </w:style>
  <w:style w:type="paragraph" w:styleId="BodyText2">
    <w:name w:val="Body Text 2"/>
    <w:basedOn w:val="Normal"/>
    <w:pPr>
      <w:widowControl/>
      <w:spacing w:line="419" w:lineRule="auto"/>
      <w:jc w:val="both"/>
    </w:pPr>
    <w:rPr>
      <w:b/>
      <w:bCs/>
    </w:rPr>
  </w:style>
  <w:style w:type="paragraph" w:styleId="BodyTextIndent3">
    <w:name w:val="Body Text Indent 3"/>
    <w:basedOn w:val="Normal"/>
    <w:pPr>
      <w:widowControl/>
      <w:spacing w:line="480" w:lineRule="auto"/>
      <w:ind w:left="720" w:hanging="720"/>
      <w:jc w:val="both"/>
    </w:pPr>
    <w:rPr>
      <w:b/>
      <w:bCs/>
      <w:color w:val="000000"/>
    </w:rPr>
  </w:style>
  <w:style w:type="paragraph" w:styleId="BlockText">
    <w:name w:val="Block Text"/>
    <w:basedOn w:val="Normal"/>
    <w:pPr>
      <w:ind w:left="720" w:right="720"/>
      <w:jc w:val="both"/>
    </w:pPr>
    <w:rPr>
      <w:b/>
    </w:rPr>
  </w:style>
  <w:style w:type="paragraph" w:styleId="FootnoteText">
    <w:name w:val="footnote text"/>
    <w:basedOn w:val="Normal"/>
    <w:link w:val="FootnoteTextChar"/>
    <w:uiPriority w:val="99"/>
    <w:semiHidden/>
    <w:rPr>
      <w:sz w:val="20"/>
    </w:rPr>
  </w:style>
  <w:style w:type="paragraph" w:styleId="TOC1">
    <w:name w:val="toc 1"/>
    <w:basedOn w:val="Normal"/>
    <w:next w:val="Normal"/>
    <w:autoRedefine/>
    <w:uiPriority w:val="39"/>
    <w:rsid w:val="002D7718"/>
    <w:pPr>
      <w:tabs>
        <w:tab w:val="left" w:pos="540"/>
        <w:tab w:val="right" w:leader="dot" w:pos="8918"/>
      </w:tabs>
      <w:ind w:left="450" w:hanging="450"/>
    </w:pPr>
    <w:rPr>
      <w:noProof/>
      <w:sz w:val="22"/>
    </w:rPr>
  </w:style>
  <w:style w:type="paragraph" w:styleId="TOC2">
    <w:name w:val="toc 2"/>
    <w:basedOn w:val="Normal"/>
    <w:next w:val="Normal"/>
    <w:autoRedefine/>
    <w:uiPriority w:val="39"/>
    <w:rsid w:val="002D7718"/>
    <w:pPr>
      <w:tabs>
        <w:tab w:val="left" w:pos="-2250"/>
        <w:tab w:val="left" w:pos="1080"/>
        <w:tab w:val="right" w:leader="dot" w:pos="8918"/>
      </w:tabs>
      <w:ind w:left="1080" w:hanging="540"/>
    </w:pPr>
    <w:rPr>
      <w:b/>
      <w:noProof/>
      <w:szCs w:val="24"/>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845B5A"/>
    <w:rPr>
      <w:sz w:val="16"/>
      <w:szCs w:val="16"/>
    </w:rPr>
  </w:style>
  <w:style w:type="paragraph" w:styleId="CommentText">
    <w:name w:val="annotation text"/>
    <w:basedOn w:val="Normal"/>
    <w:link w:val="CommentTextChar"/>
    <w:rsid w:val="00845B5A"/>
    <w:rPr>
      <w:sz w:val="20"/>
    </w:rPr>
  </w:style>
  <w:style w:type="character" w:customStyle="1" w:styleId="CommentTextChar">
    <w:name w:val="Comment Text Char"/>
    <w:link w:val="CommentText"/>
    <w:rsid w:val="00845B5A"/>
    <w:rPr>
      <w:snapToGrid w:val="0"/>
    </w:rPr>
  </w:style>
  <w:style w:type="paragraph" w:styleId="CommentSubject">
    <w:name w:val="annotation subject"/>
    <w:basedOn w:val="CommentText"/>
    <w:next w:val="CommentText"/>
    <w:link w:val="CommentSubjectChar"/>
    <w:rsid w:val="00845B5A"/>
    <w:rPr>
      <w:b/>
      <w:bCs/>
    </w:rPr>
  </w:style>
  <w:style w:type="character" w:customStyle="1" w:styleId="CommentSubjectChar">
    <w:name w:val="Comment Subject Char"/>
    <w:link w:val="CommentSubject"/>
    <w:rsid w:val="00845B5A"/>
    <w:rPr>
      <w:b/>
      <w:bCs/>
      <w:snapToGrid w:val="0"/>
    </w:rPr>
  </w:style>
  <w:style w:type="character" w:customStyle="1" w:styleId="FootnoteTextChar">
    <w:name w:val="Footnote Text Char"/>
    <w:link w:val="FootnoteText"/>
    <w:uiPriority w:val="99"/>
    <w:semiHidden/>
    <w:rsid w:val="00D444D2"/>
    <w:rPr>
      <w:snapToGrid w:val="0"/>
    </w:rPr>
  </w:style>
  <w:style w:type="character" w:customStyle="1" w:styleId="Heading5Char">
    <w:name w:val="Heading 5 Char"/>
    <w:link w:val="Heading5"/>
    <w:rsid w:val="002C7B2A"/>
    <w:rPr>
      <w:b/>
      <w:bCs/>
      <w:snapToGrid w:val="0"/>
      <w:sz w:val="24"/>
    </w:rPr>
  </w:style>
  <w:style w:type="paragraph" w:styleId="ListParagraph">
    <w:name w:val="List Paragraph"/>
    <w:basedOn w:val="Normal"/>
    <w:uiPriority w:val="34"/>
    <w:qFormat/>
    <w:rsid w:val="00F07957"/>
    <w:pPr>
      <w:ind w:left="720"/>
    </w:pPr>
  </w:style>
  <w:style w:type="paragraph" w:styleId="Revision">
    <w:name w:val="Revision"/>
    <w:hidden/>
    <w:uiPriority w:val="99"/>
    <w:semiHidden/>
    <w:rsid w:val="00CE5262"/>
    <w:rPr>
      <w:snapToGrid w:val="0"/>
      <w:sz w:val="24"/>
    </w:rPr>
  </w:style>
  <w:style w:type="paragraph" w:customStyle="1" w:styleId="Answer">
    <w:name w:val="Answer"/>
    <w:basedOn w:val="Normal"/>
    <w:next w:val="Normal"/>
    <w:link w:val="AnswerChar"/>
    <w:uiPriority w:val="99"/>
    <w:qFormat/>
    <w:rsid w:val="00044205"/>
    <w:pPr>
      <w:widowControl/>
      <w:numPr>
        <w:numId w:val="31"/>
      </w:numPr>
      <w:spacing w:after="120" w:line="480" w:lineRule="auto"/>
    </w:pPr>
    <w:rPr>
      <w:snapToGrid/>
      <w:szCs w:val="24"/>
    </w:rPr>
  </w:style>
  <w:style w:type="character" w:customStyle="1" w:styleId="AnswerChar">
    <w:name w:val="Answer Char"/>
    <w:link w:val="Answer"/>
    <w:uiPriority w:val="99"/>
    <w:rsid w:val="00044205"/>
    <w:rPr>
      <w:sz w:val="24"/>
      <w:szCs w:val="24"/>
    </w:rPr>
  </w:style>
  <w:style w:type="paragraph" w:customStyle="1" w:styleId="Questions">
    <w:name w:val="Questions"/>
    <w:basedOn w:val="Normal"/>
    <w:link w:val="QuestionsChar"/>
    <w:rsid w:val="00A426CB"/>
    <w:pPr>
      <w:widowControl/>
      <w:spacing w:before="120" w:line="520" w:lineRule="exact"/>
      <w:ind w:left="720" w:hanging="720"/>
      <w:jc w:val="both"/>
    </w:pPr>
    <w:rPr>
      <w:rFonts w:ascii="Times New Roman Bold" w:hAnsi="Times New Roman Bold"/>
      <w:caps/>
      <w:snapToGrid/>
    </w:rPr>
  </w:style>
  <w:style w:type="paragraph" w:customStyle="1" w:styleId="Answers">
    <w:name w:val="Answers"/>
    <w:basedOn w:val="Normal"/>
    <w:link w:val="AnswersChar"/>
    <w:rsid w:val="00A426CB"/>
    <w:pPr>
      <w:widowControl/>
      <w:spacing w:line="520" w:lineRule="exact"/>
      <w:ind w:left="720" w:hanging="720"/>
      <w:jc w:val="both"/>
    </w:pPr>
    <w:rPr>
      <w:snapToGrid/>
    </w:rPr>
  </w:style>
  <w:style w:type="character" w:customStyle="1" w:styleId="AnswersChar">
    <w:name w:val="Answers Char"/>
    <w:basedOn w:val="DefaultParagraphFont"/>
    <w:link w:val="Answers"/>
    <w:rsid w:val="00A426CB"/>
    <w:rPr>
      <w:sz w:val="24"/>
    </w:rPr>
  </w:style>
  <w:style w:type="character" w:customStyle="1" w:styleId="QuestionsChar">
    <w:name w:val="Questions Char"/>
    <w:basedOn w:val="DefaultParagraphFont"/>
    <w:link w:val="Questions"/>
    <w:rsid w:val="00A426CB"/>
    <w:rPr>
      <w:rFonts w:ascii="Times New Roman Bold" w:hAnsi="Times New Roman Bold"/>
      <w:caps/>
      <w:sz w:val="24"/>
    </w:rPr>
  </w:style>
  <w:style w:type="paragraph" w:customStyle="1" w:styleId="Style">
    <w:name w:val="Style"/>
    <w:basedOn w:val="Normal"/>
    <w:rsid w:val="00ED50E9"/>
  </w:style>
  <w:style w:type="character" w:customStyle="1" w:styleId="HeaderChar">
    <w:name w:val="Header Char"/>
    <w:basedOn w:val="DefaultParagraphFont"/>
    <w:link w:val="Header"/>
    <w:uiPriority w:val="99"/>
    <w:rsid w:val="00704F9B"/>
    <w:rPr>
      <w:snapToGrid w:val="0"/>
      <w:sz w:val="24"/>
    </w:rPr>
  </w:style>
  <w:style w:type="character" w:customStyle="1" w:styleId="FooterChar">
    <w:name w:val="Footer Char"/>
    <w:basedOn w:val="DefaultParagraphFont"/>
    <w:link w:val="Footer"/>
    <w:uiPriority w:val="99"/>
    <w:rsid w:val="00485ED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08037">
      <w:bodyDiv w:val="1"/>
      <w:marLeft w:val="0"/>
      <w:marRight w:val="0"/>
      <w:marTop w:val="0"/>
      <w:marBottom w:val="0"/>
      <w:divBdr>
        <w:top w:val="none" w:sz="0" w:space="0" w:color="auto"/>
        <w:left w:val="none" w:sz="0" w:space="0" w:color="auto"/>
        <w:bottom w:val="none" w:sz="0" w:space="0" w:color="auto"/>
        <w:right w:val="none" w:sz="0" w:space="0" w:color="auto"/>
      </w:divBdr>
    </w:div>
    <w:div w:id="1816215186">
      <w:bodyDiv w:val="1"/>
      <w:marLeft w:val="0"/>
      <w:marRight w:val="0"/>
      <w:marTop w:val="0"/>
      <w:marBottom w:val="0"/>
      <w:divBdr>
        <w:top w:val="none" w:sz="0" w:space="0" w:color="auto"/>
        <w:left w:val="none" w:sz="0" w:space="0" w:color="auto"/>
        <w:bottom w:val="none" w:sz="0" w:space="0" w:color="auto"/>
        <w:right w:val="none" w:sz="0" w:space="0" w:color="auto"/>
      </w:divBdr>
    </w:div>
    <w:div w:id="21121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9C5AA-65C0-4C38-9539-256A6220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3337</Words>
  <Characters>17724</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Kennedy &amp; Associates</Company>
  <LinksUpToDate>false</LinksUpToDate>
  <CharactersWithSpaces>21019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Barb Trojanowski</dc:creator>
  <cp:lastModifiedBy>Randy1</cp:lastModifiedBy>
  <cp:revision>4</cp:revision>
  <cp:lastPrinted>2024-05-09T16:25:00Z</cp:lastPrinted>
  <dcterms:created xsi:type="dcterms:W3CDTF">2024-05-09T16:24:00Z</dcterms:created>
  <dcterms:modified xsi:type="dcterms:W3CDTF">2024-05-09T16:44:00Z</dcterms:modified>
</cp:coreProperties>
</file>