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B8E4" w14:textId="77777777" w:rsidR="0082177B" w:rsidRPr="00A93E0F" w:rsidRDefault="0082177B" w:rsidP="0082177B">
      <w:pPr>
        <w:pStyle w:val="Title"/>
        <w:rPr>
          <w:b/>
          <w:szCs w:val="24"/>
        </w:rPr>
      </w:pPr>
      <w:r w:rsidRPr="00A93E0F">
        <w:rPr>
          <w:b/>
          <w:szCs w:val="24"/>
        </w:rPr>
        <w:t>BEFORE THE GEORGIA PUBLIC SERVICE COMMISSION</w:t>
      </w:r>
    </w:p>
    <w:p w14:paraId="63F8D88B" w14:textId="77777777" w:rsidR="0082177B" w:rsidRPr="00A93E0F" w:rsidRDefault="0082177B" w:rsidP="0082177B">
      <w:pPr>
        <w:pStyle w:val="Title"/>
        <w:rPr>
          <w:b/>
          <w:szCs w:val="24"/>
        </w:rPr>
      </w:pPr>
    </w:p>
    <w:p w14:paraId="5C9844E8" w14:textId="77777777" w:rsidR="0082177B" w:rsidRPr="00A93E0F" w:rsidRDefault="0082177B" w:rsidP="0082177B">
      <w:pPr>
        <w:pStyle w:val="Title"/>
        <w:rPr>
          <w:szCs w:val="24"/>
        </w:rPr>
      </w:pPr>
    </w:p>
    <w:tbl>
      <w:tblPr>
        <w:tblW w:w="9018" w:type="dxa"/>
        <w:tblCellMar>
          <w:left w:w="0" w:type="dxa"/>
          <w:right w:w="0" w:type="dxa"/>
        </w:tblCellMar>
        <w:tblLook w:val="0000" w:firstRow="0" w:lastRow="0" w:firstColumn="0" w:lastColumn="0" w:noHBand="0" w:noVBand="0"/>
      </w:tblPr>
      <w:tblGrid>
        <w:gridCol w:w="6408"/>
        <w:gridCol w:w="360"/>
        <w:gridCol w:w="2250"/>
      </w:tblGrid>
      <w:tr w:rsidR="0082177B" w:rsidRPr="00A93E0F" w14:paraId="6DABFEB5" w14:textId="77777777" w:rsidTr="00A150E8">
        <w:tc>
          <w:tcPr>
            <w:tcW w:w="6408" w:type="dxa"/>
            <w:tcMar>
              <w:top w:w="0" w:type="dxa"/>
              <w:left w:w="108" w:type="dxa"/>
              <w:bottom w:w="0" w:type="dxa"/>
              <w:right w:w="108" w:type="dxa"/>
            </w:tcMar>
          </w:tcPr>
          <w:p w14:paraId="58984E26" w14:textId="77777777" w:rsidR="0082177B" w:rsidRPr="00A93E0F" w:rsidRDefault="0082177B" w:rsidP="00A150E8">
            <w:pPr>
              <w:rPr>
                <w:rFonts w:ascii="Times New Roman" w:hAnsi="Times New Roman" w:cs="Times New Roman"/>
                <w:b/>
                <w:sz w:val="24"/>
                <w:szCs w:val="24"/>
              </w:rPr>
            </w:pPr>
            <w:r w:rsidRPr="00A93E0F">
              <w:rPr>
                <w:rFonts w:ascii="Times New Roman" w:hAnsi="Times New Roman" w:cs="Times New Roman"/>
                <w:b/>
                <w:iCs/>
                <w:sz w:val="24"/>
                <w:szCs w:val="24"/>
              </w:rPr>
              <w:t>In Re</w:t>
            </w:r>
            <w:r w:rsidRPr="00A93E0F">
              <w:rPr>
                <w:rFonts w:ascii="Times New Roman" w:hAnsi="Times New Roman" w:cs="Times New Roman"/>
                <w:b/>
                <w:sz w:val="24"/>
                <w:szCs w:val="24"/>
              </w:rPr>
              <w:t xml:space="preserve">:  </w:t>
            </w:r>
          </w:p>
          <w:p w14:paraId="65FAE7C9" w14:textId="77777777" w:rsidR="0082177B" w:rsidRPr="00A93E0F" w:rsidRDefault="0082177B" w:rsidP="00A150E8">
            <w:pPr>
              <w:rPr>
                <w:rFonts w:ascii="Times New Roman" w:hAnsi="Times New Roman" w:cs="Times New Roman"/>
                <w:b/>
                <w:i/>
                <w:iCs/>
                <w:sz w:val="24"/>
                <w:szCs w:val="24"/>
              </w:rPr>
            </w:pPr>
            <w:r w:rsidRPr="00A93E0F">
              <w:rPr>
                <w:rFonts w:ascii="Times New Roman" w:hAnsi="Times New Roman" w:cs="Times New Roman"/>
                <w:b/>
                <w:sz w:val="24"/>
                <w:szCs w:val="24"/>
              </w:rPr>
              <w:t xml:space="preserve">ATLANTA GAS LIGHT COMPANY’S INTEGRATED CAPACITY AND DELIVERY PLAN (i-CDP) </w:t>
            </w:r>
          </w:p>
        </w:tc>
        <w:tc>
          <w:tcPr>
            <w:tcW w:w="360" w:type="dxa"/>
            <w:tcMar>
              <w:top w:w="0" w:type="dxa"/>
              <w:left w:w="108" w:type="dxa"/>
              <w:bottom w:w="0" w:type="dxa"/>
              <w:right w:w="108" w:type="dxa"/>
            </w:tcMar>
          </w:tcPr>
          <w:p w14:paraId="659AFE02" w14:textId="77777777" w:rsidR="0082177B" w:rsidRPr="00A93E0F" w:rsidRDefault="0082177B" w:rsidP="00A150E8">
            <w:pPr>
              <w:rPr>
                <w:rFonts w:ascii="Times New Roman" w:hAnsi="Times New Roman" w:cs="Times New Roman"/>
                <w:b/>
                <w:sz w:val="24"/>
                <w:szCs w:val="24"/>
              </w:rPr>
            </w:pPr>
            <w:r w:rsidRPr="00A93E0F">
              <w:rPr>
                <w:rFonts w:ascii="Times New Roman" w:hAnsi="Times New Roman" w:cs="Times New Roman"/>
                <w:b/>
                <w:sz w:val="24"/>
                <w:szCs w:val="24"/>
              </w:rPr>
              <w:t>)</w:t>
            </w:r>
          </w:p>
          <w:p w14:paraId="060F7376" w14:textId="77777777" w:rsidR="0082177B" w:rsidRPr="00A93E0F" w:rsidRDefault="0082177B" w:rsidP="00A150E8">
            <w:pPr>
              <w:rPr>
                <w:rFonts w:ascii="Times New Roman" w:hAnsi="Times New Roman" w:cs="Times New Roman"/>
                <w:b/>
                <w:sz w:val="24"/>
                <w:szCs w:val="24"/>
              </w:rPr>
            </w:pPr>
            <w:r w:rsidRPr="00A93E0F">
              <w:rPr>
                <w:rFonts w:ascii="Times New Roman" w:hAnsi="Times New Roman" w:cs="Times New Roman"/>
                <w:b/>
                <w:sz w:val="24"/>
                <w:szCs w:val="24"/>
              </w:rPr>
              <w:t>)</w:t>
            </w:r>
          </w:p>
          <w:p w14:paraId="19CD3C74" w14:textId="77777777" w:rsidR="0082177B" w:rsidRPr="00A93E0F" w:rsidRDefault="0082177B" w:rsidP="00A150E8">
            <w:pPr>
              <w:rPr>
                <w:rFonts w:ascii="Times New Roman" w:hAnsi="Times New Roman" w:cs="Times New Roman"/>
                <w:b/>
                <w:sz w:val="24"/>
                <w:szCs w:val="24"/>
              </w:rPr>
            </w:pPr>
            <w:r w:rsidRPr="00A93E0F">
              <w:rPr>
                <w:rFonts w:ascii="Times New Roman" w:hAnsi="Times New Roman" w:cs="Times New Roman"/>
                <w:b/>
                <w:sz w:val="24"/>
                <w:szCs w:val="24"/>
              </w:rPr>
              <w:t>)</w:t>
            </w:r>
          </w:p>
          <w:p w14:paraId="7194E5A9" w14:textId="77777777" w:rsidR="0082177B" w:rsidRPr="00A93E0F" w:rsidRDefault="0082177B" w:rsidP="00A150E8">
            <w:pPr>
              <w:rPr>
                <w:rFonts w:ascii="Times New Roman" w:hAnsi="Times New Roman" w:cs="Times New Roman"/>
                <w:b/>
                <w:sz w:val="24"/>
                <w:szCs w:val="24"/>
              </w:rPr>
            </w:pPr>
            <w:r w:rsidRPr="00A93E0F">
              <w:rPr>
                <w:rFonts w:ascii="Times New Roman" w:hAnsi="Times New Roman" w:cs="Times New Roman"/>
                <w:b/>
                <w:sz w:val="24"/>
                <w:szCs w:val="24"/>
              </w:rPr>
              <w:t>)</w:t>
            </w:r>
            <w:r w:rsidRPr="00A93E0F">
              <w:rPr>
                <w:rFonts w:ascii="Times New Roman" w:hAnsi="Times New Roman" w:cs="Times New Roman"/>
                <w:b/>
                <w:sz w:val="24"/>
                <w:szCs w:val="24"/>
              </w:rPr>
              <w:br/>
            </w:r>
          </w:p>
        </w:tc>
        <w:tc>
          <w:tcPr>
            <w:tcW w:w="2250" w:type="dxa"/>
            <w:tcMar>
              <w:top w:w="0" w:type="dxa"/>
              <w:left w:w="108" w:type="dxa"/>
              <w:bottom w:w="0" w:type="dxa"/>
              <w:right w:w="108" w:type="dxa"/>
            </w:tcMar>
          </w:tcPr>
          <w:p w14:paraId="783B7515" w14:textId="77777777" w:rsidR="0082177B" w:rsidRPr="00A93E0F" w:rsidRDefault="0082177B" w:rsidP="00A150E8">
            <w:pPr>
              <w:rPr>
                <w:rFonts w:ascii="Times New Roman" w:hAnsi="Times New Roman" w:cs="Times New Roman"/>
                <w:b/>
                <w:sz w:val="24"/>
                <w:szCs w:val="24"/>
              </w:rPr>
            </w:pPr>
          </w:p>
          <w:p w14:paraId="1C07AE07" w14:textId="77777777" w:rsidR="0082177B" w:rsidRPr="00A93E0F" w:rsidRDefault="0082177B" w:rsidP="00A150E8">
            <w:pPr>
              <w:rPr>
                <w:rFonts w:ascii="Times New Roman" w:hAnsi="Times New Roman" w:cs="Times New Roman"/>
                <w:b/>
                <w:sz w:val="24"/>
                <w:szCs w:val="24"/>
              </w:rPr>
            </w:pPr>
            <w:r w:rsidRPr="00A93E0F">
              <w:rPr>
                <w:rFonts w:ascii="Times New Roman" w:hAnsi="Times New Roman" w:cs="Times New Roman"/>
                <w:b/>
                <w:sz w:val="24"/>
                <w:szCs w:val="24"/>
              </w:rPr>
              <w:t>DOCKET 43820</w:t>
            </w:r>
          </w:p>
        </w:tc>
      </w:tr>
    </w:tbl>
    <w:p w14:paraId="7A57607C" w14:textId="77777777" w:rsidR="0082177B" w:rsidRPr="00A93E0F" w:rsidRDefault="0082177B" w:rsidP="0082177B">
      <w:pPr>
        <w:pStyle w:val="Heading1"/>
        <w:tabs>
          <w:tab w:val="left" w:pos="810"/>
        </w:tabs>
        <w:rPr>
          <w:b/>
          <w:szCs w:val="24"/>
        </w:rPr>
      </w:pPr>
    </w:p>
    <w:p w14:paraId="051D6345" w14:textId="6641DABB" w:rsidR="0082177B" w:rsidRPr="00A93E0F" w:rsidRDefault="0082177B" w:rsidP="0082177B">
      <w:pPr>
        <w:pStyle w:val="Heading2"/>
        <w:rPr>
          <w:b/>
          <w:szCs w:val="24"/>
        </w:rPr>
      </w:pPr>
      <w:r w:rsidRPr="00A93E0F">
        <w:rPr>
          <w:b/>
          <w:szCs w:val="24"/>
        </w:rPr>
        <w:t xml:space="preserve">STAFF’S </w:t>
      </w:r>
      <w:r>
        <w:rPr>
          <w:b/>
          <w:szCs w:val="24"/>
        </w:rPr>
        <w:t xml:space="preserve">REVISED </w:t>
      </w:r>
      <w:r w:rsidR="00C33FC9">
        <w:rPr>
          <w:b/>
          <w:szCs w:val="24"/>
        </w:rPr>
        <w:t>TWENTI</w:t>
      </w:r>
      <w:r w:rsidR="00AA0B6D">
        <w:rPr>
          <w:b/>
          <w:szCs w:val="24"/>
        </w:rPr>
        <w:t>E</w:t>
      </w:r>
      <w:r w:rsidR="00C33FC9">
        <w:rPr>
          <w:b/>
          <w:szCs w:val="24"/>
        </w:rPr>
        <w:t>TH</w:t>
      </w:r>
      <w:r w:rsidRPr="00A93E0F">
        <w:rPr>
          <w:b/>
          <w:szCs w:val="24"/>
        </w:rPr>
        <w:t xml:space="preserve"> SET OF DATA REQUESTS TO </w:t>
      </w:r>
    </w:p>
    <w:p w14:paraId="53760909" w14:textId="77777777" w:rsidR="0082177B" w:rsidRPr="00A93E0F" w:rsidRDefault="0082177B" w:rsidP="0082177B">
      <w:pPr>
        <w:jc w:val="center"/>
        <w:rPr>
          <w:rFonts w:ascii="Times New Roman" w:hAnsi="Times New Roman" w:cs="Times New Roman"/>
          <w:b/>
          <w:sz w:val="24"/>
          <w:szCs w:val="24"/>
        </w:rPr>
      </w:pPr>
      <w:r w:rsidRPr="00A93E0F">
        <w:rPr>
          <w:rFonts w:ascii="Times New Roman" w:hAnsi="Times New Roman" w:cs="Times New Roman"/>
          <w:b/>
          <w:sz w:val="24"/>
          <w:szCs w:val="24"/>
        </w:rPr>
        <w:t>ATLANTA GAS LIGHT COMPANY</w:t>
      </w:r>
    </w:p>
    <w:p w14:paraId="7245763C" w14:textId="155A35CC" w:rsidR="0082177B" w:rsidRPr="0033275B" w:rsidRDefault="00C33FC9" w:rsidP="0082177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i-CDP</w:t>
      </w:r>
    </w:p>
    <w:p w14:paraId="6DD5BF13" w14:textId="77777777" w:rsidR="0082177B" w:rsidRPr="00A93E0F" w:rsidRDefault="0082177B" w:rsidP="0082177B">
      <w:pPr>
        <w:pStyle w:val="NoSpacing"/>
        <w:rPr>
          <w:rFonts w:ascii="Times New Roman" w:hAnsi="Times New Roman" w:cs="Times New Roman"/>
          <w:sz w:val="24"/>
          <w:szCs w:val="24"/>
        </w:rPr>
      </w:pPr>
    </w:p>
    <w:p w14:paraId="3C102FAB" w14:textId="77777777" w:rsidR="0082177B" w:rsidRPr="00A93E0F" w:rsidRDefault="0082177B" w:rsidP="0082177B">
      <w:pPr>
        <w:pStyle w:val="NoSpacing"/>
        <w:rPr>
          <w:rFonts w:ascii="Times New Roman" w:hAnsi="Times New Roman" w:cs="Times New Roman"/>
          <w:sz w:val="24"/>
          <w:szCs w:val="24"/>
        </w:rPr>
      </w:pPr>
      <w:r w:rsidRPr="00A93E0F">
        <w:rPr>
          <w:rFonts w:ascii="Times New Roman" w:hAnsi="Times New Roman" w:cs="Times New Roman"/>
          <w:sz w:val="24"/>
          <w:szCs w:val="24"/>
        </w:rPr>
        <w:t>TO:</w:t>
      </w:r>
      <w:r w:rsidRPr="00A93E0F">
        <w:rPr>
          <w:rFonts w:ascii="Times New Roman" w:hAnsi="Times New Roman" w:cs="Times New Roman"/>
          <w:sz w:val="24"/>
          <w:szCs w:val="24"/>
        </w:rPr>
        <w:tab/>
        <w:t>BLAKE O’FARROW</w:t>
      </w:r>
    </w:p>
    <w:p w14:paraId="54017F06" w14:textId="77777777" w:rsidR="0082177B" w:rsidRPr="00A93E0F" w:rsidRDefault="0082177B" w:rsidP="0082177B">
      <w:pPr>
        <w:pStyle w:val="NoSpacing"/>
        <w:rPr>
          <w:rFonts w:ascii="Times New Roman" w:hAnsi="Times New Roman" w:cs="Times New Roman"/>
          <w:sz w:val="24"/>
          <w:szCs w:val="24"/>
        </w:rPr>
      </w:pPr>
      <w:r w:rsidRPr="00A93E0F">
        <w:rPr>
          <w:rFonts w:ascii="Times New Roman" w:hAnsi="Times New Roman" w:cs="Times New Roman"/>
          <w:sz w:val="24"/>
          <w:szCs w:val="24"/>
        </w:rPr>
        <w:tab/>
        <w:t>DIRECTOR – REGULATORY AFFAIRS</w:t>
      </w:r>
    </w:p>
    <w:p w14:paraId="5872E318" w14:textId="77777777" w:rsidR="0082177B" w:rsidRPr="00A93E0F" w:rsidRDefault="0082177B" w:rsidP="0082177B">
      <w:pPr>
        <w:pStyle w:val="NoSpacing"/>
        <w:rPr>
          <w:rFonts w:ascii="Times New Roman" w:hAnsi="Times New Roman" w:cs="Times New Roman"/>
          <w:sz w:val="24"/>
          <w:szCs w:val="24"/>
        </w:rPr>
      </w:pPr>
      <w:r w:rsidRPr="00A93E0F">
        <w:rPr>
          <w:rFonts w:ascii="Times New Roman" w:hAnsi="Times New Roman" w:cs="Times New Roman"/>
          <w:sz w:val="24"/>
          <w:szCs w:val="24"/>
        </w:rPr>
        <w:tab/>
        <w:t xml:space="preserve">ATLANTA GAS LIGHT COMPANY </w:t>
      </w:r>
    </w:p>
    <w:p w14:paraId="4A7EE85C" w14:textId="77777777" w:rsidR="0082177B" w:rsidRPr="00A93E0F" w:rsidRDefault="0082177B" w:rsidP="0082177B">
      <w:pPr>
        <w:pStyle w:val="NoSpacing"/>
        <w:rPr>
          <w:rFonts w:ascii="Times New Roman" w:hAnsi="Times New Roman" w:cs="Times New Roman"/>
          <w:sz w:val="24"/>
          <w:szCs w:val="24"/>
        </w:rPr>
      </w:pPr>
      <w:r w:rsidRPr="00A93E0F">
        <w:rPr>
          <w:rFonts w:ascii="Times New Roman" w:hAnsi="Times New Roman" w:cs="Times New Roman"/>
          <w:sz w:val="24"/>
          <w:szCs w:val="24"/>
        </w:rPr>
        <w:tab/>
        <w:t xml:space="preserve">TEN PEACHTREE PLACE </w:t>
      </w:r>
    </w:p>
    <w:p w14:paraId="01A4E6B2" w14:textId="77777777" w:rsidR="0082177B" w:rsidRPr="00A93E0F" w:rsidRDefault="0082177B" w:rsidP="0082177B">
      <w:pPr>
        <w:pStyle w:val="NoSpacing"/>
        <w:rPr>
          <w:rFonts w:ascii="Times New Roman" w:hAnsi="Times New Roman" w:cs="Times New Roman"/>
          <w:sz w:val="24"/>
          <w:szCs w:val="24"/>
        </w:rPr>
      </w:pPr>
      <w:r w:rsidRPr="00A93E0F">
        <w:rPr>
          <w:rFonts w:ascii="Times New Roman" w:hAnsi="Times New Roman" w:cs="Times New Roman"/>
          <w:sz w:val="24"/>
          <w:szCs w:val="24"/>
        </w:rPr>
        <w:tab/>
        <w:t>ATLANTA, GA  30309</w:t>
      </w:r>
    </w:p>
    <w:p w14:paraId="2E32E2E7" w14:textId="77777777" w:rsidR="0082177B" w:rsidRPr="00A93E0F" w:rsidRDefault="0082177B" w:rsidP="0082177B">
      <w:pPr>
        <w:tabs>
          <w:tab w:val="left" w:pos="360"/>
        </w:tabs>
        <w:ind w:firstLine="720"/>
        <w:rPr>
          <w:rFonts w:ascii="Times New Roman" w:hAnsi="Times New Roman" w:cs="Times New Roman"/>
          <w:sz w:val="24"/>
          <w:szCs w:val="24"/>
        </w:rPr>
      </w:pPr>
    </w:p>
    <w:p w14:paraId="71378026" w14:textId="77777777" w:rsidR="0082177B" w:rsidRPr="00A93E0F" w:rsidRDefault="0082177B" w:rsidP="0082177B">
      <w:pPr>
        <w:jc w:val="both"/>
        <w:rPr>
          <w:rFonts w:ascii="Times New Roman" w:eastAsia="Cambria" w:hAnsi="Times New Roman" w:cs="Times New Roman"/>
          <w:sz w:val="24"/>
          <w:szCs w:val="24"/>
        </w:rPr>
      </w:pPr>
      <w:r w:rsidRPr="00A93E0F">
        <w:rPr>
          <w:rFonts w:ascii="Times New Roman" w:hAnsi="Times New Roman" w:cs="Times New Roman"/>
          <w:sz w:val="24"/>
          <w:szCs w:val="24"/>
        </w:rPr>
        <w:tab/>
        <w:t xml:space="preserve">COMES NOW the Georgia Public Service Commission Staff (“Staff”) and, pursuant to the authority vested in it by the Georgia Public Service Commission (“Commission”) pursuant to O.C.G.A. § 46-2-57, herein propounds the following interrogatories and requests for production of documents (collectively, “data requests”), </w:t>
      </w:r>
      <w:r w:rsidRPr="00A93E0F">
        <w:rPr>
          <w:rFonts w:ascii="Times New Roman" w:hAnsi="Times New Roman" w:cs="Times New Roman"/>
          <w:sz w:val="24"/>
          <w:szCs w:val="24"/>
          <w:u w:val="single"/>
        </w:rPr>
        <w:t>to be answered under oath</w:t>
      </w:r>
      <w:r w:rsidRPr="00A93E0F">
        <w:rPr>
          <w:rFonts w:ascii="Times New Roman" w:hAnsi="Times New Roman" w:cs="Times New Roman"/>
          <w:sz w:val="24"/>
          <w:szCs w:val="24"/>
        </w:rPr>
        <w:t xml:space="preserve"> by Atlanta Gas Light Company, (“AGLC” or “Company”) or its designated representatives.  </w:t>
      </w:r>
      <w:r w:rsidRPr="00A93E0F">
        <w:rPr>
          <w:rFonts w:ascii="Times New Roman" w:eastAsia="Cambria" w:hAnsi="Times New Roman" w:cs="Times New Roman"/>
          <w:sz w:val="24"/>
          <w:szCs w:val="24"/>
        </w:rPr>
        <w:t>The Company shall file with the Executive Secretary’s Office using the Alternative E-filing instructions. Public and Trade Secret responses shall be Accompanied therewith shall be an electronic version in Microsoft Word® format for text documents and Excel® for spreadsheets.</w:t>
      </w:r>
    </w:p>
    <w:p w14:paraId="11E64027" w14:textId="7BCEF918" w:rsidR="0082177B" w:rsidRPr="00A93E0F" w:rsidRDefault="0082177B" w:rsidP="0082177B">
      <w:pPr>
        <w:spacing w:line="480" w:lineRule="auto"/>
        <w:jc w:val="both"/>
        <w:rPr>
          <w:rFonts w:ascii="Times New Roman" w:hAnsi="Times New Roman" w:cs="Times New Roman"/>
          <w:sz w:val="24"/>
          <w:szCs w:val="24"/>
        </w:rPr>
      </w:pPr>
      <w:r w:rsidRPr="00A93E0F">
        <w:rPr>
          <w:rFonts w:ascii="Times New Roman" w:hAnsi="Times New Roman" w:cs="Times New Roman"/>
          <w:sz w:val="24"/>
          <w:szCs w:val="24"/>
        </w:rPr>
        <w:tab/>
        <w:t xml:space="preserve">Please provide responses on or before 4:00 p. m. on </w:t>
      </w:r>
      <w:r w:rsidR="00AD6721">
        <w:rPr>
          <w:rFonts w:ascii="Times New Roman" w:hAnsi="Times New Roman" w:cs="Times New Roman"/>
          <w:b/>
          <w:sz w:val="24"/>
          <w:szCs w:val="24"/>
        </w:rPr>
        <w:t>May 6</w:t>
      </w:r>
      <w:r>
        <w:rPr>
          <w:rFonts w:ascii="Times New Roman" w:hAnsi="Times New Roman" w:cs="Times New Roman"/>
          <w:b/>
          <w:sz w:val="24"/>
          <w:szCs w:val="24"/>
        </w:rPr>
        <w:t>, 2024</w:t>
      </w:r>
      <w:r w:rsidRPr="00A93E0F">
        <w:rPr>
          <w:rFonts w:ascii="Times New Roman" w:hAnsi="Times New Roman" w:cs="Times New Roman"/>
          <w:b/>
          <w:sz w:val="24"/>
          <w:szCs w:val="24"/>
        </w:rPr>
        <w:t xml:space="preserve">. </w:t>
      </w:r>
    </w:p>
    <w:p w14:paraId="4937D2D6" w14:textId="77777777" w:rsidR="0082177B" w:rsidRPr="00A93E0F" w:rsidRDefault="0082177B" w:rsidP="0082177B">
      <w:pPr>
        <w:rPr>
          <w:rFonts w:ascii="Times New Roman" w:hAnsi="Times New Roman" w:cs="Times New Roman"/>
          <w:sz w:val="24"/>
          <w:szCs w:val="24"/>
        </w:rPr>
      </w:pPr>
      <w:r w:rsidRPr="00A93E0F">
        <w:rPr>
          <w:rFonts w:ascii="Times New Roman" w:hAnsi="Times New Roman" w:cs="Times New Roman"/>
          <w:color w:val="FF0000"/>
          <w:sz w:val="24"/>
          <w:szCs w:val="24"/>
        </w:rPr>
        <w:br w:type="page"/>
      </w:r>
    </w:p>
    <w:p w14:paraId="7DA03E32" w14:textId="77777777" w:rsidR="0082177B" w:rsidRPr="00A93E0F" w:rsidRDefault="0082177B" w:rsidP="0082177B">
      <w:pPr>
        <w:pStyle w:val="Heading2"/>
        <w:spacing w:line="480" w:lineRule="auto"/>
        <w:rPr>
          <w:b/>
          <w:szCs w:val="24"/>
        </w:rPr>
      </w:pPr>
      <w:r w:rsidRPr="00A93E0F">
        <w:rPr>
          <w:b/>
          <w:szCs w:val="24"/>
        </w:rPr>
        <w:lastRenderedPageBreak/>
        <w:t>INSTRUCTIONS</w:t>
      </w:r>
    </w:p>
    <w:p w14:paraId="077EF7EF" w14:textId="77777777" w:rsidR="0082177B" w:rsidRPr="00A93E0F" w:rsidRDefault="0082177B" w:rsidP="0082177B">
      <w:pPr>
        <w:pStyle w:val="BodyTextIndent"/>
        <w:numPr>
          <w:ilvl w:val="0"/>
          <w:numId w:val="1"/>
        </w:numPr>
        <w:spacing w:line="240" w:lineRule="auto"/>
        <w:jc w:val="both"/>
        <w:rPr>
          <w:szCs w:val="24"/>
        </w:rPr>
      </w:pPr>
      <w:r w:rsidRPr="00A93E0F">
        <w:rPr>
          <w:szCs w:val="24"/>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2CFA315D" w14:textId="77777777" w:rsidR="0082177B" w:rsidRPr="00A93E0F" w:rsidRDefault="0082177B" w:rsidP="0082177B">
      <w:pPr>
        <w:pStyle w:val="BodyTextIndent"/>
        <w:ind w:left="0" w:firstLine="0"/>
        <w:jc w:val="both"/>
        <w:rPr>
          <w:szCs w:val="24"/>
        </w:rPr>
      </w:pPr>
    </w:p>
    <w:p w14:paraId="154496B4" w14:textId="77777777" w:rsidR="0082177B" w:rsidRPr="00A93E0F" w:rsidRDefault="0082177B" w:rsidP="0082177B">
      <w:pPr>
        <w:pStyle w:val="BodyTextIndent"/>
        <w:numPr>
          <w:ilvl w:val="0"/>
          <w:numId w:val="1"/>
        </w:numPr>
        <w:spacing w:line="240" w:lineRule="auto"/>
        <w:jc w:val="both"/>
        <w:rPr>
          <w:szCs w:val="24"/>
        </w:rPr>
      </w:pPr>
      <w:r w:rsidRPr="00A93E0F">
        <w:rPr>
          <w:szCs w:val="24"/>
        </w:rPr>
        <w:t xml:space="preserve">The answers provided should first restate the question asked </w:t>
      </w:r>
      <w:proofErr w:type="gramStart"/>
      <w:r w:rsidRPr="00A93E0F">
        <w:rPr>
          <w:szCs w:val="24"/>
        </w:rPr>
        <w:t>and also</w:t>
      </w:r>
      <w:proofErr w:type="gramEnd"/>
      <w:r w:rsidRPr="00A93E0F">
        <w:rPr>
          <w:szCs w:val="24"/>
        </w:rPr>
        <w:t xml:space="preserve"> identify the person(s) supplying the information.</w:t>
      </w:r>
    </w:p>
    <w:p w14:paraId="035629AC" w14:textId="77777777" w:rsidR="0082177B" w:rsidRPr="00A93E0F" w:rsidRDefault="0082177B" w:rsidP="0082177B">
      <w:pPr>
        <w:pStyle w:val="BodyTextIndent"/>
        <w:ind w:left="0" w:firstLine="0"/>
        <w:jc w:val="both"/>
        <w:rPr>
          <w:szCs w:val="24"/>
        </w:rPr>
      </w:pPr>
    </w:p>
    <w:p w14:paraId="1B895A64" w14:textId="77777777" w:rsidR="0082177B" w:rsidRPr="00A93E0F" w:rsidRDefault="0082177B" w:rsidP="0082177B">
      <w:pPr>
        <w:pStyle w:val="BodyTextIndent"/>
        <w:numPr>
          <w:ilvl w:val="0"/>
          <w:numId w:val="1"/>
        </w:numPr>
        <w:spacing w:line="240" w:lineRule="auto"/>
        <w:jc w:val="both"/>
        <w:rPr>
          <w:szCs w:val="24"/>
        </w:rPr>
      </w:pPr>
      <w:r w:rsidRPr="00A93E0F">
        <w:rPr>
          <w:szCs w:val="24"/>
        </w:rPr>
        <w:t>All information is to be divulged that is within the knowledge, possession, control, or custody of the Respondent or may be reasonably ascertained thereby.</w:t>
      </w:r>
    </w:p>
    <w:p w14:paraId="7F5D7CED" w14:textId="77777777" w:rsidR="0082177B" w:rsidRPr="00A93E0F" w:rsidRDefault="0082177B" w:rsidP="0082177B">
      <w:pPr>
        <w:pStyle w:val="BodyTextIndent"/>
        <w:ind w:left="0" w:firstLine="0"/>
        <w:jc w:val="both"/>
        <w:rPr>
          <w:szCs w:val="24"/>
        </w:rPr>
      </w:pPr>
    </w:p>
    <w:p w14:paraId="408E7EB1" w14:textId="77777777" w:rsidR="0082177B" w:rsidRPr="00A93E0F" w:rsidRDefault="0082177B" w:rsidP="0082177B">
      <w:pPr>
        <w:pStyle w:val="BodyTextIndent"/>
        <w:numPr>
          <w:ilvl w:val="0"/>
          <w:numId w:val="1"/>
        </w:numPr>
        <w:spacing w:line="240" w:lineRule="auto"/>
        <w:jc w:val="both"/>
        <w:rPr>
          <w:szCs w:val="24"/>
        </w:rPr>
      </w:pPr>
      <w:r w:rsidRPr="00A93E0F">
        <w:rPr>
          <w:szCs w:val="24"/>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359F2A09" w14:textId="77777777" w:rsidR="0082177B" w:rsidRPr="00A93E0F" w:rsidRDefault="0082177B" w:rsidP="0082177B">
      <w:pPr>
        <w:pStyle w:val="ListParagraph"/>
        <w:rPr>
          <w:rFonts w:ascii="Times New Roman" w:hAnsi="Times New Roman" w:cs="Times New Roman"/>
          <w:sz w:val="24"/>
          <w:szCs w:val="24"/>
        </w:rPr>
      </w:pPr>
    </w:p>
    <w:p w14:paraId="361C7E07" w14:textId="77777777" w:rsidR="0082177B" w:rsidRPr="00A93E0F" w:rsidRDefault="0082177B" w:rsidP="0082177B">
      <w:pPr>
        <w:rPr>
          <w:rFonts w:ascii="Times New Roman" w:hAnsi="Times New Roman" w:cs="Times New Roman"/>
          <w:sz w:val="24"/>
          <w:szCs w:val="24"/>
        </w:rPr>
      </w:pPr>
      <w:r w:rsidRPr="00A93E0F">
        <w:rPr>
          <w:rFonts w:ascii="Times New Roman" w:hAnsi="Times New Roman" w:cs="Times New Roman"/>
          <w:sz w:val="24"/>
          <w:szCs w:val="24"/>
        </w:rPr>
        <w:br w:type="page"/>
      </w:r>
    </w:p>
    <w:p w14:paraId="422D32D6" w14:textId="5AA5FD4F" w:rsidR="0082177B" w:rsidRPr="0082177B" w:rsidRDefault="0082177B" w:rsidP="00AD6721">
      <w:pPr>
        <w:spacing w:line="240" w:lineRule="auto"/>
        <w:contextualSpacing/>
        <w:jc w:val="center"/>
        <w:rPr>
          <w:rFonts w:ascii="Times New Roman" w:hAnsi="Times New Roman" w:cs="Times New Roman"/>
          <w:b/>
          <w:bCs/>
          <w:sz w:val="24"/>
          <w:szCs w:val="24"/>
        </w:rPr>
      </w:pPr>
      <w:r w:rsidRPr="0082177B">
        <w:rPr>
          <w:rFonts w:ascii="Times New Roman" w:hAnsi="Times New Roman" w:cs="Times New Roman"/>
          <w:b/>
          <w:bCs/>
          <w:sz w:val="24"/>
          <w:szCs w:val="24"/>
        </w:rPr>
        <w:lastRenderedPageBreak/>
        <w:t>Information Request</w:t>
      </w:r>
    </w:p>
    <w:p w14:paraId="4895CE9C" w14:textId="77777777" w:rsidR="00AD6721" w:rsidRDefault="00AD6721" w:rsidP="00AD6721">
      <w:pPr>
        <w:spacing w:line="240" w:lineRule="auto"/>
        <w:contextualSpacing/>
        <w:jc w:val="center"/>
        <w:rPr>
          <w:rFonts w:ascii="Times New Roman" w:hAnsi="Times New Roman" w:cs="Times New Roman"/>
          <w:b/>
          <w:bCs/>
          <w:sz w:val="24"/>
          <w:szCs w:val="24"/>
        </w:rPr>
      </w:pPr>
    </w:p>
    <w:p w14:paraId="1C60E640" w14:textId="19EA323B" w:rsidR="0082177B" w:rsidRPr="0082177B" w:rsidRDefault="0082177B" w:rsidP="00AD6721">
      <w:pPr>
        <w:spacing w:line="240" w:lineRule="auto"/>
        <w:contextualSpacing/>
        <w:jc w:val="center"/>
        <w:rPr>
          <w:rFonts w:ascii="Times New Roman" w:hAnsi="Times New Roman" w:cs="Times New Roman"/>
          <w:b/>
          <w:bCs/>
          <w:sz w:val="24"/>
          <w:szCs w:val="24"/>
        </w:rPr>
      </w:pPr>
      <w:r w:rsidRPr="0082177B">
        <w:rPr>
          <w:rFonts w:ascii="Times New Roman" w:hAnsi="Times New Roman" w:cs="Times New Roman"/>
          <w:b/>
          <w:bCs/>
          <w:sz w:val="24"/>
          <w:szCs w:val="24"/>
        </w:rPr>
        <w:t>Docket No. 43820</w:t>
      </w:r>
    </w:p>
    <w:p w14:paraId="211E7D51" w14:textId="77777777" w:rsidR="00AD6721" w:rsidRPr="00AD6721" w:rsidRDefault="00AD6721" w:rsidP="00AD6721">
      <w:pPr>
        <w:spacing w:line="240" w:lineRule="auto"/>
        <w:contextualSpacing/>
        <w:rPr>
          <w:rFonts w:ascii="Times New Roman" w:hAnsi="Times New Roman" w:cs="Times New Roman"/>
          <w:b/>
          <w:bCs/>
          <w:sz w:val="24"/>
          <w:szCs w:val="24"/>
          <w:u w:val="single"/>
        </w:rPr>
      </w:pPr>
    </w:p>
    <w:p w14:paraId="26BF5DF1" w14:textId="362413F5" w:rsidR="00B06457" w:rsidRPr="00AD6721" w:rsidRDefault="00AD6721" w:rsidP="00AD6721">
      <w:pPr>
        <w:spacing w:line="240" w:lineRule="auto"/>
        <w:contextualSpacing/>
        <w:rPr>
          <w:rFonts w:ascii="Times New Roman" w:hAnsi="Times New Roman" w:cs="Times New Roman"/>
          <w:b/>
          <w:bCs/>
          <w:sz w:val="24"/>
          <w:szCs w:val="24"/>
          <w:u w:val="single"/>
        </w:rPr>
      </w:pPr>
      <w:r w:rsidRPr="00AD6721">
        <w:rPr>
          <w:rFonts w:ascii="Times New Roman" w:hAnsi="Times New Roman" w:cs="Times New Roman"/>
          <w:b/>
          <w:bCs/>
          <w:sz w:val="24"/>
          <w:szCs w:val="24"/>
          <w:u w:val="single"/>
        </w:rPr>
        <w:t>i-CDP</w:t>
      </w:r>
    </w:p>
    <w:p w14:paraId="41995EF7" w14:textId="77777777" w:rsidR="00AD6721" w:rsidRPr="00AD6721" w:rsidRDefault="00AD6721" w:rsidP="00AD6721">
      <w:pPr>
        <w:spacing w:line="240" w:lineRule="auto"/>
        <w:contextualSpacing/>
        <w:rPr>
          <w:rFonts w:ascii="Times New Roman" w:hAnsi="Times New Roman" w:cs="Times New Roman"/>
          <w:sz w:val="24"/>
          <w:szCs w:val="24"/>
        </w:rPr>
      </w:pPr>
    </w:p>
    <w:p w14:paraId="75DB15C1" w14:textId="39878025" w:rsidR="00AD6721" w:rsidRPr="00AD6721" w:rsidRDefault="00AD6721" w:rsidP="00AD6721">
      <w:pPr>
        <w:spacing w:line="240" w:lineRule="auto"/>
        <w:ind w:left="1440" w:hanging="1440"/>
        <w:contextualSpacing/>
        <w:rPr>
          <w:rFonts w:ascii="Times New Roman" w:hAnsi="Times New Roman" w:cs="Times New Roman"/>
          <w:sz w:val="24"/>
          <w:szCs w:val="24"/>
        </w:rPr>
      </w:pPr>
      <w:r w:rsidRPr="00AD6721">
        <w:rPr>
          <w:rFonts w:ascii="Times New Roman" w:hAnsi="Times New Roman" w:cs="Times New Roman"/>
          <w:sz w:val="24"/>
          <w:szCs w:val="24"/>
        </w:rPr>
        <w:t>STF-20-1</w:t>
      </w:r>
      <w:r w:rsidRPr="00AD6721">
        <w:rPr>
          <w:rFonts w:ascii="Times New Roman" w:hAnsi="Times New Roman" w:cs="Times New Roman"/>
          <w:sz w:val="24"/>
          <w:szCs w:val="24"/>
        </w:rPr>
        <w:tab/>
        <w:t xml:space="preserve">Regarding </w:t>
      </w:r>
      <w:r w:rsidRPr="00AD6721">
        <w:rPr>
          <w:rFonts w:ascii="Times New Roman" w:hAnsi="Times New Roman" w:cs="Times New Roman"/>
          <w:b/>
          <w:bCs/>
          <w:sz w:val="24"/>
          <w:szCs w:val="24"/>
        </w:rPr>
        <w:t>Table-1</w:t>
      </w:r>
      <w:r w:rsidR="000E53B9">
        <w:rPr>
          <w:rFonts w:ascii="Times New Roman" w:hAnsi="Times New Roman" w:cs="Times New Roman"/>
          <w:b/>
          <w:bCs/>
          <w:sz w:val="24"/>
          <w:szCs w:val="24"/>
        </w:rPr>
        <w:t>A</w:t>
      </w:r>
      <w:r>
        <w:rPr>
          <w:rFonts w:ascii="Times New Roman" w:hAnsi="Times New Roman" w:cs="Times New Roman"/>
          <w:sz w:val="24"/>
          <w:szCs w:val="24"/>
        </w:rPr>
        <w:t xml:space="preserve"> below, in </w:t>
      </w:r>
      <w:r w:rsidRPr="00AD6721">
        <w:rPr>
          <w:rFonts w:ascii="Times New Roman" w:hAnsi="Times New Roman" w:cs="Times New Roman"/>
          <w:sz w:val="24"/>
          <w:szCs w:val="24"/>
        </w:rPr>
        <w:t xml:space="preserve">Figure 5.10.1, AGL </w:t>
      </w:r>
      <w:r w:rsidR="007C6F22">
        <w:rPr>
          <w:rFonts w:ascii="Times New Roman" w:hAnsi="Times New Roman" w:cs="Times New Roman"/>
          <w:sz w:val="24"/>
          <w:szCs w:val="24"/>
        </w:rPr>
        <w:t>provided</w:t>
      </w:r>
      <w:r w:rsidRPr="00AD6721">
        <w:rPr>
          <w:rFonts w:ascii="Times New Roman" w:hAnsi="Times New Roman" w:cs="Times New Roman"/>
          <w:sz w:val="24"/>
          <w:szCs w:val="24"/>
        </w:rPr>
        <w:t xml:space="preserve"> estimated revenue requirements for 2025 – 2027.</w:t>
      </w:r>
      <w:r w:rsidR="008E5FB5">
        <w:rPr>
          <w:rFonts w:ascii="Times New Roman" w:hAnsi="Times New Roman" w:cs="Times New Roman"/>
          <w:sz w:val="24"/>
          <w:szCs w:val="24"/>
        </w:rPr>
        <w:t xml:space="preserve"> The total three (3) year revenue requirement was </w:t>
      </w:r>
      <w:r w:rsidR="008E5FB5" w:rsidRPr="008E5FB5">
        <w:rPr>
          <w:rFonts w:ascii="Times New Roman" w:hAnsi="Times New Roman" w:cs="Times New Roman"/>
          <w:b/>
          <w:bCs/>
          <w:sz w:val="24"/>
          <w:szCs w:val="24"/>
        </w:rPr>
        <w:t>$247 million</w:t>
      </w:r>
      <w:r w:rsidR="008E5FB5">
        <w:rPr>
          <w:rFonts w:ascii="Times New Roman" w:hAnsi="Times New Roman" w:cs="Times New Roman"/>
          <w:sz w:val="24"/>
          <w:szCs w:val="24"/>
        </w:rPr>
        <w:t xml:space="preserve">. </w:t>
      </w:r>
    </w:p>
    <w:p w14:paraId="5C31BEF2" w14:textId="77777777" w:rsidR="00AD6721" w:rsidRPr="00AD6721" w:rsidRDefault="00AD6721" w:rsidP="00AD6721">
      <w:pPr>
        <w:spacing w:line="240" w:lineRule="auto"/>
        <w:contextualSpacing/>
        <w:rPr>
          <w:rFonts w:ascii="Times New Roman" w:hAnsi="Times New Roman" w:cs="Times New Roman"/>
          <w:sz w:val="24"/>
          <w:szCs w:val="24"/>
        </w:rPr>
      </w:pPr>
    </w:p>
    <w:p w14:paraId="4B1752FC" w14:textId="7BE74FC1" w:rsidR="00AD6721" w:rsidRPr="00AD6721" w:rsidRDefault="00AD6721" w:rsidP="00AD6721">
      <w:pPr>
        <w:spacing w:line="240" w:lineRule="auto"/>
        <w:contextualSpacing/>
        <w:rPr>
          <w:rFonts w:ascii="Times New Roman" w:hAnsi="Times New Roman" w:cs="Times New Roman"/>
          <w:b/>
          <w:bCs/>
          <w:sz w:val="24"/>
          <w:szCs w:val="24"/>
        </w:rPr>
      </w:pPr>
      <w:bookmarkStart w:id="0" w:name="_Hlk164481590"/>
      <w:r w:rsidRPr="00AD6721">
        <w:rPr>
          <w:rFonts w:ascii="Times New Roman" w:hAnsi="Times New Roman" w:cs="Times New Roman"/>
          <w:b/>
          <w:bCs/>
          <w:sz w:val="24"/>
          <w:szCs w:val="24"/>
        </w:rPr>
        <w:t>Table-1</w:t>
      </w:r>
      <w:r w:rsidR="000E53B9">
        <w:rPr>
          <w:rFonts w:ascii="Times New Roman" w:hAnsi="Times New Roman" w:cs="Times New Roman"/>
          <w:b/>
          <w:bCs/>
          <w:sz w:val="24"/>
          <w:szCs w:val="24"/>
        </w:rPr>
        <w:t>A</w:t>
      </w:r>
      <w:r w:rsidRPr="00AD6721">
        <w:rPr>
          <w:rFonts w:ascii="Times New Roman" w:hAnsi="Times New Roman" w:cs="Times New Roman"/>
          <w:b/>
          <w:bCs/>
          <w:sz w:val="24"/>
          <w:szCs w:val="24"/>
        </w:rPr>
        <w:t>: Figure 5.10.1: GRAM Impact with Traditional Rate Increase Implementation</w:t>
      </w:r>
    </w:p>
    <w:tbl>
      <w:tblPr>
        <w:tblW w:w="9619" w:type="dxa"/>
        <w:tblLayout w:type="fixed"/>
        <w:tblLook w:val="04A0" w:firstRow="1" w:lastRow="0" w:firstColumn="1" w:lastColumn="0" w:noHBand="0" w:noVBand="1"/>
      </w:tblPr>
      <w:tblGrid>
        <w:gridCol w:w="4040"/>
        <w:gridCol w:w="1394"/>
        <w:gridCol w:w="1395"/>
        <w:gridCol w:w="1395"/>
        <w:gridCol w:w="1395"/>
      </w:tblGrid>
      <w:tr w:rsidR="00AD6721" w:rsidRPr="00AD6721" w14:paraId="54F2482C" w14:textId="77777777" w:rsidTr="00B83646">
        <w:trPr>
          <w:trHeight w:val="390"/>
        </w:trPr>
        <w:tc>
          <w:tcPr>
            <w:tcW w:w="4040" w:type="dxa"/>
            <w:tcBorders>
              <w:top w:val="single" w:sz="8" w:space="0" w:color="auto"/>
              <w:left w:val="single" w:sz="8" w:space="0" w:color="auto"/>
              <w:bottom w:val="single" w:sz="8" w:space="0" w:color="auto"/>
              <w:right w:val="single" w:sz="8" w:space="0" w:color="auto"/>
            </w:tcBorders>
            <w:shd w:val="clear" w:color="000000" w:fill="E2EFDA"/>
            <w:noWrap/>
            <w:tcMar>
              <w:left w:w="0" w:type="dxa"/>
              <w:right w:w="0" w:type="dxa"/>
            </w:tcMar>
            <w:vAlign w:val="center"/>
            <w:hideMark/>
          </w:tcPr>
          <w:p w14:paraId="58D76D61" w14:textId="77777777" w:rsidR="00AD6721" w:rsidRPr="00AD6721" w:rsidRDefault="00AD6721" w:rsidP="00AD6721">
            <w:pPr>
              <w:spacing w:line="240" w:lineRule="auto"/>
              <w:contextualSpacing/>
              <w:rPr>
                <w:rFonts w:ascii="Times New Roman" w:eastAsia="Times New Roman" w:hAnsi="Times New Roman" w:cs="Times New Roman"/>
                <w:b/>
                <w:bCs/>
                <w:iCs/>
                <w:color w:val="000000"/>
                <w:sz w:val="24"/>
                <w:szCs w:val="24"/>
              </w:rPr>
            </w:pPr>
            <w:r w:rsidRPr="00AD6721">
              <w:rPr>
                <w:rFonts w:ascii="Times New Roman" w:eastAsia="Times New Roman" w:hAnsi="Times New Roman" w:cs="Times New Roman"/>
                <w:b/>
                <w:bCs/>
                <w:color w:val="000000"/>
                <w:sz w:val="24"/>
                <w:szCs w:val="24"/>
              </w:rPr>
              <w:t>Estimated Residential Bill Impacts</w:t>
            </w:r>
          </w:p>
        </w:tc>
        <w:tc>
          <w:tcPr>
            <w:tcW w:w="1394" w:type="dxa"/>
            <w:tcBorders>
              <w:top w:val="single" w:sz="8" w:space="0" w:color="auto"/>
              <w:left w:val="nil"/>
              <w:bottom w:val="single" w:sz="8" w:space="0" w:color="auto"/>
              <w:right w:val="single" w:sz="8" w:space="0" w:color="auto"/>
            </w:tcBorders>
            <w:shd w:val="clear" w:color="000000" w:fill="E2EFDA"/>
            <w:noWrap/>
            <w:tcMar>
              <w:left w:w="0" w:type="dxa"/>
              <w:right w:w="0" w:type="dxa"/>
            </w:tcMar>
            <w:vAlign w:val="center"/>
            <w:hideMark/>
          </w:tcPr>
          <w:p w14:paraId="5B8C084A" w14:textId="77777777" w:rsidR="00AD6721" w:rsidRPr="00AD6721" w:rsidRDefault="00AD6721" w:rsidP="00AD6721">
            <w:pPr>
              <w:spacing w:line="240" w:lineRule="auto"/>
              <w:contextualSpacing/>
              <w:jc w:val="center"/>
              <w:rPr>
                <w:rFonts w:ascii="Times New Roman" w:eastAsia="Times New Roman" w:hAnsi="Times New Roman" w:cs="Times New Roman"/>
                <w:b/>
                <w:bCs/>
                <w:iCs/>
                <w:color w:val="000000"/>
                <w:sz w:val="24"/>
                <w:szCs w:val="24"/>
              </w:rPr>
            </w:pPr>
            <w:r w:rsidRPr="00AD6721">
              <w:rPr>
                <w:rFonts w:ascii="Times New Roman" w:eastAsia="Times New Roman" w:hAnsi="Times New Roman" w:cs="Times New Roman"/>
                <w:b/>
                <w:bCs/>
                <w:color w:val="000000"/>
                <w:sz w:val="24"/>
                <w:szCs w:val="24"/>
              </w:rPr>
              <w:t>2025</w:t>
            </w:r>
          </w:p>
        </w:tc>
        <w:tc>
          <w:tcPr>
            <w:tcW w:w="1395" w:type="dxa"/>
            <w:tcBorders>
              <w:top w:val="single" w:sz="8" w:space="0" w:color="auto"/>
              <w:left w:val="nil"/>
              <w:bottom w:val="single" w:sz="8" w:space="0" w:color="auto"/>
              <w:right w:val="single" w:sz="8" w:space="0" w:color="auto"/>
            </w:tcBorders>
            <w:shd w:val="clear" w:color="000000" w:fill="E2EFDA"/>
            <w:noWrap/>
            <w:tcMar>
              <w:left w:w="0" w:type="dxa"/>
              <w:right w:w="0" w:type="dxa"/>
            </w:tcMar>
            <w:vAlign w:val="center"/>
            <w:hideMark/>
          </w:tcPr>
          <w:p w14:paraId="2626E7DC" w14:textId="77777777" w:rsidR="00AD6721" w:rsidRPr="00AD6721" w:rsidRDefault="00AD6721" w:rsidP="00AD6721">
            <w:pPr>
              <w:spacing w:line="240" w:lineRule="auto"/>
              <w:contextualSpacing/>
              <w:jc w:val="center"/>
              <w:rPr>
                <w:rFonts w:ascii="Times New Roman" w:eastAsia="Times New Roman" w:hAnsi="Times New Roman" w:cs="Times New Roman"/>
                <w:b/>
                <w:bCs/>
                <w:iCs/>
                <w:color w:val="000000"/>
                <w:sz w:val="24"/>
                <w:szCs w:val="24"/>
              </w:rPr>
            </w:pPr>
            <w:r w:rsidRPr="00AD6721">
              <w:rPr>
                <w:rFonts w:ascii="Times New Roman" w:eastAsia="Times New Roman" w:hAnsi="Times New Roman" w:cs="Times New Roman"/>
                <w:b/>
                <w:bCs/>
                <w:color w:val="000000"/>
                <w:sz w:val="24"/>
                <w:szCs w:val="24"/>
              </w:rPr>
              <w:t>2026</w:t>
            </w:r>
          </w:p>
        </w:tc>
        <w:tc>
          <w:tcPr>
            <w:tcW w:w="1395" w:type="dxa"/>
            <w:tcBorders>
              <w:top w:val="single" w:sz="8" w:space="0" w:color="auto"/>
              <w:left w:val="nil"/>
              <w:bottom w:val="single" w:sz="8" w:space="0" w:color="auto"/>
              <w:right w:val="single" w:sz="8" w:space="0" w:color="auto"/>
            </w:tcBorders>
            <w:shd w:val="clear" w:color="000000" w:fill="E2EFDA"/>
            <w:noWrap/>
            <w:tcMar>
              <w:left w:w="0" w:type="dxa"/>
              <w:right w:w="0" w:type="dxa"/>
            </w:tcMar>
            <w:vAlign w:val="center"/>
            <w:hideMark/>
          </w:tcPr>
          <w:p w14:paraId="3D99A8C1" w14:textId="77777777" w:rsidR="00AD6721" w:rsidRPr="00AD6721" w:rsidRDefault="00AD6721" w:rsidP="00AD6721">
            <w:pPr>
              <w:spacing w:line="240" w:lineRule="auto"/>
              <w:contextualSpacing/>
              <w:jc w:val="center"/>
              <w:rPr>
                <w:rFonts w:ascii="Times New Roman" w:eastAsia="Times New Roman" w:hAnsi="Times New Roman" w:cs="Times New Roman"/>
                <w:b/>
                <w:bCs/>
                <w:iCs/>
                <w:color w:val="000000"/>
                <w:sz w:val="24"/>
                <w:szCs w:val="24"/>
              </w:rPr>
            </w:pPr>
            <w:r w:rsidRPr="00AD6721">
              <w:rPr>
                <w:rFonts w:ascii="Times New Roman" w:eastAsia="Times New Roman" w:hAnsi="Times New Roman" w:cs="Times New Roman"/>
                <w:b/>
                <w:bCs/>
                <w:color w:val="000000"/>
                <w:sz w:val="24"/>
                <w:szCs w:val="24"/>
              </w:rPr>
              <w:t>2027</w:t>
            </w:r>
          </w:p>
        </w:tc>
        <w:tc>
          <w:tcPr>
            <w:tcW w:w="1395" w:type="dxa"/>
            <w:tcBorders>
              <w:top w:val="single" w:sz="8" w:space="0" w:color="auto"/>
              <w:left w:val="nil"/>
              <w:bottom w:val="single" w:sz="8" w:space="0" w:color="auto"/>
              <w:right w:val="single" w:sz="8" w:space="0" w:color="auto"/>
            </w:tcBorders>
            <w:shd w:val="clear" w:color="000000" w:fill="808080"/>
            <w:noWrap/>
            <w:tcMar>
              <w:left w:w="0" w:type="dxa"/>
              <w:right w:w="0" w:type="dxa"/>
            </w:tcMar>
            <w:vAlign w:val="center"/>
            <w:hideMark/>
          </w:tcPr>
          <w:p w14:paraId="4AEBD90B"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r>
      <w:tr w:rsidR="00AD6721" w:rsidRPr="00AD6721" w14:paraId="36E6570B"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E2EFDA"/>
            <w:noWrap/>
            <w:tcMar>
              <w:left w:w="0" w:type="dxa"/>
              <w:right w:w="0" w:type="dxa"/>
            </w:tcMar>
            <w:vAlign w:val="center"/>
            <w:hideMark/>
          </w:tcPr>
          <w:p w14:paraId="6DC79D45" w14:textId="77777777" w:rsidR="00AD6721" w:rsidRPr="007C6F22" w:rsidRDefault="00AD6721" w:rsidP="00AD6721">
            <w:pPr>
              <w:spacing w:line="240" w:lineRule="auto"/>
              <w:contextualSpacing/>
              <w:rPr>
                <w:rFonts w:ascii="Times New Roman" w:eastAsia="Times New Roman" w:hAnsi="Times New Roman" w:cs="Times New Roman"/>
                <w:i/>
                <w:color w:val="000000"/>
                <w:sz w:val="24"/>
                <w:szCs w:val="24"/>
                <w:highlight w:val="yellow"/>
              </w:rPr>
            </w:pPr>
            <w:r w:rsidRPr="007C6F22">
              <w:rPr>
                <w:rFonts w:ascii="Times New Roman" w:eastAsia="Times New Roman" w:hAnsi="Times New Roman" w:cs="Times New Roman"/>
                <w:i/>
                <w:color w:val="000000"/>
                <w:sz w:val="24"/>
                <w:szCs w:val="24"/>
                <w:highlight w:val="yellow"/>
              </w:rPr>
              <w:t>Annual Revenue Deficiency ($ millions)</w:t>
            </w:r>
          </w:p>
        </w:tc>
        <w:tc>
          <w:tcPr>
            <w:tcW w:w="1394"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1DE93F61" w14:textId="77777777" w:rsidR="00AD6721" w:rsidRPr="007C6F22" w:rsidRDefault="00AD6721" w:rsidP="00AD6721">
            <w:pPr>
              <w:spacing w:line="240" w:lineRule="auto"/>
              <w:contextualSpacing/>
              <w:jc w:val="center"/>
              <w:rPr>
                <w:rFonts w:ascii="Times New Roman" w:eastAsia="Times New Roman" w:hAnsi="Times New Roman" w:cs="Times New Roman"/>
                <w:iCs/>
                <w:color w:val="000000"/>
                <w:sz w:val="24"/>
                <w:szCs w:val="24"/>
                <w:highlight w:val="yellow"/>
              </w:rPr>
            </w:pPr>
            <w:r w:rsidRPr="007C6F22">
              <w:rPr>
                <w:rFonts w:ascii="Times New Roman" w:eastAsia="Times New Roman" w:hAnsi="Times New Roman" w:cs="Times New Roman"/>
                <w:color w:val="000000"/>
                <w:sz w:val="24"/>
                <w:szCs w:val="24"/>
                <w:highlight w:val="yellow"/>
              </w:rPr>
              <w:t xml:space="preserve"> $      154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18312184" w14:textId="77777777" w:rsidR="00AD6721" w:rsidRPr="007C6F22" w:rsidRDefault="00AD6721" w:rsidP="00AD6721">
            <w:pPr>
              <w:spacing w:line="240" w:lineRule="auto"/>
              <w:contextualSpacing/>
              <w:jc w:val="center"/>
              <w:rPr>
                <w:rFonts w:ascii="Times New Roman" w:eastAsia="Times New Roman" w:hAnsi="Times New Roman" w:cs="Times New Roman"/>
                <w:iCs/>
                <w:color w:val="000000"/>
                <w:sz w:val="24"/>
                <w:szCs w:val="24"/>
                <w:highlight w:val="yellow"/>
              </w:rPr>
            </w:pPr>
            <w:r w:rsidRPr="007C6F22">
              <w:rPr>
                <w:rFonts w:ascii="Times New Roman" w:eastAsia="Times New Roman" w:hAnsi="Times New Roman" w:cs="Times New Roman"/>
                <w:color w:val="000000"/>
                <w:sz w:val="24"/>
                <w:szCs w:val="24"/>
                <w:highlight w:val="yellow"/>
              </w:rPr>
              <w:t xml:space="preserve"> $        38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2FDF7E0D" w14:textId="77777777" w:rsidR="00AD6721" w:rsidRPr="007C6F22" w:rsidRDefault="00AD6721" w:rsidP="00AD6721">
            <w:pPr>
              <w:spacing w:line="240" w:lineRule="auto"/>
              <w:contextualSpacing/>
              <w:jc w:val="center"/>
              <w:rPr>
                <w:rFonts w:ascii="Times New Roman" w:eastAsia="Times New Roman" w:hAnsi="Times New Roman" w:cs="Times New Roman"/>
                <w:iCs/>
                <w:color w:val="000000"/>
                <w:sz w:val="24"/>
                <w:szCs w:val="24"/>
                <w:highlight w:val="yellow"/>
              </w:rPr>
            </w:pPr>
            <w:r w:rsidRPr="007C6F22">
              <w:rPr>
                <w:rFonts w:ascii="Times New Roman" w:eastAsia="Times New Roman" w:hAnsi="Times New Roman" w:cs="Times New Roman"/>
                <w:color w:val="000000"/>
                <w:sz w:val="24"/>
                <w:szCs w:val="24"/>
                <w:highlight w:val="yellow"/>
              </w:rPr>
              <w:t xml:space="preserve"> $      55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2BF37BEF"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r>
      <w:tr w:rsidR="00AD6721" w:rsidRPr="00AD6721" w14:paraId="6AA7A470"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808080"/>
            <w:noWrap/>
            <w:tcMar>
              <w:left w:w="0" w:type="dxa"/>
              <w:right w:w="0" w:type="dxa"/>
            </w:tcMar>
            <w:vAlign w:val="center"/>
            <w:hideMark/>
          </w:tcPr>
          <w:p w14:paraId="3DA604F5" w14:textId="77777777" w:rsidR="00AD6721" w:rsidRPr="00AD6721" w:rsidRDefault="00AD6721" w:rsidP="00AD6721">
            <w:pPr>
              <w:spacing w:line="240" w:lineRule="auto"/>
              <w:contextualSpacing/>
              <w:rPr>
                <w:rFonts w:ascii="Times New Roman" w:eastAsia="Times New Roman" w:hAnsi="Times New Roman" w:cs="Times New Roman"/>
                <w:i/>
                <w:color w:val="000000"/>
                <w:sz w:val="24"/>
                <w:szCs w:val="24"/>
              </w:rPr>
            </w:pPr>
            <w:r w:rsidRPr="00AD6721">
              <w:rPr>
                <w:rFonts w:ascii="Times New Roman" w:eastAsia="Times New Roman" w:hAnsi="Times New Roman" w:cs="Times New Roman"/>
                <w:i/>
                <w:color w:val="000000"/>
                <w:sz w:val="24"/>
                <w:szCs w:val="24"/>
              </w:rPr>
              <w:t> </w:t>
            </w:r>
          </w:p>
        </w:tc>
        <w:tc>
          <w:tcPr>
            <w:tcW w:w="1394"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2518FB2E"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4A68D4D3"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32B97693"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1006A9AA"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r>
      <w:tr w:rsidR="00AD6721" w:rsidRPr="00AD6721" w14:paraId="5ADF75B6"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E2EFDA"/>
            <w:noWrap/>
            <w:tcMar>
              <w:left w:w="0" w:type="dxa"/>
              <w:right w:w="0" w:type="dxa"/>
            </w:tcMar>
            <w:vAlign w:val="center"/>
            <w:hideMark/>
          </w:tcPr>
          <w:p w14:paraId="3C5C5A0B" w14:textId="77777777" w:rsidR="00AD6721" w:rsidRPr="00AD6721" w:rsidRDefault="00AD6721" w:rsidP="00AD6721">
            <w:pPr>
              <w:spacing w:line="240" w:lineRule="auto"/>
              <w:contextualSpacing/>
              <w:rPr>
                <w:rFonts w:ascii="Times New Roman" w:eastAsia="Times New Roman" w:hAnsi="Times New Roman" w:cs="Times New Roman"/>
                <w:i/>
                <w:color w:val="000000"/>
                <w:sz w:val="24"/>
                <w:szCs w:val="24"/>
              </w:rPr>
            </w:pPr>
            <w:r w:rsidRPr="00AD6721">
              <w:rPr>
                <w:rFonts w:ascii="Times New Roman" w:eastAsia="Times New Roman" w:hAnsi="Times New Roman" w:cs="Times New Roman"/>
                <w:i/>
                <w:color w:val="000000"/>
                <w:sz w:val="24"/>
                <w:szCs w:val="24"/>
              </w:rPr>
              <w:t>Annual Impact</w:t>
            </w:r>
          </w:p>
        </w:tc>
        <w:tc>
          <w:tcPr>
            <w:tcW w:w="1394"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3DF72D6A"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xml:space="preserve"> $     74.08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4E96180B"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xml:space="preserve"> $      15.45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6F254458"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xml:space="preserve"> $   23.33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03BBE8D2"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r>
      <w:tr w:rsidR="00AD6721" w:rsidRPr="00AD6721" w14:paraId="6EA41A66"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E2EFDA"/>
            <w:noWrap/>
            <w:tcMar>
              <w:left w:w="0" w:type="dxa"/>
              <w:right w:w="0" w:type="dxa"/>
            </w:tcMar>
            <w:vAlign w:val="center"/>
            <w:hideMark/>
          </w:tcPr>
          <w:p w14:paraId="49B3B483" w14:textId="77777777" w:rsidR="00AD6721" w:rsidRPr="00AD6721" w:rsidRDefault="00AD6721" w:rsidP="00AD6721">
            <w:pPr>
              <w:spacing w:line="240" w:lineRule="auto"/>
              <w:contextualSpacing/>
              <w:rPr>
                <w:rFonts w:ascii="Times New Roman" w:eastAsia="Times New Roman" w:hAnsi="Times New Roman" w:cs="Times New Roman"/>
                <w:i/>
                <w:color w:val="000000"/>
                <w:sz w:val="24"/>
                <w:szCs w:val="24"/>
              </w:rPr>
            </w:pPr>
            <w:r w:rsidRPr="00AD6721">
              <w:rPr>
                <w:rFonts w:ascii="Times New Roman" w:eastAsia="Times New Roman" w:hAnsi="Times New Roman" w:cs="Times New Roman"/>
                <w:i/>
                <w:color w:val="000000"/>
                <w:sz w:val="24"/>
                <w:szCs w:val="24"/>
              </w:rPr>
              <w:t>Monthly Impact</w:t>
            </w:r>
          </w:p>
        </w:tc>
        <w:tc>
          <w:tcPr>
            <w:tcW w:w="1394"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0E20E6ED"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xml:space="preserve"> $      6.17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1F47C3B4"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xml:space="preserve"> $       1.29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1F2B8D4F"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xml:space="preserve"> $    1.94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64D8DD06"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r>
      <w:tr w:rsidR="00AD6721" w:rsidRPr="00AD6721" w14:paraId="04D4CC4F"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808080"/>
            <w:noWrap/>
            <w:tcMar>
              <w:left w:w="0" w:type="dxa"/>
              <w:right w:w="0" w:type="dxa"/>
            </w:tcMar>
            <w:vAlign w:val="center"/>
            <w:hideMark/>
          </w:tcPr>
          <w:p w14:paraId="2895B87D" w14:textId="77777777" w:rsidR="00AD6721" w:rsidRPr="00AD6721" w:rsidRDefault="00AD6721" w:rsidP="00AD6721">
            <w:pPr>
              <w:spacing w:line="240" w:lineRule="auto"/>
              <w:contextualSpacing/>
              <w:rPr>
                <w:rFonts w:ascii="Times New Roman" w:eastAsia="Times New Roman" w:hAnsi="Times New Roman" w:cs="Times New Roman"/>
                <w:i/>
                <w:color w:val="000000"/>
                <w:sz w:val="24"/>
                <w:szCs w:val="24"/>
              </w:rPr>
            </w:pPr>
            <w:r w:rsidRPr="00AD6721">
              <w:rPr>
                <w:rFonts w:ascii="Times New Roman" w:eastAsia="Times New Roman" w:hAnsi="Times New Roman" w:cs="Times New Roman"/>
                <w:i/>
                <w:color w:val="000000"/>
                <w:sz w:val="24"/>
                <w:szCs w:val="24"/>
              </w:rPr>
              <w:t> </w:t>
            </w:r>
          </w:p>
        </w:tc>
        <w:tc>
          <w:tcPr>
            <w:tcW w:w="1394"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12D34996"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4EBABF7B"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6D50B02A"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808080"/>
            <w:noWrap/>
            <w:tcMar>
              <w:left w:w="0" w:type="dxa"/>
              <w:right w:w="0" w:type="dxa"/>
            </w:tcMar>
            <w:vAlign w:val="bottom"/>
            <w:hideMark/>
          </w:tcPr>
          <w:p w14:paraId="4B833D55"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r>
      <w:tr w:rsidR="00AD6721" w:rsidRPr="00AD6721" w14:paraId="03E1AB5F"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E2EFDA"/>
            <w:noWrap/>
            <w:tcMar>
              <w:left w:w="0" w:type="dxa"/>
              <w:right w:w="0" w:type="dxa"/>
            </w:tcMar>
            <w:vAlign w:val="center"/>
            <w:hideMark/>
          </w:tcPr>
          <w:p w14:paraId="72AEB1C9" w14:textId="77777777" w:rsidR="00AD6721" w:rsidRPr="00AD6721" w:rsidRDefault="00AD6721" w:rsidP="00AD6721">
            <w:pPr>
              <w:spacing w:line="240" w:lineRule="auto"/>
              <w:contextualSpacing/>
              <w:rPr>
                <w:rFonts w:ascii="Times New Roman" w:eastAsia="Times New Roman" w:hAnsi="Times New Roman" w:cs="Times New Roman"/>
                <w:i/>
                <w:color w:val="000000"/>
                <w:sz w:val="24"/>
                <w:szCs w:val="24"/>
              </w:rPr>
            </w:pPr>
            <w:r w:rsidRPr="00AD6721">
              <w:rPr>
                <w:rFonts w:ascii="Times New Roman" w:eastAsia="Times New Roman" w:hAnsi="Times New Roman" w:cs="Times New Roman"/>
                <w:i/>
                <w:color w:val="000000"/>
                <w:sz w:val="24"/>
                <w:szCs w:val="24"/>
              </w:rPr>
              <w:t> </w:t>
            </w:r>
          </w:p>
        </w:tc>
        <w:tc>
          <w:tcPr>
            <w:tcW w:w="1394" w:type="dxa"/>
            <w:tcBorders>
              <w:top w:val="nil"/>
              <w:left w:val="nil"/>
              <w:bottom w:val="single" w:sz="8" w:space="0" w:color="auto"/>
              <w:right w:val="single" w:sz="8" w:space="0" w:color="auto"/>
            </w:tcBorders>
            <w:shd w:val="clear" w:color="000000" w:fill="E2EFDA"/>
            <w:noWrap/>
            <w:tcMar>
              <w:left w:w="0" w:type="dxa"/>
              <w:right w:w="0" w:type="dxa"/>
            </w:tcMar>
            <w:vAlign w:val="bottom"/>
            <w:hideMark/>
          </w:tcPr>
          <w:p w14:paraId="32E769FA"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bottom"/>
            <w:hideMark/>
          </w:tcPr>
          <w:p w14:paraId="72D95C55"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bottom"/>
            <w:hideMark/>
          </w:tcPr>
          <w:p w14:paraId="17B811C8" w14:textId="77777777" w:rsidR="00AD6721" w:rsidRPr="00AD6721" w:rsidRDefault="00AD6721" w:rsidP="00AD6721">
            <w:pPr>
              <w:spacing w:line="240" w:lineRule="auto"/>
              <w:contextualSpacing/>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 </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0B8EE486" w14:textId="77777777" w:rsidR="00AD6721" w:rsidRPr="00AD6721" w:rsidRDefault="00AD6721" w:rsidP="00AD6721">
            <w:pPr>
              <w:spacing w:line="240" w:lineRule="auto"/>
              <w:contextualSpacing/>
              <w:jc w:val="center"/>
              <w:rPr>
                <w:rFonts w:ascii="Times New Roman" w:eastAsia="Times New Roman" w:hAnsi="Times New Roman" w:cs="Times New Roman"/>
                <w:b/>
                <w:bCs/>
                <w:iCs/>
                <w:color w:val="000000"/>
                <w:sz w:val="24"/>
                <w:szCs w:val="24"/>
                <w:u w:val="single"/>
              </w:rPr>
            </w:pPr>
            <w:r w:rsidRPr="00AD6721">
              <w:rPr>
                <w:rFonts w:ascii="Times New Roman" w:eastAsia="Times New Roman" w:hAnsi="Times New Roman" w:cs="Times New Roman"/>
                <w:b/>
                <w:bCs/>
                <w:color w:val="000000"/>
                <w:sz w:val="24"/>
                <w:szCs w:val="24"/>
                <w:u w:val="single"/>
              </w:rPr>
              <w:t>3yr Average</w:t>
            </w:r>
          </w:p>
        </w:tc>
      </w:tr>
      <w:tr w:rsidR="00AD6721" w:rsidRPr="00AD6721" w14:paraId="75F82781"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E2EFDA"/>
            <w:noWrap/>
            <w:tcMar>
              <w:left w:w="0" w:type="dxa"/>
              <w:right w:w="0" w:type="dxa"/>
            </w:tcMar>
            <w:vAlign w:val="center"/>
            <w:hideMark/>
          </w:tcPr>
          <w:p w14:paraId="037801F4" w14:textId="77777777" w:rsidR="00AD6721" w:rsidRPr="00AD6721" w:rsidRDefault="00AD6721" w:rsidP="00AD6721">
            <w:pPr>
              <w:spacing w:line="240" w:lineRule="auto"/>
              <w:contextualSpacing/>
              <w:rPr>
                <w:rFonts w:ascii="Times New Roman" w:eastAsia="Times New Roman" w:hAnsi="Times New Roman" w:cs="Times New Roman"/>
                <w:i/>
                <w:color w:val="000000"/>
                <w:sz w:val="24"/>
                <w:szCs w:val="24"/>
              </w:rPr>
            </w:pPr>
            <w:r w:rsidRPr="00AD6721">
              <w:rPr>
                <w:rFonts w:ascii="Times New Roman" w:eastAsia="Times New Roman" w:hAnsi="Times New Roman" w:cs="Times New Roman"/>
                <w:i/>
                <w:color w:val="000000"/>
                <w:sz w:val="24"/>
                <w:szCs w:val="24"/>
              </w:rPr>
              <w:t>Non-Gas Impact</w:t>
            </w:r>
          </w:p>
        </w:tc>
        <w:tc>
          <w:tcPr>
            <w:tcW w:w="1394"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2DEFA816"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16.5%</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5E10218B"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3.0%</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2BE3AB43"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4.3%</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582DF40B"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7.9%</w:t>
            </w:r>
          </w:p>
        </w:tc>
      </w:tr>
      <w:tr w:rsidR="00AD6721" w:rsidRPr="00AD6721" w14:paraId="09F40716" w14:textId="77777777" w:rsidTr="00B83646">
        <w:trPr>
          <w:trHeight w:val="330"/>
        </w:trPr>
        <w:tc>
          <w:tcPr>
            <w:tcW w:w="4040" w:type="dxa"/>
            <w:tcBorders>
              <w:top w:val="nil"/>
              <w:left w:val="single" w:sz="8" w:space="0" w:color="auto"/>
              <w:bottom w:val="single" w:sz="8" w:space="0" w:color="auto"/>
              <w:right w:val="single" w:sz="8" w:space="0" w:color="auto"/>
            </w:tcBorders>
            <w:shd w:val="clear" w:color="000000" w:fill="E2EFDA"/>
            <w:noWrap/>
            <w:tcMar>
              <w:left w:w="0" w:type="dxa"/>
              <w:right w:w="0" w:type="dxa"/>
            </w:tcMar>
            <w:vAlign w:val="center"/>
            <w:hideMark/>
          </w:tcPr>
          <w:p w14:paraId="4C107414" w14:textId="77777777" w:rsidR="00AD6721" w:rsidRPr="00AD6721" w:rsidRDefault="00AD6721" w:rsidP="00AD6721">
            <w:pPr>
              <w:spacing w:line="240" w:lineRule="auto"/>
              <w:contextualSpacing/>
              <w:rPr>
                <w:rFonts w:ascii="Times New Roman" w:eastAsia="Times New Roman" w:hAnsi="Times New Roman" w:cs="Times New Roman"/>
                <w:i/>
                <w:color w:val="000000"/>
                <w:sz w:val="24"/>
                <w:szCs w:val="24"/>
              </w:rPr>
            </w:pPr>
            <w:r w:rsidRPr="00AD6721">
              <w:rPr>
                <w:rFonts w:ascii="Times New Roman" w:eastAsia="Times New Roman" w:hAnsi="Times New Roman" w:cs="Times New Roman"/>
                <w:i/>
                <w:color w:val="000000"/>
                <w:sz w:val="24"/>
                <w:szCs w:val="24"/>
              </w:rPr>
              <w:t>Total Bill Impact-Includes Est Gas Costs</w:t>
            </w:r>
          </w:p>
        </w:tc>
        <w:tc>
          <w:tcPr>
            <w:tcW w:w="1394"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2E41F29E"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7.7%</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33055896"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1.5%</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6F244D61"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2.2%</w:t>
            </w:r>
          </w:p>
        </w:tc>
        <w:tc>
          <w:tcPr>
            <w:tcW w:w="1395" w:type="dxa"/>
            <w:tcBorders>
              <w:top w:val="nil"/>
              <w:left w:val="nil"/>
              <w:bottom w:val="single" w:sz="8" w:space="0" w:color="auto"/>
              <w:right w:val="single" w:sz="8" w:space="0" w:color="auto"/>
            </w:tcBorders>
            <w:shd w:val="clear" w:color="000000" w:fill="E2EFDA"/>
            <w:noWrap/>
            <w:tcMar>
              <w:left w:w="0" w:type="dxa"/>
              <w:right w:w="0" w:type="dxa"/>
            </w:tcMar>
            <w:vAlign w:val="center"/>
            <w:hideMark/>
          </w:tcPr>
          <w:p w14:paraId="5EB968BD" w14:textId="77777777" w:rsidR="00AD6721" w:rsidRPr="00AD6721" w:rsidRDefault="00AD6721" w:rsidP="00AD6721">
            <w:pPr>
              <w:spacing w:line="240" w:lineRule="auto"/>
              <w:contextualSpacing/>
              <w:jc w:val="center"/>
              <w:rPr>
                <w:rFonts w:ascii="Times New Roman" w:eastAsia="Times New Roman" w:hAnsi="Times New Roman" w:cs="Times New Roman"/>
                <w:iCs/>
                <w:color w:val="000000"/>
                <w:sz w:val="24"/>
                <w:szCs w:val="24"/>
              </w:rPr>
            </w:pPr>
            <w:r w:rsidRPr="00AD6721">
              <w:rPr>
                <w:rFonts w:ascii="Times New Roman" w:eastAsia="Times New Roman" w:hAnsi="Times New Roman" w:cs="Times New Roman"/>
                <w:color w:val="000000"/>
                <w:sz w:val="24"/>
                <w:szCs w:val="24"/>
              </w:rPr>
              <w:t>3.8%</w:t>
            </w:r>
          </w:p>
        </w:tc>
      </w:tr>
      <w:bookmarkEnd w:id="0"/>
    </w:tbl>
    <w:p w14:paraId="71C08419" w14:textId="77777777" w:rsidR="00AD6721" w:rsidRPr="00AD6721" w:rsidRDefault="00AD6721" w:rsidP="00AD6721">
      <w:pPr>
        <w:keepNext/>
        <w:spacing w:after="240" w:line="240" w:lineRule="auto"/>
        <w:contextualSpacing/>
        <w:rPr>
          <w:rFonts w:ascii="Times New Roman" w:eastAsia="Calibri" w:hAnsi="Times New Roman" w:cs="Times New Roman"/>
          <w:b/>
          <w:iCs/>
          <w:color w:val="44546A"/>
          <w:sz w:val="24"/>
          <w:szCs w:val="24"/>
          <w:u w:val="single"/>
        </w:rPr>
      </w:pPr>
    </w:p>
    <w:p w14:paraId="7415D4A1" w14:textId="678D1D52" w:rsidR="00AD6721" w:rsidRDefault="00AD6721" w:rsidP="00AD6721">
      <w:pPr>
        <w:keepNext/>
        <w:spacing w:after="240" w:line="240" w:lineRule="auto"/>
        <w:contextualSpacing/>
        <w:rPr>
          <w:rFonts w:ascii="Times New Roman" w:eastAsia="Calibri" w:hAnsi="Times New Roman" w:cs="Times New Roman"/>
          <w:bCs/>
          <w:iCs/>
          <w:color w:val="44546A"/>
          <w:sz w:val="24"/>
          <w:szCs w:val="24"/>
        </w:rPr>
      </w:pPr>
    </w:p>
    <w:p w14:paraId="0942DACE" w14:textId="61043ED8" w:rsidR="00AD6721" w:rsidRPr="00AD6721" w:rsidRDefault="00AD6721" w:rsidP="004D7459">
      <w:pPr>
        <w:keepNext/>
        <w:spacing w:after="240" w:line="240" w:lineRule="auto"/>
        <w:ind w:left="1440"/>
        <w:contextualSpacing/>
        <w:rPr>
          <w:rFonts w:ascii="Times New Roman" w:eastAsia="Calibri" w:hAnsi="Times New Roman" w:cs="Times New Roman"/>
          <w:bCs/>
          <w:iCs/>
          <w:sz w:val="24"/>
          <w:szCs w:val="24"/>
        </w:rPr>
      </w:pPr>
      <w:r w:rsidRPr="00AD6721">
        <w:rPr>
          <w:rFonts w:ascii="Times New Roman" w:eastAsia="Calibri" w:hAnsi="Times New Roman" w:cs="Times New Roman"/>
          <w:bCs/>
          <w:iCs/>
          <w:sz w:val="24"/>
          <w:szCs w:val="24"/>
        </w:rPr>
        <w:t xml:space="preserve">As seen in </w:t>
      </w:r>
      <w:r w:rsidRPr="004D7459">
        <w:rPr>
          <w:rFonts w:ascii="Times New Roman" w:eastAsia="Calibri" w:hAnsi="Times New Roman" w:cs="Times New Roman"/>
          <w:b/>
          <w:iCs/>
          <w:sz w:val="24"/>
          <w:szCs w:val="24"/>
        </w:rPr>
        <w:t>Table-</w:t>
      </w:r>
      <w:r w:rsidR="000E53B9">
        <w:rPr>
          <w:rFonts w:ascii="Times New Roman" w:eastAsia="Calibri" w:hAnsi="Times New Roman" w:cs="Times New Roman"/>
          <w:b/>
          <w:iCs/>
          <w:sz w:val="24"/>
          <w:szCs w:val="24"/>
        </w:rPr>
        <w:t>1B</w:t>
      </w:r>
      <w:r w:rsidRPr="00AD6721">
        <w:rPr>
          <w:rFonts w:ascii="Times New Roman" w:eastAsia="Calibri" w:hAnsi="Times New Roman" w:cs="Times New Roman"/>
          <w:bCs/>
          <w:iCs/>
          <w:sz w:val="24"/>
          <w:szCs w:val="24"/>
        </w:rPr>
        <w:t xml:space="preserve"> below, </w:t>
      </w:r>
      <w:r>
        <w:rPr>
          <w:rFonts w:ascii="Times New Roman" w:eastAsia="Calibri" w:hAnsi="Times New Roman" w:cs="Times New Roman"/>
          <w:bCs/>
          <w:iCs/>
          <w:sz w:val="24"/>
          <w:szCs w:val="24"/>
        </w:rPr>
        <w:t>it contains AGL’s response to STF-12-9</w:t>
      </w:r>
      <w:r w:rsidR="00631F3B">
        <w:rPr>
          <w:rFonts w:ascii="Times New Roman" w:eastAsia="Calibri" w:hAnsi="Times New Roman" w:cs="Times New Roman"/>
          <w:bCs/>
          <w:iCs/>
          <w:sz w:val="24"/>
          <w:szCs w:val="24"/>
        </w:rPr>
        <w:t>b.1</w:t>
      </w:r>
      <w:r w:rsidR="008E5FB5">
        <w:rPr>
          <w:rFonts w:ascii="Times New Roman" w:eastAsia="Calibri" w:hAnsi="Times New Roman" w:cs="Times New Roman"/>
          <w:bCs/>
          <w:iCs/>
          <w:sz w:val="24"/>
          <w:szCs w:val="24"/>
        </w:rPr>
        <w:t xml:space="preserve">, which included </w:t>
      </w:r>
      <w:r w:rsidR="007C6F22">
        <w:rPr>
          <w:rFonts w:ascii="Times New Roman" w:eastAsia="Calibri" w:hAnsi="Times New Roman" w:cs="Times New Roman"/>
          <w:bCs/>
          <w:iCs/>
          <w:sz w:val="24"/>
          <w:szCs w:val="24"/>
        </w:rPr>
        <w:t>different</w:t>
      </w:r>
      <w:r w:rsidR="008E5FB5">
        <w:rPr>
          <w:rFonts w:ascii="Times New Roman" w:eastAsia="Calibri" w:hAnsi="Times New Roman" w:cs="Times New Roman"/>
          <w:bCs/>
          <w:iCs/>
          <w:sz w:val="24"/>
          <w:szCs w:val="24"/>
        </w:rPr>
        <w:t xml:space="preserve"> revenue requirement dollar amounts for 2025 – 2027. The total three (3) year revenue requirement was </w:t>
      </w:r>
      <w:r w:rsidR="008E5FB5" w:rsidRPr="008E5FB5">
        <w:rPr>
          <w:rFonts w:ascii="Times New Roman" w:eastAsia="Calibri" w:hAnsi="Times New Roman" w:cs="Times New Roman"/>
          <w:b/>
          <w:iCs/>
          <w:sz w:val="24"/>
          <w:szCs w:val="24"/>
        </w:rPr>
        <w:t>$206.8</w:t>
      </w:r>
      <w:r w:rsidR="008E5FB5">
        <w:rPr>
          <w:rFonts w:ascii="Times New Roman" w:eastAsia="Calibri" w:hAnsi="Times New Roman" w:cs="Times New Roman"/>
          <w:bCs/>
          <w:iCs/>
          <w:sz w:val="24"/>
          <w:szCs w:val="24"/>
        </w:rPr>
        <w:t xml:space="preserve"> million. </w:t>
      </w:r>
    </w:p>
    <w:p w14:paraId="416C4EC5" w14:textId="77777777" w:rsidR="00AD6721" w:rsidRPr="00AD6721" w:rsidRDefault="00AD6721" w:rsidP="00AD6721">
      <w:pPr>
        <w:spacing w:line="240" w:lineRule="auto"/>
        <w:contextualSpacing/>
        <w:rPr>
          <w:rFonts w:ascii="Times New Roman" w:hAnsi="Times New Roman" w:cs="Times New Roman"/>
          <w:b/>
          <w:bCs/>
          <w:sz w:val="24"/>
          <w:szCs w:val="24"/>
        </w:rPr>
      </w:pPr>
    </w:p>
    <w:p w14:paraId="2ABD8A9C" w14:textId="6B042151" w:rsidR="00AD6721" w:rsidRDefault="00AD6721" w:rsidP="00AD6721">
      <w:pPr>
        <w:spacing w:line="240" w:lineRule="auto"/>
        <w:contextualSpacing/>
        <w:rPr>
          <w:rFonts w:ascii="Times New Roman" w:hAnsi="Times New Roman" w:cs="Times New Roman"/>
          <w:b/>
          <w:bCs/>
          <w:sz w:val="24"/>
          <w:szCs w:val="24"/>
        </w:rPr>
      </w:pPr>
      <w:r w:rsidRPr="00AD6721">
        <w:rPr>
          <w:rFonts w:ascii="Times New Roman" w:hAnsi="Times New Roman" w:cs="Times New Roman"/>
          <w:b/>
          <w:bCs/>
          <w:sz w:val="24"/>
          <w:szCs w:val="24"/>
        </w:rPr>
        <w:t>Table-</w:t>
      </w:r>
      <w:r w:rsidR="000E53B9">
        <w:rPr>
          <w:rFonts w:ascii="Times New Roman" w:hAnsi="Times New Roman" w:cs="Times New Roman"/>
          <w:b/>
          <w:bCs/>
          <w:sz w:val="24"/>
          <w:szCs w:val="24"/>
        </w:rPr>
        <w:t>1B</w:t>
      </w:r>
      <w:r w:rsidRPr="00AD6721">
        <w:rPr>
          <w:rFonts w:ascii="Times New Roman" w:hAnsi="Times New Roman" w:cs="Times New Roman"/>
          <w:b/>
          <w:bCs/>
          <w:sz w:val="24"/>
          <w:szCs w:val="24"/>
        </w:rPr>
        <w:t>: Attachment-STF-12-9b.1</w:t>
      </w:r>
    </w:p>
    <w:tbl>
      <w:tblPr>
        <w:tblW w:w="9001" w:type="dxa"/>
        <w:tblLook w:val="04A0" w:firstRow="1" w:lastRow="0" w:firstColumn="1" w:lastColumn="0" w:noHBand="0" w:noVBand="1"/>
      </w:tblPr>
      <w:tblGrid>
        <w:gridCol w:w="2180"/>
        <w:gridCol w:w="1480"/>
        <w:gridCol w:w="1770"/>
        <w:gridCol w:w="1801"/>
        <w:gridCol w:w="1770"/>
      </w:tblGrid>
      <w:tr w:rsidR="00631F3B" w:rsidRPr="00631F3B" w14:paraId="43A97839" w14:textId="77777777" w:rsidTr="00631F3B">
        <w:trPr>
          <w:trHeight w:val="288"/>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BEBBF" w14:textId="77777777" w:rsidR="00631F3B" w:rsidRPr="00631F3B" w:rsidRDefault="00631F3B" w:rsidP="00631F3B">
            <w:pPr>
              <w:spacing w:after="0" w:line="240" w:lineRule="auto"/>
              <w:rPr>
                <w:rFonts w:ascii="Aptos Narrow" w:eastAsia="Times New Roman" w:hAnsi="Aptos Narrow" w:cs="Times New Roman"/>
                <w:color w:val="000000"/>
              </w:rPr>
            </w:pPr>
            <w:r w:rsidRPr="00631F3B">
              <w:rPr>
                <w:rFonts w:ascii="Aptos Narrow" w:eastAsia="Times New Roman" w:hAnsi="Aptos Narrow" w:cs="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DBFD023" w14:textId="77777777" w:rsidR="00631F3B" w:rsidRPr="00631F3B" w:rsidRDefault="00631F3B" w:rsidP="00631F3B">
            <w:pPr>
              <w:spacing w:after="0" w:line="240" w:lineRule="auto"/>
              <w:jc w:val="center"/>
              <w:rPr>
                <w:rFonts w:ascii="Aptos Narrow" w:eastAsia="Times New Roman" w:hAnsi="Aptos Narrow" w:cs="Times New Roman"/>
                <w:b/>
                <w:bCs/>
                <w:color w:val="000000"/>
              </w:rPr>
            </w:pPr>
            <w:r w:rsidRPr="00631F3B">
              <w:rPr>
                <w:rFonts w:ascii="Aptos Narrow" w:eastAsia="Times New Roman" w:hAnsi="Aptos Narrow" w:cs="Times New Roman"/>
                <w:b/>
                <w:bCs/>
                <w:color w:val="000000"/>
              </w:rPr>
              <w:t>Approved</w:t>
            </w:r>
          </w:p>
        </w:tc>
        <w:tc>
          <w:tcPr>
            <w:tcW w:w="534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A088B5" w14:textId="77777777" w:rsidR="00631F3B" w:rsidRPr="00631F3B" w:rsidRDefault="00631F3B" w:rsidP="00631F3B">
            <w:pPr>
              <w:spacing w:after="0" w:line="240" w:lineRule="auto"/>
              <w:jc w:val="center"/>
              <w:rPr>
                <w:rFonts w:ascii="Aptos Narrow" w:eastAsia="Times New Roman" w:hAnsi="Aptos Narrow" w:cs="Times New Roman"/>
                <w:b/>
                <w:bCs/>
                <w:color w:val="000000"/>
              </w:rPr>
            </w:pPr>
            <w:r w:rsidRPr="00631F3B">
              <w:rPr>
                <w:rFonts w:ascii="Aptos Narrow" w:eastAsia="Times New Roman" w:hAnsi="Aptos Narrow" w:cs="Times New Roman"/>
                <w:b/>
                <w:bCs/>
                <w:color w:val="000000"/>
              </w:rPr>
              <w:t>Proposed</w:t>
            </w:r>
          </w:p>
        </w:tc>
      </w:tr>
      <w:tr w:rsidR="00631F3B" w:rsidRPr="00631F3B" w14:paraId="6D1E9E9B" w14:textId="77777777" w:rsidTr="00631F3B">
        <w:trPr>
          <w:trHeight w:val="300"/>
        </w:trPr>
        <w:tc>
          <w:tcPr>
            <w:tcW w:w="2180" w:type="dxa"/>
            <w:tcBorders>
              <w:top w:val="nil"/>
              <w:left w:val="single" w:sz="4" w:space="0" w:color="auto"/>
              <w:bottom w:val="single" w:sz="4" w:space="0" w:color="auto"/>
              <w:right w:val="single" w:sz="4" w:space="0" w:color="auto"/>
            </w:tcBorders>
            <w:shd w:val="clear" w:color="auto" w:fill="auto"/>
            <w:vAlign w:val="bottom"/>
            <w:hideMark/>
          </w:tcPr>
          <w:p w14:paraId="5775EED5" w14:textId="77777777" w:rsidR="00631F3B" w:rsidRPr="00631F3B" w:rsidRDefault="00631F3B" w:rsidP="00631F3B">
            <w:pPr>
              <w:spacing w:after="0" w:line="240" w:lineRule="auto"/>
              <w:rPr>
                <w:rFonts w:ascii="Arial" w:eastAsia="Times New Roman" w:hAnsi="Arial" w:cs="Arial"/>
                <w:color w:val="000000"/>
                <w:sz w:val="20"/>
                <w:szCs w:val="20"/>
              </w:rPr>
            </w:pPr>
            <w:r w:rsidRPr="00631F3B">
              <w:rPr>
                <w:rFonts w:ascii="Arial" w:eastAsia="Times New Roman" w:hAnsi="Arial" w:cs="Arial"/>
                <w:color w:val="000000"/>
                <w:sz w:val="20"/>
                <w:szCs w:val="20"/>
              </w:rPr>
              <w:t>Year</w:t>
            </w:r>
          </w:p>
        </w:tc>
        <w:tc>
          <w:tcPr>
            <w:tcW w:w="1480" w:type="dxa"/>
            <w:tcBorders>
              <w:top w:val="nil"/>
              <w:left w:val="nil"/>
              <w:bottom w:val="single" w:sz="4" w:space="0" w:color="auto"/>
              <w:right w:val="single" w:sz="4" w:space="0" w:color="auto"/>
            </w:tcBorders>
            <w:shd w:val="clear" w:color="auto" w:fill="auto"/>
            <w:noWrap/>
            <w:vAlign w:val="center"/>
            <w:hideMark/>
          </w:tcPr>
          <w:p w14:paraId="62585032" w14:textId="77777777" w:rsidR="00631F3B" w:rsidRPr="00631F3B" w:rsidRDefault="00631F3B" w:rsidP="00631F3B">
            <w:pPr>
              <w:spacing w:after="0" w:line="240" w:lineRule="auto"/>
              <w:jc w:val="center"/>
              <w:rPr>
                <w:rFonts w:ascii="Arial" w:eastAsia="Times New Roman" w:hAnsi="Arial" w:cs="Arial"/>
                <w:b/>
                <w:bCs/>
                <w:color w:val="000000"/>
                <w:sz w:val="20"/>
                <w:szCs w:val="20"/>
              </w:rPr>
            </w:pPr>
            <w:r w:rsidRPr="00631F3B">
              <w:rPr>
                <w:rFonts w:ascii="Arial" w:eastAsia="Times New Roman" w:hAnsi="Arial" w:cs="Arial"/>
                <w:b/>
                <w:bCs/>
                <w:color w:val="000000"/>
                <w:sz w:val="20"/>
                <w:szCs w:val="20"/>
              </w:rPr>
              <w:t>2024</w:t>
            </w:r>
          </w:p>
        </w:tc>
        <w:tc>
          <w:tcPr>
            <w:tcW w:w="1770" w:type="dxa"/>
            <w:tcBorders>
              <w:top w:val="nil"/>
              <w:left w:val="nil"/>
              <w:bottom w:val="single" w:sz="4" w:space="0" w:color="auto"/>
              <w:right w:val="single" w:sz="4" w:space="0" w:color="auto"/>
            </w:tcBorders>
            <w:shd w:val="clear" w:color="auto" w:fill="auto"/>
            <w:noWrap/>
            <w:vAlign w:val="center"/>
            <w:hideMark/>
          </w:tcPr>
          <w:p w14:paraId="710980CD" w14:textId="77777777" w:rsidR="00631F3B" w:rsidRPr="00631F3B" w:rsidRDefault="00631F3B" w:rsidP="00631F3B">
            <w:pPr>
              <w:spacing w:after="0" w:line="240" w:lineRule="auto"/>
              <w:jc w:val="center"/>
              <w:rPr>
                <w:rFonts w:ascii="Arial" w:eastAsia="Times New Roman" w:hAnsi="Arial" w:cs="Arial"/>
                <w:b/>
                <w:bCs/>
                <w:color w:val="000000"/>
                <w:sz w:val="20"/>
                <w:szCs w:val="20"/>
              </w:rPr>
            </w:pPr>
            <w:r w:rsidRPr="00631F3B">
              <w:rPr>
                <w:rFonts w:ascii="Arial" w:eastAsia="Times New Roman" w:hAnsi="Arial" w:cs="Arial"/>
                <w:b/>
                <w:bCs/>
                <w:color w:val="000000"/>
                <w:sz w:val="20"/>
                <w:szCs w:val="20"/>
              </w:rPr>
              <w:t>2025</w:t>
            </w:r>
          </w:p>
        </w:tc>
        <w:tc>
          <w:tcPr>
            <w:tcW w:w="1801" w:type="dxa"/>
            <w:tcBorders>
              <w:top w:val="nil"/>
              <w:left w:val="nil"/>
              <w:bottom w:val="single" w:sz="4" w:space="0" w:color="auto"/>
              <w:right w:val="single" w:sz="4" w:space="0" w:color="auto"/>
            </w:tcBorders>
            <w:shd w:val="clear" w:color="auto" w:fill="auto"/>
            <w:noWrap/>
            <w:vAlign w:val="center"/>
            <w:hideMark/>
          </w:tcPr>
          <w:p w14:paraId="149F353B" w14:textId="77777777" w:rsidR="00631F3B" w:rsidRPr="00631F3B" w:rsidRDefault="00631F3B" w:rsidP="00631F3B">
            <w:pPr>
              <w:spacing w:after="0" w:line="240" w:lineRule="auto"/>
              <w:jc w:val="center"/>
              <w:rPr>
                <w:rFonts w:ascii="Arial" w:eastAsia="Times New Roman" w:hAnsi="Arial" w:cs="Arial"/>
                <w:b/>
                <w:bCs/>
                <w:color w:val="000000"/>
                <w:sz w:val="20"/>
                <w:szCs w:val="20"/>
              </w:rPr>
            </w:pPr>
            <w:r w:rsidRPr="00631F3B">
              <w:rPr>
                <w:rFonts w:ascii="Arial" w:eastAsia="Times New Roman" w:hAnsi="Arial" w:cs="Arial"/>
                <w:b/>
                <w:bCs/>
                <w:color w:val="000000"/>
                <w:sz w:val="20"/>
                <w:szCs w:val="20"/>
              </w:rPr>
              <w:t>2026</w:t>
            </w:r>
          </w:p>
        </w:tc>
        <w:tc>
          <w:tcPr>
            <w:tcW w:w="1770" w:type="dxa"/>
            <w:tcBorders>
              <w:top w:val="nil"/>
              <w:left w:val="nil"/>
              <w:bottom w:val="single" w:sz="4" w:space="0" w:color="auto"/>
              <w:right w:val="single" w:sz="4" w:space="0" w:color="auto"/>
            </w:tcBorders>
            <w:shd w:val="clear" w:color="auto" w:fill="auto"/>
            <w:noWrap/>
            <w:vAlign w:val="center"/>
            <w:hideMark/>
          </w:tcPr>
          <w:p w14:paraId="3AC9DC8B" w14:textId="77777777" w:rsidR="00631F3B" w:rsidRPr="00631F3B" w:rsidRDefault="00631F3B" w:rsidP="00631F3B">
            <w:pPr>
              <w:spacing w:after="0" w:line="240" w:lineRule="auto"/>
              <w:jc w:val="center"/>
              <w:rPr>
                <w:rFonts w:ascii="Arial" w:eastAsia="Times New Roman" w:hAnsi="Arial" w:cs="Arial"/>
                <w:b/>
                <w:bCs/>
                <w:color w:val="000000"/>
                <w:sz w:val="20"/>
                <w:szCs w:val="20"/>
              </w:rPr>
            </w:pPr>
            <w:r w:rsidRPr="00631F3B">
              <w:rPr>
                <w:rFonts w:ascii="Arial" w:eastAsia="Times New Roman" w:hAnsi="Arial" w:cs="Arial"/>
                <w:b/>
                <w:bCs/>
                <w:color w:val="000000"/>
                <w:sz w:val="20"/>
                <w:szCs w:val="20"/>
              </w:rPr>
              <w:t>2027</w:t>
            </w:r>
          </w:p>
        </w:tc>
      </w:tr>
      <w:tr w:rsidR="00631F3B" w:rsidRPr="00631F3B" w14:paraId="32B06EC0" w14:textId="77777777" w:rsidTr="00631F3B">
        <w:trPr>
          <w:trHeight w:val="300"/>
        </w:trPr>
        <w:tc>
          <w:tcPr>
            <w:tcW w:w="2180" w:type="dxa"/>
            <w:tcBorders>
              <w:top w:val="nil"/>
              <w:left w:val="single" w:sz="4" w:space="0" w:color="auto"/>
              <w:bottom w:val="single" w:sz="4" w:space="0" w:color="auto"/>
              <w:right w:val="single" w:sz="4" w:space="0" w:color="auto"/>
            </w:tcBorders>
            <w:shd w:val="clear" w:color="auto" w:fill="auto"/>
            <w:vAlign w:val="bottom"/>
            <w:hideMark/>
          </w:tcPr>
          <w:p w14:paraId="4AB77F8B" w14:textId="77777777" w:rsidR="00631F3B" w:rsidRPr="00631F3B" w:rsidRDefault="00631F3B" w:rsidP="00631F3B">
            <w:pPr>
              <w:spacing w:after="0" w:line="240" w:lineRule="auto"/>
              <w:rPr>
                <w:rFonts w:ascii="Arial" w:eastAsia="Times New Roman" w:hAnsi="Arial" w:cs="Arial"/>
                <w:color w:val="000000"/>
                <w:sz w:val="20"/>
                <w:szCs w:val="20"/>
              </w:rPr>
            </w:pPr>
            <w:r w:rsidRPr="00631F3B">
              <w:rPr>
                <w:rFonts w:ascii="Arial" w:eastAsia="Times New Roman" w:hAnsi="Arial" w:cs="Arial"/>
                <w:color w:val="000000"/>
                <w:sz w:val="20"/>
                <w:szCs w:val="20"/>
              </w:rPr>
              <w:t>GRAM Capital Budgets</w:t>
            </w:r>
          </w:p>
        </w:tc>
        <w:tc>
          <w:tcPr>
            <w:tcW w:w="1480" w:type="dxa"/>
            <w:tcBorders>
              <w:top w:val="nil"/>
              <w:left w:val="nil"/>
              <w:bottom w:val="single" w:sz="4" w:space="0" w:color="auto"/>
              <w:right w:val="single" w:sz="4" w:space="0" w:color="auto"/>
            </w:tcBorders>
            <w:shd w:val="clear" w:color="auto" w:fill="auto"/>
            <w:noWrap/>
            <w:vAlign w:val="center"/>
            <w:hideMark/>
          </w:tcPr>
          <w:p w14:paraId="7CA4CC3D"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$596,909,696 </w:t>
            </w:r>
          </w:p>
        </w:tc>
        <w:tc>
          <w:tcPr>
            <w:tcW w:w="1770" w:type="dxa"/>
            <w:tcBorders>
              <w:top w:val="nil"/>
              <w:left w:val="nil"/>
              <w:bottom w:val="single" w:sz="4" w:space="0" w:color="auto"/>
              <w:right w:val="single" w:sz="4" w:space="0" w:color="auto"/>
            </w:tcBorders>
            <w:shd w:val="clear" w:color="auto" w:fill="auto"/>
            <w:noWrap/>
            <w:vAlign w:val="center"/>
            <w:hideMark/>
          </w:tcPr>
          <w:p w14:paraId="593C2AB5"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$555,998,267 </w:t>
            </w:r>
          </w:p>
        </w:tc>
        <w:tc>
          <w:tcPr>
            <w:tcW w:w="1801" w:type="dxa"/>
            <w:tcBorders>
              <w:top w:val="nil"/>
              <w:left w:val="nil"/>
              <w:bottom w:val="single" w:sz="4" w:space="0" w:color="auto"/>
              <w:right w:val="single" w:sz="4" w:space="0" w:color="auto"/>
            </w:tcBorders>
            <w:shd w:val="clear" w:color="auto" w:fill="auto"/>
            <w:noWrap/>
            <w:vAlign w:val="center"/>
            <w:hideMark/>
          </w:tcPr>
          <w:p w14:paraId="743F46FB"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$607,730,570 </w:t>
            </w:r>
          </w:p>
        </w:tc>
        <w:tc>
          <w:tcPr>
            <w:tcW w:w="1770" w:type="dxa"/>
            <w:tcBorders>
              <w:top w:val="nil"/>
              <w:left w:val="nil"/>
              <w:bottom w:val="single" w:sz="4" w:space="0" w:color="auto"/>
              <w:right w:val="single" w:sz="4" w:space="0" w:color="auto"/>
            </w:tcBorders>
            <w:shd w:val="clear" w:color="auto" w:fill="auto"/>
            <w:noWrap/>
            <w:vAlign w:val="center"/>
            <w:hideMark/>
          </w:tcPr>
          <w:p w14:paraId="3A92F43C"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$601,764,584 </w:t>
            </w:r>
          </w:p>
        </w:tc>
      </w:tr>
      <w:tr w:rsidR="00631F3B" w:rsidRPr="00631F3B" w14:paraId="71417098" w14:textId="77777777" w:rsidTr="00631F3B">
        <w:trPr>
          <w:trHeight w:val="52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5958422" w14:textId="77777777" w:rsidR="00631F3B" w:rsidRPr="00631F3B" w:rsidRDefault="00631F3B" w:rsidP="00631F3B">
            <w:pPr>
              <w:spacing w:after="0" w:line="240" w:lineRule="auto"/>
              <w:rPr>
                <w:rFonts w:ascii="Arial" w:eastAsia="Times New Roman" w:hAnsi="Arial" w:cs="Arial"/>
                <w:color w:val="000000"/>
                <w:sz w:val="20"/>
                <w:szCs w:val="20"/>
              </w:rPr>
            </w:pPr>
            <w:r w:rsidRPr="00631F3B">
              <w:rPr>
                <w:rFonts w:ascii="Arial" w:eastAsia="Times New Roman" w:hAnsi="Arial" w:cs="Arial"/>
                <w:color w:val="000000"/>
                <w:sz w:val="20"/>
                <w:szCs w:val="20"/>
              </w:rPr>
              <w:t>AGL Revenue Requirements</w:t>
            </w:r>
          </w:p>
        </w:tc>
        <w:tc>
          <w:tcPr>
            <w:tcW w:w="1480" w:type="dxa"/>
            <w:tcBorders>
              <w:top w:val="nil"/>
              <w:left w:val="nil"/>
              <w:bottom w:val="single" w:sz="4" w:space="0" w:color="auto"/>
              <w:right w:val="single" w:sz="4" w:space="0" w:color="auto"/>
            </w:tcBorders>
            <w:shd w:val="clear" w:color="auto" w:fill="auto"/>
            <w:noWrap/>
            <w:vAlign w:val="bottom"/>
            <w:hideMark/>
          </w:tcPr>
          <w:p w14:paraId="43FAD1A9"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770" w:type="dxa"/>
            <w:tcBorders>
              <w:top w:val="nil"/>
              <w:left w:val="nil"/>
              <w:bottom w:val="single" w:sz="4" w:space="0" w:color="auto"/>
              <w:right w:val="single" w:sz="4" w:space="0" w:color="auto"/>
            </w:tcBorders>
            <w:shd w:val="clear" w:color="auto" w:fill="auto"/>
            <w:noWrap/>
            <w:vAlign w:val="center"/>
            <w:hideMark/>
          </w:tcPr>
          <w:p w14:paraId="084A1AE9"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$116,907,042 </w:t>
            </w:r>
          </w:p>
        </w:tc>
        <w:tc>
          <w:tcPr>
            <w:tcW w:w="1801" w:type="dxa"/>
            <w:tcBorders>
              <w:top w:val="nil"/>
              <w:left w:val="nil"/>
              <w:bottom w:val="single" w:sz="4" w:space="0" w:color="auto"/>
              <w:right w:val="single" w:sz="4" w:space="0" w:color="auto"/>
            </w:tcBorders>
            <w:shd w:val="clear" w:color="auto" w:fill="auto"/>
            <w:noWrap/>
            <w:vAlign w:val="center"/>
            <w:hideMark/>
          </w:tcPr>
          <w:p w14:paraId="1DF7204F"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$33,649,092 </w:t>
            </w:r>
          </w:p>
        </w:tc>
        <w:tc>
          <w:tcPr>
            <w:tcW w:w="1770" w:type="dxa"/>
            <w:tcBorders>
              <w:top w:val="nil"/>
              <w:left w:val="nil"/>
              <w:bottom w:val="single" w:sz="4" w:space="0" w:color="auto"/>
              <w:right w:val="single" w:sz="4" w:space="0" w:color="auto"/>
            </w:tcBorders>
            <w:shd w:val="clear" w:color="auto" w:fill="auto"/>
            <w:noWrap/>
            <w:vAlign w:val="center"/>
            <w:hideMark/>
          </w:tcPr>
          <w:p w14:paraId="2C9F2B00"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$56,199,189 </w:t>
            </w:r>
          </w:p>
        </w:tc>
      </w:tr>
      <w:tr w:rsidR="00631F3B" w:rsidRPr="00631F3B" w14:paraId="29810432" w14:textId="77777777" w:rsidTr="00631F3B">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6897000" w14:textId="77777777" w:rsidR="00631F3B" w:rsidRPr="00631F3B" w:rsidRDefault="00631F3B" w:rsidP="00631F3B">
            <w:pPr>
              <w:spacing w:after="0" w:line="240" w:lineRule="auto"/>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19AA8B6"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770" w:type="dxa"/>
            <w:tcBorders>
              <w:top w:val="nil"/>
              <w:left w:val="nil"/>
              <w:bottom w:val="single" w:sz="4" w:space="0" w:color="auto"/>
              <w:right w:val="single" w:sz="4" w:space="0" w:color="auto"/>
            </w:tcBorders>
            <w:shd w:val="clear" w:color="auto" w:fill="auto"/>
            <w:noWrap/>
            <w:vAlign w:val="center"/>
            <w:hideMark/>
          </w:tcPr>
          <w:p w14:paraId="75471991"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801" w:type="dxa"/>
            <w:tcBorders>
              <w:top w:val="nil"/>
              <w:left w:val="nil"/>
              <w:bottom w:val="single" w:sz="4" w:space="0" w:color="auto"/>
              <w:right w:val="single" w:sz="4" w:space="0" w:color="auto"/>
            </w:tcBorders>
            <w:shd w:val="clear" w:color="auto" w:fill="auto"/>
            <w:noWrap/>
            <w:vAlign w:val="center"/>
            <w:hideMark/>
          </w:tcPr>
          <w:p w14:paraId="43ACCC82"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FF0000"/>
                <w:sz w:val="20"/>
                <w:szCs w:val="20"/>
              </w:rPr>
              <w:t>($83,257,950)</w:t>
            </w:r>
          </w:p>
        </w:tc>
        <w:tc>
          <w:tcPr>
            <w:tcW w:w="1770" w:type="dxa"/>
            <w:tcBorders>
              <w:top w:val="nil"/>
              <w:left w:val="nil"/>
              <w:bottom w:val="single" w:sz="4" w:space="0" w:color="auto"/>
              <w:right w:val="single" w:sz="4" w:space="0" w:color="auto"/>
            </w:tcBorders>
            <w:shd w:val="clear" w:color="auto" w:fill="auto"/>
            <w:noWrap/>
            <w:vAlign w:val="center"/>
            <w:hideMark/>
          </w:tcPr>
          <w:p w14:paraId="572E6261"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$22,550,097 </w:t>
            </w:r>
          </w:p>
        </w:tc>
      </w:tr>
      <w:tr w:rsidR="00631F3B" w:rsidRPr="00631F3B" w14:paraId="1F234DE0" w14:textId="77777777" w:rsidTr="00631F3B">
        <w:trPr>
          <w:trHeight w:val="288"/>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8ACDA7" w14:textId="77777777" w:rsidR="00631F3B" w:rsidRPr="00631F3B" w:rsidRDefault="00631F3B" w:rsidP="00631F3B">
            <w:pPr>
              <w:spacing w:after="0" w:line="240" w:lineRule="auto"/>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14:paraId="49005131"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770" w:type="dxa"/>
            <w:tcBorders>
              <w:top w:val="nil"/>
              <w:left w:val="nil"/>
              <w:bottom w:val="single" w:sz="4" w:space="0" w:color="auto"/>
              <w:right w:val="single" w:sz="4" w:space="0" w:color="auto"/>
            </w:tcBorders>
            <w:shd w:val="clear" w:color="auto" w:fill="auto"/>
            <w:noWrap/>
            <w:vAlign w:val="bottom"/>
            <w:hideMark/>
          </w:tcPr>
          <w:p w14:paraId="2C379041"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801" w:type="dxa"/>
            <w:tcBorders>
              <w:top w:val="nil"/>
              <w:left w:val="nil"/>
              <w:bottom w:val="single" w:sz="4" w:space="0" w:color="auto"/>
              <w:right w:val="single" w:sz="4" w:space="0" w:color="auto"/>
            </w:tcBorders>
            <w:shd w:val="clear" w:color="auto" w:fill="auto"/>
            <w:noWrap/>
            <w:vAlign w:val="bottom"/>
            <w:hideMark/>
          </w:tcPr>
          <w:p w14:paraId="6AA5E414"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c>
          <w:tcPr>
            <w:tcW w:w="1770" w:type="dxa"/>
            <w:tcBorders>
              <w:top w:val="nil"/>
              <w:left w:val="nil"/>
              <w:bottom w:val="single" w:sz="4" w:space="0" w:color="auto"/>
              <w:right w:val="single" w:sz="4" w:space="0" w:color="auto"/>
            </w:tcBorders>
            <w:shd w:val="clear" w:color="auto" w:fill="auto"/>
            <w:noWrap/>
            <w:vAlign w:val="bottom"/>
            <w:hideMark/>
          </w:tcPr>
          <w:p w14:paraId="792BC4A1"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w:t>
            </w:r>
          </w:p>
        </w:tc>
      </w:tr>
      <w:tr w:rsidR="00631F3B" w:rsidRPr="00631F3B" w14:paraId="36AACF8D" w14:textId="77777777" w:rsidTr="00631F3B">
        <w:trPr>
          <w:trHeight w:val="52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286F47BE" w14:textId="77777777" w:rsidR="00631F3B" w:rsidRPr="00631F3B" w:rsidRDefault="00631F3B" w:rsidP="00631F3B">
            <w:pPr>
              <w:spacing w:after="0" w:line="240" w:lineRule="auto"/>
              <w:rPr>
                <w:rFonts w:ascii="Arial" w:eastAsia="Times New Roman" w:hAnsi="Arial" w:cs="Arial"/>
                <w:color w:val="000000"/>
                <w:sz w:val="20"/>
                <w:szCs w:val="20"/>
              </w:rPr>
            </w:pPr>
            <w:r w:rsidRPr="00631F3B">
              <w:rPr>
                <w:rFonts w:ascii="Arial" w:eastAsia="Times New Roman" w:hAnsi="Arial" w:cs="Arial"/>
                <w:color w:val="000000"/>
                <w:sz w:val="20"/>
                <w:szCs w:val="20"/>
              </w:rPr>
              <w:t>AGL Customer Charge Monthly</w:t>
            </w:r>
          </w:p>
        </w:tc>
        <w:tc>
          <w:tcPr>
            <w:tcW w:w="1480" w:type="dxa"/>
            <w:tcBorders>
              <w:top w:val="nil"/>
              <w:left w:val="nil"/>
              <w:bottom w:val="single" w:sz="4" w:space="0" w:color="auto"/>
              <w:right w:val="single" w:sz="4" w:space="0" w:color="auto"/>
            </w:tcBorders>
            <w:shd w:val="clear" w:color="auto" w:fill="auto"/>
            <w:noWrap/>
            <w:vAlign w:val="center"/>
            <w:hideMark/>
          </w:tcPr>
          <w:p w14:paraId="502014CC"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$25.24 </w:t>
            </w:r>
          </w:p>
        </w:tc>
        <w:tc>
          <w:tcPr>
            <w:tcW w:w="1770" w:type="dxa"/>
            <w:tcBorders>
              <w:top w:val="nil"/>
              <w:left w:val="nil"/>
              <w:bottom w:val="single" w:sz="4" w:space="0" w:color="auto"/>
              <w:right w:val="single" w:sz="4" w:space="0" w:color="auto"/>
            </w:tcBorders>
            <w:shd w:val="clear" w:color="auto" w:fill="auto"/>
            <w:noWrap/>
            <w:vAlign w:val="center"/>
            <w:hideMark/>
          </w:tcPr>
          <w:p w14:paraId="79CAA89A"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$28.54 </w:t>
            </w:r>
          </w:p>
        </w:tc>
        <w:tc>
          <w:tcPr>
            <w:tcW w:w="1801" w:type="dxa"/>
            <w:tcBorders>
              <w:top w:val="nil"/>
              <w:left w:val="nil"/>
              <w:bottom w:val="single" w:sz="4" w:space="0" w:color="auto"/>
              <w:right w:val="single" w:sz="4" w:space="0" w:color="auto"/>
            </w:tcBorders>
            <w:shd w:val="clear" w:color="auto" w:fill="auto"/>
            <w:noWrap/>
            <w:vAlign w:val="center"/>
            <w:hideMark/>
          </w:tcPr>
          <w:p w14:paraId="6EB31B9F"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$29.48 </w:t>
            </w:r>
          </w:p>
        </w:tc>
        <w:tc>
          <w:tcPr>
            <w:tcW w:w="1770" w:type="dxa"/>
            <w:tcBorders>
              <w:top w:val="nil"/>
              <w:left w:val="nil"/>
              <w:bottom w:val="single" w:sz="4" w:space="0" w:color="auto"/>
              <w:right w:val="single" w:sz="4" w:space="0" w:color="auto"/>
            </w:tcBorders>
            <w:shd w:val="clear" w:color="auto" w:fill="auto"/>
            <w:noWrap/>
            <w:vAlign w:val="center"/>
            <w:hideMark/>
          </w:tcPr>
          <w:p w14:paraId="68379061"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$31.05 </w:t>
            </w:r>
          </w:p>
        </w:tc>
      </w:tr>
      <w:tr w:rsidR="00631F3B" w:rsidRPr="00631F3B" w14:paraId="602FFFE4" w14:textId="77777777" w:rsidTr="00631F3B">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1E926CB" w14:textId="77777777" w:rsidR="00631F3B" w:rsidRPr="00631F3B" w:rsidRDefault="00631F3B" w:rsidP="00631F3B">
            <w:pPr>
              <w:spacing w:after="0" w:line="240" w:lineRule="auto"/>
              <w:rPr>
                <w:rFonts w:ascii="Arial" w:eastAsia="Times New Roman" w:hAnsi="Arial" w:cs="Arial"/>
                <w:color w:val="000000"/>
                <w:sz w:val="20"/>
                <w:szCs w:val="20"/>
              </w:rPr>
            </w:pPr>
            <w:r w:rsidRPr="00631F3B">
              <w:rPr>
                <w:rFonts w:ascii="Arial" w:eastAsia="Times New Roman" w:hAnsi="Arial" w:cs="Arial"/>
                <w:color w:val="000000"/>
                <w:sz w:val="20"/>
                <w:szCs w:val="20"/>
              </w:rPr>
              <w:t>DDDC Charge Monthly</w:t>
            </w:r>
          </w:p>
        </w:tc>
        <w:tc>
          <w:tcPr>
            <w:tcW w:w="1480" w:type="dxa"/>
            <w:tcBorders>
              <w:top w:val="nil"/>
              <w:left w:val="nil"/>
              <w:bottom w:val="single" w:sz="4" w:space="0" w:color="auto"/>
              <w:right w:val="single" w:sz="4" w:space="0" w:color="auto"/>
            </w:tcBorders>
            <w:shd w:val="clear" w:color="auto" w:fill="auto"/>
            <w:noWrap/>
            <w:vAlign w:val="center"/>
            <w:hideMark/>
          </w:tcPr>
          <w:p w14:paraId="78821A07"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$9.12 </w:t>
            </w:r>
          </w:p>
        </w:tc>
        <w:tc>
          <w:tcPr>
            <w:tcW w:w="1770" w:type="dxa"/>
            <w:tcBorders>
              <w:top w:val="nil"/>
              <w:left w:val="nil"/>
              <w:bottom w:val="single" w:sz="4" w:space="0" w:color="auto"/>
              <w:right w:val="single" w:sz="4" w:space="0" w:color="auto"/>
            </w:tcBorders>
            <w:shd w:val="clear" w:color="auto" w:fill="auto"/>
            <w:noWrap/>
            <w:vAlign w:val="center"/>
            <w:hideMark/>
          </w:tcPr>
          <w:p w14:paraId="322D680B"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$10.31 </w:t>
            </w:r>
          </w:p>
        </w:tc>
        <w:tc>
          <w:tcPr>
            <w:tcW w:w="1801" w:type="dxa"/>
            <w:tcBorders>
              <w:top w:val="nil"/>
              <w:left w:val="nil"/>
              <w:bottom w:val="single" w:sz="4" w:space="0" w:color="auto"/>
              <w:right w:val="single" w:sz="4" w:space="0" w:color="auto"/>
            </w:tcBorders>
            <w:shd w:val="clear" w:color="auto" w:fill="auto"/>
            <w:noWrap/>
            <w:vAlign w:val="center"/>
            <w:hideMark/>
          </w:tcPr>
          <w:p w14:paraId="12FD3E3F"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$10.65 </w:t>
            </w:r>
          </w:p>
        </w:tc>
        <w:tc>
          <w:tcPr>
            <w:tcW w:w="1770" w:type="dxa"/>
            <w:tcBorders>
              <w:top w:val="nil"/>
              <w:left w:val="nil"/>
              <w:bottom w:val="single" w:sz="4" w:space="0" w:color="auto"/>
              <w:right w:val="single" w:sz="4" w:space="0" w:color="auto"/>
            </w:tcBorders>
            <w:shd w:val="clear" w:color="auto" w:fill="auto"/>
            <w:noWrap/>
            <w:vAlign w:val="center"/>
            <w:hideMark/>
          </w:tcPr>
          <w:p w14:paraId="1849BEF8" w14:textId="77777777" w:rsidR="00631F3B" w:rsidRPr="00631F3B" w:rsidRDefault="00631F3B" w:rsidP="00631F3B">
            <w:pPr>
              <w:spacing w:after="0" w:line="240" w:lineRule="auto"/>
              <w:jc w:val="right"/>
              <w:rPr>
                <w:rFonts w:ascii="Arial" w:eastAsia="Times New Roman" w:hAnsi="Arial" w:cs="Arial"/>
                <w:color w:val="000000"/>
                <w:sz w:val="20"/>
                <w:szCs w:val="20"/>
              </w:rPr>
            </w:pPr>
            <w:r w:rsidRPr="00631F3B">
              <w:rPr>
                <w:rFonts w:ascii="Arial" w:eastAsia="Times New Roman" w:hAnsi="Arial" w:cs="Arial"/>
                <w:color w:val="000000"/>
                <w:sz w:val="20"/>
                <w:szCs w:val="20"/>
              </w:rPr>
              <w:t xml:space="preserve">$11.22 </w:t>
            </w:r>
          </w:p>
        </w:tc>
      </w:tr>
    </w:tbl>
    <w:p w14:paraId="0781143D" w14:textId="77777777" w:rsidR="00631F3B" w:rsidRPr="00AD6721" w:rsidRDefault="00631F3B" w:rsidP="00AD6721">
      <w:pPr>
        <w:spacing w:line="240" w:lineRule="auto"/>
        <w:contextualSpacing/>
        <w:rPr>
          <w:rFonts w:ascii="Times New Roman" w:hAnsi="Times New Roman" w:cs="Times New Roman"/>
          <w:b/>
          <w:bCs/>
          <w:sz w:val="24"/>
          <w:szCs w:val="24"/>
        </w:rPr>
      </w:pPr>
    </w:p>
    <w:p w14:paraId="201B67B5" w14:textId="2F6816A3" w:rsidR="004D7459" w:rsidRDefault="004D7459" w:rsidP="009C2ACF">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When comparing the dollar amounts in Figure 5.10.1 and Attachment-STF-12-9b.1, </w:t>
      </w:r>
      <w:r w:rsidR="00C440EC">
        <w:rPr>
          <w:rFonts w:ascii="Times New Roman" w:hAnsi="Times New Roman" w:cs="Times New Roman"/>
          <w:sz w:val="24"/>
          <w:szCs w:val="24"/>
        </w:rPr>
        <w:t>these</w:t>
      </w:r>
      <w:r>
        <w:rPr>
          <w:rFonts w:ascii="Times New Roman" w:hAnsi="Times New Roman" w:cs="Times New Roman"/>
          <w:sz w:val="24"/>
          <w:szCs w:val="24"/>
        </w:rPr>
        <w:t xml:space="preserve"> </w:t>
      </w:r>
      <w:r w:rsidR="007C6F22">
        <w:rPr>
          <w:rFonts w:ascii="Times New Roman" w:hAnsi="Times New Roman" w:cs="Times New Roman"/>
          <w:sz w:val="24"/>
          <w:szCs w:val="24"/>
        </w:rPr>
        <w:t>dollar amounts aren’t the same</w:t>
      </w:r>
      <w:r>
        <w:rPr>
          <w:rFonts w:ascii="Times New Roman" w:hAnsi="Times New Roman" w:cs="Times New Roman"/>
          <w:sz w:val="24"/>
          <w:szCs w:val="24"/>
        </w:rPr>
        <w:t xml:space="preserve">. </w:t>
      </w:r>
      <w:r w:rsidR="007C6F22">
        <w:rPr>
          <w:rFonts w:ascii="Times New Roman" w:hAnsi="Times New Roman" w:cs="Times New Roman"/>
          <w:sz w:val="24"/>
          <w:szCs w:val="24"/>
        </w:rPr>
        <w:t>Please answer the following</w:t>
      </w:r>
      <w:r w:rsidR="00AA0B6D">
        <w:rPr>
          <w:rFonts w:ascii="Times New Roman" w:hAnsi="Times New Roman" w:cs="Times New Roman"/>
          <w:sz w:val="24"/>
          <w:szCs w:val="24"/>
        </w:rPr>
        <w:t>:</w:t>
      </w:r>
    </w:p>
    <w:p w14:paraId="750688F8" w14:textId="72C83CCF" w:rsidR="000F26E1" w:rsidRPr="007C6F22" w:rsidRDefault="007C6F22" w:rsidP="007C6F2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7C6F22">
        <w:rPr>
          <w:rFonts w:ascii="Times New Roman" w:hAnsi="Times New Roman" w:cs="Times New Roman"/>
          <w:b/>
          <w:bCs/>
          <w:sz w:val="24"/>
          <w:szCs w:val="24"/>
        </w:rPr>
        <w:t>Figure 5.10.1</w:t>
      </w:r>
      <w:r>
        <w:rPr>
          <w:rFonts w:ascii="Times New Roman" w:hAnsi="Times New Roman" w:cs="Times New Roman"/>
          <w:sz w:val="24"/>
          <w:szCs w:val="24"/>
        </w:rPr>
        <w:t>, when reviewing the revenue requirement dollar amounts for 2025 – 2027, there is a</w:t>
      </w:r>
      <w:r w:rsidR="007C7E5A">
        <w:rPr>
          <w:rFonts w:ascii="Times New Roman" w:hAnsi="Times New Roman" w:cs="Times New Roman"/>
          <w:sz w:val="24"/>
          <w:szCs w:val="24"/>
        </w:rPr>
        <w:t xml:space="preserve"> decrease </w:t>
      </w:r>
      <w:r w:rsidR="00B3524B">
        <w:rPr>
          <w:rFonts w:ascii="Times New Roman" w:hAnsi="Times New Roman" w:cs="Times New Roman"/>
          <w:sz w:val="24"/>
          <w:szCs w:val="24"/>
        </w:rPr>
        <w:t>in 2026 from 2025</w:t>
      </w:r>
      <w:r w:rsidR="007C7E5A">
        <w:rPr>
          <w:rFonts w:ascii="Times New Roman" w:hAnsi="Times New Roman" w:cs="Times New Roman"/>
          <w:sz w:val="24"/>
          <w:szCs w:val="24"/>
        </w:rPr>
        <w:t xml:space="preserve"> </w:t>
      </w:r>
      <w:r w:rsidR="00B3524B">
        <w:rPr>
          <w:rFonts w:ascii="Times New Roman" w:hAnsi="Times New Roman" w:cs="Times New Roman"/>
          <w:sz w:val="24"/>
          <w:szCs w:val="24"/>
        </w:rPr>
        <w:t>in the amount</w:t>
      </w:r>
      <w:r>
        <w:rPr>
          <w:rFonts w:ascii="Times New Roman" w:hAnsi="Times New Roman" w:cs="Times New Roman"/>
          <w:sz w:val="24"/>
          <w:szCs w:val="24"/>
        </w:rPr>
        <w:t xml:space="preserve"> of </w:t>
      </w:r>
      <w:r w:rsidRPr="007C6F22">
        <w:rPr>
          <w:rFonts w:ascii="Times New Roman" w:hAnsi="Times New Roman" w:cs="Times New Roman"/>
          <w:b/>
          <w:bCs/>
          <w:sz w:val="24"/>
          <w:szCs w:val="24"/>
        </w:rPr>
        <w:t>$116 million</w:t>
      </w:r>
      <w:r>
        <w:rPr>
          <w:rFonts w:ascii="Times New Roman" w:hAnsi="Times New Roman" w:cs="Times New Roman"/>
          <w:sz w:val="24"/>
          <w:szCs w:val="24"/>
        </w:rPr>
        <w:t xml:space="preserve">. </w:t>
      </w:r>
      <w:r w:rsidR="00B3524B">
        <w:rPr>
          <w:rFonts w:ascii="Times New Roman" w:hAnsi="Times New Roman" w:cs="Times New Roman"/>
          <w:sz w:val="24"/>
          <w:szCs w:val="24"/>
        </w:rPr>
        <w:t xml:space="preserve">When reviewing the revenue requirement in 2027, there is an increase in 2027 from 2026 in the amount of </w:t>
      </w:r>
      <w:r w:rsidR="00B3524B" w:rsidRPr="007C6F22">
        <w:rPr>
          <w:rFonts w:ascii="Times New Roman" w:hAnsi="Times New Roman" w:cs="Times New Roman"/>
          <w:b/>
          <w:bCs/>
          <w:sz w:val="24"/>
          <w:szCs w:val="24"/>
        </w:rPr>
        <w:t>$</w:t>
      </w:r>
      <w:r w:rsidR="00B3524B">
        <w:rPr>
          <w:rFonts w:ascii="Times New Roman" w:hAnsi="Times New Roman" w:cs="Times New Roman"/>
          <w:b/>
          <w:bCs/>
          <w:sz w:val="24"/>
          <w:szCs w:val="24"/>
        </w:rPr>
        <w:t>17</w:t>
      </w:r>
      <w:r w:rsidR="00B3524B" w:rsidRPr="007C6F22">
        <w:rPr>
          <w:rFonts w:ascii="Times New Roman" w:hAnsi="Times New Roman" w:cs="Times New Roman"/>
          <w:b/>
          <w:bCs/>
          <w:sz w:val="24"/>
          <w:szCs w:val="24"/>
        </w:rPr>
        <w:t xml:space="preserve"> million</w:t>
      </w:r>
      <w:r w:rsidR="00B3524B">
        <w:rPr>
          <w:rFonts w:ascii="Times New Roman" w:hAnsi="Times New Roman" w:cs="Times New Roman"/>
          <w:sz w:val="24"/>
          <w:szCs w:val="24"/>
        </w:rPr>
        <w:t>.</w:t>
      </w:r>
    </w:p>
    <w:p w14:paraId="0D88F858" w14:textId="77777777" w:rsidR="007C6F22" w:rsidRDefault="007C6F22" w:rsidP="000F26E1">
      <w:pPr>
        <w:pStyle w:val="ListParagraph"/>
        <w:spacing w:line="240" w:lineRule="auto"/>
        <w:ind w:left="1800"/>
        <w:rPr>
          <w:rFonts w:ascii="Times New Roman" w:hAnsi="Times New Roman" w:cs="Times New Roman"/>
          <w:sz w:val="24"/>
          <w:szCs w:val="24"/>
        </w:rPr>
      </w:pPr>
    </w:p>
    <w:p w14:paraId="011ED0A9" w14:textId="47394A26" w:rsidR="000F26E1" w:rsidRPr="00B3524B" w:rsidRDefault="00B3524B" w:rsidP="00B3524B">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b/>
          <w:bCs/>
          <w:sz w:val="24"/>
          <w:szCs w:val="24"/>
        </w:rPr>
        <w:t>Attachment-STF-12-9b.1</w:t>
      </w:r>
      <w:r>
        <w:rPr>
          <w:rFonts w:ascii="Times New Roman" w:hAnsi="Times New Roman" w:cs="Times New Roman"/>
          <w:sz w:val="24"/>
          <w:szCs w:val="24"/>
        </w:rPr>
        <w:t xml:space="preserve">, when reviewing the revenue requirement dollar amounts for 2025 – 2027, there is a decrease in 2026 from 2025 in the amount of </w:t>
      </w:r>
      <w:r w:rsidRPr="007C6F22">
        <w:rPr>
          <w:rFonts w:ascii="Times New Roman" w:hAnsi="Times New Roman" w:cs="Times New Roman"/>
          <w:b/>
          <w:bCs/>
          <w:sz w:val="24"/>
          <w:szCs w:val="24"/>
        </w:rPr>
        <w:t>$</w:t>
      </w:r>
      <w:r>
        <w:rPr>
          <w:rFonts w:ascii="Times New Roman" w:hAnsi="Times New Roman" w:cs="Times New Roman"/>
          <w:b/>
          <w:bCs/>
          <w:sz w:val="24"/>
          <w:szCs w:val="24"/>
        </w:rPr>
        <w:t>83.</w:t>
      </w:r>
      <w:r w:rsidR="003B3FA3">
        <w:rPr>
          <w:rFonts w:ascii="Times New Roman" w:hAnsi="Times New Roman" w:cs="Times New Roman"/>
          <w:b/>
          <w:bCs/>
          <w:sz w:val="24"/>
          <w:szCs w:val="24"/>
        </w:rPr>
        <w:t>2</w:t>
      </w:r>
      <w:r w:rsidRPr="007C6F22">
        <w:rPr>
          <w:rFonts w:ascii="Times New Roman" w:hAnsi="Times New Roman" w:cs="Times New Roman"/>
          <w:b/>
          <w:bCs/>
          <w:sz w:val="24"/>
          <w:szCs w:val="24"/>
        </w:rPr>
        <w:t xml:space="preserve"> million</w:t>
      </w:r>
      <w:r>
        <w:rPr>
          <w:rFonts w:ascii="Times New Roman" w:hAnsi="Times New Roman" w:cs="Times New Roman"/>
          <w:sz w:val="24"/>
          <w:szCs w:val="24"/>
        </w:rPr>
        <w:t xml:space="preserve">. When reviewing the revenue requirement in 2027, there is an increase in 2027 from 2026 in the amount of </w:t>
      </w:r>
      <w:r w:rsidRPr="007C6F22">
        <w:rPr>
          <w:rFonts w:ascii="Times New Roman" w:hAnsi="Times New Roman" w:cs="Times New Roman"/>
          <w:b/>
          <w:bCs/>
          <w:sz w:val="24"/>
          <w:szCs w:val="24"/>
        </w:rPr>
        <w:t>$</w:t>
      </w:r>
      <w:r>
        <w:rPr>
          <w:rFonts w:ascii="Times New Roman" w:hAnsi="Times New Roman" w:cs="Times New Roman"/>
          <w:b/>
          <w:bCs/>
          <w:sz w:val="24"/>
          <w:szCs w:val="24"/>
        </w:rPr>
        <w:t>22.5</w:t>
      </w:r>
      <w:r w:rsidRPr="007C6F22">
        <w:rPr>
          <w:rFonts w:ascii="Times New Roman" w:hAnsi="Times New Roman" w:cs="Times New Roman"/>
          <w:b/>
          <w:bCs/>
          <w:sz w:val="24"/>
          <w:szCs w:val="24"/>
        </w:rPr>
        <w:t xml:space="preserve"> million</w:t>
      </w:r>
      <w:r>
        <w:rPr>
          <w:rFonts w:ascii="Times New Roman" w:hAnsi="Times New Roman" w:cs="Times New Roman"/>
          <w:sz w:val="24"/>
          <w:szCs w:val="24"/>
        </w:rPr>
        <w:t>.</w:t>
      </w:r>
    </w:p>
    <w:p w14:paraId="4D8B7631" w14:textId="77777777" w:rsidR="00B3524B" w:rsidRDefault="00B3524B" w:rsidP="000F26E1">
      <w:pPr>
        <w:pStyle w:val="ListParagraph"/>
        <w:spacing w:line="240" w:lineRule="auto"/>
        <w:ind w:left="1800"/>
        <w:rPr>
          <w:rFonts w:ascii="Times New Roman" w:hAnsi="Times New Roman" w:cs="Times New Roman"/>
          <w:sz w:val="24"/>
          <w:szCs w:val="24"/>
        </w:rPr>
      </w:pPr>
    </w:p>
    <w:p w14:paraId="270C71B0" w14:textId="3E9926E6" w:rsidR="009243F0" w:rsidRDefault="009243F0" w:rsidP="009243F0">
      <w:pPr>
        <w:pStyle w:val="ListParagraph"/>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There has been increasing capital spending through 2024 with a proposed larger capital budget for 2025. With the increasing growth in CWIP and Plant Additions, how did AGL calculate a drop in revenue requirements in 2026 from 2025 in both </w:t>
      </w:r>
      <w:r w:rsidRPr="002D1873">
        <w:rPr>
          <w:rFonts w:ascii="Times New Roman" w:hAnsi="Times New Roman" w:cs="Times New Roman"/>
          <w:b/>
          <w:bCs/>
          <w:sz w:val="24"/>
          <w:szCs w:val="24"/>
        </w:rPr>
        <w:t>Figure 5.10.1</w:t>
      </w:r>
      <w:r>
        <w:rPr>
          <w:rFonts w:ascii="Times New Roman" w:hAnsi="Times New Roman" w:cs="Times New Roman"/>
          <w:sz w:val="24"/>
          <w:szCs w:val="24"/>
        </w:rPr>
        <w:t xml:space="preserve"> and </w:t>
      </w:r>
      <w:r w:rsidRPr="002D1873">
        <w:rPr>
          <w:rFonts w:ascii="Times New Roman" w:hAnsi="Times New Roman" w:cs="Times New Roman"/>
          <w:b/>
          <w:bCs/>
          <w:sz w:val="24"/>
          <w:szCs w:val="24"/>
        </w:rPr>
        <w:t>Attachment-STF-12-9b.1</w:t>
      </w:r>
      <w:r>
        <w:rPr>
          <w:rFonts w:ascii="Times New Roman" w:hAnsi="Times New Roman" w:cs="Times New Roman"/>
          <w:sz w:val="24"/>
          <w:szCs w:val="24"/>
        </w:rPr>
        <w:t xml:space="preserve"> with only a slight increase in revenue requirements in 2027 that never get above the projected 2025 levels. </w:t>
      </w:r>
    </w:p>
    <w:p w14:paraId="122F1C69" w14:textId="77777777" w:rsidR="009243F0" w:rsidRDefault="009243F0" w:rsidP="009243F0">
      <w:pPr>
        <w:pStyle w:val="ListParagraph"/>
        <w:spacing w:line="240" w:lineRule="auto"/>
        <w:ind w:left="1800"/>
        <w:rPr>
          <w:rFonts w:ascii="Times New Roman" w:hAnsi="Times New Roman" w:cs="Times New Roman"/>
          <w:sz w:val="24"/>
          <w:szCs w:val="24"/>
        </w:rPr>
      </w:pPr>
    </w:p>
    <w:p w14:paraId="638478C5" w14:textId="3968309C" w:rsidR="000F26E1" w:rsidRPr="009243F0" w:rsidRDefault="009243F0" w:rsidP="009243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Does AGL agree that with increase capital spending through 2025 and increasing O&amp;M costs through 2025, the 2026 and 2027 continued capital spending and increasing O&amp;M will cause revenue requirements for 2026-2027 to be larger than that projected for 2025, without any reductions related to the RTU, current 10% i-CDP reduction, or a Billing Commitment reduction?</w:t>
      </w:r>
    </w:p>
    <w:p w14:paraId="23320FF8" w14:textId="77777777" w:rsidR="00042AE8" w:rsidRDefault="00042AE8" w:rsidP="009243F0">
      <w:pPr>
        <w:spacing w:line="240" w:lineRule="auto"/>
        <w:ind w:left="1800" w:hanging="1440"/>
        <w:rPr>
          <w:rFonts w:ascii="Times New Roman" w:hAnsi="Times New Roman" w:cs="Times New Roman"/>
          <w:sz w:val="24"/>
          <w:szCs w:val="24"/>
        </w:rPr>
      </w:pPr>
    </w:p>
    <w:p w14:paraId="0E690750" w14:textId="4492EE60" w:rsidR="00042AE8" w:rsidRDefault="009243F0" w:rsidP="00DD4741">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STF-20-2</w:t>
      </w:r>
      <w:r>
        <w:rPr>
          <w:rFonts w:ascii="Times New Roman" w:hAnsi="Times New Roman" w:cs="Times New Roman"/>
          <w:sz w:val="24"/>
          <w:szCs w:val="24"/>
        </w:rPr>
        <w:tab/>
        <w:t xml:space="preserve">Regarding the dollar amounts in </w:t>
      </w:r>
      <w:bookmarkStart w:id="1" w:name="_Hlk164613013"/>
      <w:r w:rsidRPr="00042AE8">
        <w:rPr>
          <w:rFonts w:ascii="Times New Roman" w:hAnsi="Times New Roman" w:cs="Times New Roman"/>
          <w:b/>
          <w:bCs/>
          <w:sz w:val="24"/>
          <w:szCs w:val="24"/>
        </w:rPr>
        <w:t>Table-1A</w:t>
      </w:r>
      <w:r>
        <w:rPr>
          <w:rFonts w:ascii="Times New Roman" w:hAnsi="Times New Roman" w:cs="Times New Roman"/>
          <w:sz w:val="24"/>
          <w:szCs w:val="24"/>
        </w:rPr>
        <w:t xml:space="preserve">, </w:t>
      </w:r>
      <w:r w:rsidRPr="002D1873">
        <w:rPr>
          <w:rFonts w:ascii="Times New Roman" w:hAnsi="Times New Roman" w:cs="Times New Roman"/>
          <w:b/>
          <w:bCs/>
          <w:sz w:val="24"/>
          <w:szCs w:val="24"/>
        </w:rPr>
        <w:t>Figure 5.10.1</w:t>
      </w:r>
      <w:r>
        <w:rPr>
          <w:rFonts w:ascii="Times New Roman" w:hAnsi="Times New Roman" w:cs="Times New Roman"/>
          <w:sz w:val="24"/>
          <w:szCs w:val="24"/>
        </w:rPr>
        <w:t xml:space="preserve"> and </w:t>
      </w:r>
      <w:r w:rsidRPr="00042AE8">
        <w:rPr>
          <w:rFonts w:ascii="Times New Roman" w:hAnsi="Times New Roman" w:cs="Times New Roman"/>
          <w:b/>
          <w:bCs/>
          <w:sz w:val="24"/>
          <w:szCs w:val="24"/>
        </w:rPr>
        <w:t>Table-1B</w:t>
      </w:r>
      <w:r>
        <w:rPr>
          <w:rFonts w:ascii="Times New Roman" w:hAnsi="Times New Roman" w:cs="Times New Roman"/>
          <w:sz w:val="24"/>
          <w:szCs w:val="24"/>
        </w:rPr>
        <w:t xml:space="preserve">, </w:t>
      </w:r>
      <w:r w:rsidRPr="002D1873">
        <w:rPr>
          <w:rFonts w:ascii="Times New Roman" w:hAnsi="Times New Roman" w:cs="Times New Roman"/>
          <w:b/>
          <w:bCs/>
          <w:sz w:val="24"/>
          <w:szCs w:val="24"/>
        </w:rPr>
        <w:t>Attachment-STF-12-9b</w:t>
      </w:r>
      <w:bookmarkEnd w:id="1"/>
      <w:r w:rsidRPr="002D1873">
        <w:rPr>
          <w:rFonts w:ascii="Times New Roman" w:hAnsi="Times New Roman" w:cs="Times New Roman"/>
          <w:b/>
          <w:bCs/>
          <w:sz w:val="24"/>
          <w:szCs w:val="24"/>
        </w:rPr>
        <w:t>.1</w:t>
      </w:r>
      <w:r>
        <w:rPr>
          <w:rFonts w:ascii="Times New Roman" w:hAnsi="Times New Roman" w:cs="Times New Roman"/>
          <w:sz w:val="24"/>
          <w:szCs w:val="24"/>
        </w:rPr>
        <w:t xml:space="preserve"> for 2025-2027, </w:t>
      </w:r>
      <w:r w:rsidR="00042AE8">
        <w:rPr>
          <w:rFonts w:ascii="Times New Roman" w:hAnsi="Times New Roman" w:cs="Times New Roman"/>
          <w:sz w:val="24"/>
          <w:szCs w:val="24"/>
        </w:rPr>
        <w:t>how did AGL arrive at very different dollar amounts between the two revenue requirement presentations?</w:t>
      </w:r>
    </w:p>
    <w:p w14:paraId="20C7DE0D" w14:textId="53CFB8A2" w:rsidR="00042AE8" w:rsidRDefault="00042AE8" w:rsidP="00DD4741">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STF-20-3</w:t>
      </w:r>
      <w:r>
        <w:rPr>
          <w:rFonts w:ascii="Times New Roman" w:hAnsi="Times New Roman" w:cs="Times New Roman"/>
          <w:sz w:val="24"/>
          <w:szCs w:val="24"/>
        </w:rPr>
        <w:tab/>
      </w:r>
      <w:r w:rsidR="004D7D78">
        <w:rPr>
          <w:rFonts w:ascii="Times New Roman" w:hAnsi="Times New Roman" w:cs="Times New Roman"/>
          <w:sz w:val="24"/>
          <w:szCs w:val="24"/>
        </w:rPr>
        <w:t>Regarding</w:t>
      </w:r>
      <w:r>
        <w:rPr>
          <w:rFonts w:ascii="Times New Roman" w:hAnsi="Times New Roman" w:cs="Times New Roman"/>
          <w:sz w:val="24"/>
          <w:szCs w:val="24"/>
        </w:rPr>
        <w:t xml:space="preserve"> the revenue requirement numbers in </w:t>
      </w:r>
      <w:r w:rsidRPr="00042AE8">
        <w:rPr>
          <w:rFonts w:ascii="Times New Roman" w:hAnsi="Times New Roman" w:cs="Times New Roman"/>
          <w:b/>
          <w:bCs/>
          <w:sz w:val="24"/>
          <w:szCs w:val="24"/>
        </w:rPr>
        <w:t>Table-1A</w:t>
      </w:r>
      <w:r>
        <w:rPr>
          <w:rFonts w:ascii="Times New Roman" w:hAnsi="Times New Roman" w:cs="Times New Roman"/>
          <w:sz w:val="24"/>
          <w:szCs w:val="24"/>
        </w:rPr>
        <w:t xml:space="preserve">, Figure 5.10.1 and </w:t>
      </w:r>
      <w:r w:rsidRPr="00042AE8">
        <w:rPr>
          <w:rFonts w:ascii="Times New Roman" w:hAnsi="Times New Roman" w:cs="Times New Roman"/>
          <w:b/>
          <w:bCs/>
          <w:sz w:val="24"/>
          <w:szCs w:val="24"/>
        </w:rPr>
        <w:t>Table-1B</w:t>
      </w:r>
      <w:r>
        <w:rPr>
          <w:rFonts w:ascii="Times New Roman" w:hAnsi="Times New Roman" w:cs="Times New Roman"/>
          <w:sz w:val="24"/>
          <w:szCs w:val="24"/>
        </w:rPr>
        <w:t>, Attachment-STF-12-9b for 20</w:t>
      </w:r>
      <w:r w:rsidR="003B3FA3">
        <w:rPr>
          <w:rFonts w:ascii="Times New Roman" w:hAnsi="Times New Roman" w:cs="Times New Roman"/>
          <w:sz w:val="24"/>
          <w:szCs w:val="24"/>
        </w:rPr>
        <w:t>2</w:t>
      </w:r>
      <w:r>
        <w:rPr>
          <w:rFonts w:ascii="Times New Roman" w:hAnsi="Times New Roman" w:cs="Times New Roman"/>
          <w:sz w:val="24"/>
          <w:szCs w:val="24"/>
        </w:rPr>
        <w:t>5 – 2027, did AGL leave out any ratemaking ra</w:t>
      </w:r>
      <w:r w:rsidR="004D7D78">
        <w:rPr>
          <w:rFonts w:ascii="Times New Roman" w:hAnsi="Times New Roman" w:cs="Times New Roman"/>
          <w:sz w:val="24"/>
          <w:szCs w:val="24"/>
        </w:rPr>
        <w:t>t</w:t>
      </w:r>
      <w:r>
        <w:rPr>
          <w:rFonts w:ascii="Times New Roman" w:hAnsi="Times New Roman" w:cs="Times New Roman"/>
          <w:sz w:val="24"/>
          <w:szCs w:val="24"/>
        </w:rPr>
        <w:t>e base components when calculating these dollar amounts that may have contributed to lower revenue requirement dollar amounts, such as Service Company plant, cash working capital, CWIP, or other rate base components?</w:t>
      </w:r>
    </w:p>
    <w:p w14:paraId="74970748" w14:textId="62EAFDEF" w:rsidR="00042AE8" w:rsidRDefault="00042AE8" w:rsidP="00DD4741">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STF-20-4</w:t>
      </w:r>
      <w:r>
        <w:rPr>
          <w:rFonts w:ascii="Times New Roman" w:hAnsi="Times New Roman" w:cs="Times New Roman"/>
          <w:sz w:val="24"/>
          <w:szCs w:val="24"/>
        </w:rPr>
        <w:tab/>
      </w:r>
      <w:r w:rsidR="004D7D78">
        <w:rPr>
          <w:rFonts w:ascii="Times New Roman" w:hAnsi="Times New Roman" w:cs="Times New Roman"/>
          <w:sz w:val="24"/>
          <w:szCs w:val="24"/>
        </w:rPr>
        <w:t>Regarding</w:t>
      </w:r>
      <w:r>
        <w:rPr>
          <w:rFonts w:ascii="Times New Roman" w:hAnsi="Times New Roman" w:cs="Times New Roman"/>
          <w:sz w:val="24"/>
          <w:szCs w:val="24"/>
        </w:rPr>
        <w:t xml:space="preserve"> the revenue requirement numbers in </w:t>
      </w:r>
      <w:r w:rsidRPr="00042AE8">
        <w:rPr>
          <w:rFonts w:ascii="Times New Roman" w:hAnsi="Times New Roman" w:cs="Times New Roman"/>
          <w:b/>
          <w:bCs/>
          <w:sz w:val="24"/>
          <w:szCs w:val="24"/>
        </w:rPr>
        <w:t>Table-1A</w:t>
      </w:r>
      <w:r>
        <w:rPr>
          <w:rFonts w:ascii="Times New Roman" w:hAnsi="Times New Roman" w:cs="Times New Roman"/>
          <w:sz w:val="24"/>
          <w:szCs w:val="24"/>
        </w:rPr>
        <w:t xml:space="preserve">, Figure 5.10.1 and </w:t>
      </w:r>
      <w:r w:rsidRPr="00042AE8">
        <w:rPr>
          <w:rFonts w:ascii="Times New Roman" w:hAnsi="Times New Roman" w:cs="Times New Roman"/>
          <w:b/>
          <w:bCs/>
          <w:sz w:val="24"/>
          <w:szCs w:val="24"/>
        </w:rPr>
        <w:t>Table-1B</w:t>
      </w:r>
      <w:r>
        <w:rPr>
          <w:rFonts w:ascii="Times New Roman" w:hAnsi="Times New Roman" w:cs="Times New Roman"/>
          <w:sz w:val="24"/>
          <w:szCs w:val="24"/>
        </w:rPr>
        <w:t>, Attachment-STF-12-9b for 20</w:t>
      </w:r>
      <w:r w:rsidR="003B3FA3">
        <w:rPr>
          <w:rFonts w:ascii="Times New Roman" w:hAnsi="Times New Roman" w:cs="Times New Roman"/>
          <w:sz w:val="24"/>
          <w:szCs w:val="24"/>
        </w:rPr>
        <w:t>2</w:t>
      </w:r>
      <w:r>
        <w:rPr>
          <w:rFonts w:ascii="Times New Roman" w:hAnsi="Times New Roman" w:cs="Times New Roman"/>
          <w:sz w:val="24"/>
          <w:szCs w:val="24"/>
        </w:rPr>
        <w:t>5 – 2027, did AGL leave out any ratemaking Operating Expense components when calculating these dollar amounts that may have contributed to lower revenue requirements dollar amounts for 2025 - 2027, such as O&amp;M, depreciation expense, taxes other than income, or other operating expense items?</w:t>
      </w:r>
    </w:p>
    <w:p w14:paraId="19E93DBD" w14:textId="77777777" w:rsidR="002D1873" w:rsidRDefault="00B7008E" w:rsidP="00B7008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STF-20-</w:t>
      </w:r>
      <w:r w:rsidR="00042AE8">
        <w:rPr>
          <w:rFonts w:ascii="Times New Roman" w:hAnsi="Times New Roman" w:cs="Times New Roman"/>
          <w:sz w:val="24"/>
          <w:szCs w:val="24"/>
        </w:rPr>
        <w:t>5</w:t>
      </w:r>
      <w:r>
        <w:rPr>
          <w:rFonts w:ascii="Times New Roman" w:hAnsi="Times New Roman" w:cs="Times New Roman"/>
          <w:sz w:val="24"/>
          <w:szCs w:val="24"/>
        </w:rPr>
        <w:tab/>
        <w:t xml:space="preserve">Regarding </w:t>
      </w:r>
      <w:r w:rsidRPr="000E53B9">
        <w:rPr>
          <w:rFonts w:ascii="Times New Roman" w:hAnsi="Times New Roman" w:cs="Times New Roman"/>
          <w:b/>
          <w:bCs/>
          <w:sz w:val="24"/>
          <w:szCs w:val="24"/>
        </w:rPr>
        <w:t>Table-</w:t>
      </w:r>
      <w:r w:rsidR="000E53B9" w:rsidRPr="000E53B9">
        <w:rPr>
          <w:rFonts w:ascii="Times New Roman" w:hAnsi="Times New Roman" w:cs="Times New Roman"/>
          <w:b/>
          <w:bCs/>
          <w:sz w:val="24"/>
          <w:szCs w:val="24"/>
        </w:rPr>
        <w:t>2A</w:t>
      </w:r>
      <w:r>
        <w:rPr>
          <w:rFonts w:ascii="Times New Roman" w:hAnsi="Times New Roman" w:cs="Times New Roman"/>
          <w:sz w:val="24"/>
          <w:szCs w:val="24"/>
        </w:rPr>
        <w:t xml:space="preserve"> below, the Staff has provided the basic budget</w:t>
      </w:r>
      <w:r w:rsidR="00C440EC">
        <w:rPr>
          <w:rFonts w:ascii="Times New Roman" w:hAnsi="Times New Roman" w:cs="Times New Roman"/>
          <w:sz w:val="24"/>
          <w:szCs w:val="24"/>
        </w:rPr>
        <w:t xml:space="preserve"> for GRAM, ECON-1, Cherokee LNG expansion, and SRR related to </w:t>
      </w:r>
      <w:r>
        <w:rPr>
          <w:rFonts w:ascii="Times New Roman" w:hAnsi="Times New Roman" w:cs="Times New Roman"/>
          <w:sz w:val="24"/>
          <w:szCs w:val="24"/>
        </w:rPr>
        <w:t xml:space="preserve">AFUDC, and Overheads for 2025 – 2027. </w:t>
      </w:r>
      <w:r w:rsidR="000E53B9">
        <w:rPr>
          <w:rFonts w:ascii="Times New Roman" w:hAnsi="Times New Roman" w:cs="Times New Roman"/>
          <w:sz w:val="24"/>
          <w:szCs w:val="24"/>
        </w:rPr>
        <w:t xml:space="preserve">In </w:t>
      </w:r>
      <w:r w:rsidR="000E53B9" w:rsidRPr="000E53B9">
        <w:rPr>
          <w:rFonts w:ascii="Times New Roman" w:hAnsi="Times New Roman" w:cs="Times New Roman"/>
          <w:b/>
          <w:bCs/>
          <w:sz w:val="24"/>
          <w:szCs w:val="24"/>
        </w:rPr>
        <w:t>Table-2B</w:t>
      </w:r>
      <w:r w:rsidR="000E53B9">
        <w:rPr>
          <w:rFonts w:ascii="Times New Roman" w:hAnsi="Times New Roman" w:cs="Times New Roman"/>
          <w:sz w:val="24"/>
          <w:szCs w:val="24"/>
        </w:rPr>
        <w:t>, the Staff has provided a variance analysis between AFUDC and Overheads</w:t>
      </w:r>
      <w:r w:rsidR="00C440EC">
        <w:rPr>
          <w:rFonts w:ascii="Times New Roman" w:hAnsi="Times New Roman" w:cs="Times New Roman"/>
          <w:sz w:val="24"/>
          <w:szCs w:val="24"/>
        </w:rPr>
        <w:t xml:space="preserve"> for each category</w:t>
      </w:r>
      <w:r w:rsidR="000E53B9">
        <w:rPr>
          <w:rFonts w:ascii="Times New Roman" w:hAnsi="Times New Roman" w:cs="Times New Roman"/>
          <w:sz w:val="24"/>
          <w:szCs w:val="24"/>
        </w:rPr>
        <w:t xml:space="preserve">. </w:t>
      </w:r>
    </w:p>
    <w:p w14:paraId="483ADB9A" w14:textId="4608B462" w:rsidR="00613601" w:rsidRDefault="000E53B9" w:rsidP="002D1873">
      <w:pPr>
        <w:spacing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What the analysis </w:t>
      </w:r>
      <w:r w:rsidR="002D1873">
        <w:rPr>
          <w:rFonts w:ascii="Times New Roman" w:hAnsi="Times New Roman" w:cs="Times New Roman"/>
          <w:sz w:val="24"/>
          <w:szCs w:val="24"/>
        </w:rPr>
        <w:t>demonstrates</w:t>
      </w:r>
      <w:r>
        <w:rPr>
          <w:rFonts w:ascii="Times New Roman" w:hAnsi="Times New Roman" w:cs="Times New Roman"/>
          <w:sz w:val="24"/>
          <w:szCs w:val="24"/>
        </w:rPr>
        <w:t xml:space="preserve"> is for GRAM, ECON-1, and Cherokee LNG Expansion, the AFUDC is a much lower dollar amount than Overheads. When reviewing the SRR, the AFUDC is much larger than the Overheads. Please answer the following</w:t>
      </w:r>
      <w:r w:rsidR="004D7D78">
        <w:rPr>
          <w:rFonts w:ascii="Times New Roman" w:hAnsi="Times New Roman" w:cs="Times New Roman"/>
          <w:sz w:val="24"/>
          <w:szCs w:val="24"/>
        </w:rPr>
        <w:t>:</w:t>
      </w:r>
    </w:p>
    <w:p w14:paraId="5272AE17" w14:textId="77777777" w:rsidR="002D1873" w:rsidRDefault="00C33FC9" w:rsidP="002D1873">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a separate Excel spreadsheet</w:t>
      </w:r>
      <w:r w:rsidR="004D7D78">
        <w:rPr>
          <w:rFonts w:ascii="Times New Roman" w:hAnsi="Times New Roman" w:cs="Times New Roman"/>
          <w:sz w:val="24"/>
          <w:szCs w:val="24"/>
        </w:rPr>
        <w:t>,</w:t>
      </w:r>
      <w:r>
        <w:rPr>
          <w:rFonts w:ascii="Times New Roman" w:hAnsi="Times New Roman" w:cs="Times New Roman"/>
          <w:sz w:val="24"/>
          <w:szCs w:val="24"/>
        </w:rPr>
        <w:t xml:space="preserve"> </w:t>
      </w:r>
      <w:r w:rsidR="004D7D78">
        <w:rPr>
          <w:rFonts w:ascii="Times New Roman" w:hAnsi="Times New Roman" w:cs="Times New Roman"/>
          <w:sz w:val="24"/>
          <w:szCs w:val="24"/>
        </w:rPr>
        <w:t xml:space="preserve">please </w:t>
      </w:r>
      <w:r>
        <w:rPr>
          <w:rFonts w:ascii="Times New Roman" w:hAnsi="Times New Roman" w:cs="Times New Roman"/>
          <w:sz w:val="24"/>
          <w:szCs w:val="24"/>
        </w:rPr>
        <w:t xml:space="preserve">provide how </w:t>
      </w:r>
      <w:r w:rsidR="000E53B9">
        <w:rPr>
          <w:rFonts w:ascii="Times New Roman" w:hAnsi="Times New Roman" w:cs="Times New Roman"/>
          <w:sz w:val="24"/>
          <w:szCs w:val="24"/>
        </w:rPr>
        <w:t>AGL calculate</w:t>
      </w:r>
      <w:r>
        <w:rPr>
          <w:rFonts w:ascii="Times New Roman" w:hAnsi="Times New Roman" w:cs="Times New Roman"/>
          <w:sz w:val="24"/>
          <w:szCs w:val="24"/>
        </w:rPr>
        <w:t>d</w:t>
      </w:r>
      <w:r w:rsidR="000E53B9">
        <w:rPr>
          <w:rFonts w:ascii="Times New Roman" w:hAnsi="Times New Roman" w:cs="Times New Roman"/>
          <w:sz w:val="24"/>
          <w:szCs w:val="24"/>
        </w:rPr>
        <w:t xml:space="preserve"> the AFUDC and Overheads for GRAM</w:t>
      </w:r>
      <w:r w:rsidR="00E94FB6">
        <w:rPr>
          <w:rFonts w:ascii="Times New Roman" w:hAnsi="Times New Roman" w:cs="Times New Roman"/>
          <w:sz w:val="24"/>
          <w:szCs w:val="24"/>
        </w:rPr>
        <w:t>.</w:t>
      </w:r>
    </w:p>
    <w:p w14:paraId="14CE1E12" w14:textId="77777777" w:rsidR="002D1873" w:rsidRDefault="002D1873" w:rsidP="002D1873">
      <w:pPr>
        <w:pStyle w:val="ListParagraph"/>
        <w:spacing w:line="240" w:lineRule="auto"/>
        <w:ind w:left="1800"/>
        <w:rPr>
          <w:rFonts w:ascii="Times New Roman" w:hAnsi="Times New Roman" w:cs="Times New Roman"/>
          <w:sz w:val="24"/>
          <w:szCs w:val="24"/>
        </w:rPr>
      </w:pPr>
    </w:p>
    <w:p w14:paraId="2220A879" w14:textId="148D8904" w:rsidR="00C33FC9" w:rsidRPr="002D1873" w:rsidRDefault="00C33FC9" w:rsidP="002D1873">
      <w:pPr>
        <w:pStyle w:val="ListParagraph"/>
        <w:numPr>
          <w:ilvl w:val="0"/>
          <w:numId w:val="4"/>
        </w:numPr>
        <w:spacing w:line="240" w:lineRule="auto"/>
        <w:rPr>
          <w:rFonts w:ascii="Times New Roman" w:hAnsi="Times New Roman" w:cs="Times New Roman"/>
          <w:sz w:val="24"/>
          <w:szCs w:val="24"/>
        </w:rPr>
      </w:pPr>
      <w:r w:rsidRPr="002D1873">
        <w:rPr>
          <w:rFonts w:ascii="Times New Roman" w:hAnsi="Times New Roman" w:cs="Times New Roman"/>
          <w:sz w:val="24"/>
          <w:szCs w:val="24"/>
        </w:rPr>
        <w:t>In a separate Excel spreadsheet</w:t>
      </w:r>
      <w:r w:rsidR="004D7D78" w:rsidRPr="002D1873">
        <w:rPr>
          <w:rFonts w:ascii="Times New Roman" w:hAnsi="Times New Roman" w:cs="Times New Roman"/>
          <w:sz w:val="24"/>
          <w:szCs w:val="24"/>
        </w:rPr>
        <w:t>,</w:t>
      </w:r>
      <w:r w:rsidRPr="002D1873">
        <w:rPr>
          <w:rFonts w:ascii="Times New Roman" w:hAnsi="Times New Roman" w:cs="Times New Roman"/>
          <w:sz w:val="24"/>
          <w:szCs w:val="24"/>
        </w:rPr>
        <w:t xml:space="preserve"> </w:t>
      </w:r>
      <w:r w:rsidR="004D7D78" w:rsidRPr="002D1873">
        <w:rPr>
          <w:rFonts w:ascii="Times New Roman" w:hAnsi="Times New Roman" w:cs="Times New Roman"/>
          <w:sz w:val="24"/>
          <w:szCs w:val="24"/>
        </w:rPr>
        <w:t xml:space="preserve">please </w:t>
      </w:r>
      <w:r w:rsidRPr="002D1873">
        <w:rPr>
          <w:rFonts w:ascii="Times New Roman" w:hAnsi="Times New Roman" w:cs="Times New Roman"/>
          <w:sz w:val="24"/>
          <w:szCs w:val="24"/>
        </w:rPr>
        <w:t>provide how AGL calculated the AFUDC and Overheads for ECON-1</w:t>
      </w:r>
      <w:r w:rsidR="004D7D78" w:rsidRPr="002D1873">
        <w:rPr>
          <w:rFonts w:ascii="Times New Roman" w:hAnsi="Times New Roman" w:cs="Times New Roman"/>
          <w:sz w:val="24"/>
          <w:szCs w:val="24"/>
        </w:rPr>
        <w:t>.</w:t>
      </w:r>
    </w:p>
    <w:p w14:paraId="1DFE5908" w14:textId="77777777" w:rsidR="002D1873" w:rsidRDefault="002D1873" w:rsidP="002D1873">
      <w:pPr>
        <w:pStyle w:val="ListParagraph"/>
        <w:spacing w:line="240" w:lineRule="auto"/>
        <w:ind w:left="1800"/>
        <w:rPr>
          <w:rFonts w:ascii="Times New Roman" w:hAnsi="Times New Roman" w:cs="Times New Roman"/>
          <w:sz w:val="24"/>
          <w:szCs w:val="24"/>
        </w:rPr>
      </w:pPr>
    </w:p>
    <w:p w14:paraId="0169F002" w14:textId="4264542F" w:rsidR="00C33FC9" w:rsidRDefault="00C33FC9" w:rsidP="00C33FC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a separate Excel spreadsheet</w:t>
      </w:r>
      <w:r w:rsidR="004D7D78">
        <w:rPr>
          <w:rFonts w:ascii="Times New Roman" w:hAnsi="Times New Roman" w:cs="Times New Roman"/>
          <w:sz w:val="24"/>
          <w:szCs w:val="24"/>
        </w:rPr>
        <w:t>,</w:t>
      </w:r>
      <w:r>
        <w:rPr>
          <w:rFonts w:ascii="Times New Roman" w:hAnsi="Times New Roman" w:cs="Times New Roman"/>
          <w:sz w:val="24"/>
          <w:szCs w:val="24"/>
        </w:rPr>
        <w:t xml:space="preserve"> </w:t>
      </w:r>
      <w:r w:rsidR="004D7D78">
        <w:rPr>
          <w:rFonts w:ascii="Times New Roman" w:hAnsi="Times New Roman" w:cs="Times New Roman"/>
          <w:sz w:val="24"/>
          <w:szCs w:val="24"/>
        </w:rPr>
        <w:t xml:space="preserve">please </w:t>
      </w:r>
      <w:r>
        <w:rPr>
          <w:rFonts w:ascii="Times New Roman" w:hAnsi="Times New Roman" w:cs="Times New Roman"/>
          <w:sz w:val="24"/>
          <w:szCs w:val="24"/>
        </w:rPr>
        <w:t>provide how AGL calculated the AFUDC and Overheads for Cherokee</w:t>
      </w:r>
      <w:r w:rsidR="004D7D78">
        <w:rPr>
          <w:rFonts w:ascii="Times New Roman" w:hAnsi="Times New Roman" w:cs="Times New Roman"/>
          <w:sz w:val="24"/>
          <w:szCs w:val="24"/>
        </w:rPr>
        <w:t>.</w:t>
      </w:r>
    </w:p>
    <w:p w14:paraId="4A0D8C50" w14:textId="77777777" w:rsidR="00C33FC9" w:rsidRDefault="00C33FC9" w:rsidP="00C33FC9">
      <w:pPr>
        <w:pStyle w:val="ListParagraph"/>
        <w:spacing w:line="240" w:lineRule="auto"/>
        <w:ind w:left="1800"/>
        <w:rPr>
          <w:rFonts w:ascii="Times New Roman" w:hAnsi="Times New Roman" w:cs="Times New Roman"/>
          <w:sz w:val="24"/>
          <w:szCs w:val="24"/>
        </w:rPr>
      </w:pPr>
    </w:p>
    <w:p w14:paraId="558532AD" w14:textId="2C8179D1" w:rsidR="00C33FC9" w:rsidRDefault="00C33FC9" w:rsidP="00C33FC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a separate Excel spreadsheet</w:t>
      </w:r>
      <w:r w:rsidR="004D7D78">
        <w:rPr>
          <w:rFonts w:ascii="Times New Roman" w:hAnsi="Times New Roman" w:cs="Times New Roman"/>
          <w:sz w:val="24"/>
          <w:szCs w:val="24"/>
        </w:rPr>
        <w:t>,</w:t>
      </w:r>
      <w:r>
        <w:rPr>
          <w:rFonts w:ascii="Times New Roman" w:hAnsi="Times New Roman" w:cs="Times New Roman"/>
          <w:sz w:val="24"/>
          <w:szCs w:val="24"/>
        </w:rPr>
        <w:t xml:space="preserve"> </w:t>
      </w:r>
      <w:r w:rsidR="004D7D78">
        <w:rPr>
          <w:rFonts w:ascii="Times New Roman" w:hAnsi="Times New Roman" w:cs="Times New Roman"/>
          <w:sz w:val="24"/>
          <w:szCs w:val="24"/>
        </w:rPr>
        <w:t xml:space="preserve">please </w:t>
      </w:r>
      <w:r>
        <w:rPr>
          <w:rFonts w:ascii="Times New Roman" w:hAnsi="Times New Roman" w:cs="Times New Roman"/>
          <w:sz w:val="24"/>
          <w:szCs w:val="24"/>
        </w:rPr>
        <w:t>provide how AGL calculated the AFUDC and Overheads for the SRR</w:t>
      </w:r>
      <w:r w:rsidR="004D7D78">
        <w:rPr>
          <w:rFonts w:ascii="Times New Roman" w:hAnsi="Times New Roman" w:cs="Times New Roman"/>
          <w:sz w:val="24"/>
          <w:szCs w:val="24"/>
        </w:rPr>
        <w:t>.</w:t>
      </w:r>
    </w:p>
    <w:p w14:paraId="50A35939" w14:textId="77777777" w:rsidR="00C33FC9" w:rsidRDefault="00C33FC9" w:rsidP="00C33FC9">
      <w:pPr>
        <w:pStyle w:val="ListParagraph"/>
        <w:spacing w:line="240" w:lineRule="auto"/>
        <w:ind w:left="1800"/>
        <w:rPr>
          <w:rFonts w:ascii="Times New Roman" w:hAnsi="Times New Roman" w:cs="Times New Roman"/>
          <w:sz w:val="24"/>
          <w:szCs w:val="24"/>
        </w:rPr>
      </w:pPr>
    </w:p>
    <w:p w14:paraId="76C0BCA2" w14:textId="1BFE7425" w:rsidR="00B7008E" w:rsidRDefault="00C33FC9" w:rsidP="0061360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As part of the calculation process, please explain how AFUDC is much lower than that of GRAM, ECON-1, and Cherokee when it is all the same type of capital spending.</w:t>
      </w:r>
    </w:p>
    <w:p w14:paraId="655DD56B" w14:textId="77777777" w:rsidR="00C440EC" w:rsidRPr="00C440EC" w:rsidRDefault="00C440EC" w:rsidP="00C440EC">
      <w:pPr>
        <w:pStyle w:val="ListParagraph"/>
        <w:rPr>
          <w:rFonts w:ascii="Times New Roman" w:hAnsi="Times New Roman" w:cs="Times New Roman"/>
          <w:sz w:val="24"/>
          <w:szCs w:val="24"/>
        </w:rPr>
      </w:pPr>
    </w:p>
    <w:p w14:paraId="311037E4" w14:textId="77777777" w:rsidR="00C440EC" w:rsidRDefault="00C440EC" w:rsidP="00C440E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As capital spending on construction projects increases, CWIP increases, and as a result, AFUDC increases. Why do AFUDC calculations show much lower dollar amounts than Overheads.</w:t>
      </w:r>
    </w:p>
    <w:p w14:paraId="563CEC69" w14:textId="77777777" w:rsidR="00C440EC" w:rsidRPr="00C440EC" w:rsidRDefault="00C440EC" w:rsidP="00C440EC">
      <w:pPr>
        <w:pStyle w:val="ListParagraph"/>
        <w:rPr>
          <w:rFonts w:ascii="Times New Roman" w:hAnsi="Times New Roman" w:cs="Times New Roman"/>
          <w:sz w:val="24"/>
          <w:szCs w:val="24"/>
        </w:rPr>
      </w:pPr>
    </w:p>
    <w:p w14:paraId="0B12A558" w14:textId="41AA4619" w:rsidR="00C440EC" w:rsidRPr="00C440EC" w:rsidRDefault="004D7D78" w:rsidP="00C440E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Please explain w</w:t>
      </w:r>
      <w:r w:rsidR="00C440EC">
        <w:rPr>
          <w:rFonts w:ascii="Times New Roman" w:hAnsi="Times New Roman" w:cs="Times New Roman"/>
          <w:sz w:val="24"/>
          <w:szCs w:val="24"/>
        </w:rPr>
        <w:t>hat is driving Overheads to increase beyond that of AFUDC</w:t>
      </w:r>
      <w:r>
        <w:rPr>
          <w:rFonts w:ascii="Times New Roman" w:hAnsi="Times New Roman" w:cs="Times New Roman"/>
          <w:sz w:val="24"/>
          <w:szCs w:val="24"/>
        </w:rPr>
        <w:t>.</w:t>
      </w:r>
    </w:p>
    <w:p w14:paraId="255620E7" w14:textId="77777777" w:rsidR="00C440EC" w:rsidRDefault="00C440EC" w:rsidP="00613601">
      <w:pPr>
        <w:spacing w:line="240" w:lineRule="auto"/>
        <w:rPr>
          <w:rFonts w:ascii="Times New Roman" w:hAnsi="Times New Roman" w:cs="Times New Roman"/>
          <w:b/>
          <w:bCs/>
          <w:sz w:val="24"/>
          <w:szCs w:val="24"/>
        </w:rPr>
      </w:pPr>
    </w:p>
    <w:p w14:paraId="67FA2A66" w14:textId="77777777" w:rsidR="00C440EC" w:rsidRDefault="00C440EC" w:rsidP="00613601">
      <w:pPr>
        <w:spacing w:line="240" w:lineRule="auto"/>
        <w:rPr>
          <w:rFonts w:ascii="Times New Roman" w:hAnsi="Times New Roman" w:cs="Times New Roman"/>
          <w:b/>
          <w:bCs/>
          <w:sz w:val="24"/>
          <w:szCs w:val="24"/>
        </w:rPr>
      </w:pPr>
    </w:p>
    <w:p w14:paraId="4D8423FB" w14:textId="77777777" w:rsidR="00C440EC" w:rsidRDefault="00C440EC" w:rsidP="00613601">
      <w:pPr>
        <w:spacing w:line="240" w:lineRule="auto"/>
        <w:rPr>
          <w:rFonts w:ascii="Times New Roman" w:hAnsi="Times New Roman" w:cs="Times New Roman"/>
          <w:b/>
          <w:bCs/>
          <w:sz w:val="24"/>
          <w:szCs w:val="24"/>
        </w:rPr>
      </w:pPr>
    </w:p>
    <w:p w14:paraId="0363F0AF" w14:textId="77777777" w:rsidR="00C440EC" w:rsidRDefault="00C440EC" w:rsidP="00613601">
      <w:pPr>
        <w:spacing w:line="240" w:lineRule="auto"/>
        <w:rPr>
          <w:rFonts w:ascii="Times New Roman" w:hAnsi="Times New Roman" w:cs="Times New Roman"/>
          <w:b/>
          <w:bCs/>
          <w:sz w:val="24"/>
          <w:szCs w:val="24"/>
        </w:rPr>
      </w:pPr>
    </w:p>
    <w:p w14:paraId="40FFADC8" w14:textId="77777777" w:rsidR="00C440EC" w:rsidRDefault="00C440EC" w:rsidP="00613601">
      <w:pPr>
        <w:spacing w:line="240" w:lineRule="auto"/>
        <w:rPr>
          <w:rFonts w:ascii="Times New Roman" w:hAnsi="Times New Roman" w:cs="Times New Roman"/>
          <w:b/>
          <w:bCs/>
          <w:sz w:val="24"/>
          <w:szCs w:val="24"/>
        </w:rPr>
      </w:pPr>
    </w:p>
    <w:p w14:paraId="351B043F" w14:textId="77777777" w:rsidR="00C440EC" w:rsidRDefault="00C440EC" w:rsidP="00613601">
      <w:pPr>
        <w:spacing w:line="240" w:lineRule="auto"/>
        <w:rPr>
          <w:rFonts w:ascii="Times New Roman" w:hAnsi="Times New Roman" w:cs="Times New Roman"/>
          <w:b/>
          <w:bCs/>
          <w:sz w:val="24"/>
          <w:szCs w:val="24"/>
        </w:rPr>
      </w:pPr>
    </w:p>
    <w:p w14:paraId="223C7132" w14:textId="77777777" w:rsidR="00DD4741" w:rsidRDefault="00DD4741" w:rsidP="00613601">
      <w:pPr>
        <w:spacing w:line="240" w:lineRule="auto"/>
        <w:rPr>
          <w:rFonts w:ascii="Times New Roman" w:hAnsi="Times New Roman" w:cs="Times New Roman"/>
          <w:b/>
          <w:bCs/>
          <w:sz w:val="24"/>
          <w:szCs w:val="24"/>
        </w:rPr>
      </w:pPr>
    </w:p>
    <w:p w14:paraId="42D651E7" w14:textId="77777777" w:rsidR="00DD4741" w:rsidRDefault="00DD4741" w:rsidP="00613601">
      <w:pPr>
        <w:spacing w:line="240" w:lineRule="auto"/>
        <w:rPr>
          <w:rFonts w:ascii="Times New Roman" w:hAnsi="Times New Roman" w:cs="Times New Roman"/>
          <w:b/>
          <w:bCs/>
          <w:sz w:val="24"/>
          <w:szCs w:val="24"/>
        </w:rPr>
      </w:pPr>
    </w:p>
    <w:p w14:paraId="29C2FC8C" w14:textId="77777777" w:rsidR="00DD4741" w:rsidRDefault="00DD4741" w:rsidP="00613601">
      <w:pPr>
        <w:spacing w:line="240" w:lineRule="auto"/>
        <w:rPr>
          <w:rFonts w:ascii="Times New Roman" w:hAnsi="Times New Roman" w:cs="Times New Roman"/>
          <w:b/>
          <w:bCs/>
          <w:sz w:val="24"/>
          <w:szCs w:val="24"/>
        </w:rPr>
      </w:pPr>
    </w:p>
    <w:p w14:paraId="7F0D6337" w14:textId="77777777" w:rsidR="002D1873" w:rsidRDefault="002D1873" w:rsidP="00613601">
      <w:pPr>
        <w:spacing w:line="240" w:lineRule="auto"/>
        <w:rPr>
          <w:rFonts w:ascii="Times New Roman" w:hAnsi="Times New Roman" w:cs="Times New Roman"/>
          <w:b/>
          <w:bCs/>
          <w:sz w:val="24"/>
          <w:szCs w:val="24"/>
        </w:rPr>
      </w:pPr>
    </w:p>
    <w:p w14:paraId="163504E1" w14:textId="77777777" w:rsidR="002D1873" w:rsidRDefault="002D1873" w:rsidP="00613601">
      <w:pPr>
        <w:spacing w:line="240" w:lineRule="auto"/>
        <w:rPr>
          <w:rFonts w:ascii="Times New Roman" w:hAnsi="Times New Roman" w:cs="Times New Roman"/>
          <w:b/>
          <w:bCs/>
          <w:sz w:val="24"/>
          <w:szCs w:val="24"/>
        </w:rPr>
      </w:pPr>
    </w:p>
    <w:p w14:paraId="71EBCA2C" w14:textId="77777777" w:rsidR="002D1873" w:rsidRDefault="002D1873" w:rsidP="00613601">
      <w:pPr>
        <w:spacing w:line="240" w:lineRule="auto"/>
        <w:rPr>
          <w:rFonts w:ascii="Times New Roman" w:hAnsi="Times New Roman" w:cs="Times New Roman"/>
          <w:b/>
          <w:bCs/>
          <w:sz w:val="24"/>
          <w:szCs w:val="24"/>
        </w:rPr>
      </w:pPr>
    </w:p>
    <w:p w14:paraId="4B54BC7E" w14:textId="0B08F6AC" w:rsidR="00B7008E" w:rsidRPr="00B7008E" w:rsidRDefault="00B7008E" w:rsidP="00613601">
      <w:pPr>
        <w:spacing w:line="240" w:lineRule="auto"/>
        <w:rPr>
          <w:rFonts w:ascii="Times New Roman" w:hAnsi="Times New Roman" w:cs="Times New Roman"/>
          <w:b/>
          <w:bCs/>
          <w:sz w:val="24"/>
          <w:szCs w:val="24"/>
        </w:rPr>
      </w:pPr>
      <w:r w:rsidRPr="00B7008E">
        <w:rPr>
          <w:rFonts w:ascii="Times New Roman" w:hAnsi="Times New Roman" w:cs="Times New Roman"/>
          <w:b/>
          <w:bCs/>
          <w:sz w:val="24"/>
          <w:szCs w:val="24"/>
        </w:rPr>
        <w:lastRenderedPageBreak/>
        <w:t>Table-</w:t>
      </w:r>
      <w:r w:rsidR="000E53B9">
        <w:rPr>
          <w:rFonts w:ascii="Times New Roman" w:hAnsi="Times New Roman" w:cs="Times New Roman"/>
          <w:b/>
          <w:bCs/>
          <w:sz w:val="24"/>
          <w:szCs w:val="24"/>
        </w:rPr>
        <w:t>2A</w:t>
      </w:r>
      <w:r w:rsidRPr="00B7008E">
        <w:rPr>
          <w:rFonts w:ascii="Times New Roman" w:hAnsi="Times New Roman" w:cs="Times New Roman"/>
          <w:b/>
          <w:bCs/>
          <w:sz w:val="24"/>
          <w:szCs w:val="24"/>
        </w:rPr>
        <w:t>: AGL’s Proposed Capital Budgets 2025 - 2027</w:t>
      </w:r>
    </w:p>
    <w:p w14:paraId="2541EA50" w14:textId="4C3B9D23" w:rsidR="000E53B9" w:rsidRDefault="00B7008E" w:rsidP="00AD6721">
      <w:pPr>
        <w:spacing w:line="240" w:lineRule="auto"/>
        <w:rPr>
          <w:rFonts w:ascii="Times New Roman" w:hAnsi="Times New Roman" w:cs="Times New Roman"/>
          <w:sz w:val="24"/>
          <w:szCs w:val="24"/>
        </w:rPr>
      </w:pPr>
      <w:r w:rsidRPr="00B7008E">
        <w:rPr>
          <w:rFonts w:ascii="Times New Roman" w:hAnsi="Times New Roman" w:cs="Times New Roman"/>
          <w:noProof/>
          <w:sz w:val="24"/>
          <w:szCs w:val="24"/>
        </w:rPr>
        <w:drawing>
          <wp:inline distT="0" distB="0" distL="0" distR="0" wp14:anchorId="7A2A472F" wp14:editId="6F2A66AA">
            <wp:extent cx="6050280" cy="5676900"/>
            <wp:effectExtent l="0" t="0" r="7620" b="0"/>
            <wp:docPr id="1251979493"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79493" name="Picture 1" descr="Table&#10;&#10;Description automatically generated"/>
                    <pic:cNvPicPr/>
                  </pic:nvPicPr>
                  <pic:blipFill>
                    <a:blip r:embed="rId8"/>
                    <a:stretch>
                      <a:fillRect/>
                    </a:stretch>
                  </pic:blipFill>
                  <pic:spPr>
                    <a:xfrm>
                      <a:off x="0" y="0"/>
                      <a:ext cx="6067376" cy="5692941"/>
                    </a:xfrm>
                    <a:prstGeom prst="rect">
                      <a:avLst/>
                    </a:prstGeom>
                  </pic:spPr>
                </pic:pic>
              </a:graphicData>
            </a:graphic>
          </wp:inline>
        </w:drawing>
      </w:r>
    </w:p>
    <w:p w14:paraId="6E6F5A92" w14:textId="77777777" w:rsidR="002D1873" w:rsidRDefault="002D1873" w:rsidP="00AD6721">
      <w:pPr>
        <w:spacing w:line="240" w:lineRule="auto"/>
        <w:contextualSpacing/>
        <w:rPr>
          <w:rFonts w:ascii="Times New Roman" w:hAnsi="Times New Roman" w:cs="Times New Roman"/>
          <w:b/>
          <w:bCs/>
          <w:sz w:val="24"/>
          <w:szCs w:val="24"/>
        </w:rPr>
      </w:pPr>
    </w:p>
    <w:p w14:paraId="335856AC" w14:textId="77777777" w:rsidR="002D1873" w:rsidRDefault="002D1873" w:rsidP="00AD6721">
      <w:pPr>
        <w:spacing w:line="240" w:lineRule="auto"/>
        <w:contextualSpacing/>
        <w:rPr>
          <w:rFonts w:ascii="Times New Roman" w:hAnsi="Times New Roman" w:cs="Times New Roman"/>
          <w:b/>
          <w:bCs/>
          <w:sz w:val="24"/>
          <w:szCs w:val="24"/>
        </w:rPr>
      </w:pPr>
    </w:p>
    <w:p w14:paraId="619BF749" w14:textId="77777777" w:rsidR="002D1873" w:rsidRDefault="002D1873" w:rsidP="00AD6721">
      <w:pPr>
        <w:spacing w:line="240" w:lineRule="auto"/>
        <w:contextualSpacing/>
        <w:rPr>
          <w:rFonts w:ascii="Times New Roman" w:hAnsi="Times New Roman" w:cs="Times New Roman"/>
          <w:b/>
          <w:bCs/>
          <w:sz w:val="24"/>
          <w:szCs w:val="24"/>
        </w:rPr>
      </w:pPr>
    </w:p>
    <w:p w14:paraId="0EE970CF" w14:textId="77777777" w:rsidR="002D1873" w:rsidRDefault="002D1873" w:rsidP="00AD6721">
      <w:pPr>
        <w:spacing w:line="240" w:lineRule="auto"/>
        <w:contextualSpacing/>
        <w:rPr>
          <w:rFonts w:ascii="Times New Roman" w:hAnsi="Times New Roman" w:cs="Times New Roman"/>
          <w:b/>
          <w:bCs/>
          <w:sz w:val="24"/>
          <w:szCs w:val="24"/>
        </w:rPr>
      </w:pPr>
    </w:p>
    <w:p w14:paraId="162BD12F" w14:textId="77777777" w:rsidR="002D1873" w:rsidRDefault="002D1873" w:rsidP="00AD6721">
      <w:pPr>
        <w:spacing w:line="240" w:lineRule="auto"/>
        <w:contextualSpacing/>
        <w:rPr>
          <w:rFonts w:ascii="Times New Roman" w:hAnsi="Times New Roman" w:cs="Times New Roman"/>
          <w:b/>
          <w:bCs/>
          <w:sz w:val="24"/>
          <w:szCs w:val="24"/>
        </w:rPr>
      </w:pPr>
    </w:p>
    <w:p w14:paraId="11BA2070" w14:textId="77777777" w:rsidR="002D1873" w:rsidRDefault="002D1873" w:rsidP="00AD6721">
      <w:pPr>
        <w:spacing w:line="240" w:lineRule="auto"/>
        <w:contextualSpacing/>
        <w:rPr>
          <w:rFonts w:ascii="Times New Roman" w:hAnsi="Times New Roman" w:cs="Times New Roman"/>
          <w:b/>
          <w:bCs/>
          <w:sz w:val="24"/>
          <w:szCs w:val="24"/>
        </w:rPr>
      </w:pPr>
    </w:p>
    <w:p w14:paraId="0CC008BB" w14:textId="77777777" w:rsidR="002D1873" w:rsidRDefault="002D1873" w:rsidP="00AD6721">
      <w:pPr>
        <w:spacing w:line="240" w:lineRule="auto"/>
        <w:contextualSpacing/>
        <w:rPr>
          <w:rFonts w:ascii="Times New Roman" w:hAnsi="Times New Roman" w:cs="Times New Roman"/>
          <w:b/>
          <w:bCs/>
          <w:sz w:val="24"/>
          <w:szCs w:val="24"/>
        </w:rPr>
      </w:pPr>
    </w:p>
    <w:p w14:paraId="466D9AE9" w14:textId="77777777" w:rsidR="002D1873" w:rsidRDefault="002D1873" w:rsidP="00AD6721">
      <w:pPr>
        <w:spacing w:line="240" w:lineRule="auto"/>
        <w:contextualSpacing/>
        <w:rPr>
          <w:rFonts w:ascii="Times New Roman" w:hAnsi="Times New Roman" w:cs="Times New Roman"/>
          <w:b/>
          <w:bCs/>
          <w:sz w:val="24"/>
          <w:szCs w:val="24"/>
        </w:rPr>
      </w:pPr>
    </w:p>
    <w:p w14:paraId="2E06F398" w14:textId="77777777" w:rsidR="002D1873" w:rsidRDefault="002D1873" w:rsidP="00AD6721">
      <w:pPr>
        <w:spacing w:line="240" w:lineRule="auto"/>
        <w:contextualSpacing/>
        <w:rPr>
          <w:rFonts w:ascii="Times New Roman" w:hAnsi="Times New Roman" w:cs="Times New Roman"/>
          <w:b/>
          <w:bCs/>
          <w:sz w:val="24"/>
          <w:szCs w:val="24"/>
        </w:rPr>
      </w:pPr>
    </w:p>
    <w:p w14:paraId="4EFC8493" w14:textId="77777777" w:rsidR="002D1873" w:rsidRDefault="002D1873" w:rsidP="00AD6721">
      <w:pPr>
        <w:spacing w:line="240" w:lineRule="auto"/>
        <w:contextualSpacing/>
        <w:rPr>
          <w:rFonts w:ascii="Times New Roman" w:hAnsi="Times New Roman" w:cs="Times New Roman"/>
          <w:b/>
          <w:bCs/>
          <w:sz w:val="24"/>
          <w:szCs w:val="24"/>
        </w:rPr>
      </w:pPr>
    </w:p>
    <w:p w14:paraId="125837C4" w14:textId="77777777" w:rsidR="002D1873" w:rsidRDefault="002D1873" w:rsidP="00AD6721">
      <w:pPr>
        <w:spacing w:line="240" w:lineRule="auto"/>
        <w:contextualSpacing/>
        <w:rPr>
          <w:rFonts w:ascii="Times New Roman" w:hAnsi="Times New Roman" w:cs="Times New Roman"/>
          <w:b/>
          <w:bCs/>
          <w:sz w:val="24"/>
          <w:szCs w:val="24"/>
        </w:rPr>
      </w:pPr>
    </w:p>
    <w:p w14:paraId="196E9594" w14:textId="77777777" w:rsidR="002D1873" w:rsidRDefault="002D1873" w:rsidP="00AD6721">
      <w:pPr>
        <w:spacing w:line="240" w:lineRule="auto"/>
        <w:contextualSpacing/>
        <w:rPr>
          <w:rFonts w:ascii="Times New Roman" w:hAnsi="Times New Roman" w:cs="Times New Roman"/>
          <w:b/>
          <w:bCs/>
          <w:sz w:val="24"/>
          <w:szCs w:val="24"/>
        </w:rPr>
      </w:pPr>
    </w:p>
    <w:p w14:paraId="1ED2FD43" w14:textId="426D1EF0" w:rsidR="000E53B9" w:rsidRPr="000E53B9" w:rsidRDefault="000E53B9" w:rsidP="00AD6721">
      <w:pPr>
        <w:spacing w:line="240" w:lineRule="auto"/>
        <w:contextualSpacing/>
        <w:rPr>
          <w:rFonts w:ascii="Times New Roman" w:hAnsi="Times New Roman" w:cs="Times New Roman"/>
          <w:b/>
          <w:bCs/>
          <w:sz w:val="24"/>
          <w:szCs w:val="24"/>
        </w:rPr>
      </w:pPr>
      <w:r w:rsidRPr="000E53B9">
        <w:rPr>
          <w:rFonts w:ascii="Times New Roman" w:hAnsi="Times New Roman" w:cs="Times New Roman"/>
          <w:b/>
          <w:bCs/>
          <w:sz w:val="24"/>
          <w:szCs w:val="24"/>
        </w:rPr>
        <w:lastRenderedPageBreak/>
        <w:t>Table-2B: AFUDC &amp; Overheads</w:t>
      </w:r>
    </w:p>
    <w:p w14:paraId="5A407895" w14:textId="6349DBA5" w:rsidR="004D7459" w:rsidRDefault="000E53B9" w:rsidP="00AD6721">
      <w:pPr>
        <w:spacing w:line="240" w:lineRule="auto"/>
        <w:contextualSpacing/>
        <w:rPr>
          <w:rFonts w:ascii="Times New Roman" w:hAnsi="Times New Roman" w:cs="Times New Roman"/>
          <w:sz w:val="24"/>
          <w:szCs w:val="24"/>
        </w:rPr>
      </w:pPr>
      <w:r w:rsidRPr="000E53B9">
        <w:rPr>
          <w:rFonts w:ascii="Times New Roman" w:hAnsi="Times New Roman" w:cs="Times New Roman"/>
          <w:noProof/>
          <w:sz w:val="24"/>
          <w:szCs w:val="24"/>
        </w:rPr>
        <w:drawing>
          <wp:inline distT="0" distB="0" distL="0" distR="0" wp14:anchorId="237C239B" wp14:editId="0225CEAA">
            <wp:extent cx="6030202" cy="5623560"/>
            <wp:effectExtent l="0" t="0" r="8890" b="0"/>
            <wp:docPr id="528556426" name="Picture 1"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56426" name="Picture 1" descr="Table, calendar&#10;&#10;Description automatically generated"/>
                    <pic:cNvPicPr/>
                  </pic:nvPicPr>
                  <pic:blipFill>
                    <a:blip r:embed="rId9"/>
                    <a:stretch>
                      <a:fillRect/>
                    </a:stretch>
                  </pic:blipFill>
                  <pic:spPr>
                    <a:xfrm>
                      <a:off x="0" y="0"/>
                      <a:ext cx="6051151" cy="5643096"/>
                    </a:xfrm>
                    <a:prstGeom prst="rect">
                      <a:avLst/>
                    </a:prstGeom>
                  </pic:spPr>
                </pic:pic>
              </a:graphicData>
            </a:graphic>
          </wp:inline>
        </w:drawing>
      </w:r>
    </w:p>
    <w:p w14:paraId="2D872523" w14:textId="77777777" w:rsidR="004D7459" w:rsidRDefault="004D7459" w:rsidP="00AD6721">
      <w:pPr>
        <w:spacing w:line="240" w:lineRule="auto"/>
        <w:contextualSpacing/>
        <w:rPr>
          <w:rFonts w:ascii="Times New Roman" w:hAnsi="Times New Roman" w:cs="Times New Roman"/>
          <w:sz w:val="24"/>
          <w:szCs w:val="24"/>
        </w:rPr>
      </w:pPr>
    </w:p>
    <w:p w14:paraId="3BFC9C7F" w14:textId="77777777" w:rsidR="00DD4741" w:rsidRDefault="00DD4741" w:rsidP="00AD6721">
      <w:pPr>
        <w:spacing w:line="240" w:lineRule="auto"/>
        <w:contextualSpacing/>
        <w:rPr>
          <w:rFonts w:ascii="Times New Roman" w:hAnsi="Times New Roman" w:cs="Times New Roman"/>
          <w:sz w:val="24"/>
          <w:szCs w:val="24"/>
        </w:rPr>
      </w:pPr>
    </w:p>
    <w:p w14:paraId="22865984" w14:textId="77777777" w:rsidR="00C70883" w:rsidRDefault="00D43103" w:rsidP="00C70883">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STF-20-6</w:t>
      </w:r>
      <w:r>
        <w:rPr>
          <w:rFonts w:ascii="Times New Roman" w:hAnsi="Times New Roman" w:cs="Times New Roman"/>
          <w:sz w:val="24"/>
          <w:szCs w:val="24"/>
        </w:rPr>
        <w:tab/>
      </w:r>
      <w:r w:rsidR="00C70883">
        <w:rPr>
          <w:rFonts w:ascii="Times New Roman" w:hAnsi="Times New Roman" w:cs="Times New Roman"/>
          <w:sz w:val="24"/>
          <w:szCs w:val="24"/>
        </w:rPr>
        <w:t xml:space="preserve">Regarding </w:t>
      </w:r>
      <w:r w:rsidR="00C70883" w:rsidRPr="00C70883">
        <w:rPr>
          <w:rFonts w:ascii="Times New Roman" w:hAnsi="Times New Roman" w:cs="Times New Roman"/>
          <w:b/>
          <w:bCs/>
          <w:sz w:val="24"/>
          <w:szCs w:val="24"/>
        </w:rPr>
        <w:t>Table-3</w:t>
      </w:r>
      <w:r w:rsidR="00C70883">
        <w:rPr>
          <w:rFonts w:ascii="Times New Roman" w:hAnsi="Times New Roman" w:cs="Times New Roman"/>
          <w:sz w:val="24"/>
          <w:szCs w:val="24"/>
        </w:rPr>
        <w:t xml:space="preserve"> below, the Staff has provided revenue requirement dollar amounts related to Attachment-STF-12-9b.1 and b.2. Please answer the following. </w:t>
      </w:r>
    </w:p>
    <w:p w14:paraId="2C4551CA" w14:textId="190185F0" w:rsidR="00DD4741" w:rsidRDefault="00C70883" w:rsidP="00C70883">
      <w:pPr>
        <w:pStyle w:val="ListParagraph"/>
        <w:numPr>
          <w:ilvl w:val="0"/>
          <w:numId w:val="5"/>
        </w:numPr>
        <w:spacing w:line="240" w:lineRule="auto"/>
        <w:rPr>
          <w:rFonts w:ascii="Times New Roman" w:hAnsi="Times New Roman" w:cs="Times New Roman"/>
          <w:sz w:val="24"/>
          <w:szCs w:val="24"/>
        </w:rPr>
      </w:pPr>
      <w:r w:rsidRPr="00C70883">
        <w:rPr>
          <w:rFonts w:ascii="Times New Roman" w:hAnsi="Times New Roman" w:cs="Times New Roman"/>
          <w:sz w:val="24"/>
          <w:szCs w:val="24"/>
        </w:rPr>
        <w:t xml:space="preserve">When reviewing these dollar amounts, </w:t>
      </w:r>
      <w:r>
        <w:rPr>
          <w:rFonts w:ascii="Times New Roman" w:hAnsi="Times New Roman" w:cs="Times New Roman"/>
          <w:sz w:val="24"/>
          <w:szCs w:val="24"/>
        </w:rPr>
        <w:t>why is the 2025 levelized revenue requirement lower than that of 2026 and 2027? Levelized would indicate all the dollar amounts should be the same.</w:t>
      </w:r>
    </w:p>
    <w:p w14:paraId="69F93436" w14:textId="77777777" w:rsidR="00C70883" w:rsidRDefault="00C70883" w:rsidP="00C70883">
      <w:pPr>
        <w:pStyle w:val="ListParagraph"/>
        <w:spacing w:line="240" w:lineRule="auto"/>
        <w:ind w:left="1890"/>
        <w:rPr>
          <w:rFonts w:ascii="Times New Roman" w:hAnsi="Times New Roman" w:cs="Times New Roman"/>
          <w:sz w:val="24"/>
          <w:szCs w:val="24"/>
        </w:rPr>
      </w:pPr>
    </w:p>
    <w:p w14:paraId="35F32692" w14:textId="2BE42200" w:rsidR="00C70883" w:rsidRDefault="00C70883" w:rsidP="00C7088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total for 2025 – 2027 for the Base b.1dollar amounts was </w:t>
      </w:r>
      <w:r w:rsidRPr="00C70883">
        <w:rPr>
          <w:rFonts w:ascii="Times New Roman" w:hAnsi="Times New Roman" w:cs="Times New Roman"/>
          <w:b/>
          <w:bCs/>
          <w:sz w:val="24"/>
          <w:szCs w:val="24"/>
        </w:rPr>
        <w:t>$206,815,323</w:t>
      </w:r>
      <w:r>
        <w:rPr>
          <w:rFonts w:ascii="Times New Roman" w:hAnsi="Times New Roman" w:cs="Times New Roman"/>
          <w:sz w:val="24"/>
          <w:szCs w:val="24"/>
        </w:rPr>
        <w:t xml:space="preserve">, but the levelized total was </w:t>
      </w:r>
      <w:r w:rsidRPr="00C70883">
        <w:rPr>
          <w:rFonts w:ascii="Times New Roman" w:hAnsi="Times New Roman" w:cs="Times New Roman"/>
          <w:b/>
          <w:bCs/>
          <w:sz w:val="24"/>
          <w:szCs w:val="24"/>
        </w:rPr>
        <w:t>$216,442,461</w:t>
      </w:r>
      <w:r>
        <w:rPr>
          <w:rFonts w:ascii="Times New Roman" w:hAnsi="Times New Roman" w:cs="Times New Roman"/>
          <w:sz w:val="24"/>
          <w:szCs w:val="24"/>
        </w:rPr>
        <w:t xml:space="preserve">. Why was the levelized total three-year revenue requirement </w:t>
      </w:r>
      <w:r w:rsidRPr="00C70883">
        <w:rPr>
          <w:rFonts w:ascii="Times New Roman" w:hAnsi="Times New Roman" w:cs="Times New Roman"/>
          <w:b/>
          <w:bCs/>
          <w:sz w:val="24"/>
          <w:szCs w:val="24"/>
        </w:rPr>
        <w:t>$9,627,138</w:t>
      </w:r>
      <w:r>
        <w:rPr>
          <w:rFonts w:ascii="Times New Roman" w:hAnsi="Times New Roman" w:cs="Times New Roman"/>
          <w:sz w:val="24"/>
          <w:szCs w:val="24"/>
        </w:rPr>
        <w:t xml:space="preserve"> larger than the Base b.1 dollar amount?</w:t>
      </w:r>
    </w:p>
    <w:p w14:paraId="773DC7CF" w14:textId="77777777" w:rsidR="00C70883" w:rsidRPr="00C70883" w:rsidRDefault="00C70883" w:rsidP="00C70883">
      <w:pPr>
        <w:pStyle w:val="ListParagraph"/>
        <w:rPr>
          <w:rFonts w:ascii="Times New Roman" w:hAnsi="Times New Roman" w:cs="Times New Roman"/>
          <w:sz w:val="24"/>
          <w:szCs w:val="24"/>
        </w:rPr>
      </w:pPr>
    </w:p>
    <w:p w14:paraId="0D8D0D24" w14:textId="473A1290" w:rsidR="00C70883" w:rsidRDefault="00C70883" w:rsidP="00C7088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Regarding Figure 5.10.2 that also provided a levelized revenue requirements. Why did it show a consistent </w:t>
      </w:r>
      <w:r w:rsidRPr="00F066E3">
        <w:rPr>
          <w:rFonts w:ascii="Times New Roman" w:hAnsi="Times New Roman" w:cs="Times New Roman"/>
          <w:b/>
          <w:bCs/>
          <w:sz w:val="24"/>
          <w:szCs w:val="24"/>
        </w:rPr>
        <w:t>$86 million</w:t>
      </w:r>
      <w:r>
        <w:rPr>
          <w:rFonts w:ascii="Times New Roman" w:hAnsi="Times New Roman" w:cs="Times New Roman"/>
          <w:sz w:val="24"/>
          <w:szCs w:val="24"/>
        </w:rPr>
        <w:t xml:space="preserve"> a year, when the Base b.1 presentation did not?</w:t>
      </w:r>
    </w:p>
    <w:p w14:paraId="75C9C80F" w14:textId="77777777" w:rsidR="00C70883" w:rsidRPr="00C70883" w:rsidRDefault="00C70883" w:rsidP="00C70883">
      <w:pPr>
        <w:pStyle w:val="ListParagraph"/>
        <w:rPr>
          <w:rFonts w:ascii="Times New Roman" w:hAnsi="Times New Roman" w:cs="Times New Roman"/>
          <w:sz w:val="24"/>
          <w:szCs w:val="24"/>
        </w:rPr>
      </w:pPr>
    </w:p>
    <w:p w14:paraId="5590FB8E" w14:textId="3BBAE71E" w:rsidR="00C70883" w:rsidRPr="00C70883" w:rsidRDefault="00C70883" w:rsidP="00C7088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the Figure 5.10.2 presentation, its three-year total was also larger than the Figure 5.10.1 total </w:t>
      </w:r>
      <w:r w:rsidR="00F066E3">
        <w:rPr>
          <w:rFonts w:ascii="Times New Roman" w:hAnsi="Times New Roman" w:cs="Times New Roman"/>
          <w:sz w:val="24"/>
          <w:szCs w:val="24"/>
        </w:rPr>
        <w:t xml:space="preserve">three-year </w:t>
      </w:r>
      <w:r>
        <w:rPr>
          <w:rFonts w:ascii="Times New Roman" w:hAnsi="Times New Roman" w:cs="Times New Roman"/>
          <w:sz w:val="24"/>
          <w:szCs w:val="24"/>
        </w:rPr>
        <w:t xml:space="preserve">revenue requirements. </w:t>
      </w:r>
      <w:r w:rsidR="00F066E3">
        <w:rPr>
          <w:rFonts w:ascii="Times New Roman" w:hAnsi="Times New Roman" w:cs="Times New Roman"/>
          <w:sz w:val="24"/>
          <w:szCs w:val="24"/>
        </w:rPr>
        <w:t xml:space="preserve">Was the reason for this </w:t>
      </w:r>
      <w:proofErr w:type="gramStart"/>
      <w:r w:rsidR="00F066E3">
        <w:rPr>
          <w:rFonts w:ascii="Times New Roman" w:hAnsi="Times New Roman" w:cs="Times New Roman"/>
          <w:sz w:val="24"/>
          <w:szCs w:val="24"/>
        </w:rPr>
        <w:t>similar to</w:t>
      </w:r>
      <w:proofErr w:type="gramEnd"/>
      <w:r w:rsidR="00F066E3">
        <w:rPr>
          <w:rFonts w:ascii="Times New Roman" w:hAnsi="Times New Roman" w:cs="Times New Roman"/>
          <w:sz w:val="24"/>
          <w:szCs w:val="24"/>
        </w:rPr>
        <w:t xml:space="preserve"> the issue provided STF-20-6(b)?</w:t>
      </w:r>
    </w:p>
    <w:p w14:paraId="3BD5D7EF" w14:textId="77777777" w:rsidR="00DD4741" w:rsidRDefault="00DD4741" w:rsidP="00AD6721">
      <w:pPr>
        <w:spacing w:line="240" w:lineRule="auto"/>
        <w:contextualSpacing/>
        <w:rPr>
          <w:rFonts w:ascii="Times New Roman" w:hAnsi="Times New Roman" w:cs="Times New Roman"/>
          <w:sz w:val="24"/>
          <w:szCs w:val="24"/>
        </w:rPr>
      </w:pPr>
    </w:p>
    <w:p w14:paraId="098E8C11" w14:textId="794B1AE6" w:rsidR="00D43103" w:rsidRPr="00D43103" w:rsidRDefault="00D43103" w:rsidP="00AD6721">
      <w:pPr>
        <w:spacing w:line="240" w:lineRule="auto"/>
        <w:contextualSpacing/>
        <w:rPr>
          <w:rFonts w:ascii="Arial" w:hAnsi="Arial" w:cs="Arial"/>
          <w:b/>
          <w:bCs/>
          <w:sz w:val="20"/>
          <w:szCs w:val="20"/>
        </w:rPr>
      </w:pPr>
      <w:r w:rsidRPr="00D43103">
        <w:rPr>
          <w:rFonts w:ascii="Arial" w:hAnsi="Arial" w:cs="Arial"/>
          <w:b/>
          <w:bCs/>
          <w:sz w:val="20"/>
          <w:szCs w:val="20"/>
        </w:rPr>
        <w:t>Table-3: GRAM Revenue Requirement Comparison</w:t>
      </w:r>
    </w:p>
    <w:tbl>
      <w:tblPr>
        <w:tblW w:w="9400" w:type="dxa"/>
        <w:tblLook w:val="04A0" w:firstRow="1" w:lastRow="0" w:firstColumn="1" w:lastColumn="0" w:noHBand="0" w:noVBand="1"/>
      </w:tblPr>
      <w:tblGrid>
        <w:gridCol w:w="3433"/>
        <w:gridCol w:w="1440"/>
        <w:gridCol w:w="1440"/>
        <w:gridCol w:w="1480"/>
        <w:gridCol w:w="1607"/>
      </w:tblGrid>
      <w:tr w:rsidR="00D43103" w:rsidRPr="00D43103" w14:paraId="0AF4CF31" w14:textId="77777777" w:rsidTr="00D43103">
        <w:trPr>
          <w:trHeight w:val="288"/>
        </w:trPr>
        <w:tc>
          <w:tcPr>
            <w:tcW w:w="3540" w:type="dxa"/>
            <w:tcBorders>
              <w:top w:val="nil"/>
              <w:left w:val="nil"/>
              <w:bottom w:val="nil"/>
              <w:right w:val="nil"/>
            </w:tcBorders>
            <w:shd w:val="clear" w:color="auto" w:fill="auto"/>
            <w:vAlign w:val="bottom"/>
            <w:hideMark/>
          </w:tcPr>
          <w:p w14:paraId="42FDE7D0" w14:textId="77777777" w:rsidR="00D43103" w:rsidRPr="00D43103" w:rsidRDefault="00D43103" w:rsidP="00D43103">
            <w:pPr>
              <w:spacing w:after="0" w:line="240" w:lineRule="auto"/>
              <w:rPr>
                <w:rFonts w:ascii="Times New Roman" w:eastAsia="Times New Roman" w:hAnsi="Times New Roman" w:cs="Times New Roman"/>
                <w:sz w:val="24"/>
                <w:szCs w:val="24"/>
              </w:rPr>
            </w:pPr>
          </w:p>
        </w:tc>
        <w:tc>
          <w:tcPr>
            <w:tcW w:w="1420" w:type="dxa"/>
            <w:tcBorders>
              <w:top w:val="nil"/>
              <w:left w:val="nil"/>
              <w:bottom w:val="nil"/>
              <w:right w:val="nil"/>
            </w:tcBorders>
            <w:shd w:val="clear" w:color="auto" w:fill="auto"/>
            <w:noWrap/>
            <w:vAlign w:val="center"/>
            <w:hideMark/>
          </w:tcPr>
          <w:p w14:paraId="21B2F4C0" w14:textId="77777777" w:rsidR="00D43103" w:rsidRPr="00D43103" w:rsidRDefault="00D43103" w:rsidP="00D43103">
            <w:pPr>
              <w:spacing w:after="0" w:line="240" w:lineRule="auto"/>
              <w:jc w:val="center"/>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2025</w:t>
            </w:r>
          </w:p>
        </w:tc>
        <w:tc>
          <w:tcPr>
            <w:tcW w:w="1360" w:type="dxa"/>
            <w:tcBorders>
              <w:top w:val="nil"/>
              <w:left w:val="nil"/>
              <w:bottom w:val="nil"/>
              <w:right w:val="nil"/>
            </w:tcBorders>
            <w:shd w:val="clear" w:color="auto" w:fill="auto"/>
            <w:noWrap/>
            <w:vAlign w:val="center"/>
            <w:hideMark/>
          </w:tcPr>
          <w:p w14:paraId="69642996" w14:textId="77777777" w:rsidR="00D43103" w:rsidRPr="00D43103" w:rsidRDefault="00D43103" w:rsidP="00D43103">
            <w:pPr>
              <w:spacing w:after="0" w:line="240" w:lineRule="auto"/>
              <w:jc w:val="center"/>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2026</w:t>
            </w:r>
          </w:p>
        </w:tc>
        <w:tc>
          <w:tcPr>
            <w:tcW w:w="1480" w:type="dxa"/>
            <w:tcBorders>
              <w:top w:val="nil"/>
              <w:left w:val="nil"/>
              <w:bottom w:val="nil"/>
              <w:right w:val="nil"/>
            </w:tcBorders>
            <w:shd w:val="clear" w:color="auto" w:fill="auto"/>
            <w:noWrap/>
            <w:vAlign w:val="center"/>
            <w:hideMark/>
          </w:tcPr>
          <w:p w14:paraId="429C5667" w14:textId="77777777" w:rsidR="00D43103" w:rsidRPr="00D43103" w:rsidRDefault="00D43103" w:rsidP="00D43103">
            <w:pPr>
              <w:spacing w:after="0" w:line="240" w:lineRule="auto"/>
              <w:jc w:val="center"/>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2027</w:t>
            </w:r>
          </w:p>
        </w:tc>
        <w:tc>
          <w:tcPr>
            <w:tcW w:w="1600" w:type="dxa"/>
            <w:tcBorders>
              <w:top w:val="nil"/>
              <w:left w:val="nil"/>
              <w:bottom w:val="nil"/>
              <w:right w:val="nil"/>
            </w:tcBorders>
            <w:shd w:val="clear" w:color="auto" w:fill="auto"/>
            <w:noWrap/>
            <w:vAlign w:val="bottom"/>
            <w:hideMark/>
          </w:tcPr>
          <w:p w14:paraId="02AB9160" w14:textId="77777777" w:rsidR="00D43103" w:rsidRPr="00D43103" w:rsidRDefault="00D43103" w:rsidP="00D43103">
            <w:pPr>
              <w:spacing w:after="0" w:line="240" w:lineRule="auto"/>
              <w:jc w:val="center"/>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Totals</w:t>
            </w:r>
          </w:p>
        </w:tc>
      </w:tr>
      <w:tr w:rsidR="00D43103" w:rsidRPr="00D43103" w14:paraId="706E0220" w14:textId="77777777" w:rsidTr="00D43103">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D50EF" w14:textId="77777777" w:rsidR="00D43103" w:rsidRPr="00D43103" w:rsidRDefault="00D43103" w:rsidP="00D43103">
            <w:pPr>
              <w:spacing w:after="0" w:line="240" w:lineRule="auto"/>
              <w:rPr>
                <w:rFonts w:ascii="Arial" w:eastAsia="Times New Roman" w:hAnsi="Arial" w:cs="Arial"/>
                <w:color w:val="000000"/>
                <w:sz w:val="20"/>
                <w:szCs w:val="20"/>
              </w:rPr>
            </w:pPr>
            <w:r w:rsidRPr="00D43103">
              <w:rPr>
                <w:rFonts w:ascii="Arial" w:eastAsia="Times New Roman" w:hAnsi="Arial" w:cs="Arial"/>
                <w:color w:val="000000"/>
                <w:sz w:val="20"/>
                <w:szCs w:val="20"/>
              </w:rPr>
              <w:t>GRAM Capital Budget</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5D6D242"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$555,998,267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D4CF8D5"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$607,730,570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CF2C876"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$601,764,584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90142D6" w14:textId="77777777" w:rsidR="00D43103" w:rsidRPr="00D43103" w:rsidRDefault="00D43103" w:rsidP="00D43103">
            <w:pPr>
              <w:spacing w:after="0" w:line="240" w:lineRule="auto"/>
              <w:jc w:val="right"/>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 xml:space="preserve">$1,765,493,421 </w:t>
            </w:r>
          </w:p>
        </w:tc>
      </w:tr>
      <w:tr w:rsidR="00D43103" w:rsidRPr="00D43103" w14:paraId="28036D05" w14:textId="77777777" w:rsidTr="00D43103">
        <w:trPr>
          <w:trHeight w:val="288"/>
        </w:trPr>
        <w:tc>
          <w:tcPr>
            <w:tcW w:w="3540" w:type="dxa"/>
            <w:tcBorders>
              <w:top w:val="nil"/>
              <w:left w:val="single" w:sz="4" w:space="0" w:color="auto"/>
              <w:bottom w:val="single" w:sz="4" w:space="0" w:color="auto"/>
              <w:right w:val="single" w:sz="4" w:space="0" w:color="auto"/>
            </w:tcBorders>
            <w:shd w:val="clear" w:color="auto" w:fill="auto"/>
            <w:vAlign w:val="bottom"/>
            <w:hideMark/>
          </w:tcPr>
          <w:p w14:paraId="47548587" w14:textId="77777777" w:rsidR="00D43103" w:rsidRPr="00D43103" w:rsidRDefault="00D43103" w:rsidP="00D43103">
            <w:pPr>
              <w:spacing w:after="0" w:line="240" w:lineRule="auto"/>
              <w:rPr>
                <w:rFonts w:ascii="Arial" w:eastAsia="Times New Roman" w:hAnsi="Arial" w:cs="Arial"/>
                <w:color w:val="000000"/>
                <w:sz w:val="20"/>
                <w:szCs w:val="20"/>
              </w:rPr>
            </w:pPr>
            <w:r w:rsidRPr="00D43103">
              <w:rPr>
                <w:rFonts w:ascii="Arial" w:eastAsia="Times New Roman"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936848"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2145CA4"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14:paraId="6232A1D2"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 </w:t>
            </w:r>
          </w:p>
        </w:tc>
        <w:tc>
          <w:tcPr>
            <w:tcW w:w="1600" w:type="dxa"/>
            <w:tcBorders>
              <w:top w:val="nil"/>
              <w:left w:val="nil"/>
              <w:bottom w:val="single" w:sz="4" w:space="0" w:color="auto"/>
              <w:right w:val="single" w:sz="4" w:space="0" w:color="auto"/>
            </w:tcBorders>
            <w:shd w:val="clear" w:color="auto" w:fill="auto"/>
            <w:noWrap/>
            <w:vAlign w:val="bottom"/>
            <w:hideMark/>
          </w:tcPr>
          <w:p w14:paraId="4B76CF81" w14:textId="77777777" w:rsidR="00D43103" w:rsidRPr="00D43103" w:rsidRDefault="00D43103" w:rsidP="00D43103">
            <w:pPr>
              <w:spacing w:after="0" w:line="240" w:lineRule="auto"/>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 </w:t>
            </w:r>
          </w:p>
        </w:tc>
      </w:tr>
      <w:tr w:rsidR="00D43103" w:rsidRPr="00D43103" w14:paraId="1F4B2A26" w14:textId="77777777" w:rsidTr="00D43103">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267A1489" w14:textId="77777777" w:rsidR="00D43103" w:rsidRPr="00D43103" w:rsidRDefault="00D43103" w:rsidP="00D43103">
            <w:pPr>
              <w:spacing w:after="0" w:line="240" w:lineRule="auto"/>
              <w:rPr>
                <w:rFonts w:ascii="Arial" w:eastAsia="Times New Roman" w:hAnsi="Arial" w:cs="Arial"/>
                <w:color w:val="000000"/>
                <w:sz w:val="20"/>
                <w:szCs w:val="20"/>
              </w:rPr>
            </w:pPr>
            <w:r w:rsidRPr="00D43103">
              <w:rPr>
                <w:rFonts w:ascii="Arial" w:eastAsia="Times New Roman" w:hAnsi="Arial" w:cs="Arial"/>
                <w:color w:val="000000"/>
                <w:sz w:val="20"/>
                <w:szCs w:val="20"/>
              </w:rPr>
              <w:t>Revenue Requirements (Base b.1)</w:t>
            </w:r>
          </w:p>
        </w:tc>
        <w:tc>
          <w:tcPr>
            <w:tcW w:w="1420" w:type="dxa"/>
            <w:tcBorders>
              <w:top w:val="nil"/>
              <w:left w:val="nil"/>
              <w:bottom w:val="single" w:sz="4" w:space="0" w:color="auto"/>
              <w:right w:val="single" w:sz="4" w:space="0" w:color="auto"/>
            </w:tcBorders>
            <w:shd w:val="clear" w:color="auto" w:fill="auto"/>
            <w:noWrap/>
            <w:vAlign w:val="center"/>
            <w:hideMark/>
          </w:tcPr>
          <w:p w14:paraId="34729CB1"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$116,967,042 </w:t>
            </w:r>
          </w:p>
        </w:tc>
        <w:tc>
          <w:tcPr>
            <w:tcW w:w="1360" w:type="dxa"/>
            <w:tcBorders>
              <w:top w:val="nil"/>
              <w:left w:val="nil"/>
              <w:bottom w:val="single" w:sz="4" w:space="0" w:color="auto"/>
              <w:right w:val="single" w:sz="4" w:space="0" w:color="auto"/>
            </w:tcBorders>
            <w:shd w:val="clear" w:color="auto" w:fill="auto"/>
            <w:noWrap/>
            <w:vAlign w:val="center"/>
            <w:hideMark/>
          </w:tcPr>
          <w:p w14:paraId="2BF212BC"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$33,649,092 </w:t>
            </w:r>
          </w:p>
        </w:tc>
        <w:tc>
          <w:tcPr>
            <w:tcW w:w="1480" w:type="dxa"/>
            <w:tcBorders>
              <w:top w:val="nil"/>
              <w:left w:val="nil"/>
              <w:bottom w:val="single" w:sz="4" w:space="0" w:color="auto"/>
              <w:right w:val="single" w:sz="4" w:space="0" w:color="auto"/>
            </w:tcBorders>
            <w:shd w:val="clear" w:color="auto" w:fill="auto"/>
            <w:noWrap/>
            <w:vAlign w:val="center"/>
            <w:hideMark/>
          </w:tcPr>
          <w:p w14:paraId="00C58760"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$56,199,189 </w:t>
            </w:r>
          </w:p>
        </w:tc>
        <w:tc>
          <w:tcPr>
            <w:tcW w:w="1600" w:type="dxa"/>
            <w:tcBorders>
              <w:top w:val="nil"/>
              <w:left w:val="nil"/>
              <w:bottom w:val="single" w:sz="4" w:space="0" w:color="auto"/>
              <w:right w:val="single" w:sz="4" w:space="0" w:color="auto"/>
            </w:tcBorders>
            <w:shd w:val="clear" w:color="auto" w:fill="auto"/>
            <w:noWrap/>
            <w:vAlign w:val="bottom"/>
            <w:hideMark/>
          </w:tcPr>
          <w:p w14:paraId="34E70F85" w14:textId="77777777" w:rsidR="00D43103" w:rsidRPr="00D43103" w:rsidRDefault="00D43103" w:rsidP="00D43103">
            <w:pPr>
              <w:spacing w:after="0" w:line="240" w:lineRule="auto"/>
              <w:jc w:val="right"/>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 xml:space="preserve">$206,815,323 </w:t>
            </w:r>
          </w:p>
        </w:tc>
      </w:tr>
      <w:tr w:rsidR="00D43103" w:rsidRPr="00D43103" w14:paraId="3BEF0A3B" w14:textId="77777777" w:rsidTr="00D43103">
        <w:trPr>
          <w:trHeight w:val="336"/>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219CC810" w14:textId="77777777" w:rsidR="00D43103" w:rsidRPr="00D43103" w:rsidRDefault="00D43103" w:rsidP="00D43103">
            <w:pPr>
              <w:spacing w:after="0" w:line="240" w:lineRule="auto"/>
              <w:rPr>
                <w:rFonts w:ascii="Arial" w:eastAsia="Times New Roman" w:hAnsi="Arial" w:cs="Arial"/>
                <w:color w:val="000000"/>
                <w:sz w:val="20"/>
                <w:szCs w:val="20"/>
              </w:rPr>
            </w:pPr>
            <w:r w:rsidRPr="00D43103">
              <w:rPr>
                <w:rFonts w:ascii="Arial" w:eastAsia="Times New Roman" w:hAnsi="Arial" w:cs="Arial"/>
                <w:color w:val="000000"/>
                <w:sz w:val="20"/>
                <w:szCs w:val="20"/>
              </w:rPr>
              <w:t>Revenue Requirements (Levelized b.2)</w:t>
            </w:r>
          </w:p>
        </w:tc>
        <w:tc>
          <w:tcPr>
            <w:tcW w:w="1420" w:type="dxa"/>
            <w:tcBorders>
              <w:top w:val="nil"/>
              <w:left w:val="nil"/>
              <w:bottom w:val="single" w:sz="4" w:space="0" w:color="auto"/>
              <w:right w:val="single" w:sz="4" w:space="0" w:color="auto"/>
            </w:tcBorders>
            <w:shd w:val="clear" w:color="auto" w:fill="auto"/>
            <w:noWrap/>
            <w:vAlign w:val="center"/>
            <w:hideMark/>
          </w:tcPr>
          <w:p w14:paraId="16B3DE40"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$57,112,335 </w:t>
            </w:r>
          </w:p>
        </w:tc>
        <w:tc>
          <w:tcPr>
            <w:tcW w:w="1360" w:type="dxa"/>
            <w:tcBorders>
              <w:top w:val="nil"/>
              <w:left w:val="nil"/>
              <w:bottom w:val="single" w:sz="4" w:space="0" w:color="auto"/>
              <w:right w:val="single" w:sz="4" w:space="0" w:color="auto"/>
            </w:tcBorders>
            <w:shd w:val="clear" w:color="auto" w:fill="auto"/>
            <w:noWrap/>
            <w:vAlign w:val="center"/>
            <w:hideMark/>
          </w:tcPr>
          <w:p w14:paraId="0D620393"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$79,665,063 </w:t>
            </w:r>
          </w:p>
        </w:tc>
        <w:tc>
          <w:tcPr>
            <w:tcW w:w="1480" w:type="dxa"/>
            <w:tcBorders>
              <w:top w:val="nil"/>
              <w:left w:val="nil"/>
              <w:bottom w:val="single" w:sz="4" w:space="0" w:color="auto"/>
              <w:right w:val="single" w:sz="4" w:space="0" w:color="auto"/>
            </w:tcBorders>
            <w:shd w:val="clear" w:color="auto" w:fill="auto"/>
            <w:noWrap/>
            <w:vAlign w:val="center"/>
            <w:hideMark/>
          </w:tcPr>
          <w:p w14:paraId="042FD0B8" w14:textId="77777777" w:rsidR="00D43103" w:rsidRPr="00D43103" w:rsidRDefault="00D43103" w:rsidP="00D43103">
            <w:pPr>
              <w:spacing w:after="0" w:line="240" w:lineRule="auto"/>
              <w:jc w:val="right"/>
              <w:rPr>
                <w:rFonts w:ascii="Arial" w:eastAsia="Times New Roman" w:hAnsi="Arial" w:cs="Arial"/>
                <w:color w:val="000000"/>
                <w:sz w:val="20"/>
                <w:szCs w:val="20"/>
              </w:rPr>
            </w:pPr>
            <w:r w:rsidRPr="00D43103">
              <w:rPr>
                <w:rFonts w:ascii="Arial" w:eastAsia="Times New Roman" w:hAnsi="Arial" w:cs="Arial"/>
                <w:color w:val="000000"/>
                <w:sz w:val="20"/>
                <w:szCs w:val="20"/>
              </w:rPr>
              <w:t xml:space="preserve">$79,665,063 </w:t>
            </w:r>
          </w:p>
        </w:tc>
        <w:tc>
          <w:tcPr>
            <w:tcW w:w="1600" w:type="dxa"/>
            <w:tcBorders>
              <w:top w:val="nil"/>
              <w:left w:val="nil"/>
              <w:bottom w:val="single" w:sz="4" w:space="0" w:color="auto"/>
              <w:right w:val="single" w:sz="4" w:space="0" w:color="auto"/>
            </w:tcBorders>
            <w:shd w:val="clear" w:color="auto" w:fill="auto"/>
            <w:noWrap/>
            <w:vAlign w:val="bottom"/>
            <w:hideMark/>
          </w:tcPr>
          <w:p w14:paraId="3966E86A" w14:textId="77777777" w:rsidR="00D43103" w:rsidRPr="00D43103" w:rsidRDefault="00D43103" w:rsidP="00D43103">
            <w:pPr>
              <w:spacing w:after="0" w:line="240" w:lineRule="auto"/>
              <w:jc w:val="right"/>
              <w:rPr>
                <w:rFonts w:ascii="Arial" w:eastAsia="Times New Roman" w:hAnsi="Arial" w:cs="Arial"/>
                <w:b/>
                <w:bCs/>
                <w:color w:val="000000"/>
                <w:sz w:val="20"/>
                <w:szCs w:val="20"/>
              </w:rPr>
            </w:pPr>
            <w:r w:rsidRPr="00D43103">
              <w:rPr>
                <w:rFonts w:ascii="Arial" w:eastAsia="Times New Roman" w:hAnsi="Arial" w:cs="Arial"/>
                <w:b/>
                <w:bCs/>
                <w:color w:val="000000"/>
                <w:sz w:val="20"/>
                <w:szCs w:val="20"/>
              </w:rPr>
              <w:t xml:space="preserve">$216,442,461 </w:t>
            </w:r>
          </w:p>
        </w:tc>
      </w:tr>
    </w:tbl>
    <w:p w14:paraId="7375BBB3" w14:textId="77777777" w:rsidR="00DD4741" w:rsidRPr="00AD6721" w:rsidRDefault="00DD4741" w:rsidP="00AD6721">
      <w:pPr>
        <w:spacing w:line="240" w:lineRule="auto"/>
        <w:contextualSpacing/>
        <w:rPr>
          <w:rFonts w:ascii="Times New Roman" w:hAnsi="Times New Roman" w:cs="Times New Roman"/>
          <w:sz w:val="24"/>
          <w:szCs w:val="24"/>
        </w:rPr>
      </w:pPr>
    </w:p>
    <w:sectPr w:rsidR="00DD4741" w:rsidRPr="00AD67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8C8D3" w14:textId="77777777" w:rsidR="004A00DA" w:rsidRDefault="004A00DA" w:rsidP="0082177B">
      <w:pPr>
        <w:spacing w:after="0" w:line="240" w:lineRule="auto"/>
      </w:pPr>
      <w:r>
        <w:separator/>
      </w:r>
    </w:p>
  </w:endnote>
  <w:endnote w:type="continuationSeparator" w:id="0">
    <w:p w14:paraId="2913A74F" w14:textId="77777777" w:rsidR="004A00DA" w:rsidRDefault="004A00DA" w:rsidP="0082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360644"/>
      <w:docPartObj>
        <w:docPartGallery w:val="Page Numbers (Bottom of Page)"/>
        <w:docPartUnique/>
      </w:docPartObj>
    </w:sdtPr>
    <w:sdtEndPr>
      <w:rPr>
        <w:rFonts w:ascii="Times New Roman" w:hAnsi="Times New Roman" w:cs="Times New Roman"/>
        <w:noProof/>
        <w:sz w:val="20"/>
        <w:szCs w:val="20"/>
      </w:rPr>
    </w:sdtEndPr>
    <w:sdtContent>
      <w:p w14:paraId="64139B89" w14:textId="18B952E3" w:rsidR="0082177B" w:rsidRPr="0082177B" w:rsidRDefault="0082177B">
        <w:pPr>
          <w:pStyle w:val="Footer"/>
          <w:jc w:val="center"/>
          <w:rPr>
            <w:rFonts w:ascii="Times New Roman" w:hAnsi="Times New Roman" w:cs="Times New Roman"/>
            <w:sz w:val="20"/>
            <w:szCs w:val="20"/>
          </w:rPr>
        </w:pPr>
        <w:r w:rsidRPr="0082177B">
          <w:rPr>
            <w:rFonts w:ascii="Times New Roman" w:hAnsi="Times New Roman" w:cs="Times New Roman"/>
            <w:sz w:val="20"/>
            <w:szCs w:val="20"/>
          </w:rPr>
          <w:t xml:space="preserve">Docket No. 43820: Staff’s </w:t>
        </w:r>
        <w:r w:rsidR="00C33FC9">
          <w:rPr>
            <w:rFonts w:ascii="Times New Roman" w:hAnsi="Times New Roman" w:cs="Times New Roman"/>
            <w:sz w:val="20"/>
            <w:szCs w:val="20"/>
          </w:rPr>
          <w:t>20</w:t>
        </w:r>
        <w:r w:rsidRPr="0082177B">
          <w:rPr>
            <w:rFonts w:ascii="Times New Roman" w:hAnsi="Times New Roman" w:cs="Times New Roman"/>
            <w:sz w:val="20"/>
            <w:szCs w:val="20"/>
            <w:vertAlign w:val="superscript"/>
          </w:rPr>
          <w:t>th</w:t>
        </w:r>
        <w:r w:rsidRPr="0082177B">
          <w:rPr>
            <w:rFonts w:ascii="Times New Roman" w:hAnsi="Times New Roman" w:cs="Times New Roman"/>
            <w:sz w:val="20"/>
            <w:szCs w:val="20"/>
          </w:rPr>
          <w:t xml:space="preserve"> Set of DRs</w:t>
        </w:r>
      </w:p>
      <w:p w14:paraId="3A87AEA4" w14:textId="5BA7CB89" w:rsidR="0082177B" w:rsidRPr="0082177B" w:rsidRDefault="0082177B">
        <w:pPr>
          <w:pStyle w:val="Footer"/>
          <w:jc w:val="center"/>
          <w:rPr>
            <w:rFonts w:ascii="Times New Roman" w:hAnsi="Times New Roman" w:cs="Times New Roman"/>
            <w:sz w:val="20"/>
            <w:szCs w:val="20"/>
          </w:rPr>
        </w:pPr>
        <w:r w:rsidRPr="0082177B">
          <w:rPr>
            <w:rFonts w:ascii="Times New Roman" w:hAnsi="Times New Roman" w:cs="Times New Roman"/>
            <w:sz w:val="20"/>
            <w:szCs w:val="20"/>
          </w:rPr>
          <w:t xml:space="preserve">Page </w:t>
        </w:r>
        <w:r w:rsidRPr="0082177B">
          <w:rPr>
            <w:rFonts w:ascii="Times New Roman" w:hAnsi="Times New Roman" w:cs="Times New Roman"/>
            <w:sz w:val="20"/>
            <w:szCs w:val="20"/>
          </w:rPr>
          <w:fldChar w:fldCharType="begin"/>
        </w:r>
        <w:r w:rsidRPr="0082177B">
          <w:rPr>
            <w:rFonts w:ascii="Times New Roman" w:hAnsi="Times New Roman" w:cs="Times New Roman"/>
            <w:sz w:val="20"/>
            <w:szCs w:val="20"/>
          </w:rPr>
          <w:instrText xml:space="preserve"> PAGE   \* MERGEFORMAT </w:instrText>
        </w:r>
        <w:r w:rsidRPr="0082177B">
          <w:rPr>
            <w:rFonts w:ascii="Times New Roman" w:hAnsi="Times New Roman" w:cs="Times New Roman"/>
            <w:sz w:val="20"/>
            <w:szCs w:val="20"/>
          </w:rPr>
          <w:fldChar w:fldCharType="separate"/>
        </w:r>
        <w:r w:rsidRPr="0082177B">
          <w:rPr>
            <w:rFonts w:ascii="Times New Roman" w:hAnsi="Times New Roman" w:cs="Times New Roman"/>
            <w:noProof/>
            <w:sz w:val="20"/>
            <w:szCs w:val="20"/>
          </w:rPr>
          <w:t>2</w:t>
        </w:r>
        <w:r w:rsidRPr="0082177B">
          <w:rPr>
            <w:rFonts w:ascii="Times New Roman" w:hAnsi="Times New Roman" w:cs="Times New Roman"/>
            <w:noProof/>
            <w:sz w:val="20"/>
            <w:szCs w:val="20"/>
          </w:rPr>
          <w:fldChar w:fldCharType="end"/>
        </w:r>
        <w:r w:rsidRPr="0082177B">
          <w:rPr>
            <w:rFonts w:ascii="Times New Roman" w:hAnsi="Times New Roman" w:cs="Times New Roman"/>
            <w:noProof/>
            <w:sz w:val="20"/>
            <w:szCs w:val="20"/>
          </w:rPr>
          <w:t xml:space="preserve"> of </w:t>
        </w:r>
        <w:r w:rsidR="00384931">
          <w:rPr>
            <w:rFonts w:ascii="Times New Roman" w:hAnsi="Times New Roman" w:cs="Times New Roman"/>
            <w:noProof/>
            <w:sz w:val="20"/>
            <w:szCs w:val="20"/>
          </w:rPr>
          <w:t>8</w:t>
        </w:r>
      </w:p>
    </w:sdtContent>
  </w:sdt>
  <w:p w14:paraId="01AFD4CB" w14:textId="77777777" w:rsidR="0082177B" w:rsidRDefault="0082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D946" w14:textId="77777777" w:rsidR="004A00DA" w:rsidRDefault="004A00DA" w:rsidP="0082177B">
      <w:pPr>
        <w:spacing w:after="0" w:line="240" w:lineRule="auto"/>
      </w:pPr>
      <w:r>
        <w:separator/>
      </w:r>
    </w:p>
  </w:footnote>
  <w:footnote w:type="continuationSeparator" w:id="0">
    <w:p w14:paraId="7B94885E" w14:textId="77777777" w:rsidR="004A00DA" w:rsidRDefault="004A00DA" w:rsidP="00821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7225"/>
    <w:multiLevelType w:val="hybridMultilevel"/>
    <w:tmpl w:val="9AB0B8AE"/>
    <w:lvl w:ilvl="0" w:tplc="A8BA93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D416A0"/>
    <w:multiLevelType w:val="hybridMultilevel"/>
    <w:tmpl w:val="6C42B7AA"/>
    <w:lvl w:ilvl="0" w:tplc="04090019">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131DAC"/>
    <w:multiLevelType w:val="hybridMultilevel"/>
    <w:tmpl w:val="FA3201E8"/>
    <w:lvl w:ilvl="0" w:tplc="D7E62C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17B5851"/>
    <w:multiLevelType w:val="hybridMultilevel"/>
    <w:tmpl w:val="5DDA06F8"/>
    <w:lvl w:ilvl="0" w:tplc="04090019">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num w:numId="1" w16cid:durableId="1911690899">
    <w:abstractNumId w:val="4"/>
  </w:num>
  <w:num w:numId="2" w16cid:durableId="650984221">
    <w:abstractNumId w:val="1"/>
  </w:num>
  <w:num w:numId="3" w16cid:durableId="1991329598">
    <w:abstractNumId w:val="0"/>
  </w:num>
  <w:num w:numId="4" w16cid:durableId="1124664772">
    <w:abstractNumId w:val="2"/>
  </w:num>
  <w:num w:numId="5" w16cid:durableId="1371759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2C"/>
    <w:rsid w:val="00042AE8"/>
    <w:rsid w:val="0005796D"/>
    <w:rsid w:val="00062002"/>
    <w:rsid w:val="000E53B9"/>
    <w:rsid w:val="000F26E1"/>
    <w:rsid w:val="00102FD8"/>
    <w:rsid w:val="00125ED3"/>
    <w:rsid w:val="001A0FCF"/>
    <w:rsid w:val="002D1873"/>
    <w:rsid w:val="00384931"/>
    <w:rsid w:val="003A7CAE"/>
    <w:rsid w:val="003B3FA3"/>
    <w:rsid w:val="00424352"/>
    <w:rsid w:val="004A00DA"/>
    <w:rsid w:val="004D7459"/>
    <w:rsid w:val="004D7D78"/>
    <w:rsid w:val="00613601"/>
    <w:rsid w:val="00631F3B"/>
    <w:rsid w:val="00787250"/>
    <w:rsid w:val="00795E1C"/>
    <w:rsid w:val="007B075B"/>
    <w:rsid w:val="007C46D4"/>
    <w:rsid w:val="007C6F22"/>
    <w:rsid w:val="007C7E5A"/>
    <w:rsid w:val="0082177B"/>
    <w:rsid w:val="008E5FB5"/>
    <w:rsid w:val="008F562C"/>
    <w:rsid w:val="009243F0"/>
    <w:rsid w:val="009C2ACF"/>
    <w:rsid w:val="00AA0B6D"/>
    <w:rsid w:val="00AD4A4F"/>
    <w:rsid w:val="00AD6721"/>
    <w:rsid w:val="00B06457"/>
    <w:rsid w:val="00B3524B"/>
    <w:rsid w:val="00B7008E"/>
    <w:rsid w:val="00C33FC9"/>
    <w:rsid w:val="00C440EC"/>
    <w:rsid w:val="00C70883"/>
    <w:rsid w:val="00C8301C"/>
    <w:rsid w:val="00D36423"/>
    <w:rsid w:val="00D43103"/>
    <w:rsid w:val="00D54021"/>
    <w:rsid w:val="00DD4741"/>
    <w:rsid w:val="00E94FB6"/>
    <w:rsid w:val="00F066E3"/>
    <w:rsid w:val="00F80803"/>
    <w:rsid w:val="00FB6931"/>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0B5A"/>
  <w15:docId w15:val="{5A84E788-1EE6-4BEF-B47E-4716D856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77B"/>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2177B"/>
    <w:pPr>
      <w:keepNext/>
      <w:spacing w:after="0" w:line="240" w:lineRule="auto"/>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77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2177B"/>
    <w:rPr>
      <w:rFonts w:ascii="Times New Roman" w:eastAsia="Times New Roman" w:hAnsi="Times New Roman" w:cs="Times New Roman"/>
      <w:sz w:val="24"/>
      <w:szCs w:val="20"/>
    </w:rPr>
  </w:style>
  <w:style w:type="paragraph" w:styleId="ListParagraph">
    <w:name w:val="List Paragraph"/>
    <w:basedOn w:val="Normal"/>
    <w:uiPriority w:val="34"/>
    <w:qFormat/>
    <w:rsid w:val="0082177B"/>
    <w:pPr>
      <w:spacing w:after="160" w:line="259" w:lineRule="auto"/>
      <w:ind w:left="720"/>
      <w:contextualSpacing/>
    </w:pPr>
  </w:style>
  <w:style w:type="paragraph" w:styleId="Title">
    <w:name w:val="Title"/>
    <w:basedOn w:val="Normal"/>
    <w:link w:val="TitleChar"/>
    <w:qFormat/>
    <w:rsid w:val="0082177B"/>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2177B"/>
    <w:rPr>
      <w:rFonts w:ascii="Times New Roman" w:eastAsia="Times New Roman" w:hAnsi="Times New Roman" w:cs="Times New Roman"/>
      <w:sz w:val="24"/>
      <w:szCs w:val="20"/>
    </w:rPr>
  </w:style>
  <w:style w:type="paragraph" w:styleId="BodyTextIndent">
    <w:name w:val="Body Text Indent"/>
    <w:basedOn w:val="Normal"/>
    <w:link w:val="BodyTextIndentChar"/>
    <w:rsid w:val="0082177B"/>
    <w:pPr>
      <w:spacing w:after="0" w:line="48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2177B"/>
    <w:rPr>
      <w:rFonts w:ascii="Times New Roman" w:eastAsia="Times New Roman" w:hAnsi="Times New Roman" w:cs="Times New Roman"/>
      <w:sz w:val="24"/>
      <w:szCs w:val="20"/>
    </w:rPr>
  </w:style>
  <w:style w:type="paragraph" w:styleId="NoSpacing">
    <w:name w:val="No Spacing"/>
    <w:uiPriority w:val="1"/>
    <w:qFormat/>
    <w:rsid w:val="0082177B"/>
    <w:pPr>
      <w:spacing w:after="0" w:line="240" w:lineRule="auto"/>
    </w:pPr>
  </w:style>
  <w:style w:type="paragraph" w:styleId="Header">
    <w:name w:val="header"/>
    <w:basedOn w:val="Normal"/>
    <w:link w:val="HeaderChar"/>
    <w:uiPriority w:val="99"/>
    <w:unhideWhenUsed/>
    <w:rsid w:val="0082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77B"/>
  </w:style>
  <w:style w:type="paragraph" w:styleId="Footer">
    <w:name w:val="footer"/>
    <w:basedOn w:val="Normal"/>
    <w:link w:val="FooterChar"/>
    <w:uiPriority w:val="99"/>
    <w:unhideWhenUsed/>
    <w:rsid w:val="0082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77B"/>
  </w:style>
  <w:style w:type="paragraph" w:styleId="Revision">
    <w:name w:val="Revision"/>
    <w:hidden/>
    <w:uiPriority w:val="99"/>
    <w:semiHidden/>
    <w:rsid w:val="00AA0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175216">
      <w:bodyDiv w:val="1"/>
      <w:marLeft w:val="0"/>
      <w:marRight w:val="0"/>
      <w:marTop w:val="0"/>
      <w:marBottom w:val="0"/>
      <w:divBdr>
        <w:top w:val="none" w:sz="0" w:space="0" w:color="auto"/>
        <w:left w:val="none" w:sz="0" w:space="0" w:color="auto"/>
        <w:bottom w:val="none" w:sz="0" w:space="0" w:color="auto"/>
        <w:right w:val="none" w:sz="0" w:space="0" w:color="auto"/>
      </w:divBdr>
    </w:div>
    <w:div w:id="742528038">
      <w:bodyDiv w:val="1"/>
      <w:marLeft w:val="0"/>
      <w:marRight w:val="0"/>
      <w:marTop w:val="0"/>
      <w:marBottom w:val="0"/>
      <w:divBdr>
        <w:top w:val="none" w:sz="0" w:space="0" w:color="auto"/>
        <w:left w:val="none" w:sz="0" w:space="0" w:color="auto"/>
        <w:bottom w:val="none" w:sz="0" w:space="0" w:color="auto"/>
        <w:right w:val="none" w:sz="0" w:space="0" w:color="auto"/>
      </w:divBdr>
    </w:div>
    <w:div w:id="11660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DE00-B183-4604-89DE-8C9D0E07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Randy1</dc:creator>
  <cp:lastModifiedBy>Tony Wackerly</cp:lastModifiedBy>
  <cp:revision>7</cp:revision>
  <dcterms:created xsi:type="dcterms:W3CDTF">2024-04-22T13:42:00Z</dcterms:created>
  <dcterms:modified xsi:type="dcterms:W3CDTF">2024-04-22T15:41:00Z</dcterms:modified>
</cp:coreProperties>
</file>