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5" cstate="print">
                            <a:biLevel thresh="75000"/>
                            <a:extLst>
                              <a:ext uri="{BEBA8EAE-BF5A-486C-A8C5-ECC9F3942E4B}">
                                <a14:imgProps xmlns:a14="http://schemas.microsoft.com/office/drawing/2010/main">
                                  <a14:imgLayer r:embed="rId6">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B7DA561" w14:textId="77777777" w:rsidR="003F2763" w:rsidRDefault="003F2763" w:rsidP="003F2763">
      <w:pPr>
        <w:rPr>
          <w:color w:val="FF0000"/>
        </w:rPr>
      </w:pPr>
    </w:p>
    <w:p w14:paraId="7F128F24" w14:textId="77777777" w:rsidR="00A02CE7" w:rsidRDefault="00A02CE7" w:rsidP="003F2763">
      <w:pPr>
        <w:rPr>
          <w:color w:val="FF0000"/>
        </w:rPr>
      </w:pPr>
    </w:p>
    <w:p w14:paraId="6FE1B227" w14:textId="77777777" w:rsidR="00A02CE7" w:rsidRDefault="00A02CE7" w:rsidP="003F2763">
      <w:pPr>
        <w:rPr>
          <w:color w:val="FF0000"/>
        </w:rPr>
      </w:pPr>
    </w:p>
    <w:p w14:paraId="5DA5AF70" w14:textId="77777777" w:rsidR="000D4C14" w:rsidRDefault="000D4C14" w:rsidP="000D4C14">
      <w:pPr>
        <w:suppressLineNumbers/>
        <w:jc w:val="center"/>
        <w:rPr>
          <w:b/>
          <w:bCs/>
        </w:rPr>
      </w:pPr>
      <w:r>
        <w:rPr>
          <w:b/>
          <w:bCs/>
        </w:rPr>
        <w:t>Docket No. 29849</w:t>
      </w:r>
    </w:p>
    <w:p w14:paraId="38483BF9" w14:textId="77777777" w:rsidR="000D4C14" w:rsidRDefault="000D4C14" w:rsidP="000D4C14">
      <w:pPr>
        <w:suppressLineNumbers/>
        <w:jc w:val="center"/>
        <w:rPr>
          <w:b/>
          <w:bCs/>
        </w:rPr>
      </w:pPr>
    </w:p>
    <w:p w14:paraId="46318298" w14:textId="77777777" w:rsidR="000D4C14" w:rsidRDefault="000D4C14" w:rsidP="000D4C14">
      <w:pPr>
        <w:ind w:left="1440" w:hanging="1440"/>
        <w:rPr>
          <w:b/>
        </w:rPr>
      </w:pPr>
      <w:r>
        <w:rPr>
          <w:b/>
        </w:rPr>
        <w:t>IN RE:</w:t>
      </w:r>
      <w:r>
        <w:rPr>
          <w:b/>
        </w:rPr>
        <w:tab/>
        <w:t xml:space="preserve">Georgia Power Company’s Application </w:t>
      </w:r>
      <w:bookmarkStart w:id="0" w:name="_Hlk134613830"/>
      <w:r>
        <w:rPr>
          <w:b/>
        </w:rPr>
        <w:t>to Adjust Rates to Include Reasonable and Prudent Plant Vogtle Units 3 and 4 Costs</w:t>
      </w:r>
      <w:bookmarkEnd w:id="0"/>
    </w:p>
    <w:p w14:paraId="70AC3ABC" w14:textId="77777777" w:rsidR="001967E9" w:rsidRDefault="001967E9" w:rsidP="003F2763">
      <w:pPr>
        <w:rPr>
          <w:color w:val="FF0000"/>
        </w:rPr>
      </w:pPr>
    </w:p>
    <w:p w14:paraId="4366FCEC" w14:textId="77777777" w:rsidR="00B0281D" w:rsidRDefault="00B0281D" w:rsidP="003F2763">
      <w:pPr>
        <w:rPr>
          <w:color w:val="FF0000"/>
        </w:rPr>
      </w:pPr>
    </w:p>
    <w:p w14:paraId="79E819E2" w14:textId="77777777" w:rsidR="002605A0" w:rsidRDefault="002605A0" w:rsidP="002605A0">
      <w:pPr>
        <w:jc w:val="center"/>
        <w:rPr>
          <w:b/>
          <w:u w:val="single"/>
        </w:rPr>
      </w:pPr>
      <w:r>
        <w:rPr>
          <w:b/>
          <w:u w:val="single"/>
        </w:rPr>
        <w:t>ORDER DENYING PETITION FOR REHEARING</w:t>
      </w:r>
    </w:p>
    <w:p w14:paraId="5835EFDB" w14:textId="77777777" w:rsidR="002605A0" w:rsidRDefault="002605A0" w:rsidP="002605A0">
      <w:pPr>
        <w:jc w:val="center"/>
        <w:rPr>
          <w:b/>
          <w:u w:val="single"/>
        </w:rPr>
      </w:pPr>
      <w:r>
        <w:rPr>
          <w:b/>
          <w:u w:val="single"/>
        </w:rPr>
        <w:t xml:space="preserve"> AND FOR RECONSIDERATION</w:t>
      </w:r>
    </w:p>
    <w:p w14:paraId="283F8F09" w14:textId="77777777" w:rsidR="002605A0" w:rsidRDefault="002605A0" w:rsidP="002605A0">
      <w:pPr>
        <w:rPr>
          <w:b/>
        </w:rPr>
      </w:pPr>
    </w:p>
    <w:p w14:paraId="63B3F3C3" w14:textId="47DB95DD" w:rsidR="00C439F6" w:rsidRDefault="00E126DF" w:rsidP="00891971">
      <w:pPr>
        <w:ind w:firstLine="720"/>
        <w:rPr>
          <w:b/>
        </w:rPr>
      </w:pPr>
      <w:r>
        <w:rPr>
          <w:bCs/>
        </w:rPr>
        <w:t xml:space="preserve">The </w:t>
      </w:r>
      <w:r w:rsidR="00912254">
        <w:rPr>
          <w:bCs/>
        </w:rPr>
        <w:t>Commission issued an Order Adopting Stipul</w:t>
      </w:r>
      <w:r w:rsidR="00C207AF">
        <w:rPr>
          <w:bCs/>
        </w:rPr>
        <w:t>ation on December 19, 2023</w:t>
      </w:r>
      <w:r w:rsidR="00B473AD">
        <w:rPr>
          <w:bCs/>
        </w:rPr>
        <w:t>,</w:t>
      </w:r>
      <w:r w:rsidR="00C207AF">
        <w:rPr>
          <w:bCs/>
        </w:rPr>
        <w:t xml:space="preserve"> in this proceeding</w:t>
      </w:r>
      <w:r w:rsidR="00891971">
        <w:rPr>
          <w:bCs/>
        </w:rPr>
        <w:t xml:space="preserve">. </w:t>
      </w:r>
      <w:r w:rsidR="00C439F6">
        <w:rPr>
          <w:bCs/>
        </w:rPr>
        <w:t xml:space="preserve">Concerned Ratepayers of </w:t>
      </w:r>
      <w:r w:rsidR="00C439F6" w:rsidRPr="00B41624">
        <w:t>Georgia</w:t>
      </w:r>
      <w:r w:rsidR="00C439F6">
        <w:t xml:space="preserve"> (“CRG”)</w:t>
      </w:r>
      <w:r w:rsidR="00C439F6" w:rsidRPr="00B41624">
        <w:t xml:space="preserve"> filed a Petition for Rehearing and Reconsideration on </w:t>
      </w:r>
      <w:r w:rsidR="00C439F6">
        <w:t>February 2</w:t>
      </w:r>
      <w:r w:rsidR="006D1FBA">
        <w:t>7</w:t>
      </w:r>
      <w:r w:rsidR="00F1031F">
        <w:t xml:space="preserve">, </w:t>
      </w:r>
      <w:r w:rsidR="00C439F6">
        <w:t>2024</w:t>
      </w:r>
      <w:r w:rsidR="006D1FBA">
        <w:t>,</w:t>
      </w:r>
      <w:r w:rsidR="00D31103">
        <w:t xml:space="preserve"> forty</w:t>
      </w:r>
      <w:r w:rsidR="00B473AD">
        <w:t>-</w:t>
      </w:r>
      <w:r w:rsidR="00D31103">
        <w:t xml:space="preserve">six days after the </w:t>
      </w:r>
      <w:proofErr w:type="gramStart"/>
      <w:r w:rsidR="00D31103">
        <w:t>10 day</w:t>
      </w:r>
      <w:proofErr w:type="gramEnd"/>
      <w:r w:rsidR="00D31103">
        <w:t xml:space="preserve"> deadline</w:t>
      </w:r>
      <w:r w:rsidR="00180FE8">
        <w:t xml:space="preserve"> contained</w:t>
      </w:r>
      <w:r w:rsidR="005500D1">
        <w:t xml:space="preserve"> in the Commission’s Reconsideration Ru</w:t>
      </w:r>
      <w:r w:rsidR="003A0027">
        <w:t>le</w:t>
      </w:r>
      <w:r w:rsidR="00CA0B56">
        <w:t>, 515-2-1-.08.</w:t>
      </w:r>
      <w:r w:rsidR="00C439F6" w:rsidRPr="00B41624">
        <w:t xml:space="preserve"> Georgia Power Company </w:t>
      </w:r>
      <w:r w:rsidR="00C439F6">
        <w:t xml:space="preserve">and PIA Staff </w:t>
      </w:r>
      <w:r w:rsidR="00C439F6" w:rsidRPr="00B41624">
        <w:t>submitted Response</w:t>
      </w:r>
      <w:r w:rsidR="00C439F6">
        <w:t>s</w:t>
      </w:r>
      <w:r w:rsidR="00C439F6" w:rsidRPr="00B41624">
        <w:t xml:space="preserve"> in Opposition to the Petition on</w:t>
      </w:r>
      <w:r w:rsidR="00C439F6">
        <w:t xml:space="preserve"> February 22, 2024, and February 21, 2024, respectfully.</w:t>
      </w:r>
      <w:r w:rsidR="00C439F6" w:rsidRPr="00B41624">
        <w:t xml:space="preserve">  The matter was </w:t>
      </w:r>
      <w:r w:rsidR="00C439F6">
        <w:t xml:space="preserve">discussed </w:t>
      </w:r>
      <w:r w:rsidR="00C439F6" w:rsidRPr="00B41624">
        <w:t>before the</w:t>
      </w:r>
      <w:r w:rsidR="00C439F6">
        <w:t xml:space="preserve"> </w:t>
      </w:r>
      <w:r w:rsidR="00C439F6" w:rsidRPr="00B41624">
        <w:t>Commission at its regularly scheduled Energy Committee and was denied a</w:t>
      </w:r>
      <w:r w:rsidR="00C439F6">
        <w:t xml:space="preserve">t the Commission’s </w:t>
      </w:r>
      <w:r w:rsidR="00C439F6" w:rsidRPr="00B41624">
        <w:t xml:space="preserve">Administrative Session on </w:t>
      </w:r>
      <w:r w:rsidR="00C439F6">
        <w:t>April 2, 2024</w:t>
      </w:r>
      <w:r w:rsidR="00C439F6">
        <w:rPr>
          <w:b/>
        </w:rPr>
        <w:t>.</w:t>
      </w:r>
    </w:p>
    <w:p w14:paraId="099B69DE" w14:textId="77777777" w:rsidR="00C439F6" w:rsidRPr="00B41624" w:rsidRDefault="00C439F6" w:rsidP="00C439F6">
      <w:pPr>
        <w:rPr>
          <w:b/>
        </w:rPr>
      </w:pPr>
    </w:p>
    <w:p w14:paraId="2A391DF3" w14:textId="78D6FB2D" w:rsidR="00C439F6" w:rsidRPr="00B41624" w:rsidRDefault="00C439F6" w:rsidP="00C439F6">
      <w:pPr>
        <w:ind w:firstLine="720"/>
        <w:jc w:val="both"/>
        <w:rPr>
          <w:bCs/>
        </w:rPr>
      </w:pPr>
      <w:r w:rsidRPr="00B41624">
        <w:rPr>
          <w:b/>
          <w:bCs/>
        </w:rPr>
        <w:t xml:space="preserve">WHEFORE IT IS ORDERED, </w:t>
      </w:r>
      <w:r w:rsidRPr="00B41624">
        <w:rPr>
          <w:bCs/>
        </w:rPr>
        <w:t>that</w:t>
      </w:r>
      <w:r>
        <w:rPr>
          <w:bCs/>
        </w:rPr>
        <w:t xml:space="preserve"> </w:t>
      </w:r>
      <w:r w:rsidR="00D260E5">
        <w:rPr>
          <w:bCs/>
        </w:rPr>
        <w:t>du</w:t>
      </w:r>
      <w:r w:rsidR="008A37D0">
        <w:rPr>
          <w:bCs/>
        </w:rPr>
        <w:t xml:space="preserve">e to </w:t>
      </w:r>
      <w:r>
        <w:rPr>
          <w:bCs/>
        </w:rPr>
        <w:t>CRG’s</w:t>
      </w:r>
      <w:r w:rsidR="008A37D0">
        <w:rPr>
          <w:bCs/>
        </w:rPr>
        <w:t xml:space="preserve"> tardy submi</w:t>
      </w:r>
      <w:r w:rsidR="00DC028C">
        <w:rPr>
          <w:bCs/>
        </w:rPr>
        <w:t>ssion and failure to s</w:t>
      </w:r>
      <w:r w:rsidR="00B144B6">
        <w:rPr>
          <w:bCs/>
        </w:rPr>
        <w:t>how “Good Cause</w:t>
      </w:r>
      <w:r w:rsidR="00EF6814">
        <w:rPr>
          <w:bCs/>
        </w:rPr>
        <w:t>,</w:t>
      </w:r>
      <w:r w:rsidR="00B144B6">
        <w:rPr>
          <w:bCs/>
        </w:rPr>
        <w:t>”</w:t>
      </w:r>
      <w:r w:rsidR="00EF6814">
        <w:rPr>
          <w:bCs/>
        </w:rPr>
        <w:t xml:space="preserve"> the </w:t>
      </w:r>
      <w:r>
        <w:rPr>
          <w:bCs/>
        </w:rPr>
        <w:t xml:space="preserve">Petition </w:t>
      </w:r>
      <w:r w:rsidRPr="00B41624">
        <w:rPr>
          <w:bCs/>
        </w:rPr>
        <w:t>for Rehearing and Reconsideration of the</w:t>
      </w:r>
      <w:r>
        <w:rPr>
          <w:bCs/>
        </w:rPr>
        <w:t xml:space="preserve"> Commission’s Order</w:t>
      </w:r>
      <w:r w:rsidR="001C7890">
        <w:rPr>
          <w:bCs/>
        </w:rPr>
        <w:t xml:space="preserve"> is hereby </w:t>
      </w:r>
      <w:r w:rsidRPr="00B41624">
        <w:rPr>
          <w:bCs/>
        </w:rPr>
        <w:t>denied.</w:t>
      </w:r>
    </w:p>
    <w:p w14:paraId="6C3EC4DF" w14:textId="77777777" w:rsidR="00C439F6" w:rsidRPr="00B41624" w:rsidRDefault="00C439F6" w:rsidP="00C439F6">
      <w:pPr>
        <w:ind w:firstLine="720"/>
        <w:jc w:val="both"/>
        <w:rPr>
          <w:bCs/>
        </w:rPr>
      </w:pPr>
    </w:p>
    <w:p w14:paraId="3F1397CC" w14:textId="77777777" w:rsidR="00C439F6" w:rsidRPr="00B41624" w:rsidRDefault="00C439F6" w:rsidP="00C439F6">
      <w:pPr>
        <w:ind w:firstLine="720"/>
        <w:jc w:val="both"/>
      </w:pPr>
      <w:r w:rsidRPr="00B41624">
        <w:rPr>
          <w:b/>
          <w:bCs/>
        </w:rPr>
        <w:t xml:space="preserve">ORDERED FURTHER, </w:t>
      </w:r>
      <w:r w:rsidRPr="00B41624">
        <w:t>that all findings, conclusions, statements, and directives made by the Commission and contained in the foregoing sections of this Order are hereby adopted as findings of fact, conclusions of law, statements of regulatory policy, and Orders of this Commission.</w:t>
      </w:r>
    </w:p>
    <w:p w14:paraId="6DB33F74" w14:textId="77777777" w:rsidR="00C439F6" w:rsidRPr="00B41624" w:rsidRDefault="00C439F6" w:rsidP="00C439F6">
      <w:pPr>
        <w:ind w:firstLine="720"/>
        <w:jc w:val="both"/>
      </w:pPr>
    </w:p>
    <w:p w14:paraId="109636E3" w14:textId="77777777" w:rsidR="00C439F6" w:rsidRPr="00B41624" w:rsidRDefault="00C439F6" w:rsidP="00C439F6">
      <w:pPr>
        <w:ind w:firstLine="720"/>
        <w:jc w:val="both"/>
      </w:pPr>
      <w:r w:rsidRPr="00B41624">
        <w:rPr>
          <w:b/>
          <w:bCs/>
        </w:rPr>
        <w:t>ORDERED FURTHER,</w:t>
      </w:r>
      <w:r w:rsidRPr="00B41624">
        <w:t xml:space="preserve"> that a motion for reconsideration, rehearing, or oral argument or any other motion shall not stay the effective date of this Order, unless otherwise ordered by the Commission.</w:t>
      </w:r>
    </w:p>
    <w:p w14:paraId="6DC44BBF" w14:textId="77777777" w:rsidR="00C439F6" w:rsidRPr="00B41624" w:rsidRDefault="00C439F6" w:rsidP="00C439F6">
      <w:pPr>
        <w:jc w:val="both"/>
      </w:pPr>
    </w:p>
    <w:p w14:paraId="1E9AE1D0" w14:textId="77777777" w:rsidR="00C439F6" w:rsidRPr="00B41624" w:rsidRDefault="00C439F6" w:rsidP="00C439F6">
      <w:pPr>
        <w:ind w:firstLine="720"/>
        <w:jc w:val="both"/>
      </w:pPr>
      <w:r w:rsidRPr="00B41624">
        <w:rPr>
          <w:b/>
          <w:bCs/>
        </w:rPr>
        <w:lastRenderedPageBreak/>
        <w:t>ORDERED FURTHER,</w:t>
      </w:r>
      <w:r w:rsidRPr="00B41624">
        <w:t xml:space="preserve"> that jurisdiction over these matters is expressly retained for the purpose of entering such further Order or Orders as this Commission may deem just and proper.</w:t>
      </w:r>
    </w:p>
    <w:p w14:paraId="36D5B31E" w14:textId="77777777" w:rsidR="00C439F6" w:rsidRPr="00B41624" w:rsidRDefault="00C439F6" w:rsidP="00C439F6">
      <w:pPr>
        <w:jc w:val="both"/>
      </w:pPr>
    </w:p>
    <w:p w14:paraId="3F455579" w14:textId="77777777" w:rsidR="00C439F6" w:rsidRPr="00B41624" w:rsidRDefault="00C439F6" w:rsidP="00C439F6">
      <w:pPr>
        <w:ind w:firstLine="720"/>
        <w:jc w:val="both"/>
      </w:pPr>
    </w:p>
    <w:p w14:paraId="61ECD90C" w14:textId="688571CD" w:rsidR="00C439F6" w:rsidRPr="00B41624" w:rsidRDefault="00C439F6" w:rsidP="00C439F6">
      <w:pPr>
        <w:ind w:firstLine="720"/>
        <w:jc w:val="both"/>
      </w:pPr>
      <w:r w:rsidRPr="00B41624">
        <w:t>The above by action of the Commission in its</w:t>
      </w:r>
      <w:r w:rsidR="006A395D">
        <w:t xml:space="preserve"> </w:t>
      </w:r>
      <w:r w:rsidRPr="00B41624">
        <w:t xml:space="preserve">Administrative Session on the </w:t>
      </w:r>
      <w:r w:rsidR="00632E85">
        <w:t>2nd</w:t>
      </w:r>
      <w:r w:rsidRPr="00B41624">
        <w:t xml:space="preserve"> day of </w:t>
      </w:r>
      <w:r w:rsidR="00534EEA">
        <w:t>April</w:t>
      </w:r>
      <w:r>
        <w:t xml:space="preserve"> 2024.</w:t>
      </w:r>
    </w:p>
    <w:p w14:paraId="564F963F" w14:textId="77777777" w:rsidR="00C439F6" w:rsidRDefault="00C439F6" w:rsidP="00C439F6">
      <w:pPr>
        <w:jc w:val="both"/>
      </w:pPr>
    </w:p>
    <w:p w14:paraId="7D69D996" w14:textId="77777777" w:rsidR="008E04D0" w:rsidRDefault="008E04D0" w:rsidP="00C439F6">
      <w:pPr>
        <w:jc w:val="both"/>
      </w:pPr>
    </w:p>
    <w:p w14:paraId="7F4BE512" w14:textId="77777777" w:rsidR="00F30F56" w:rsidRDefault="00F30F56" w:rsidP="00C439F6">
      <w:pPr>
        <w:jc w:val="both"/>
      </w:pPr>
    </w:p>
    <w:p w14:paraId="19C5A3A3" w14:textId="77777777" w:rsidR="00F30F56" w:rsidRPr="00B41624" w:rsidRDefault="00F30F56" w:rsidP="00C439F6">
      <w:pPr>
        <w:jc w:val="both"/>
      </w:pPr>
    </w:p>
    <w:p w14:paraId="4643D683" w14:textId="77777777" w:rsidR="00C439F6" w:rsidRPr="00B41624" w:rsidRDefault="00C439F6" w:rsidP="00C439F6">
      <w:pPr>
        <w:jc w:val="both"/>
      </w:pPr>
      <w:r w:rsidRPr="00B41624">
        <w:t>_____________________________                    </w:t>
      </w:r>
      <w:r w:rsidRPr="00B41624">
        <w:tab/>
        <w:t>______________________________</w:t>
      </w:r>
    </w:p>
    <w:p w14:paraId="33894173" w14:textId="77777777" w:rsidR="00C439F6" w:rsidRPr="00B41624" w:rsidRDefault="00C439F6" w:rsidP="00C439F6">
      <w:pPr>
        <w:jc w:val="both"/>
      </w:pPr>
      <w:r>
        <w:t>Sallie Tanner</w:t>
      </w:r>
      <w:r w:rsidRPr="00B41624">
        <w:tab/>
      </w:r>
      <w:r w:rsidRPr="00B41624">
        <w:tab/>
      </w:r>
      <w:r w:rsidRPr="00B41624">
        <w:tab/>
        <w:t xml:space="preserve">                        </w:t>
      </w:r>
      <w:r>
        <w:tab/>
        <w:t>Jason Shaw</w:t>
      </w:r>
      <w:r w:rsidRPr="00B41624">
        <w:t>                           </w:t>
      </w:r>
      <w:r w:rsidRPr="00B41624">
        <w:tab/>
        <w:t xml:space="preserve"> </w:t>
      </w:r>
    </w:p>
    <w:p w14:paraId="33A094CC" w14:textId="77777777" w:rsidR="00C439F6" w:rsidRPr="00B41624" w:rsidRDefault="00C439F6" w:rsidP="00C439F6">
      <w:pPr>
        <w:jc w:val="both"/>
      </w:pPr>
      <w:r w:rsidRPr="00B41624">
        <w:t>Executive Secretary                                                 </w:t>
      </w:r>
      <w:r w:rsidRPr="00B41624">
        <w:tab/>
        <w:t>Chairman</w:t>
      </w:r>
    </w:p>
    <w:p w14:paraId="32791C8B" w14:textId="77777777" w:rsidR="00C439F6" w:rsidRPr="00B41624" w:rsidRDefault="00C439F6" w:rsidP="00C439F6">
      <w:pPr>
        <w:jc w:val="both"/>
      </w:pPr>
    </w:p>
    <w:p w14:paraId="6B48D071" w14:textId="77777777" w:rsidR="00C439F6" w:rsidRPr="00B41624" w:rsidRDefault="00C439F6" w:rsidP="00C439F6">
      <w:pPr>
        <w:jc w:val="both"/>
      </w:pPr>
    </w:p>
    <w:p w14:paraId="637177FC" w14:textId="77777777" w:rsidR="00C439F6" w:rsidRPr="00B41624" w:rsidRDefault="00C439F6" w:rsidP="00C439F6">
      <w:pPr>
        <w:jc w:val="both"/>
      </w:pPr>
      <w:r w:rsidRPr="00B41624">
        <w:t>______________________________                        ______________________________</w:t>
      </w:r>
    </w:p>
    <w:p w14:paraId="1314DEFC" w14:textId="77777777" w:rsidR="00C439F6" w:rsidRPr="00B41624" w:rsidRDefault="00C439F6" w:rsidP="00C439F6">
      <w:pPr>
        <w:jc w:val="both"/>
      </w:pPr>
      <w:r w:rsidRPr="00B41624">
        <w:t>Date                                                                     </w:t>
      </w:r>
      <w:r w:rsidRPr="00B41624">
        <w:tab/>
        <w:t>Date</w:t>
      </w:r>
    </w:p>
    <w:p w14:paraId="22BB1442" w14:textId="77777777" w:rsidR="00C439F6" w:rsidRPr="00B41624" w:rsidRDefault="00C439F6" w:rsidP="00C439F6"/>
    <w:p w14:paraId="7E04EFFB" w14:textId="77777777" w:rsidR="00C439F6" w:rsidRDefault="00C439F6" w:rsidP="00C439F6"/>
    <w:p w14:paraId="17CE0058" w14:textId="77777777" w:rsidR="002F35B1" w:rsidRDefault="002F35B1" w:rsidP="002605A0">
      <w:pPr>
        <w:rPr>
          <w:b/>
        </w:rPr>
      </w:pPr>
    </w:p>
    <w:sectPr w:rsidR="002F3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837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11817"/>
    <w:rsid w:val="0004703F"/>
    <w:rsid w:val="0005442F"/>
    <w:rsid w:val="0006325A"/>
    <w:rsid w:val="00074CD9"/>
    <w:rsid w:val="00080C7F"/>
    <w:rsid w:val="000D4C14"/>
    <w:rsid w:val="000F3CBE"/>
    <w:rsid w:val="0010753E"/>
    <w:rsid w:val="001078BC"/>
    <w:rsid w:val="001135C3"/>
    <w:rsid w:val="0011770D"/>
    <w:rsid w:val="001704C0"/>
    <w:rsid w:val="00180FE8"/>
    <w:rsid w:val="001967E9"/>
    <w:rsid w:val="001C4F42"/>
    <w:rsid w:val="001C7890"/>
    <w:rsid w:val="001D0747"/>
    <w:rsid w:val="001F00F3"/>
    <w:rsid w:val="002125AD"/>
    <w:rsid w:val="00237B30"/>
    <w:rsid w:val="002605A0"/>
    <w:rsid w:val="00264A00"/>
    <w:rsid w:val="00285E1B"/>
    <w:rsid w:val="00291C03"/>
    <w:rsid w:val="00294C1E"/>
    <w:rsid w:val="002A3D95"/>
    <w:rsid w:val="002A61FE"/>
    <w:rsid w:val="002B5184"/>
    <w:rsid w:val="002C0036"/>
    <w:rsid w:val="002C6DD1"/>
    <w:rsid w:val="002F3352"/>
    <w:rsid w:val="002F35B1"/>
    <w:rsid w:val="003065A8"/>
    <w:rsid w:val="003129FD"/>
    <w:rsid w:val="0031366D"/>
    <w:rsid w:val="00354AF9"/>
    <w:rsid w:val="00390F99"/>
    <w:rsid w:val="003A0027"/>
    <w:rsid w:val="003A0D04"/>
    <w:rsid w:val="003B1182"/>
    <w:rsid w:val="003E1F60"/>
    <w:rsid w:val="003F2763"/>
    <w:rsid w:val="003F2D12"/>
    <w:rsid w:val="00467B71"/>
    <w:rsid w:val="00476AA2"/>
    <w:rsid w:val="004779AD"/>
    <w:rsid w:val="0048564B"/>
    <w:rsid w:val="00494A05"/>
    <w:rsid w:val="004A4B92"/>
    <w:rsid w:val="004C622C"/>
    <w:rsid w:val="004D75CE"/>
    <w:rsid w:val="004D7BC6"/>
    <w:rsid w:val="005176AF"/>
    <w:rsid w:val="00520BC6"/>
    <w:rsid w:val="00521687"/>
    <w:rsid w:val="00521FEE"/>
    <w:rsid w:val="00534EEA"/>
    <w:rsid w:val="005500D1"/>
    <w:rsid w:val="005529E4"/>
    <w:rsid w:val="00553DA4"/>
    <w:rsid w:val="005616FC"/>
    <w:rsid w:val="005B0FA6"/>
    <w:rsid w:val="005F2927"/>
    <w:rsid w:val="005F7054"/>
    <w:rsid w:val="00611A1D"/>
    <w:rsid w:val="00611BD9"/>
    <w:rsid w:val="006154D7"/>
    <w:rsid w:val="006306C1"/>
    <w:rsid w:val="00632E85"/>
    <w:rsid w:val="006465C2"/>
    <w:rsid w:val="00670AF6"/>
    <w:rsid w:val="00673564"/>
    <w:rsid w:val="006862E4"/>
    <w:rsid w:val="00692138"/>
    <w:rsid w:val="006952CD"/>
    <w:rsid w:val="006A2770"/>
    <w:rsid w:val="006A395D"/>
    <w:rsid w:val="006A4919"/>
    <w:rsid w:val="006A4F39"/>
    <w:rsid w:val="006A5FC2"/>
    <w:rsid w:val="006D1FBA"/>
    <w:rsid w:val="006D6992"/>
    <w:rsid w:val="006E65D8"/>
    <w:rsid w:val="00737D82"/>
    <w:rsid w:val="00761035"/>
    <w:rsid w:val="007C40EE"/>
    <w:rsid w:val="007D1A4F"/>
    <w:rsid w:val="007D22E1"/>
    <w:rsid w:val="00810B63"/>
    <w:rsid w:val="00886BED"/>
    <w:rsid w:val="00891971"/>
    <w:rsid w:val="00891ADD"/>
    <w:rsid w:val="00897E9B"/>
    <w:rsid w:val="008A37D0"/>
    <w:rsid w:val="008C6A21"/>
    <w:rsid w:val="008E04D0"/>
    <w:rsid w:val="008F38EF"/>
    <w:rsid w:val="00912254"/>
    <w:rsid w:val="00945A5F"/>
    <w:rsid w:val="009572C5"/>
    <w:rsid w:val="00994AB6"/>
    <w:rsid w:val="009A4D99"/>
    <w:rsid w:val="009A6D98"/>
    <w:rsid w:val="009E3A61"/>
    <w:rsid w:val="009E6D0D"/>
    <w:rsid w:val="00A02CE7"/>
    <w:rsid w:val="00A74FA8"/>
    <w:rsid w:val="00A958CB"/>
    <w:rsid w:val="00AC4624"/>
    <w:rsid w:val="00AF7496"/>
    <w:rsid w:val="00B0281D"/>
    <w:rsid w:val="00B11BEB"/>
    <w:rsid w:val="00B144B6"/>
    <w:rsid w:val="00B158AF"/>
    <w:rsid w:val="00B40DC2"/>
    <w:rsid w:val="00B42516"/>
    <w:rsid w:val="00B45E0B"/>
    <w:rsid w:val="00B473AD"/>
    <w:rsid w:val="00BA2A06"/>
    <w:rsid w:val="00BC27C0"/>
    <w:rsid w:val="00BD2F2B"/>
    <w:rsid w:val="00BF3944"/>
    <w:rsid w:val="00C207AF"/>
    <w:rsid w:val="00C36999"/>
    <w:rsid w:val="00C439F6"/>
    <w:rsid w:val="00C55B2E"/>
    <w:rsid w:val="00C833E9"/>
    <w:rsid w:val="00CA0B56"/>
    <w:rsid w:val="00CD41DD"/>
    <w:rsid w:val="00D00357"/>
    <w:rsid w:val="00D260E5"/>
    <w:rsid w:val="00D31103"/>
    <w:rsid w:val="00D67512"/>
    <w:rsid w:val="00DC028C"/>
    <w:rsid w:val="00DC7E18"/>
    <w:rsid w:val="00DE40A2"/>
    <w:rsid w:val="00E112AD"/>
    <w:rsid w:val="00E126DF"/>
    <w:rsid w:val="00E6195F"/>
    <w:rsid w:val="00E87C44"/>
    <w:rsid w:val="00E92FA4"/>
    <w:rsid w:val="00EA6054"/>
    <w:rsid w:val="00EB508F"/>
    <w:rsid w:val="00EB71E0"/>
    <w:rsid w:val="00ED2328"/>
    <w:rsid w:val="00EF6814"/>
    <w:rsid w:val="00F1031F"/>
    <w:rsid w:val="00F233EE"/>
    <w:rsid w:val="00F30F56"/>
    <w:rsid w:val="00F64B8A"/>
    <w:rsid w:val="00F721DF"/>
    <w:rsid w:val="00F97107"/>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NormalWeb">
    <w:name w:val="Normal (Web)"/>
    <w:basedOn w:val="Normal"/>
    <w:uiPriority w:val="99"/>
    <w:unhideWhenUsed/>
    <w:rsid w:val="006306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68386">
      <w:bodyDiv w:val="1"/>
      <w:marLeft w:val="0"/>
      <w:marRight w:val="0"/>
      <w:marTop w:val="0"/>
      <w:marBottom w:val="0"/>
      <w:divBdr>
        <w:top w:val="none" w:sz="0" w:space="0" w:color="auto"/>
        <w:left w:val="none" w:sz="0" w:space="0" w:color="auto"/>
        <w:bottom w:val="none" w:sz="0" w:space="0" w:color="auto"/>
        <w:right w:val="none" w:sz="0" w:space="0" w:color="auto"/>
      </w:divBdr>
    </w:div>
    <w:div w:id="194572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395</Words>
  <Characters>2248</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Nancy Gibson</cp:lastModifiedBy>
  <cp:revision>89</cp:revision>
  <cp:lastPrinted>2023-07-19T17:45:00Z</cp:lastPrinted>
  <dcterms:created xsi:type="dcterms:W3CDTF">2023-08-14T13:43:00Z</dcterms:created>
  <dcterms:modified xsi:type="dcterms:W3CDTF">2024-04-04T14:30:00Z</dcterms:modified>
</cp:coreProperties>
</file>