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03CA" w14:textId="77777777" w:rsidR="009C7B85" w:rsidRDefault="009C7B85" w:rsidP="009C7B85">
      <w:pPr>
        <w:rPr>
          <w:b/>
        </w:rPr>
      </w:pPr>
    </w:p>
    <w:p w14:paraId="25471F39" w14:textId="79D4209B" w:rsidR="009C7B85" w:rsidRPr="00DE0E0E" w:rsidRDefault="009C7B85" w:rsidP="009C7B85">
      <w:pPr>
        <w:jc w:val="center"/>
        <w:rPr>
          <w:b/>
        </w:rPr>
      </w:pPr>
      <w:r w:rsidRPr="00DE0E0E">
        <w:rPr>
          <w:b/>
        </w:rPr>
        <w:t xml:space="preserve">Docket No. </w:t>
      </w:r>
      <w:r w:rsidR="009C5ABF">
        <w:rPr>
          <w:b/>
        </w:rPr>
        <w:t>437</w:t>
      </w:r>
      <w:r w:rsidR="00ED242D">
        <w:rPr>
          <w:b/>
        </w:rPr>
        <w:t>0</w:t>
      </w:r>
      <w:r w:rsidR="009C5ABF">
        <w:rPr>
          <w:b/>
        </w:rPr>
        <w:t>3</w:t>
      </w:r>
    </w:p>
    <w:p w14:paraId="34858215" w14:textId="77777777" w:rsidR="009C7B85" w:rsidRPr="00DE0E0E" w:rsidRDefault="009C7B85" w:rsidP="009C7B85"/>
    <w:p w14:paraId="00DC3833" w14:textId="77777777" w:rsidR="009C7B85" w:rsidRPr="00DE0E0E" w:rsidRDefault="009C7B85" w:rsidP="009C7B85"/>
    <w:p w14:paraId="65809365" w14:textId="1C7733BD" w:rsidR="009C5ABF" w:rsidRPr="00B57229" w:rsidRDefault="009C7B85" w:rsidP="00ED242D">
      <w:pPr>
        <w:ind w:left="1440" w:hanging="1440"/>
      </w:pPr>
      <w:r w:rsidRPr="00DE0E0E">
        <w:t>In Re:</w:t>
      </w:r>
      <w:r w:rsidRPr="00DE0E0E">
        <w:tab/>
      </w:r>
      <w:r w:rsidR="00ED242D" w:rsidRPr="00183D66">
        <w:t xml:space="preserve">Application of </w:t>
      </w:r>
      <w:proofErr w:type="spellStart"/>
      <w:r w:rsidR="00ED242D" w:rsidRPr="00183D66">
        <w:t>Starlink</w:t>
      </w:r>
      <w:proofErr w:type="spellEnd"/>
      <w:r w:rsidR="00ED242D" w:rsidRPr="00183D66">
        <w:t xml:space="preserve"> Services, LLC for Designation as an Eligible Telecommunications Carrier for Purposes of Receiving Rural Digital Opportunity Fund Support</w:t>
      </w:r>
    </w:p>
    <w:p w14:paraId="7F063BF3" w14:textId="77777777" w:rsidR="009C7B85" w:rsidRPr="00DE0E0E" w:rsidRDefault="009C7B85" w:rsidP="004A571F">
      <w:pPr>
        <w:ind w:left="1440" w:hanging="1440"/>
      </w:pPr>
    </w:p>
    <w:p w14:paraId="2D36D300" w14:textId="77777777" w:rsidR="009C7B85" w:rsidRPr="00DE0E0E" w:rsidRDefault="009C7B85" w:rsidP="009C7B85"/>
    <w:p w14:paraId="2B4970A8" w14:textId="2C8A25BD" w:rsidR="009C7B85" w:rsidRPr="00DE0E0E" w:rsidRDefault="009C7B85" w:rsidP="009C7B85">
      <w:pPr>
        <w:jc w:val="center"/>
        <w:rPr>
          <w:b/>
          <w:u w:val="single"/>
        </w:rPr>
      </w:pPr>
      <w:r w:rsidRPr="00DE0E0E">
        <w:rPr>
          <w:b/>
          <w:u w:val="single"/>
        </w:rPr>
        <w:t>ORDER APPROVING RELINQUISHMENT OF ETC DESIGNATION</w:t>
      </w:r>
    </w:p>
    <w:p w14:paraId="3B73A5B6" w14:textId="77777777" w:rsidR="009C7B85" w:rsidRPr="00DE0E0E" w:rsidRDefault="009C7B85" w:rsidP="009C7B85">
      <w:pPr>
        <w:rPr>
          <w:b/>
          <w:u w:val="single"/>
        </w:rPr>
      </w:pPr>
    </w:p>
    <w:p w14:paraId="5EA9184C" w14:textId="77777777" w:rsidR="009C7B85" w:rsidRPr="00DE0E0E" w:rsidRDefault="009C7B85" w:rsidP="009C7B85">
      <w:pPr>
        <w:numPr>
          <w:ilvl w:val="0"/>
          <w:numId w:val="2"/>
        </w:numPr>
        <w:ind w:left="0" w:firstLine="0"/>
        <w:jc w:val="both"/>
        <w:rPr>
          <w:b/>
        </w:rPr>
      </w:pPr>
      <w:r w:rsidRPr="00DE0E0E">
        <w:rPr>
          <w:b/>
        </w:rPr>
        <w:t>Background</w:t>
      </w:r>
    </w:p>
    <w:p w14:paraId="18160C01" w14:textId="77777777" w:rsidR="009C7B85" w:rsidRPr="00DE0E0E" w:rsidRDefault="009C7B85" w:rsidP="009C7B85">
      <w:pPr>
        <w:jc w:val="both"/>
        <w:rPr>
          <w:b/>
        </w:rPr>
      </w:pPr>
    </w:p>
    <w:p w14:paraId="15AF54AA" w14:textId="2C3D059E" w:rsidR="00CD1C36" w:rsidRDefault="00ED242D" w:rsidP="009C7B85">
      <w:pPr>
        <w:ind w:firstLine="720"/>
        <w:jc w:val="both"/>
      </w:pPr>
      <w:r w:rsidRPr="00183D66">
        <w:t xml:space="preserve">On January 4, 2021, </w:t>
      </w:r>
      <w:proofErr w:type="spellStart"/>
      <w:r w:rsidRPr="00183D66">
        <w:t>Starlink</w:t>
      </w:r>
      <w:proofErr w:type="spellEnd"/>
      <w:r w:rsidRPr="00183D66">
        <w:t xml:space="preserve"> Services, LLC (“</w:t>
      </w:r>
      <w:proofErr w:type="spellStart"/>
      <w:r w:rsidRPr="00183D66">
        <w:t>Starlink</w:t>
      </w:r>
      <w:proofErr w:type="spellEnd"/>
      <w:r w:rsidRPr="00183D66">
        <w:t>”) filed with the Georgia Public Service Commission its Application for Designation as an Eligible Telecommunications Carrier for Purposes of Receiving Rural Digital Opportunity Fund Support</w:t>
      </w:r>
      <w:r>
        <w:t>.</w:t>
      </w:r>
    </w:p>
    <w:p w14:paraId="66CE1007" w14:textId="77777777" w:rsidR="00ED242D" w:rsidRPr="00DE0E0E" w:rsidRDefault="00ED242D" w:rsidP="009C7B85">
      <w:pPr>
        <w:ind w:firstLine="720"/>
        <w:jc w:val="both"/>
        <w:rPr>
          <w:bCs/>
        </w:rPr>
      </w:pPr>
    </w:p>
    <w:p w14:paraId="4735121F" w14:textId="1437B077" w:rsidR="00CD1C36" w:rsidRPr="00DE0E0E" w:rsidRDefault="00CD1C36" w:rsidP="009C7B85">
      <w:pPr>
        <w:ind w:firstLine="720"/>
        <w:jc w:val="both"/>
        <w:rPr>
          <w:bCs/>
        </w:rPr>
      </w:pPr>
      <w:r w:rsidRPr="00DE0E0E">
        <w:rPr>
          <w:bCs/>
        </w:rPr>
        <w:t xml:space="preserve">On </w:t>
      </w:r>
      <w:r w:rsidR="00ED242D">
        <w:rPr>
          <w:bCs/>
        </w:rPr>
        <w:t>June 7,</w:t>
      </w:r>
      <w:r w:rsidRPr="00DE0E0E">
        <w:rPr>
          <w:bCs/>
        </w:rPr>
        <w:t xml:space="preserve"> 2021, the Commission issued an order granting ETC designation to </w:t>
      </w:r>
      <w:proofErr w:type="spellStart"/>
      <w:r w:rsidR="00ED242D">
        <w:rPr>
          <w:bCs/>
        </w:rPr>
        <w:t>Starlink</w:t>
      </w:r>
      <w:proofErr w:type="spellEnd"/>
      <w:r w:rsidRPr="00DE0E0E">
        <w:rPr>
          <w:bCs/>
        </w:rPr>
        <w:t>.</w:t>
      </w:r>
    </w:p>
    <w:p w14:paraId="6E7AAC20" w14:textId="77777777" w:rsidR="00CD1C36" w:rsidRPr="00DE0E0E" w:rsidRDefault="00CD1C36" w:rsidP="009C7B85">
      <w:pPr>
        <w:ind w:firstLine="720"/>
        <w:jc w:val="both"/>
        <w:rPr>
          <w:bCs/>
        </w:rPr>
      </w:pPr>
    </w:p>
    <w:p w14:paraId="36467675" w14:textId="6C55C5DB" w:rsidR="00CD1C36" w:rsidRPr="00DE0E0E" w:rsidRDefault="00CD1C36" w:rsidP="009C7B85">
      <w:pPr>
        <w:ind w:firstLine="720"/>
        <w:jc w:val="both"/>
        <w:rPr>
          <w:bCs/>
        </w:rPr>
      </w:pPr>
      <w:r w:rsidRPr="00D62A10">
        <w:rPr>
          <w:bCs/>
        </w:rPr>
        <w:t xml:space="preserve">On </w:t>
      </w:r>
      <w:r w:rsidR="00ED242D" w:rsidRPr="00D62A10">
        <w:rPr>
          <w:bCs/>
        </w:rPr>
        <w:t>February 16, 2024</w:t>
      </w:r>
      <w:r w:rsidR="004C3B3F" w:rsidRPr="00D62A10">
        <w:rPr>
          <w:bCs/>
        </w:rPr>
        <w:t xml:space="preserve">, </w:t>
      </w:r>
      <w:proofErr w:type="spellStart"/>
      <w:r w:rsidR="00ED242D" w:rsidRPr="00D62A10">
        <w:rPr>
          <w:bCs/>
        </w:rPr>
        <w:t>Starlink</w:t>
      </w:r>
      <w:proofErr w:type="spellEnd"/>
      <w:r w:rsidR="004C3B3F" w:rsidRPr="00D62A10">
        <w:rPr>
          <w:bCs/>
        </w:rPr>
        <w:t xml:space="preserve"> filed its </w:t>
      </w:r>
      <w:r w:rsidR="00ED242D" w:rsidRPr="00D62A10">
        <w:rPr>
          <w:bCs/>
        </w:rPr>
        <w:t>Request for Relinquishment of Certificates of Authority</w:t>
      </w:r>
      <w:r w:rsidR="004C3B3F" w:rsidRPr="00D62A10">
        <w:rPr>
          <w:bCs/>
        </w:rPr>
        <w:t xml:space="preserve"> (“</w:t>
      </w:r>
      <w:r w:rsidR="00ED242D" w:rsidRPr="00D62A10">
        <w:rPr>
          <w:bCs/>
        </w:rPr>
        <w:t>Request</w:t>
      </w:r>
      <w:r w:rsidR="004C3B3F" w:rsidRPr="00D62A10">
        <w:rPr>
          <w:bCs/>
        </w:rPr>
        <w:t xml:space="preserve">”).  </w:t>
      </w:r>
      <w:r w:rsidR="002F5672" w:rsidRPr="00D62A10">
        <w:rPr>
          <w:bCs/>
        </w:rPr>
        <w:t xml:space="preserve">In its </w:t>
      </w:r>
      <w:r w:rsidR="00ED242D" w:rsidRPr="00D62A10">
        <w:rPr>
          <w:bCs/>
        </w:rPr>
        <w:t>Request</w:t>
      </w:r>
      <w:r w:rsidR="002F5672" w:rsidRPr="00D62A10">
        <w:rPr>
          <w:bCs/>
        </w:rPr>
        <w:t xml:space="preserve">, </w:t>
      </w:r>
      <w:proofErr w:type="spellStart"/>
      <w:r w:rsidR="00ED242D" w:rsidRPr="00D62A10">
        <w:rPr>
          <w:bCs/>
        </w:rPr>
        <w:t>Starlink</w:t>
      </w:r>
      <w:proofErr w:type="spellEnd"/>
      <w:r w:rsidR="002F5672" w:rsidRPr="00D62A10">
        <w:rPr>
          <w:bCs/>
        </w:rPr>
        <w:t xml:space="preserve"> states:</w:t>
      </w:r>
    </w:p>
    <w:p w14:paraId="06CCA265" w14:textId="77777777" w:rsidR="002F5672" w:rsidRPr="00DE0E0E" w:rsidRDefault="002F5672" w:rsidP="009C7B85">
      <w:pPr>
        <w:ind w:firstLine="720"/>
        <w:jc w:val="both"/>
        <w:rPr>
          <w:bCs/>
        </w:rPr>
      </w:pPr>
    </w:p>
    <w:p w14:paraId="12A9D951" w14:textId="25742F6F" w:rsidR="002F5672" w:rsidRPr="00DE0E0E" w:rsidRDefault="00ED242D" w:rsidP="002F5672">
      <w:pPr>
        <w:ind w:left="720" w:right="720"/>
        <w:jc w:val="both"/>
        <w:rPr>
          <w:bCs/>
        </w:rPr>
      </w:pPr>
      <w:r>
        <w:rPr>
          <w:bCs/>
        </w:rPr>
        <w:t>[T]</w:t>
      </w:r>
      <w:r w:rsidRPr="00ED242D">
        <w:rPr>
          <w:bCs/>
        </w:rPr>
        <w:t xml:space="preserve">he Wireless Communications Bureau (“Bureau”) denied </w:t>
      </w:r>
      <w:proofErr w:type="spellStart"/>
      <w:r w:rsidRPr="00ED242D">
        <w:rPr>
          <w:bCs/>
        </w:rPr>
        <w:t>Starlink’s</w:t>
      </w:r>
      <w:proofErr w:type="spellEnd"/>
      <w:r w:rsidRPr="00ED242D">
        <w:rPr>
          <w:bCs/>
        </w:rPr>
        <w:t xml:space="preserve"> RDOF “Long Form” application.  </w:t>
      </w:r>
      <w:proofErr w:type="spellStart"/>
      <w:r w:rsidRPr="00ED242D">
        <w:rPr>
          <w:bCs/>
        </w:rPr>
        <w:t>Starlink</w:t>
      </w:r>
      <w:proofErr w:type="spellEnd"/>
      <w:r w:rsidRPr="00ED242D">
        <w:rPr>
          <w:bCs/>
        </w:rPr>
        <w:t xml:space="preserve"> appealed this Bureau decision to the FCC, and the FCC later affirmed the Bureau’s decision.  As a result, </w:t>
      </w:r>
      <w:proofErr w:type="spellStart"/>
      <w:r w:rsidRPr="00ED242D">
        <w:rPr>
          <w:bCs/>
        </w:rPr>
        <w:t>Starlink</w:t>
      </w:r>
      <w:proofErr w:type="spellEnd"/>
      <w:r w:rsidRPr="00ED242D">
        <w:rPr>
          <w:bCs/>
        </w:rPr>
        <w:t xml:space="preserve"> will not receive any RDOF support to provide service in Georgia.  </w:t>
      </w:r>
      <w:proofErr w:type="spellStart"/>
      <w:r w:rsidRPr="00ED242D">
        <w:rPr>
          <w:bCs/>
        </w:rPr>
        <w:t>Starlink</w:t>
      </w:r>
      <w:proofErr w:type="spellEnd"/>
      <w:r w:rsidRPr="00ED242D">
        <w:rPr>
          <w:bCs/>
        </w:rPr>
        <w:t xml:space="preserve"> is deeply disappointed and perplexed by the FCC’s decision to exclude the </w:t>
      </w:r>
      <w:proofErr w:type="spellStart"/>
      <w:r w:rsidRPr="00ED242D">
        <w:rPr>
          <w:bCs/>
        </w:rPr>
        <w:t>Starlink</w:t>
      </w:r>
      <w:proofErr w:type="spellEnd"/>
      <w:r w:rsidRPr="00ED242D">
        <w:rPr>
          <w:bCs/>
        </w:rPr>
        <w:t xml:space="preserve"> satellite broadband service from RDOF, a decision that directly undermines the very goal of RDOF: to connect unserved and underserved Americans.  As a result of these changed circumstances, </w:t>
      </w:r>
      <w:proofErr w:type="spellStart"/>
      <w:r w:rsidRPr="00ED242D">
        <w:rPr>
          <w:bCs/>
        </w:rPr>
        <w:t>Starlink</w:t>
      </w:r>
      <w:proofErr w:type="spellEnd"/>
      <w:r w:rsidRPr="00ED242D">
        <w:rPr>
          <w:bCs/>
        </w:rPr>
        <w:t xml:space="preserve"> respectfully requests to relinquish the Authorizations.  Authority for this request lies in 47 U.S.C. § 214 (e)(4), which permits an ETC to relinquish its authorization for an area served by another ETC, or where existing customers will continue to be served.  There are no existing </w:t>
      </w:r>
      <w:proofErr w:type="spellStart"/>
      <w:r w:rsidRPr="00ED242D">
        <w:rPr>
          <w:bCs/>
        </w:rPr>
        <w:t>Starlink</w:t>
      </w:r>
      <w:proofErr w:type="spellEnd"/>
      <w:r w:rsidRPr="00ED242D">
        <w:rPr>
          <w:bCs/>
        </w:rPr>
        <w:t xml:space="preserve"> subscribers to consider in connection with </w:t>
      </w:r>
      <w:proofErr w:type="spellStart"/>
      <w:r w:rsidRPr="00ED242D">
        <w:rPr>
          <w:bCs/>
        </w:rPr>
        <w:t>Starlink’s</w:t>
      </w:r>
      <w:proofErr w:type="spellEnd"/>
      <w:r w:rsidRPr="00ED242D">
        <w:rPr>
          <w:bCs/>
        </w:rPr>
        <w:t xml:space="preserve"> relinquishment of the Authorizations, thereby making customer notification unnecessary.  </w:t>
      </w:r>
      <w:proofErr w:type="spellStart"/>
      <w:r w:rsidRPr="00ED242D">
        <w:rPr>
          <w:bCs/>
        </w:rPr>
        <w:t>Starlink</w:t>
      </w:r>
      <w:proofErr w:type="spellEnd"/>
      <w:r w:rsidRPr="00ED242D">
        <w:rPr>
          <w:bCs/>
        </w:rPr>
        <w:t xml:space="preserve"> respectfully requests </w:t>
      </w:r>
      <w:r w:rsidRPr="00ED242D">
        <w:rPr>
          <w:bCs/>
        </w:rPr>
        <w:lastRenderedPageBreak/>
        <w:t xml:space="preserve">expedited consideration of this request.  </w:t>
      </w:r>
      <w:proofErr w:type="spellStart"/>
      <w:r w:rsidRPr="00ED242D">
        <w:rPr>
          <w:bCs/>
        </w:rPr>
        <w:t>Starlink</w:t>
      </w:r>
      <w:proofErr w:type="spellEnd"/>
      <w:r w:rsidRPr="00ED242D">
        <w:rPr>
          <w:bCs/>
        </w:rPr>
        <w:t xml:space="preserve"> further states that the unregulated </w:t>
      </w:r>
      <w:proofErr w:type="spellStart"/>
      <w:r w:rsidRPr="00ED242D">
        <w:rPr>
          <w:bCs/>
        </w:rPr>
        <w:t>Starlink</w:t>
      </w:r>
      <w:proofErr w:type="spellEnd"/>
      <w:r w:rsidRPr="00ED242D">
        <w:rPr>
          <w:bCs/>
        </w:rPr>
        <w:t xml:space="preserve">-branded broadband service provided by Space Exploration Technologies Corp., a separate affiliate, remains available in Georgia and that this relinquishment will have no impact on those subscribers.  </w:t>
      </w:r>
    </w:p>
    <w:p w14:paraId="237A964F" w14:textId="77777777" w:rsidR="00ED242D" w:rsidRDefault="00ED242D" w:rsidP="002F5672">
      <w:pPr>
        <w:ind w:left="720" w:right="720"/>
        <w:jc w:val="both"/>
        <w:rPr>
          <w:bCs/>
          <w:i/>
          <w:iCs/>
        </w:rPr>
      </w:pPr>
    </w:p>
    <w:p w14:paraId="5F0829FB" w14:textId="6E431C81" w:rsidR="002F5672" w:rsidRPr="00DE0E0E" w:rsidRDefault="00ED242D" w:rsidP="002F5672">
      <w:pPr>
        <w:ind w:left="720" w:right="720"/>
        <w:jc w:val="both"/>
        <w:rPr>
          <w:bCs/>
          <w:i/>
          <w:iCs/>
        </w:rPr>
      </w:pPr>
      <w:r>
        <w:rPr>
          <w:bCs/>
          <w:i/>
          <w:iCs/>
        </w:rPr>
        <w:t>Request</w:t>
      </w:r>
      <w:r w:rsidR="002F5672" w:rsidRPr="00DE0E0E">
        <w:rPr>
          <w:bCs/>
          <w:i/>
          <w:iCs/>
        </w:rPr>
        <w:t xml:space="preserve">, </w:t>
      </w:r>
      <w:r w:rsidR="009C5ABF" w:rsidRPr="004A571F">
        <w:rPr>
          <w:bCs/>
        </w:rPr>
        <w:t xml:space="preserve">p. </w:t>
      </w:r>
      <w:r>
        <w:rPr>
          <w:bCs/>
        </w:rPr>
        <w:t>1</w:t>
      </w:r>
      <w:r w:rsidR="00AB2EF1" w:rsidRPr="004A571F">
        <w:rPr>
          <w:bCs/>
        </w:rPr>
        <w:t xml:space="preserve">. </w:t>
      </w:r>
      <w:r>
        <w:rPr>
          <w:bCs/>
        </w:rPr>
        <w:t>Footnotes</w:t>
      </w:r>
      <w:r w:rsidR="00AB2EF1" w:rsidRPr="004A571F">
        <w:rPr>
          <w:bCs/>
        </w:rPr>
        <w:t xml:space="preserve"> omitted.</w:t>
      </w:r>
    </w:p>
    <w:p w14:paraId="20D74786" w14:textId="77777777" w:rsidR="009C7B85" w:rsidRPr="00DE0E0E" w:rsidRDefault="009C7B85" w:rsidP="009C7B85">
      <w:pPr>
        <w:jc w:val="both"/>
        <w:rPr>
          <w:b/>
        </w:rPr>
      </w:pPr>
    </w:p>
    <w:p w14:paraId="7DDFAC41" w14:textId="77777777" w:rsidR="009C7B85" w:rsidRPr="00DE0E0E" w:rsidRDefault="009C7B85" w:rsidP="009C7B85">
      <w:pPr>
        <w:jc w:val="both"/>
        <w:rPr>
          <w:b/>
        </w:rPr>
      </w:pPr>
    </w:p>
    <w:p w14:paraId="08E02BE2" w14:textId="77777777" w:rsidR="009C7B85" w:rsidRPr="00DE0E0E" w:rsidRDefault="009C7B85" w:rsidP="009C7B85">
      <w:pPr>
        <w:numPr>
          <w:ilvl w:val="0"/>
          <w:numId w:val="2"/>
        </w:numPr>
        <w:ind w:left="0" w:firstLine="0"/>
        <w:jc w:val="both"/>
        <w:rPr>
          <w:b/>
        </w:rPr>
      </w:pPr>
      <w:r w:rsidRPr="00DE0E0E">
        <w:rPr>
          <w:b/>
        </w:rPr>
        <w:t>Staff Recommendation</w:t>
      </w:r>
    </w:p>
    <w:p w14:paraId="1B0030BB" w14:textId="77777777" w:rsidR="009C7B85" w:rsidRPr="00DE0E0E" w:rsidRDefault="009C7B85" w:rsidP="009C7B85">
      <w:pPr>
        <w:jc w:val="both"/>
      </w:pPr>
    </w:p>
    <w:p w14:paraId="715A2F2D" w14:textId="4F751781" w:rsidR="009C7B85" w:rsidRPr="00DE0E0E" w:rsidRDefault="00AF0D9E" w:rsidP="009B5FF4">
      <w:pPr>
        <w:ind w:firstLine="720"/>
        <w:rPr>
          <w:bCs/>
        </w:rPr>
      </w:pPr>
      <w:r w:rsidRPr="00DE0E0E">
        <w:rPr>
          <w:bCs/>
        </w:rPr>
        <w:t xml:space="preserve">Staff </w:t>
      </w:r>
      <w:r w:rsidR="001124BD">
        <w:rPr>
          <w:bCs/>
        </w:rPr>
        <w:t>concluded</w:t>
      </w:r>
      <w:r w:rsidR="009B5FF4" w:rsidRPr="00DE0E0E">
        <w:rPr>
          <w:bCs/>
        </w:rPr>
        <w:t xml:space="preserve"> that </w:t>
      </w:r>
      <w:proofErr w:type="spellStart"/>
      <w:r w:rsidR="009064AB">
        <w:rPr>
          <w:bCs/>
        </w:rPr>
        <w:t>Starlink</w:t>
      </w:r>
      <w:proofErr w:type="spellEnd"/>
      <w:r w:rsidR="009B5FF4" w:rsidRPr="00DE0E0E">
        <w:rPr>
          <w:bCs/>
        </w:rPr>
        <w:t xml:space="preserve"> met the requirements for relinquishment</w:t>
      </w:r>
      <w:r w:rsidR="00ED242D">
        <w:rPr>
          <w:bCs/>
        </w:rPr>
        <w:t xml:space="preserve"> in 47 U.S.C. § 214(e)(4)</w:t>
      </w:r>
      <w:r w:rsidR="009B5FF4" w:rsidRPr="00DE0E0E">
        <w:rPr>
          <w:bCs/>
        </w:rPr>
        <w:t xml:space="preserve"> and </w:t>
      </w:r>
      <w:r w:rsidRPr="00DE0E0E">
        <w:rPr>
          <w:bCs/>
        </w:rPr>
        <w:t xml:space="preserve">recommended approval of </w:t>
      </w:r>
      <w:proofErr w:type="spellStart"/>
      <w:r w:rsidR="009064AB">
        <w:rPr>
          <w:bCs/>
        </w:rPr>
        <w:t>Starlink’s</w:t>
      </w:r>
      <w:proofErr w:type="spellEnd"/>
      <w:r w:rsidRPr="00DE0E0E">
        <w:rPr>
          <w:bCs/>
        </w:rPr>
        <w:t xml:space="preserve"> request.</w:t>
      </w:r>
    </w:p>
    <w:p w14:paraId="2BD0C8DC" w14:textId="77777777" w:rsidR="009C7B85" w:rsidRDefault="009C7B85" w:rsidP="009C7B85">
      <w:pPr>
        <w:rPr>
          <w:b/>
        </w:rPr>
      </w:pPr>
    </w:p>
    <w:p w14:paraId="30A7E864" w14:textId="77777777" w:rsidR="00D62A10" w:rsidRPr="00DE0E0E" w:rsidRDefault="00D62A10" w:rsidP="009C7B85">
      <w:pPr>
        <w:rPr>
          <w:b/>
        </w:rPr>
      </w:pPr>
    </w:p>
    <w:p w14:paraId="03B66EFA" w14:textId="77777777" w:rsidR="009C7B85" w:rsidRPr="00DE0E0E" w:rsidRDefault="009C7B85" w:rsidP="009C7B85">
      <w:pPr>
        <w:jc w:val="both"/>
        <w:rPr>
          <w:b/>
        </w:rPr>
      </w:pPr>
      <w:r w:rsidRPr="00DE0E0E">
        <w:rPr>
          <w:b/>
        </w:rPr>
        <w:t>III.</w:t>
      </w:r>
      <w:r w:rsidRPr="00DE0E0E">
        <w:rPr>
          <w:b/>
        </w:rPr>
        <w:tab/>
        <w:t>Commission Decision</w:t>
      </w:r>
    </w:p>
    <w:p w14:paraId="08CC1223" w14:textId="77777777" w:rsidR="009C7B85" w:rsidRPr="00DE0E0E" w:rsidRDefault="009C7B85" w:rsidP="009C7B85">
      <w:pPr>
        <w:jc w:val="both"/>
      </w:pPr>
    </w:p>
    <w:p w14:paraId="17E08DBA" w14:textId="77777777" w:rsidR="009C7B85" w:rsidRPr="00DE0E0E" w:rsidRDefault="009C7B85" w:rsidP="009C7B85">
      <w:pPr>
        <w:jc w:val="both"/>
      </w:pPr>
      <w:r w:rsidRPr="00DE0E0E">
        <w:tab/>
        <w:t>The Commission adopts the Staff’s recommendation for the reasons stated therein.</w:t>
      </w:r>
    </w:p>
    <w:p w14:paraId="1CA9D736" w14:textId="77777777" w:rsidR="009C7B85" w:rsidRPr="00DE0E0E" w:rsidRDefault="009C7B85" w:rsidP="009C7B85">
      <w:pPr>
        <w:rPr>
          <w:b/>
        </w:rPr>
      </w:pPr>
    </w:p>
    <w:p w14:paraId="3636460C" w14:textId="77777777" w:rsidR="009C7B85" w:rsidRPr="00DE0E0E" w:rsidRDefault="009C7B85" w:rsidP="009C7B85">
      <w:pPr>
        <w:pStyle w:val="BodyTextIndent3"/>
        <w:tabs>
          <w:tab w:val="left" w:pos="0"/>
        </w:tabs>
        <w:spacing w:after="0"/>
        <w:outlineLvl w:val="0"/>
        <w:rPr>
          <w:b/>
          <w:sz w:val="24"/>
          <w:szCs w:val="24"/>
        </w:rPr>
      </w:pPr>
    </w:p>
    <w:p w14:paraId="5B2A1279" w14:textId="77777777" w:rsidR="009C7B85" w:rsidRPr="00DE0E0E" w:rsidRDefault="009C7B85" w:rsidP="009C7B85">
      <w:pPr>
        <w:jc w:val="center"/>
      </w:pPr>
      <w:r w:rsidRPr="00DE0E0E">
        <w:t>*</w:t>
      </w:r>
      <w:r w:rsidRPr="00DE0E0E">
        <w:tab/>
        <w:t>*</w:t>
      </w:r>
      <w:r w:rsidRPr="00DE0E0E">
        <w:tab/>
        <w:t>*</w:t>
      </w:r>
      <w:r w:rsidRPr="00DE0E0E">
        <w:tab/>
        <w:t>*</w:t>
      </w:r>
      <w:r w:rsidRPr="00DE0E0E">
        <w:tab/>
        <w:t>*</w:t>
      </w:r>
    </w:p>
    <w:p w14:paraId="78139D2C" w14:textId="77777777" w:rsidR="009C7B85" w:rsidRPr="00DE0E0E" w:rsidRDefault="009C7B85" w:rsidP="009C7B85">
      <w:pPr>
        <w:jc w:val="center"/>
      </w:pPr>
    </w:p>
    <w:p w14:paraId="23818C6F" w14:textId="77777777" w:rsidR="009C7B85" w:rsidRPr="00DE0E0E" w:rsidRDefault="009C7B85" w:rsidP="009C7B85">
      <w:pPr>
        <w:jc w:val="center"/>
      </w:pPr>
    </w:p>
    <w:p w14:paraId="3BF54415" w14:textId="77777777" w:rsidR="009C7B85" w:rsidRPr="00DE0E0E" w:rsidRDefault="009C7B85" w:rsidP="009C7B85">
      <w:pPr>
        <w:pStyle w:val="BodyTextIndent3"/>
        <w:tabs>
          <w:tab w:val="left" w:pos="0"/>
        </w:tabs>
        <w:spacing w:after="0"/>
        <w:outlineLvl w:val="0"/>
        <w:rPr>
          <w:b/>
          <w:sz w:val="24"/>
          <w:szCs w:val="24"/>
        </w:rPr>
      </w:pPr>
      <w:r w:rsidRPr="00DE0E0E">
        <w:rPr>
          <w:b/>
          <w:sz w:val="24"/>
          <w:szCs w:val="24"/>
        </w:rPr>
        <w:t xml:space="preserve">WHEREFORE, it </w:t>
      </w:r>
      <w:proofErr w:type="gramStart"/>
      <w:r w:rsidRPr="00DE0E0E">
        <w:rPr>
          <w:b/>
          <w:sz w:val="24"/>
          <w:szCs w:val="24"/>
        </w:rPr>
        <w:t>is</w:t>
      </w:r>
      <w:proofErr w:type="gramEnd"/>
    </w:p>
    <w:p w14:paraId="4B41B797" w14:textId="77777777" w:rsidR="009C7B85" w:rsidRPr="00DE0E0E" w:rsidRDefault="009C7B85" w:rsidP="009C7B85">
      <w:pPr>
        <w:pStyle w:val="BodyTextIndent3"/>
        <w:tabs>
          <w:tab w:val="left" w:pos="0"/>
        </w:tabs>
        <w:spacing w:after="0"/>
        <w:rPr>
          <w:b/>
        </w:rPr>
      </w:pPr>
    </w:p>
    <w:p w14:paraId="332CED27" w14:textId="5FDDD74D" w:rsidR="009C7B85" w:rsidRPr="00DE0E0E" w:rsidRDefault="009C7B85" w:rsidP="009C7B85">
      <w:r w:rsidRPr="00DE0E0E">
        <w:rPr>
          <w:b/>
        </w:rPr>
        <w:tab/>
        <w:t>ORDERED</w:t>
      </w:r>
      <w:r w:rsidRPr="00DE0E0E">
        <w:t xml:space="preserve">, that </w:t>
      </w:r>
      <w:r w:rsidR="009B5FF4" w:rsidRPr="00DE0E0E">
        <w:t xml:space="preserve">the ETC designation of </w:t>
      </w:r>
      <w:proofErr w:type="spellStart"/>
      <w:r w:rsidR="009064AB">
        <w:t>Starlink</w:t>
      </w:r>
      <w:proofErr w:type="spellEnd"/>
      <w:r w:rsidR="009064AB">
        <w:t xml:space="preserve"> Services, LLC</w:t>
      </w:r>
      <w:r w:rsidR="009B5FF4" w:rsidRPr="00DE0E0E">
        <w:t xml:space="preserve"> is hereby relinquished.</w:t>
      </w:r>
    </w:p>
    <w:p w14:paraId="35DC5776" w14:textId="77777777" w:rsidR="009C7B85" w:rsidRPr="00DE0E0E" w:rsidRDefault="009C7B85" w:rsidP="009C7B85">
      <w:pPr>
        <w:rPr>
          <w:b/>
        </w:rPr>
      </w:pPr>
    </w:p>
    <w:p w14:paraId="61141505" w14:textId="77777777" w:rsidR="009C7B85" w:rsidRPr="00DE0E0E" w:rsidRDefault="009C7B85" w:rsidP="009C7B85">
      <w:pPr>
        <w:tabs>
          <w:tab w:val="left" w:pos="0"/>
        </w:tabs>
        <w:jc w:val="both"/>
      </w:pPr>
      <w:r w:rsidRPr="00DE0E0E">
        <w:rPr>
          <w:b/>
        </w:rPr>
        <w:tab/>
        <w:t>ORDERED FURTHER</w:t>
      </w:r>
      <w:r w:rsidRPr="00DE0E0E">
        <w:t>, that a motion for reconsideration, rehearing, oral argument, or any other motion shall not stay the effective date of this Order, unless otherwise ordered by the Commission.</w:t>
      </w:r>
    </w:p>
    <w:p w14:paraId="5A7741C6" w14:textId="77777777" w:rsidR="009C7B85" w:rsidRPr="00DE0E0E" w:rsidRDefault="009C7B85" w:rsidP="009C7B85">
      <w:pPr>
        <w:tabs>
          <w:tab w:val="left" w:pos="0"/>
        </w:tabs>
        <w:jc w:val="both"/>
      </w:pPr>
    </w:p>
    <w:p w14:paraId="1A0ED90D" w14:textId="35A8C6F8" w:rsidR="009C7B85" w:rsidRPr="00DE0E0E" w:rsidRDefault="009C7B85" w:rsidP="00EC6FBC">
      <w:pPr>
        <w:tabs>
          <w:tab w:val="left" w:pos="0"/>
        </w:tabs>
        <w:jc w:val="both"/>
      </w:pPr>
      <w:r w:rsidRPr="00DE0E0E">
        <w:rPr>
          <w:b/>
        </w:rPr>
        <w:tab/>
        <w:t>ORDERED FURTHER</w:t>
      </w:r>
      <w:r w:rsidRPr="00DE0E0E">
        <w:t>, that jurisdiction over this matter is expressly retained for the purpose of entering such further Order(s) as this Commission may deem just and proper.</w:t>
      </w:r>
    </w:p>
    <w:p w14:paraId="686E2C6B" w14:textId="2F060D58" w:rsidR="00573829" w:rsidRDefault="009C7B85" w:rsidP="00ED242D">
      <w:pPr>
        <w:tabs>
          <w:tab w:val="left" w:pos="0"/>
        </w:tabs>
        <w:jc w:val="both"/>
      </w:pPr>
      <w:r w:rsidRPr="00DE0E0E">
        <w:tab/>
      </w:r>
    </w:p>
    <w:p w14:paraId="321E6425" w14:textId="0372E342" w:rsidR="009C7B85" w:rsidRPr="00DE0E0E" w:rsidRDefault="00573829" w:rsidP="009C7B85">
      <w:pPr>
        <w:tabs>
          <w:tab w:val="left" w:pos="0"/>
        </w:tabs>
        <w:jc w:val="both"/>
      </w:pPr>
      <w:r>
        <w:tab/>
      </w:r>
      <w:r w:rsidR="009C7B85" w:rsidRPr="00DE0E0E">
        <w:t>The above by action of the Commission in Administrative Session on the </w:t>
      </w:r>
      <w:r w:rsidR="00D62A10">
        <w:t>5</w:t>
      </w:r>
      <w:r w:rsidR="00D62A10" w:rsidRPr="00D62A10">
        <w:rPr>
          <w:vertAlign w:val="superscript"/>
        </w:rPr>
        <w:t>th</w:t>
      </w:r>
      <w:r w:rsidR="009D0A50" w:rsidRPr="00DE0E0E">
        <w:t xml:space="preserve"> </w:t>
      </w:r>
      <w:r w:rsidR="009C7B85" w:rsidRPr="00DE0E0E">
        <w:t>day of</w:t>
      </w:r>
      <w:r w:rsidR="009D0A50">
        <w:t xml:space="preserve"> </w:t>
      </w:r>
      <w:r w:rsidR="00D62A10">
        <w:t>March</w:t>
      </w:r>
      <w:r w:rsidR="009B5FF4" w:rsidRPr="00DE0E0E">
        <w:t xml:space="preserve"> </w:t>
      </w:r>
      <w:r w:rsidR="00D62A10">
        <w:t>2024</w:t>
      </w:r>
      <w:r w:rsidR="009C7B85" w:rsidRPr="00DE0E0E">
        <w:t>.</w:t>
      </w:r>
    </w:p>
    <w:p w14:paraId="52F4B5E8" w14:textId="77777777" w:rsidR="009C7B85" w:rsidRPr="00DE0E0E" w:rsidRDefault="009C7B85" w:rsidP="009C7B85">
      <w:pPr>
        <w:tabs>
          <w:tab w:val="left" w:pos="0"/>
        </w:tabs>
        <w:jc w:val="both"/>
      </w:pPr>
    </w:p>
    <w:p w14:paraId="10F376A7" w14:textId="77777777" w:rsidR="009C7B85" w:rsidRPr="00DE0E0E" w:rsidRDefault="009C7B85" w:rsidP="009C7B85">
      <w:pPr>
        <w:tabs>
          <w:tab w:val="left" w:pos="0"/>
        </w:tabs>
        <w:jc w:val="both"/>
      </w:pPr>
    </w:p>
    <w:p w14:paraId="671B9153" w14:textId="77777777" w:rsidR="009C7B85" w:rsidRPr="00DE0E0E" w:rsidRDefault="009C7B85" w:rsidP="009C7B85">
      <w:pPr>
        <w:tabs>
          <w:tab w:val="left" w:pos="0"/>
        </w:tabs>
        <w:jc w:val="both"/>
      </w:pPr>
    </w:p>
    <w:p w14:paraId="27A300E2" w14:textId="77777777" w:rsidR="009C7B85" w:rsidRPr="00DE0E0E" w:rsidRDefault="009C7B85" w:rsidP="009C7B85">
      <w:pPr>
        <w:tabs>
          <w:tab w:val="left" w:pos="0"/>
        </w:tabs>
        <w:jc w:val="both"/>
      </w:pPr>
      <w:r w:rsidRPr="00DE0E0E">
        <w:t>____________________________</w:t>
      </w:r>
      <w:r w:rsidRPr="00DE0E0E">
        <w:tab/>
      </w:r>
      <w:r w:rsidRPr="00DE0E0E">
        <w:tab/>
      </w:r>
      <w:r w:rsidRPr="00DE0E0E">
        <w:tab/>
        <w:t>____________________________</w:t>
      </w:r>
    </w:p>
    <w:p w14:paraId="3365AEE0" w14:textId="47D6A06F" w:rsidR="009C7B85" w:rsidRPr="00DE0E0E" w:rsidRDefault="009C7B85" w:rsidP="009C7B85">
      <w:pPr>
        <w:tabs>
          <w:tab w:val="left" w:pos="0"/>
        </w:tabs>
        <w:jc w:val="both"/>
      </w:pPr>
      <w:r w:rsidRPr="00DE0E0E">
        <w:t>Sallie Tanner</w:t>
      </w:r>
      <w:r w:rsidRPr="00DE0E0E">
        <w:tab/>
      </w:r>
      <w:r w:rsidRPr="00DE0E0E">
        <w:tab/>
      </w:r>
      <w:r w:rsidRPr="00DE0E0E">
        <w:tab/>
      </w:r>
      <w:r w:rsidRPr="00DE0E0E">
        <w:tab/>
      </w:r>
      <w:r w:rsidRPr="00DE0E0E">
        <w:tab/>
      </w:r>
      <w:r w:rsidRPr="00DE0E0E">
        <w:tab/>
      </w:r>
      <w:r w:rsidR="00ED242D">
        <w:t>Jason Shaw</w:t>
      </w:r>
    </w:p>
    <w:p w14:paraId="5EF299DF" w14:textId="77777777" w:rsidR="009C7B85" w:rsidRPr="00DE0E0E" w:rsidRDefault="009C7B85" w:rsidP="009C7B85">
      <w:pPr>
        <w:tabs>
          <w:tab w:val="left" w:pos="0"/>
        </w:tabs>
        <w:jc w:val="both"/>
      </w:pPr>
      <w:r w:rsidRPr="00DE0E0E">
        <w:t>Executive Secretary</w:t>
      </w:r>
      <w:r w:rsidRPr="00DE0E0E">
        <w:tab/>
      </w:r>
      <w:r w:rsidRPr="00DE0E0E">
        <w:tab/>
      </w:r>
      <w:r w:rsidRPr="00DE0E0E">
        <w:tab/>
      </w:r>
      <w:r w:rsidRPr="00DE0E0E">
        <w:tab/>
      </w:r>
      <w:r w:rsidRPr="00DE0E0E">
        <w:tab/>
        <w:t>Chairman</w:t>
      </w:r>
    </w:p>
    <w:p w14:paraId="1C05D954" w14:textId="77777777" w:rsidR="009C7B85" w:rsidRPr="00DE0E0E" w:rsidRDefault="009C7B85" w:rsidP="009C7B85">
      <w:pPr>
        <w:tabs>
          <w:tab w:val="left" w:pos="0"/>
        </w:tabs>
        <w:jc w:val="both"/>
      </w:pPr>
    </w:p>
    <w:p w14:paraId="276F32C6" w14:textId="77777777" w:rsidR="009C7B85" w:rsidRPr="00DE0E0E" w:rsidRDefault="009C7B85" w:rsidP="009C7B85">
      <w:pPr>
        <w:tabs>
          <w:tab w:val="left" w:pos="0"/>
        </w:tabs>
        <w:jc w:val="both"/>
      </w:pPr>
    </w:p>
    <w:p w14:paraId="6FFBA5CD" w14:textId="77777777" w:rsidR="009C7B85" w:rsidRPr="00DE0E0E" w:rsidRDefault="009C7B85" w:rsidP="009C7B85">
      <w:pPr>
        <w:tabs>
          <w:tab w:val="left" w:pos="0"/>
        </w:tabs>
        <w:jc w:val="both"/>
      </w:pPr>
      <w:r w:rsidRPr="00DE0E0E">
        <w:t>____________________________</w:t>
      </w:r>
      <w:r w:rsidRPr="00DE0E0E">
        <w:tab/>
      </w:r>
      <w:r w:rsidRPr="00DE0E0E">
        <w:tab/>
      </w:r>
      <w:r w:rsidRPr="00DE0E0E">
        <w:tab/>
        <w:t>____________________________</w:t>
      </w:r>
    </w:p>
    <w:p w14:paraId="396BF33F" w14:textId="597C7C77" w:rsidR="009C7B85" w:rsidRPr="009C7B85" w:rsidRDefault="009C7B85" w:rsidP="009B5FF4">
      <w:pPr>
        <w:tabs>
          <w:tab w:val="left" w:pos="0"/>
        </w:tabs>
        <w:jc w:val="both"/>
      </w:pPr>
      <w:r w:rsidRPr="00DE0E0E">
        <w:t>DATE</w:t>
      </w:r>
      <w:r w:rsidRPr="00DE0E0E">
        <w:tab/>
      </w:r>
      <w:r w:rsidRPr="00DE0E0E">
        <w:tab/>
      </w:r>
      <w:r w:rsidRPr="00DE0E0E">
        <w:tab/>
      </w:r>
      <w:r w:rsidRPr="00DE0E0E">
        <w:tab/>
      </w:r>
      <w:r w:rsidRPr="00DE0E0E">
        <w:tab/>
      </w:r>
      <w:r w:rsidRPr="00DE0E0E">
        <w:tab/>
      </w:r>
      <w:r w:rsidRPr="00DE0E0E">
        <w:tab/>
      </w:r>
      <w:proofErr w:type="spellStart"/>
      <w:r w:rsidRPr="00DE0E0E">
        <w:t>DATE</w:t>
      </w:r>
      <w:proofErr w:type="spellEnd"/>
    </w:p>
    <w:sectPr w:rsidR="009C7B85" w:rsidRPr="009C7B85" w:rsidSect="00330A4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2D39" w14:textId="77777777" w:rsidR="00330A45" w:rsidRDefault="00330A45" w:rsidP="00010488">
      <w:r>
        <w:separator/>
      </w:r>
    </w:p>
  </w:endnote>
  <w:endnote w:type="continuationSeparator" w:id="0">
    <w:p w14:paraId="66A76F87" w14:textId="77777777" w:rsidR="00330A45" w:rsidRDefault="00330A45" w:rsidP="0001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A444" w14:textId="77777777" w:rsidR="009C7B85" w:rsidRPr="009C7B85" w:rsidRDefault="009C7B85" w:rsidP="009C7B85">
    <w:pPr>
      <w:pStyle w:val="Footer"/>
      <w:jc w:val="center"/>
      <w:rPr>
        <w:sz w:val="20"/>
        <w:szCs w:val="20"/>
      </w:rPr>
    </w:pPr>
  </w:p>
  <w:p w14:paraId="5E309C84" w14:textId="22F2BF1A" w:rsidR="009C7B85" w:rsidRPr="009C7B85" w:rsidRDefault="009C7B85" w:rsidP="009C7B85">
    <w:pPr>
      <w:pStyle w:val="Footer"/>
      <w:jc w:val="center"/>
      <w:rPr>
        <w:sz w:val="20"/>
        <w:szCs w:val="20"/>
      </w:rPr>
    </w:pPr>
    <w:r w:rsidRPr="009C7B85">
      <w:rPr>
        <w:sz w:val="20"/>
        <w:szCs w:val="20"/>
      </w:rPr>
      <w:t xml:space="preserve">Docket No. </w:t>
    </w:r>
    <w:r w:rsidR="009064AB">
      <w:rPr>
        <w:sz w:val="20"/>
        <w:szCs w:val="20"/>
      </w:rPr>
      <w:t>43703</w:t>
    </w:r>
  </w:p>
  <w:p w14:paraId="3F442515" w14:textId="77777777" w:rsidR="009B5FF4" w:rsidRPr="009C7B85" w:rsidRDefault="009B5FF4" w:rsidP="009B5FF4">
    <w:pPr>
      <w:pStyle w:val="Footer"/>
      <w:jc w:val="center"/>
      <w:rPr>
        <w:sz w:val="20"/>
        <w:szCs w:val="20"/>
      </w:rPr>
    </w:pPr>
    <w:r w:rsidRPr="009C7B85">
      <w:rPr>
        <w:sz w:val="20"/>
        <w:szCs w:val="20"/>
      </w:rPr>
      <w:t xml:space="preserve">Order </w:t>
    </w:r>
    <w:r>
      <w:rPr>
        <w:sz w:val="20"/>
        <w:szCs w:val="20"/>
      </w:rPr>
      <w:t>Approving Relinquishment of ETC Designation</w:t>
    </w:r>
  </w:p>
  <w:p w14:paraId="53DA0B2A" w14:textId="008176D8" w:rsidR="009C7B85" w:rsidRPr="009C7B85" w:rsidRDefault="009C7B85" w:rsidP="009C7B85">
    <w:pPr>
      <w:pStyle w:val="Footer"/>
      <w:jc w:val="center"/>
      <w:rPr>
        <w:sz w:val="20"/>
        <w:szCs w:val="20"/>
      </w:rPr>
    </w:pPr>
    <w:r w:rsidRPr="009C7B85">
      <w:rPr>
        <w:sz w:val="20"/>
        <w:szCs w:val="20"/>
      </w:rPr>
      <w:t xml:space="preserve">Page </w:t>
    </w:r>
    <w:r w:rsidRPr="009C7B85">
      <w:rPr>
        <w:sz w:val="20"/>
        <w:szCs w:val="20"/>
      </w:rPr>
      <w:fldChar w:fldCharType="begin"/>
    </w:r>
    <w:r w:rsidRPr="009C7B85">
      <w:rPr>
        <w:sz w:val="20"/>
        <w:szCs w:val="20"/>
      </w:rPr>
      <w:instrText xml:space="preserve"> PAGE </w:instrText>
    </w:r>
    <w:r w:rsidRPr="009C7B8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9C7B85">
      <w:rPr>
        <w:sz w:val="20"/>
        <w:szCs w:val="20"/>
      </w:rPr>
      <w:fldChar w:fldCharType="end"/>
    </w:r>
    <w:r w:rsidRPr="009C7B85">
      <w:rPr>
        <w:sz w:val="20"/>
        <w:szCs w:val="20"/>
      </w:rPr>
      <w:t xml:space="preserve"> of </w:t>
    </w:r>
    <w:r w:rsidRPr="009C7B85">
      <w:rPr>
        <w:sz w:val="20"/>
        <w:szCs w:val="20"/>
      </w:rPr>
      <w:fldChar w:fldCharType="begin"/>
    </w:r>
    <w:r w:rsidRPr="009C7B85">
      <w:rPr>
        <w:sz w:val="20"/>
        <w:szCs w:val="20"/>
      </w:rPr>
      <w:instrText xml:space="preserve"> NUMPAGES </w:instrText>
    </w:r>
    <w:r w:rsidRPr="009C7B85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9C7B85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F878" w14:textId="77777777" w:rsidR="009C7B85" w:rsidRPr="009C7B85" w:rsidRDefault="009C7B85" w:rsidP="009C7B85">
    <w:pPr>
      <w:pStyle w:val="Footer"/>
      <w:jc w:val="center"/>
      <w:rPr>
        <w:sz w:val="20"/>
        <w:szCs w:val="20"/>
      </w:rPr>
    </w:pPr>
  </w:p>
  <w:p w14:paraId="4CAF71F2" w14:textId="01E5FACC" w:rsidR="009C7B85" w:rsidRPr="009C7B85" w:rsidRDefault="009C7B85" w:rsidP="009C7B85">
    <w:pPr>
      <w:pStyle w:val="Footer"/>
      <w:jc w:val="center"/>
      <w:rPr>
        <w:sz w:val="20"/>
        <w:szCs w:val="20"/>
      </w:rPr>
    </w:pPr>
    <w:r w:rsidRPr="009C7B85">
      <w:rPr>
        <w:sz w:val="20"/>
        <w:szCs w:val="20"/>
      </w:rPr>
      <w:t xml:space="preserve">Docket No. </w:t>
    </w:r>
    <w:r w:rsidR="009C5ABF">
      <w:rPr>
        <w:sz w:val="20"/>
        <w:szCs w:val="20"/>
      </w:rPr>
      <w:t>437</w:t>
    </w:r>
    <w:r w:rsidR="00ED242D">
      <w:rPr>
        <w:sz w:val="20"/>
        <w:szCs w:val="20"/>
      </w:rPr>
      <w:t>0</w:t>
    </w:r>
    <w:r w:rsidR="009C5ABF">
      <w:rPr>
        <w:sz w:val="20"/>
        <w:szCs w:val="20"/>
      </w:rPr>
      <w:t>3</w:t>
    </w:r>
  </w:p>
  <w:p w14:paraId="6569FE3C" w14:textId="0179EBB2" w:rsidR="009C7B85" w:rsidRPr="009C7B85" w:rsidRDefault="009C7B85" w:rsidP="009C7B85">
    <w:pPr>
      <w:pStyle w:val="Footer"/>
      <w:jc w:val="center"/>
      <w:rPr>
        <w:sz w:val="20"/>
        <w:szCs w:val="20"/>
      </w:rPr>
    </w:pPr>
    <w:r w:rsidRPr="009C7B85">
      <w:rPr>
        <w:sz w:val="20"/>
        <w:szCs w:val="20"/>
      </w:rPr>
      <w:t xml:space="preserve">Order </w:t>
    </w:r>
    <w:r w:rsidR="009B5FF4">
      <w:rPr>
        <w:sz w:val="20"/>
        <w:szCs w:val="20"/>
      </w:rPr>
      <w:t>Approving Relinquishment of ETC Designation</w:t>
    </w:r>
  </w:p>
  <w:p w14:paraId="0BF29FE8" w14:textId="02C56B23" w:rsidR="009C7B85" w:rsidRPr="009C7B85" w:rsidRDefault="009C7B85" w:rsidP="009C7B85">
    <w:pPr>
      <w:pStyle w:val="Footer"/>
      <w:jc w:val="center"/>
      <w:rPr>
        <w:sz w:val="20"/>
        <w:szCs w:val="20"/>
      </w:rPr>
    </w:pPr>
    <w:r w:rsidRPr="009C7B85">
      <w:rPr>
        <w:sz w:val="20"/>
        <w:szCs w:val="20"/>
      </w:rPr>
      <w:t xml:space="preserve">Page </w:t>
    </w:r>
    <w:r w:rsidRPr="009C7B85">
      <w:rPr>
        <w:sz w:val="20"/>
        <w:szCs w:val="20"/>
      </w:rPr>
      <w:fldChar w:fldCharType="begin"/>
    </w:r>
    <w:r w:rsidRPr="009C7B85">
      <w:rPr>
        <w:sz w:val="20"/>
        <w:szCs w:val="20"/>
      </w:rPr>
      <w:instrText xml:space="preserve"> PAGE </w:instrText>
    </w:r>
    <w:r w:rsidRPr="009C7B85">
      <w:rPr>
        <w:sz w:val="20"/>
        <w:szCs w:val="20"/>
      </w:rPr>
      <w:fldChar w:fldCharType="separate"/>
    </w:r>
    <w:r w:rsidRPr="009C7B85">
      <w:rPr>
        <w:noProof/>
        <w:sz w:val="20"/>
        <w:szCs w:val="20"/>
      </w:rPr>
      <w:t>2</w:t>
    </w:r>
    <w:r w:rsidRPr="009C7B85">
      <w:rPr>
        <w:sz w:val="20"/>
        <w:szCs w:val="20"/>
      </w:rPr>
      <w:fldChar w:fldCharType="end"/>
    </w:r>
    <w:r w:rsidRPr="009C7B85">
      <w:rPr>
        <w:sz w:val="20"/>
        <w:szCs w:val="20"/>
      </w:rPr>
      <w:t xml:space="preserve"> of </w:t>
    </w:r>
    <w:r w:rsidRPr="009C7B85">
      <w:rPr>
        <w:sz w:val="20"/>
        <w:szCs w:val="20"/>
      </w:rPr>
      <w:fldChar w:fldCharType="begin"/>
    </w:r>
    <w:r w:rsidRPr="009C7B85">
      <w:rPr>
        <w:sz w:val="20"/>
        <w:szCs w:val="20"/>
      </w:rPr>
      <w:instrText xml:space="preserve"> NUMPAGES </w:instrText>
    </w:r>
    <w:r w:rsidRPr="009C7B85">
      <w:rPr>
        <w:sz w:val="20"/>
        <w:szCs w:val="20"/>
      </w:rPr>
      <w:fldChar w:fldCharType="separate"/>
    </w:r>
    <w:r w:rsidRPr="009C7B85">
      <w:rPr>
        <w:noProof/>
        <w:sz w:val="20"/>
        <w:szCs w:val="20"/>
      </w:rPr>
      <w:t>2</w:t>
    </w:r>
    <w:r w:rsidRPr="009C7B8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19C4" w14:textId="77777777" w:rsidR="00330A45" w:rsidRDefault="00330A45" w:rsidP="00010488">
      <w:r>
        <w:separator/>
      </w:r>
    </w:p>
  </w:footnote>
  <w:footnote w:type="continuationSeparator" w:id="0">
    <w:p w14:paraId="14F57FE8" w14:textId="77777777" w:rsidR="00330A45" w:rsidRDefault="00330A45" w:rsidP="0001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5" w:type="dxa"/>
      <w:jc w:val="center"/>
      <w:tblLayout w:type="fixed"/>
      <w:tblCellMar>
        <w:left w:w="84" w:type="dxa"/>
        <w:right w:w="84" w:type="dxa"/>
      </w:tblCellMar>
      <w:tblLook w:val="04A0" w:firstRow="1" w:lastRow="0" w:firstColumn="1" w:lastColumn="0" w:noHBand="0" w:noVBand="1"/>
    </w:tblPr>
    <w:tblGrid>
      <w:gridCol w:w="4357"/>
      <w:gridCol w:w="2970"/>
      <w:gridCol w:w="3728"/>
    </w:tblGrid>
    <w:tr w:rsidR="00ED242D" w:rsidRPr="00611A1D" w14:paraId="16527A7D" w14:textId="77777777" w:rsidTr="001D6BD0">
      <w:trPr>
        <w:trHeight w:val="1681"/>
        <w:jc w:val="center"/>
      </w:trPr>
      <w:tc>
        <w:tcPr>
          <w:tcW w:w="4358" w:type="dxa"/>
          <w:hideMark/>
        </w:tcPr>
        <w:p w14:paraId="7AD48DD3" w14:textId="77777777" w:rsidR="00ED242D" w:rsidRPr="00611A1D" w:rsidRDefault="00ED242D" w:rsidP="00ED242D">
          <w:pPr>
            <w:spacing w:line="276" w:lineRule="auto"/>
            <w:rPr>
              <w:rStyle w:val="Strong"/>
              <w:sz w:val="20"/>
              <w:szCs w:val="20"/>
            </w:rPr>
          </w:pPr>
          <w:r w:rsidRPr="00611A1D">
            <w:rPr>
              <w:b/>
              <w:sz w:val="20"/>
              <w:szCs w:val="20"/>
            </w:rPr>
            <w:fldChar w:fldCharType="begin"/>
          </w:r>
          <w:r w:rsidRPr="00611A1D">
            <w:rPr>
              <w:b/>
              <w:sz w:val="20"/>
              <w:szCs w:val="20"/>
            </w:rPr>
            <w:instrText>PRIVATE</w:instrText>
          </w:r>
          <w:r w:rsidRPr="00611A1D">
            <w:rPr>
              <w:b/>
              <w:sz w:val="20"/>
              <w:szCs w:val="20"/>
            </w:rPr>
            <w:fldChar w:fldCharType="end"/>
          </w:r>
          <w:r w:rsidRPr="00611A1D">
            <w:rPr>
              <w:rStyle w:val="Strong"/>
              <w:sz w:val="20"/>
              <w:szCs w:val="20"/>
            </w:rPr>
            <w:t>COMMISSIONERS:</w:t>
          </w:r>
        </w:p>
        <w:p w14:paraId="4751CF03" w14:textId="77777777" w:rsidR="00ED242D" w:rsidRPr="00611A1D" w:rsidRDefault="00ED242D" w:rsidP="00ED242D">
          <w:pPr>
            <w:spacing w:line="276" w:lineRule="auto"/>
            <w:rPr>
              <w:rStyle w:val="Strong"/>
              <w:sz w:val="20"/>
              <w:szCs w:val="20"/>
            </w:rPr>
          </w:pPr>
        </w:p>
        <w:p w14:paraId="287F8D91" w14:textId="77777777" w:rsidR="00ED242D" w:rsidRPr="00611A1D" w:rsidRDefault="00ED242D" w:rsidP="00ED242D">
          <w:pPr>
            <w:spacing w:line="276" w:lineRule="auto"/>
            <w:rPr>
              <w:rStyle w:val="Strong"/>
              <w:sz w:val="20"/>
              <w:szCs w:val="20"/>
            </w:rPr>
          </w:pPr>
          <w:r>
            <w:rPr>
              <w:rStyle w:val="Strong"/>
              <w:sz w:val="20"/>
              <w:szCs w:val="20"/>
            </w:rPr>
            <w:t>JASON SHAW</w:t>
          </w:r>
          <w:r w:rsidRPr="00611A1D">
            <w:rPr>
              <w:rStyle w:val="Strong"/>
              <w:sz w:val="20"/>
              <w:szCs w:val="20"/>
            </w:rPr>
            <w:t xml:space="preserve">, Chairman </w:t>
          </w:r>
        </w:p>
        <w:p w14:paraId="4066C799" w14:textId="77777777" w:rsidR="00ED242D" w:rsidRPr="00611A1D" w:rsidRDefault="00ED242D" w:rsidP="00ED242D">
          <w:pPr>
            <w:tabs>
              <w:tab w:val="right" w:pos="4189"/>
            </w:tabs>
            <w:spacing w:line="276" w:lineRule="auto"/>
            <w:rPr>
              <w:rStyle w:val="Strong"/>
              <w:sz w:val="20"/>
              <w:szCs w:val="20"/>
            </w:rPr>
          </w:pPr>
          <w:r w:rsidRPr="00611A1D">
            <w:rPr>
              <w:rStyle w:val="Strong"/>
              <w:sz w:val="20"/>
              <w:szCs w:val="20"/>
            </w:rPr>
            <w:t>TIM G. ECHOLS, Vice-Chairman</w:t>
          </w:r>
          <w:r>
            <w:rPr>
              <w:rStyle w:val="Strong"/>
              <w:sz w:val="20"/>
              <w:szCs w:val="20"/>
            </w:rPr>
            <w:tab/>
            <w:t xml:space="preserve">   </w:t>
          </w:r>
        </w:p>
        <w:p w14:paraId="4203FCD8" w14:textId="77777777" w:rsidR="00ED242D" w:rsidRPr="00611A1D" w:rsidRDefault="00ED242D" w:rsidP="00ED242D">
          <w:pPr>
            <w:spacing w:line="276" w:lineRule="auto"/>
            <w:rPr>
              <w:rStyle w:val="Strong"/>
              <w:sz w:val="20"/>
              <w:szCs w:val="20"/>
            </w:rPr>
          </w:pPr>
          <w:r w:rsidRPr="00611A1D">
            <w:rPr>
              <w:rStyle w:val="Strong"/>
              <w:sz w:val="20"/>
              <w:szCs w:val="20"/>
            </w:rPr>
            <w:t xml:space="preserve">FITZ JOHNSON </w:t>
          </w:r>
        </w:p>
        <w:p w14:paraId="2E07B027" w14:textId="77777777" w:rsidR="00ED242D" w:rsidRDefault="00ED242D" w:rsidP="00ED242D">
          <w:pPr>
            <w:spacing w:line="276" w:lineRule="auto"/>
          </w:pPr>
          <w:r w:rsidRPr="00611A1D">
            <w:rPr>
              <w:rStyle w:val="Strong"/>
              <w:sz w:val="20"/>
              <w:szCs w:val="20"/>
            </w:rPr>
            <w:t xml:space="preserve">LAUREN “BUBBA” </w:t>
          </w:r>
          <w:proofErr w:type="spellStart"/>
          <w:r w:rsidRPr="00611A1D">
            <w:rPr>
              <w:rStyle w:val="Strong"/>
              <w:sz w:val="20"/>
              <w:szCs w:val="20"/>
            </w:rPr>
            <w:t>McDONALD</w:t>
          </w:r>
          <w:proofErr w:type="spellEnd"/>
          <w:r w:rsidRPr="00611A1D">
            <w:rPr>
              <w:rStyle w:val="Strong"/>
              <w:sz w:val="20"/>
              <w:szCs w:val="20"/>
            </w:rPr>
            <w:t xml:space="preserve">                                  </w:t>
          </w:r>
          <w:r w:rsidRPr="00611A1D">
            <w:rPr>
              <w:b/>
              <w:sz w:val="20"/>
              <w:szCs w:val="20"/>
            </w:rPr>
            <w:br/>
          </w:r>
          <w:r>
            <w:rPr>
              <w:rStyle w:val="Strong"/>
              <w:sz w:val="20"/>
              <w:szCs w:val="20"/>
            </w:rPr>
            <w:t>TRICIA PRIDEMORE</w:t>
          </w:r>
          <w:r>
            <w:rPr>
              <w:rStyle w:val="Strong"/>
              <w:rFonts w:ascii="Arial Black" w:hAnsi="Arial Black"/>
              <w:sz w:val="16"/>
              <w:szCs w:val="16"/>
            </w:rPr>
            <w:t xml:space="preserve">                          </w:t>
          </w:r>
          <w:r>
            <w:rPr>
              <w:rFonts w:ascii="Arial Black" w:hAnsi="Arial Black"/>
              <w:b/>
              <w:sz w:val="16"/>
              <w:szCs w:val="16"/>
            </w:rPr>
            <w:br/>
          </w:r>
        </w:p>
      </w:tc>
      <w:tc>
        <w:tcPr>
          <w:tcW w:w="2970" w:type="dxa"/>
          <w:hideMark/>
        </w:tcPr>
        <w:p w14:paraId="77FD9F28" w14:textId="77777777" w:rsidR="00ED242D" w:rsidRDefault="00ED242D" w:rsidP="00ED242D">
          <w:pPr>
            <w:tabs>
              <w:tab w:val="left" w:pos="1410"/>
            </w:tabs>
            <w:spacing w:line="276" w:lineRule="auto"/>
          </w:pPr>
          <w:r>
            <w:t xml:space="preserve">    </w:t>
          </w:r>
          <w:r w:rsidRPr="00A958CB">
            <w:rPr>
              <w:noProof/>
            </w:rPr>
            <w:drawing>
              <wp:inline distT="0" distB="0" distL="0" distR="0" wp14:anchorId="7C29C8F7" wp14:editId="6A0FAEED">
                <wp:extent cx="1226190" cy="1179830"/>
                <wp:effectExtent l="0" t="0" r="0" b="127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PSC_seal_GOLD-single_color.pn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artisticCement/>
                                  </a14:imgEffect>
                                  <a14:imgEffect>
                                    <a14:colorTemperature colorTemp="59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843" cy="1217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8" w:type="dxa"/>
          <w:hideMark/>
        </w:tcPr>
        <w:p w14:paraId="57CFBD50" w14:textId="77777777" w:rsidR="00ED242D" w:rsidRPr="00611A1D" w:rsidRDefault="00ED242D" w:rsidP="00ED242D">
          <w:pPr>
            <w:spacing w:line="276" w:lineRule="auto"/>
            <w:rPr>
              <w:b/>
              <w:sz w:val="20"/>
              <w:szCs w:val="20"/>
            </w:rPr>
          </w:pPr>
        </w:p>
        <w:p w14:paraId="579E8299" w14:textId="77777777" w:rsidR="00ED242D" w:rsidRPr="00611A1D" w:rsidRDefault="00ED242D" w:rsidP="00ED242D">
          <w:pPr>
            <w:spacing w:line="276" w:lineRule="auto"/>
            <w:jc w:val="right"/>
            <w:rPr>
              <w:b/>
              <w:sz w:val="20"/>
              <w:szCs w:val="20"/>
            </w:rPr>
          </w:pPr>
          <w:r w:rsidRPr="00611A1D">
            <w:rPr>
              <w:b/>
              <w:sz w:val="20"/>
              <w:szCs w:val="20"/>
            </w:rPr>
            <w:t xml:space="preserve">REECE </w:t>
          </w:r>
          <w:proofErr w:type="spellStart"/>
          <w:r w:rsidRPr="00611A1D">
            <w:rPr>
              <w:b/>
              <w:sz w:val="20"/>
              <w:szCs w:val="20"/>
            </w:rPr>
            <w:t>McALISTER</w:t>
          </w:r>
          <w:proofErr w:type="spellEnd"/>
          <w:r w:rsidRPr="00611A1D">
            <w:rPr>
              <w:b/>
              <w:sz w:val="20"/>
              <w:szCs w:val="20"/>
            </w:rPr>
            <w:t> </w:t>
          </w:r>
        </w:p>
        <w:p w14:paraId="77050DEE" w14:textId="77777777" w:rsidR="00ED242D" w:rsidRPr="00611A1D" w:rsidRDefault="00ED242D" w:rsidP="00ED242D">
          <w:pPr>
            <w:spacing w:line="276" w:lineRule="auto"/>
            <w:jc w:val="right"/>
            <w:rPr>
              <w:b/>
              <w:sz w:val="20"/>
              <w:szCs w:val="20"/>
            </w:rPr>
          </w:pPr>
          <w:r w:rsidRPr="00611A1D">
            <w:rPr>
              <w:b/>
              <w:sz w:val="20"/>
              <w:szCs w:val="20"/>
            </w:rPr>
            <w:t>EXECUTIVE DIRECTOR</w:t>
          </w:r>
        </w:p>
        <w:p w14:paraId="17F46850" w14:textId="77777777" w:rsidR="00ED242D" w:rsidRPr="00611A1D" w:rsidRDefault="00ED242D" w:rsidP="00ED242D">
          <w:pPr>
            <w:spacing w:line="276" w:lineRule="auto"/>
            <w:jc w:val="right"/>
            <w:rPr>
              <w:sz w:val="20"/>
              <w:szCs w:val="20"/>
            </w:rPr>
          </w:pPr>
          <w:r w:rsidRPr="00611A1D">
            <w:rPr>
              <w:b/>
              <w:sz w:val="20"/>
              <w:szCs w:val="20"/>
            </w:rPr>
            <w:t xml:space="preserve"> </w:t>
          </w:r>
          <w:r w:rsidRPr="00611A1D">
            <w:rPr>
              <w:b/>
              <w:sz w:val="20"/>
              <w:szCs w:val="20"/>
            </w:rPr>
            <w:br/>
            <w:t>SALLIE TANNER</w:t>
          </w:r>
          <w:r w:rsidRPr="00611A1D">
            <w:rPr>
              <w:b/>
              <w:sz w:val="20"/>
              <w:szCs w:val="20"/>
            </w:rPr>
            <w:br/>
            <w:t>EXECUTIVE SECRETARY</w:t>
          </w:r>
        </w:p>
      </w:tc>
    </w:tr>
    <w:tr w:rsidR="00ED242D" w14:paraId="13AFD463" w14:textId="77777777" w:rsidTr="001D6BD0">
      <w:trPr>
        <w:trHeight w:val="772"/>
        <w:jc w:val="center"/>
      </w:trPr>
      <w:tc>
        <w:tcPr>
          <w:tcW w:w="11056" w:type="dxa"/>
          <w:gridSpan w:val="3"/>
          <w:hideMark/>
        </w:tcPr>
        <w:p w14:paraId="7531D470" w14:textId="77777777" w:rsidR="00ED242D" w:rsidRDefault="00ED242D" w:rsidP="00ED242D">
          <w:pPr>
            <w:pStyle w:val="Heading1"/>
            <w:tabs>
              <w:tab w:val="left" w:pos="1410"/>
              <w:tab w:val="left" w:pos="5772"/>
            </w:tabs>
            <w:spacing w:line="276" w:lineRule="auto"/>
            <w:rPr>
              <w:rFonts w:ascii="Old English Text MT" w:hAnsi="Old English Text MT"/>
              <w:sz w:val="42"/>
            </w:rPr>
          </w:pPr>
          <w:r>
            <w:rPr>
              <w:rFonts w:ascii="Old English Text MT" w:hAnsi="Old English Text MT"/>
              <w:sz w:val="42"/>
            </w:rPr>
            <w:t xml:space="preserve">       Georgia Public Service Commission</w:t>
          </w:r>
        </w:p>
      </w:tc>
    </w:tr>
    <w:tr w:rsidR="00ED242D" w14:paraId="5BB306C1" w14:textId="77777777" w:rsidTr="001D6BD0">
      <w:trPr>
        <w:jc w:val="center"/>
      </w:trPr>
      <w:tc>
        <w:tcPr>
          <w:tcW w:w="4358" w:type="dxa"/>
          <w:hideMark/>
        </w:tcPr>
        <w:p w14:paraId="5B738BA4" w14:textId="77777777" w:rsidR="00ED242D" w:rsidRDefault="00ED242D" w:rsidP="00ED242D">
          <w:pPr>
            <w:spacing w:line="276" w:lineRule="auto"/>
            <w:rPr>
              <w:rFonts w:cs="Arial"/>
              <w:b/>
              <w:bCs/>
              <w:sz w:val="17"/>
              <w:szCs w:val="17"/>
            </w:rPr>
          </w:pPr>
          <w:r>
            <w:rPr>
              <w:rFonts w:cs="Arial"/>
              <w:b/>
              <w:bCs/>
              <w:sz w:val="17"/>
              <w:szCs w:val="17"/>
            </w:rPr>
            <w:t>(404) 656-4501</w:t>
          </w:r>
        </w:p>
        <w:p w14:paraId="7AC0FCD3" w14:textId="77777777" w:rsidR="00ED242D" w:rsidRDefault="00ED242D" w:rsidP="00ED242D">
          <w:pPr>
            <w:spacing w:line="276" w:lineRule="auto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sz w:val="17"/>
              <w:szCs w:val="17"/>
            </w:rPr>
            <w:t>(800) 282-5813</w:t>
          </w:r>
        </w:p>
      </w:tc>
      <w:tc>
        <w:tcPr>
          <w:tcW w:w="2970" w:type="dxa"/>
          <w:hideMark/>
        </w:tcPr>
        <w:p w14:paraId="58B01A38" w14:textId="77777777" w:rsidR="00ED242D" w:rsidRDefault="00ED242D" w:rsidP="00ED242D">
          <w:pPr>
            <w:tabs>
              <w:tab w:val="left" w:pos="1410"/>
            </w:tabs>
            <w:spacing w:line="276" w:lineRule="auto"/>
            <w:rPr>
              <w:rFonts w:cs="Arial"/>
              <w:b/>
              <w:sz w:val="17"/>
              <w:szCs w:val="17"/>
            </w:rPr>
          </w:pPr>
          <w:r>
            <w:rPr>
              <w:rFonts w:cs="Arial"/>
              <w:b/>
              <w:sz w:val="17"/>
              <w:szCs w:val="17"/>
            </w:rPr>
            <w:t>244 WASHINGTON STREET, SW</w:t>
          </w:r>
          <w:r>
            <w:rPr>
              <w:rFonts w:cs="Arial"/>
              <w:b/>
              <w:sz w:val="17"/>
              <w:szCs w:val="17"/>
            </w:rPr>
            <w:br/>
            <w:t>ATLANTA, GEORGIA 30334-5701</w:t>
          </w:r>
        </w:p>
      </w:tc>
      <w:tc>
        <w:tcPr>
          <w:tcW w:w="3728" w:type="dxa"/>
          <w:hideMark/>
        </w:tcPr>
        <w:p w14:paraId="76EAC203" w14:textId="77777777" w:rsidR="00ED242D" w:rsidRDefault="00ED242D" w:rsidP="00ED242D">
          <w:pPr>
            <w:spacing w:line="276" w:lineRule="auto"/>
            <w:jc w:val="right"/>
            <w:rPr>
              <w:rFonts w:cs="Arial"/>
              <w:b/>
              <w:bCs/>
              <w:sz w:val="17"/>
              <w:szCs w:val="17"/>
            </w:rPr>
          </w:pPr>
          <w:r>
            <w:rPr>
              <w:rFonts w:cs="Arial"/>
              <w:b/>
              <w:bCs/>
              <w:sz w:val="17"/>
              <w:szCs w:val="17"/>
            </w:rPr>
            <w:t xml:space="preserve">FAX: (404) 656-2341                   </w:t>
          </w:r>
        </w:p>
        <w:p w14:paraId="2721EDF8" w14:textId="77777777" w:rsidR="00ED242D" w:rsidRDefault="00ED242D" w:rsidP="00ED242D">
          <w:pPr>
            <w:spacing w:line="276" w:lineRule="auto"/>
            <w:jc w:val="right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sz w:val="17"/>
              <w:szCs w:val="17"/>
            </w:rPr>
            <w:t>psc.ga.gov</w:t>
          </w:r>
        </w:p>
      </w:tc>
    </w:tr>
    <w:tr w:rsidR="00ED242D" w14:paraId="619CF177" w14:textId="77777777" w:rsidTr="001D6BD0">
      <w:trPr>
        <w:jc w:val="center"/>
      </w:trPr>
      <w:tc>
        <w:tcPr>
          <w:tcW w:w="4358" w:type="dxa"/>
        </w:tcPr>
        <w:p w14:paraId="7E16F4C6" w14:textId="77777777" w:rsidR="00ED242D" w:rsidRDefault="00ED242D" w:rsidP="00ED242D">
          <w:pPr>
            <w:spacing w:line="276" w:lineRule="auto"/>
            <w:rPr>
              <w:rFonts w:cs="Arial"/>
              <w:b/>
              <w:bCs/>
              <w:sz w:val="17"/>
              <w:szCs w:val="17"/>
            </w:rPr>
          </w:pPr>
        </w:p>
      </w:tc>
      <w:tc>
        <w:tcPr>
          <w:tcW w:w="2970" w:type="dxa"/>
        </w:tcPr>
        <w:p w14:paraId="51B947E4" w14:textId="77777777" w:rsidR="00ED242D" w:rsidRDefault="00ED242D" w:rsidP="00ED242D">
          <w:pPr>
            <w:tabs>
              <w:tab w:val="left" w:pos="1410"/>
            </w:tabs>
            <w:spacing w:line="276" w:lineRule="auto"/>
            <w:jc w:val="center"/>
            <w:rPr>
              <w:rFonts w:cs="Arial"/>
              <w:b/>
              <w:sz w:val="17"/>
              <w:szCs w:val="17"/>
            </w:rPr>
          </w:pPr>
        </w:p>
      </w:tc>
      <w:tc>
        <w:tcPr>
          <w:tcW w:w="3728" w:type="dxa"/>
        </w:tcPr>
        <w:p w14:paraId="4C07C853" w14:textId="77777777" w:rsidR="00ED242D" w:rsidRDefault="00ED242D" w:rsidP="00ED242D">
          <w:pPr>
            <w:spacing w:line="276" w:lineRule="auto"/>
            <w:jc w:val="right"/>
            <w:rPr>
              <w:rFonts w:cs="Arial"/>
              <w:b/>
              <w:bCs/>
              <w:sz w:val="17"/>
              <w:szCs w:val="17"/>
            </w:rPr>
          </w:pPr>
        </w:p>
      </w:tc>
    </w:tr>
  </w:tbl>
  <w:p w14:paraId="33A2ED07" w14:textId="6BE347EE" w:rsidR="00F40698" w:rsidRPr="00ED242D" w:rsidRDefault="00F40698" w:rsidP="00ED242D">
    <w:pP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24355"/>
    <w:multiLevelType w:val="hybridMultilevel"/>
    <w:tmpl w:val="6C02FCAE"/>
    <w:lvl w:ilvl="0" w:tplc="D58E5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1C94"/>
    <w:multiLevelType w:val="hybridMultilevel"/>
    <w:tmpl w:val="73E69E3C"/>
    <w:lvl w:ilvl="0" w:tplc="4B4AD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1734842">
    <w:abstractNumId w:val="1"/>
  </w:num>
  <w:num w:numId="2" w16cid:durableId="47849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63"/>
    <w:rsid w:val="00010488"/>
    <w:rsid w:val="000112CB"/>
    <w:rsid w:val="0005442F"/>
    <w:rsid w:val="0006325A"/>
    <w:rsid w:val="000E615A"/>
    <w:rsid w:val="0010753E"/>
    <w:rsid w:val="001078BC"/>
    <w:rsid w:val="001124BD"/>
    <w:rsid w:val="0011770D"/>
    <w:rsid w:val="001704C0"/>
    <w:rsid w:val="001C4F42"/>
    <w:rsid w:val="001D0747"/>
    <w:rsid w:val="001F00F3"/>
    <w:rsid w:val="001F59AA"/>
    <w:rsid w:val="002244B0"/>
    <w:rsid w:val="00237B30"/>
    <w:rsid w:val="00291C03"/>
    <w:rsid w:val="002A3D95"/>
    <w:rsid w:val="002A61FE"/>
    <w:rsid w:val="002B5184"/>
    <w:rsid w:val="002C6DD1"/>
    <w:rsid w:val="002F5672"/>
    <w:rsid w:val="002F61D5"/>
    <w:rsid w:val="00330A45"/>
    <w:rsid w:val="00352252"/>
    <w:rsid w:val="003B1182"/>
    <w:rsid w:val="003B3E8C"/>
    <w:rsid w:val="003F2763"/>
    <w:rsid w:val="00467B71"/>
    <w:rsid w:val="00476AA2"/>
    <w:rsid w:val="0048564B"/>
    <w:rsid w:val="00494A05"/>
    <w:rsid w:val="004A571F"/>
    <w:rsid w:val="004C3B3F"/>
    <w:rsid w:val="004D75CE"/>
    <w:rsid w:val="004D7BC6"/>
    <w:rsid w:val="00521687"/>
    <w:rsid w:val="00525B80"/>
    <w:rsid w:val="005529E4"/>
    <w:rsid w:val="00573829"/>
    <w:rsid w:val="005F2927"/>
    <w:rsid w:val="005F7054"/>
    <w:rsid w:val="00611A1D"/>
    <w:rsid w:val="006213D2"/>
    <w:rsid w:val="006465C2"/>
    <w:rsid w:val="00670AF6"/>
    <w:rsid w:val="00673564"/>
    <w:rsid w:val="006862E4"/>
    <w:rsid w:val="00690FB2"/>
    <w:rsid w:val="006952CD"/>
    <w:rsid w:val="006A4919"/>
    <w:rsid w:val="006A5FC2"/>
    <w:rsid w:val="006D6992"/>
    <w:rsid w:val="006E65D8"/>
    <w:rsid w:val="00761035"/>
    <w:rsid w:val="007A7535"/>
    <w:rsid w:val="007C40EE"/>
    <w:rsid w:val="007D1A4F"/>
    <w:rsid w:val="0081016B"/>
    <w:rsid w:val="00810B63"/>
    <w:rsid w:val="00881E51"/>
    <w:rsid w:val="00886BED"/>
    <w:rsid w:val="00894681"/>
    <w:rsid w:val="00897E9B"/>
    <w:rsid w:val="008F38EF"/>
    <w:rsid w:val="008F67EC"/>
    <w:rsid w:val="009064AB"/>
    <w:rsid w:val="00945A5F"/>
    <w:rsid w:val="009572C5"/>
    <w:rsid w:val="00994AB6"/>
    <w:rsid w:val="009A4D99"/>
    <w:rsid w:val="009A6D98"/>
    <w:rsid w:val="009B5FF4"/>
    <w:rsid w:val="009C5ABF"/>
    <w:rsid w:val="009C7B85"/>
    <w:rsid w:val="009D0A50"/>
    <w:rsid w:val="00A82A8C"/>
    <w:rsid w:val="00A958CB"/>
    <w:rsid w:val="00AB2EF1"/>
    <w:rsid w:val="00AF0D9E"/>
    <w:rsid w:val="00AF7496"/>
    <w:rsid w:val="00B00377"/>
    <w:rsid w:val="00B11BEB"/>
    <w:rsid w:val="00B36755"/>
    <w:rsid w:val="00B91943"/>
    <w:rsid w:val="00BA2A06"/>
    <w:rsid w:val="00BC27C0"/>
    <w:rsid w:val="00BD2F2B"/>
    <w:rsid w:val="00C36999"/>
    <w:rsid w:val="00CD1C36"/>
    <w:rsid w:val="00D2717D"/>
    <w:rsid w:val="00D62A10"/>
    <w:rsid w:val="00DC7E18"/>
    <w:rsid w:val="00DE0E0E"/>
    <w:rsid w:val="00DE40A2"/>
    <w:rsid w:val="00E112AD"/>
    <w:rsid w:val="00E87C44"/>
    <w:rsid w:val="00E92FA4"/>
    <w:rsid w:val="00EB7A97"/>
    <w:rsid w:val="00EC6FBC"/>
    <w:rsid w:val="00ED242D"/>
    <w:rsid w:val="00ED5E51"/>
    <w:rsid w:val="00F25F3C"/>
    <w:rsid w:val="00F40698"/>
    <w:rsid w:val="00F45EA9"/>
    <w:rsid w:val="00F721DF"/>
    <w:rsid w:val="00F84D24"/>
    <w:rsid w:val="00FD3B63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8479"/>
  <w15:docId w15:val="{6AC64586-1549-401E-9C68-F294999F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276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76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F2763"/>
    <w:rPr>
      <w:b/>
      <w:bCs w:val="0"/>
    </w:rPr>
  </w:style>
  <w:style w:type="paragraph" w:styleId="Title">
    <w:name w:val="Title"/>
    <w:basedOn w:val="Normal"/>
    <w:link w:val="TitleChar"/>
    <w:qFormat/>
    <w:rsid w:val="003F2763"/>
    <w:pPr>
      <w:widowControl w:val="0"/>
      <w:tabs>
        <w:tab w:val="center" w:pos="4680"/>
      </w:tabs>
      <w:autoSpaceDE w:val="0"/>
      <w:autoSpaceDN w:val="0"/>
      <w:adjustRightInd w:val="0"/>
      <w:jc w:val="center"/>
    </w:pPr>
  </w:style>
  <w:style w:type="character" w:customStyle="1" w:styleId="TitleChar">
    <w:name w:val="Title Char"/>
    <w:basedOn w:val="DefaultParagraphFont"/>
    <w:link w:val="Title"/>
    <w:rsid w:val="003F27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6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F7496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1075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753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4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488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7B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B85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6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6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5672"/>
    <w:rPr>
      <w:vertAlign w:val="superscript"/>
    </w:rPr>
  </w:style>
  <w:style w:type="paragraph" w:styleId="Revision">
    <w:name w:val="Revision"/>
    <w:hidden/>
    <w:uiPriority w:val="99"/>
    <w:semiHidden/>
    <w:rsid w:val="009C5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747221-96DB-BE44-A6FF-D74429E5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Brown</dc:creator>
  <cp:lastModifiedBy>Patrick Reinhardt</cp:lastModifiedBy>
  <cp:revision>2</cp:revision>
  <cp:lastPrinted>2022-08-02T15:56:00Z</cp:lastPrinted>
  <dcterms:created xsi:type="dcterms:W3CDTF">2024-03-06T20:03:00Z</dcterms:created>
  <dcterms:modified xsi:type="dcterms:W3CDTF">2024-03-06T20:03:00Z</dcterms:modified>
</cp:coreProperties>
</file>