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0BF13" w14:textId="77777777" w:rsidR="00CE717E" w:rsidRPr="00AA3429" w:rsidRDefault="00CE717E">
      <w:pPr>
        <w:jc w:val="center"/>
        <w:rPr>
          <w:b/>
        </w:rPr>
      </w:pPr>
      <w:r w:rsidRPr="00AA3429">
        <w:rPr>
          <w:b/>
        </w:rPr>
        <w:t xml:space="preserve">BEFORE THE </w:t>
      </w:r>
    </w:p>
    <w:p w14:paraId="391EFE24" w14:textId="77777777" w:rsidR="00CE717E" w:rsidRDefault="00CE717E">
      <w:pPr>
        <w:jc w:val="center"/>
        <w:rPr>
          <w:b/>
        </w:rPr>
      </w:pPr>
      <w:smartTag w:uri="urn:schemas-microsoft-com:office:smarttags" w:element="place">
        <w:smartTag w:uri="urn:schemas-microsoft-com:office:smarttags" w:element="country-region">
          <w:r w:rsidRPr="00AA3429">
            <w:rPr>
              <w:b/>
            </w:rPr>
            <w:t>GEORGIA</w:t>
          </w:r>
        </w:smartTag>
      </w:smartTag>
      <w:r w:rsidRPr="00AA3429">
        <w:rPr>
          <w:b/>
        </w:rPr>
        <w:t xml:space="preserve"> PUBLIC SERVICE COMMISSION</w:t>
      </w:r>
    </w:p>
    <w:p w14:paraId="7508746E" w14:textId="77777777" w:rsidR="00192032" w:rsidRPr="00AA3429" w:rsidRDefault="00192032">
      <w:pPr>
        <w:jc w:val="center"/>
        <w:rPr>
          <w:b/>
        </w:rPr>
      </w:pPr>
    </w:p>
    <w:p w14:paraId="6067997E" w14:textId="77777777" w:rsidR="00CE717E" w:rsidRDefault="00CE717E">
      <w:pPr>
        <w:jc w:val="center"/>
        <w:rPr>
          <w:b/>
        </w:rPr>
      </w:pPr>
    </w:p>
    <w:p w14:paraId="01786898" w14:textId="77777777" w:rsidR="00AD70EB" w:rsidRDefault="00AD70EB">
      <w:pPr>
        <w:jc w:val="center"/>
        <w:rPr>
          <w:b/>
        </w:rPr>
      </w:pPr>
    </w:p>
    <w:p w14:paraId="4CB3934F" w14:textId="77777777" w:rsidR="00195B55" w:rsidRPr="008522E7" w:rsidRDefault="00195B55" w:rsidP="00195B55">
      <w:pPr>
        <w:spacing w:line="360" w:lineRule="auto"/>
        <w:rPr>
          <w:b/>
        </w:rPr>
      </w:pPr>
      <w:r w:rsidRPr="008522E7">
        <w:rPr>
          <w:b/>
        </w:rPr>
        <w:t>In Re:</w:t>
      </w:r>
    </w:p>
    <w:p w14:paraId="20270C3A" w14:textId="4A1C835E" w:rsidR="00195B55" w:rsidRPr="00D60159" w:rsidRDefault="00195B55" w:rsidP="00195B55">
      <w:pPr>
        <w:rPr>
          <w:rFonts w:ascii="Times New Roman Bold" w:hAnsi="Times New Roman Bold"/>
          <w:b/>
          <w:caps/>
        </w:rPr>
      </w:pPr>
      <w:r w:rsidRPr="00D60159">
        <w:rPr>
          <w:rFonts w:ascii="Times New Roman Bold" w:hAnsi="Times New Roman Bold"/>
          <w:b/>
          <w:caps/>
        </w:rPr>
        <w:t>Georgia Power Company’s</w:t>
      </w:r>
      <w:r w:rsidRPr="00D60159">
        <w:rPr>
          <w:rFonts w:ascii="Times New Roman Bold" w:hAnsi="Times New Roman Bold"/>
          <w:b/>
          <w:caps/>
        </w:rPr>
        <w:tab/>
      </w:r>
      <w:r w:rsidRPr="00D60159">
        <w:rPr>
          <w:rFonts w:ascii="Times New Roman Bold" w:hAnsi="Times New Roman Bold"/>
          <w:b/>
          <w:caps/>
        </w:rPr>
        <w:tab/>
        <w:t>)</w:t>
      </w:r>
      <w:r w:rsidRPr="00D60159">
        <w:rPr>
          <w:rFonts w:ascii="Times New Roman Bold" w:hAnsi="Times New Roman Bold"/>
          <w:b/>
          <w:caps/>
        </w:rPr>
        <w:tab/>
      </w:r>
      <w:r w:rsidRPr="00D60159">
        <w:rPr>
          <w:rFonts w:ascii="Times New Roman Bold" w:hAnsi="Times New Roman Bold"/>
          <w:b/>
          <w:caps/>
        </w:rPr>
        <w:tab/>
        <w:t xml:space="preserve">Docket No. </w:t>
      </w:r>
      <w:r w:rsidR="00DC0FB9">
        <w:rPr>
          <w:rFonts w:ascii="Times New Roman Bold" w:hAnsi="Times New Roman Bold"/>
          <w:b/>
          <w:caps/>
        </w:rPr>
        <w:t>55378</w:t>
      </w:r>
    </w:p>
    <w:p w14:paraId="150CCE56" w14:textId="5938418D" w:rsidR="00195B55" w:rsidRPr="008522E7" w:rsidRDefault="00195B55" w:rsidP="00195B55">
      <w:pPr>
        <w:rPr>
          <w:b/>
        </w:rPr>
      </w:pPr>
      <w:r w:rsidRPr="00D60159">
        <w:rPr>
          <w:rFonts w:ascii="Times New Roman Bold" w:hAnsi="Times New Roman Bold"/>
          <w:b/>
          <w:caps/>
        </w:rPr>
        <w:t>202</w:t>
      </w:r>
      <w:r w:rsidR="00DC0FB9">
        <w:rPr>
          <w:rFonts w:ascii="Times New Roman Bold" w:hAnsi="Times New Roman Bold"/>
          <w:b/>
          <w:caps/>
        </w:rPr>
        <w:t>3</w:t>
      </w:r>
      <w:r w:rsidRPr="00D60159">
        <w:rPr>
          <w:rFonts w:ascii="Times New Roman Bold" w:hAnsi="Times New Roman Bold"/>
          <w:b/>
          <w:caps/>
        </w:rPr>
        <w:t xml:space="preserve"> Integrated Resource Plan</w:t>
      </w:r>
      <w:r>
        <w:rPr>
          <w:b/>
        </w:rPr>
        <w:tab/>
      </w:r>
      <w:r w:rsidRPr="008522E7">
        <w:rPr>
          <w:b/>
        </w:rPr>
        <w:tab/>
        <w:t>)</w:t>
      </w:r>
    </w:p>
    <w:p w14:paraId="6E0F32AD" w14:textId="1319ABBF" w:rsidR="00195B55" w:rsidRPr="0032411A" w:rsidRDefault="00DC0FB9" w:rsidP="00195B55">
      <w:pPr>
        <w:rPr>
          <w:b/>
        </w:rPr>
      </w:pPr>
      <w:r>
        <w:rPr>
          <w:b/>
        </w:rPr>
        <w:t>UPDATE</w:t>
      </w:r>
      <w:r>
        <w:rPr>
          <w:b/>
        </w:rPr>
        <w:tab/>
      </w:r>
      <w:r>
        <w:rPr>
          <w:b/>
        </w:rPr>
        <w:tab/>
      </w:r>
      <w:r>
        <w:rPr>
          <w:b/>
        </w:rPr>
        <w:tab/>
      </w:r>
      <w:r>
        <w:rPr>
          <w:b/>
        </w:rPr>
        <w:tab/>
      </w:r>
      <w:r>
        <w:rPr>
          <w:b/>
        </w:rPr>
        <w:tab/>
      </w:r>
      <w:r>
        <w:rPr>
          <w:b/>
        </w:rPr>
        <w:tab/>
      </w:r>
      <w:r w:rsidR="00195B55" w:rsidRPr="0032411A">
        <w:rPr>
          <w:b/>
        </w:rPr>
        <w:t>)</w:t>
      </w:r>
    </w:p>
    <w:p w14:paraId="2C391D67" w14:textId="1A7DF55F" w:rsidR="00195B55" w:rsidRDefault="00195B55" w:rsidP="00195B55">
      <w:pPr>
        <w:rPr>
          <w:b/>
        </w:rPr>
      </w:pPr>
      <w:r w:rsidRPr="0032411A">
        <w:rPr>
          <w:b/>
        </w:rPr>
        <w:tab/>
      </w:r>
    </w:p>
    <w:p w14:paraId="20E3A523" w14:textId="4DB0E4F8" w:rsidR="00AD70EB" w:rsidRPr="008522E7" w:rsidRDefault="00B056B1" w:rsidP="00AD70EB">
      <w:pPr>
        <w:rPr>
          <w:b/>
        </w:rPr>
      </w:pPr>
      <w:r>
        <w:rPr>
          <w:b/>
        </w:rPr>
        <w:tab/>
      </w:r>
      <w:r w:rsidR="00AD70EB" w:rsidRPr="008522E7">
        <w:rPr>
          <w:b/>
        </w:rPr>
        <w:tab/>
      </w:r>
    </w:p>
    <w:p w14:paraId="1A9A77F9" w14:textId="0D581C04" w:rsidR="004B7260" w:rsidRDefault="004B7260">
      <w:pPr>
        <w:jc w:val="center"/>
        <w:rPr>
          <w:b/>
        </w:rPr>
      </w:pPr>
    </w:p>
    <w:p w14:paraId="08378F90" w14:textId="538EB58B" w:rsidR="001B4CD8" w:rsidRDefault="001B4CD8">
      <w:pPr>
        <w:jc w:val="center"/>
        <w:rPr>
          <w:b/>
        </w:rPr>
      </w:pPr>
    </w:p>
    <w:p w14:paraId="24D76D04" w14:textId="77777777" w:rsidR="001B4CD8" w:rsidRPr="00AA3429" w:rsidRDefault="001B4CD8">
      <w:pPr>
        <w:jc w:val="center"/>
        <w:rPr>
          <w:b/>
        </w:rPr>
      </w:pPr>
    </w:p>
    <w:tbl>
      <w:tblPr>
        <w:tblW w:w="0" w:type="auto"/>
        <w:tblLayout w:type="fixed"/>
        <w:tblLook w:val="0000" w:firstRow="0" w:lastRow="0" w:firstColumn="0" w:lastColumn="0" w:noHBand="0" w:noVBand="0"/>
      </w:tblPr>
      <w:tblGrid>
        <w:gridCol w:w="2926"/>
        <w:gridCol w:w="3658"/>
        <w:gridCol w:w="2926"/>
      </w:tblGrid>
      <w:tr w:rsidR="00CE717E" w:rsidRPr="00AA3429" w14:paraId="7D35829E" w14:textId="77777777">
        <w:tc>
          <w:tcPr>
            <w:tcW w:w="2926" w:type="dxa"/>
            <w:tcBorders>
              <w:right w:val="double" w:sz="4" w:space="0" w:color="auto"/>
            </w:tcBorders>
          </w:tcPr>
          <w:p w14:paraId="32F95E1B" w14:textId="77777777" w:rsidR="00CE717E" w:rsidRPr="00AA3429" w:rsidRDefault="00CE717E">
            <w:pPr>
              <w:jc w:val="center"/>
              <w:rPr>
                <w:b/>
              </w:rPr>
            </w:pPr>
          </w:p>
        </w:tc>
        <w:tc>
          <w:tcPr>
            <w:tcW w:w="3658" w:type="dxa"/>
            <w:tcBorders>
              <w:top w:val="double" w:sz="4" w:space="0" w:color="auto"/>
              <w:left w:val="double" w:sz="4" w:space="0" w:color="auto"/>
              <w:right w:val="double" w:sz="4" w:space="0" w:color="auto"/>
            </w:tcBorders>
          </w:tcPr>
          <w:p w14:paraId="239BF2B3" w14:textId="77777777" w:rsidR="00CE717E" w:rsidRPr="00AA3429" w:rsidRDefault="00CE717E">
            <w:pPr>
              <w:jc w:val="center"/>
              <w:rPr>
                <w:b/>
              </w:rPr>
            </w:pPr>
          </w:p>
        </w:tc>
        <w:tc>
          <w:tcPr>
            <w:tcW w:w="2926" w:type="dxa"/>
            <w:tcBorders>
              <w:left w:val="double" w:sz="4" w:space="0" w:color="auto"/>
            </w:tcBorders>
          </w:tcPr>
          <w:p w14:paraId="30BA7C0B" w14:textId="77777777" w:rsidR="00CE717E" w:rsidRPr="00AA3429" w:rsidRDefault="00CE717E">
            <w:pPr>
              <w:jc w:val="center"/>
              <w:rPr>
                <w:b/>
              </w:rPr>
            </w:pPr>
          </w:p>
        </w:tc>
      </w:tr>
      <w:tr w:rsidR="00190EBA" w:rsidRPr="00AA3429" w14:paraId="190D81EA" w14:textId="77777777">
        <w:tc>
          <w:tcPr>
            <w:tcW w:w="2926" w:type="dxa"/>
            <w:tcBorders>
              <w:right w:val="double" w:sz="4" w:space="0" w:color="auto"/>
            </w:tcBorders>
          </w:tcPr>
          <w:p w14:paraId="08E0D253" w14:textId="77777777" w:rsidR="00190EBA" w:rsidRPr="00AA3429" w:rsidRDefault="00190EBA">
            <w:pPr>
              <w:jc w:val="center"/>
              <w:rPr>
                <w:b/>
              </w:rPr>
            </w:pPr>
          </w:p>
        </w:tc>
        <w:tc>
          <w:tcPr>
            <w:tcW w:w="3658" w:type="dxa"/>
            <w:tcBorders>
              <w:left w:val="double" w:sz="4" w:space="0" w:color="auto"/>
              <w:right w:val="double" w:sz="4" w:space="0" w:color="auto"/>
            </w:tcBorders>
          </w:tcPr>
          <w:p w14:paraId="112AD961" w14:textId="38AD3A55" w:rsidR="00EA575A" w:rsidRDefault="00086332" w:rsidP="00733B9E">
            <w:pPr>
              <w:jc w:val="center"/>
              <w:rPr>
                <w:b/>
              </w:rPr>
            </w:pPr>
            <w:r>
              <w:rPr>
                <w:b/>
              </w:rPr>
              <w:t>PUBLIC DISCLOSURE</w:t>
            </w:r>
          </w:p>
          <w:p w14:paraId="711CC323" w14:textId="77777777" w:rsidR="00EA575A" w:rsidRDefault="00EA575A" w:rsidP="00733B9E">
            <w:pPr>
              <w:jc w:val="center"/>
              <w:rPr>
                <w:b/>
              </w:rPr>
            </w:pPr>
          </w:p>
          <w:p w14:paraId="33F1756C" w14:textId="3074F013" w:rsidR="00190EBA" w:rsidRDefault="00190EBA" w:rsidP="00733B9E">
            <w:pPr>
              <w:jc w:val="center"/>
              <w:rPr>
                <w:b/>
              </w:rPr>
            </w:pPr>
            <w:r>
              <w:rPr>
                <w:b/>
              </w:rPr>
              <w:t>DIRECT TESTIMONY</w:t>
            </w:r>
          </w:p>
        </w:tc>
        <w:tc>
          <w:tcPr>
            <w:tcW w:w="2926" w:type="dxa"/>
            <w:tcBorders>
              <w:left w:val="double" w:sz="4" w:space="0" w:color="auto"/>
            </w:tcBorders>
          </w:tcPr>
          <w:p w14:paraId="51327DB6" w14:textId="77777777" w:rsidR="00190EBA" w:rsidRPr="00AA3429" w:rsidRDefault="00190EBA">
            <w:pPr>
              <w:jc w:val="center"/>
              <w:rPr>
                <w:b/>
              </w:rPr>
            </w:pPr>
          </w:p>
        </w:tc>
      </w:tr>
      <w:tr w:rsidR="00190EBA" w:rsidRPr="00AA3429" w14:paraId="288C9D2F" w14:textId="77777777">
        <w:tc>
          <w:tcPr>
            <w:tcW w:w="2926" w:type="dxa"/>
            <w:tcBorders>
              <w:right w:val="double" w:sz="4" w:space="0" w:color="auto"/>
            </w:tcBorders>
          </w:tcPr>
          <w:p w14:paraId="363DBCD5" w14:textId="77777777" w:rsidR="00190EBA" w:rsidRPr="00AA3429" w:rsidRDefault="00190EBA">
            <w:pPr>
              <w:jc w:val="center"/>
              <w:rPr>
                <w:b/>
              </w:rPr>
            </w:pPr>
          </w:p>
        </w:tc>
        <w:tc>
          <w:tcPr>
            <w:tcW w:w="3658" w:type="dxa"/>
            <w:tcBorders>
              <w:left w:val="double" w:sz="4" w:space="0" w:color="auto"/>
              <w:right w:val="double" w:sz="4" w:space="0" w:color="auto"/>
            </w:tcBorders>
          </w:tcPr>
          <w:p w14:paraId="79821483" w14:textId="77777777" w:rsidR="00190EBA" w:rsidRDefault="00190EBA" w:rsidP="00733B9E">
            <w:pPr>
              <w:jc w:val="center"/>
              <w:rPr>
                <w:b/>
              </w:rPr>
            </w:pPr>
          </w:p>
        </w:tc>
        <w:tc>
          <w:tcPr>
            <w:tcW w:w="2926" w:type="dxa"/>
            <w:tcBorders>
              <w:left w:val="double" w:sz="4" w:space="0" w:color="auto"/>
            </w:tcBorders>
          </w:tcPr>
          <w:p w14:paraId="0E59DD54" w14:textId="77777777" w:rsidR="00190EBA" w:rsidRPr="00AA3429" w:rsidRDefault="00190EBA">
            <w:pPr>
              <w:jc w:val="center"/>
              <w:rPr>
                <w:b/>
              </w:rPr>
            </w:pPr>
          </w:p>
        </w:tc>
      </w:tr>
      <w:tr w:rsidR="00190EBA" w:rsidRPr="00AA3429" w14:paraId="7E6EEC3F" w14:textId="77777777">
        <w:tc>
          <w:tcPr>
            <w:tcW w:w="2926" w:type="dxa"/>
            <w:tcBorders>
              <w:right w:val="double" w:sz="4" w:space="0" w:color="auto"/>
            </w:tcBorders>
          </w:tcPr>
          <w:p w14:paraId="3576DA5C" w14:textId="77777777" w:rsidR="00190EBA" w:rsidRPr="00AA3429" w:rsidRDefault="00190EBA">
            <w:pPr>
              <w:jc w:val="center"/>
              <w:rPr>
                <w:b/>
              </w:rPr>
            </w:pPr>
          </w:p>
        </w:tc>
        <w:tc>
          <w:tcPr>
            <w:tcW w:w="3658" w:type="dxa"/>
            <w:tcBorders>
              <w:left w:val="double" w:sz="4" w:space="0" w:color="auto"/>
              <w:right w:val="double" w:sz="4" w:space="0" w:color="auto"/>
            </w:tcBorders>
          </w:tcPr>
          <w:p w14:paraId="2BA3BD6F" w14:textId="77777777" w:rsidR="00190EBA" w:rsidRDefault="00190EBA" w:rsidP="00733B9E">
            <w:pPr>
              <w:jc w:val="center"/>
              <w:rPr>
                <w:b/>
              </w:rPr>
            </w:pPr>
            <w:r>
              <w:rPr>
                <w:b/>
              </w:rPr>
              <w:t>AND EXHIBITS</w:t>
            </w:r>
          </w:p>
        </w:tc>
        <w:tc>
          <w:tcPr>
            <w:tcW w:w="2926" w:type="dxa"/>
            <w:tcBorders>
              <w:left w:val="double" w:sz="4" w:space="0" w:color="auto"/>
            </w:tcBorders>
          </w:tcPr>
          <w:p w14:paraId="43A72623" w14:textId="77777777" w:rsidR="00190EBA" w:rsidRPr="00AA3429" w:rsidRDefault="00190EBA">
            <w:pPr>
              <w:jc w:val="center"/>
              <w:rPr>
                <w:b/>
              </w:rPr>
            </w:pPr>
          </w:p>
        </w:tc>
      </w:tr>
      <w:tr w:rsidR="00190EBA" w:rsidRPr="00AA3429" w14:paraId="34AE79F4" w14:textId="77777777">
        <w:tc>
          <w:tcPr>
            <w:tcW w:w="2926" w:type="dxa"/>
            <w:tcBorders>
              <w:right w:val="double" w:sz="4" w:space="0" w:color="auto"/>
            </w:tcBorders>
          </w:tcPr>
          <w:p w14:paraId="006A1D6F" w14:textId="77777777" w:rsidR="00190EBA" w:rsidRPr="00AA3429" w:rsidRDefault="00190EBA">
            <w:pPr>
              <w:jc w:val="center"/>
              <w:rPr>
                <w:b/>
              </w:rPr>
            </w:pPr>
          </w:p>
        </w:tc>
        <w:tc>
          <w:tcPr>
            <w:tcW w:w="3658" w:type="dxa"/>
            <w:tcBorders>
              <w:left w:val="double" w:sz="4" w:space="0" w:color="auto"/>
              <w:right w:val="double" w:sz="4" w:space="0" w:color="auto"/>
            </w:tcBorders>
          </w:tcPr>
          <w:p w14:paraId="01F7D836" w14:textId="77777777" w:rsidR="00190EBA" w:rsidRDefault="00190EBA" w:rsidP="00733B9E">
            <w:pPr>
              <w:jc w:val="center"/>
              <w:rPr>
                <w:b/>
              </w:rPr>
            </w:pPr>
          </w:p>
        </w:tc>
        <w:tc>
          <w:tcPr>
            <w:tcW w:w="2926" w:type="dxa"/>
            <w:tcBorders>
              <w:left w:val="double" w:sz="4" w:space="0" w:color="auto"/>
            </w:tcBorders>
          </w:tcPr>
          <w:p w14:paraId="1C2E3B87" w14:textId="77777777" w:rsidR="00190EBA" w:rsidRPr="00AA3429" w:rsidRDefault="00190EBA">
            <w:pPr>
              <w:jc w:val="center"/>
              <w:rPr>
                <w:b/>
              </w:rPr>
            </w:pPr>
          </w:p>
        </w:tc>
      </w:tr>
      <w:tr w:rsidR="00190EBA" w:rsidRPr="00AA3429" w14:paraId="145A419B" w14:textId="77777777">
        <w:tc>
          <w:tcPr>
            <w:tcW w:w="2926" w:type="dxa"/>
            <w:tcBorders>
              <w:right w:val="double" w:sz="4" w:space="0" w:color="auto"/>
            </w:tcBorders>
          </w:tcPr>
          <w:p w14:paraId="248950E8" w14:textId="77777777" w:rsidR="00190EBA" w:rsidRPr="00AA3429" w:rsidRDefault="00190EBA">
            <w:pPr>
              <w:jc w:val="center"/>
              <w:rPr>
                <w:b/>
              </w:rPr>
            </w:pPr>
          </w:p>
        </w:tc>
        <w:tc>
          <w:tcPr>
            <w:tcW w:w="3658" w:type="dxa"/>
            <w:tcBorders>
              <w:left w:val="double" w:sz="4" w:space="0" w:color="auto"/>
              <w:right w:val="double" w:sz="4" w:space="0" w:color="auto"/>
            </w:tcBorders>
          </w:tcPr>
          <w:p w14:paraId="42F1AC82" w14:textId="77777777" w:rsidR="00190EBA" w:rsidRDefault="00190EBA" w:rsidP="00733B9E">
            <w:pPr>
              <w:jc w:val="center"/>
              <w:rPr>
                <w:b/>
              </w:rPr>
            </w:pPr>
            <w:r>
              <w:rPr>
                <w:b/>
              </w:rPr>
              <w:t>OF</w:t>
            </w:r>
          </w:p>
        </w:tc>
        <w:tc>
          <w:tcPr>
            <w:tcW w:w="2926" w:type="dxa"/>
            <w:tcBorders>
              <w:left w:val="double" w:sz="4" w:space="0" w:color="auto"/>
            </w:tcBorders>
          </w:tcPr>
          <w:p w14:paraId="4C73DFB7" w14:textId="77777777" w:rsidR="00190EBA" w:rsidRPr="00AA3429" w:rsidRDefault="00190EBA">
            <w:pPr>
              <w:jc w:val="center"/>
              <w:rPr>
                <w:b/>
              </w:rPr>
            </w:pPr>
          </w:p>
        </w:tc>
      </w:tr>
      <w:tr w:rsidR="00190EBA" w:rsidRPr="00AA3429" w14:paraId="6A1381A2" w14:textId="77777777">
        <w:tc>
          <w:tcPr>
            <w:tcW w:w="2926" w:type="dxa"/>
            <w:tcBorders>
              <w:right w:val="double" w:sz="4" w:space="0" w:color="auto"/>
            </w:tcBorders>
          </w:tcPr>
          <w:p w14:paraId="65938DC8" w14:textId="77777777" w:rsidR="00190EBA" w:rsidRPr="00AA3429" w:rsidRDefault="00190EBA">
            <w:pPr>
              <w:jc w:val="center"/>
              <w:rPr>
                <w:b/>
              </w:rPr>
            </w:pPr>
          </w:p>
        </w:tc>
        <w:tc>
          <w:tcPr>
            <w:tcW w:w="3658" w:type="dxa"/>
            <w:tcBorders>
              <w:left w:val="double" w:sz="4" w:space="0" w:color="auto"/>
              <w:right w:val="double" w:sz="4" w:space="0" w:color="auto"/>
            </w:tcBorders>
          </w:tcPr>
          <w:p w14:paraId="68B30D84" w14:textId="77777777" w:rsidR="00190EBA" w:rsidRDefault="00190EBA" w:rsidP="00733B9E">
            <w:pPr>
              <w:jc w:val="center"/>
              <w:rPr>
                <w:b/>
              </w:rPr>
            </w:pPr>
          </w:p>
        </w:tc>
        <w:tc>
          <w:tcPr>
            <w:tcW w:w="2926" w:type="dxa"/>
            <w:tcBorders>
              <w:left w:val="double" w:sz="4" w:space="0" w:color="auto"/>
            </w:tcBorders>
          </w:tcPr>
          <w:p w14:paraId="381A7551" w14:textId="77777777" w:rsidR="00190EBA" w:rsidRPr="00AA3429" w:rsidRDefault="00190EBA">
            <w:pPr>
              <w:jc w:val="center"/>
              <w:rPr>
                <w:b/>
              </w:rPr>
            </w:pPr>
          </w:p>
        </w:tc>
      </w:tr>
      <w:tr w:rsidR="00190EBA" w:rsidRPr="00AA3429" w14:paraId="3894AD99" w14:textId="77777777">
        <w:tc>
          <w:tcPr>
            <w:tcW w:w="2926" w:type="dxa"/>
            <w:tcBorders>
              <w:right w:val="double" w:sz="4" w:space="0" w:color="auto"/>
            </w:tcBorders>
          </w:tcPr>
          <w:p w14:paraId="0961228F" w14:textId="77777777" w:rsidR="00190EBA" w:rsidRPr="00AA3429" w:rsidRDefault="00190EBA">
            <w:pPr>
              <w:jc w:val="center"/>
              <w:rPr>
                <w:b/>
              </w:rPr>
            </w:pPr>
          </w:p>
        </w:tc>
        <w:tc>
          <w:tcPr>
            <w:tcW w:w="3658" w:type="dxa"/>
            <w:tcBorders>
              <w:left w:val="double" w:sz="4" w:space="0" w:color="auto"/>
              <w:right w:val="double" w:sz="4" w:space="0" w:color="auto"/>
            </w:tcBorders>
          </w:tcPr>
          <w:p w14:paraId="06D19BE6" w14:textId="1DFE3A98" w:rsidR="00036251" w:rsidRDefault="00DC0FB9" w:rsidP="00733B9E">
            <w:pPr>
              <w:jc w:val="center"/>
              <w:rPr>
                <w:b/>
              </w:rPr>
            </w:pPr>
            <w:r>
              <w:rPr>
                <w:b/>
              </w:rPr>
              <w:t>MICHAEL S. GOGGIN</w:t>
            </w:r>
          </w:p>
        </w:tc>
        <w:tc>
          <w:tcPr>
            <w:tcW w:w="2926" w:type="dxa"/>
            <w:tcBorders>
              <w:left w:val="double" w:sz="4" w:space="0" w:color="auto"/>
            </w:tcBorders>
          </w:tcPr>
          <w:p w14:paraId="32566CB2" w14:textId="77777777" w:rsidR="00190EBA" w:rsidRPr="00AA3429" w:rsidRDefault="00190EBA">
            <w:pPr>
              <w:jc w:val="center"/>
              <w:rPr>
                <w:b/>
              </w:rPr>
            </w:pPr>
          </w:p>
        </w:tc>
      </w:tr>
      <w:tr w:rsidR="00CE717E" w:rsidRPr="00AA3429" w14:paraId="1B5E4911" w14:textId="77777777">
        <w:tc>
          <w:tcPr>
            <w:tcW w:w="2926" w:type="dxa"/>
            <w:tcBorders>
              <w:right w:val="double" w:sz="4" w:space="0" w:color="auto"/>
            </w:tcBorders>
          </w:tcPr>
          <w:p w14:paraId="3AD4A49E" w14:textId="77777777" w:rsidR="00CE717E" w:rsidRPr="00AA3429" w:rsidRDefault="00CE717E">
            <w:pPr>
              <w:jc w:val="center"/>
              <w:rPr>
                <w:b/>
              </w:rPr>
            </w:pPr>
          </w:p>
        </w:tc>
        <w:tc>
          <w:tcPr>
            <w:tcW w:w="3658" w:type="dxa"/>
            <w:tcBorders>
              <w:left w:val="double" w:sz="4" w:space="0" w:color="auto"/>
              <w:bottom w:val="double" w:sz="4" w:space="0" w:color="auto"/>
              <w:right w:val="double" w:sz="4" w:space="0" w:color="auto"/>
            </w:tcBorders>
          </w:tcPr>
          <w:p w14:paraId="0ABC19AB" w14:textId="77777777" w:rsidR="00CE717E" w:rsidRPr="00AA3429" w:rsidRDefault="00CE717E">
            <w:pPr>
              <w:jc w:val="center"/>
              <w:rPr>
                <w:b/>
              </w:rPr>
            </w:pPr>
          </w:p>
        </w:tc>
        <w:tc>
          <w:tcPr>
            <w:tcW w:w="2926" w:type="dxa"/>
            <w:tcBorders>
              <w:left w:val="double" w:sz="4" w:space="0" w:color="auto"/>
            </w:tcBorders>
          </w:tcPr>
          <w:p w14:paraId="6D31678C" w14:textId="77777777" w:rsidR="00CE717E" w:rsidRPr="00AA3429" w:rsidRDefault="00CE717E">
            <w:pPr>
              <w:jc w:val="center"/>
              <w:rPr>
                <w:b/>
              </w:rPr>
            </w:pPr>
          </w:p>
        </w:tc>
      </w:tr>
    </w:tbl>
    <w:p w14:paraId="0B25D789" w14:textId="77777777" w:rsidR="00192032" w:rsidRPr="00AA3429" w:rsidRDefault="00192032">
      <w:pPr>
        <w:jc w:val="center"/>
        <w:rPr>
          <w:b/>
        </w:rPr>
      </w:pPr>
    </w:p>
    <w:p w14:paraId="45CA6BC0" w14:textId="77777777" w:rsidR="00CE717E" w:rsidRPr="00AA3429" w:rsidRDefault="00CE717E">
      <w:pPr>
        <w:jc w:val="center"/>
        <w:rPr>
          <w:b/>
        </w:rPr>
      </w:pPr>
    </w:p>
    <w:p w14:paraId="01947B72" w14:textId="77777777" w:rsidR="00CE717E" w:rsidRPr="00AA3429" w:rsidRDefault="00CE717E">
      <w:pPr>
        <w:jc w:val="center"/>
        <w:rPr>
          <w:b/>
        </w:rPr>
      </w:pPr>
    </w:p>
    <w:p w14:paraId="38507DF6" w14:textId="77777777" w:rsidR="00CE717E" w:rsidRPr="00AA3429" w:rsidRDefault="00CE717E">
      <w:pPr>
        <w:jc w:val="center"/>
        <w:rPr>
          <w:b/>
        </w:rPr>
      </w:pPr>
      <w:r w:rsidRPr="00AA3429">
        <w:rPr>
          <w:b/>
        </w:rPr>
        <w:t>On Behalf of the</w:t>
      </w:r>
    </w:p>
    <w:p w14:paraId="02FD0D08" w14:textId="77777777" w:rsidR="00CE717E" w:rsidRPr="00AA3429" w:rsidRDefault="00CE717E">
      <w:pPr>
        <w:jc w:val="center"/>
        <w:rPr>
          <w:b/>
        </w:rPr>
      </w:pPr>
    </w:p>
    <w:p w14:paraId="40E98F7F" w14:textId="77777777" w:rsidR="00C0335A" w:rsidRDefault="00CE717E">
      <w:pPr>
        <w:pStyle w:val="Heading9"/>
        <w:ind w:firstLine="0"/>
      </w:pPr>
      <w:smartTag w:uri="urn:schemas-microsoft-com:office:smarttags" w:element="place">
        <w:smartTag w:uri="urn:schemas-microsoft-com:office:smarttags" w:element="country-region">
          <w:r w:rsidRPr="00AA3429">
            <w:t>Georgia</w:t>
          </w:r>
        </w:smartTag>
      </w:smartTag>
      <w:r w:rsidRPr="00AA3429">
        <w:t xml:space="preserve"> Public Service Commission </w:t>
      </w:r>
    </w:p>
    <w:p w14:paraId="5B32DFB1" w14:textId="77777777" w:rsidR="00CE717E" w:rsidRPr="00AA3429" w:rsidRDefault="00192032">
      <w:pPr>
        <w:pStyle w:val="Heading9"/>
        <w:ind w:firstLine="0"/>
      </w:pPr>
      <w:r>
        <w:t>Public Interest Advocacy Staff</w:t>
      </w:r>
    </w:p>
    <w:p w14:paraId="49BC7100" w14:textId="77777777" w:rsidR="008D3646" w:rsidRDefault="008D3646" w:rsidP="008D3646">
      <w:pPr>
        <w:jc w:val="center"/>
        <w:rPr>
          <w:b/>
        </w:rPr>
      </w:pPr>
    </w:p>
    <w:p w14:paraId="2CAE7DEA" w14:textId="3FB37C8A" w:rsidR="00CE717E" w:rsidRDefault="00CE717E">
      <w:pPr>
        <w:jc w:val="center"/>
        <w:rPr>
          <w:b/>
        </w:rPr>
      </w:pPr>
    </w:p>
    <w:p w14:paraId="63BD8D87" w14:textId="77777777" w:rsidR="00387DC7" w:rsidRPr="00AA3429" w:rsidRDefault="00387DC7">
      <w:pPr>
        <w:jc w:val="center"/>
        <w:rPr>
          <w:b/>
        </w:rPr>
      </w:pPr>
    </w:p>
    <w:p w14:paraId="3D2140D1" w14:textId="77777777" w:rsidR="00CE717E" w:rsidRPr="00AA3429" w:rsidRDefault="00CE717E">
      <w:pPr>
        <w:jc w:val="center"/>
        <w:rPr>
          <w:b/>
        </w:rPr>
      </w:pPr>
    </w:p>
    <w:p w14:paraId="3FC05E5A" w14:textId="77777777" w:rsidR="00CE717E" w:rsidRPr="00AA3429" w:rsidRDefault="00CE717E">
      <w:pPr>
        <w:jc w:val="center"/>
        <w:rPr>
          <w:b/>
        </w:rPr>
      </w:pPr>
    </w:p>
    <w:p w14:paraId="51F08706" w14:textId="24F6750E" w:rsidR="00CE717E" w:rsidRDefault="00DC0FB9">
      <w:pPr>
        <w:jc w:val="center"/>
        <w:rPr>
          <w:b/>
        </w:rPr>
      </w:pPr>
      <w:r>
        <w:rPr>
          <w:b/>
        </w:rPr>
        <w:t>February</w:t>
      </w:r>
      <w:r w:rsidR="00DC5481">
        <w:rPr>
          <w:b/>
        </w:rPr>
        <w:t xml:space="preserve"> </w:t>
      </w:r>
      <w:r>
        <w:rPr>
          <w:b/>
        </w:rPr>
        <w:t>15</w:t>
      </w:r>
      <w:r w:rsidR="00CE717E" w:rsidRPr="00AA3429">
        <w:rPr>
          <w:b/>
        </w:rPr>
        <w:t xml:space="preserve">, </w:t>
      </w:r>
      <w:r w:rsidR="00DC5481">
        <w:rPr>
          <w:b/>
        </w:rPr>
        <w:t>2</w:t>
      </w:r>
      <w:r w:rsidR="00BF3F70">
        <w:rPr>
          <w:b/>
        </w:rPr>
        <w:t>02</w:t>
      </w:r>
      <w:r w:rsidR="00B17D0D">
        <w:rPr>
          <w:b/>
        </w:rPr>
        <w:t>4</w:t>
      </w:r>
    </w:p>
    <w:p w14:paraId="1378D357" w14:textId="77777777" w:rsidR="003800BC" w:rsidRDefault="003800BC">
      <w:pPr>
        <w:jc w:val="center"/>
        <w:rPr>
          <w:b/>
        </w:rPr>
      </w:pPr>
    </w:p>
    <w:p w14:paraId="1D506223" w14:textId="77777777" w:rsidR="00184B4E" w:rsidRDefault="00184B4E" w:rsidP="00CE618A">
      <w:pPr>
        <w:rPr>
          <w:b/>
        </w:rPr>
        <w:sectPr w:rsidR="00184B4E" w:rsidSect="008C0716">
          <w:footerReference w:type="default" r:id="rId11"/>
          <w:headerReference w:type="first" r:id="rId12"/>
          <w:footerReference w:type="first" r:id="rId13"/>
          <w:endnotePr>
            <w:numFmt w:val="decimal"/>
          </w:endnotePr>
          <w:pgSz w:w="12240" w:h="15840" w:code="1"/>
          <w:pgMar w:top="1440" w:right="1440" w:bottom="965" w:left="1440" w:header="1440" w:footer="965" w:gutter="0"/>
          <w:pgNumType w:start="1"/>
          <w:cols w:space="720"/>
          <w:noEndnote/>
          <w:titlePg/>
        </w:sectPr>
      </w:pPr>
    </w:p>
    <w:p w14:paraId="2FD18EAA" w14:textId="62564962" w:rsidR="00CF6CDF" w:rsidRDefault="00CF6CDF" w:rsidP="00616590">
      <w:pPr>
        <w:pStyle w:val="TOCHeading"/>
      </w:pPr>
    </w:p>
    <w:sdt>
      <w:sdtPr>
        <w:rPr>
          <w:rFonts w:ascii="Times New Roman" w:hAnsi="Times New Roman"/>
          <w:b w:val="0"/>
          <w:bCs w:val="0"/>
          <w:sz w:val="24"/>
          <w:szCs w:val="20"/>
        </w:rPr>
        <w:id w:val="1412883520"/>
        <w:docPartObj>
          <w:docPartGallery w:val="Table of Contents"/>
          <w:docPartUnique/>
        </w:docPartObj>
      </w:sdtPr>
      <w:sdtEndPr>
        <w:rPr>
          <w:noProof/>
        </w:rPr>
      </w:sdtEndPr>
      <w:sdtContent>
        <w:p w14:paraId="0206FC3D" w14:textId="168C9420" w:rsidR="00734C7E" w:rsidRDefault="00734C7E">
          <w:pPr>
            <w:pStyle w:val="TOCHeading"/>
          </w:pPr>
          <w:r>
            <w:t>Table of Contents</w:t>
          </w:r>
        </w:p>
        <w:p w14:paraId="4C34F164" w14:textId="3BFC430A" w:rsidR="00335168" w:rsidRDefault="00734C7E">
          <w:pPr>
            <w:pStyle w:val="TOC1"/>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158738942" w:history="1">
            <w:r w:rsidR="00335168" w:rsidRPr="0052641E">
              <w:rPr>
                <w:rStyle w:val="Hyperlink"/>
                <w:noProof/>
              </w:rPr>
              <w:t>I.</w:t>
            </w:r>
            <w:r w:rsidR="00335168">
              <w:rPr>
                <w:rFonts w:asciiTheme="minorHAnsi" w:eastAsiaTheme="minorEastAsia" w:hAnsiTheme="minorHAnsi" w:cstheme="minorBidi"/>
                <w:noProof/>
                <w:kern w:val="2"/>
                <w:szCs w:val="24"/>
                <w14:ligatures w14:val="standardContextual"/>
              </w:rPr>
              <w:tab/>
            </w:r>
            <w:r w:rsidR="00335168" w:rsidRPr="0052641E">
              <w:rPr>
                <w:rStyle w:val="Hyperlink"/>
                <w:noProof/>
              </w:rPr>
              <w:t>Introduction</w:t>
            </w:r>
            <w:r w:rsidR="00335168">
              <w:rPr>
                <w:noProof/>
                <w:webHidden/>
              </w:rPr>
              <w:tab/>
            </w:r>
            <w:r w:rsidR="00335168">
              <w:rPr>
                <w:noProof/>
                <w:webHidden/>
              </w:rPr>
              <w:fldChar w:fldCharType="begin"/>
            </w:r>
            <w:r w:rsidR="00335168">
              <w:rPr>
                <w:noProof/>
                <w:webHidden/>
              </w:rPr>
              <w:instrText xml:space="preserve"> PAGEREF _Toc158738942 \h </w:instrText>
            </w:r>
            <w:r w:rsidR="00335168">
              <w:rPr>
                <w:noProof/>
                <w:webHidden/>
              </w:rPr>
            </w:r>
            <w:r w:rsidR="00335168">
              <w:rPr>
                <w:noProof/>
                <w:webHidden/>
              </w:rPr>
              <w:fldChar w:fldCharType="separate"/>
            </w:r>
            <w:r w:rsidR="00086332">
              <w:rPr>
                <w:noProof/>
                <w:webHidden/>
              </w:rPr>
              <w:t>1</w:t>
            </w:r>
            <w:r w:rsidR="00335168">
              <w:rPr>
                <w:noProof/>
                <w:webHidden/>
              </w:rPr>
              <w:fldChar w:fldCharType="end"/>
            </w:r>
          </w:hyperlink>
        </w:p>
        <w:p w14:paraId="261D67D1" w14:textId="02E364C0" w:rsidR="00335168" w:rsidRDefault="00000000">
          <w:pPr>
            <w:pStyle w:val="TOC1"/>
            <w:rPr>
              <w:rFonts w:asciiTheme="minorHAnsi" w:eastAsiaTheme="minorEastAsia" w:hAnsiTheme="minorHAnsi" w:cstheme="minorBidi"/>
              <w:noProof/>
              <w:kern w:val="2"/>
              <w:szCs w:val="24"/>
              <w14:ligatures w14:val="standardContextual"/>
            </w:rPr>
          </w:pPr>
          <w:hyperlink w:anchor="_Toc158738943" w:history="1">
            <w:r w:rsidR="00335168" w:rsidRPr="0052641E">
              <w:rPr>
                <w:rStyle w:val="Hyperlink"/>
                <w:bCs/>
                <w:noProof/>
              </w:rPr>
              <w:t>II.</w:t>
            </w:r>
            <w:r w:rsidR="00335168">
              <w:rPr>
                <w:rFonts w:asciiTheme="minorHAnsi" w:eastAsiaTheme="minorEastAsia" w:hAnsiTheme="minorHAnsi" w:cstheme="minorBidi"/>
                <w:noProof/>
                <w:kern w:val="2"/>
                <w:szCs w:val="24"/>
                <w14:ligatures w14:val="standardContextual"/>
              </w:rPr>
              <w:tab/>
            </w:r>
            <w:r w:rsidR="00335168" w:rsidRPr="0052641E">
              <w:rPr>
                <w:rStyle w:val="Hyperlink"/>
                <w:bCs/>
                <w:noProof/>
              </w:rPr>
              <w:t>The Company did not adequately evaluate alternatives that can reduce or eliminate the need for the Yates transmission upgrades</w:t>
            </w:r>
            <w:r w:rsidR="00335168">
              <w:rPr>
                <w:noProof/>
                <w:webHidden/>
              </w:rPr>
              <w:tab/>
            </w:r>
            <w:r w:rsidR="00335168">
              <w:rPr>
                <w:noProof/>
                <w:webHidden/>
              </w:rPr>
              <w:fldChar w:fldCharType="begin"/>
            </w:r>
            <w:r w:rsidR="00335168">
              <w:rPr>
                <w:noProof/>
                <w:webHidden/>
              </w:rPr>
              <w:instrText xml:space="preserve"> PAGEREF _Toc158738943 \h </w:instrText>
            </w:r>
            <w:r w:rsidR="00335168">
              <w:rPr>
                <w:noProof/>
                <w:webHidden/>
              </w:rPr>
            </w:r>
            <w:r w:rsidR="00335168">
              <w:rPr>
                <w:noProof/>
                <w:webHidden/>
              </w:rPr>
              <w:fldChar w:fldCharType="separate"/>
            </w:r>
            <w:r w:rsidR="00086332">
              <w:rPr>
                <w:noProof/>
                <w:webHidden/>
              </w:rPr>
              <w:t>4</w:t>
            </w:r>
            <w:r w:rsidR="00335168">
              <w:rPr>
                <w:noProof/>
                <w:webHidden/>
              </w:rPr>
              <w:fldChar w:fldCharType="end"/>
            </w:r>
          </w:hyperlink>
        </w:p>
        <w:p w14:paraId="51247246" w14:textId="6406A9E5" w:rsidR="00335168" w:rsidRDefault="00000000">
          <w:pPr>
            <w:pStyle w:val="TOC1"/>
            <w:rPr>
              <w:rFonts w:asciiTheme="minorHAnsi" w:eastAsiaTheme="minorEastAsia" w:hAnsiTheme="minorHAnsi" w:cstheme="minorBidi"/>
              <w:noProof/>
              <w:kern w:val="2"/>
              <w:szCs w:val="24"/>
              <w14:ligatures w14:val="standardContextual"/>
            </w:rPr>
          </w:pPr>
          <w:hyperlink w:anchor="_Toc158738944" w:history="1">
            <w:r w:rsidR="00335168" w:rsidRPr="0052641E">
              <w:rPr>
                <w:rStyle w:val="Hyperlink"/>
                <w:bCs/>
                <w:noProof/>
              </w:rPr>
              <w:t>III.</w:t>
            </w:r>
            <w:r w:rsidR="00335168">
              <w:rPr>
                <w:rFonts w:asciiTheme="minorHAnsi" w:eastAsiaTheme="minorEastAsia" w:hAnsiTheme="minorHAnsi" w:cstheme="minorBidi"/>
                <w:noProof/>
                <w:kern w:val="2"/>
                <w:szCs w:val="24"/>
                <w14:ligatures w14:val="standardContextual"/>
              </w:rPr>
              <w:tab/>
            </w:r>
            <w:r w:rsidR="00335168" w:rsidRPr="0052641E">
              <w:rPr>
                <w:rStyle w:val="Hyperlink"/>
                <w:bCs/>
                <w:noProof/>
              </w:rPr>
              <w:t>Georgia Power should adopt better transmission planning practices to identify more optimal long-term transmission solutions</w:t>
            </w:r>
            <w:r w:rsidR="00335168">
              <w:rPr>
                <w:noProof/>
                <w:webHidden/>
              </w:rPr>
              <w:tab/>
            </w:r>
            <w:r w:rsidR="00335168">
              <w:rPr>
                <w:noProof/>
                <w:webHidden/>
              </w:rPr>
              <w:fldChar w:fldCharType="begin"/>
            </w:r>
            <w:r w:rsidR="00335168">
              <w:rPr>
                <w:noProof/>
                <w:webHidden/>
              </w:rPr>
              <w:instrText xml:space="preserve"> PAGEREF _Toc158738944 \h </w:instrText>
            </w:r>
            <w:r w:rsidR="00335168">
              <w:rPr>
                <w:noProof/>
                <w:webHidden/>
              </w:rPr>
            </w:r>
            <w:r w:rsidR="00335168">
              <w:rPr>
                <w:noProof/>
                <w:webHidden/>
              </w:rPr>
              <w:fldChar w:fldCharType="separate"/>
            </w:r>
            <w:r w:rsidR="00086332">
              <w:rPr>
                <w:noProof/>
                <w:webHidden/>
              </w:rPr>
              <w:t>12</w:t>
            </w:r>
            <w:r w:rsidR="00335168">
              <w:rPr>
                <w:noProof/>
                <w:webHidden/>
              </w:rPr>
              <w:fldChar w:fldCharType="end"/>
            </w:r>
          </w:hyperlink>
        </w:p>
        <w:p w14:paraId="7E40CDDA" w14:textId="0AF64204" w:rsidR="00335168" w:rsidRDefault="00000000">
          <w:pPr>
            <w:pStyle w:val="TOC1"/>
            <w:rPr>
              <w:rFonts w:asciiTheme="minorHAnsi" w:eastAsiaTheme="minorEastAsia" w:hAnsiTheme="minorHAnsi" w:cstheme="minorBidi"/>
              <w:noProof/>
              <w:kern w:val="2"/>
              <w:szCs w:val="24"/>
              <w14:ligatures w14:val="standardContextual"/>
            </w:rPr>
          </w:pPr>
          <w:hyperlink w:anchor="_Toc158738945" w:history="1">
            <w:r w:rsidR="00335168" w:rsidRPr="0052641E">
              <w:rPr>
                <w:rStyle w:val="Hyperlink"/>
                <w:bCs/>
                <w:noProof/>
              </w:rPr>
              <w:t>IV.</w:t>
            </w:r>
            <w:r w:rsidR="00335168">
              <w:rPr>
                <w:rFonts w:asciiTheme="minorHAnsi" w:eastAsiaTheme="minorEastAsia" w:hAnsiTheme="minorHAnsi" w:cstheme="minorBidi"/>
                <w:noProof/>
                <w:kern w:val="2"/>
                <w:szCs w:val="24"/>
                <w14:ligatures w14:val="standardContextual"/>
              </w:rPr>
              <w:tab/>
            </w:r>
            <w:r w:rsidR="00335168" w:rsidRPr="0052641E">
              <w:rPr>
                <w:rStyle w:val="Hyperlink"/>
                <w:bCs/>
                <w:noProof/>
              </w:rPr>
              <w:t>The proposed Yates CTs face curtailment risk that limits their value as a capacity resource</w:t>
            </w:r>
            <w:r w:rsidR="00335168">
              <w:rPr>
                <w:noProof/>
                <w:webHidden/>
              </w:rPr>
              <w:tab/>
            </w:r>
            <w:r w:rsidR="00335168">
              <w:rPr>
                <w:noProof/>
                <w:webHidden/>
              </w:rPr>
              <w:fldChar w:fldCharType="begin"/>
            </w:r>
            <w:r w:rsidR="00335168">
              <w:rPr>
                <w:noProof/>
                <w:webHidden/>
              </w:rPr>
              <w:instrText xml:space="preserve"> PAGEREF _Toc158738945 \h </w:instrText>
            </w:r>
            <w:r w:rsidR="00335168">
              <w:rPr>
                <w:noProof/>
                <w:webHidden/>
              </w:rPr>
            </w:r>
            <w:r w:rsidR="00335168">
              <w:rPr>
                <w:noProof/>
                <w:webHidden/>
              </w:rPr>
              <w:fldChar w:fldCharType="separate"/>
            </w:r>
            <w:r w:rsidR="00086332">
              <w:rPr>
                <w:noProof/>
                <w:webHidden/>
              </w:rPr>
              <w:t>27</w:t>
            </w:r>
            <w:r w:rsidR="00335168">
              <w:rPr>
                <w:noProof/>
                <w:webHidden/>
              </w:rPr>
              <w:fldChar w:fldCharType="end"/>
            </w:r>
          </w:hyperlink>
        </w:p>
        <w:p w14:paraId="6107728C" w14:textId="17263004" w:rsidR="00734C7E" w:rsidRDefault="00734C7E">
          <w:r>
            <w:rPr>
              <w:b/>
              <w:bCs/>
              <w:noProof/>
            </w:rPr>
            <w:fldChar w:fldCharType="end"/>
          </w:r>
        </w:p>
      </w:sdtContent>
    </w:sdt>
    <w:p w14:paraId="67E986D8" w14:textId="6A57E71F" w:rsidR="00B10408" w:rsidRDefault="00B10408">
      <w:pPr>
        <w:pStyle w:val="TOC1"/>
        <w:rPr>
          <w:rFonts w:asciiTheme="minorHAnsi" w:eastAsiaTheme="minorEastAsia" w:hAnsiTheme="minorHAnsi" w:cstheme="minorBidi"/>
          <w:noProof/>
          <w:sz w:val="22"/>
          <w:szCs w:val="22"/>
        </w:rPr>
      </w:pPr>
    </w:p>
    <w:p w14:paraId="1576FB85" w14:textId="04E6FF7D" w:rsidR="00184B4E" w:rsidRDefault="00184B4E"/>
    <w:p w14:paraId="109BE3C1" w14:textId="77777777" w:rsidR="00462787" w:rsidRDefault="00462787">
      <w:pPr>
        <w:widowControl/>
        <w:jc w:val="left"/>
        <w:rPr>
          <w:b/>
        </w:rPr>
      </w:pPr>
      <w:r>
        <w:rPr>
          <w:b/>
        </w:rPr>
        <w:br w:type="page"/>
      </w:r>
    </w:p>
    <w:tbl>
      <w:tblPr>
        <w:tblW w:w="0" w:type="auto"/>
        <w:tblLook w:val="04A0" w:firstRow="1" w:lastRow="0" w:firstColumn="1" w:lastColumn="0" w:noHBand="0" w:noVBand="1"/>
      </w:tblPr>
      <w:tblGrid>
        <w:gridCol w:w="1443"/>
        <w:gridCol w:w="7917"/>
      </w:tblGrid>
      <w:tr w:rsidR="009E5335" w14:paraId="42132ADD" w14:textId="77777777" w:rsidTr="00DC0FB9">
        <w:tc>
          <w:tcPr>
            <w:tcW w:w="1443" w:type="dxa"/>
            <w:shd w:val="clear" w:color="auto" w:fill="auto"/>
          </w:tcPr>
          <w:p w14:paraId="477D0CB3" w14:textId="77777777" w:rsidR="002F278D" w:rsidRPr="005B3B03" w:rsidRDefault="00D032AC" w:rsidP="005B3B03">
            <w:pPr>
              <w:jc w:val="left"/>
              <w:rPr>
                <w:u w:val="single"/>
              </w:rPr>
            </w:pPr>
            <w:r w:rsidRPr="005B3B03">
              <w:rPr>
                <w:u w:val="single"/>
              </w:rPr>
              <w:lastRenderedPageBreak/>
              <w:t>Exhibit</w:t>
            </w:r>
          </w:p>
        </w:tc>
        <w:tc>
          <w:tcPr>
            <w:tcW w:w="7917" w:type="dxa"/>
            <w:shd w:val="clear" w:color="auto" w:fill="auto"/>
          </w:tcPr>
          <w:p w14:paraId="235D019A" w14:textId="77777777" w:rsidR="002F278D" w:rsidRPr="005B3B03" w:rsidRDefault="00D032AC" w:rsidP="00DF31E8">
            <w:pPr>
              <w:rPr>
                <w:u w:val="single"/>
              </w:rPr>
            </w:pPr>
            <w:r w:rsidRPr="005B3B03">
              <w:rPr>
                <w:u w:val="single"/>
              </w:rPr>
              <w:t>Description</w:t>
            </w:r>
          </w:p>
        </w:tc>
      </w:tr>
      <w:tr w:rsidR="009E5335" w14:paraId="05DCE0D6" w14:textId="77777777" w:rsidTr="00DC0FB9">
        <w:tc>
          <w:tcPr>
            <w:tcW w:w="1443" w:type="dxa"/>
            <w:shd w:val="clear" w:color="auto" w:fill="auto"/>
          </w:tcPr>
          <w:p w14:paraId="1787D06D" w14:textId="77777777" w:rsidR="00DC0FB9" w:rsidRDefault="00DC0FB9" w:rsidP="005B3B03">
            <w:pPr>
              <w:jc w:val="left"/>
            </w:pPr>
          </w:p>
          <w:p w14:paraId="2CFB7445" w14:textId="3E106F3A" w:rsidR="00655527" w:rsidRPr="003C4067" w:rsidRDefault="00DC0FB9" w:rsidP="005B3B03">
            <w:pPr>
              <w:jc w:val="left"/>
            </w:pPr>
            <w:r>
              <w:t>MG</w:t>
            </w:r>
            <w:r w:rsidR="003C4067">
              <w:t>-1</w:t>
            </w:r>
          </w:p>
        </w:tc>
        <w:tc>
          <w:tcPr>
            <w:tcW w:w="7917" w:type="dxa"/>
            <w:shd w:val="clear" w:color="auto" w:fill="auto"/>
          </w:tcPr>
          <w:p w14:paraId="150EB0B9" w14:textId="77777777" w:rsidR="00DC0FB9" w:rsidRDefault="00DC0FB9" w:rsidP="00DF31E8"/>
          <w:p w14:paraId="035B7027" w14:textId="77777777" w:rsidR="00655527" w:rsidRDefault="00DC0FB9" w:rsidP="00DF31E8">
            <w:r>
              <w:t>Michael S. Goggin</w:t>
            </w:r>
            <w:r w:rsidR="003C4067">
              <w:t xml:space="preserve"> Background and Qualifications</w:t>
            </w:r>
          </w:p>
          <w:p w14:paraId="6327B879" w14:textId="2B5C8C5F" w:rsidR="0057267D" w:rsidRPr="003C4067" w:rsidRDefault="0057267D" w:rsidP="00DF31E8"/>
        </w:tc>
      </w:tr>
      <w:tr w:rsidR="009E5335" w14:paraId="57F741DD" w14:textId="77777777" w:rsidTr="00DC0FB9">
        <w:trPr>
          <w:trHeight w:val="342"/>
        </w:trPr>
        <w:tc>
          <w:tcPr>
            <w:tcW w:w="1443" w:type="dxa"/>
            <w:shd w:val="clear" w:color="auto" w:fill="auto"/>
          </w:tcPr>
          <w:p w14:paraId="4D8CCE09" w14:textId="77777777" w:rsidR="00BF3B2F" w:rsidRDefault="00BF3B2F" w:rsidP="005B3B03">
            <w:pPr>
              <w:jc w:val="left"/>
            </w:pPr>
          </w:p>
          <w:p w14:paraId="05AA3448" w14:textId="43508F76" w:rsidR="002F278D" w:rsidRPr="003C4067" w:rsidRDefault="00DC0FB9" w:rsidP="005B3B03">
            <w:pPr>
              <w:jc w:val="left"/>
            </w:pPr>
            <w:r>
              <w:t>MG</w:t>
            </w:r>
            <w:r w:rsidR="003C4067">
              <w:t>-2</w:t>
            </w:r>
          </w:p>
        </w:tc>
        <w:tc>
          <w:tcPr>
            <w:tcW w:w="7917" w:type="dxa"/>
            <w:shd w:val="clear" w:color="auto" w:fill="auto"/>
          </w:tcPr>
          <w:p w14:paraId="566EA36C" w14:textId="77777777" w:rsidR="00BF3B2F" w:rsidRDefault="00BF3B2F" w:rsidP="00050C2B"/>
          <w:p w14:paraId="7BE0F87E" w14:textId="7CCC7E33" w:rsidR="002F278D" w:rsidRDefault="00B13062" w:rsidP="00050C2B">
            <w:r>
              <w:t xml:space="preserve">Georgia Power’s response to </w:t>
            </w:r>
            <w:r w:rsidR="00990649">
              <w:t xml:space="preserve">data request </w:t>
            </w:r>
            <w:r w:rsidR="00990649" w:rsidRPr="00185B3C">
              <w:t>STF-GS-1-1</w:t>
            </w:r>
            <w:r w:rsidR="00CA7C63">
              <w:t xml:space="preserve"> in this docket</w:t>
            </w:r>
          </w:p>
          <w:p w14:paraId="5AEDF94E" w14:textId="77777777" w:rsidR="00E01968" w:rsidRDefault="00E01968" w:rsidP="00050C2B"/>
          <w:p w14:paraId="6DA46D05" w14:textId="08BD22D5" w:rsidR="00E01968" w:rsidRPr="003C4067" w:rsidRDefault="00E01968" w:rsidP="00050C2B"/>
        </w:tc>
      </w:tr>
      <w:tr w:rsidR="009E5335" w14:paraId="481CE5D3" w14:textId="77777777" w:rsidTr="00DC0FB9">
        <w:tc>
          <w:tcPr>
            <w:tcW w:w="1443" w:type="dxa"/>
            <w:shd w:val="clear" w:color="auto" w:fill="auto"/>
          </w:tcPr>
          <w:p w14:paraId="43A6AE9A" w14:textId="3B326C5A" w:rsidR="002F278D" w:rsidRPr="003C4067" w:rsidRDefault="00DC0FB9" w:rsidP="005B3B03">
            <w:pPr>
              <w:jc w:val="left"/>
            </w:pPr>
            <w:r>
              <w:t>MG</w:t>
            </w:r>
            <w:r w:rsidR="005845CE">
              <w:t>-3</w:t>
            </w:r>
          </w:p>
        </w:tc>
        <w:tc>
          <w:tcPr>
            <w:tcW w:w="7917" w:type="dxa"/>
            <w:shd w:val="clear" w:color="auto" w:fill="auto"/>
          </w:tcPr>
          <w:p w14:paraId="26EC61B5" w14:textId="0854F06D" w:rsidR="002F278D" w:rsidRDefault="00790ABC" w:rsidP="00432B3E">
            <w:r>
              <w:t xml:space="preserve">Georgia Power’s </w:t>
            </w:r>
            <w:bookmarkStart w:id="0" w:name="_Hlk101355755"/>
            <w:r>
              <w:t xml:space="preserve">response to </w:t>
            </w:r>
            <w:bookmarkEnd w:id="0"/>
            <w:r w:rsidR="00CA7C63">
              <w:t xml:space="preserve">data request </w:t>
            </w:r>
            <w:r w:rsidR="00CA7C63" w:rsidRPr="00185B3C">
              <w:t>STF-GDS-4-7</w:t>
            </w:r>
            <w:r w:rsidR="00D4452F">
              <w:t>.e.</w:t>
            </w:r>
            <w:r w:rsidR="00CA7C63" w:rsidRPr="00185B3C">
              <w:t xml:space="preserve"> in </w:t>
            </w:r>
            <w:r w:rsidR="00CA7C63">
              <w:t>the 2022 IRP (</w:t>
            </w:r>
            <w:r w:rsidR="00CA7C63" w:rsidRPr="00185B3C">
              <w:t>Docket No. 44160</w:t>
            </w:r>
            <w:r w:rsidR="00CA7C63">
              <w:t>)</w:t>
            </w:r>
          </w:p>
          <w:p w14:paraId="55A6E700" w14:textId="77777777" w:rsidR="00E01968" w:rsidRDefault="00E01968" w:rsidP="00432B3E"/>
          <w:p w14:paraId="6C851253" w14:textId="0CBC1387" w:rsidR="00E01968" w:rsidRPr="003C4067" w:rsidRDefault="00E01968" w:rsidP="00432B3E"/>
        </w:tc>
      </w:tr>
      <w:tr w:rsidR="009E5335" w14:paraId="65EEC9B5" w14:textId="77777777" w:rsidTr="00DC0FB9">
        <w:tc>
          <w:tcPr>
            <w:tcW w:w="1443" w:type="dxa"/>
            <w:shd w:val="clear" w:color="auto" w:fill="auto"/>
          </w:tcPr>
          <w:p w14:paraId="17A9AA3E" w14:textId="3D4EEAF1" w:rsidR="002F278D" w:rsidRPr="003C4067" w:rsidRDefault="00DC0FB9" w:rsidP="005B3B03">
            <w:pPr>
              <w:jc w:val="left"/>
            </w:pPr>
            <w:r>
              <w:t>MG</w:t>
            </w:r>
            <w:r w:rsidR="005845CE">
              <w:t>-4</w:t>
            </w:r>
          </w:p>
        </w:tc>
        <w:tc>
          <w:tcPr>
            <w:tcW w:w="7917" w:type="dxa"/>
            <w:shd w:val="clear" w:color="auto" w:fill="auto"/>
          </w:tcPr>
          <w:p w14:paraId="06398464" w14:textId="59F9892C" w:rsidR="00E01968" w:rsidRDefault="00273A49" w:rsidP="00B56D6D">
            <w:r w:rsidRPr="00185B3C">
              <w:t>Georgia Power’s response</w:t>
            </w:r>
            <w:r>
              <w:t>s</w:t>
            </w:r>
            <w:r w:rsidRPr="00185B3C">
              <w:t xml:space="preserve"> to </w:t>
            </w:r>
            <w:r>
              <w:t xml:space="preserve">data requests </w:t>
            </w:r>
            <w:r w:rsidRPr="00185B3C">
              <w:t>STF-GS-1-8 and STF-GS-1-9</w:t>
            </w:r>
            <w:r>
              <w:t xml:space="preserve"> in this docket</w:t>
            </w:r>
          </w:p>
          <w:p w14:paraId="2D8C38F1" w14:textId="77777777" w:rsidR="00DA0EEE" w:rsidRDefault="00DA0EEE" w:rsidP="00B56D6D"/>
          <w:p w14:paraId="62F4D726" w14:textId="316EE44F" w:rsidR="00E01968" w:rsidRPr="003C4067" w:rsidRDefault="00E01968" w:rsidP="00B56D6D"/>
        </w:tc>
      </w:tr>
      <w:tr w:rsidR="009E5335" w14:paraId="638903B7" w14:textId="77777777" w:rsidTr="00DC0FB9">
        <w:tc>
          <w:tcPr>
            <w:tcW w:w="1443" w:type="dxa"/>
            <w:shd w:val="clear" w:color="auto" w:fill="auto"/>
          </w:tcPr>
          <w:p w14:paraId="14BD1D17" w14:textId="02BC2423" w:rsidR="002F278D" w:rsidRPr="003C4067" w:rsidRDefault="00DC0FB9" w:rsidP="005B3B03">
            <w:pPr>
              <w:jc w:val="left"/>
            </w:pPr>
            <w:bookmarkStart w:id="1" w:name="_Hlk158739599"/>
            <w:r>
              <w:t>MG</w:t>
            </w:r>
            <w:r w:rsidR="005845CE">
              <w:t>-5</w:t>
            </w:r>
          </w:p>
        </w:tc>
        <w:tc>
          <w:tcPr>
            <w:tcW w:w="7917" w:type="dxa"/>
            <w:shd w:val="clear" w:color="auto" w:fill="auto"/>
          </w:tcPr>
          <w:p w14:paraId="21B4E230" w14:textId="659F7EEA" w:rsidR="002F278D" w:rsidRDefault="00271BF6" w:rsidP="00DA7A87">
            <w:r>
              <w:t>Georgia Power’s response</w:t>
            </w:r>
            <w:r w:rsidR="00AC6898">
              <w:t xml:space="preserve"> to data request </w:t>
            </w:r>
            <w:r w:rsidR="00AC6898" w:rsidRPr="007E7734">
              <w:t>STF-GS-1-7</w:t>
            </w:r>
            <w:r w:rsidR="00AC6898">
              <w:t xml:space="preserve"> in this docket</w:t>
            </w:r>
          </w:p>
          <w:p w14:paraId="3D9C77A5" w14:textId="77777777" w:rsidR="00E01968" w:rsidRDefault="00E01968" w:rsidP="00DA7A87"/>
          <w:p w14:paraId="3611CA42" w14:textId="7F3F61EB" w:rsidR="00E01968" w:rsidRPr="003C4067" w:rsidRDefault="00E01968" w:rsidP="00DA7A87"/>
        </w:tc>
      </w:tr>
      <w:bookmarkEnd w:id="1"/>
      <w:tr w:rsidR="009E5335" w14:paraId="4CD81AB4" w14:textId="77777777" w:rsidTr="00DC0FB9">
        <w:tc>
          <w:tcPr>
            <w:tcW w:w="1443" w:type="dxa"/>
            <w:shd w:val="clear" w:color="auto" w:fill="auto"/>
          </w:tcPr>
          <w:p w14:paraId="29CA6354" w14:textId="2AF5DDF6" w:rsidR="00267656" w:rsidRDefault="00267656" w:rsidP="00267656">
            <w:pPr>
              <w:jc w:val="left"/>
            </w:pPr>
          </w:p>
        </w:tc>
        <w:tc>
          <w:tcPr>
            <w:tcW w:w="7917" w:type="dxa"/>
            <w:shd w:val="clear" w:color="auto" w:fill="auto"/>
          </w:tcPr>
          <w:p w14:paraId="54514530" w14:textId="0A97097A" w:rsidR="00E01968" w:rsidRPr="003C4067" w:rsidRDefault="00E01968" w:rsidP="00635612"/>
        </w:tc>
      </w:tr>
      <w:tr w:rsidR="009E5335" w14:paraId="09BFACBB" w14:textId="77777777" w:rsidTr="00DC0FB9">
        <w:tc>
          <w:tcPr>
            <w:tcW w:w="1443" w:type="dxa"/>
            <w:shd w:val="clear" w:color="auto" w:fill="auto"/>
          </w:tcPr>
          <w:p w14:paraId="1985442F" w14:textId="238578C1" w:rsidR="00267656" w:rsidRDefault="00267656" w:rsidP="00267656">
            <w:pPr>
              <w:jc w:val="left"/>
            </w:pPr>
          </w:p>
        </w:tc>
        <w:tc>
          <w:tcPr>
            <w:tcW w:w="7917" w:type="dxa"/>
            <w:shd w:val="clear" w:color="auto" w:fill="auto"/>
          </w:tcPr>
          <w:p w14:paraId="28957BEB" w14:textId="7799F998" w:rsidR="00E01968" w:rsidRPr="003C4067" w:rsidRDefault="00E01968" w:rsidP="00BF3BDA"/>
        </w:tc>
      </w:tr>
      <w:tr w:rsidR="009E5335" w14:paraId="7016B7EF" w14:textId="77777777" w:rsidTr="00DC0FB9">
        <w:tc>
          <w:tcPr>
            <w:tcW w:w="1443" w:type="dxa"/>
            <w:shd w:val="clear" w:color="auto" w:fill="auto"/>
          </w:tcPr>
          <w:p w14:paraId="19524AEB" w14:textId="52764034" w:rsidR="00267656" w:rsidRDefault="00267656" w:rsidP="00267656">
            <w:pPr>
              <w:jc w:val="left"/>
            </w:pPr>
          </w:p>
        </w:tc>
        <w:tc>
          <w:tcPr>
            <w:tcW w:w="7917" w:type="dxa"/>
            <w:shd w:val="clear" w:color="auto" w:fill="auto"/>
          </w:tcPr>
          <w:p w14:paraId="0510C9B4" w14:textId="1FAED000" w:rsidR="00267656" w:rsidRPr="003C4067" w:rsidRDefault="00267656" w:rsidP="00BF3BDA"/>
        </w:tc>
      </w:tr>
    </w:tbl>
    <w:p w14:paraId="329B38D9" w14:textId="77777777" w:rsidR="003800BC" w:rsidRPr="006325BF" w:rsidRDefault="003800BC">
      <w:pPr>
        <w:jc w:val="center"/>
      </w:pPr>
    </w:p>
    <w:p w14:paraId="07E09B67" w14:textId="77777777" w:rsidR="006325BF" w:rsidRPr="006325BF" w:rsidRDefault="006325BF" w:rsidP="006325BF">
      <w:pPr>
        <w:jc w:val="left"/>
      </w:pPr>
    </w:p>
    <w:p w14:paraId="4EB6653B" w14:textId="77777777" w:rsidR="003800BC" w:rsidRPr="00AA3429" w:rsidRDefault="003800BC">
      <w:pPr>
        <w:jc w:val="center"/>
      </w:pPr>
    </w:p>
    <w:p w14:paraId="465665B8" w14:textId="77777777" w:rsidR="00CE717E" w:rsidRPr="00AA3429" w:rsidRDefault="00CE717E">
      <w:pPr>
        <w:sectPr w:rsidR="00CE717E" w:rsidRPr="00AA3429" w:rsidSect="008C0716">
          <w:endnotePr>
            <w:numFmt w:val="decimal"/>
          </w:endnotePr>
          <w:pgSz w:w="12240" w:h="15840" w:code="1"/>
          <w:pgMar w:top="1440" w:right="1440" w:bottom="965" w:left="1440" w:header="1440" w:footer="965" w:gutter="0"/>
          <w:pgNumType w:start="1"/>
          <w:cols w:space="720"/>
          <w:noEndnote/>
          <w:titlePg/>
        </w:sectPr>
      </w:pPr>
    </w:p>
    <w:p w14:paraId="7B892326" w14:textId="6C95B401" w:rsidR="00CF6CDF" w:rsidRDefault="004E1538" w:rsidP="008168A5">
      <w:pPr>
        <w:pStyle w:val="Heading1"/>
      </w:pPr>
      <w:bookmarkStart w:id="2" w:name="_Toc101373115"/>
      <w:bookmarkStart w:id="3" w:name="_Toc158738942"/>
      <w:r w:rsidRPr="004E1538">
        <w:lastRenderedPageBreak/>
        <w:t>I</w:t>
      </w:r>
      <w:bookmarkEnd w:id="2"/>
      <w:r w:rsidR="000471F7">
        <w:t>ntroduction</w:t>
      </w:r>
      <w:bookmarkEnd w:id="3"/>
    </w:p>
    <w:p w14:paraId="57166ACE" w14:textId="77777777" w:rsidR="00192032" w:rsidRPr="00E3023D" w:rsidRDefault="00192032" w:rsidP="00E3023D">
      <w:pPr>
        <w:spacing w:line="360" w:lineRule="auto"/>
        <w:rPr>
          <w:b/>
          <w:szCs w:val="24"/>
        </w:rPr>
      </w:pPr>
    </w:p>
    <w:p w14:paraId="120C405F" w14:textId="0EFB2DE4" w:rsidR="003613FB" w:rsidRDefault="00DB77B9" w:rsidP="00386021">
      <w:pPr>
        <w:pStyle w:val="GeorgiaQuestion"/>
      </w:pPr>
      <w:r w:rsidRPr="00E3023D">
        <w:t>Q.</w:t>
      </w:r>
      <w:r w:rsidRPr="00E3023D">
        <w:tab/>
      </w:r>
      <w:r w:rsidR="003613FB" w:rsidRPr="00B5316D">
        <w:t xml:space="preserve">PLEASE STATE </w:t>
      </w:r>
      <w:r w:rsidR="004E1538" w:rsidRPr="004E1538">
        <w:t>YOUR</w:t>
      </w:r>
      <w:r w:rsidR="003613FB" w:rsidRPr="00B5316D">
        <w:t xml:space="preserve"> NAME AND</w:t>
      </w:r>
      <w:r w:rsidR="0057267D">
        <w:t xml:space="preserve"> Job Title</w:t>
      </w:r>
      <w:r w:rsidR="003613FB" w:rsidRPr="00B5316D">
        <w:t>.</w:t>
      </w:r>
      <w:r w:rsidR="0057267D">
        <w:t xml:space="preserve"> </w:t>
      </w:r>
    </w:p>
    <w:p w14:paraId="7B0E46B0" w14:textId="10828230" w:rsidR="00CF6CDF" w:rsidRDefault="003613FB">
      <w:pPr>
        <w:pStyle w:val="GaAns"/>
      </w:pPr>
      <w:r w:rsidRPr="00B5316D">
        <w:t>A.</w:t>
      </w:r>
      <w:r w:rsidRPr="00B5316D">
        <w:tab/>
      </w:r>
      <w:r w:rsidR="0057267D">
        <w:t>Michael S. Goggin, and I am a Vice President at Grid Strategies</w:t>
      </w:r>
      <w:r w:rsidR="00C670B2">
        <w:t>, LLC, a consulting firm based in the Washington, DC, area</w:t>
      </w:r>
      <w:r w:rsidR="0057267D">
        <w:t>.</w:t>
      </w:r>
    </w:p>
    <w:p w14:paraId="490079D1" w14:textId="77777777" w:rsidR="003613FB" w:rsidRPr="006E360E" w:rsidRDefault="003613FB" w:rsidP="00C670B2">
      <w:pPr>
        <w:pStyle w:val="GaBody"/>
        <w:ind w:left="0"/>
      </w:pPr>
    </w:p>
    <w:p w14:paraId="324E18F9" w14:textId="77777777" w:rsidR="00CF6CDF" w:rsidRDefault="003613FB">
      <w:pPr>
        <w:pStyle w:val="GeorgiaQuestion"/>
      </w:pPr>
      <w:r w:rsidRPr="00B5316D">
        <w:t>Q.</w:t>
      </w:r>
      <w:r w:rsidRPr="00B5316D">
        <w:tab/>
      </w:r>
      <w:r>
        <w:t xml:space="preserve">HAVE YOU PROVIDED AN EXHIBIT SUMMARIZING </w:t>
      </w:r>
      <w:r w:rsidRPr="00B5316D">
        <w:t>YOUR EDUCATIONAL BACKGROUND AND PROFESSIONAL EXPERIENCE?</w:t>
      </w:r>
    </w:p>
    <w:p w14:paraId="7920DE52" w14:textId="1A959C34" w:rsidR="00CF6CDF" w:rsidRDefault="003613FB">
      <w:pPr>
        <w:pStyle w:val="GaAns"/>
      </w:pPr>
      <w:r w:rsidRPr="00B5316D">
        <w:t>A.</w:t>
      </w:r>
      <w:r w:rsidRPr="00B5316D">
        <w:tab/>
      </w:r>
      <w:r>
        <w:t>Yes.  It is</w:t>
      </w:r>
      <w:r w:rsidRPr="00B5316D">
        <w:t xml:space="preserve"> presented in </w:t>
      </w:r>
      <w:r>
        <w:t>Exhibit</w:t>
      </w:r>
      <w:r w:rsidR="001C2542">
        <w:t xml:space="preserve"> </w:t>
      </w:r>
      <w:r w:rsidR="0057267D">
        <w:t>MG</w:t>
      </w:r>
      <w:r>
        <w:t>-1</w:t>
      </w:r>
      <w:r w:rsidRPr="00B5316D">
        <w:t>. This exhibit summarizes my re</w:t>
      </w:r>
      <w:r w:rsidR="00067CDB">
        <w:t>levant</w:t>
      </w:r>
      <w:r w:rsidRPr="00B5316D">
        <w:t xml:space="preserve"> experience and qualifications.</w:t>
      </w:r>
    </w:p>
    <w:p w14:paraId="2D273F99" w14:textId="77777777" w:rsidR="0030079D" w:rsidRDefault="0030079D">
      <w:pPr>
        <w:pStyle w:val="GeorgiaQuestion"/>
      </w:pPr>
    </w:p>
    <w:p w14:paraId="0716E8AB" w14:textId="05266617" w:rsidR="00CF6CDF" w:rsidRDefault="003613FB">
      <w:pPr>
        <w:pStyle w:val="GeorgiaQuestion"/>
      </w:pPr>
      <w:r w:rsidRPr="00B5316D">
        <w:t>Q.</w:t>
      </w:r>
      <w:r w:rsidRPr="00B5316D">
        <w:tab/>
        <w:t>ON WHOSE BEHALF ARE YOU APPEARING?</w:t>
      </w:r>
    </w:p>
    <w:p w14:paraId="14E89874" w14:textId="4268F212" w:rsidR="00CF6CDF" w:rsidRDefault="003613FB">
      <w:pPr>
        <w:pStyle w:val="GaAns"/>
      </w:pPr>
      <w:r w:rsidRPr="00B5316D">
        <w:t>A.</w:t>
      </w:r>
      <w:r w:rsidRPr="00B5316D">
        <w:tab/>
      </w:r>
      <w:r w:rsidR="00C670B2">
        <w:t>I</w:t>
      </w:r>
      <w:r w:rsidR="00655527">
        <w:t xml:space="preserve"> a</w:t>
      </w:r>
      <w:r w:rsidR="00C670B2">
        <w:t>m</w:t>
      </w:r>
      <w:r w:rsidR="00655527">
        <w:t xml:space="preserve"> </w:t>
      </w:r>
      <w:r>
        <w:t xml:space="preserve">testifying on behalf of the Georgia Public Service Commission </w:t>
      </w:r>
      <w:r w:rsidR="0061294D">
        <w:t xml:space="preserve">(“the Commission”) </w:t>
      </w:r>
      <w:r>
        <w:t xml:space="preserve">Public Interest Advocacy Staff (“Staff’). </w:t>
      </w:r>
      <w:r w:rsidR="00F9148C" w:rsidRPr="00E3023D">
        <w:t xml:space="preserve"> </w:t>
      </w:r>
    </w:p>
    <w:p w14:paraId="2964D73F" w14:textId="77777777" w:rsidR="00C3077C" w:rsidRPr="006E360E" w:rsidRDefault="00C3077C" w:rsidP="00C3077C">
      <w:pPr>
        <w:pStyle w:val="GaBody"/>
        <w:ind w:left="0"/>
      </w:pPr>
    </w:p>
    <w:p w14:paraId="1CA248CE" w14:textId="3C7CF5FB" w:rsidR="00C3077C" w:rsidRDefault="00C3077C" w:rsidP="00C3077C">
      <w:pPr>
        <w:pStyle w:val="GeorgiaQuestion"/>
      </w:pPr>
      <w:r>
        <w:t>Q.</w:t>
      </w:r>
      <w:r>
        <w:tab/>
        <w:t>HAVE YOU PREVIOUSLY TESTIFIED BEFORE THE GEORGIA PUBLIC SERVICE COMMISSION OR OTHER UTILITY REGULATORY BODIES?</w:t>
      </w:r>
    </w:p>
    <w:p w14:paraId="3FAB93F9" w14:textId="19284EE9" w:rsidR="00FA5FEC" w:rsidRPr="0096227D" w:rsidRDefault="00C3077C" w:rsidP="002B4669">
      <w:pPr>
        <w:pStyle w:val="Question0"/>
        <w:keepNext w:val="0"/>
        <w:jc w:val="both"/>
        <w:rPr>
          <w:rFonts w:cs="Times New Roman"/>
        </w:rPr>
      </w:pPr>
      <w:r>
        <w:t>A.</w:t>
      </w:r>
      <w:r>
        <w:tab/>
      </w:r>
      <w:r w:rsidRPr="00FA5FEC">
        <w:rPr>
          <w:b w:val="0"/>
          <w:bCs w:val="0"/>
        </w:rPr>
        <w:t>Yes.</w:t>
      </w:r>
      <w:r w:rsidR="00160B81" w:rsidRPr="00FA5FEC">
        <w:rPr>
          <w:b w:val="0"/>
          <w:bCs w:val="0"/>
        </w:rPr>
        <w:t xml:space="preserve"> I have testified before the Georgia Commission in the last three Georgia Power </w:t>
      </w:r>
      <w:r w:rsidR="00B2769E" w:rsidRPr="00B2769E">
        <w:rPr>
          <w:b w:val="0"/>
          <w:bCs w:val="0"/>
        </w:rPr>
        <w:t>Integrated Resource Plan (“IRP”)</w:t>
      </w:r>
      <w:r w:rsidR="00160B81" w:rsidRPr="00B2769E">
        <w:rPr>
          <w:b w:val="0"/>
          <w:bCs w:val="0"/>
        </w:rPr>
        <w:t xml:space="preserve"> </w:t>
      </w:r>
      <w:r w:rsidR="00160B81" w:rsidRPr="00FA5FEC">
        <w:rPr>
          <w:b w:val="0"/>
          <w:bCs w:val="0"/>
        </w:rPr>
        <w:t>cases</w:t>
      </w:r>
      <w:r w:rsidR="00C64B3C">
        <w:rPr>
          <w:b w:val="0"/>
          <w:bCs w:val="0"/>
        </w:rPr>
        <w:t>, in 2022, 2019, and 2016</w:t>
      </w:r>
      <w:r w:rsidR="00160B81" w:rsidRPr="00FA5FEC">
        <w:rPr>
          <w:b w:val="0"/>
          <w:bCs w:val="0"/>
        </w:rPr>
        <w:t>. I have also testified</w:t>
      </w:r>
      <w:r w:rsidR="00160B81">
        <w:t xml:space="preserve"> </w:t>
      </w:r>
      <w:bookmarkStart w:id="4" w:name="_Hlk6343885"/>
      <w:r w:rsidR="00FA5FEC" w:rsidRPr="0096227D">
        <w:rPr>
          <w:rFonts w:cs="Times New Roman"/>
          <w:b w:val="0"/>
        </w:rPr>
        <w:t xml:space="preserve">before state utility commissions in Arizona, Colorado, Illinois, Indiana, Iowa, </w:t>
      </w:r>
      <w:r w:rsidR="00FA5FEC">
        <w:rPr>
          <w:rFonts w:cs="Times New Roman"/>
          <w:b w:val="0"/>
        </w:rPr>
        <w:t xml:space="preserve">Kentucky, </w:t>
      </w:r>
      <w:r w:rsidR="00FA5FEC" w:rsidRPr="0096227D">
        <w:rPr>
          <w:rFonts w:cs="Times New Roman"/>
          <w:b w:val="0"/>
        </w:rPr>
        <w:t xml:space="preserve">Minnesota, Missouri, Montana, Nevada, New Mexico, </w:t>
      </w:r>
      <w:r w:rsidR="00FA5FEC">
        <w:rPr>
          <w:rFonts w:cs="Times New Roman"/>
          <w:b w:val="0"/>
        </w:rPr>
        <w:t xml:space="preserve">North Carolina, </w:t>
      </w:r>
      <w:r w:rsidR="00FA5FEC" w:rsidRPr="0096227D">
        <w:rPr>
          <w:rFonts w:cs="Times New Roman"/>
          <w:b w:val="0"/>
        </w:rPr>
        <w:t>Ohio, Oklahoma, Virginia, Washington, and Wisconsin</w:t>
      </w:r>
      <w:bookmarkEnd w:id="4"/>
      <w:r w:rsidR="00FA5FEC" w:rsidRPr="0096227D">
        <w:rPr>
          <w:rFonts w:cs="Times New Roman"/>
          <w:b w:val="0"/>
        </w:rPr>
        <w:t>, as well as before the Federal Energy Regulatory Commission (“FERC”).</w:t>
      </w:r>
      <w:r w:rsidR="00FA5FEC" w:rsidRPr="0096227D">
        <w:rPr>
          <w:rFonts w:cs="Times New Roman"/>
        </w:rPr>
        <w:t xml:space="preserve"> </w:t>
      </w:r>
    </w:p>
    <w:p w14:paraId="3A2D53B0" w14:textId="77777777" w:rsidR="00E3023D" w:rsidRPr="00E3023D" w:rsidRDefault="00E3023D" w:rsidP="00C3077C">
      <w:pPr>
        <w:pStyle w:val="GaBody"/>
        <w:ind w:left="0"/>
      </w:pPr>
    </w:p>
    <w:p w14:paraId="77F04D97" w14:textId="77777777" w:rsidR="00CF6CDF" w:rsidRDefault="00F3298C">
      <w:pPr>
        <w:pStyle w:val="GeorgiaQuestion"/>
      </w:pPr>
      <w:r w:rsidRPr="00E3023D">
        <w:t>Q.</w:t>
      </w:r>
      <w:r w:rsidRPr="00E3023D">
        <w:tab/>
        <w:t>WHAT IS THE PURPOSE OF YOUR TESTIMONY?</w:t>
      </w:r>
    </w:p>
    <w:p w14:paraId="58DDA512" w14:textId="17CEF763" w:rsidR="00A6622A" w:rsidRDefault="00F3298C">
      <w:pPr>
        <w:pStyle w:val="GaAns"/>
      </w:pPr>
      <w:r w:rsidRPr="000201A4">
        <w:t>A.</w:t>
      </w:r>
      <w:r w:rsidRPr="00E3023D">
        <w:rPr>
          <w:b/>
        </w:rPr>
        <w:tab/>
      </w:r>
      <w:r w:rsidR="00994456">
        <w:t>The purpose o</w:t>
      </w:r>
      <w:r w:rsidR="00655527">
        <w:t xml:space="preserve">f </w:t>
      </w:r>
      <w:r w:rsidR="00C670B2">
        <w:t>my</w:t>
      </w:r>
      <w:r w:rsidR="001A1DA6">
        <w:t xml:space="preserve"> testimony is to address </w:t>
      </w:r>
      <w:r w:rsidR="00C670B2">
        <w:t>transmission-related aspects of Georgia Power</w:t>
      </w:r>
      <w:r w:rsidR="00D65D4E">
        <w:t xml:space="preserve"> </w:t>
      </w:r>
      <w:r w:rsidR="00D65D4E">
        <w:lastRenderedPageBreak/>
        <w:t>Company</w:t>
      </w:r>
      <w:r w:rsidR="00C670B2">
        <w:t>’s</w:t>
      </w:r>
      <w:r w:rsidR="00D65D4E">
        <w:t xml:space="preserve"> (“Georgia Power’s or “the Company’s”) </w:t>
      </w:r>
      <w:r w:rsidR="007A1BDA">
        <w:t xml:space="preserve">2023 </w:t>
      </w:r>
      <w:r w:rsidR="00B2769E">
        <w:t xml:space="preserve">IRP </w:t>
      </w:r>
      <w:r w:rsidR="007A1BDA">
        <w:t xml:space="preserve">Update. </w:t>
      </w:r>
      <w:r w:rsidR="00C670B2">
        <w:t xml:space="preserve"> </w:t>
      </w:r>
      <w:r w:rsidR="006E0556">
        <w:t xml:space="preserve">  </w:t>
      </w:r>
    </w:p>
    <w:p w14:paraId="2298D77C" w14:textId="77777777" w:rsidR="00676115" w:rsidRDefault="00676115" w:rsidP="007A1BDA">
      <w:pPr>
        <w:pStyle w:val="GaBody"/>
        <w:ind w:left="0"/>
        <w:jc w:val="both"/>
      </w:pPr>
    </w:p>
    <w:p w14:paraId="5C8F6997" w14:textId="7F7CEEB5" w:rsidR="00655527" w:rsidRDefault="0001559C" w:rsidP="00DF31E8">
      <w:pPr>
        <w:pStyle w:val="GaBody"/>
        <w:jc w:val="both"/>
      </w:pPr>
      <w:r>
        <w:t>In Section II</w:t>
      </w:r>
      <w:r w:rsidR="00655527">
        <w:t xml:space="preserve">, </w:t>
      </w:r>
      <w:r w:rsidR="007A1BDA">
        <w:t>I discuss</w:t>
      </w:r>
      <w:r w:rsidR="009666BF">
        <w:t xml:space="preserve"> the Company’s </w:t>
      </w:r>
      <w:r w:rsidR="007F4AEF">
        <w:t xml:space="preserve">proposed </w:t>
      </w:r>
      <w:r w:rsidR="00444B1D">
        <w:t>transmission upgrades to accommodate the addition of the Yates Combustion Turbines (</w:t>
      </w:r>
      <w:r w:rsidR="0061294D">
        <w:t>“</w:t>
      </w:r>
      <w:r w:rsidR="00444B1D">
        <w:t>CTs</w:t>
      </w:r>
      <w:r w:rsidR="0061294D">
        <w:t>”</w:t>
      </w:r>
      <w:r w:rsidR="00444B1D">
        <w:t>)</w:t>
      </w:r>
      <w:r w:rsidR="0061294D">
        <w:t xml:space="preserve">. </w:t>
      </w:r>
      <w:r w:rsidR="008118AD">
        <w:t xml:space="preserve">Georgia Power </w:t>
      </w:r>
      <w:r w:rsidR="009F039D">
        <w:t xml:space="preserve">acknowledges that it </w:t>
      </w:r>
      <w:r w:rsidR="008118AD">
        <w:t>failed to consider alternatives like battery storage, demand response, and grid-enhancing technologies</w:t>
      </w:r>
      <w:r w:rsidR="009F039D">
        <w:t xml:space="preserve"> that can be deployed quickly and can cost-effectively reduce or eliminate the need for </w:t>
      </w:r>
      <w:r w:rsidR="000C0380">
        <w:t>these grid upgrades.</w:t>
      </w:r>
      <w:r w:rsidR="008118AD">
        <w:t xml:space="preserve"> </w:t>
      </w:r>
      <w:r w:rsidR="000C0380">
        <w:t xml:space="preserve">These </w:t>
      </w:r>
      <w:r w:rsidR="00A64B4C">
        <w:t xml:space="preserve">can </w:t>
      </w:r>
      <w:r w:rsidR="004743A1">
        <w:t xml:space="preserve">help </w:t>
      </w:r>
      <w:r w:rsidR="00A64B4C">
        <w:t>serve as interim</w:t>
      </w:r>
      <w:r w:rsidR="000C0380">
        <w:t xml:space="preserve"> solutions </w:t>
      </w:r>
      <w:r w:rsidR="004743A1">
        <w:t xml:space="preserve">until the Company can plan and complete the longer-term </w:t>
      </w:r>
      <w:r w:rsidR="001E4EC9">
        <w:t>transmission expansion discussed in the next section of my testimony.</w:t>
      </w:r>
      <w:r w:rsidR="002C32DD">
        <w:t xml:space="preserve"> </w:t>
      </w:r>
      <w:r w:rsidR="00C37205">
        <w:t xml:space="preserve"> </w:t>
      </w:r>
      <w:r w:rsidR="00A6622A">
        <w:t xml:space="preserve">  </w:t>
      </w:r>
      <w:r w:rsidR="00655527">
        <w:t xml:space="preserve">  </w:t>
      </w:r>
    </w:p>
    <w:p w14:paraId="67B78DC5" w14:textId="6D394974" w:rsidR="00C37205" w:rsidRDefault="00C37205" w:rsidP="00C37205">
      <w:pPr>
        <w:pStyle w:val="GeorgiaQuestion"/>
        <w:rPr>
          <w:lang w:eastAsia="zh-CN"/>
        </w:rPr>
      </w:pPr>
    </w:p>
    <w:p w14:paraId="04D2B2E1" w14:textId="4DEC390B" w:rsidR="00655527" w:rsidRDefault="00C37205" w:rsidP="0073797C">
      <w:pPr>
        <w:pStyle w:val="GaAns"/>
      </w:pPr>
      <w:r>
        <w:rPr>
          <w:lang w:eastAsia="zh-CN"/>
        </w:rPr>
        <w:tab/>
      </w:r>
      <w:r>
        <w:t xml:space="preserve">In Section III, </w:t>
      </w:r>
      <w:r w:rsidR="007A1BDA">
        <w:t xml:space="preserve">I </w:t>
      </w:r>
      <w:r w:rsidR="008E6E43">
        <w:t xml:space="preserve">recommend a more effective transmission planning process that </w:t>
      </w:r>
      <w:r w:rsidR="0061294D">
        <w:t>the Commission can require Georgia Power to adopt</w:t>
      </w:r>
      <w:r w:rsidR="008E6E43">
        <w:t xml:space="preserve">. Specifically, </w:t>
      </w:r>
      <w:r w:rsidR="0061294D">
        <w:t xml:space="preserve">other regions have found </w:t>
      </w:r>
      <w:r w:rsidR="008E6E43">
        <w:t xml:space="preserve">proactive multi-value transmission planning </w:t>
      </w:r>
      <w:r w:rsidR="00D44D80">
        <w:t xml:space="preserve">results in </w:t>
      </w:r>
      <w:r w:rsidR="00E1563F">
        <w:t xml:space="preserve">large savings for </w:t>
      </w:r>
      <w:r w:rsidR="00392757">
        <w:t xml:space="preserve">ratepayers by </w:t>
      </w:r>
      <w:r w:rsidR="00892C82">
        <w:t xml:space="preserve">maximizing net benefits to ratepayers and </w:t>
      </w:r>
      <w:r w:rsidR="00392757">
        <w:t xml:space="preserve">achieving economies of scale </w:t>
      </w:r>
      <w:r w:rsidR="003A5BDA">
        <w:t xml:space="preserve">through </w:t>
      </w:r>
      <w:r w:rsidR="00392757">
        <w:t xml:space="preserve">investment </w:t>
      </w:r>
      <w:r w:rsidR="003A5BDA">
        <w:t>in higher-capacity transmission</w:t>
      </w:r>
      <w:r w:rsidR="00D44D80">
        <w:t>. This approach optimizes the multiple benefits of transmission</w:t>
      </w:r>
      <w:r w:rsidR="003D7F3C">
        <w:t xml:space="preserve"> including</w:t>
      </w:r>
      <w:r w:rsidR="00A2659B">
        <w:t xml:space="preserve"> accessing lower-cost generation</w:t>
      </w:r>
      <w:r w:rsidR="00D44D80">
        <w:t xml:space="preserve">, in contrast to Georgia Power’s </w:t>
      </w:r>
      <w:r w:rsidR="00B51285">
        <w:t xml:space="preserve">sole </w:t>
      </w:r>
      <w:r w:rsidR="003D7F3C">
        <w:t xml:space="preserve">focus on </w:t>
      </w:r>
      <w:r w:rsidR="00B51285">
        <w:t xml:space="preserve">meeting </w:t>
      </w:r>
      <w:r w:rsidR="003D7F3C">
        <w:t>reliability</w:t>
      </w:r>
      <w:r w:rsidR="00B51285">
        <w:t xml:space="preserve"> criteria</w:t>
      </w:r>
      <w:r w:rsidR="003D7F3C">
        <w:t>.</w:t>
      </w:r>
      <w:r w:rsidR="00D44D80">
        <w:t xml:space="preserve"> </w:t>
      </w:r>
      <w:r w:rsidR="003D7F3C">
        <w:t xml:space="preserve">It also proactively plans </w:t>
      </w:r>
      <w:r w:rsidR="00346A0E">
        <w:t>upgrades to meet expected changes in the generation mix and load growth</w:t>
      </w:r>
      <w:r w:rsidR="00D13314">
        <w:t xml:space="preserve"> over the long-term</w:t>
      </w:r>
      <w:r w:rsidR="00346A0E">
        <w:t xml:space="preserve">, </w:t>
      </w:r>
      <w:r w:rsidR="005E4A44">
        <w:t xml:space="preserve">and is co-optimized with generation planning, </w:t>
      </w:r>
      <w:r w:rsidR="00346A0E">
        <w:t xml:space="preserve">in contrast to </w:t>
      </w:r>
      <w:r w:rsidR="005E4A44">
        <w:t>Georgia Power’s reactive transmission planning that is focused on the near</w:t>
      </w:r>
      <w:r w:rsidR="004060DF">
        <w:t xml:space="preserve"> </w:t>
      </w:r>
      <w:r w:rsidR="005E4A44">
        <w:t xml:space="preserve">term. </w:t>
      </w:r>
    </w:p>
    <w:p w14:paraId="491645FD" w14:textId="77777777" w:rsidR="000A12E3" w:rsidRPr="00060EC4" w:rsidRDefault="000A12E3" w:rsidP="00166AFA">
      <w:pPr>
        <w:pStyle w:val="GaBody"/>
      </w:pPr>
    </w:p>
    <w:p w14:paraId="57CD2F69" w14:textId="22898C4C" w:rsidR="000A12E3" w:rsidRPr="00166AFA" w:rsidRDefault="000A12E3" w:rsidP="00B90498">
      <w:pPr>
        <w:pStyle w:val="GaBody"/>
        <w:jc w:val="both"/>
        <w:rPr>
          <w:lang w:eastAsia="en-US"/>
        </w:rPr>
      </w:pPr>
      <w:r>
        <w:rPr>
          <w:lang w:eastAsia="en-US"/>
        </w:rPr>
        <w:t>In Section IV, I highlight how the Company</w:t>
      </w:r>
      <w:r w:rsidR="00344ADD">
        <w:rPr>
          <w:lang w:eastAsia="en-US"/>
        </w:rPr>
        <w:t xml:space="preserve"> applying to interconnect the Yates CTs using Energy Resource Integration Service instead of </w:t>
      </w:r>
      <w:r w:rsidR="00D81758" w:rsidRPr="0057267D">
        <w:t>Network Resource Interconnection Service</w:t>
      </w:r>
      <w:r w:rsidR="002407D1">
        <w:t xml:space="preserve"> creates risk that </w:t>
      </w:r>
      <w:r w:rsidR="008A4A53">
        <w:t xml:space="preserve">the </w:t>
      </w:r>
      <w:r>
        <w:t xml:space="preserve">Yates CTs </w:t>
      </w:r>
      <w:r w:rsidR="002407D1">
        <w:t xml:space="preserve">will be curtailed </w:t>
      </w:r>
      <w:r>
        <w:t>during periods of peak need</w:t>
      </w:r>
      <w:r w:rsidR="002407D1">
        <w:t>, limiting their value as capacity resources.</w:t>
      </w:r>
    </w:p>
    <w:p w14:paraId="649CF274" w14:textId="77777777" w:rsidR="00F3298C" w:rsidRDefault="00655527" w:rsidP="005675B5">
      <w:pPr>
        <w:pStyle w:val="GeorgiaQuestion"/>
      </w:pPr>
      <w:r>
        <w:tab/>
      </w:r>
    </w:p>
    <w:p w14:paraId="740E3B2E" w14:textId="77777777" w:rsidR="004917A2" w:rsidRDefault="004917A2" w:rsidP="004917A2">
      <w:pPr>
        <w:pStyle w:val="GeorgiaQuestion"/>
      </w:pPr>
      <w:r>
        <w:t>Q.</w:t>
      </w:r>
      <w:r>
        <w:tab/>
        <w:t>HAVE YOU ATTACHED ANY EXHIBITS TO YOUR TESTIMONY?</w:t>
      </w:r>
    </w:p>
    <w:p w14:paraId="61015B41" w14:textId="134FD6B4" w:rsidR="004917A2" w:rsidRPr="004917A2" w:rsidRDefault="004917A2" w:rsidP="004917A2">
      <w:pPr>
        <w:pStyle w:val="GaAns"/>
      </w:pPr>
      <w:r>
        <w:t>A.</w:t>
      </w:r>
      <w:r>
        <w:tab/>
        <w:t xml:space="preserve">Yes. In addition to </w:t>
      </w:r>
      <w:r w:rsidR="00D13314">
        <w:t>my</w:t>
      </w:r>
      <w:r>
        <w:t xml:space="preserve"> qualifications, which are in Exhibit </w:t>
      </w:r>
      <w:r w:rsidR="00D13314">
        <w:t>MG</w:t>
      </w:r>
      <w:r>
        <w:t>-1</w:t>
      </w:r>
      <w:r w:rsidR="00D13314">
        <w:t>, I have</w:t>
      </w:r>
      <w:r w:rsidR="00E54CC2">
        <w:t xml:space="preserve"> </w:t>
      </w:r>
      <w:r>
        <w:t xml:space="preserve">attached Exhibits </w:t>
      </w:r>
      <w:r w:rsidR="00D13314">
        <w:lastRenderedPageBreak/>
        <w:t>MG</w:t>
      </w:r>
      <w:r>
        <w:t xml:space="preserve">-2 through </w:t>
      </w:r>
      <w:r w:rsidR="00D13314">
        <w:t>MG</w:t>
      </w:r>
      <w:r>
        <w:t>-</w:t>
      </w:r>
      <w:r w:rsidR="0061304B">
        <w:t>5</w:t>
      </w:r>
      <w:r>
        <w:t xml:space="preserve"> which contain responses to discovery and other materials referenced in </w:t>
      </w:r>
      <w:r w:rsidR="0073797C">
        <w:t>my</w:t>
      </w:r>
      <w:r>
        <w:t xml:space="preserve"> testimony.</w:t>
      </w:r>
    </w:p>
    <w:p w14:paraId="0C16BD16" w14:textId="77777777" w:rsidR="004917A2" w:rsidRDefault="004917A2" w:rsidP="004917A2">
      <w:pPr>
        <w:pStyle w:val="GeorgiaQuestion"/>
      </w:pPr>
      <w:bookmarkStart w:id="5" w:name="_Hlk101440537"/>
    </w:p>
    <w:bookmarkEnd w:id="5"/>
    <w:p w14:paraId="17786110" w14:textId="1453BDF5" w:rsidR="003018EA" w:rsidRDefault="003018EA" w:rsidP="003018EA">
      <w:pPr>
        <w:pStyle w:val="GeorgiaQuestion"/>
      </w:pPr>
      <w:r>
        <w:t>Q.</w:t>
      </w:r>
      <w:r>
        <w:tab/>
        <w:t xml:space="preserve">WHAT IS SHOWN IN EXHIBIT </w:t>
      </w:r>
      <w:r w:rsidR="00D13314">
        <w:t>MG</w:t>
      </w:r>
      <w:r>
        <w:t>-2?</w:t>
      </w:r>
    </w:p>
    <w:p w14:paraId="00306F05" w14:textId="56423105" w:rsidR="003018EA" w:rsidRDefault="003018EA" w:rsidP="003018EA">
      <w:pPr>
        <w:pStyle w:val="GaAns"/>
      </w:pPr>
      <w:r>
        <w:t>A.</w:t>
      </w:r>
      <w:r>
        <w:tab/>
        <w:t xml:space="preserve">Exhibit </w:t>
      </w:r>
      <w:r w:rsidR="00D13314">
        <w:t>MG-2</w:t>
      </w:r>
      <w:r w:rsidR="001716A4">
        <w:t xml:space="preserve"> is the Company’s response to </w:t>
      </w:r>
      <w:r w:rsidR="00B46C66">
        <w:t xml:space="preserve">data request </w:t>
      </w:r>
      <w:r w:rsidR="001716A4" w:rsidRPr="00185B3C">
        <w:t>STF-GS-1-1</w:t>
      </w:r>
      <w:r w:rsidR="000F2A00">
        <w:t xml:space="preserve"> in this docket</w:t>
      </w:r>
      <w:r w:rsidR="00B46C66">
        <w:t>, in which Georgia Power confirms that “</w:t>
      </w:r>
      <w:r w:rsidR="00B46C66" w:rsidRPr="00185B3C">
        <w:t xml:space="preserve">The Company did not study Battery Energy Storage Systems (“BESS”) as options to reduce, defer, or eliminate the transmission upgrades identified in the 2023 IRP Update to facilitate the delivery of power from the proposed Plant Yates combustion turbines.”  </w:t>
      </w:r>
    </w:p>
    <w:p w14:paraId="5D1FBBE0" w14:textId="77777777" w:rsidR="003018EA" w:rsidRPr="005E59A6" w:rsidRDefault="003018EA" w:rsidP="003018EA">
      <w:pPr>
        <w:pStyle w:val="GaBody"/>
        <w:rPr>
          <w:lang w:eastAsia="en-US"/>
        </w:rPr>
      </w:pPr>
    </w:p>
    <w:p w14:paraId="25776EE6" w14:textId="78FE8929" w:rsidR="003018EA" w:rsidRDefault="003018EA" w:rsidP="003018EA">
      <w:pPr>
        <w:pStyle w:val="GeorgiaQuestion"/>
      </w:pPr>
      <w:r>
        <w:t>Q.</w:t>
      </w:r>
      <w:r>
        <w:tab/>
        <w:t xml:space="preserve">WHAT IS SHOWN IN EXHIBIT </w:t>
      </w:r>
      <w:r w:rsidR="00D13314">
        <w:t>MG</w:t>
      </w:r>
      <w:r>
        <w:t>-3?</w:t>
      </w:r>
    </w:p>
    <w:p w14:paraId="533F5047" w14:textId="115C4B09" w:rsidR="00DA0EEE" w:rsidRDefault="003018EA" w:rsidP="00DA0EEE">
      <w:pPr>
        <w:pStyle w:val="GaAns"/>
        <w:rPr>
          <w:b/>
          <w:bCs/>
        </w:rPr>
      </w:pPr>
      <w:r>
        <w:t xml:space="preserve">A. </w:t>
      </w:r>
      <w:r>
        <w:tab/>
        <w:t xml:space="preserve">Exhibit </w:t>
      </w:r>
      <w:r w:rsidR="00D13314">
        <w:t>MG</w:t>
      </w:r>
      <w:r>
        <w:t>-3 contains</w:t>
      </w:r>
      <w:r w:rsidRPr="00475C04">
        <w:t xml:space="preserve"> </w:t>
      </w:r>
      <w:r w:rsidR="00CA7C63">
        <w:t xml:space="preserve">Georgia Power’s response to data request </w:t>
      </w:r>
      <w:r w:rsidR="00CA7C63" w:rsidRPr="00185B3C">
        <w:t>STF-GDS-4-7</w:t>
      </w:r>
      <w:r w:rsidR="00D4452F">
        <w:t>.e.</w:t>
      </w:r>
      <w:r w:rsidR="00CA7C63" w:rsidRPr="00185B3C">
        <w:t xml:space="preserve"> in </w:t>
      </w:r>
      <w:r w:rsidR="00CA7C63">
        <w:t>the 2022 IRP (</w:t>
      </w:r>
      <w:r w:rsidR="00CA7C63" w:rsidRPr="00185B3C">
        <w:t>Docket No. 44160</w:t>
      </w:r>
      <w:r w:rsidR="00CA7C63">
        <w:t>)</w:t>
      </w:r>
      <w:r w:rsidR="00CA7C63" w:rsidRPr="00185B3C">
        <w:t>, stating that “Alternative solutions such as energy storage or distributed energy resources have not been considered yet for various reasons.” Those reasons include “the magnitude of storage or DER that would be needed makes those options untenable.”</w:t>
      </w:r>
      <w:r w:rsidR="00DA0EEE" w:rsidRPr="00DA0EEE">
        <w:rPr>
          <w:b/>
          <w:bCs/>
        </w:rPr>
        <w:t xml:space="preserve"> </w:t>
      </w:r>
    </w:p>
    <w:p w14:paraId="4ED37F55" w14:textId="77777777" w:rsidR="00DA0EEE" w:rsidRPr="00DA0EEE" w:rsidRDefault="00DA0EEE" w:rsidP="00DA0EEE">
      <w:pPr>
        <w:pStyle w:val="GaBody"/>
        <w:rPr>
          <w:lang w:eastAsia="en-US"/>
        </w:rPr>
      </w:pPr>
    </w:p>
    <w:p w14:paraId="1A44C5E3" w14:textId="4CFBFA57" w:rsidR="00DA0EEE" w:rsidRPr="00DA0EEE" w:rsidRDefault="00DA0EEE" w:rsidP="00DA0EEE">
      <w:pPr>
        <w:pStyle w:val="GeorgiaQuestion"/>
      </w:pPr>
      <w:r>
        <w:t>Q.</w:t>
      </w:r>
      <w:r>
        <w:tab/>
        <w:t>WHAT IS SHOWN IN EXHIBIT MG-4?</w:t>
      </w:r>
    </w:p>
    <w:p w14:paraId="4781A35E" w14:textId="77777777" w:rsidR="00AC6898" w:rsidRDefault="00DA0EEE" w:rsidP="00AC6898">
      <w:pPr>
        <w:pStyle w:val="GaAns"/>
        <w:rPr>
          <w:bCs/>
        </w:rPr>
      </w:pPr>
      <w:r w:rsidRPr="00DA0EEE">
        <w:t>A.</w:t>
      </w:r>
      <w:r>
        <w:rPr>
          <w:b/>
          <w:bCs/>
        </w:rPr>
        <w:tab/>
      </w:r>
      <w:r w:rsidRPr="00DA0EEE">
        <w:rPr>
          <w:bCs/>
        </w:rPr>
        <w:t>Georgia Power’s responses to data requests STF-GS-1-8 and STF-GS-1-9 in this docket, indicating that the Company does not evaluate demand response as a potential solution to localized transmission needs</w:t>
      </w:r>
      <w:r w:rsidR="00AC6898">
        <w:rPr>
          <w:bCs/>
        </w:rPr>
        <w:t xml:space="preserve">. </w:t>
      </w:r>
    </w:p>
    <w:p w14:paraId="264B0F51" w14:textId="77777777" w:rsidR="00AC6898" w:rsidRDefault="00AC6898" w:rsidP="00AC6898">
      <w:pPr>
        <w:pStyle w:val="GaAns"/>
        <w:rPr>
          <w:bCs/>
        </w:rPr>
      </w:pPr>
    </w:p>
    <w:p w14:paraId="5208201D" w14:textId="34BAE7DF" w:rsidR="00AC6898" w:rsidRPr="00AC6898" w:rsidRDefault="00AC6898" w:rsidP="00AC6898">
      <w:pPr>
        <w:pStyle w:val="GeorgiaQuestion"/>
      </w:pPr>
      <w:r>
        <w:t>Q.</w:t>
      </w:r>
      <w:r>
        <w:tab/>
        <w:t>WHAT IS SHOWN IN EXHIBIT MG-5?</w:t>
      </w:r>
    </w:p>
    <w:p w14:paraId="1F54FBCE" w14:textId="4E403312" w:rsidR="00AC6898" w:rsidRPr="00AC6898" w:rsidRDefault="00AC6898" w:rsidP="00AC6898">
      <w:pPr>
        <w:pStyle w:val="GaAns"/>
        <w:rPr>
          <w:bCs/>
        </w:rPr>
      </w:pPr>
      <w:r>
        <w:rPr>
          <w:bCs/>
        </w:rPr>
        <w:t>A.</w:t>
      </w:r>
      <w:r>
        <w:rPr>
          <w:bCs/>
        </w:rPr>
        <w:tab/>
      </w:r>
      <w:r w:rsidRPr="00AC6898">
        <w:rPr>
          <w:bCs/>
        </w:rPr>
        <w:t>Georgia Power’s response to data request STF-GS-1-7 in this docket</w:t>
      </w:r>
      <w:r>
        <w:rPr>
          <w:bCs/>
        </w:rPr>
        <w:t xml:space="preserve">, </w:t>
      </w:r>
      <w:r w:rsidR="00DC6A5F">
        <w:rPr>
          <w:bCs/>
        </w:rPr>
        <w:t xml:space="preserve">in </w:t>
      </w:r>
      <w:r>
        <w:rPr>
          <w:bCs/>
        </w:rPr>
        <w:t xml:space="preserve">which </w:t>
      </w:r>
      <w:r w:rsidR="00DC6A5F">
        <w:rPr>
          <w:bCs/>
        </w:rPr>
        <w:t xml:space="preserve">the Company </w:t>
      </w:r>
      <w:r>
        <w:rPr>
          <w:bCs/>
        </w:rPr>
        <w:t>refers to</w:t>
      </w:r>
      <w:r w:rsidRPr="00AC6898">
        <w:rPr>
          <w:bCs/>
        </w:rPr>
        <w:t xml:space="preserve"> Technical Appendix Volume 3 of the 2022 Georgia Power IRP (Docket No. 44160)</w:t>
      </w:r>
      <w:r>
        <w:rPr>
          <w:bCs/>
        </w:rPr>
        <w:t xml:space="preserve"> to describe the transmission planning methods that were used </w:t>
      </w:r>
      <w:r w:rsidR="009B0F95">
        <w:rPr>
          <w:bCs/>
        </w:rPr>
        <w:t>in th</w:t>
      </w:r>
      <w:r w:rsidR="00DC6A5F">
        <w:rPr>
          <w:bCs/>
        </w:rPr>
        <w:t>e</w:t>
      </w:r>
      <w:r w:rsidR="009B0F95">
        <w:rPr>
          <w:bCs/>
        </w:rPr>
        <w:t xml:space="preserve"> 2023 IRP Update.</w:t>
      </w:r>
    </w:p>
    <w:p w14:paraId="05E1C2B1" w14:textId="7EC3C121" w:rsidR="0057267D" w:rsidRPr="0057267D" w:rsidRDefault="0057267D" w:rsidP="006F4294">
      <w:pPr>
        <w:pStyle w:val="Heading1"/>
        <w:rPr>
          <w:bCs/>
        </w:rPr>
      </w:pPr>
      <w:bookmarkStart w:id="6" w:name="_Toc158738943"/>
      <w:r w:rsidRPr="0057267D">
        <w:rPr>
          <w:bCs/>
        </w:rPr>
        <w:lastRenderedPageBreak/>
        <w:t xml:space="preserve">The Company </w:t>
      </w:r>
      <w:r w:rsidR="00D13314">
        <w:rPr>
          <w:bCs/>
        </w:rPr>
        <w:t>did</w:t>
      </w:r>
      <w:r w:rsidRPr="0057267D">
        <w:rPr>
          <w:bCs/>
        </w:rPr>
        <w:t xml:space="preserve"> not adequately </w:t>
      </w:r>
      <w:r w:rsidR="00D13314">
        <w:rPr>
          <w:bCs/>
        </w:rPr>
        <w:t xml:space="preserve">evaluate alternatives that can reduce or eliminate the need for the </w:t>
      </w:r>
      <w:r w:rsidR="00A0243B">
        <w:rPr>
          <w:bCs/>
        </w:rPr>
        <w:t>Yates transmission upgrades</w:t>
      </w:r>
      <w:bookmarkEnd w:id="6"/>
    </w:p>
    <w:p w14:paraId="40F6B473" w14:textId="77777777" w:rsidR="0057267D" w:rsidRPr="0057267D" w:rsidRDefault="0057267D" w:rsidP="0057267D">
      <w:pPr>
        <w:pStyle w:val="GaAns"/>
      </w:pPr>
    </w:p>
    <w:p w14:paraId="0242B4E5" w14:textId="582113FE" w:rsidR="00E90046" w:rsidRPr="00752B72" w:rsidRDefault="00E90046" w:rsidP="0057267D">
      <w:pPr>
        <w:pStyle w:val="GaAns"/>
        <w:rPr>
          <w:b/>
          <w:bCs/>
        </w:rPr>
      </w:pPr>
      <w:r w:rsidRPr="00752B72">
        <w:rPr>
          <w:b/>
          <w:bCs/>
        </w:rPr>
        <w:t>Q.</w:t>
      </w:r>
      <w:r w:rsidRPr="00752B72">
        <w:rPr>
          <w:b/>
          <w:bCs/>
        </w:rPr>
        <w:tab/>
      </w:r>
      <w:r w:rsidR="00752B72" w:rsidRPr="00752B72">
        <w:rPr>
          <w:b/>
          <w:bCs/>
        </w:rPr>
        <w:t>WHAT ALTERNATIVES TO ITS PROPOSED TRANSMISSION EXPANSION DID THE COMPANY EVALUATE?</w:t>
      </w:r>
    </w:p>
    <w:p w14:paraId="537589CD" w14:textId="495B8968" w:rsidR="0057267D" w:rsidRPr="0057267D" w:rsidRDefault="00E90046" w:rsidP="0057267D">
      <w:pPr>
        <w:pStyle w:val="GaAns"/>
      </w:pPr>
      <w:r>
        <w:t>A.</w:t>
      </w:r>
      <w:r>
        <w:tab/>
      </w:r>
      <w:r w:rsidR="00F04E5D">
        <w:t xml:space="preserve">The </w:t>
      </w:r>
      <w:r w:rsidR="00F04E5D" w:rsidRPr="00F04E5D">
        <w:t>Company</w:t>
      </w:r>
      <w:r w:rsidR="00F04E5D">
        <w:t xml:space="preserve"> explains that it </w:t>
      </w:r>
      <w:r w:rsidR="00240FDE">
        <w:t xml:space="preserve">only </w:t>
      </w:r>
      <w:r w:rsidR="00F04E5D">
        <w:t>evaluated</w:t>
      </w:r>
      <w:r w:rsidR="00F04E5D" w:rsidRPr="00F04E5D">
        <w:t xml:space="preserve"> </w:t>
      </w:r>
      <w:r w:rsidR="002D0B22">
        <w:t>reconductoring</w:t>
      </w:r>
      <w:r w:rsidR="00752B72">
        <w:t xml:space="preserve">, </w:t>
      </w:r>
      <w:r w:rsidR="00F04E5D">
        <w:t xml:space="preserve">generation </w:t>
      </w:r>
      <w:r w:rsidR="00F04E5D" w:rsidRPr="00F94D6D">
        <w:t>redispatch</w:t>
      </w:r>
      <w:r w:rsidR="00752B72">
        <w:t>,</w:t>
      </w:r>
      <w:r w:rsidR="00F04E5D">
        <w:t xml:space="preserve"> </w:t>
      </w:r>
      <w:r w:rsidR="002D0B22">
        <w:t>or</w:t>
      </w:r>
      <w:r w:rsidR="00F04E5D" w:rsidRPr="00F94D6D">
        <w:t xml:space="preserve"> operating guidelines</w:t>
      </w:r>
      <w:r w:rsidR="002D0B22">
        <w:t xml:space="preserve"> as an alternative to</w:t>
      </w:r>
      <w:r w:rsidR="00752B72">
        <w:t xml:space="preserve"> transmission expansion</w:t>
      </w:r>
      <w:r w:rsidR="002D0B22">
        <w:t>.</w:t>
      </w:r>
      <w:r w:rsidR="000F4DF0" w:rsidRPr="0057267D">
        <w:rPr>
          <w:vertAlign w:val="superscript"/>
        </w:rPr>
        <w:footnoteReference w:id="2"/>
      </w:r>
      <w:r w:rsidR="00F04E5D" w:rsidRPr="00F04E5D">
        <w:t xml:space="preserve"> </w:t>
      </w:r>
      <w:r w:rsidR="00240FDE">
        <w:t>As outlined below, t</w:t>
      </w:r>
      <w:r w:rsidR="0057267D" w:rsidRPr="0057267D">
        <w:t xml:space="preserve">he Company admits that it did not </w:t>
      </w:r>
      <w:r w:rsidR="002D0B22">
        <w:t xml:space="preserve">evaluate </w:t>
      </w:r>
      <w:r w:rsidR="0057267D" w:rsidRPr="0057267D">
        <w:t>the use of battery storage, demand response, and grid-enhancing technologies</w:t>
      </w:r>
      <w:r w:rsidR="002D0B22">
        <w:t xml:space="preserve"> as an alternative to </w:t>
      </w:r>
      <w:r w:rsidR="00752B72">
        <w:t>the transmission expansion</w:t>
      </w:r>
      <w:r w:rsidR="0057267D" w:rsidRPr="0057267D">
        <w:t xml:space="preserve">. </w:t>
      </w:r>
      <w:r w:rsidR="00752B72">
        <w:t>As I explain in the following sections, these technologies</w:t>
      </w:r>
      <w:r w:rsidR="00373639">
        <w:t xml:space="preserve">, alone or in combination, </w:t>
      </w:r>
      <w:r w:rsidR="00752B72">
        <w:t>offer significant p</w:t>
      </w:r>
      <w:r w:rsidR="00373639">
        <w:t xml:space="preserve">otential to </w:t>
      </w:r>
      <w:r w:rsidR="00DD7935">
        <w:t>reduce or defer the need for transmission expansion</w:t>
      </w:r>
      <w:r w:rsidR="007C51B7">
        <w:t xml:space="preserve"> capital investment</w:t>
      </w:r>
      <w:r w:rsidR="00DD7935">
        <w:t xml:space="preserve">. </w:t>
      </w:r>
      <w:r w:rsidR="0057267D" w:rsidRPr="0057267D">
        <w:t xml:space="preserve">Battery storage and demand response can serve as </w:t>
      </w:r>
      <w:r w:rsidR="00A0243B">
        <w:t xml:space="preserve">both </w:t>
      </w:r>
      <w:r w:rsidR="00DD7935">
        <w:t xml:space="preserve">generating </w:t>
      </w:r>
      <w:r w:rsidR="0057267D" w:rsidRPr="0057267D">
        <w:t xml:space="preserve">capacity resources and </w:t>
      </w:r>
      <w:r w:rsidR="004259A1">
        <w:t>as</w:t>
      </w:r>
      <w:r w:rsidR="00001FD3">
        <w:t xml:space="preserve"> solutions</w:t>
      </w:r>
      <w:r w:rsidR="0057267D" w:rsidRPr="0057267D">
        <w:t xml:space="preserve"> </w:t>
      </w:r>
      <w:r w:rsidR="00001FD3">
        <w:t xml:space="preserve">to </w:t>
      </w:r>
      <w:r w:rsidR="0057267D" w:rsidRPr="0057267D">
        <w:t xml:space="preserve">alleviate </w:t>
      </w:r>
      <w:r w:rsidR="00001FD3">
        <w:t xml:space="preserve">localized </w:t>
      </w:r>
      <w:r w:rsidR="0057267D" w:rsidRPr="0057267D">
        <w:t>transmission constraints, so they could both reduce the need for the Yates transmission upgrades and the Yates CTs themselves.</w:t>
      </w:r>
    </w:p>
    <w:p w14:paraId="5F345822" w14:textId="77777777" w:rsidR="0057267D" w:rsidRPr="0057267D" w:rsidRDefault="0057267D" w:rsidP="0057267D">
      <w:pPr>
        <w:pStyle w:val="GaAns"/>
      </w:pPr>
    </w:p>
    <w:p w14:paraId="703E8533" w14:textId="72636EB9" w:rsidR="00AB407D" w:rsidRPr="004060DF" w:rsidRDefault="00AB407D" w:rsidP="0057267D">
      <w:pPr>
        <w:pStyle w:val="GaAns"/>
        <w:rPr>
          <w:b/>
          <w:bCs/>
        </w:rPr>
      </w:pPr>
      <w:r w:rsidRPr="004060DF">
        <w:rPr>
          <w:b/>
          <w:bCs/>
        </w:rPr>
        <w:t>Q.</w:t>
      </w:r>
      <w:r w:rsidRPr="004060DF">
        <w:rPr>
          <w:b/>
          <w:bCs/>
        </w:rPr>
        <w:tab/>
      </w:r>
      <w:r w:rsidR="00AC76B1" w:rsidRPr="004060DF">
        <w:rPr>
          <w:b/>
          <w:bCs/>
        </w:rPr>
        <w:t>HOW CAN</w:t>
      </w:r>
      <w:r w:rsidRPr="004060DF">
        <w:rPr>
          <w:b/>
          <w:bCs/>
        </w:rPr>
        <w:t xml:space="preserve"> </w:t>
      </w:r>
      <w:r w:rsidR="00AC76B1" w:rsidRPr="004060DF">
        <w:rPr>
          <w:b/>
          <w:bCs/>
        </w:rPr>
        <w:t xml:space="preserve">BATTERY STORAGE, DEMAND RESPONSE, AND </w:t>
      </w:r>
      <w:r w:rsidR="00DD7935" w:rsidRPr="004060DF">
        <w:rPr>
          <w:b/>
          <w:bCs/>
        </w:rPr>
        <w:t>GRID-ENHANCING TECHNOLOGIES</w:t>
      </w:r>
      <w:r w:rsidR="00A47936" w:rsidRPr="004060DF">
        <w:rPr>
          <w:b/>
          <w:bCs/>
        </w:rPr>
        <w:t xml:space="preserve"> REDUCE THE </w:t>
      </w:r>
      <w:r w:rsidR="003320E1" w:rsidRPr="004060DF">
        <w:rPr>
          <w:b/>
          <w:bCs/>
        </w:rPr>
        <w:t>NEED FOR TRANSMISSION UPGRADES</w:t>
      </w:r>
      <w:r w:rsidR="008C0C7A" w:rsidRPr="004060DF">
        <w:rPr>
          <w:b/>
          <w:bCs/>
        </w:rPr>
        <w:t>?</w:t>
      </w:r>
    </w:p>
    <w:p w14:paraId="7626084F" w14:textId="0B8D3F34" w:rsidR="0057267D" w:rsidRPr="0057267D" w:rsidRDefault="00AB407D" w:rsidP="00911FB6">
      <w:pPr>
        <w:pStyle w:val="GaAns"/>
      </w:pPr>
      <w:r>
        <w:t>A.</w:t>
      </w:r>
      <w:r>
        <w:tab/>
      </w:r>
      <w:r w:rsidR="00D63D99">
        <w:t>These</w:t>
      </w:r>
      <w:r w:rsidR="00A47936">
        <w:t xml:space="preserve"> solutions </w:t>
      </w:r>
      <w:r w:rsidR="00D63D99">
        <w:t xml:space="preserve">can be deployed </w:t>
      </w:r>
      <w:r w:rsidR="008C0C7A">
        <w:t>in load pockets or other congested parts of the grid</w:t>
      </w:r>
      <w:r w:rsidR="00AC6B80">
        <w:t>,</w:t>
      </w:r>
      <w:r w:rsidR="008C0C7A">
        <w:t xml:space="preserve"> alleviat</w:t>
      </w:r>
      <w:r w:rsidR="00AC6B80">
        <w:t>ing</w:t>
      </w:r>
      <w:r w:rsidR="008C0C7A">
        <w:t xml:space="preserve"> the need for </w:t>
      </w:r>
      <w:r w:rsidR="00AC6B80">
        <w:t xml:space="preserve">transmission upgrades to deliver power into those areas during </w:t>
      </w:r>
      <w:r w:rsidR="0031095C">
        <w:t xml:space="preserve">short-duration </w:t>
      </w:r>
      <w:r w:rsidR="00331890">
        <w:t xml:space="preserve">peak demand </w:t>
      </w:r>
      <w:r w:rsidR="00FC2C6A">
        <w:t xml:space="preserve">periods </w:t>
      </w:r>
      <w:r w:rsidR="00331890">
        <w:t>or system contingenc</w:t>
      </w:r>
      <w:r w:rsidR="0031095C">
        <w:t>y conditions</w:t>
      </w:r>
      <w:r w:rsidR="00AC6B80">
        <w:t xml:space="preserve">. </w:t>
      </w:r>
      <w:r w:rsidR="0057267D" w:rsidRPr="0057267D">
        <w:t xml:space="preserve">All of these solutions are particularly viable </w:t>
      </w:r>
      <w:r w:rsidR="00331890">
        <w:t xml:space="preserve">alternatives </w:t>
      </w:r>
      <w:r w:rsidR="0057267D" w:rsidRPr="0057267D">
        <w:t xml:space="preserve">for </w:t>
      </w:r>
      <w:r w:rsidR="00331890">
        <w:t xml:space="preserve">the </w:t>
      </w:r>
      <w:r w:rsidR="0057267D" w:rsidRPr="0057267D">
        <w:t>upgrade</w:t>
      </w:r>
      <w:r w:rsidR="00331890">
        <w:t>s Georgia Power</w:t>
      </w:r>
      <w:r w:rsidR="0057267D" w:rsidRPr="0057267D">
        <w:t xml:space="preserve"> </w:t>
      </w:r>
      <w:r w:rsidR="00331890">
        <w:t xml:space="preserve">claims are </w:t>
      </w:r>
      <w:r w:rsidR="0057267D" w:rsidRPr="0057267D">
        <w:t>need</w:t>
      </w:r>
      <w:r w:rsidR="00331890">
        <w:t>ed</w:t>
      </w:r>
      <w:r w:rsidR="0057267D" w:rsidRPr="0057267D">
        <w:t xml:space="preserve"> </w:t>
      </w:r>
      <w:r w:rsidR="00331890">
        <w:t xml:space="preserve">to deliver </w:t>
      </w:r>
      <w:r w:rsidR="00F26195">
        <w:t xml:space="preserve">power from the Yates CTs to new loads </w:t>
      </w:r>
      <w:r w:rsidR="00F26195" w:rsidRPr="00CC66D6">
        <w:t>during contingency events</w:t>
      </w:r>
      <w:r w:rsidR="0039315B" w:rsidRPr="00CC66D6">
        <w:t>, such as the loss of a large generator and/or transmission system element</w:t>
      </w:r>
      <w:r w:rsidR="00F26195" w:rsidRPr="00CC66D6">
        <w:t>.</w:t>
      </w:r>
      <w:r w:rsidR="00CF35CE" w:rsidRPr="00CC66D6">
        <w:t xml:space="preserve"> The transmission </w:t>
      </w:r>
      <w:r w:rsidR="00CF35CE" w:rsidRPr="00CC66D6">
        <w:lastRenderedPageBreak/>
        <w:t xml:space="preserve">upgrades </w:t>
      </w:r>
      <w:r w:rsidR="00B90154" w:rsidRPr="00CC66D6">
        <w:t>Georgia Power claims</w:t>
      </w:r>
      <w:r w:rsidR="00CF35CE" w:rsidRPr="00CC66D6">
        <w:t xml:space="preserve"> </w:t>
      </w:r>
      <w:r w:rsidR="002D055A" w:rsidRPr="00CC66D6">
        <w:t xml:space="preserve">are needed for </w:t>
      </w:r>
      <w:r w:rsidR="00CF35CE" w:rsidRPr="00CC66D6">
        <w:t xml:space="preserve">the Yates CTs </w:t>
      </w:r>
      <w:r w:rsidR="0057267D" w:rsidRPr="00CC66D6">
        <w:t xml:space="preserve">were triggered by </w:t>
      </w:r>
      <w:r w:rsidR="00441124" w:rsidRPr="00441124">
        <w:rPr>
          <w:highlight w:val="black"/>
        </w:rPr>
        <w:t>*********</w:t>
      </w:r>
      <w:r w:rsidR="002D055A" w:rsidRPr="00441124">
        <w:rPr>
          <w:highlight w:val="black"/>
        </w:rPr>
        <w:t xml:space="preserve"> </w:t>
      </w:r>
      <w:r w:rsidR="00441124" w:rsidRPr="00441124">
        <w:rPr>
          <w:highlight w:val="black"/>
        </w:rPr>
        <w:t>************************************************************************</w:t>
      </w:r>
      <w:r w:rsidR="003320E1" w:rsidRPr="00441124">
        <w:rPr>
          <w:highlight w:val="black"/>
        </w:rPr>
        <w:t xml:space="preserve"> </w:t>
      </w:r>
      <w:r w:rsidR="00441124" w:rsidRPr="00441124">
        <w:rPr>
          <w:highlight w:val="black"/>
        </w:rPr>
        <w:t>*********************************</w:t>
      </w:r>
      <w:r w:rsidR="00441124">
        <w:t>.</w:t>
      </w:r>
      <w:r w:rsidR="0057267D" w:rsidRPr="0057267D">
        <w:t xml:space="preserve"> </w:t>
      </w:r>
      <w:r w:rsidR="00F54058">
        <w:t>A</w:t>
      </w:r>
      <w:r w:rsidR="00094D4A">
        <w:t>lone or in combination</w:t>
      </w:r>
      <w:r w:rsidR="00F54058">
        <w:t>, b</w:t>
      </w:r>
      <w:r w:rsidR="0057267D" w:rsidRPr="0057267D">
        <w:t>attery storage</w:t>
      </w:r>
      <w:r w:rsidR="002D055A">
        <w:t>,</w:t>
      </w:r>
      <w:r w:rsidR="0057267D" w:rsidRPr="0057267D">
        <w:t xml:space="preserve"> demand response</w:t>
      </w:r>
      <w:r w:rsidR="002D055A">
        <w:t>, and grid-enhancing technologies</w:t>
      </w:r>
      <w:r w:rsidR="0057267D" w:rsidRPr="0057267D">
        <w:t xml:space="preserve"> are ideal for meeting </w:t>
      </w:r>
      <w:r w:rsidR="002D055A">
        <w:t xml:space="preserve">these types of </w:t>
      </w:r>
      <w:r w:rsidR="0057267D" w:rsidRPr="0057267D">
        <w:t xml:space="preserve">short-duration needs. These solutions </w:t>
      </w:r>
      <w:r w:rsidR="00AC2DCE">
        <w:t xml:space="preserve">respond quickly, </w:t>
      </w:r>
      <w:r w:rsidR="00911FB6" w:rsidRPr="009150B7">
        <w:rPr>
          <w:highlight w:val="black"/>
        </w:rPr>
        <w:t>**************************** *******************</w:t>
      </w:r>
      <w:r w:rsidR="009150B7">
        <w:t>.</w:t>
      </w:r>
    </w:p>
    <w:p w14:paraId="2C19B77C" w14:textId="77777777" w:rsidR="0057267D" w:rsidRPr="0057267D" w:rsidRDefault="0057267D" w:rsidP="0057267D">
      <w:pPr>
        <w:pStyle w:val="GaAns"/>
      </w:pPr>
    </w:p>
    <w:p w14:paraId="71A0E264" w14:textId="72683DBD" w:rsidR="0057267D" w:rsidRPr="0057267D" w:rsidRDefault="0057267D" w:rsidP="00A47936">
      <w:pPr>
        <w:pStyle w:val="GaAns"/>
        <w:ind w:firstLine="0"/>
      </w:pPr>
      <w:r w:rsidRPr="0057267D">
        <w:t>Importantly, these solutions can defer the need for grid upgrades until longer-term</w:t>
      </w:r>
      <w:r w:rsidR="00D56BE1">
        <w:t>,</w:t>
      </w:r>
      <w:r w:rsidRPr="0057267D">
        <w:t xml:space="preserve"> higher-capacity transmission upgrades can be completed. As discussed in the second part of my testimony, higher-capacity </w:t>
      </w:r>
      <w:r w:rsidR="00A47936">
        <w:t xml:space="preserve">long-term </w:t>
      </w:r>
      <w:r w:rsidRPr="0057267D">
        <w:t xml:space="preserve">transmission upgrades </w:t>
      </w:r>
      <w:r w:rsidR="00A47936">
        <w:t xml:space="preserve">planned using proactive multi-value transmission planning </w:t>
      </w:r>
      <w:r w:rsidRPr="0057267D">
        <w:t xml:space="preserve">are likely to be significantly more cost-effective than the Company’s proposed near-term </w:t>
      </w:r>
      <w:r w:rsidR="00D56BE1">
        <w:t xml:space="preserve">transmission </w:t>
      </w:r>
      <w:r w:rsidRPr="0057267D">
        <w:t xml:space="preserve">upgrades. This could </w:t>
      </w:r>
      <w:r w:rsidR="008447A7">
        <w:t xml:space="preserve">also </w:t>
      </w:r>
      <w:r w:rsidRPr="0057267D">
        <w:t xml:space="preserve">buy time </w:t>
      </w:r>
      <w:r w:rsidR="00DA0B87">
        <w:t>for the Company to bring online</w:t>
      </w:r>
      <w:r w:rsidRPr="0057267D">
        <w:t xml:space="preserve"> more cost-effective </w:t>
      </w:r>
      <w:r w:rsidR="008447A7">
        <w:t>generati</w:t>
      </w:r>
      <w:r w:rsidR="00D56BE1">
        <w:t>on and capacity</w:t>
      </w:r>
      <w:r w:rsidR="008447A7">
        <w:t xml:space="preserve"> </w:t>
      </w:r>
      <w:r w:rsidRPr="0057267D">
        <w:t>resources</w:t>
      </w:r>
      <w:r w:rsidR="008447A7">
        <w:t>, and the transmission required to deliver them to load</w:t>
      </w:r>
      <w:r w:rsidR="00DA0B87">
        <w:t>.</w:t>
      </w:r>
    </w:p>
    <w:p w14:paraId="655A907F" w14:textId="43DAFC37" w:rsidR="0057267D" w:rsidRPr="0057267D" w:rsidRDefault="0057267D" w:rsidP="008447A7">
      <w:pPr>
        <w:pStyle w:val="GaAns"/>
        <w:ind w:left="0" w:firstLine="0"/>
      </w:pPr>
    </w:p>
    <w:p w14:paraId="5E6648E7" w14:textId="5DDE7EC0" w:rsidR="0057267D" w:rsidRPr="0057267D" w:rsidRDefault="00001FD3" w:rsidP="0057267D">
      <w:pPr>
        <w:pStyle w:val="GaAns"/>
        <w:numPr>
          <w:ilvl w:val="0"/>
          <w:numId w:val="20"/>
        </w:numPr>
        <w:rPr>
          <w:b/>
          <w:bCs/>
        </w:rPr>
      </w:pPr>
      <w:r w:rsidRPr="003D06D2">
        <w:rPr>
          <w:b/>
          <w:bCs/>
        </w:rPr>
        <w:t xml:space="preserve">Georgia Power did not evaluate </w:t>
      </w:r>
      <w:r w:rsidR="00FD1312" w:rsidRPr="003D06D2">
        <w:rPr>
          <w:b/>
          <w:bCs/>
        </w:rPr>
        <w:t xml:space="preserve">how </w:t>
      </w:r>
      <w:r w:rsidRPr="003D06D2">
        <w:rPr>
          <w:b/>
          <w:bCs/>
        </w:rPr>
        <w:t>b</w:t>
      </w:r>
      <w:r w:rsidR="0057267D" w:rsidRPr="0057267D">
        <w:rPr>
          <w:b/>
          <w:bCs/>
        </w:rPr>
        <w:t>atteries</w:t>
      </w:r>
      <w:r w:rsidRPr="003D06D2">
        <w:rPr>
          <w:b/>
          <w:bCs/>
        </w:rPr>
        <w:t xml:space="preserve"> </w:t>
      </w:r>
      <w:r w:rsidR="00FD1312" w:rsidRPr="003D06D2">
        <w:rPr>
          <w:b/>
          <w:bCs/>
        </w:rPr>
        <w:t xml:space="preserve">can alleviate the need for the proposed transmission upgrades </w:t>
      </w:r>
    </w:p>
    <w:p w14:paraId="7380CCE1" w14:textId="47F7B4E5" w:rsidR="003D06D2" w:rsidRPr="00695C33" w:rsidRDefault="003D06D2" w:rsidP="003D06D2">
      <w:pPr>
        <w:pStyle w:val="GaAns"/>
        <w:rPr>
          <w:b/>
          <w:bCs/>
        </w:rPr>
      </w:pPr>
      <w:r w:rsidRPr="00695C33">
        <w:rPr>
          <w:b/>
          <w:bCs/>
        </w:rPr>
        <w:t>Q.</w:t>
      </w:r>
      <w:r w:rsidRPr="00695C33">
        <w:rPr>
          <w:b/>
          <w:bCs/>
        </w:rPr>
        <w:tab/>
      </w:r>
      <w:r w:rsidR="007863E7">
        <w:rPr>
          <w:b/>
          <w:bCs/>
        </w:rPr>
        <w:t>DOES GEORGIA POWER OFFER A REASON WHY IT DID NOT EVALUATE BATTERY STORAGE AS AN ALTERNATIVE TO THE PROPOSED TRANSMISSION UPGRADES?</w:t>
      </w:r>
    </w:p>
    <w:p w14:paraId="7268B051" w14:textId="63883991" w:rsidR="00381EE6" w:rsidRDefault="003D06D2" w:rsidP="003D06D2">
      <w:pPr>
        <w:pStyle w:val="GaAns"/>
      </w:pPr>
      <w:r>
        <w:t>A.</w:t>
      </w:r>
      <w:r>
        <w:tab/>
        <w:t xml:space="preserve">Yes. </w:t>
      </w:r>
      <w:r w:rsidR="0057267D" w:rsidRPr="0057267D">
        <w:t>In response to discovery, the Company</w:t>
      </w:r>
      <w:r w:rsidR="00A02095">
        <w:t xml:space="preserve"> explains</w:t>
      </w:r>
      <w:r w:rsidR="0057267D" w:rsidRPr="0057267D">
        <w:t xml:space="preserve"> that it did not evaluate the potential to use battery storage to reduce or eliminate the need for transmission upgrades to accommodate the proposed Yates CTs.</w:t>
      </w:r>
      <w:r w:rsidR="0057267D" w:rsidRPr="0057267D">
        <w:rPr>
          <w:vertAlign w:val="superscript"/>
        </w:rPr>
        <w:footnoteReference w:id="3"/>
      </w:r>
      <w:r w:rsidR="0057267D" w:rsidRPr="0057267D">
        <w:t xml:space="preserve"> </w:t>
      </w:r>
      <w:r w:rsidR="00381EE6" w:rsidRPr="0057267D">
        <w:t>The Company</w:t>
      </w:r>
      <w:r w:rsidR="009C47EA">
        <w:t xml:space="preserve"> argues</w:t>
      </w:r>
      <w:r w:rsidR="00381EE6" w:rsidRPr="0057267D">
        <w:t xml:space="preserve"> </w:t>
      </w:r>
      <w:r w:rsidR="009C47EA">
        <w:t>that it d</w:t>
      </w:r>
      <w:r w:rsidR="00B329BA">
        <w:t>id</w:t>
      </w:r>
      <w:r w:rsidR="009C47EA">
        <w:t xml:space="preserve"> not evaluate batteries as a</w:t>
      </w:r>
      <w:r w:rsidR="00381EE6" w:rsidRPr="0057267D">
        <w:t xml:space="preserve"> </w:t>
      </w:r>
      <w:r w:rsidR="009C47EA">
        <w:t xml:space="preserve">solution for transmission upgrades because </w:t>
      </w:r>
      <w:r w:rsidR="00381EE6">
        <w:t>the need to charge</w:t>
      </w:r>
      <w:r w:rsidR="00381EE6" w:rsidRPr="0057267D">
        <w:t xml:space="preserve"> </w:t>
      </w:r>
      <w:r>
        <w:t>batteries</w:t>
      </w:r>
      <w:r w:rsidR="00381EE6" w:rsidRPr="0057267D">
        <w:t xml:space="preserve"> </w:t>
      </w:r>
      <w:r w:rsidR="4962CA66">
        <w:t xml:space="preserve">causes </w:t>
      </w:r>
      <w:r w:rsidR="4962CA66">
        <w:lastRenderedPageBreak/>
        <w:t>them</w:t>
      </w:r>
      <w:r w:rsidR="00381EE6">
        <w:t xml:space="preserve"> </w:t>
      </w:r>
      <w:r w:rsidR="006F7290">
        <w:t xml:space="preserve">to </w:t>
      </w:r>
      <w:r w:rsidR="00877B41">
        <w:t>serve as a load</w:t>
      </w:r>
      <w:r w:rsidR="00381EE6" w:rsidRPr="0057267D">
        <w:t>.</w:t>
      </w:r>
      <w:r w:rsidR="00381EE6">
        <w:rPr>
          <w:rStyle w:val="FootnoteReference"/>
        </w:rPr>
        <w:footnoteReference w:id="4"/>
      </w:r>
      <w:r w:rsidR="00381EE6">
        <w:t xml:space="preserve"> </w:t>
      </w:r>
      <w:r w:rsidR="00381EE6" w:rsidRPr="0057267D">
        <w:t>Th</w:t>
      </w:r>
      <w:r w:rsidR="00381EE6">
        <w:t xml:space="preserve">is assumption is </w:t>
      </w:r>
      <w:r w:rsidR="00381EE6" w:rsidRPr="0057267D">
        <w:t xml:space="preserve">flawed, as </w:t>
      </w:r>
      <w:r w:rsidR="00381EE6">
        <w:t>the charging and dischar</w:t>
      </w:r>
      <w:r w:rsidR="43AC3AAA">
        <w:t>g</w:t>
      </w:r>
      <w:r w:rsidR="00381EE6">
        <w:t xml:space="preserve">ing of </w:t>
      </w:r>
      <w:r w:rsidR="00381EE6" w:rsidRPr="0057267D">
        <w:t xml:space="preserve">storage resources </w:t>
      </w:r>
      <w:r w:rsidR="00381EE6">
        <w:t xml:space="preserve">is </w:t>
      </w:r>
      <w:r w:rsidR="00381EE6" w:rsidRPr="0057267D">
        <w:t>economically dispatched in response to system needs</w:t>
      </w:r>
      <w:r w:rsidR="00381EE6">
        <w:t xml:space="preserve">, so that batteries never charge </w:t>
      </w:r>
      <w:r w:rsidR="008D5B0D">
        <w:t xml:space="preserve">and always discharge </w:t>
      </w:r>
      <w:r w:rsidR="00381EE6">
        <w:t xml:space="preserve">during </w:t>
      </w:r>
      <w:r w:rsidR="008D5B0D">
        <w:t>periods of need</w:t>
      </w:r>
      <w:r w:rsidR="00381EE6" w:rsidRPr="0057267D">
        <w:t xml:space="preserve">. </w:t>
      </w:r>
      <w:r w:rsidR="00716F1B">
        <w:t xml:space="preserve">In fact, </w:t>
      </w:r>
      <w:r w:rsidR="00381EE6" w:rsidRPr="0057267D">
        <w:t xml:space="preserve">FERC Order 2023 </w:t>
      </w:r>
      <w:r w:rsidR="00F07B21">
        <w:t xml:space="preserve">now requires </w:t>
      </w:r>
      <w:r w:rsidR="00E51C14">
        <w:t>transmission service providers</w:t>
      </w:r>
      <w:r w:rsidR="00006E82">
        <w:t xml:space="preserve"> like Georgia Power</w:t>
      </w:r>
      <w:r w:rsidR="00E51C14">
        <w:t xml:space="preserve"> to allow </w:t>
      </w:r>
      <w:r w:rsidR="00381EE6" w:rsidRPr="0057267D">
        <w:t>storage interconnection customer</w:t>
      </w:r>
      <w:r w:rsidR="00470A4F">
        <w:t>s</w:t>
      </w:r>
      <w:r w:rsidR="00381EE6" w:rsidRPr="0057267D">
        <w:t xml:space="preserve"> to specify charging and discharging behavior</w:t>
      </w:r>
      <w:r w:rsidR="00716F1B">
        <w:t>,</w:t>
      </w:r>
      <w:r w:rsidR="00FD2B64">
        <w:rPr>
          <w:rStyle w:val="FootnoteReference"/>
        </w:rPr>
        <w:footnoteReference w:id="5"/>
      </w:r>
      <w:r w:rsidR="00716F1B">
        <w:t xml:space="preserve"> </w:t>
      </w:r>
      <w:r w:rsidR="00470A4F">
        <w:t xml:space="preserve">reflecting that </w:t>
      </w:r>
      <w:r w:rsidR="00927256">
        <w:t xml:space="preserve">interconnection upgrades </w:t>
      </w:r>
      <w:r w:rsidR="00FD7CF9">
        <w:t xml:space="preserve">are typically not needed </w:t>
      </w:r>
      <w:r w:rsidR="00FB59DE">
        <w:t xml:space="preserve">to accommodate charging </w:t>
      </w:r>
      <w:r w:rsidR="00FD7CF9">
        <w:t>because</w:t>
      </w:r>
      <w:r w:rsidR="00927256">
        <w:t xml:space="preserve"> </w:t>
      </w:r>
      <w:r w:rsidR="00470A4F">
        <w:t xml:space="preserve">batteries </w:t>
      </w:r>
      <w:r w:rsidR="00FD7CF9">
        <w:t xml:space="preserve">can be </w:t>
      </w:r>
      <w:r w:rsidR="005A2A0F">
        <w:t>dispatched</w:t>
      </w:r>
      <w:r w:rsidR="00FD7CF9">
        <w:t xml:space="preserve"> so that they do not</w:t>
      </w:r>
      <w:r w:rsidR="00470A4F">
        <w:t xml:space="preserve"> charge during periods of peak </w:t>
      </w:r>
      <w:r w:rsidR="00927256">
        <w:t>transmission system usage.</w:t>
      </w:r>
    </w:p>
    <w:p w14:paraId="29D0CE24" w14:textId="5975993C" w:rsidR="0070308B" w:rsidRDefault="00C07938" w:rsidP="00BA2AD1">
      <w:pPr>
        <w:pStyle w:val="GaAns"/>
        <w:ind w:firstLine="0"/>
      </w:pPr>
      <w:r>
        <w:t>Due to</w:t>
      </w:r>
      <w:r w:rsidR="0057267D" w:rsidRPr="0057267D">
        <w:t xml:space="preserve"> batteries’ speed of dispatch, the ability of their power electronics to regulate voltage and reactive power and address local stability concerns, and their ability to be quickly deployed at points on the grid where they are needed, battery storage can be an effective alternative to transmission upgrades</w:t>
      </w:r>
      <w:r w:rsidR="006A23C3">
        <w:t xml:space="preserve">, particularly </w:t>
      </w:r>
      <w:r w:rsidR="00553E9A">
        <w:t>upgrade needs</w:t>
      </w:r>
      <w:r w:rsidR="006A23C3">
        <w:t xml:space="preserve"> triggered by contingency conditions</w:t>
      </w:r>
      <w:r w:rsidR="0057267D" w:rsidRPr="0057267D">
        <w:t>.</w:t>
      </w:r>
      <w:r w:rsidR="0057267D" w:rsidRPr="0057267D">
        <w:rPr>
          <w:vertAlign w:val="superscript"/>
        </w:rPr>
        <w:footnoteReference w:id="6"/>
      </w:r>
      <w:r w:rsidR="0057267D" w:rsidRPr="0057267D">
        <w:t xml:space="preserve"> Batteries also serve as capacity resources, reducing the need for the Company’s proposed generation additions</w:t>
      </w:r>
      <w:r w:rsidR="00BA2AD1">
        <w:t xml:space="preserve"> including the Yates CTs</w:t>
      </w:r>
      <w:r w:rsidR="0057267D" w:rsidRPr="0057267D">
        <w:t xml:space="preserve">. </w:t>
      </w:r>
    </w:p>
    <w:p w14:paraId="412A378A" w14:textId="2639C6BF" w:rsidR="0070308B" w:rsidRPr="007863E7" w:rsidRDefault="0070308B" w:rsidP="007863E7">
      <w:pPr>
        <w:pStyle w:val="GaBody"/>
        <w:ind w:hanging="720"/>
        <w:rPr>
          <w:b/>
          <w:bCs/>
          <w:lang w:eastAsia="en-US"/>
        </w:rPr>
      </w:pPr>
      <w:r w:rsidRPr="007863E7">
        <w:rPr>
          <w:b/>
          <w:bCs/>
          <w:lang w:eastAsia="en-US"/>
        </w:rPr>
        <w:t>Q.</w:t>
      </w:r>
      <w:r w:rsidRPr="007863E7">
        <w:rPr>
          <w:b/>
          <w:bCs/>
          <w:lang w:eastAsia="en-US"/>
        </w:rPr>
        <w:tab/>
        <w:t>C</w:t>
      </w:r>
      <w:r w:rsidR="007863E7" w:rsidRPr="007863E7">
        <w:rPr>
          <w:b/>
          <w:bCs/>
          <w:lang w:eastAsia="en-US"/>
        </w:rPr>
        <w:t>AN BATTERIES BE DEPLOYED QUICKLY ENOUGH TO MEET THE NEAR-TERM NEEDS CLAIMED BY GEORGIA POWER?</w:t>
      </w:r>
    </w:p>
    <w:p w14:paraId="1507ADEC" w14:textId="7C1555F3" w:rsidR="0057267D" w:rsidRDefault="007863E7" w:rsidP="008E1DD4">
      <w:pPr>
        <w:pStyle w:val="GaAns"/>
      </w:pPr>
      <w:r>
        <w:t>A.</w:t>
      </w:r>
      <w:r>
        <w:tab/>
      </w:r>
      <w:r w:rsidR="0070308B">
        <w:t>Yes</w:t>
      </w:r>
      <w:r w:rsidR="008E1DD4">
        <w:t xml:space="preserve">. Georgia Power </w:t>
      </w:r>
      <w:r w:rsidR="00F77105">
        <w:t xml:space="preserve">correctly </w:t>
      </w:r>
      <w:r w:rsidR="008E1DD4">
        <w:t xml:space="preserve">notes this benefit, writing that </w:t>
      </w:r>
      <w:r w:rsidR="008E1DD4" w:rsidRPr="0057267D">
        <w:t>“The time to construct BESS is shorter than other types of generation and, therefore,</w:t>
      </w:r>
      <w:r w:rsidR="008E1DD4">
        <w:t xml:space="preserve"> </w:t>
      </w:r>
      <w:r w:rsidR="008E1DD4" w:rsidRPr="0057267D">
        <w:t>can be more quickly deployed to help meet the earlier capacity needs identified in the 2023 IRP Update. Moreover, the Company’s Resource Mix Study, provided in the Technical Appendix, selects BESS as an economically optimal resource beginning in the winter of 2026/2027…”</w:t>
      </w:r>
      <w:r w:rsidR="008E1DD4" w:rsidRPr="0057267D">
        <w:rPr>
          <w:vertAlign w:val="superscript"/>
        </w:rPr>
        <w:footnoteReference w:id="7"/>
      </w:r>
      <w:r w:rsidR="008E1DD4" w:rsidRPr="0057267D">
        <w:t xml:space="preserve"> </w:t>
      </w:r>
      <w:r w:rsidR="0070308B">
        <w:t xml:space="preserve"> </w:t>
      </w:r>
      <w:r w:rsidR="00196F35">
        <w:t xml:space="preserve">Modeling by </w:t>
      </w:r>
      <w:r w:rsidR="00196F35">
        <w:lastRenderedPageBreak/>
        <w:t>Staff confirms th</w:t>
      </w:r>
      <w:r w:rsidR="00973A25">
        <w:t xml:space="preserve">at batteries are an economically optimal resource for meeting </w:t>
      </w:r>
      <w:r w:rsidR="008D3040">
        <w:t xml:space="preserve">near-term capacity needs. </w:t>
      </w:r>
      <w:r w:rsidR="001D12E9">
        <w:t xml:space="preserve">Given </w:t>
      </w:r>
      <w:r w:rsidR="007E1212">
        <w:t>that they can be deployed quickly</w:t>
      </w:r>
      <w:r w:rsidR="00C07938">
        <w:t>,</w:t>
      </w:r>
      <w:r w:rsidR="0070308B">
        <w:t xml:space="preserve"> Georgia Power c</w:t>
      </w:r>
      <w:r w:rsidR="0057267D" w:rsidRPr="0057267D">
        <w:t xml:space="preserve">an use </w:t>
      </w:r>
      <w:r w:rsidR="00AB299B">
        <w:t xml:space="preserve">strategically-sited </w:t>
      </w:r>
      <w:r w:rsidR="0057267D" w:rsidRPr="0057267D">
        <w:t xml:space="preserve">batteries as an interim solution </w:t>
      </w:r>
      <w:r w:rsidR="0070308B">
        <w:t xml:space="preserve">to both </w:t>
      </w:r>
      <w:r w:rsidR="001C27B9">
        <w:t xml:space="preserve">its claimed </w:t>
      </w:r>
      <w:r w:rsidR="0070308B">
        <w:t xml:space="preserve">transmission and generating capacity needs </w:t>
      </w:r>
      <w:r w:rsidR="0057267D" w:rsidRPr="0057267D">
        <w:t xml:space="preserve">until </w:t>
      </w:r>
      <w:r w:rsidR="0070308B">
        <w:t xml:space="preserve">it </w:t>
      </w:r>
      <w:r w:rsidR="0057267D" w:rsidRPr="0057267D">
        <w:t xml:space="preserve">can complete </w:t>
      </w:r>
      <w:r w:rsidR="00BA2AD1">
        <w:t xml:space="preserve">longer-term </w:t>
      </w:r>
      <w:r w:rsidR="0057267D" w:rsidRPr="0057267D">
        <w:t>high</w:t>
      </w:r>
      <w:r w:rsidR="00BA2AD1">
        <w:t>-capacity</w:t>
      </w:r>
      <w:r w:rsidR="0057267D" w:rsidRPr="0057267D">
        <w:t xml:space="preserve"> transmission</w:t>
      </w:r>
      <w:r w:rsidR="00BA2AD1">
        <w:t xml:space="preserve"> upgrades.</w:t>
      </w:r>
    </w:p>
    <w:p w14:paraId="52C60F6B" w14:textId="64ED5E93" w:rsidR="00AB442E" w:rsidRPr="00025742" w:rsidRDefault="00AB442E" w:rsidP="00025742">
      <w:pPr>
        <w:pStyle w:val="GaBody"/>
        <w:ind w:hanging="720"/>
        <w:rPr>
          <w:b/>
          <w:bCs/>
          <w:lang w:eastAsia="en-US"/>
        </w:rPr>
      </w:pPr>
      <w:r w:rsidRPr="00025742">
        <w:rPr>
          <w:b/>
          <w:bCs/>
          <w:lang w:eastAsia="en-US"/>
        </w:rPr>
        <w:t>Q.</w:t>
      </w:r>
      <w:r w:rsidRPr="00025742">
        <w:rPr>
          <w:b/>
          <w:bCs/>
          <w:lang w:eastAsia="en-US"/>
        </w:rPr>
        <w:tab/>
        <w:t xml:space="preserve">DID GEORGIA POWER EVALUATE </w:t>
      </w:r>
      <w:r w:rsidR="00D04122" w:rsidRPr="00025742">
        <w:rPr>
          <w:b/>
          <w:bCs/>
          <w:lang w:eastAsia="en-US"/>
        </w:rPr>
        <w:t xml:space="preserve">DEPLOYING BATTERIES IN </w:t>
      </w:r>
      <w:r w:rsidR="00025742" w:rsidRPr="00025742">
        <w:rPr>
          <w:b/>
          <w:bCs/>
          <w:lang w:eastAsia="en-US"/>
        </w:rPr>
        <w:t>LOAD POCKETS?</w:t>
      </w:r>
    </w:p>
    <w:p w14:paraId="0D92B018" w14:textId="79A6C5FB" w:rsidR="0057267D" w:rsidRPr="0057267D" w:rsidRDefault="56062A70" w:rsidP="00F21419">
      <w:pPr>
        <w:pStyle w:val="GaAns"/>
        <w:rPr>
          <w:b/>
          <w:bCs/>
        </w:rPr>
      </w:pPr>
      <w:r>
        <w:t>A.</w:t>
      </w:r>
      <w:r w:rsidR="00025742">
        <w:tab/>
      </w:r>
      <w:r w:rsidR="3D6E37C9">
        <w:t xml:space="preserve">Georgia Power </w:t>
      </w:r>
      <w:r w:rsidR="67C3F592">
        <w:t xml:space="preserve">explains that it </w:t>
      </w:r>
      <w:r w:rsidR="204BF88E">
        <w:t>i</w:t>
      </w:r>
      <w:r w:rsidR="3D6E37C9">
        <w:t>s focused on deploying batteries at or near solar installations.</w:t>
      </w:r>
      <w:r w:rsidR="00516DC6" w:rsidRPr="0057267D">
        <w:rPr>
          <w:vertAlign w:val="superscript"/>
        </w:rPr>
        <w:footnoteReference w:id="8"/>
      </w:r>
      <w:r w:rsidR="3D6E37C9">
        <w:t xml:space="preserve"> </w:t>
      </w:r>
      <w:r>
        <w:t>While deploying storage near solar resources</w:t>
      </w:r>
      <w:r w:rsidR="3D6E37C9">
        <w:t xml:space="preserve"> can be </w:t>
      </w:r>
      <w:r>
        <w:t xml:space="preserve">an </w:t>
      </w:r>
      <w:r w:rsidR="3D6E37C9">
        <w:t>attractive</w:t>
      </w:r>
      <w:r>
        <w:t xml:space="preserve"> solution for reducing renewable curtailment</w:t>
      </w:r>
      <w:r w:rsidR="3D6E37C9">
        <w:t xml:space="preserve">, </w:t>
      </w:r>
      <w:r w:rsidR="6AC38221">
        <w:t xml:space="preserve">only evaluating solar sites can </w:t>
      </w:r>
      <w:r w:rsidR="070F0F10">
        <w:t xml:space="preserve">lead to </w:t>
      </w:r>
      <w:r w:rsidR="3D6E37C9">
        <w:t>miss</w:t>
      </w:r>
      <w:r w:rsidR="66C6C554">
        <w:t>ed</w:t>
      </w:r>
      <w:r w:rsidR="3D6E37C9">
        <w:t xml:space="preserve"> opportunities to locate batteries near expected loads t</w:t>
      </w:r>
      <w:r w:rsidR="6AC38221">
        <w:t>o</w:t>
      </w:r>
      <w:r w:rsidR="3D6E37C9">
        <w:t xml:space="preserve"> reduce the need for transmission upgrades</w:t>
      </w:r>
      <w:r w:rsidR="6AC38221">
        <w:t xml:space="preserve"> into those areas</w:t>
      </w:r>
      <w:r w:rsidR="3D6E37C9">
        <w:t xml:space="preserve">. </w:t>
      </w:r>
      <w:r w:rsidR="6AC38221" w:rsidRPr="3ED0CA2E">
        <w:t>Given its small footprint</w:t>
      </w:r>
      <w:r w:rsidR="0523D627">
        <w:rPr>
          <w:bCs/>
        </w:rPr>
        <w:t xml:space="preserve"> </w:t>
      </w:r>
      <w:r w:rsidR="0523D627" w:rsidRPr="3ED0CA2E">
        <w:t>and modular construction</w:t>
      </w:r>
      <w:r w:rsidR="6AC38221" w:rsidRPr="3ED0CA2E">
        <w:t>, s</w:t>
      </w:r>
      <w:r w:rsidR="3D6E37C9" w:rsidRPr="3ED0CA2E">
        <w:t xml:space="preserve">torage can be deployed </w:t>
      </w:r>
      <w:r w:rsidR="0523D627" w:rsidRPr="3ED0CA2E">
        <w:t xml:space="preserve">in optimal quantities and </w:t>
      </w:r>
      <w:r w:rsidR="6AC38221" w:rsidRPr="3ED0CA2E">
        <w:t>at optimal points on the grid</w:t>
      </w:r>
      <w:r w:rsidR="3D6E37C9" w:rsidRPr="3ED0CA2E">
        <w:t xml:space="preserve"> to </w:t>
      </w:r>
      <w:r w:rsidR="2F97C86E" w:rsidRPr="3ED0CA2E">
        <w:t xml:space="preserve">reduce or </w:t>
      </w:r>
      <w:r w:rsidR="3D6E37C9" w:rsidRPr="3ED0CA2E">
        <w:t>defer</w:t>
      </w:r>
      <w:r w:rsidR="2F97C86E" w:rsidRPr="3ED0CA2E">
        <w:t xml:space="preserve"> the need for</w:t>
      </w:r>
      <w:r w:rsidR="3D6E37C9" w:rsidRPr="3ED0CA2E">
        <w:t xml:space="preserve"> transmission upgrades</w:t>
      </w:r>
      <w:r w:rsidR="3D6E37C9">
        <w:rPr>
          <w:bCs/>
        </w:rPr>
        <w:t xml:space="preserve">. </w:t>
      </w:r>
      <w:r w:rsidR="3D6E37C9" w:rsidRPr="3ED0CA2E">
        <w:t>For example, battery storage has been deployed in load pockets in Indianapolis,</w:t>
      </w:r>
      <w:r w:rsidR="00215B36" w:rsidRPr="3ED0CA2E">
        <w:rPr>
          <w:rStyle w:val="FootnoteReference"/>
        </w:rPr>
        <w:footnoteReference w:id="9"/>
      </w:r>
      <w:r w:rsidR="3D6E37C9" w:rsidRPr="3ED0CA2E">
        <w:t xml:space="preserve"> San Diego,</w:t>
      </w:r>
      <w:r w:rsidR="00215B36" w:rsidRPr="3ED0CA2E">
        <w:rPr>
          <w:rStyle w:val="FootnoteReference"/>
        </w:rPr>
        <w:footnoteReference w:id="10"/>
      </w:r>
      <w:r w:rsidR="3D6E37C9" w:rsidRPr="3ED0CA2E">
        <w:t xml:space="preserve"> New York City,</w:t>
      </w:r>
      <w:r w:rsidR="00215B36" w:rsidRPr="3ED0CA2E">
        <w:rPr>
          <w:rStyle w:val="FootnoteReference"/>
        </w:rPr>
        <w:footnoteReference w:id="11"/>
      </w:r>
      <w:r w:rsidR="3D6E37C9" w:rsidRPr="3ED0CA2E">
        <w:t xml:space="preserve"> and other urban areas to offset the need for</w:t>
      </w:r>
      <w:r w:rsidR="3D6E37C9" w:rsidRPr="00633127">
        <w:rPr>
          <w:bCs/>
        </w:rPr>
        <w:t xml:space="preserve"> </w:t>
      </w:r>
      <w:r w:rsidR="3D6E37C9" w:rsidRPr="3ED0CA2E">
        <w:t>grid upgrades and support local reliability.</w:t>
      </w:r>
      <w:r w:rsidR="3D6E37C9" w:rsidRPr="0057267D">
        <w:rPr>
          <w:bCs/>
        </w:rPr>
        <w:t xml:space="preserve"> </w:t>
      </w:r>
      <w:r w:rsidR="5AB5105B" w:rsidRPr="3ED0CA2E">
        <w:t xml:space="preserve">Batteries could also be deployed </w:t>
      </w:r>
      <w:r w:rsidR="4C13F7A6" w:rsidRPr="3ED0CA2E">
        <w:t xml:space="preserve">at Plant Yates to utilize the interconnection equipment and transmission capacity </w:t>
      </w:r>
      <w:r w:rsidR="0523D627" w:rsidRPr="3ED0CA2E">
        <w:t>that exists at the site.</w:t>
      </w:r>
    </w:p>
    <w:p w14:paraId="798D6411" w14:textId="63E0E4CC" w:rsidR="0057267D" w:rsidRPr="0057267D" w:rsidRDefault="0057267D" w:rsidP="0057267D">
      <w:pPr>
        <w:pStyle w:val="GaAns"/>
        <w:rPr>
          <w:b/>
        </w:rPr>
      </w:pPr>
      <w:r w:rsidRPr="0057267D">
        <w:rPr>
          <w:b/>
        </w:rPr>
        <w:t>Q</w:t>
      </w:r>
      <w:r w:rsidR="006B35D7">
        <w:rPr>
          <w:b/>
        </w:rPr>
        <w:t>.</w:t>
      </w:r>
      <w:r w:rsidRPr="006B35D7">
        <w:tab/>
      </w:r>
      <w:r w:rsidR="00553E9A">
        <w:rPr>
          <w:b/>
        </w:rPr>
        <w:t xml:space="preserve">DID GEORGIA POWER EVALUATE BATTERY STORAGE </w:t>
      </w:r>
      <w:r w:rsidR="00553E9A" w:rsidRPr="78AD30BC">
        <w:rPr>
          <w:b/>
          <w:bCs/>
        </w:rPr>
        <w:t>A</w:t>
      </w:r>
      <w:r w:rsidR="0A284E23" w:rsidRPr="78AD30BC">
        <w:rPr>
          <w:b/>
          <w:bCs/>
        </w:rPr>
        <w:t>S</w:t>
      </w:r>
      <w:r w:rsidR="00553E9A">
        <w:rPr>
          <w:b/>
        </w:rPr>
        <w:t xml:space="preserve"> A POTENTIAL </w:t>
      </w:r>
      <w:r w:rsidR="00553E9A">
        <w:rPr>
          <w:b/>
        </w:rPr>
        <w:lastRenderedPageBreak/>
        <w:t>TRANSMISSION SOLUTION IN ITS 2022 IRP</w:t>
      </w:r>
      <w:r w:rsidRPr="0057267D">
        <w:rPr>
          <w:b/>
        </w:rPr>
        <w:t>?</w:t>
      </w:r>
    </w:p>
    <w:p w14:paraId="4044CEC5" w14:textId="77777777" w:rsidR="0057267D" w:rsidRPr="0057267D" w:rsidRDefault="0057267D" w:rsidP="0057267D">
      <w:pPr>
        <w:pStyle w:val="GaAns"/>
        <w:rPr>
          <w:bCs/>
        </w:rPr>
      </w:pPr>
      <w:r w:rsidRPr="0057267D">
        <w:rPr>
          <w:b/>
        </w:rPr>
        <w:t>A:</w:t>
      </w:r>
      <w:r w:rsidRPr="0057267D">
        <w:rPr>
          <w:bCs/>
        </w:rPr>
        <w:tab/>
        <w:t xml:space="preserve">No. In response to data request STF-DEA-3-39 in the </w:t>
      </w:r>
      <w:r w:rsidRPr="0057267D">
        <w:t>2022 Georgia Power IRP (Docket No. 44160</w:t>
      </w:r>
      <w:r w:rsidRPr="0057267D">
        <w:rPr>
          <w:bCs/>
        </w:rPr>
        <w:t>), which asked “Has the Company studied the potential transmission deferral, congestion relief and reliability benefits associated with the siting location of BESS?,” Georgia Power responded:</w:t>
      </w:r>
    </w:p>
    <w:p w14:paraId="2ABD394E" w14:textId="3F90111C" w:rsidR="0057267D" w:rsidRPr="0057267D" w:rsidRDefault="24DEF259" w:rsidP="00721E45">
      <w:pPr>
        <w:pStyle w:val="GaAns"/>
        <w:ind w:left="1260" w:right="540" w:firstLine="0"/>
        <w:rPr>
          <w:b/>
          <w:bCs/>
        </w:rPr>
      </w:pPr>
      <w:r>
        <w:t xml:space="preserve">No. Transmission deferral, congestion relief, or transmission reliability are not use cases evaluated for the 1000MW of BESS proposed to be deployed for generation resource reliability purposes. Georgia Power evaluated sites where the transmission system was least constrained </w:t>
      </w:r>
      <w:proofErr w:type="gramStart"/>
      <w:r>
        <w:t>in order to</w:t>
      </w:r>
      <w:proofErr w:type="gramEnd"/>
      <w:r>
        <w:t xml:space="preserve"> maximize the benefits (flexibility, capacity, production cost) at the lowest cost to customers.</w:t>
      </w:r>
    </w:p>
    <w:p w14:paraId="0DD0D12E" w14:textId="30C3F419" w:rsidR="0057267D" w:rsidRPr="0057267D" w:rsidRDefault="00EA7BE0" w:rsidP="00E002F7">
      <w:pPr>
        <w:pStyle w:val="GaAns"/>
        <w:ind w:firstLine="0"/>
      </w:pPr>
      <w:r w:rsidRPr="3AF48B3A">
        <w:t xml:space="preserve">In response to discovery in the 2022 IRP, </w:t>
      </w:r>
      <w:r w:rsidR="0057267D" w:rsidRPr="3AF48B3A">
        <w:t>Georgia Power</w:t>
      </w:r>
      <w:r w:rsidRPr="3AF48B3A">
        <w:t xml:space="preserve"> also</w:t>
      </w:r>
      <w:r w:rsidR="0057267D" w:rsidRPr="3AF48B3A">
        <w:t xml:space="preserve"> dismissed </w:t>
      </w:r>
      <w:r w:rsidRPr="3AF48B3A">
        <w:t xml:space="preserve">solutions like battery storage because it claimed that </w:t>
      </w:r>
      <w:r w:rsidR="0057267D" w:rsidRPr="3AF48B3A">
        <w:t>they were too small to meet the full need.</w:t>
      </w:r>
      <w:r w:rsidR="0057267D" w:rsidRPr="3AF48B3A">
        <w:rPr>
          <w:vertAlign w:val="superscript"/>
        </w:rPr>
        <w:footnoteReference w:id="12"/>
      </w:r>
      <w:r w:rsidR="0057267D" w:rsidRPr="0057267D">
        <w:rPr>
          <w:bCs/>
        </w:rPr>
        <w:t xml:space="preserve"> </w:t>
      </w:r>
      <w:r w:rsidR="003E78C6" w:rsidRPr="3AF48B3A">
        <w:t xml:space="preserve">This ignores the ability to </w:t>
      </w:r>
      <w:r w:rsidR="00A45899" w:rsidRPr="3AF48B3A">
        <w:t>use a combination of battery storage, demand response, and grid-</w:t>
      </w:r>
      <w:r w:rsidR="113FA8A8" w:rsidRPr="196D84B4">
        <w:t>enhancing</w:t>
      </w:r>
      <w:r w:rsidR="00A45899" w:rsidRPr="3AF48B3A">
        <w:t xml:space="preserve"> technologies to reduce or eliminate the need for grid upgrades. </w:t>
      </w:r>
      <w:r w:rsidR="00E002F7" w:rsidRPr="3AF48B3A">
        <w:t xml:space="preserve">Even if </w:t>
      </w:r>
      <w:r w:rsidR="003E78C6" w:rsidRPr="3AF48B3A">
        <w:t xml:space="preserve">a combination of </w:t>
      </w:r>
      <w:r w:rsidR="00E002F7" w:rsidRPr="3AF48B3A">
        <w:t xml:space="preserve">these </w:t>
      </w:r>
      <w:r w:rsidR="003E78C6" w:rsidRPr="3AF48B3A">
        <w:t xml:space="preserve">near-term </w:t>
      </w:r>
      <w:r w:rsidR="00E002F7" w:rsidRPr="3AF48B3A">
        <w:t xml:space="preserve">solutions </w:t>
      </w:r>
      <w:r w:rsidR="003E78C6" w:rsidRPr="3AF48B3A">
        <w:t xml:space="preserve">is </w:t>
      </w:r>
      <w:r w:rsidR="0057267D" w:rsidRPr="3AF48B3A">
        <w:t xml:space="preserve">insufficient to </w:t>
      </w:r>
      <w:r w:rsidR="00E002F7" w:rsidRPr="3AF48B3A">
        <w:t xml:space="preserve">fully </w:t>
      </w:r>
      <w:r w:rsidR="0057267D" w:rsidRPr="3AF48B3A">
        <w:t>replace the need</w:t>
      </w:r>
      <w:r w:rsidR="00843CDD" w:rsidRPr="3AF48B3A">
        <w:t xml:space="preserve"> for</w:t>
      </w:r>
      <w:r w:rsidR="0057267D" w:rsidRPr="3AF48B3A">
        <w:t xml:space="preserve"> transmission expansion, that does not mean they should not be pursued</w:t>
      </w:r>
      <w:r w:rsidR="00A45899" w:rsidRPr="3AF48B3A">
        <w:t xml:space="preserve"> as </w:t>
      </w:r>
      <w:r w:rsidR="5B4ED342" w:rsidRPr="3AF48B3A">
        <w:t xml:space="preserve">a cost-effective option to reduce or defer need. </w:t>
      </w:r>
      <w:r w:rsidR="0057267D" w:rsidRPr="3AF48B3A">
        <w:t xml:space="preserve"> The</w:t>
      </w:r>
      <w:r w:rsidR="00FD54B0" w:rsidRPr="3AF48B3A">
        <w:t>se solutions</w:t>
      </w:r>
      <w:r w:rsidR="0057267D" w:rsidRPr="3AF48B3A">
        <w:t xml:space="preserve"> provide significant value by enabling cost-saving changes in the generation mix and improvements in electric reliability to occur more quickly. </w:t>
      </w:r>
      <w:r w:rsidR="009C542B" w:rsidRPr="3AF48B3A">
        <w:t xml:space="preserve">Moreover, </w:t>
      </w:r>
      <w:r w:rsidR="00C05CCF" w:rsidRPr="3AF48B3A">
        <w:t xml:space="preserve">these </w:t>
      </w:r>
      <w:r w:rsidR="00726F40" w:rsidRPr="3AF48B3A">
        <w:t>interim solutions</w:t>
      </w:r>
      <w:r w:rsidR="009C542B" w:rsidRPr="009C542B">
        <w:rPr>
          <w:bCs/>
        </w:rPr>
        <w:t xml:space="preserve"> </w:t>
      </w:r>
      <w:r w:rsidR="00726F40" w:rsidRPr="3AF48B3A">
        <w:t xml:space="preserve">will </w:t>
      </w:r>
      <w:r w:rsidR="009C542B" w:rsidRPr="3AF48B3A">
        <w:t>continue to provide benefits even after long-term transmission solutions are completed, by continuing to alleviate congestion and improve reliability</w:t>
      </w:r>
      <w:r w:rsidR="0057267D" w:rsidRPr="0057267D">
        <w:rPr>
          <w:bCs/>
        </w:rPr>
        <w:t>.</w:t>
      </w:r>
      <w:r w:rsidR="0057267D" w:rsidRPr="3AF48B3A">
        <w:t xml:space="preserve"> As a result, they should not be viewed as alternatives, but rather as complements to the long-term solution of building new transmission lines.</w:t>
      </w:r>
    </w:p>
    <w:p w14:paraId="21DFE281" w14:textId="77777777" w:rsidR="00344131" w:rsidRPr="00FD54B0" w:rsidRDefault="0067307F" w:rsidP="0057267D">
      <w:pPr>
        <w:pStyle w:val="GaAns"/>
        <w:rPr>
          <w:b/>
          <w:bCs/>
        </w:rPr>
      </w:pPr>
      <w:r w:rsidRPr="00FD54B0">
        <w:rPr>
          <w:b/>
          <w:bCs/>
        </w:rPr>
        <w:t>Q</w:t>
      </w:r>
      <w:r w:rsidR="00344131" w:rsidRPr="00FD54B0">
        <w:rPr>
          <w:b/>
          <w:bCs/>
        </w:rPr>
        <w:t>.</w:t>
      </w:r>
      <w:r w:rsidR="00344131" w:rsidRPr="00FD54B0">
        <w:rPr>
          <w:b/>
          <w:bCs/>
        </w:rPr>
        <w:tab/>
        <w:t>HAVE POLICY CHANGES SINCE THE 2022 IRP IMPROVED THE ECONOMICS OF BATTERY STORAGE?</w:t>
      </w:r>
    </w:p>
    <w:p w14:paraId="115D2760" w14:textId="553D0F33" w:rsidR="00341A34" w:rsidRPr="0057267D" w:rsidRDefault="00344131" w:rsidP="00144FC2">
      <w:pPr>
        <w:pStyle w:val="GaAns"/>
      </w:pPr>
      <w:r>
        <w:t>A.</w:t>
      </w:r>
      <w:r>
        <w:tab/>
        <w:t xml:space="preserve">Yes. </w:t>
      </w:r>
      <w:r w:rsidR="0057267D" w:rsidRPr="0057267D">
        <w:t xml:space="preserve">Stand-alone batteries are </w:t>
      </w:r>
      <w:r>
        <w:t xml:space="preserve">now </w:t>
      </w:r>
      <w:r w:rsidR="0057267D" w:rsidRPr="0057267D">
        <w:t>eligible for a 30% Investment Tax Credit (</w:t>
      </w:r>
      <w:r w:rsidR="00A46E75">
        <w:t>“</w:t>
      </w:r>
      <w:r w:rsidR="0057267D" w:rsidRPr="0057267D">
        <w:t>ITC</w:t>
      </w:r>
      <w:r w:rsidR="00A46E75">
        <w:t>”</w:t>
      </w:r>
      <w:r w:rsidR="0057267D" w:rsidRPr="0057267D">
        <w:t xml:space="preserve">) under </w:t>
      </w:r>
      <w:r w:rsidR="0057267D" w:rsidRPr="0057267D">
        <w:lastRenderedPageBreak/>
        <w:t>the Inflation Reduction Act</w:t>
      </w:r>
      <w:r>
        <w:t xml:space="preserve"> </w:t>
      </w:r>
      <w:r w:rsidR="00A46E75">
        <w:t xml:space="preserve">(“IRA”) </w:t>
      </w:r>
      <w:r>
        <w:t>that became law in August 2022</w:t>
      </w:r>
      <w:r w:rsidR="0057267D" w:rsidRPr="0057267D">
        <w:t xml:space="preserve">, and that credit can be increased to 40% or 50% if “energy community” or domestic content requirements are met. </w:t>
      </w:r>
      <w:r w:rsidR="00D826AC">
        <w:t xml:space="preserve">Prior to enactment of </w:t>
      </w:r>
      <w:r w:rsidR="00A46E75">
        <w:t xml:space="preserve">the IRA, only battery storage resources deployed at renewable generators receiving the ITC were eligible for the tax credit. </w:t>
      </w:r>
      <w:r w:rsidR="0057267D" w:rsidRPr="0057267D">
        <w:t>The census tract for Plant Yates and adjoining census tracts qualify as “energy communities” due to the closure of the coal plant,</w:t>
      </w:r>
      <w:r w:rsidR="0057267D" w:rsidRPr="0057267D">
        <w:rPr>
          <w:vertAlign w:val="superscript"/>
        </w:rPr>
        <w:footnoteReference w:id="13"/>
      </w:r>
      <w:r w:rsidR="0057267D" w:rsidRPr="0057267D">
        <w:t xml:space="preserve"> so the Company could deploy or contract with a battery that would receive at least a 40% ITC in that area and use it to mitigate the </w:t>
      </w:r>
      <w:r w:rsidR="00A46E75">
        <w:t xml:space="preserve">claimed </w:t>
      </w:r>
      <w:r w:rsidR="0057267D" w:rsidRPr="0057267D">
        <w:t>need for both generating capacity and transmission upgrades. The adjoining census tracts from Plant Yates extend quite far to the north and the east</w:t>
      </w:r>
      <w:r w:rsidR="0057267D" w:rsidRPr="0057267D">
        <w:rPr>
          <w:vertAlign w:val="superscript"/>
        </w:rPr>
        <w:footnoteReference w:id="14"/>
      </w:r>
      <w:r w:rsidR="0057267D" w:rsidRPr="0057267D">
        <w:t xml:space="preserve"> towards the area where many new loads have applied to interconnect, giving the Company flexibility to optimally site battery storage additions to meet transmission system needs triggered by the addition of new generation or load. </w:t>
      </w:r>
      <w:r w:rsidR="000920FD">
        <w:t xml:space="preserve">Any brownfield site can also qualify for the energy community bonus, giving Georgia Power further flexibility to </w:t>
      </w:r>
      <w:r w:rsidR="00144FC2">
        <w:t>site batteries at optimal locations</w:t>
      </w:r>
      <w:r w:rsidR="000920FD">
        <w:t>.</w:t>
      </w:r>
    </w:p>
    <w:p w14:paraId="32F0C76F" w14:textId="0547A3FE" w:rsidR="0057267D" w:rsidRPr="0057267D" w:rsidRDefault="0057267D" w:rsidP="0057267D">
      <w:pPr>
        <w:pStyle w:val="GaAns"/>
        <w:numPr>
          <w:ilvl w:val="0"/>
          <w:numId w:val="20"/>
        </w:numPr>
        <w:rPr>
          <w:b/>
          <w:bCs/>
        </w:rPr>
      </w:pPr>
      <w:r w:rsidRPr="0057267D">
        <w:rPr>
          <w:b/>
          <w:bCs/>
        </w:rPr>
        <w:t>Demand response or rate design</w:t>
      </w:r>
      <w:r w:rsidR="00144FC2" w:rsidRPr="00144FC2">
        <w:rPr>
          <w:b/>
          <w:bCs/>
        </w:rPr>
        <w:t xml:space="preserve"> can alleviate the </w:t>
      </w:r>
      <w:r w:rsidR="00276503">
        <w:rPr>
          <w:b/>
          <w:bCs/>
        </w:rPr>
        <w:t xml:space="preserve">Company’s </w:t>
      </w:r>
      <w:r w:rsidR="00144FC2" w:rsidRPr="00144FC2">
        <w:rPr>
          <w:b/>
          <w:bCs/>
        </w:rPr>
        <w:t xml:space="preserve">claimed need for transmission </w:t>
      </w:r>
      <w:r w:rsidR="00FD6F0A">
        <w:rPr>
          <w:b/>
          <w:bCs/>
        </w:rPr>
        <w:t>upgrades</w:t>
      </w:r>
    </w:p>
    <w:p w14:paraId="5A1FC6F0" w14:textId="082DC441" w:rsidR="0057267D" w:rsidRPr="0057267D" w:rsidRDefault="00793F64" w:rsidP="0057267D">
      <w:pPr>
        <w:pStyle w:val="GaAns"/>
        <w:rPr>
          <w:b/>
          <w:bCs/>
        </w:rPr>
      </w:pPr>
      <w:r w:rsidRPr="00FB5C7C">
        <w:rPr>
          <w:b/>
          <w:bCs/>
        </w:rPr>
        <w:t>Q.</w:t>
      </w:r>
      <w:r w:rsidRPr="00FB5C7C">
        <w:rPr>
          <w:b/>
          <w:bCs/>
        </w:rPr>
        <w:tab/>
      </w:r>
      <w:r w:rsidR="00273BE5" w:rsidRPr="00FB5C7C">
        <w:rPr>
          <w:b/>
          <w:bCs/>
        </w:rPr>
        <w:t xml:space="preserve">DID GEORGIA POWER ADEQUATELY EVALUATE </w:t>
      </w:r>
      <w:r w:rsidR="00276503" w:rsidRPr="00FB5C7C">
        <w:rPr>
          <w:b/>
          <w:bCs/>
        </w:rPr>
        <w:t>DEMAND</w:t>
      </w:r>
      <w:r w:rsidR="00FB5C7C" w:rsidRPr="00FB5C7C">
        <w:rPr>
          <w:b/>
          <w:bCs/>
        </w:rPr>
        <w:t>-RELATED SOLUTIONS TO ITS CLAIMED NEEDS?</w:t>
      </w:r>
    </w:p>
    <w:p w14:paraId="5263662B" w14:textId="6E8B932F" w:rsidR="0057267D" w:rsidRPr="0057267D" w:rsidRDefault="00FB5C7C" w:rsidP="00CE653C">
      <w:pPr>
        <w:pStyle w:val="GaAns"/>
      </w:pPr>
      <w:r>
        <w:t>A.</w:t>
      </w:r>
      <w:r>
        <w:tab/>
      </w:r>
      <w:r w:rsidR="00273BE5">
        <w:t>No, t</w:t>
      </w:r>
      <w:r w:rsidR="0057267D" w:rsidRPr="0057267D">
        <w:t xml:space="preserve">he Company did not adequately evaluate customer-based solutions to the </w:t>
      </w:r>
      <w:r>
        <w:t xml:space="preserve">claimed </w:t>
      </w:r>
      <w:r w:rsidR="0057267D" w:rsidRPr="0057267D">
        <w:t xml:space="preserve">need </w:t>
      </w:r>
      <w:r>
        <w:t xml:space="preserve">for </w:t>
      </w:r>
      <w:r w:rsidR="0057267D" w:rsidRPr="0057267D">
        <w:t>transmission upgrade</w:t>
      </w:r>
      <w:r>
        <w:t>s</w:t>
      </w:r>
      <w:r w:rsidR="0057267D" w:rsidRPr="0057267D">
        <w:t xml:space="preserve">. These </w:t>
      </w:r>
      <w:r>
        <w:t xml:space="preserve">solutions </w:t>
      </w:r>
      <w:r w:rsidR="0057267D" w:rsidRPr="0057267D">
        <w:t>include non-firm or interruptible service rate options, the use of customer-sited resources like battery storage, or demand response programs that would compensate those customers for curtailing their load during periods of</w:t>
      </w:r>
      <w:r w:rsidR="00555F82">
        <w:t xml:space="preserve"> </w:t>
      </w:r>
      <w:r w:rsidR="0057267D" w:rsidRPr="0057267D">
        <w:t>need,</w:t>
      </w:r>
      <w:r w:rsidR="00555F82">
        <w:t xml:space="preserve"> </w:t>
      </w:r>
      <w:r w:rsidR="008316FD">
        <w:rPr>
          <w:highlight w:val="black"/>
        </w:rPr>
        <w:t>********</w:t>
      </w:r>
      <w:r w:rsidR="00B81BE2">
        <w:rPr>
          <w:highlight w:val="black"/>
        </w:rPr>
        <w:t>*************************************************</w:t>
      </w:r>
      <w:r w:rsidR="004F7D3A" w:rsidRPr="004F7D3A">
        <w:rPr>
          <w:highlight w:val="black"/>
        </w:rPr>
        <w:t>********</w:t>
      </w:r>
      <w:r w:rsidR="00555F82">
        <w:t xml:space="preserve"> </w:t>
      </w:r>
      <w:r w:rsidR="00555F82" w:rsidRPr="00990982">
        <w:rPr>
          <w:highlight w:val="black"/>
        </w:rPr>
        <w:t>********** *****************************</w:t>
      </w:r>
      <w:r w:rsidR="0057267D" w:rsidRPr="0057267D">
        <w:t xml:space="preserve">. </w:t>
      </w:r>
      <w:r w:rsidR="004F6C2E">
        <w:t>It appears that the Company only evaluates the use of demand response for alleviating system-wide ge</w:t>
      </w:r>
      <w:r w:rsidR="00E748EA">
        <w:t xml:space="preserve">nerating capacity </w:t>
      </w:r>
      <w:r w:rsidR="00E748EA">
        <w:lastRenderedPageBreak/>
        <w:t>needs, not localized transmission constraints.</w:t>
      </w:r>
      <w:r w:rsidR="00E748EA">
        <w:rPr>
          <w:rStyle w:val="FootnoteReference"/>
        </w:rPr>
        <w:footnoteReference w:id="15"/>
      </w:r>
      <w:r w:rsidR="00E748EA">
        <w:t xml:space="preserve"> </w:t>
      </w:r>
      <w:r w:rsidR="00990982" w:rsidRPr="00990982">
        <w:rPr>
          <w:highlight w:val="black"/>
        </w:rPr>
        <w:t>****************************</w:t>
      </w:r>
      <w:r w:rsidR="006E7DA1" w:rsidRPr="00DE4C70">
        <w:rPr>
          <w:highlight w:val="yellow"/>
        </w:rPr>
        <w:t xml:space="preserve"> </w:t>
      </w:r>
      <w:r w:rsidR="00990982" w:rsidRPr="00990982">
        <w:rPr>
          <w:highlight w:val="black"/>
        </w:rPr>
        <w:t>********************************************************************</w:t>
      </w:r>
      <w:r w:rsidR="0057267D" w:rsidRPr="0057267D">
        <w:t xml:space="preserve">, it is likely that at least some of the new or existing customers in the load pockets would have more than enough time to reduce their load </w:t>
      </w:r>
      <w:r w:rsidR="00990982" w:rsidRPr="00990982">
        <w:rPr>
          <w:highlight w:val="black"/>
        </w:rPr>
        <w:t>************************************</w:t>
      </w:r>
      <w:r w:rsidR="0057267D" w:rsidRPr="00990982">
        <w:rPr>
          <w:highlight w:val="black"/>
        </w:rPr>
        <w:t xml:space="preserve"> </w:t>
      </w:r>
      <w:r w:rsidR="00990982" w:rsidRPr="00990982">
        <w:rPr>
          <w:highlight w:val="black"/>
        </w:rPr>
        <w:t>*****************************************************************************************</w:t>
      </w:r>
      <w:r w:rsidR="00990982">
        <w:t>.</w:t>
      </w:r>
      <w:r w:rsidR="0057267D" w:rsidRPr="0057267D">
        <w:t xml:space="preserve"> In particular, many types of data centers have demonstrated an ability to quickly reduce load in response to </w:t>
      </w:r>
      <w:r w:rsidR="0043512D">
        <w:t xml:space="preserve">dispatch or </w:t>
      </w:r>
      <w:r w:rsidR="0057267D" w:rsidRPr="0057267D">
        <w:t>price signals during periods of need, as those loads can be shifted later in time or to other data centers.</w:t>
      </w:r>
      <w:r w:rsidR="0057267D" w:rsidRPr="0057267D">
        <w:rPr>
          <w:vertAlign w:val="superscript"/>
        </w:rPr>
        <w:footnoteReference w:id="16"/>
      </w:r>
      <w:r w:rsidR="0057267D" w:rsidRPr="0057267D">
        <w:t xml:space="preserve"> </w:t>
      </w:r>
      <w:r w:rsidR="002F6BDF">
        <w:t xml:space="preserve">While </w:t>
      </w:r>
      <w:r w:rsidR="005F3F36">
        <w:t>data c</w:t>
      </w:r>
      <w:r w:rsidR="00A70263">
        <w:t xml:space="preserve">enters </w:t>
      </w:r>
      <w:r w:rsidR="006C4783">
        <w:t xml:space="preserve">typically operate at </w:t>
      </w:r>
      <w:r w:rsidR="001624C7">
        <w:t>high load factors</w:t>
      </w:r>
      <w:r w:rsidR="00081FC4">
        <w:t xml:space="preserve">, many computing loads are not time sensitive </w:t>
      </w:r>
      <w:r w:rsidR="004C7933">
        <w:t>and thus can be curtailed during periods of need.</w:t>
      </w:r>
      <w:r w:rsidR="001624C7">
        <w:t xml:space="preserve"> </w:t>
      </w:r>
      <w:r w:rsidR="0057267D" w:rsidRPr="0057267D">
        <w:t>If the proposed transmission upgrades are</w:t>
      </w:r>
      <w:r w:rsidR="004515F9">
        <w:t xml:space="preserve"> needed</w:t>
      </w:r>
      <w:r w:rsidR="0057267D" w:rsidRPr="0057267D">
        <w:t xml:space="preserve"> to address </w:t>
      </w:r>
      <w:r w:rsidR="004515F9">
        <w:t xml:space="preserve">transmission system </w:t>
      </w:r>
      <w:r w:rsidR="0057267D" w:rsidRPr="0057267D">
        <w:t xml:space="preserve">stability concerns, customer load reduction or the activation of battery storage can even be set to instantly trigger using a relay based on frequency or voltage. For example, some Loads Acting as a Resource in ERCOT are used as frequency-responsive contingency reserves because they </w:t>
      </w:r>
      <w:r w:rsidR="00645935">
        <w:t>are connected using</w:t>
      </w:r>
      <w:r w:rsidR="0057267D" w:rsidRPr="0057267D">
        <w:t xml:space="preserve"> relays that automatically shed load when frequency declines below a certain threshold.</w:t>
      </w:r>
      <w:r w:rsidR="0057267D" w:rsidRPr="0057267D">
        <w:rPr>
          <w:vertAlign w:val="superscript"/>
        </w:rPr>
        <w:footnoteReference w:id="17"/>
      </w:r>
      <w:r w:rsidR="00CE653C">
        <w:t xml:space="preserve"> </w:t>
      </w:r>
    </w:p>
    <w:p w14:paraId="4A5371E3" w14:textId="388B9B38" w:rsidR="0057267D" w:rsidRPr="00B4428B" w:rsidRDefault="00CE653C" w:rsidP="00CE653C">
      <w:pPr>
        <w:pStyle w:val="ListParagraph"/>
        <w:numPr>
          <w:ilvl w:val="0"/>
          <w:numId w:val="20"/>
        </w:numPr>
        <w:rPr>
          <w:b/>
          <w:bCs/>
        </w:rPr>
      </w:pPr>
      <w:r w:rsidRPr="00B4428B">
        <w:rPr>
          <w:b/>
          <w:bCs/>
        </w:rPr>
        <w:t>The Company did not evaluate the use of Grid</w:t>
      </w:r>
      <w:r w:rsidR="00016366">
        <w:rPr>
          <w:b/>
          <w:bCs/>
        </w:rPr>
        <w:t>-</w:t>
      </w:r>
      <w:r w:rsidRPr="00B4428B">
        <w:rPr>
          <w:b/>
          <w:bCs/>
        </w:rPr>
        <w:t xml:space="preserve">Enhancing Technologies </w:t>
      </w:r>
      <w:r w:rsidR="00B4428B" w:rsidRPr="00B4428B">
        <w:rPr>
          <w:b/>
          <w:bCs/>
        </w:rPr>
        <w:t>as an alternative to the proposed</w:t>
      </w:r>
      <w:r w:rsidRPr="00B4428B">
        <w:rPr>
          <w:b/>
          <w:bCs/>
        </w:rPr>
        <w:t xml:space="preserve"> transmission </w:t>
      </w:r>
      <w:r w:rsidR="00B4428B" w:rsidRPr="00B4428B">
        <w:rPr>
          <w:b/>
          <w:bCs/>
        </w:rPr>
        <w:t>upgrades</w:t>
      </w:r>
      <w:r w:rsidRPr="00B4428B">
        <w:rPr>
          <w:b/>
          <w:bCs/>
        </w:rPr>
        <w:t xml:space="preserve"> </w:t>
      </w:r>
    </w:p>
    <w:p w14:paraId="29BA3D20" w14:textId="69DC78A6" w:rsidR="00016366" w:rsidRPr="00016366" w:rsidRDefault="00B87A09" w:rsidP="00B87A09">
      <w:pPr>
        <w:pStyle w:val="GaAns"/>
        <w:rPr>
          <w:b/>
        </w:rPr>
      </w:pPr>
      <w:r w:rsidRPr="00016366">
        <w:rPr>
          <w:b/>
        </w:rPr>
        <w:t>Q.</w:t>
      </w:r>
      <w:r w:rsidRPr="00016366">
        <w:rPr>
          <w:b/>
        </w:rPr>
        <w:tab/>
        <w:t xml:space="preserve">WHAT </w:t>
      </w:r>
      <w:r w:rsidR="00016366" w:rsidRPr="00016366">
        <w:rPr>
          <w:b/>
        </w:rPr>
        <w:t>ARE GRID</w:t>
      </w:r>
      <w:r w:rsidR="00016366">
        <w:rPr>
          <w:b/>
        </w:rPr>
        <w:t>-</w:t>
      </w:r>
      <w:r w:rsidR="00016366" w:rsidRPr="00016366">
        <w:rPr>
          <w:b/>
        </w:rPr>
        <w:t>ENHANCING TECHNOLOGIES, AND DID GEORGIA POWER EVALUATE THEM</w:t>
      </w:r>
      <w:r w:rsidR="00354AE4">
        <w:rPr>
          <w:b/>
        </w:rPr>
        <w:t xml:space="preserve"> AS ALTERNATIVES</w:t>
      </w:r>
      <w:r w:rsidR="00016366" w:rsidRPr="00016366">
        <w:rPr>
          <w:b/>
        </w:rPr>
        <w:t>?</w:t>
      </w:r>
    </w:p>
    <w:p w14:paraId="107C8B86" w14:textId="1F8E5C5A" w:rsidR="00BC3E33" w:rsidRPr="0057267D" w:rsidRDefault="01FC89F9" w:rsidP="00B87A09">
      <w:pPr>
        <w:pStyle w:val="GaAns"/>
      </w:pPr>
      <w:r w:rsidRPr="3ED0CA2E">
        <w:t>A.</w:t>
      </w:r>
      <w:r w:rsidR="00016366">
        <w:rPr>
          <w:bCs/>
        </w:rPr>
        <w:tab/>
      </w:r>
      <w:r w:rsidR="24DEF259" w:rsidRPr="3ED0CA2E">
        <w:t xml:space="preserve">Dynamic line ratings, power flow control devices, topology optimization techniques, and </w:t>
      </w:r>
      <w:r w:rsidR="24DEF259" w:rsidRPr="3ED0CA2E">
        <w:lastRenderedPageBreak/>
        <w:t>similar grid-enhancing technologies</w:t>
      </w:r>
      <w:r w:rsidR="0057267D" w:rsidRPr="3ED0CA2E">
        <w:rPr>
          <w:vertAlign w:val="superscript"/>
        </w:rPr>
        <w:footnoteReference w:id="18"/>
      </w:r>
      <w:r w:rsidR="24DEF259" w:rsidRPr="3ED0CA2E">
        <w:t xml:space="preserve"> can be </w:t>
      </w:r>
      <w:r w:rsidR="24DEF259" w:rsidRPr="0057267D">
        <w:t>deployed quickly, typically within a matter of months,</w:t>
      </w:r>
      <w:r w:rsidR="0057267D" w:rsidRPr="0057267D">
        <w:rPr>
          <w:vertAlign w:val="superscript"/>
        </w:rPr>
        <w:footnoteReference w:id="19"/>
      </w:r>
      <w:r w:rsidR="24DEF259" w:rsidRPr="0057267D">
        <w:t xml:space="preserve"> so they can play an important role in alleviating near-term transmission constraints so new resources or loads can be interconnected while longer-term transmission upgrades are implemented.</w:t>
      </w:r>
      <w:r w:rsidR="24DEF259" w:rsidRPr="0057267D">
        <w:rPr>
          <w:bCs/>
        </w:rPr>
        <w:t xml:space="preserve"> </w:t>
      </w:r>
      <w:r w:rsidR="66EEF706" w:rsidRPr="0057267D">
        <w:t>However, at the hearing</w:t>
      </w:r>
      <w:r w:rsidR="2C34E0BB" w:rsidRPr="0057267D">
        <w:t>,</w:t>
      </w:r>
      <w:r w:rsidR="66EEF706" w:rsidRPr="0057267D">
        <w:t xml:space="preserve"> Georgia Power admitted that it did not consider those solutions in its transmission screening analysis.</w:t>
      </w:r>
      <w:r w:rsidR="00BC3E33" w:rsidRPr="0057267D">
        <w:rPr>
          <w:vertAlign w:val="superscript"/>
        </w:rPr>
        <w:footnoteReference w:id="20"/>
      </w:r>
    </w:p>
    <w:p w14:paraId="5F224D14" w14:textId="150150F9" w:rsidR="0057267D" w:rsidRPr="0057267D" w:rsidRDefault="00734987" w:rsidP="00734987">
      <w:pPr>
        <w:pStyle w:val="GaAns"/>
        <w:ind w:firstLine="0"/>
        <w:rPr>
          <w:bCs/>
        </w:rPr>
      </w:pPr>
      <w:r>
        <w:rPr>
          <w:bCs/>
        </w:rPr>
        <w:t>A</w:t>
      </w:r>
      <w:r w:rsidR="0057267D" w:rsidRPr="0057267D">
        <w:rPr>
          <w:bCs/>
        </w:rPr>
        <w:t>nalysis by the Brattle Group found that 2,670 MW of additional wind capacity could be added in SPP by adopting dynamic line ratings, power flow control devices, and topology optimization, more than doubling the amount of wind capacity that can be added while keeping curtailment at an acceptable level.</w:t>
      </w:r>
      <w:r w:rsidR="0057267D" w:rsidRPr="0057267D">
        <w:rPr>
          <w:bCs/>
          <w:vertAlign w:val="superscript"/>
        </w:rPr>
        <w:footnoteReference w:id="21"/>
      </w:r>
      <w:r w:rsidR="0057267D" w:rsidRPr="0057267D">
        <w:rPr>
          <w:bCs/>
        </w:rPr>
        <w:t xml:space="preserve"> Brattle found a one-time investment of $85 million in these technologies would yield annual production cost savings of $175 million.</w:t>
      </w:r>
      <w:r w:rsidR="00BC3E33">
        <w:rPr>
          <w:bCs/>
        </w:rPr>
        <w:t xml:space="preserve"> </w:t>
      </w:r>
    </w:p>
    <w:p w14:paraId="41F3F432" w14:textId="77777777" w:rsidR="0057267D" w:rsidRPr="0057267D" w:rsidRDefault="0057267D" w:rsidP="00734987">
      <w:pPr>
        <w:pStyle w:val="GaAns"/>
        <w:ind w:firstLine="0"/>
        <w:rPr>
          <w:bCs/>
        </w:rPr>
      </w:pPr>
      <w:r w:rsidRPr="0057267D">
        <w:rPr>
          <w:bCs/>
        </w:rPr>
        <w:t>Dynamic line ratings allow more power to safely flow on transmission lines by accounting for how ambient weather conditions affect the thermal limits of those lines. Transmission line ratings are typically based on worst case weather assumptions: hot weather with full sun and no wind cooling the line. Dynamic line rating devices measure the actual thermal limit of transmission lines, which under most weather conditions are much higher than the limits based on those worst-case assumptions. Due to the large potential benefits, FERC recently initiated an inquiry examining whether dynamic ratings should be required.</w:t>
      </w:r>
      <w:r w:rsidRPr="0057267D">
        <w:rPr>
          <w:bCs/>
          <w:vertAlign w:val="superscript"/>
        </w:rPr>
        <w:footnoteReference w:id="22"/>
      </w:r>
    </w:p>
    <w:p w14:paraId="68ADA753" w14:textId="21A21182" w:rsidR="0057267D" w:rsidRPr="0057267D" w:rsidRDefault="0057267D" w:rsidP="00DD299D">
      <w:pPr>
        <w:pStyle w:val="GaAns"/>
        <w:ind w:firstLine="0"/>
        <w:rPr>
          <w:bCs/>
        </w:rPr>
      </w:pPr>
      <w:r w:rsidRPr="0057267D">
        <w:rPr>
          <w:bCs/>
        </w:rPr>
        <w:t xml:space="preserve">Power flow control devices, also known as Flexible Alternating Current Transmission Systems devices, can also be deployed quickly to increase interconnection capacity on the </w:t>
      </w:r>
      <w:r w:rsidRPr="0057267D">
        <w:rPr>
          <w:bCs/>
        </w:rPr>
        <w:lastRenderedPageBreak/>
        <w:t>existing transmission system. These are power electronics-based devices used to adjust the power transfer capabilities of the system and improve stability or controllability of the system under critical conditions. Topology optimization plays a similar role by taking specific transmission lines out of service to redirect power flow away from congest</w:t>
      </w:r>
      <w:r w:rsidR="00D02E0D">
        <w:rPr>
          <w:bCs/>
        </w:rPr>
        <w:t>ed</w:t>
      </w:r>
      <w:r w:rsidRPr="0057267D">
        <w:rPr>
          <w:bCs/>
        </w:rPr>
        <w:t xml:space="preserve"> transmission elements and onto more optimal paths.</w:t>
      </w:r>
      <w:r w:rsidR="002834C1">
        <w:rPr>
          <w:bCs/>
        </w:rPr>
        <w:t xml:space="preserve"> Both of these solutions can play an important role </w:t>
      </w:r>
      <w:r w:rsidR="002834C1">
        <w:t>i</w:t>
      </w:r>
      <w:r w:rsidR="3643F3F8">
        <w:t>n</w:t>
      </w:r>
      <w:r w:rsidR="002834C1">
        <w:rPr>
          <w:bCs/>
        </w:rPr>
        <w:t xml:space="preserve"> alleviating constraints during transmission contingency events. </w:t>
      </w:r>
    </w:p>
    <w:p w14:paraId="68F8FA62" w14:textId="0FB41516" w:rsidR="0057267D" w:rsidRPr="0057267D" w:rsidRDefault="002027D6" w:rsidP="006F4294">
      <w:pPr>
        <w:pStyle w:val="Heading1"/>
        <w:rPr>
          <w:bCs/>
        </w:rPr>
      </w:pPr>
      <w:bookmarkStart w:id="7" w:name="_Toc158738944"/>
      <w:r>
        <w:rPr>
          <w:bCs/>
        </w:rPr>
        <w:t>Georgia Power should adopt b</w:t>
      </w:r>
      <w:r w:rsidR="0057267D" w:rsidRPr="0057267D">
        <w:rPr>
          <w:bCs/>
        </w:rPr>
        <w:t xml:space="preserve">etter </w:t>
      </w:r>
      <w:r>
        <w:rPr>
          <w:bCs/>
        </w:rPr>
        <w:t xml:space="preserve">transmission </w:t>
      </w:r>
      <w:r w:rsidR="0057267D" w:rsidRPr="0057267D">
        <w:rPr>
          <w:bCs/>
        </w:rPr>
        <w:t xml:space="preserve">planning </w:t>
      </w:r>
      <w:r>
        <w:rPr>
          <w:bCs/>
        </w:rPr>
        <w:t xml:space="preserve">practices to identify more optimal </w:t>
      </w:r>
      <w:r w:rsidR="0057267D" w:rsidRPr="0057267D">
        <w:rPr>
          <w:bCs/>
        </w:rPr>
        <w:t>long-term transmission solutions</w:t>
      </w:r>
      <w:bookmarkEnd w:id="7"/>
    </w:p>
    <w:p w14:paraId="17CAE70A" w14:textId="62EDD26E" w:rsidR="00DD299D" w:rsidRPr="007E31BA" w:rsidRDefault="00DD299D" w:rsidP="00DD299D">
      <w:pPr>
        <w:pStyle w:val="GaAns"/>
        <w:rPr>
          <w:b/>
          <w:bCs/>
        </w:rPr>
      </w:pPr>
      <w:r w:rsidRPr="007E31BA">
        <w:rPr>
          <w:b/>
          <w:bCs/>
        </w:rPr>
        <w:t>Q.</w:t>
      </w:r>
      <w:r w:rsidRPr="007E31BA">
        <w:rPr>
          <w:b/>
          <w:bCs/>
        </w:rPr>
        <w:tab/>
      </w:r>
      <w:r w:rsidR="007E31BA" w:rsidRPr="007E31BA">
        <w:rPr>
          <w:b/>
          <w:bCs/>
        </w:rPr>
        <w:t>WOULD HIGHER-CAPACITY SOLUTIONS BE MORE COST-EFFECTIVE THAN THE COMPANY’S PROPOSED TRANSMISSION UPGRADES?</w:t>
      </w:r>
    </w:p>
    <w:p w14:paraId="32AA7CA3" w14:textId="028386C7" w:rsidR="0057267D" w:rsidRPr="0057267D" w:rsidRDefault="00DD299D" w:rsidP="00DD299D">
      <w:pPr>
        <w:pStyle w:val="GaAns"/>
      </w:pPr>
      <w:r>
        <w:t>A.</w:t>
      </w:r>
      <w:r>
        <w:tab/>
        <w:t xml:space="preserve">Yes. </w:t>
      </w:r>
      <w:r w:rsidR="0057267D" w:rsidRPr="0057267D">
        <w:t xml:space="preserve">The </w:t>
      </w:r>
      <w:r w:rsidR="00990982" w:rsidRPr="00990982">
        <w:rPr>
          <w:highlight w:val="black"/>
        </w:rPr>
        <w:t>*********************</w:t>
      </w:r>
      <w:r w:rsidR="00CB5454">
        <w:t xml:space="preserve"> </w:t>
      </w:r>
      <w:r w:rsidR="0057267D" w:rsidRPr="0057267D">
        <w:t>transmission upgrades identified in the Transmission Screening Analysis as being needed to accommodate the Yates CTs are likely economically sub-optimal</w:t>
      </w:r>
      <w:r w:rsidR="00DA0F24">
        <w:t xml:space="preserve"> for </w:t>
      </w:r>
      <w:proofErr w:type="gramStart"/>
      <w:r w:rsidR="00DA0F24">
        <w:t>ratepayers</w:t>
      </w:r>
      <w:r w:rsidR="0057267D" w:rsidRPr="0057267D">
        <w:t>, and</w:t>
      </w:r>
      <w:proofErr w:type="gramEnd"/>
      <w:r w:rsidR="0057267D" w:rsidRPr="0057267D">
        <w:t xml:space="preserve"> could even interfere with the ability to deploy higher-voltage transmission on that </w:t>
      </w:r>
      <w:r w:rsidR="00BD2377">
        <w:t xml:space="preserve">valuable </w:t>
      </w:r>
      <w:r w:rsidR="0057267D" w:rsidRPr="0057267D">
        <w:t>right-of-way to meet future load growth or generation needs. Higher-voltage transmission lines offer large economies of scale and allow more efficient use of right-of-way due to their higher capacity. For example, MISO’s annual estimate of transmission costs provides data illustrating the large economies of scale for higher-voltage and double-circuit transmission, which are used to calculate the results shown in Table 1 below.</w:t>
      </w:r>
      <w:r w:rsidR="0057267D" w:rsidRPr="0057267D">
        <w:rPr>
          <w:vertAlign w:val="superscript"/>
        </w:rPr>
        <w:footnoteReference w:id="23"/>
      </w:r>
      <w:r w:rsidR="0057267D" w:rsidRPr="0057267D">
        <w:t xml:space="preserve"> On a $/MW-mile basis, which reflects the average cost of transmission to deliver one MW one mile, double-circuit 230-kV transmission is 36% less costly than double-circuit 115-kV, and 500-kV is 60% less costly than double-circuit 115-kV transmission. The Company’s proposed upgrades to accommodate the Yates CTs are all </w:t>
      </w:r>
      <w:r w:rsidR="00EE5C1A" w:rsidRPr="00EE5C1A">
        <w:rPr>
          <w:highlight w:val="black"/>
        </w:rPr>
        <w:t>*************</w:t>
      </w:r>
      <w:r w:rsidR="0057267D" w:rsidRPr="0057267D">
        <w:t xml:space="preserve"> </w:t>
      </w:r>
      <w:r w:rsidR="00145130">
        <w:t xml:space="preserve">low-voltage </w:t>
      </w:r>
      <w:r w:rsidR="0057267D" w:rsidRPr="0057267D">
        <w:t xml:space="preserve">transmission assets, making it likely that </w:t>
      </w:r>
      <w:r w:rsidR="00343DAE">
        <w:t>meet</w:t>
      </w:r>
      <w:r w:rsidR="00AF6549">
        <w:t>ing</w:t>
      </w:r>
      <w:r w:rsidR="00343DAE">
        <w:t xml:space="preserve"> long</w:t>
      </w:r>
      <w:r w:rsidR="00AF6549">
        <w:t>er</w:t>
      </w:r>
      <w:r w:rsidR="00343DAE">
        <w:t>-</w:t>
      </w:r>
      <w:r w:rsidR="00343DAE">
        <w:lastRenderedPageBreak/>
        <w:t xml:space="preserve">term needs using </w:t>
      </w:r>
      <w:r w:rsidR="0057267D" w:rsidRPr="0057267D">
        <w:t>higher-capacity solutions would be more cost-effective.</w:t>
      </w:r>
    </w:p>
    <w:p w14:paraId="517C366E" w14:textId="77777777" w:rsidR="0057267D" w:rsidRPr="0057267D" w:rsidRDefault="0057267D" w:rsidP="00A40351">
      <w:pPr>
        <w:pStyle w:val="GaAns"/>
        <w:jc w:val="center"/>
      </w:pPr>
      <w:r w:rsidRPr="0057267D">
        <w:rPr>
          <w:b/>
          <w:bCs/>
        </w:rPr>
        <w:t>Table 1: Economies of scale for higher-voltage transmission lines</w:t>
      </w: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1605"/>
        <w:gridCol w:w="1005"/>
        <w:gridCol w:w="876"/>
        <w:gridCol w:w="876"/>
        <w:gridCol w:w="876"/>
        <w:gridCol w:w="876"/>
        <w:gridCol w:w="876"/>
        <w:gridCol w:w="876"/>
        <w:gridCol w:w="825"/>
      </w:tblGrid>
      <w:tr w:rsidR="0057267D" w:rsidRPr="0057267D" w14:paraId="34542238" w14:textId="77777777" w:rsidTr="00721E45">
        <w:trPr>
          <w:trHeight w:val="360"/>
        </w:trPr>
        <w:tc>
          <w:tcPr>
            <w:tcW w:w="1815" w:type="dxa"/>
            <w:shd w:val="clear" w:color="auto" w:fill="auto"/>
            <w:noWrap/>
            <w:vAlign w:val="bottom"/>
            <w:hideMark/>
          </w:tcPr>
          <w:p w14:paraId="2541032A" w14:textId="77777777" w:rsidR="0057267D" w:rsidRPr="0057267D" w:rsidRDefault="0057267D" w:rsidP="0057267D">
            <w:pPr>
              <w:pStyle w:val="GaAns"/>
            </w:pPr>
          </w:p>
        </w:tc>
        <w:tc>
          <w:tcPr>
            <w:tcW w:w="1605" w:type="dxa"/>
            <w:shd w:val="clear" w:color="auto" w:fill="auto"/>
            <w:noWrap/>
            <w:vAlign w:val="bottom"/>
            <w:hideMark/>
          </w:tcPr>
          <w:p w14:paraId="4A2316A2" w14:textId="77777777" w:rsidR="0057267D" w:rsidRPr="0057267D" w:rsidRDefault="0057267D" w:rsidP="0057267D">
            <w:pPr>
              <w:pStyle w:val="GaAns"/>
            </w:pPr>
            <w:r w:rsidRPr="0057267D">
              <w:t>Voltage (kV)</w:t>
            </w:r>
          </w:p>
        </w:tc>
        <w:tc>
          <w:tcPr>
            <w:tcW w:w="1005" w:type="dxa"/>
            <w:shd w:val="clear" w:color="auto" w:fill="auto"/>
            <w:noWrap/>
            <w:hideMark/>
          </w:tcPr>
          <w:p w14:paraId="3F281D6B" w14:textId="77777777" w:rsidR="0057267D" w:rsidRPr="0057267D" w:rsidRDefault="293334A1" w:rsidP="00721E45">
            <w:pPr>
              <w:pStyle w:val="GaAns"/>
              <w:jc w:val="center"/>
            </w:pPr>
            <w:r>
              <w:t>69</w:t>
            </w:r>
          </w:p>
        </w:tc>
        <w:tc>
          <w:tcPr>
            <w:tcW w:w="855" w:type="dxa"/>
            <w:shd w:val="clear" w:color="auto" w:fill="auto"/>
            <w:noWrap/>
            <w:hideMark/>
          </w:tcPr>
          <w:p w14:paraId="00FD602D" w14:textId="77777777" w:rsidR="0057267D" w:rsidRPr="0057267D" w:rsidRDefault="293334A1" w:rsidP="00721E45">
            <w:pPr>
              <w:pStyle w:val="GaAns"/>
              <w:jc w:val="center"/>
            </w:pPr>
            <w:r>
              <w:t>115</w:t>
            </w:r>
          </w:p>
        </w:tc>
        <w:tc>
          <w:tcPr>
            <w:tcW w:w="825" w:type="dxa"/>
            <w:shd w:val="clear" w:color="auto" w:fill="auto"/>
            <w:noWrap/>
            <w:hideMark/>
          </w:tcPr>
          <w:p w14:paraId="135F4AB5" w14:textId="77777777" w:rsidR="0057267D" w:rsidRPr="0057267D" w:rsidRDefault="293334A1" w:rsidP="00721E45">
            <w:pPr>
              <w:pStyle w:val="GaAns"/>
              <w:jc w:val="center"/>
            </w:pPr>
            <w:r>
              <w:t>138</w:t>
            </w:r>
          </w:p>
        </w:tc>
        <w:tc>
          <w:tcPr>
            <w:tcW w:w="825" w:type="dxa"/>
            <w:shd w:val="clear" w:color="auto" w:fill="auto"/>
            <w:noWrap/>
            <w:hideMark/>
          </w:tcPr>
          <w:p w14:paraId="49C1C99C" w14:textId="77777777" w:rsidR="0057267D" w:rsidRPr="0057267D" w:rsidRDefault="293334A1" w:rsidP="00721E45">
            <w:pPr>
              <w:pStyle w:val="GaAns"/>
              <w:jc w:val="center"/>
            </w:pPr>
            <w:r>
              <w:t>161</w:t>
            </w:r>
          </w:p>
        </w:tc>
        <w:tc>
          <w:tcPr>
            <w:tcW w:w="840" w:type="dxa"/>
            <w:shd w:val="clear" w:color="auto" w:fill="auto"/>
            <w:noWrap/>
            <w:hideMark/>
          </w:tcPr>
          <w:p w14:paraId="2A60526F" w14:textId="77777777" w:rsidR="0057267D" w:rsidRPr="0057267D" w:rsidRDefault="293334A1" w:rsidP="00721E45">
            <w:pPr>
              <w:pStyle w:val="GaAns"/>
              <w:jc w:val="center"/>
            </w:pPr>
            <w:r>
              <w:t>230</w:t>
            </w:r>
          </w:p>
        </w:tc>
        <w:tc>
          <w:tcPr>
            <w:tcW w:w="840" w:type="dxa"/>
            <w:shd w:val="clear" w:color="auto" w:fill="auto"/>
            <w:noWrap/>
            <w:hideMark/>
          </w:tcPr>
          <w:p w14:paraId="4C472592" w14:textId="77777777" w:rsidR="0057267D" w:rsidRPr="0057267D" w:rsidRDefault="293334A1" w:rsidP="00721E45">
            <w:pPr>
              <w:pStyle w:val="GaAns"/>
              <w:jc w:val="center"/>
            </w:pPr>
            <w:r>
              <w:t>345</w:t>
            </w:r>
          </w:p>
        </w:tc>
        <w:tc>
          <w:tcPr>
            <w:tcW w:w="855" w:type="dxa"/>
            <w:shd w:val="clear" w:color="auto" w:fill="auto"/>
            <w:noWrap/>
            <w:hideMark/>
          </w:tcPr>
          <w:p w14:paraId="6079232F" w14:textId="77777777" w:rsidR="0057267D" w:rsidRPr="0057267D" w:rsidRDefault="293334A1" w:rsidP="00721E45">
            <w:pPr>
              <w:pStyle w:val="GaAns"/>
              <w:jc w:val="center"/>
            </w:pPr>
            <w:r>
              <w:t>500</w:t>
            </w:r>
          </w:p>
        </w:tc>
        <w:tc>
          <w:tcPr>
            <w:tcW w:w="825" w:type="dxa"/>
            <w:shd w:val="clear" w:color="auto" w:fill="auto"/>
            <w:noWrap/>
            <w:hideMark/>
          </w:tcPr>
          <w:p w14:paraId="2247B76A" w14:textId="77777777" w:rsidR="0057267D" w:rsidRPr="0057267D" w:rsidRDefault="293334A1" w:rsidP="00721E45">
            <w:pPr>
              <w:pStyle w:val="GaAns"/>
              <w:jc w:val="center"/>
            </w:pPr>
            <w:r>
              <w:t>765</w:t>
            </w:r>
          </w:p>
        </w:tc>
      </w:tr>
      <w:tr w:rsidR="0057267D" w:rsidRPr="0057267D" w14:paraId="321CCAD2" w14:textId="77777777" w:rsidTr="00721E45">
        <w:trPr>
          <w:trHeight w:val="312"/>
        </w:trPr>
        <w:tc>
          <w:tcPr>
            <w:tcW w:w="1815" w:type="dxa"/>
            <w:vMerge w:val="restart"/>
            <w:shd w:val="clear" w:color="auto" w:fill="auto"/>
            <w:noWrap/>
            <w:vAlign w:val="center"/>
            <w:hideMark/>
          </w:tcPr>
          <w:p w14:paraId="1AB1877A" w14:textId="77777777" w:rsidR="0057267D" w:rsidRPr="0057267D" w:rsidRDefault="0057267D" w:rsidP="0057267D">
            <w:pPr>
              <w:pStyle w:val="GaAns"/>
              <w:rPr>
                <w:b/>
                <w:bCs/>
              </w:rPr>
            </w:pPr>
            <w:r w:rsidRPr="0057267D">
              <w:rPr>
                <w:b/>
                <w:bCs/>
              </w:rPr>
              <w:t>Single Circuit</w:t>
            </w:r>
          </w:p>
        </w:tc>
        <w:tc>
          <w:tcPr>
            <w:tcW w:w="1605" w:type="dxa"/>
            <w:shd w:val="clear" w:color="auto" w:fill="auto"/>
            <w:noWrap/>
            <w:vAlign w:val="bottom"/>
            <w:hideMark/>
          </w:tcPr>
          <w:p w14:paraId="27A71196" w14:textId="77777777" w:rsidR="0057267D" w:rsidRPr="0057267D" w:rsidRDefault="0057267D" w:rsidP="0057267D">
            <w:pPr>
              <w:pStyle w:val="GaAns"/>
            </w:pPr>
            <w:r w:rsidRPr="0057267D">
              <w:t>$M/mile</w:t>
            </w:r>
          </w:p>
        </w:tc>
        <w:tc>
          <w:tcPr>
            <w:tcW w:w="1005" w:type="dxa"/>
            <w:shd w:val="clear" w:color="auto" w:fill="auto"/>
            <w:noWrap/>
            <w:hideMark/>
          </w:tcPr>
          <w:p w14:paraId="4F5A7F28" w14:textId="2EA0EFED" w:rsidR="0057267D" w:rsidRPr="0057267D" w:rsidRDefault="293334A1" w:rsidP="00721E45">
            <w:pPr>
              <w:pStyle w:val="GaAns"/>
              <w:jc w:val="center"/>
            </w:pPr>
            <w:r>
              <w:t>$1.</w:t>
            </w:r>
            <w:r w:rsidR="6272D743">
              <w:t>7</w:t>
            </w:r>
          </w:p>
        </w:tc>
        <w:tc>
          <w:tcPr>
            <w:tcW w:w="855" w:type="dxa"/>
            <w:shd w:val="clear" w:color="auto" w:fill="auto"/>
            <w:noWrap/>
            <w:hideMark/>
          </w:tcPr>
          <w:p w14:paraId="5DCD0F4D" w14:textId="6E82BD82" w:rsidR="0057267D" w:rsidRPr="0057267D" w:rsidRDefault="293334A1" w:rsidP="00721E45">
            <w:pPr>
              <w:pStyle w:val="GaAns"/>
              <w:jc w:val="center"/>
            </w:pPr>
            <w:r>
              <w:t>$1.</w:t>
            </w:r>
            <w:r w:rsidR="6272D743">
              <w:t>9</w:t>
            </w:r>
          </w:p>
        </w:tc>
        <w:tc>
          <w:tcPr>
            <w:tcW w:w="825" w:type="dxa"/>
            <w:shd w:val="clear" w:color="auto" w:fill="auto"/>
            <w:noWrap/>
            <w:hideMark/>
          </w:tcPr>
          <w:p w14:paraId="1ED0DAC9" w14:textId="4DD53AAE" w:rsidR="0057267D" w:rsidRPr="0057267D" w:rsidRDefault="293334A1" w:rsidP="00721E45">
            <w:pPr>
              <w:pStyle w:val="GaAns"/>
              <w:jc w:val="center"/>
            </w:pPr>
            <w:r>
              <w:t>$</w:t>
            </w:r>
            <w:r w:rsidR="6272D743">
              <w:t>2.0</w:t>
            </w:r>
          </w:p>
        </w:tc>
        <w:tc>
          <w:tcPr>
            <w:tcW w:w="825" w:type="dxa"/>
            <w:shd w:val="clear" w:color="auto" w:fill="auto"/>
            <w:noWrap/>
            <w:hideMark/>
          </w:tcPr>
          <w:p w14:paraId="4D661461" w14:textId="7E803129" w:rsidR="0057267D" w:rsidRPr="0057267D" w:rsidRDefault="293334A1" w:rsidP="00721E45">
            <w:pPr>
              <w:pStyle w:val="GaAns"/>
              <w:jc w:val="center"/>
            </w:pPr>
            <w:r>
              <w:t>$</w:t>
            </w:r>
            <w:r w:rsidR="6272D743">
              <w:t>2.1</w:t>
            </w:r>
          </w:p>
        </w:tc>
        <w:tc>
          <w:tcPr>
            <w:tcW w:w="840" w:type="dxa"/>
            <w:shd w:val="clear" w:color="auto" w:fill="auto"/>
            <w:noWrap/>
            <w:hideMark/>
          </w:tcPr>
          <w:p w14:paraId="6028B264" w14:textId="3E97A63D" w:rsidR="0057267D" w:rsidRPr="0057267D" w:rsidRDefault="293334A1" w:rsidP="00721E45">
            <w:pPr>
              <w:pStyle w:val="GaAns"/>
              <w:jc w:val="center"/>
            </w:pPr>
            <w:r>
              <w:t>$2</w:t>
            </w:r>
            <w:r w:rsidR="6272D743">
              <w:t>.2</w:t>
            </w:r>
          </w:p>
        </w:tc>
        <w:tc>
          <w:tcPr>
            <w:tcW w:w="840" w:type="dxa"/>
            <w:shd w:val="clear" w:color="auto" w:fill="auto"/>
            <w:noWrap/>
            <w:hideMark/>
          </w:tcPr>
          <w:p w14:paraId="1450886A" w14:textId="2ADF74A1" w:rsidR="0057267D" w:rsidRPr="0057267D" w:rsidRDefault="293334A1" w:rsidP="00721E45">
            <w:pPr>
              <w:pStyle w:val="GaAns"/>
              <w:jc w:val="center"/>
            </w:pPr>
            <w:r>
              <w:t>$3.</w:t>
            </w:r>
            <w:r w:rsidR="6272D743">
              <w:t>5</w:t>
            </w:r>
          </w:p>
        </w:tc>
        <w:tc>
          <w:tcPr>
            <w:tcW w:w="855" w:type="dxa"/>
            <w:shd w:val="clear" w:color="auto" w:fill="auto"/>
            <w:noWrap/>
            <w:hideMark/>
          </w:tcPr>
          <w:p w14:paraId="708DF510" w14:textId="5A1DD553" w:rsidR="0057267D" w:rsidRPr="0057267D" w:rsidRDefault="293334A1" w:rsidP="00721E45">
            <w:pPr>
              <w:pStyle w:val="GaAns"/>
              <w:jc w:val="center"/>
            </w:pPr>
            <w:r>
              <w:t>$4</w:t>
            </w:r>
            <w:r w:rsidR="6272D743">
              <w:t>.4</w:t>
            </w:r>
          </w:p>
        </w:tc>
        <w:tc>
          <w:tcPr>
            <w:tcW w:w="825" w:type="dxa"/>
            <w:shd w:val="clear" w:color="auto" w:fill="auto"/>
            <w:noWrap/>
            <w:hideMark/>
          </w:tcPr>
          <w:p w14:paraId="10FF6D9D" w14:textId="78E6120A" w:rsidR="0057267D" w:rsidRPr="0057267D" w:rsidRDefault="293334A1" w:rsidP="00721E45">
            <w:pPr>
              <w:pStyle w:val="GaAns"/>
              <w:jc w:val="center"/>
            </w:pPr>
            <w:r>
              <w:t>$5</w:t>
            </w:r>
            <w:r w:rsidR="6272D743">
              <w:t>.5</w:t>
            </w:r>
          </w:p>
        </w:tc>
      </w:tr>
      <w:tr w:rsidR="0057267D" w:rsidRPr="0057267D" w14:paraId="42D0157B" w14:textId="77777777" w:rsidTr="00721E45">
        <w:trPr>
          <w:trHeight w:val="390"/>
        </w:trPr>
        <w:tc>
          <w:tcPr>
            <w:tcW w:w="1815" w:type="dxa"/>
            <w:vMerge/>
            <w:vAlign w:val="center"/>
            <w:hideMark/>
          </w:tcPr>
          <w:p w14:paraId="159DA944" w14:textId="77777777" w:rsidR="0057267D" w:rsidRPr="0057267D" w:rsidRDefault="0057267D" w:rsidP="0057267D">
            <w:pPr>
              <w:pStyle w:val="GaAns"/>
              <w:rPr>
                <w:b/>
                <w:bCs/>
              </w:rPr>
            </w:pPr>
          </w:p>
        </w:tc>
        <w:tc>
          <w:tcPr>
            <w:tcW w:w="1605" w:type="dxa"/>
            <w:shd w:val="clear" w:color="auto" w:fill="auto"/>
            <w:noWrap/>
            <w:vAlign w:val="bottom"/>
            <w:hideMark/>
          </w:tcPr>
          <w:p w14:paraId="5C735A69" w14:textId="77777777" w:rsidR="0057267D" w:rsidRPr="0057267D" w:rsidRDefault="0057267D" w:rsidP="0057267D">
            <w:pPr>
              <w:pStyle w:val="GaAns"/>
            </w:pPr>
            <w:r w:rsidRPr="0057267D">
              <w:t>MW or MVA</w:t>
            </w:r>
          </w:p>
        </w:tc>
        <w:tc>
          <w:tcPr>
            <w:tcW w:w="1005" w:type="dxa"/>
            <w:shd w:val="clear" w:color="auto" w:fill="auto"/>
            <w:noWrap/>
            <w:hideMark/>
          </w:tcPr>
          <w:p w14:paraId="50605DA3" w14:textId="77777777" w:rsidR="0057267D" w:rsidRPr="0057267D" w:rsidRDefault="293334A1" w:rsidP="00721E45">
            <w:pPr>
              <w:pStyle w:val="GaAns"/>
              <w:jc w:val="center"/>
            </w:pPr>
            <w:r>
              <w:t>140</w:t>
            </w:r>
          </w:p>
        </w:tc>
        <w:tc>
          <w:tcPr>
            <w:tcW w:w="855" w:type="dxa"/>
            <w:shd w:val="clear" w:color="auto" w:fill="auto"/>
            <w:noWrap/>
            <w:hideMark/>
          </w:tcPr>
          <w:p w14:paraId="1BF51AD9" w14:textId="77777777" w:rsidR="0057267D" w:rsidRPr="0057267D" w:rsidRDefault="293334A1" w:rsidP="00721E45">
            <w:pPr>
              <w:pStyle w:val="GaAns"/>
              <w:jc w:val="center"/>
            </w:pPr>
            <w:r>
              <w:t>329</w:t>
            </w:r>
          </w:p>
        </w:tc>
        <w:tc>
          <w:tcPr>
            <w:tcW w:w="825" w:type="dxa"/>
            <w:shd w:val="clear" w:color="auto" w:fill="auto"/>
            <w:noWrap/>
            <w:hideMark/>
          </w:tcPr>
          <w:p w14:paraId="2513A823" w14:textId="77777777" w:rsidR="0057267D" w:rsidRPr="0057267D" w:rsidRDefault="293334A1" w:rsidP="00721E45">
            <w:pPr>
              <w:pStyle w:val="GaAns"/>
              <w:jc w:val="center"/>
            </w:pPr>
            <w:r>
              <w:t>394</w:t>
            </w:r>
          </w:p>
        </w:tc>
        <w:tc>
          <w:tcPr>
            <w:tcW w:w="825" w:type="dxa"/>
            <w:shd w:val="clear" w:color="auto" w:fill="auto"/>
            <w:noWrap/>
            <w:hideMark/>
          </w:tcPr>
          <w:p w14:paraId="7E260E1E" w14:textId="77777777" w:rsidR="0057267D" w:rsidRPr="0057267D" w:rsidRDefault="293334A1" w:rsidP="00721E45">
            <w:pPr>
              <w:pStyle w:val="GaAns"/>
              <w:jc w:val="center"/>
            </w:pPr>
            <w:r>
              <w:t>460</w:t>
            </w:r>
          </w:p>
        </w:tc>
        <w:tc>
          <w:tcPr>
            <w:tcW w:w="840" w:type="dxa"/>
            <w:shd w:val="clear" w:color="auto" w:fill="auto"/>
            <w:noWrap/>
            <w:hideMark/>
          </w:tcPr>
          <w:p w14:paraId="14F89913" w14:textId="77777777" w:rsidR="0057267D" w:rsidRPr="0057267D" w:rsidRDefault="293334A1" w:rsidP="00721E45">
            <w:pPr>
              <w:pStyle w:val="GaAns"/>
              <w:jc w:val="center"/>
            </w:pPr>
            <w:r>
              <w:t>657</w:t>
            </w:r>
          </w:p>
        </w:tc>
        <w:tc>
          <w:tcPr>
            <w:tcW w:w="840" w:type="dxa"/>
            <w:shd w:val="clear" w:color="auto" w:fill="auto"/>
            <w:noWrap/>
            <w:hideMark/>
          </w:tcPr>
          <w:p w14:paraId="20153144" w14:textId="77777777" w:rsidR="0057267D" w:rsidRPr="0057267D" w:rsidRDefault="293334A1" w:rsidP="00721E45">
            <w:pPr>
              <w:pStyle w:val="GaAns"/>
              <w:jc w:val="center"/>
            </w:pPr>
            <w:r>
              <w:t>1792</w:t>
            </w:r>
          </w:p>
        </w:tc>
        <w:tc>
          <w:tcPr>
            <w:tcW w:w="855" w:type="dxa"/>
            <w:shd w:val="clear" w:color="auto" w:fill="auto"/>
            <w:noWrap/>
            <w:hideMark/>
          </w:tcPr>
          <w:p w14:paraId="680FBC7E" w14:textId="77777777" w:rsidR="0057267D" w:rsidRPr="0057267D" w:rsidRDefault="293334A1" w:rsidP="00721E45">
            <w:pPr>
              <w:pStyle w:val="GaAns"/>
              <w:jc w:val="center"/>
            </w:pPr>
            <w:r>
              <w:t>2598</w:t>
            </w:r>
          </w:p>
        </w:tc>
        <w:tc>
          <w:tcPr>
            <w:tcW w:w="825" w:type="dxa"/>
            <w:shd w:val="clear" w:color="auto" w:fill="auto"/>
            <w:noWrap/>
            <w:hideMark/>
          </w:tcPr>
          <w:p w14:paraId="3EBF0FDB" w14:textId="77777777" w:rsidR="0057267D" w:rsidRPr="0057267D" w:rsidRDefault="293334A1" w:rsidP="00721E45">
            <w:pPr>
              <w:pStyle w:val="GaAns"/>
              <w:jc w:val="center"/>
            </w:pPr>
            <w:r>
              <w:t>6625</w:t>
            </w:r>
          </w:p>
        </w:tc>
      </w:tr>
      <w:tr w:rsidR="0057267D" w:rsidRPr="0057267D" w14:paraId="41198C14" w14:textId="77777777" w:rsidTr="00721E45">
        <w:trPr>
          <w:trHeight w:val="312"/>
        </w:trPr>
        <w:tc>
          <w:tcPr>
            <w:tcW w:w="1815" w:type="dxa"/>
            <w:vMerge/>
            <w:vAlign w:val="center"/>
            <w:hideMark/>
          </w:tcPr>
          <w:p w14:paraId="43D4F01E" w14:textId="77777777" w:rsidR="0057267D" w:rsidRPr="0057267D" w:rsidRDefault="0057267D" w:rsidP="0057267D">
            <w:pPr>
              <w:pStyle w:val="GaAns"/>
              <w:rPr>
                <w:b/>
                <w:bCs/>
              </w:rPr>
            </w:pPr>
          </w:p>
        </w:tc>
        <w:tc>
          <w:tcPr>
            <w:tcW w:w="1605" w:type="dxa"/>
            <w:shd w:val="clear" w:color="auto" w:fill="auto"/>
            <w:noWrap/>
            <w:hideMark/>
          </w:tcPr>
          <w:p w14:paraId="5B0C7FF8" w14:textId="77777777" w:rsidR="0057267D" w:rsidRPr="0057267D" w:rsidRDefault="293334A1" w:rsidP="5CCA6ECA">
            <w:pPr>
              <w:pStyle w:val="GaAns"/>
              <w:jc w:val="left"/>
            </w:pPr>
            <w:r>
              <w:t>$/MW-mile</w:t>
            </w:r>
          </w:p>
        </w:tc>
        <w:tc>
          <w:tcPr>
            <w:tcW w:w="1005" w:type="dxa"/>
            <w:shd w:val="clear" w:color="auto" w:fill="auto"/>
            <w:noWrap/>
            <w:hideMark/>
          </w:tcPr>
          <w:p w14:paraId="09963B77" w14:textId="6FE1F8F7" w:rsidR="0057267D" w:rsidRPr="0057267D" w:rsidRDefault="293334A1" w:rsidP="00721E45">
            <w:pPr>
              <w:pStyle w:val="GaAns"/>
              <w:jc w:val="center"/>
              <w:rPr>
                <w:b/>
                <w:bCs/>
              </w:rPr>
            </w:pPr>
            <w:r w:rsidRPr="5CCA6ECA">
              <w:rPr>
                <w:b/>
                <w:bCs/>
              </w:rPr>
              <w:t>$1</w:t>
            </w:r>
            <w:r w:rsidR="6272D743" w:rsidRPr="5CCA6ECA">
              <w:rPr>
                <w:b/>
                <w:bCs/>
              </w:rPr>
              <w:t>2</w:t>
            </w:r>
            <w:r w:rsidRPr="5CCA6ECA">
              <w:rPr>
                <w:b/>
                <w:bCs/>
              </w:rPr>
              <w:t>,</w:t>
            </w:r>
            <w:r w:rsidR="6272D743" w:rsidRPr="5CCA6ECA">
              <w:rPr>
                <w:b/>
                <w:bCs/>
              </w:rPr>
              <w:t>143</w:t>
            </w:r>
          </w:p>
        </w:tc>
        <w:tc>
          <w:tcPr>
            <w:tcW w:w="855" w:type="dxa"/>
            <w:shd w:val="clear" w:color="auto" w:fill="auto"/>
            <w:noWrap/>
            <w:hideMark/>
          </w:tcPr>
          <w:p w14:paraId="63740D0F" w14:textId="4674D6DC" w:rsidR="0057267D" w:rsidRPr="0057267D" w:rsidRDefault="293334A1" w:rsidP="00721E45">
            <w:pPr>
              <w:pStyle w:val="GaAns"/>
              <w:jc w:val="center"/>
              <w:rPr>
                <w:b/>
                <w:bCs/>
              </w:rPr>
            </w:pPr>
            <w:r w:rsidRPr="5CCA6ECA">
              <w:rPr>
                <w:b/>
                <w:bCs/>
              </w:rPr>
              <w:t>$5,</w:t>
            </w:r>
            <w:r w:rsidR="6272D743" w:rsidRPr="5CCA6ECA">
              <w:rPr>
                <w:b/>
                <w:bCs/>
              </w:rPr>
              <w:t>775</w:t>
            </w:r>
          </w:p>
        </w:tc>
        <w:tc>
          <w:tcPr>
            <w:tcW w:w="825" w:type="dxa"/>
            <w:shd w:val="clear" w:color="auto" w:fill="auto"/>
            <w:noWrap/>
            <w:hideMark/>
          </w:tcPr>
          <w:p w14:paraId="7625E791" w14:textId="120D9EDB" w:rsidR="0057267D" w:rsidRPr="0057267D" w:rsidRDefault="293334A1" w:rsidP="00721E45">
            <w:pPr>
              <w:pStyle w:val="GaAns"/>
              <w:jc w:val="center"/>
              <w:rPr>
                <w:b/>
                <w:bCs/>
              </w:rPr>
            </w:pPr>
            <w:r w:rsidRPr="5CCA6ECA">
              <w:rPr>
                <w:b/>
                <w:bCs/>
              </w:rPr>
              <w:t>$</w:t>
            </w:r>
            <w:r w:rsidR="6272D743" w:rsidRPr="5CCA6ECA">
              <w:rPr>
                <w:b/>
                <w:bCs/>
              </w:rPr>
              <w:t>5</w:t>
            </w:r>
            <w:r w:rsidRPr="5CCA6ECA">
              <w:rPr>
                <w:b/>
                <w:bCs/>
              </w:rPr>
              <w:t>,</w:t>
            </w:r>
            <w:r w:rsidR="6272D743" w:rsidRPr="5CCA6ECA">
              <w:rPr>
                <w:b/>
                <w:bCs/>
              </w:rPr>
              <w:t>076</w:t>
            </w:r>
          </w:p>
        </w:tc>
        <w:tc>
          <w:tcPr>
            <w:tcW w:w="825" w:type="dxa"/>
            <w:shd w:val="clear" w:color="auto" w:fill="auto"/>
            <w:noWrap/>
            <w:hideMark/>
          </w:tcPr>
          <w:p w14:paraId="27318DD4" w14:textId="2530F804" w:rsidR="0057267D" w:rsidRPr="0057267D" w:rsidRDefault="293334A1" w:rsidP="00721E45">
            <w:pPr>
              <w:pStyle w:val="GaAns"/>
              <w:jc w:val="center"/>
              <w:rPr>
                <w:b/>
                <w:bCs/>
              </w:rPr>
            </w:pPr>
            <w:r w:rsidRPr="5CCA6ECA">
              <w:rPr>
                <w:b/>
                <w:bCs/>
              </w:rPr>
              <w:t>$4,</w:t>
            </w:r>
            <w:r w:rsidR="6272D743" w:rsidRPr="5CCA6ECA">
              <w:rPr>
                <w:b/>
                <w:bCs/>
              </w:rPr>
              <w:t>565</w:t>
            </w:r>
          </w:p>
        </w:tc>
        <w:tc>
          <w:tcPr>
            <w:tcW w:w="840" w:type="dxa"/>
            <w:shd w:val="clear" w:color="auto" w:fill="auto"/>
            <w:noWrap/>
            <w:hideMark/>
          </w:tcPr>
          <w:p w14:paraId="331AC413" w14:textId="0C147CD0" w:rsidR="0057267D" w:rsidRPr="0057267D" w:rsidRDefault="293334A1" w:rsidP="00721E45">
            <w:pPr>
              <w:pStyle w:val="GaAns"/>
              <w:jc w:val="center"/>
              <w:rPr>
                <w:b/>
                <w:bCs/>
              </w:rPr>
            </w:pPr>
            <w:r w:rsidRPr="5CCA6ECA">
              <w:rPr>
                <w:b/>
                <w:bCs/>
              </w:rPr>
              <w:t>$3,</w:t>
            </w:r>
            <w:r w:rsidR="6272D743" w:rsidRPr="5CCA6ECA">
              <w:rPr>
                <w:b/>
                <w:bCs/>
              </w:rPr>
              <w:t>349</w:t>
            </w:r>
          </w:p>
        </w:tc>
        <w:tc>
          <w:tcPr>
            <w:tcW w:w="840" w:type="dxa"/>
            <w:shd w:val="clear" w:color="auto" w:fill="auto"/>
            <w:noWrap/>
            <w:hideMark/>
          </w:tcPr>
          <w:p w14:paraId="24E0E060" w14:textId="6234CF10" w:rsidR="0057267D" w:rsidRPr="0057267D" w:rsidRDefault="293334A1" w:rsidP="00721E45">
            <w:pPr>
              <w:pStyle w:val="GaAns"/>
              <w:jc w:val="center"/>
              <w:rPr>
                <w:b/>
                <w:bCs/>
              </w:rPr>
            </w:pPr>
            <w:r w:rsidRPr="5CCA6ECA">
              <w:rPr>
                <w:b/>
                <w:bCs/>
              </w:rPr>
              <w:t>$1,</w:t>
            </w:r>
            <w:r w:rsidR="6272D743" w:rsidRPr="5CCA6ECA">
              <w:rPr>
                <w:b/>
                <w:bCs/>
              </w:rPr>
              <w:t>953</w:t>
            </w:r>
          </w:p>
        </w:tc>
        <w:tc>
          <w:tcPr>
            <w:tcW w:w="855" w:type="dxa"/>
            <w:shd w:val="clear" w:color="auto" w:fill="auto"/>
            <w:noWrap/>
            <w:hideMark/>
          </w:tcPr>
          <w:p w14:paraId="620C83B0" w14:textId="724BE5C7" w:rsidR="0057267D" w:rsidRPr="0057267D" w:rsidRDefault="293334A1" w:rsidP="00721E45">
            <w:pPr>
              <w:pStyle w:val="GaAns"/>
              <w:jc w:val="center"/>
              <w:rPr>
                <w:b/>
                <w:bCs/>
              </w:rPr>
            </w:pPr>
            <w:r w:rsidRPr="5CCA6ECA">
              <w:rPr>
                <w:b/>
                <w:bCs/>
              </w:rPr>
              <w:t>$1,</w:t>
            </w:r>
            <w:r w:rsidR="6272D743" w:rsidRPr="5CCA6ECA">
              <w:rPr>
                <w:b/>
                <w:bCs/>
              </w:rPr>
              <w:t>694</w:t>
            </w:r>
          </w:p>
        </w:tc>
        <w:tc>
          <w:tcPr>
            <w:tcW w:w="825" w:type="dxa"/>
            <w:shd w:val="clear" w:color="auto" w:fill="auto"/>
            <w:noWrap/>
            <w:hideMark/>
          </w:tcPr>
          <w:p w14:paraId="1524D55A" w14:textId="10657220" w:rsidR="0057267D" w:rsidRPr="0057267D" w:rsidRDefault="293334A1" w:rsidP="00721E45">
            <w:pPr>
              <w:pStyle w:val="GaAns"/>
              <w:jc w:val="center"/>
              <w:rPr>
                <w:b/>
                <w:bCs/>
              </w:rPr>
            </w:pPr>
            <w:r w:rsidRPr="5CCA6ECA">
              <w:rPr>
                <w:b/>
                <w:bCs/>
              </w:rPr>
              <w:t>$</w:t>
            </w:r>
            <w:r w:rsidR="6272D743" w:rsidRPr="5CCA6ECA">
              <w:rPr>
                <w:b/>
                <w:bCs/>
              </w:rPr>
              <w:t>830</w:t>
            </w:r>
          </w:p>
        </w:tc>
      </w:tr>
      <w:tr w:rsidR="0057267D" w:rsidRPr="0057267D" w14:paraId="7DB27949" w14:textId="77777777" w:rsidTr="00721E45">
        <w:trPr>
          <w:trHeight w:val="312"/>
        </w:trPr>
        <w:tc>
          <w:tcPr>
            <w:tcW w:w="1815" w:type="dxa"/>
            <w:vMerge w:val="restart"/>
            <w:shd w:val="clear" w:color="auto" w:fill="auto"/>
            <w:noWrap/>
            <w:vAlign w:val="center"/>
            <w:hideMark/>
          </w:tcPr>
          <w:p w14:paraId="0C1F9F74" w14:textId="77777777" w:rsidR="0057267D" w:rsidRPr="0057267D" w:rsidRDefault="0057267D" w:rsidP="0057267D">
            <w:pPr>
              <w:pStyle w:val="GaAns"/>
              <w:rPr>
                <w:b/>
                <w:bCs/>
              </w:rPr>
            </w:pPr>
            <w:r w:rsidRPr="0057267D">
              <w:rPr>
                <w:b/>
                <w:bCs/>
              </w:rPr>
              <w:t>Double Circuit</w:t>
            </w:r>
          </w:p>
        </w:tc>
        <w:tc>
          <w:tcPr>
            <w:tcW w:w="1605" w:type="dxa"/>
            <w:shd w:val="clear" w:color="auto" w:fill="auto"/>
            <w:noWrap/>
            <w:vAlign w:val="bottom"/>
            <w:hideMark/>
          </w:tcPr>
          <w:p w14:paraId="3434E3DB" w14:textId="77777777" w:rsidR="0057267D" w:rsidRPr="0057267D" w:rsidRDefault="0057267D" w:rsidP="0057267D">
            <w:pPr>
              <w:pStyle w:val="GaAns"/>
            </w:pPr>
            <w:r w:rsidRPr="0057267D">
              <w:t>$M/mile</w:t>
            </w:r>
          </w:p>
        </w:tc>
        <w:tc>
          <w:tcPr>
            <w:tcW w:w="1005" w:type="dxa"/>
            <w:shd w:val="clear" w:color="auto" w:fill="auto"/>
            <w:noWrap/>
            <w:hideMark/>
          </w:tcPr>
          <w:p w14:paraId="6C1623AB" w14:textId="095C10EA" w:rsidR="0057267D" w:rsidRPr="0057267D" w:rsidRDefault="293334A1" w:rsidP="00721E45">
            <w:pPr>
              <w:pStyle w:val="GaAns"/>
              <w:jc w:val="center"/>
            </w:pPr>
            <w:r>
              <w:t>2.</w:t>
            </w:r>
            <w:r w:rsidR="6272D743">
              <w:t>5</w:t>
            </w:r>
          </w:p>
        </w:tc>
        <w:tc>
          <w:tcPr>
            <w:tcW w:w="855" w:type="dxa"/>
            <w:shd w:val="clear" w:color="auto" w:fill="auto"/>
            <w:noWrap/>
            <w:hideMark/>
          </w:tcPr>
          <w:p w14:paraId="28635288" w14:textId="52C78462" w:rsidR="0057267D" w:rsidRPr="0057267D" w:rsidRDefault="293334A1" w:rsidP="00721E45">
            <w:pPr>
              <w:pStyle w:val="GaAns"/>
              <w:jc w:val="center"/>
            </w:pPr>
            <w:r>
              <w:t>2.</w:t>
            </w:r>
            <w:r w:rsidR="6272D743">
              <w:t>8</w:t>
            </w:r>
          </w:p>
        </w:tc>
        <w:tc>
          <w:tcPr>
            <w:tcW w:w="825" w:type="dxa"/>
            <w:shd w:val="clear" w:color="auto" w:fill="auto"/>
            <w:noWrap/>
            <w:hideMark/>
          </w:tcPr>
          <w:p w14:paraId="0561E52E" w14:textId="68548B03" w:rsidR="0057267D" w:rsidRPr="0057267D" w:rsidRDefault="293334A1" w:rsidP="00721E45">
            <w:pPr>
              <w:pStyle w:val="GaAns"/>
              <w:jc w:val="center"/>
            </w:pPr>
            <w:r>
              <w:t>2.</w:t>
            </w:r>
            <w:r w:rsidR="6272D743">
              <w:t>9</w:t>
            </w:r>
          </w:p>
        </w:tc>
        <w:tc>
          <w:tcPr>
            <w:tcW w:w="825" w:type="dxa"/>
            <w:shd w:val="clear" w:color="auto" w:fill="auto"/>
            <w:noWrap/>
            <w:hideMark/>
          </w:tcPr>
          <w:p w14:paraId="17A1CAEA" w14:textId="22F620B4" w:rsidR="0057267D" w:rsidRPr="0057267D" w:rsidRDefault="6272D743" w:rsidP="00721E45">
            <w:pPr>
              <w:pStyle w:val="GaAns"/>
              <w:jc w:val="center"/>
            </w:pPr>
            <w:r>
              <w:t>3</w:t>
            </w:r>
          </w:p>
        </w:tc>
        <w:tc>
          <w:tcPr>
            <w:tcW w:w="840" w:type="dxa"/>
            <w:shd w:val="clear" w:color="auto" w:fill="auto"/>
            <w:noWrap/>
            <w:hideMark/>
          </w:tcPr>
          <w:p w14:paraId="34F22523" w14:textId="28B34C1A" w:rsidR="0057267D" w:rsidRPr="0057267D" w:rsidRDefault="293334A1" w:rsidP="00721E45">
            <w:pPr>
              <w:pStyle w:val="GaAns"/>
              <w:jc w:val="center"/>
            </w:pPr>
            <w:r>
              <w:t>3.</w:t>
            </w:r>
            <w:r w:rsidR="6272D743">
              <w:t>6</w:t>
            </w:r>
          </w:p>
        </w:tc>
        <w:tc>
          <w:tcPr>
            <w:tcW w:w="840" w:type="dxa"/>
            <w:shd w:val="clear" w:color="auto" w:fill="auto"/>
            <w:noWrap/>
            <w:hideMark/>
          </w:tcPr>
          <w:p w14:paraId="4887770C" w14:textId="4ADA9245" w:rsidR="0057267D" w:rsidRPr="0057267D" w:rsidRDefault="293334A1" w:rsidP="00721E45">
            <w:pPr>
              <w:pStyle w:val="GaAns"/>
              <w:jc w:val="center"/>
            </w:pPr>
            <w:r>
              <w:t>5.</w:t>
            </w:r>
            <w:r w:rsidR="6272D743">
              <w:t>8</w:t>
            </w:r>
          </w:p>
        </w:tc>
        <w:tc>
          <w:tcPr>
            <w:tcW w:w="855" w:type="dxa"/>
            <w:shd w:val="clear" w:color="auto" w:fill="auto"/>
            <w:noWrap/>
            <w:hideMark/>
          </w:tcPr>
          <w:p w14:paraId="0FEEDE34" w14:textId="77777777" w:rsidR="0057267D" w:rsidRPr="0057267D" w:rsidRDefault="293334A1" w:rsidP="00721E45">
            <w:pPr>
              <w:pStyle w:val="GaAns"/>
              <w:jc w:val="center"/>
            </w:pPr>
            <w:r>
              <w:t>NA</w:t>
            </w:r>
          </w:p>
        </w:tc>
        <w:tc>
          <w:tcPr>
            <w:tcW w:w="825" w:type="dxa"/>
            <w:shd w:val="clear" w:color="auto" w:fill="auto"/>
            <w:noWrap/>
            <w:hideMark/>
          </w:tcPr>
          <w:p w14:paraId="59CF385F" w14:textId="77777777" w:rsidR="0057267D" w:rsidRPr="0057267D" w:rsidRDefault="293334A1" w:rsidP="00721E45">
            <w:pPr>
              <w:pStyle w:val="GaAns"/>
              <w:jc w:val="center"/>
            </w:pPr>
            <w:r>
              <w:t>NA</w:t>
            </w:r>
          </w:p>
        </w:tc>
      </w:tr>
      <w:tr w:rsidR="0057267D" w:rsidRPr="0057267D" w14:paraId="4E80B4C1" w14:textId="77777777" w:rsidTr="00721E45">
        <w:trPr>
          <w:trHeight w:val="312"/>
        </w:trPr>
        <w:tc>
          <w:tcPr>
            <w:tcW w:w="1815" w:type="dxa"/>
            <w:vMerge/>
            <w:vAlign w:val="center"/>
            <w:hideMark/>
          </w:tcPr>
          <w:p w14:paraId="42E3F17C" w14:textId="77777777" w:rsidR="0057267D" w:rsidRPr="0057267D" w:rsidRDefault="0057267D" w:rsidP="0057267D">
            <w:pPr>
              <w:pStyle w:val="GaAns"/>
            </w:pPr>
          </w:p>
        </w:tc>
        <w:tc>
          <w:tcPr>
            <w:tcW w:w="1605" w:type="dxa"/>
            <w:shd w:val="clear" w:color="auto" w:fill="auto"/>
            <w:noWrap/>
            <w:vAlign w:val="bottom"/>
            <w:hideMark/>
          </w:tcPr>
          <w:p w14:paraId="3DB40793" w14:textId="77777777" w:rsidR="0057267D" w:rsidRPr="0057267D" w:rsidRDefault="0057267D" w:rsidP="0057267D">
            <w:pPr>
              <w:pStyle w:val="GaAns"/>
            </w:pPr>
            <w:r w:rsidRPr="0057267D">
              <w:t>MW or MVA</w:t>
            </w:r>
          </w:p>
        </w:tc>
        <w:tc>
          <w:tcPr>
            <w:tcW w:w="1005" w:type="dxa"/>
            <w:shd w:val="clear" w:color="auto" w:fill="auto"/>
            <w:noWrap/>
            <w:hideMark/>
          </w:tcPr>
          <w:p w14:paraId="3E9370F6" w14:textId="77777777" w:rsidR="0057267D" w:rsidRPr="0057267D" w:rsidRDefault="293334A1" w:rsidP="00721E45">
            <w:pPr>
              <w:pStyle w:val="GaAns"/>
              <w:jc w:val="center"/>
            </w:pPr>
            <w:r>
              <w:t>280</w:t>
            </w:r>
          </w:p>
        </w:tc>
        <w:tc>
          <w:tcPr>
            <w:tcW w:w="855" w:type="dxa"/>
            <w:shd w:val="clear" w:color="auto" w:fill="auto"/>
            <w:noWrap/>
            <w:hideMark/>
          </w:tcPr>
          <w:p w14:paraId="3961700C" w14:textId="77777777" w:rsidR="0057267D" w:rsidRPr="0057267D" w:rsidRDefault="293334A1" w:rsidP="00721E45">
            <w:pPr>
              <w:pStyle w:val="GaAns"/>
              <w:jc w:val="center"/>
            </w:pPr>
            <w:r>
              <w:t>658</w:t>
            </w:r>
          </w:p>
        </w:tc>
        <w:tc>
          <w:tcPr>
            <w:tcW w:w="825" w:type="dxa"/>
            <w:shd w:val="clear" w:color="auto" w:fill="auto"/>
            <w:noWrap/>
            <w:hideMark/>
          </w:tcPr>
          <w:p w14:paraId="6A145EAA" w14:textId="77777777" w:rsidR="0057267D" w:rsidRPr="0057267D" w:rsidRDefault="293334A1" w:rsidP="00721E45">
            <w:pPr>
              <w:pStyle w:val="GaAns"/>
              <w:jc w:val="center"/>
            </w:pPr>
            <w:r>
              <w:t>788</w:t>
            </w:r>
          </w:p>
        </w:tc>
        <w:tc>
          <w:tcPr>
            <w:tcW w:w="825" w:type="dxa"/>
            <w:shd w:val="clear" w:color="auto" w:fill="auto"/>
            <w:noWrap/>
            <w:hideMark/>
          </w:tcPr>
          <w:p w14:paraId="2A808596" w14:textId="77777777" w:rsidR="0057267D" w:rsidRPr="0057267D" w:rsidRDefault="293334A1" w:rsidP="00721E45">
            <w:pPr>
              <w:pStyle w:val="GaAns"/>
              <w:jc w:val="center"/>
            </w:pPr>
            <w:r>
              <w:t>920</w:t>
            </w:r>
          </w:p>
        </w:tc>
        <w:tc>
          <w:tcPr>
            <w:tcW w:w="840" w:type="dxa"/>
            <w:shd w:val="clear" w:color="auto" w:fill="auto"/>
            <w:noWrap/>
            <w:hideMark/>
          </w:tcPr>
          <w:p w14:paraId="1F919F90" w14:textId="77777777" w:rsidR="0057267D" w:rsidRPr="0057267D" w:rsidRDefault="293334A1" w:rsidP="00721E45">
            <w:pPr>
              <w:pStyle w:val="GaAns"/>
              <w:jc w:val="center"/>
            </w:pPr>
            <w:r>
              <w:t>1314</w:t>
            </w:r>
          </w:p>
        </w:tc>
        <w:tc>
          <w:tcPr>
            <w:tcW w:w="840" w:type="dxa"/>
            <w:shd w:val="clear" w:color="auto" w:fill="auto"/>
            <w:noWrap/>
            <w:hideMark/>
          </w:tcPr>
          <w:p w14:paraId="30A32983" w14:textId="77777777" w:rsidR="0057267D" w:rsidRPr="0057267D" w:rsidRDefault="293334A1" w:rsidP="00721E45">
            <w:pPr>
              <w:pStyle w:val="GaAns"/>
              <w:jc w:val="center"/>
            </w:pPr>
            <w:r>
              <w:t>3584</w:t>
            </w:r>
          </w:p>
        </w:tc>
        <w:tc>
          <w:tcPr>
            <w:tcW w:w="855" w:type="dxa"/>
            <w:shd w:val="clear" w:color="auto" w:fill="auto"/>
            <w:noWrap/>
            <w:hideMark/>
          </w:tcPr>
          <w:p w14:paraId="7E7C4407" w14:textId="77777777" w:rsidR="0057267D" w:rsidRPr="0057267D" w:rsidRDefault="293334A1" w:rsidP="00721E45">
            <w:pPr>
              <w:pStyle w:val="GaAns"/>
              <w:jc w:val="center"/>
            </w:pPr>
            <w:r>
              <w:t>NA</w:t>
            </w:r>
          </w:p>
        </w:tc>
        <w:tc>
          <w:tcPr>
            <w:tcW w:w="825" w:type="dxa"/>
            <w:shd w:val="clear" w:color="auto" w:fill="auto"/>
            <w:noWrap/>
            <w:hideMark/>
          </w:tcPr>
          <w:p w14:paraId="004ABEA7" w14:textId="77777777" w:rsidR="0057267D" w:rsidRPr="0057267D" w:rsidRDefault="293334A1" w:rsidP="00721E45">
            <w:pPr>
              <w:pStyle w:val="GaAns"/>
              <w:jc w:val="center"/>
            </w:pPr>
            <w:r>
              <w:t>NA</w:t>
            </w:r>
          </w:p>
        </w:tc>
      </w:tr>
      <w:tr w:rsidR="0057267D" w:rsidRPr="0057267D" w14:paraId="735C1AC0" w14:textId="77777777" w:rsidTr="00721E45">
        <w:trPr>
          <w:trHeight w:val="312"/>
        </w:trPr>
        <w:tc>
          <w:tcPr>
            <w:tcW w:w="1815" w:type="dxa"/>
            <w:vMerge/>
            <w:vAlign w:val="center"/>
            <w:hideMark/>
          </w:tcPr>
          <w:p w14:paraId="3AA330C6" w14:textId="77777777" w:rsidR="0057267D" w:rsidRPr="0057267D" w:rsidRDefault="0057267D" w:rsidP="0057267D">
            <w:pPr>
              <w:pStyle w:val="GaAns"/>
            </w:pPr>
          </w:p>
        </w:tc>
        <w:tc>
          <w:tcPr>
            <w:tcW w:w="1605" w:type="dxa"/>
            <w:shd w:val="clear" w:color="auto" w:fill="auto"/>
            <w:noWrap/>
            <w:vAlign w:val="bottom"/>
            <w:hideMark/>
          </w:tcPr>
          <w:p w14:paraId="2192E9EF" w14:textId="77777777" w:rsidR="0057267D" w:rsidRPr="0057267D" w:rsidRDefault="0057267D" w:rsidP="0057267D">
            <w:pPr>
              <w:pStyle w:val="GaAns"/>
            </w:pPr>
            <w:r w:rsidRPr="0057267D">
              <w:t>$/MW-mile</w:t>
            </w:r>
          </w:p>
        </w:tc>
        <w:tc>
          <w:tcPr>
            <w:tcW w:w="1005" w:type="dxa"/>
            <w:shd w:val="clear" w:color="auto" w:fill="auto"/>
            <w:noWrap/>
            <w:hideMark/>
          </w:tcPr>
          <w:p w14:paraId="1C252CAD" w14:textId="69DBE442" w:rsidR="0057267D" w:rsidRPr="0057267D" w:rsidRDefault="293334A1" w:rsidP="00721E45">
            <w:pPr>
              <w:pStyle w:val="GaAns"/>
              <w:jc w:val="center"/>
              <w:rPr>
                <w:b/>
                <w:bCs/>
              </w:rPr>
            </w:pPr>
            <w:r w:rsidRPr="5CCA6ECA">
              <w:rPr>
                <w:b/>
                <w:bCs/>
              </w:rPr>
              <w:t>$8,</w:t>
            </w:r>
            <w:r w:rsidR="6272D743" w:rsidRPr="5CCA6ECA">
              <w:rPr>
                <w:b/>
                <w:bCs/>
              </w:rPr>
              <w:t>929</w:t>
            </w:r>
          </w:p>
        </w:tc>
        <w:tc>
          <w:tcPr>
            <w:tcW w:w="855" w:type="dxa"/>
            <w:shd w:val="clear" w:color="auto" w:fill="auto"/>
            <w:noWrap/>
            <w:hideMark/>
          </w:tcPr>
          <w:p w14:paraId="592F9AD3" w14:textId="02C9E032" w:rsidR="0057267D" w:rsidRPr="0057267D" w:rsidRDefault="293334A1" w:rsidP="00721E45">
            <w:pPr>
              <w:pStyle w:val="GaAns"/>
              <w:jc w:val="center"/>
              <w:rPr>
                <w:b/>
                <w:bCs/>
              </w:rPr>
            </w:pPr>
            <w:r w:rsidRPr="5CCA6ECA">
              <w:rPr>
                <w:b/>
                <w:bCs/>
              </w:rPr>
              <w:t>$</w:t>
            </w:r>
            <w:r w:rsidR="6272D743" w:rsidRPr="5CCA6ECA">
              <w:rPr>
                <w:b/>
                <w:bCs/>
              </w:rPr>
              <w:t>4,255</w:t>
            </w:r>
          </w:p>
        </w:tc>
        <w:tc>
          <w:tcPr>
            <w:tcW w:w="825" w:type="dxa"/>
            <w:shd w:val="clear" w:color="auto" w:fill="auto"/>
            <w:noWrap/>
            <w:hideMark/>
          </w:tcPr>
          <w:p w14:paraId="1253706A" w14:textId="7AE1ABC0" w:rsidR="0057267D" w:rsidRPr="0057267D" w:rsidRDefault="293334A1" w:rsidP="00721E45">
            <w:pPr>
              <w:pStyle w:val="GaAns"/>
              <w:jc w:val="center"/>
              <w:rPr>
                <w:b/>
                <w:bCs/>
              </w:rPr>
            </w:pPr>
            <w:r w:rsidRPr="5CCA6ECA">
              <w:rPr>
                <w:b/>
                <w:bCs/>
              </w:rPr>
              <w:t>$3,</w:t>
            </w:r>
            <w:r w:rsidR="6272D743" w:rsidRPr="5CCA6ECA">
              <w:rPr>
                <w:b/>
                <w:bCs/>
              </w:rPr>
              <w:t>680</w:t>
            </w:r>
          </w:p>
        </w:tc>
        <w:tc>
          <w:tcPr>
            <w:tcW w:w="825" w:type="dxa"/>
            <w:shd w:val="clear" w:color="auto" w:fill="auto"/>
            <w:noWrap/>
            <w:hideMark/>
          </w:tcPr>
          <w:p w14:paraId="260C4B3B" w14:textId="0D7C4F5A" w:rsidR="0057267D" w:rsidRPr="0057267D" w:rsidRDefault="293334A1" w:rsidP="00721E45">
            <w:pPr>
              <w:pStyle w:val="GaAns"/>
              <w:jc w:val="center"/>
              <w:rPr>
                <w:b/>
                <w:bCs/>
              </w:rPr>
            </w:pPr>
            <w:r w:rsidRPr="5CCA6ECA">
              <w:rPr>
                <w:b/>
                <w:bCs/>
              </w:rPr>
              <w:t>$</w:t>
            </w:r>
            <w:r w:rsidR="6272D743" w:rsidRPr="5CCA6ECA">
              <w:rPr>
                <w:b/>
                <w:bCs/>
              </w:rPr>
              <w:t>3,261</w:t>
            </w:r>
          </w:p>
        </w:tc>
        <w:tc>
          <w:tcPr>
            <w:tcW w:w="840" w:type="dxa"/>
            <w:shd w:val="clear" w:color="auto" w:fill="auto"/>
            <w:noWrap/>
            <w:hideMark/>
          </w:tcPr>
          <w:p w14:paraId="40AEDD2B" w14:textId="6C58650C" w:rsidR="0057267D" w:rsidRPr="0057267D" w:rsidRDefault="293334A1" w:rsidP="00721E45">
            <w:pPr>
              <w:pStyle w:val="GaAns"/>
              <w:jc w:val="center"/>
              <w:rPr>
                <w:b/>
                <w:bCs/>
              </w:rPr>
            </w:pPr>
            <w:r w:rsidRPr="5CCA6ECA">
              <w:rPr>
                <w:b/>
                <w:bCs/>
              </w:rPr>
              <w:t>$2,</w:t>
            </w:r>
            <w:r w:rsidR="6272D743" w:rsidRPr="5CCA6ECA">
              <w:rPr>
                <w:b/>
                <w:bCs/>
              </w:rPr>
              <w:t>740</w:t>
            </w:r>
          </w:p>
        </w:tc>
        <w:tc>
          <w:tcPr>
            <w:tcW w:w="840" w:type="dxa"/>
            <w:shd w:val="clear" w:color="auto" w:fill="auto"/>
            <w:noWrap/>
            <w:hideMark/>
          </w:tcPr>
          <w:p w14:paraId="0F678015" w14:textId="29614C6C" w:rsidR="0057267D" w:rsidRPr="0057267D" w:rsidRDefault="293334A1" w:rsidP="00721E45">
            <w:pPr>
              <w:pStyle w:val="GaAns"/>
              <w:jc w:val="center"/>
              <w:rPr>
                <w:b/>
                <w:bCs/>
              </w:rPr>
            </w:pPr>
            <w:r w:rsidRPr="5CCA6ECA">
              <w:rPr>
                <w:b/>
                <w:bCs/>
              </w:rPr>
              <w:t>$1,</w:t>
            </w:r>
            <w:r w:rsidR="6272D743" w:rsidRPr="5CCA6ECA">
              <w:rPr>
                <w:b/>
                <w:bCs/>
              </w:rPr>
              <w:t>618</w:t>
            </w:r>
          </w:p>
        </w:tc>
        <w:tc>
          <w:tcPr>
            <w:tcW w:w="855" w:type="dxa"/>
            <w:shd w:val="clear" w:color="auto" w:fill="auto"/>
            <w:noWrap/>
            <w:hideMark/>
          </w:tcPr>
          <w:p w14:paraId="10A967B8" w14:textId="77777777" w:rsidR="0057267D" w:rsidRPr="0057267D" w:rsidRDefault="293334A1" w:rsidP="00721E45">
            <w:pPr>
              <w:pStyle w:val="GaAns"/>
              <w:jc w:val="center"/>
              <w:rPr>
                <w:b/>
                <w:bCs/>
              </w:rPr>
            </w:pPr>
            <w:r w:rsidRPr="5CCA6ECA">
              <w:rPr>
                <w:b/>
                <w:bCs/>
              </w:rPr>
              <w:t>NA</w:t>
            </w:r>
          </w:p>
        </w:tc>
        <w:tc>
          <w:tcPr>
            <w:tcW w:w="825" w:type="dxa"/>
            <w:shd w:val="clear" w:color="auto" w:fill="auto"/>
            <w:noWrap/>
            <w:hideMark/>
          </w:tcPr>
          <w:p w14:paraId="4DFCB943" w14:textId="77777777" w:rsidR="0057267D" w:rsidRPr="0057267D" w:rsidRDefault="293334A1" w:rsidP="00721E45">
            <w:pPr>
              <w:pStyle w:val="GaAns"/>
              <w:jc w:val="center"/>
              <w:rPr>
                <w:b/>
                <w:bCs/>
              </w:rPr>
            </w:pPr>
            <w:r w:rsidRPr="5CCA6ECA">
              <w:rPr>
                <w:b/>
                <w:bCs/>
              </w:rPr>
              <w:t>NA</w:t>
            </w:r>
          </w:p>
        </w:tc>
      </w:tr>
    </w:tbl>
    <w:p w14:paraId="2F7B28AB" w14:textId="77777777" w:rsidR="0057267D" w:rsidRPr="0057267D" w:rsidRDefault="0057267D" w:rsidP="004B4C5C">
      <w:pPr>
        <w:pStyle w:val="GaAns"/>
        <w:ind w:left="0" w:firstLine="0"/>
      </w:pPr>
    </w:p>
    <w:p w14:paraId="2A218FA6" w14:textId="2ACB3EBA" w:rsidR="004A5762" w:rsidRPr="0057267D" w:rsidRDefault="00772DAA" w:rsidP="004A5762">
      <w:pPr>
        <w:pStyle w:val="GaAns"/>
        <w:ind w:firstLine="0"/>
      </w:pPr>
      <w:r>
        <w:t xml:space="preserve">The cost of the Company’s proposed transmission upgrades is quite high. </w:t>
      </w:r>
      <w:r w:rsidR="004A5762" w:rsidRPr="0057267D">
        <w:t xml:space="preserve">The cost of the proposed upgrades to accommodate the Yates CTs </w:t>
      </w:r>
      <w:r w:rsidR="00BE258A">
        <w:t>is</w:t>
      </w:r>
      <w:r w:rsidR="004A5762" w:rsidRPr="0057267D">
        <w:t xml:space="preserve"> greater than the claimed </w:t>
      </w:r>
      <w:r w:rsidR="004A5762" w:rsidRPr="003269A2">
        <w:t xml:space="preserve">$60 million </w:t>
      </w:r>
      <w:r w:rsidR="00C9586A" w:rsidRPr="00C9586A">
        <w:rPr>
          <w:highlight w:val="black"/>
        </w:rPr>
        <w:t>************************************************************************</w:t>
      </w:r>
      <w:r w:rsidR="004A5762" w:rsidRPr="00C9586A">
        <w:rPr>
          <w:highlight w:val="black"/>
        </w:rPr>
        <w:t xml:space="preserve"> </w:t>
      </w:r>
      <w:r w:rsidR="00C9586A" w:rsidRPr="00C9586A">
        <w:rPr>
          <w:highlight w:val="black"/>
        </w:rPr>
        <w:t>************************************************************************</w:t>
      </w:r>
      <w:r w:rsidR="004A5762" w:rsidRPr="00C9586A">
        <w:rPr>
          <w:highlight w:val="black"/>
        </w:rPr>
        <w:t xml:space="preserve"> </w:t>
      </w:r>
      <w:r w:rsidR="00C9586A" w:rsidRPr="00C9586A">
        <w:rPr>
          <w:highlight w:val="black"/>
        </w:rPr>
        <w:t>************************</w:t>
      </w:r>
      <w:r w:rsidR="004A5762" w:rsidRPr="00C9586A">
        <w:rPr>
          <w:highlight w:val="black"/>
        </w:rPr>
        <w:t xml:space="preserve">. </w:t>
      </w:r>
      <w:r w:rsidR="004A5762" w:rsidRPr="00D02B64">
        <w:t xml:space="preserve">The $60 million </w:t>
      </w:r>
      <w:r w:rsidR="00C9586A" w:rsidRPr="00C9586A">
        <w:rPr>
          <w:highlight w:val="black"/>
        </w:rPr>
        <w:t>********************************</w:t>
      </w:r>
      <w:r w:rsidR="004A5762" w:rsidRPr="00C9586A">
        <w:rPr>
          <w:highlight w:val="black"/>
        </w:rPr>
        <w:t xml:space="preserve"> </w:t>
      </w:r>
      <w:r w:rsidR="00C9586A" w:rsidRPr="00C9586A">
        <w:rPr>
          <w:highlight w:val="black"/>
        </w:rPr>
        <w:t>***********************************************</w:t>
      </w:r>
      <w:r w:rsidR="004A5762" w:rsidRPr="00C9586A">
        <w:rPr>
          <w:highlight w:val="black"/>
        </w:rPr>
        <w:t xml:space="preserve">. </w:t>
      </w:r>
      <w:r w:rsidR="004A5762" w:rsidRPr="003269A2">
        <w:t>The $60 million</w:t>
      </w:r>
      <w:r w:rsidR="004A5762" w:rsidRPr="00C9586A">
        <w:rPr>
          <w:highlight w:val="black"/>
        </w:rPr>
        <w:t xml:space="preserve"> </w:t>
      </w:r>
      <w:r w:rsidR="00C9586A" w:rsidRPr="00C9586A">
        <w:rPr>
          <w:highlight w:val="black"/>
        </w:rPr>
        <w:t>*********</w:t>
      </w:r>
      <w:r w:rsidR="004A5762" w:rsidRPr="00C9586A">
        <w:rPr>
          <w:highlight w:val="black"/>
        </w:rPr>
        <w:t xml:space="preserve"> </w:t>
      </w:r>
      <w:r w:rsidR="00C9586A" w:rsidRPr="00C9586A">
        <w:rPr>
          <w:highlight w:val="black"/>
        </w:rPr>
        <w:t>************************************************************************</w:t>
      </w:r>
      <w:r w:rsidR="004A5762" w:rsidRPr="00C9586A">
        <w:rPr>
          <w:highlight w:val="black"/>
        </w:rPr>
        <w:t xml:space="preserve"> </w:t>
      </w:r>
      <w:r w:rsidR="00C9586A" w:rsidRPr="00C9586A">
        <w:rPr>
          <w:highlight w:val="black"/>
        </w:rPr>
        <w:t>************************************************************************</w:t>
      </w:r>
      <w:r w:rsidR="004A5762" w:rsidRPr="00C9586A">
        <w:rPr>
          <w:highlight w:val="black"/>
        </w:rPr>
        <w:t xml:space="preserve"> </w:t>
      </w:r>
      <w:r w:rsidR="00C9586A" w:rsidRPr="00C9586A">
        <w:rPr>
          <w:highlight w:val="black"/>
        </w:rPr>
        <w:t>************************************************************************************************************************************************</w:t>
      </w:r>
      <w:r w:rsidR="00910664" w:rsidRPr="00C9586A">
        <w:rPr>
          <w:highlight w:val="black"/>
        </w:rPr>
        <w:t xml:space="preserve"> </w:t>
      </w:r>
      <w:r w:rsidR="00C9586A" w:rsidRPr="00C9586A">
        <w:rPr>
          <w:highlight w:val="black"/>
        </w:rPr>
        <w:t>************************************************************************</w:t>
      </w:r>
      <w:r w:rsidR="004255CB" w:rsidRPr="00C9586A">
        <w:rPr>
          <w:highlight w:val="black"/>
        </w:rPr>
        <w:t xml:space="preserve"> </w:t>
      </w:r>
      <w:r w:rsidR="00C9586A" w:rsidRPr="00C9586A">
        <w:rPr>
          <w:highlight w:val="black"/>
        </w:rPr>
        <w:t>************************.</w:t>
      </w:r>
      <w:r w:rsidR="00F0286E">
        <w:t xml:space="preserve"> </w:t>
      </w:r>
      <w:r w:rsidR="006B31F9">
        <w:t xml:space="preserve">This is </w:t>
      </w:r>
      <w:r w:rsidR="00BF63F6">
        <w:t>several times greater</w:t>
      </w:r>
      <w:r w:rsidR="006B31F9">
        <w:t xml:space="preserve"> than typical interconnection </w:t>
      </w:r>
      <w:r w:rsidR="00D11277">
        <w:t xml:space="preserve">upgrade </w:t>
      </w:r>
      <w:r w:rsidR="006B31F9">
        <w:t>cost</w:t>
      </w:r>
      <w:r w:rsidR="00A346E5">
        <w:t>s</w:t>
      </w:r>
      <w:r w:rsidR="006B31F9">
        <w:t xml:space="preserve"> for </w:t>
      </w:r>
      <w:r w:rsidR="00D11277">
        <w:t>gas generators in other regions.</w:t>
      </w:r>
      <w:r w:rsidR="00D11277">
        <w:rPr>
          <w:rStyle w:val="FootnoteReference"/>
        </w:rPr>
        <w:footnoteReference w:id="24"/>
      </w:r>
    </w:p>
    <w:p w14:paraId="75698555" w14:textId="64908ED5" w:rsidR="00772DAA" w:rsidRDefault="00772DAA" w:rsidP="004B4C5C">
      <w:pPr>
        <w:pStyle w:val="GaAns"/>
        <w:ind w:firstLine="0"/>
      </w:pPr>
    </w:p>
    <w:p w14:paraId="22D3F7C6" w14:textId="148AF988" w:rsidR="0057267D" w:rsidRPr="0057267D" w:rsidRDefault="0057267D" w:rsidP="004B4C5C">
      <w:pPr>
        <w:pStyle w:val="GaAns"/>
        <w:ind w:firstLine="0"/>
      </w:pPr>
      <w:r w:rsidRPr="0057267D">
        <w:t xml:space="preserve">The Company should conduct long-term transmission planning to assess if there are more </w:t>
      </w:r>
      <w:r w:rsidRPr="0057267D">
        <w:lastRenderedPageBreak/>
        <w:t>optimal solutions</w:t>
      </w:r>
      <w:r w:rsidR="00C37215">
        <w:t xml:space="preserve"> for ratepayers</w:t>
      </w:r>
      <w:r w:rsidRPr="0057267D">
        <w:t xml:space="preserve"> than</w:t>
      </w:r>
      <w:r w:rsidR="003F2988">
        <w:t xml:space="preserve"> the Company’s </w:t>
      </w:r>
      <w:r w:rsidR="00181C40">
        <w:t>proposed low-voltage upgrades</w:t>
      </w:r>
      <w:r w:rsidRPr="0057267D">
        <w:t xml:space="preserve">. This analysis should plan for long-term changes in load and generation and optimally meet reliability, economic, and generator interconnection needs. The Company should primarily focus on planning higher-capacity solutions, as Georgia Power’s current reactive transmission processes fail to proactively identify the most cost-effective multi-value long-term solutions. </w:t>
      </w:r>
      <w:r w:rsidR="005F22F5">
        <w:t xml:space="preserve">These approaches will </w:t>
      </w:r>
      <w:r w:rsidR="005F22F5" w:rsidRPr="0057267D">
        <w:t>minimize the total cost of generation plus transmission by building the optimal amount of transmission</w:t>
      </w:r>
      <w:r w:rsidR="005F22F5">
        <w:t xml:space="preserve"> to maximize</w:t>
      </w:r>
      <w:r w:rsidR="00014FD4">
        <w:t xml:space="preserve"> net benefits for ratepayers</w:t>
      </w:r>
      <w:r w:rsidR="005F22F5">
        <w:t xml:space="preserve">. </w:t>
      </w:r>
    </w:p>
    <w:p w14:paraId="78BEEB1F" w14:textId="77777777" w:rsidR="003676D7" w:rsidRPr="00D355B0" w:rsidRDefault="003676D7" w:rsidP="003676D7">
      <w:pPr>
        <w:pStyle w:val="GaAns"/>
        <w:rPr>
          <w:b/>
          <w:bCs/>
        </w:rPr>
      </w:pPr>
      <w:r w:rsidRPr="00D355B0">
        <w:rPr>
          <w:b/>
          <w:bCs/>
        </w:rPr>
        <w:t>Q.</w:t>
      </w:r>
      <w:r w:rsidRPr="00D355B0">
        <w:rPr>
          <w:b/>
          <w:bCs/>
        </w:rPr>
        <w:tab/>
        <w:t>WHAT TYPE OF TRANSMISSION PLANNING IS NEEDED?</w:t>
      </w:r>
    </w:p>
    <w:p w14:paraId="06B24D8F" w14:textId="4A0D49D7" w:rsidR="009F60BD" w:rsidRPr="0057267D" w:rsidRDefault="003676D7" w:rsidP="009F60BD">
      <w:pPr>
        <w:pStyle w:val="GaAns"/>
        <w:rPr>
          <w:b/>
          <w:bCs/>
        </w:rPr>
      </w:pPr>
      <w:r>
        <w:t>A.</w:t>
      </w:r>
      <w:r>
        <w:tab/>
        <w:t xml:space="preserve">More optimal solutions </w:t>
      </w:r>
      <w:r w:rsidR="00BD453C">
        <w:t xml:space="preserve">for ratepayers </w:t>
      </w:r>
      <w:r w:rsidR="00A37E81">
        <w:t>can be identified</w:t>
      </w:r>
      <w:r w:rsidR="0057267D" w:rsidRPr="0057267D">
        <w:t xml:space="preserve"> using proactive multi-value transmission planning, which is the best practice used in other regions</w:t>
      </w:r>
      <w:r w:rsidR="009F60BD">
        <w:t>. P</w:t>
      </w:r>
      <w:r w:rsidR="009F60BD" w:rsidRPr="0057267D">
        <w:t>rinciples of proactive</w:t>
      </w:r>
      <w:r w:rsidR="009F60BD">
        <w:t xml:space="preserve"> multi-value</w:t>
      </w:r>
      <w:r w:rsidR="009F60BD" w:rsidRPr="0057267D">
        <w:t xml:space="preserve"> transmission planning</w:t>
      </w:r>
      <w:r w:rsidR="009F60BD">
        <w:t xml:space="preserve"> i</w:t>
      </w:r>
      <w:r w:rsidR="001325EE">
        <w:t>dentified</w:t>
      </w:r>
      <w:r w:rsidR="00E85AF8">
        <w:t xml:space="preserve"> in a report </w:t>
      </w:r>
      <w:r w:rsidR="001E37F4">
        <w:t xml:space="preserve">I recently </w:t>
      </w:r>
      <w:r w:rsidR="00E85AF8">
        <w:t xml:space="preserve">co-authored </w:t>
      </w:r>
      <w:r w:rsidR="001E37F4">
        <w:t>with</w:t>
      </w:r>
      <w:r w:rsidR="0014413B">
        <w:t xml:space="preserve"> others at</w:t>
      </w:r>
      <w:r w:rsidR="00E85AF8">
        <w:t xml:space="preserve"> the Brattle Group and Grid Strategies include</w:t>
      </w:r>
      <w:r w:rsidR="009F60BD" w:rsidRPr="0057267D">
        <w:t>:</w:t>
      </w:r>
      <w:r w:rsidR="00AA1D37" w:rsidRPr="0057267D">
        <w:rPr>
          <w:vertAlign w:val="superscript"/>
        </w:rPr>
        <w:footnoteReference w:id="25"/>
      </w:r>
    </w:p>
    <w:p w14:paraId="015616C2" w14:textId="77777777" w:rsidR="009F60BD" w:rsidRPr="0057267D" w:rsidRDefault="009F60BD" w:rsidP="009F60BD">
      <w:pPr>
        <w:pStyle w:val="GaAns"/>
        <w:rPr>
          <w:i/>
          <w:iCs/>
        </w:rPr>
      </w:pPr>
      <w:r w:rsidRPr="0057267D">
        <w:rPr>
          <w:i/>
          <w:iCs/>
        </w:rPr>
        <w:t>1.</w:t>
      </w:r>
      <w:r w:rsidRPr="0057267D">
        <w:rPr>
          <w:i/>
          <w:iCs/>
        </w:rPr>
        <w:tab/>
        <w:t xml:space="preserve">Proactively plan for future generation and load by incorporating realistic projections of the anticipated generation mix, public policy mandates, load levels, and load profiles over the lifespan of the transmission investment. </w:t>
      </w:r>
    </w:p>
    <w:p w14:paraId="5EB3BF9B" w14:textId="77777777" w:rsidR="009F60BD" w:rsidRPr="0057267D" w:rsidRDefault="009F60BD" w:rsidP="009F60BD">
      <w:pPr>
        <w:pStyle w:val="GaAns"/>
        <w:rPr>
          <w:i/>
          <w:iCs/>
        </w:rPr>
      </w:pPr>
      <w:r w:rsidRPr="0057267D">
        <w:rPr>
          <w:i/>
          <w:iCs/>
        </w:rPr>
        <w:t>2.</w:t>
      </w:r>
      <w:r w:rsidRPr="0057267D">
        <w:rPr>
          <w:i/>
          <w:iCs/>
        </w:rPr>
        <w:tab/>
        <w:t xml:space="preserve">Account for the full range of transmission projects’ benefits, and use multi-value planning to comprehensively identify investments that cost-effectively address all categories of needs and benefits. </w:t>
      </w:r>
    </w:p>
    <w:p w14:paraId="30CA80D1" w14:textId="77777777" w:rsidR="009F60BD" w:rsidRPr="0057267D" w:rsidRDefault="009F60BD" w:rsidP="009F60BD">
      <w:pPr>
        <w:pStyle w:val="GaAns"/>
        <w:rPr>
          <w:i/>
          <w:iCs/>
        </w:rPr>
      </w:pPr>
      <w:r w:rsidRPr="0057267D">
        <w:rPr>
          <w:i/>
          <w:iCs/>
        </w:rPr>
        <w:t>3.</w:t>
      </w:r>
      <w:r w:rsidRPr="0057267D">
        <w:rPr>
          <w:i/>
          <w:iCs/>
        </w:rPr>
        <w:tab/>
        <w:t xml:space="preserve">Address uncertainties and high-stress grid conditions explicitly through scenario-based planning that takes into account a broad range of plausible long-term futures as well as real-world system conditions, including challenging and extreme events. </w:t>
      </w:r>
    </w:p>
    <w:p w14:paraId="63BC9941" w14:textId="77777777" w:rsidR="009F60BD" w:rsidRPr="0057267D" w:rsidRDefault="009F60BD" w:rsidP="009F60BD">
      <w:pPr>
        <w:pStyle w:val="GaAns"/>
        <w:rPr>
          <w:i/>
          <w:iCs/>
        </w:rPr>
      </w:pPr>
      <w:r w:rsidRPr="0057267D">
        <w:rPr>
          <w:i/>
          <w:iCs/>
        </w:rPr>
        <w:t>4.</w:t>
      </w:r>
      <w:r w:rsidRPr="0057267D">
        <w:rPr>
          <w:i/>
          <w:iCs/>
        </w:rPr>
        <w:tab/>
        <w:t>Use comprehensive transmission network portfolios to address system needs and cost allocation more efficiently and less contentiously than a project-by-project approach.</w:t>
      </w:r>
    </w:p>
    <w:p w14:paraId="4EF9A89D" w14:textId="228A3376" w:rsidR="009F60BD" w:rsidRPr="00CD1517" w:rsidRDefault="009F60BD" w:rsidP="00CD1517">
      <w:pPr>
        <w:pStyle w:val="GaAns"/>
        <w:rPr>
          <w:i/>
          <w:iCs/>
        </w:rPr>
      </w:pPr>
      <w:r w:rsidRPr="0057267D">
        <w:rPr>
          <w:i/>
          <w:iCs/>
        </w:rPr>
        <w:t>5.</w:t>
      </w:r>
      <w:r w:rsidRPr="0057267D">
        <w:rPr>
          <w:i/>
          <w:iCs/>
        </w:rPr>
        <w:tab/>
        <w:t xml:space="preserve">Jointly plan across neighboring interregional systems to recognize regional </w:t>
      </w:r>
      <w:r w:rsidRPr="0057267D">
        <w:rPr>
          <w:i/>
          <w:iCs/>
        </w:rPr>
        <w:lastRenderedPageBreak/>
        <w:t>interdependence, increase system resilience, and take full advantage of interregional scale economics and geographic diversification benefits.</w:t>
      </w:r>
    </w:p>
    <w:p w14:paraId="14EB64FC" w14:textId="77777777" w:rsidR="00F34345" w:rsidRPr="00CD1517" w:rsidRDefault="00F34345" w:rsidP="00F34345">
      <w:pPr>
        <w:pStyle w:val="GaAns"/>
        <w:rPr>
          <w:b/>
          <w:bCs/>
        </w:rPr>
      </w:pPr>
      <w:r w:rsidRPr="00CD1517">
        <w:rPr>
          <w:b/>
          <w:bCs/>
        </w:rPr>
        <w:t>Q.</w:t>
      </w:r>
      <w:r w:rsidRPr="00CD1517">
        <w:rPr>
          <w:b/>
          <w:bCs/>
        </w:rPr>
        <w:tab/>
        <w:t xml:space="preserve">HAVE OTHER REGIONS USED PROACTIVE MULTI-VALUE TRANSMISSION PLANNING? </w:t>
      </w:r>
    </w:p>
    <w:p w14:paraId="38D51DA1" w14:textId="12F2E4F3" w:rsidR="0057267D" w:rsidRDefault="00F34345" w:rsidP="00F34345">
      <w:pPr>
        <w:pStyle w:val="GaAns"/>
      </w:pPr>
      <w:r>
        <w:t>A.</w:t>
      </w:r>
      <w:r>
        <w:tab/>
        <w:t>Yes</w:t>
      </w:r>
      <w:r w:rsidR="001B586E">
        <w:t>, and they have found that this typ</w:t>
      </w:r>
      <w:r w:rsidR="00554305">
        <w:t>e of planning</w:t>
      </w:r>
      <w:r w:rsidR="001B586E">
        <w:t xml:space="preserve"> </w:t>
      </w:r>
      <w:r w:rsidR="001B586E" w:rsidRPr="0057267D">
        <w:t>minimize</w:t>
      </w:r>
      <w:r w:rsidR="001B586E">
        <w:t>s</w:t>
      </w:r>
      <w:r w:rsidR="001B586E" w:rsidRPr="0057267D">
        <w:t xml:space="preserve"> the total cost to ratepayers of generation plus transmission by building the optimal amount of transmission</w:t>
      </w:r>
      <w:r>
        <w:t xml:space="preserve">. </w:t>
      </w:r>
      <w:r w:rsidR="0057267D" w:rsidRPr="0057267D">
        <w:t>Over a decade ago, the Midcontinent Independent System Operator (“MISO”) used a proactive multi-value transmission planning process to identify a holistic portfolio of transmission upgrades, called the Multi-Value Projects (“MVPs”), that were needed to meet reliability, economic, and state renewable energy policy needs.</w:t>
      </w:r>
      <w:r w:rsidR="0057267D" w:rsidRPr="0057267D">
        <w:rPr>
          <w:vertAlign w:val="superscript"/>
        </w:rPr>
        <w:footnoteReference w:id="26"/>
      </w:r>
      <w:r w:rsidR="0057267D" w:rsidRPr="0057267D">
        <w:t xml:space="preserve"> All but one of those lines have since been completed, and analyses have confirmed that those projects are providing large net benefits.</w:t>
      </w:r>
      <w:r w:rsidR="0057267D" w:rsidRPr="0057267D">
        <w:rPr>
          <w:vertAlign w:val="superscript"/>
        </w:rPr>
        <w:footnoteReference w:id="27"/>
      </w:r>
      <w:r w:rsidR="0057267D" w:rsidRPr="0057267D">
        <w:t xml:space="preserve"> MISO’s process was informed by Texas’s success in using proactive transmission planning to build the Competitive Renewable Energy Zone projects, a portfolio of upgrades that allowed the state to double its use of renewable energy.</w:t>
      </w:r>
      <w:r w:rsidR="0057267D" w:rsidRPr="0057267D">
        <w:rPr>
          <w:vertAlign w:val="superscript"/>
        </w:rPr>
        <w:footnoteReference w:id="28"/>
      </w:r>
      <w:r w:rsidR="0057267D" w:rsidRPr="0057267D">
        <w:t xml:space="preserve"> The Southwest Power Pool (“SPP”) also adopted a proactive multi-value transmission planning approach, and two subsequent studies have confirmed that those upgrades are providing large net benefits by meeting a range of economic and reliability needs.</w:t>
      </w:r>
      <w:r w:rsidR="0057267D" w:rsidRPr="0057267D">
        <w:rPr>
          <w:vertAlign w:val="superscript"/>
        </w:rPr>
        <w:footnoteReference w:id="29"/>
      </w:r>
      <w:r w:rsidR="001E302F">
        <w:t xml:space="preserve"> </w:t>
      </w:r>
    </w:p>
    <w:p w14:paraId="78813BD9" w14:textId="25A99207" w:rsidR="003F25A6" w:rsidRDefault="003F25A6" w:rsidP="003F25A6">
      <w:pPr>
        <w:pStyle w:val="GaAns"/>
        <w:ind w:firstLine="0"/>
      </w:pPr>
      <w:r w:rsidRPr="0057267D">
        <w:t>Proactive multi-value transmission planning has also been successfully used by vertically</w:t>
      </w:r>
      <w:r w:rsidR="007051C2">
        <w:t>-</w:t>
      </w:r>
      <w:r w:rsidRPr="0057267D">
        <w:t xml:space="preserve">integrated utilities outside of Regional Transmission Organizations. For example, Nevada Power’s </w:t>
      </w:r>
      <w:proofErr w:type="spellStart"/>
      <w:r w:rsidRPr="0057267D">
        <w:t>Greenlink</w:t>
      </w:r>
      <w:proofErr w:type="spellEnd"/>
      <w:r w:rsidRPr="0057267D">
        <w:t xml:space="preserve"> Nevada project is designed to provide a range of benefits across </w:t>
      </w:r>
      <w:r w:rsidRPr="0057267D">
        <w:lastRenderedPageBreak/>
        <w:t>categories including reliability, economics, proactively interconnecting a diverse portfolio of renewable energy resources, and expanding ties to neighboring grid operators.</w:t>
      </w:r>
      <w:r w:rsidRPr="0057267D">
        <w:rPr>
          <w:vertAlign w:val="superscript"/>
        </w:rPr>
        <w:footnoteReference w:id="30"/>
      </w:r>
      <w:r w:rsidRPr="0057267D">
        <w:t xml:space="preserve"> Xcel’s Colorado Power Pathway is another example of proactive transmission planning to realize multiple benefits.</w:t>
      </w:r>
      <w:r w:rsidRPr="0057267D">
        <w:rPr>
          <w:vertAlign w:val="superscript"/>
        </w:rPr>
        <w:footnoteReference w:id="31"/>
      </w:r>
      <w:r w:rsidRPr="0057267D">
        <w:t xml:space="preserve"> Finally, Duke has proposed moving to multi-value transmission planning.</w:t>
      </w:r>
      <w:r w:rsidRPr="0057267D">
        <w:rPr>
          <w:vertAlign w:val="superscript"/>
        </w:rPr>
        <w:footnoteReference w:id="32"/>
      </w:r>
    </w:p>
    <w:p w14:paraId="3E742D74" w14:textId="6A6ABEAF" w:rsidR="003F25A6" w:rsidRPr="00060EC4" w:rsidRDefault="003F25A6" w:rsidP="004A0514">
      <w:pPr>
        <w:pStyle w:val="GaBody"/>
        <w:jc w:val="both"/>
      </w:pPr>
      <w:r>
        <w:t xml:space="preserve">In addition, </w:t>
      </w:r>
      <w:r w:rsidRPr="0057267D">
        <w:t>the IRPs conducted by PacifiCorp, Xcel’s Minnesota utility Northern States Power, and Xcel’s Colorado utility Public Service Company of Colorado</w:t>
      </w:r>
      <w:r>
        <w:t xml:space="preserve"> co-optimize t</w:t>
      </w:r>
      <w:r w:rsidRPr="0057267D">
        <w:t>ransmission planning with generation planning</w:t>
      </w:r>
      <w:r>
        <w:t xml:space="preserve"> for truly “integrated” resource planning. </w:t>
      </w:r>
      <w:r w:rsidR="007051C2">
        <w:t>Vertically</w:t>
      </w:r>
      <w:r w:rsidR="00E93566">
        <w:t>-</w:t>
      </w:r>
      <w:r w:rsidR="007051C2">
        <w:t xml:space="preserve">integrated utilities like Georgia Power </w:t>
      </w:r>
      <w:r w:rsidR="00B211B3">
        <w:t>can s</w:t>
      </w:r>
      <w:r w:rsidRPr="003F25A6">
        <w:t xml:space="preserve">ynchronize </w:t>
      </w:r>
      <w:r w:rsidR="00B211B3">
        <w:t xml:space="preserve">generation and transmission </w:t>
      </w:r>
      <w:r w:rsidRPr="003F25A6">
        <w:t>planning</w:t>
      </w:r>
      <w:r w:rsidR="00E80277">
        <w:t xml:space="preserve">. This </w:t>
      </w:r>
      <w:r w:rsidR="006F40EF">
        <w:t>avoid</w:t>
      </w:r>
      <w:r w:rsidR="00E80277">
        <w:t>s</w:t>
      </w:r>
      <w:r w:rsidR="006F40EF">
        <w:t xml:space="preserve"> any risk that transmission developed in anticipation of market interest from generators </w:t>
      </w:r>
      <w:r w:rsidR="00E80277">
        <w:t>will not be fully subscribed, though</w:t>
      </w:r>
      <w:r w:rsidR="006608C0">
        <w:t xml:space="preserve"> </w:t>
      </w:r>
      <w:r w:rsidR="007D2416">
        <w:t xml:space="preserve">pro-actively planned transmission lines </w:t>
      </w:r>
      <w:r w:rsidR="00512E8B">
        <w:t xml:space="preserve">in </w:t>
      </w:r>
      <w:r w:rsidR="007D7EB0">
        <w:t>Texas</w:t>
      </w:r>
      <w:r w:rsidR="00512E8B">
        <w:t xml:space="preserve"> and other areas without vertically-integrated utilities </w:t>
      </w:r>
      <w:r w:rsidR="00D25304">
        <w:t xml:space="preserve">have </w:t>
      </w:r>
      <w:r w:rsidR="007D7EB0">
        <w:t>quickly</w:t>
      </w:r>
      <w:r w:rsidR="00D25304">
        <w:t xml:space="preserve"> </w:t>
      </w:r>
      <w:r w:rsidR="00512E8B">
        <w:t>been</w:t>
      </w:r>
      <w:r w:rsidR="007D7EB0">
        <w:t xml:space="preserve"> fully subscribed.</w:t>
      </w:r>
      <w:r w:rsidR="00512E8B">
        <w:t xml:space="preserve"> </w:t>
      </w:r>
    </w:p>
    <w:p w14:paraId="600A8B8F" w14:textId="5D619401" w:rsidR="00D355B0" w:rsidRPr="00D355B0" w:rsidRDefault="00D355B0" w:rsidP="0057267D">
      <w:pPr>
        <w:pStyle w:val="GaAns"/>
        <w:rPr>
          <w:b/>
          <w:bCs/>
        </w:rPr>
      </w:pPr>
      <w:r w:rsidRPr="00D355B0">
        <w:rPr>
          <w:b/>
          <w:bCs/>
        </w:rPr>
        <w:t>Q.</w:t>
      </w:r>
      <w:r w:rsidRPr="00D355B0">
        <w:rPr>
          <w:b/>
          <w:bCs/>
        </w:rPr>
        <w:tab/>
        <w:t>DOES GEORGIA POWER USE PROACTIVE MULTI-VALUE TRANSMISSION PLANNING?</w:t>
      </w:r>
    </w:p>
    <w:p w14:paraId="62DE73E4" w14:textId="7E7D1CC0" w:rsidR="0057267D" w:rsidRPr="0057267D" w:rsidRDefault="00D355B0" w:rsidP="004A0514">
      <w:pPr>
        <w:pStyle w:val="GaBody"/>
        <w:ind w:hanging="720"/>
        <w:jc w:val="both"/>
        <w:rPr>
          <w:lang w:eastAsia="en-US"/>
        </w:rPr>
      </w:pPr>
      <w:r>
        <w:rPr>
          <w:lang w:eastAsia="en-US"/>
        </w:rPr>
        <w:t>A.</w:t>
      </w:r>
      <w:r>
        <w:rPr>
          <w:lang w:eastAsia="en-US"/>
        </w:rPr>
        <w:tab/>
        <w:t xml:space="preserve">No. </w:t>
      </w:r>
      <w:r w:rsidR="00170BDF">
        <w:rPr>
          <w:lang w:eastAsia="en-US"/>
        </w:rPr>
        <w:t xml:space="preserve">When asked about </w:t>
      </w:r>
      <w:r w:rsidR="00520939">
        <w:rPr>
          <w:lang w:eastAsia="en-US"/>
        </w:rPr>
        <w:t>the</w:t>
      </w:r>
      <w:r w:rsidR="00170BDF">
        <w:rPr>
          <w:lang w:eastAsia="en-US"/>
        </w:rPr>
        <w:t xml:space="preserve"> transmission planning methods </w:t>
      </w:r>
      <w:r w:rsidR="00520939">
        <w:rPr>
          <w:lang w:eastAsia="en-US"/>
        </w:rPr>
        <w:t xml:space="preserve">used for the upgrades identified </w:t>
      </w:r>
      <w:r w:rsidR="00170BDF">
        <w:rPr>
          <w:lang w:eastAsia="en-US"/>
        </w:rPr>
        <w:t>in this docket, t</w:t>
      </w:r>
      <w:r>
        <w:rPr>
          <w:lang w:eastAsia="en-US"/>
        </w:rPr>
        <w:t>he Company</w:t>
      </w:r>
      <w:r w:rsidR="00170BDF">
        <w:rPr>
          <w:lang w:eastAsia="en-US"/>
        </w:rPr>
        <w:t xml:space="preserve"> pointed to the </w:t>
      </w:r>
      <w:r w:rsidR="0057267D" w:rsidRPr="0057267D">
        <w:t>“Transmission Planning study and project development processes outlined in Technical Appendix Volume 3 of the 2022 Georgia Power Integrated Resource Plan (“IRP”) (Docket No. 44160).</w:t>
      </w:r>
      <w:r w:rsidR="00170BDF">
        <w:t>"</w:t>
      </w:r>
      <w:r w:rsidR="00634DD3">
        <w:rPr>
          <w:rStyle w:val="FootnoteReference"/>
        </w:rPr>
        <w:footnoteReference w:id="33"/>
      </w:r>
      <w:r w:rsidR="0057267D" w:rsidRPr="0057267D">
        <w:t xml:space="preserve"> The process outlined in that document </w:t>
      </w:r>
      <w:r w:rsidR="00170BDF">
        <w:t>is not</w:t>
      </w:r>
      <w:r w:rsidR="0057267D" w:rsidRPr="0057267D">
        <w:t xml:space="preserve"> proactive multi-value transmission planning</w:t>
      </w:r>
      <w:r w:rsidR="001E302F">
        <w:t xml:space="preserve"> for multiple reasons</w:t>
      </w:r>
      <w:r w:rsidR="00170BDF">
        <w:t>.</w:t>
      </w:r>
      <w:r w:rsidR="0057267D" w:rsidRPr="0057267D">
        <w:t xml:space="preserve"> </w:t>
      </w:r>
    </w:p>
    <w:p w14:paraId="2081785A" w14:textId="77777777" w:rsidR="0057267D" w:rsidRPr="0057267D" w:rsidRDefault="0057267D" w:rsidP="00A12075">
      <w:pPr>
        <w:pStyle w:val="GaAns"/>
        <w:ind w:left="0" w:firstLine="0"/>
      </w:pPr>
    </w:p>
    <w:p w14:paraId="4829C994" w14:textId="7C4F1C11" w:rsidR="004728BC" w:rsidRPr="005452AC" w:rsidRDefault="001E302F" w:rsidP="004728BC">
      <w:pPr>
        <w:pStyle w:val="GaAns"/>
        <w:ind w:firstLine="0"/>
      </w:pPr>
      <w:r>
        <w:t xml:space="preserve">First and </w:t>
      </w:r>
      <w:r w:rsidR="00542F11">
        <w:t>m</w:t>
      </w:r>
      <w:r w:rsidR="00552AD2">
        <w:t xml:space="preserve">ost importantly, </w:t>
      </w:r>
      <w:r w:rsidR="00A12075">
        <w:t>a</w:t>
      </w:r>
      <w:r w:rsidR="00A25B37" w:rsidRPr="0057267D">
        <w:t>ll of the</w:t>
      </w:r>
      <w:r w:rsidR="00A12075">
        <w:t xml:space="preserve"> </w:t>
      </w:r>
      <w:r w:rsidR="00A25B37" w:rsidRPr="0057267D">
        <w:t xml:space="preserve">benefits </w:t>
      </w:r>
      <w:r w:rsidR="00A12075">
        <w:t>Georgia Power’</w:t>
      </w:r>
      <w:r w:rsidR="00FA36D7">
        <w:t>s</w:t>
      </w:r>
      <w:r w:rsidR="00A12075">
        <w:t xml:space="preserve"> transmission planners assess </w:t>
      </w:r>
      <w:r w:rsidR="00A25B37" w:rsidRPr="0057267D">
        <w:lastRenderedPageBreak/>
        <w:t>are related to reliability</w:t>
      </w:r>
      <w:r w:rsidR="00A12075">
        <w:t>, not economic</w:t>
      </w:r>
      <w:r w:rsidR="00542F11">
        <w:t xml:space="preserve"> benefit</w:t>
      </w:r>
      <w:r w:rsidR="00A12075">
        <w:t xml:space="preserve">s or other </w:t>
      </w:r>
      <w:r w:rsidR="00542F11">
        <w:t xml:space="preserve">benefits </w:t>
      </w:r>
      <w:r w:rsidR="00A97BE7">
        <w:t>that are typically evaluated</w:t>
      </w:r>
      <w:r w:rsidR="00AC7D79">
        <w:t xml:space="preserve"> in multi-value planning or even standard utility practice transmission planning</w:t>
      </w:r>
      <w:r w:rsidR="00A25B37" w:rsidRPr="0057267D">
        <w:t>.</w:t>
      </w:r>
      <w:r w:rsidR="00A25B37" w:rsidRPr="0057267D">
        <w:rPr>
          <w:vertAlign w:val="superscript"/>
        </w:rPr>
        <w:footnoteReference w:id="34"/>
      </w:r>
      <w:r w:rsidR="00A25B37" w:rsidRPr="0057267D">
        <w:t xml:space="preserve"> </w:t>
      </w:r>
      <w:r w:rsidR="00A25B37">
        <w:t>Other parts of the document confirm that transmission is only planned</w:t>
      </w:r>
      <w:r w:rsidR="0057267D" w:rsidRPr="0057267D">
        <w:t xml:space="preserve"> </w:t>
      </w:r>
      <w:r w:rsidR="00A25B37">
        <w:t xml:space="preserve">to </w:t>
      </w:r>
      <w:r w:rsidR="001D72A7">
        <w:t xml:space="preserve">resolve </w:t>
      </w:r>
      <w:r w:rsidR="008C3B62">
        <w:t>rel</w:t>
      </w:r>
      <w:r w:rsidR="00CF686D">
        <w:t xml:space="preserve">iability </w:t>
      </w:r>
      <w:r w:rsidR="0057267D" w:rsidRPr="0057267D">
        <w:t>problems</w:t>
      </w:r>
      <w:r w:rsidR="0057267D" w:rsidRPr="002E2E26">
        <w:t xml:space="preserve">: </w:t>
      </w:r>
      <w:r w:rsidR="004728BC" w:rsidRPr="002E2E26">
        <w:t>“For problems to be identified, situations exist where the system will operate in an unacceptable manner (as defined by the performance guidelines)</w:t>
      </w:r>
      <w:r w:rsidR="001D72A7" w:rsidRPr="002E2E26">
        <w:t>.</w:t>
      </w:r>
      <w:r w:rsidR="004728BC" w:rsidRPr="002E2E26">
        <w:t>”</w:t>
      </w:r>
      <w:r w:rsidR="004728BC" w:rsidRPr="005452AC">
        <w:rPr>
          <w:vertAlign w:val="superscript"/>
        </w:rPr>
        <w:footnoteReference w:id="35"/>
      </w:r>
      <w:r w:rsidR="004728BC" w:rsidRPr="005452AC">
        <w:t xml:space="preserve"> </w:t>
      </w:r>
      <w:r w:rsidR="001D72A7" w:rsidRPr="005452AC">
        <w:t>Furthermore, n</w:t>
      </w:r>
      <w:r w:rsidR="004728BC" w:rsidRPr="005452AC">
        <w:t>o production cost models are</w:t>
      </w:r>
      <w:r w:rsidR="00A22510" w:rsidRPr="005452AC">
        <w:t xml:space="preserve"> included in</w:t>
      </w:r>
      <w:r w:rsidR="004728BC" w:rsidRPr="005452AC">
        <w:t xml:space="preserve"> </w:t>
      </w:r>
      <w:r w:rsidR="00C40915" w:rsidRPr="005452AC">
        <w:t xml:space="preserve">the many models </w:t>
      </w:r>
      <w:r w:rsidR="004728BC" w:rsidRPr="005452AC">
        <w:t>the transmission planning document</w:t>
      </w:r>
      <w:r w:rsidR="00A22510" w:rsidRPr="005452AC">
        <w:t xml:space="preserve"> </w:t>
      </w:r>
      <w:r w:rsidR="00007570" w:rsidRPr="005452AC">
        <w:t>lists as being used by Georgia Power planning</w:t>
      </w:r>
      <w:r w:rsidR="001D72A7" w:rsidRPr="005452AC">
        <w:t xml:space="preserve">, which is </w:t>
      </w:r>
      <w:r w:rsidR="00007570" w:rsidRPr="005452AC">
        <w:t>not</w:t>
      </w:r>
      <w:r w:rsidR="001D72A7" w:rsidRPr="005452AC">
        <w:t xml:space="preserve"> </w:t>
      </w:r>
      <w:r w:rsidR="00CD1C6F" w:rsidRPr="005452AC">
        <w:t xml:space="preserve">standard utility practice for </w:t>
      </w:r>
      <w:r w:rsidR="001D72A7" w:rsidRPr="005452AC">
        <w:t>transmission planning</w:t>
      </w:r>
      <w:r w:rsidR="004728BC" w:rsidRPr="005452AC">
        <w:t xml:space="preserve">. </w:t>
      </w:r>
      <w:r w:rsidR="001D72A7" w:rsidRPr="005452AC">
        <w:t>The e</w:t>
      </w:r>
      <w:r w:rsidR="004728BC" w:rsidRPr="005452AC">
        <w:t xml:space="preserve">conomic dispatch </w:t>
      </w:r>
      <w:r w:rsidR="001D72A7" w:rsidRPr="005452AC">
        <w:t xml:space="preserve">of generators </w:t>
      </w:r>
      <w:r w:rsidR="004728BC" w:rsidRPr="005452AC">
        <w:t>is only used as an input into load flow models, and not an output of the models</w:t>
      </w:r>
      <w:r w:rsidR="001D72A7" w:rsidRPr="005452AC">
        <w:t xml:space="preserve"> as it would be in </w:t>
      </w:r>
      <w:r w:rsidR="003E7E41" w:rsidRPr="005452AC">
        <w:t>the production cost models used in standard utility practice.</w:t>
      </w:r>
      <w:r w:rsidR="004728BC" w:rsidRPr="005452AC">
        <w:rPr>
          <w:vertAlign w:val="superscript"/>
        </w:rPr>
        <w:footnoteReference w:id="36"/>
      </w:r>
    </w:p>
    <w:p w14:paraId="143D51E7" w14:textId="6B02EAB7" w:rsidR="0057267D" w:rsidRPr="0057267D" w:rsidRDefault="00FA36D7" w:rsidP="003E7E41">
      <w:pPr>
        <w:pStyle w:val="GaAns"/>
        <w:ind w:firstLine="0"/>
      </w:pPr>
      <w:r w:rsidRPr="005452AC">
        <w:rPr>
          <w:bCs/>
        </w:rPr>
        <w:t xml:space="preserve">Georgia Power </w:t>
      </w:r>
      <w:r w:rsidR="00E26AE4" w:rsidRPr="005452AC">
        <w:rPr>
          <w:bCs/>
        </w:rPr>
        <w:t>confirmed its transmission planners’ focus on reliability</w:t>
      </w:r>
      <w:r w:rsidRPr="005452AC">
        <w:rPr>
          <w:bCs/>
        </w:rPr>
        <w:t xml:space="preserve"> </w:t>
      </w:r>
      <w:r w:rsidR="00D426AC" w:rsidRPr="005452AC">
        <w:rPr>
          <w:bCs/>
        </w:rPr>
        <w:t xml:space="preserve">and not economic </w:t>
      </w:r>
      <w:r w:rsidR="006E613C" w:rsidRPr="005452AC">
        <w:rPr>
          <w:bCs/>
        </w:rPr>
        <w:t xml:space="preserve">and other </w:t>
      </w:r>
      <w:r w:rsidR="00D426AC" w:rsidRPr="005452AC">
        <w:rPr>
          <w:bCs/>
        </w:rPr>
        <w:t xml:space="preserve">benefits </w:t>
      </w:r>
      <w:r w:rsidRPr="005452AC">
        <w:rPr>
          <w:bCs/>
        </w:rPr>
        <w:t xml:space="preserve">in response to data request STF-PIA-3-13 in the 2022 IRP. </w:t>
      </w:r>
      <w:r w:rsidR="004728BC" w:rsidRPr="005452AC">
        <w:t xml:space="preserve">In addition, </w:t>
      </w:r>
      <w:r w:rsidR="00793E0B" w:rsidRPr="005452AC">
        <w:t xml:space="preserve">Georgia Power’s </w:t>
      </w:r>
      <w:r w:rsidR="004728BC" w:rsidRPr="005452AC">
        <w:t xml:space="preserve">planning </w:t>
      </w:r>
      <w:r w:rsidR="00793E0B" w:rsidRPr="005452AC">
        <w:t xml:space="preserve">methods focus on single problems, and with different problem statements for reliability, load growth, </w:t>
      </w:r>
      <w:r w:rsidR="00751679" w:rsidRPr="005452AC">
        <w:t xml:space="preserve">and </w:t>
      </w:r>
      <w:r w:rsidR="00793E0B" w:rsidRPr="005452AC">
        <w:t>generator interconnection,</w:t>
      </w:r>
      <w:r w:rsidR="00B53208" w:rsidRPr="005452AC">
        <w:rPr>
          <w:vertAlign w:val="superscript"/>
        </w:rPr>
        <w:footnoteReference w:id="37"/>
      </w:r>
      <w:r w:rsidR="00793E0B">
        <w:t xml:space="preserve"> preventing the identification of multi-value solutions or </w:t>
      </w:r>
      <w:r w:rsidR="00B53208">
        <w:t xml:space="preserve">portfolios of </w:t>
      </w:r>
      <w:r w:rsidR="00546B58">
        <w:t xml:space="preserve">network </w:t>
      </w:r>
      <w:r w:rsidR="00B53208">
        <w:t>solutions</w:t>
      </w:r>
      <w:r w:rsidR="00122FF9">
        <w:t xml:space="preserve">, two </w:t>
      </w:r>
      <w:r w:rsidR="00546B58">
        <w:t xml:space="preserve">of the </w:t>
      </w:r>
      <w:r w:rsidR="00122FF9">
        <w:t>essential aspects of proactive multi-value planning</w:t>
      </w:r>
      <w:r w:rsidR="00546B58">
        <w:t xml:space="preserve"> identified above</w:t>
      </w:r>
      <w:r w:rsidR="00A97BE7">
        <w:t xml:space="preserve"> that help </w:t>
      </w:r>
      <w:r w:rsidR="00A97BE7" w:rsidRPr="0057267D">
        <w:t>minimiz</w:t>
      </w:r>
      <w:r w:rsidR="00A97BE7">
        <w:t>e</w:t>
      </w:r>
      <w:r w:rsidR="00A97BE7" w:rsidRPr="0057267D">
        <w:t xml:space="preserve"> cost </w:t>
      </w:r>
      <w:r w:rsidR="00A97BE7">
        <w:t xml:space="preserve">and maximize benefits </w:t>
      </w:r>
      <w:r w:rsidR="00A97BE7" w:rsidRPr="0057267D">
        <w:t>to ratepayers</w:t>
      </w:r>
      <w:r w:rsidR="00122FF9">
        <w:t>.</w:t>
      </w:r>
    </w:p>
    <w:p w14:paraId="79EB8674" w14:textId="52422C59" w:rsidR="0057267D" w:rsidRPr="0057267D" w:rsidRDefault="003E7E41" w:rsidP="003E7E41">
      <w:pPr>
        <w:pStyle w:val="GaAns"/>
        <w:rPr>
          <w:b/>
          <w:bCs/>
        </w:rPr>
      </w:pPr>
      <w:r>
        <w:rPr>
          <w:b/>
          <w:bCs/>
        </w:rPr>
        <w:t>Q.</w:t>
      </w:r>
      <w:r>
        <w:rPr>
          <w:b/>
          <w:bCs/>
        </w:rPr>
        <w:tab/>
      </w:r>
      <w:r w:rsidR="00B12B78">
        <w:rPr>
          <w:b/>
          <w:bCs/>
        </w:rPr>
        <w:t xml:space="preserve">DOES GEORGIA POWER’S TRANSMISSION </w:t>
      </w:r>
      <w:r w:rsidR="0057267D" w:rsidRPr="0057267D">
        <w:rPr>
          <w:b/>
          <w:bCs/>
        </w:rPr>
        <w:t>BENEFIT ANALYSIS MEASURE THE FULL BENEFITS OF TRANSMISSION?</w:t>
      </w:r>
    </w:p>
    <w:p w14:paraId="40E60904" w14:textId="0805BEFE" w:rsidR="00C36D0A" w:rsidRPr="0057267D" w:rsidRDefault="0057267D" w:rsidP="000C3166">
      <w:pPr>
        <w:pStyle w:val="GaAns"/>
      </w:pPr>
      <w:r w:rsidRPr="0057267D">
        <w:rPr>
          <w:b/>
          <w:bCs/>
        </w:rPr>
        <w:t>A:</w:t>
      </w:r>
      <w:r w:rsidRPr="0057267D">
        <w:tab/>
        <w:t xml:space="preserve">No. </w:t>
      </w:r>
      <w:r w:rsidR="003E7E41">
        <w:t xml:space="preserve">As explained above, </w:t>
      </w:r>
      <w:r w:rsidRPr="0057267D">
        <w:t xml:space="preserve">Georgia Power’s benefits analysis only accounts for benefits </w:t>
      </w:r>
      <w:r w:rsidRPr="0057267D">
        <w:lastRenderedPageBreak/>
        <w:t xml:space="preserve">related to electric reliability, even though transmission provides many additional benefits. </w:t>
      </w:r>
    </w:p>
    <w:p w14:paraId="5B91FB70" w14:textId="38E1B225" w:rsidR="0057267D" w:rsidRPr="0057267D" w:rsidRDefault="00B12B78" w:rsidP="00C36D0A">
      <w:pPr>
        <w:pStyle w:val="GaAns"/>
        <w:ind w:firstLine="0"/>
      </w:pPr>
      <w:r>
        <w:t xml:space="preserve">Multi-value transmission planning </w:t>
      </w:r>
      <w:r w:rsidR="006B1EF9">
        <w:t xml:space="preserve">optimizes </w:t>
      </w:r>
      <w:r>
        <w:t xml:space="preserve">across </w:t>
      </w:r>
      <w:r w:rsidR="006B1EF9">
        <w:t>t</w:t>
      </w:r>
      <w:r w:rsidR="00C36D0A">
        <w:t>ransmission’s</w:t>
      </w:r>
      <w:r w:rsidR="006B1EF9">
        <w:t xml:space="preserve"> </w:t>
      </w:r>
      <w:r w:rsidR="000C3166">
        <w:t xml:space="preserve">multiple </w:t>
      </w:r>
      <w:r w:rsidR="006B1EF9">
        <w:t>categories of benefits</w:t>
      </w:r>
      <w:r w:rsidR="00326D8E">
        <w:t>, maximizing benefits for ratepayers</w:t>
      </w:r>
      <w:r>
        <w:t xml:space="preserve">. </w:t>
      </w:r>
      <w:r w:rsidR="0057267D" w:rsidRPr="0057267D">
        <w:t>For example, FERC has identified the following twelve categories of benefits that transmission provides:</w:t>
      </w:r>
      <w:r w:rsidR="0057267D" w:rsidRPr="0057267D">
        <w:rPr>
          <w:vertAlign w:val="superscript"/>
        </w:rPr>
        <w:footnoteReference w:id="38"/>
      </w:r>
      <w:r w:rsidR="0057267D" w:rsidRPr="0057267D">
        <w:t xml:space="preserve">  </w:t>
      </w:r>
    </w:p>
    <w:p w14:paraId="0A67D5BA" w14:textId="77777777" w:rsidR="0057267D" w:rsidRPr="0057267D" w:rsidRDefault="0057267D" w:rsidP="006B1EF9">
      <w:pPr>
        <w:pStyle w:val="GaAns"/>
        <w:ind w:firstLine="0"/>
      </w:pPr>
      <w:r w:rsidRPr="0057267D">
        <w:t xml:space="preserve">1) avoided or deferred reliability projects and aging infrastructure replacement,  </w:t>
      </w:r>
    </w:p>
    <w:p w14:paraId="4C7EF279" w14:textId="77777777" w:rsidR="0057267D" w:rsidRPr="0057267D" w:rsidRDefault="0057267D" w:rsidP="006B1EF9">
      <w:pPr>
        <w:pStyle w:val="GaAns"/>
        <w:ind w:firstLine="0"/>
      </w:pPr>
      <w:r w:rsidRPr="0057267D">
        <w:t xml:space="preserve">2) either reduced loss of load probability or reduced planning reserve margin, </w:t>
      </w:r>
    </w:p>
    <w:p w14:paraId="3D28E4BF" w14:textId="77777777" w:rsidR="0057267D" w:rsidRPr="0057267D" w:rsidRDefault="0057267D" w:rsidP="006B1EF9">
      <w:pPr>
        <w:pStyle w:val="GaAns"/>
        <w:ind w:firstLine="0"/>
      </w:pPr>
      <w:r w:rsidRPr="0057267D">
        <w:t xml:space="preserve">3) production cost savings,  </w:t>
      </w:r>
    </w:p>
    <w:p w14:paraId="64DC5697" w14:textId="77777777" w:rsidR="0057267D" w:rsidRPr="0057267D" w:rsidRDefault="0057267D" w:rsidP="006B1EF9">
      <w:pPr>
        <w:pStyle w:val="GaAns"/>
        <w:ind w:firstLine="0"/>
      </w:pPr>
      <w:r w:rsidRPr="0057267D">
        <w:t xml:space="preserve">4) reduced transmission energy losses,  </w:t>
      </w:r>
    </w:p>
    <w:p w14:paraId="73F2CB93" w14:textId="77777777" w:rsidR="0057267D" w:rsidRPr="0057267D" w:rsidRDefault="0057267D" w:rsidP="006B1EF9">
      <w:pPr>
        <w:pStyle w:val="GaAns"/>
        <w:ind w:firstLine="0"/>
      </w:pPr>
      <w:r w:rsidRPr="0057267D">
        <w:t xml:space="preserve">5) reduced congestion due to transmission outages,  </w:t>
      </w:r>
    </w:p>
    <w:p w14:paraId="4478B5BF" w14:textId="77777777" w:rsidR="0057267D" w:rsidRPr="0057267D" w:rsidRDefault="0057267D" w:rsidP="006B1EF9">
      <w:pPr>
        <w:pStyle w:val="GaAns"/>
        <w:ind w:firstLine="0"/>
      </w:pPr>
      <w:r w:rsidRPr="0057267D">
        <w:t xml:space="preserve">6) mitigation of extreme events and system contingencies,  </w:t>
      </w:r>
    </w:p>
    <w:p w14:paraId="65E1373A" w14:textId="38F65831" w:rsidR="0057267D" w:rsidRPr="0057267D" w:rsidRDefault="0057267D" w:rsidP="006B1EF9">
      <w:pPr>
        <w:pStyle w:val="GaAns"/>
        <w:ind w:firstLine="0"/>
      </w:pPr>
      <w:r w:rsidRPr="0057267D">
        <w:t xml:space="preserve">7) mitigation of weather and load uncertainty,  </w:t>
      </w:r>
    </w:p>
    <w:p w14:paraId="0C1099EB" w14:textId="77777777" w:rsidR="0057267D" w:rsidRPr="0057267D" w:rsidRDefault="0057267D" w:rsidP="006B1EF9">
      <w:pPr>
        <w:pStyle w:val="GaAns"/>
        <w:ind w:firstLine="0"/>
      </w:pPr>
      <w:r w:rsidRPr="0057267D">
        <w:t xml:space="preserve">8) capacity cost benefits from reduced peak energy losses,  </w:t>
      </w:r>
    </w:p>
    <w:p w14:paraId="73ED8AC9" w14:textId="77777777" w:rsidR="0057267D" w:rsidRPr="0057267D" w:rsidRDefault="0057267D" w:rsidP="006B1EF9">
      <w:pPr>
        <w:pStyle w:val="GaAns"/>
        <w:ind w:firstLine="0"/>
      </w:pPr>
      <w:r w:rsidRPr="0057267D">
        <w:t xml:space="preserve">9) deferred generation capacity investments,  </w:t>
      </w:r>
    </w:p>
    <w:p w14:paraId="7AF2269E" w14:textId="77777777" w:rsidR="0057267D" w:rsidRPr="0057267D" w:rsidRDefault="0057267D" w:rsidP="006B1EF9">
      <w:pPr>
        <w:pStyle w:val="GaAns"/>
        <w:ind w:firstLine="0"/>
      </w:pPr>
      <w:r w:rsidRPr="0057267D">
        <w:t xml:space="preserve">10) access to lower-cost generation,  </w:t>
      </w:r>
    </w:p>
    <w:p w14:paraId="36C0874A" w14:textId="77777777" w:rsidR="0057267D" w:rsidRPr="0057267D" w:rsidRDefault="0057267D" w:rsidP="006B1EF9">
      <w:pPr>
        <w:pStyle w:val="GaAns"/>
        <w:ind w:firstLine="0"/>
      </w:pPr>
      <w:r w:rsidRPr="0057267D">
        <w:t xml:space="preserve">11) increased competition, and  </w:t>
      </w:r>
    </w:p>
    <w:p w14:paraId="13130085" w14:textId="77777777" w:rsidR="0057267D" w:rsidRPr="0057267D" w:rsidRDefault="0057267D" w:rsidP="006B1EF9">
      <w:pPr>
        <w:pStyle w:val="GaAns"/>
        <w:ind w:firstLine="0"/>
      </w:pPr>
      <w:r w:rsidRPr="0057267D">
        <w:t xml:space="preserve">12) increased market liquidity.   </w:t>
      </w:r>
    </w:p>
    <w:p w14:paraId="5B07B19A" w14:textId="35568F53" w:rsidR="0057267D" w:rsidRPr="0057267D" w:rsidRDefault="0057267D" w:rsidP="0057267D">
      <w:pPr>
        <w:pStyle w:val="GaAns"/>
        <w:rPr>
          <w:b/>
          <w:bCs/>
        </w:rPr>
      </w:pPr>
      <w:r w:rsidRPr="0057267D">
        <w:rPr>
          <w:b/>
          <w:bCs/>
        </w:rPr>
        <w:t>Q</w:t>
      </w:r>
      <w:r w:rsidR="00C5121E">
        <w:rPr>
          <w:b/>
          <w:bCs/>
        </w:rPr>
        <w:t>.</w:t>
      </w:r>
      <w:r w:rsidRPr="0057267D">
        <w:rPr>
          <w:b/>
          <w:bCs/>
        </w:rPr>
        <w:tab/>
        <w:t>DO TRANSMISSION PLANNERS IN OTHER REGIONS ACCOUNT FOR TRANSMISSION BENEFITS OTHER THAN REDUCED CUSTOMER OUTAGES?</w:t>
      </w:r>
    </w:p>
    <w:p w14:paraId="51353F21" w14:textId="04B0D23E" w:rsidR="0057267D" w:rsidRDefault="0057267D" w:rsidP="00CA548D">
      <w:pPr>
        <w:pStyle w:val="GaAns"/>
      </w:pPr>
      <w:r w:rsidRPr="0057267D">
        <w:t>A</w:t>
      </w:r>
      <w:r w:rsidR="00C5121E" w:rsidRPr="00C5121E">
        <w:t>.</w:t>
      </w:r>
      <w:r w:rsidRPr="0057267D">
        <w:tab/>
        <w:t xml:space="preserve">Yes. </w:t>
      </w:r>
      <w:r w:rsidR="006D5080" w:rsidRPr="0057267D">
        <w:t xml:space="preserve"> </w:t>
      </w:r>
      <w:r w:rsidRPr="0057267D">
        <w:t>The Company’s analysis is highly unusual in that it does not account for how transmission upgrades provide production cost savings by reducing transmission losses and allowing lower-cost generation to displace higher-cost resources. Production cost savings are typically one of the primary benefits transmission planners account for when evaluating benefit-cost ratios for transmission projects.</w:t>
      </w:r>
      <w:r w:rsidR="00FE15A4">
        <w:t xml:space="preserve"> </w:t>
      </w:r>
      <w:r w:rsidR="00211137">
        <w:t xml:space="preserve">As FERC noted in its </w:t>
      </w:r>
      <w:r w:rsidR="002F4F04">
        <w:t xml:space="preserve">proposed rulemaking, </w:t>
      </w:r>
      <w:r w:rsidR="00DC2B98">
        <w:t>“</w:t>
      </w:r>
      <w:r w:rsidR="00DC2B98" w:rsidRPr="00DC2B98">
        <w:t xml:space="preserve">Most regional transmission planning processes currently estimate production cost </w:t>
      </w:r>
      <w:r w:rsidR="00DC2B98" w:rsidRPr="00DC2B98">
        <w:lastRenderedPageBreak/>
        <w:t>savings.</w:t>
      </w:r>
      <w:r w:rsidR="00DC2B98">
        <w:t>”</w:t>
      </w:r>
      <w:r w:rsidR="002F4F04">
        <w:rPr>
          <w:rStyle w:val="FootnoteReference"/>
        </w:rPr>
        <w:footnoteReference w:id="39"/>
      </w:r>
      <w:r w:rsidR="00DC2B98">
        <w:t xml:space="preserve"> </w:t>
      </w:r>
      <w:r w:rsidR="00FE15A4">
        <w:t>Failing to account for that benefit understates the value of transmission, resulting in an underinvestment in transmission that harms ratepayers</w:t>
      </w:r>
      <w:r w:rsidR="00D50493">
        <w:t>.</w:t>
      </w:r>
      <w:r w:rsidR="00DC2B98">
        <w:t xml:space="preserve"> As noted above, </w:t>
      </w:r>
      <w:r w:rsidR="00DC2B98" w:rsidRPr="0057267D">
        <w:t xml:space="preserve">I </w:t>
      </w:r>
      <w:r w:rsidR="00DC2B98">
        <w:t xml:space="preserve">recently </w:t>
      </w:r>
      <w:r w:rsidR="00DC2B98" w:rsidRPr="0057267D">
        <w:t xml:space="preserve">co-authored a report providing examples of how transmission planners in other regions have accounted for </w:t>
      </w:r>
      <w:r w:rsidR="002F4F04">
        <w:t>economics and other</w:t>
      </w:r>
      <w:r w:rsidR="00DC2B98" w:rsidRPr="0057267D">
        <w:t xml:space="preserve"> benefits.</w:t>
      </w:r>
      <w:r w:rsidR="00DC2B98" w:rsidRPr="0057267D">
        <w:rPr>
          <w:vertAlign w:val="superscript"/>
        </w:rPr>
        <w:footnoteReference w:id="40"/>
      </w:r>
    </w:p>
    <w:p w14:paraId="7DDC321D" w14:textId="719EF21F" w:rsidR="00CA548D" w:rsidRDefault="00CA548D" w:rsidP="00EB1B75">
      <w:pPr>
        <w:pStyle w:val="GaBody"/>
        <w:jc w:val="both"/>
      </w:pPr>
      <w:r w:rsidRPr="0057267D">
        <w:t xml:space="preserve">The MISO and SPP studies </w:t>
      </w:r>
      <w:r>
        <w:t>cited above</w:t>
      </w:r>
      <w:r w:rsidRPr="0057267D">
        <w:t xml:space="preserve"> confir</w:t>
      </w:r>
      <w:r>
        <w:t>m</w:t>
      </w:r>
      <w:r w:rsidRPr="0057267D">
        <w:t xml:space="preserve"> that by only looking at reduced customer outages, Georgia Power’s benefit analysis is only capturing a small share of transmission’s total benefits. For example, SPP’s analysis found that reliability benefits accounted for $3 billion out of the transmission portfolio’s total benefits of over $27 billion, or only 11% of the total benefits of transmission.</w:t>
      </w:r>
      <w:r w:rsidRPr="0057267D">
        <w:rPr>
          <w:vertAlign w:val="superscript"/>
        </w:rPr>
        <w:footnoteReference w:id="41"/>
      </w:r>
      <w:r w:rsidRPr="0057267D">
        <w:t xml:space="preserve"> SPP found production cost savings totaled over $20 billion, or 76% of the total benefits.</w:t>
      </w:r>
    </w:p>
    <w:p w14:paraId="02C3BB32" w14:textId="6046301C" w:rsidR="0057267D" w:rsidRPr="0057267D" w:rsidRDefault="00C5121E" w:rsidP="0057267D">
      <w:pPr>
        <w:pStyle w:val="GaAns"/>
        <w:rPr>
          <w:b/>
        </w:rPr>
      </w:pPr>
      <w:r>
        <w:rPr>
          <w:b/>
        </w:rPr>
        <w:t>Q.</w:t>
      </w:r>
      <w:r>
        <w:rPr>
          <w:b/>
        </w:rPr>
        <w:tab/>
      </w:r>
      <w:r w:rsidR="00271191">
        <w:rPr>
          <w:b/>
        </w:rPr>
        <w:t>ARE</w:t>
      </w:r>
      <w:r>
        <w:rPr>
          <w:b/>
        </w:rPr>
        <w:t xml:space="preserve"> THE COMPANIES’ PRACTICES PROACTIVE TRANSMISSION PLANNING?</w:t>
      </w:r>
      <w:r>
        <w:rPr>
          <w:b/>
        </w:rPr>
        <w:tab/>
      </w:r>
    </w:p>
    <w:p w14:paraId="29F1175A" w14:textId="661F6E6A" w:rsidR="0057267D" w:rsidRPr="0057267D" w:rsidRDefault="00271191" w:rsidP="004D4FF1">
      <w:pPr>
        <w:pStyle w:val="GaAns"/>
        <w:ind w:firstLine="0"/>
      </w:pPr>
      <w:r>
        <w:t>No.</w:t>
      </w:r>
      <w:r w:rsidR="00D50493">
        <w:t xml:space="preserve"> </w:t>
      </w:r>
      <w:r>
        <w:t>In particular, t</w:t>
      </w:r>
      <w:r w:rsidR="00D50493">
        <w:t>he</w:t>
      </w:r>
      <w:r w:rsidR="009F60BD">
        <w:t xml:space="preserve"> </w:t>
      </w:r>
      <w:r w:rsidR="00D50493">
        <w:t>s</w:t>
      </w:r>
      <w:r w:rsidR="009F60BD" w:rsidRPr="0057267D">
        <w:t>hort</w:t>
      </w:r>
      <w:r w:rsidR="00A24248">
        <w:t xml:space="preserve"> horizon</w:t>
      </w:r>
      <w:r w:rsidR="00D50493">
        <w:t xml:space="preserve"> of Georgia Power’s transmission planning</w:t>
      </w:r>
      <w:r w:rsidR="004C17DD" w:rsidRPr="0057267D">
        <w:rPr>
          <w:vertAlign w:val="superscript"/>
        </w:rPr>
        <w:footnoteReference w:id="42"/>
      </w:r>
      <w:r w:rsidR="00D50493">
        <w:t xml:space="preserve"> falls well short of the </w:t>
      </w:r>
      <w:r w:rsidR="00A24248">
        <w:t xml:space="preserve">20-year </w:t>
      </w:r>
      <w:r w:rsidR="004C17DD">
        <w:t xml:space="preserve">horizon </w:t>
      </w:r>
      <w:r w:rsidR="4046D362">
        <w:t>requirement proposed by</w:t>
      </w:r>
      <w:r w:rsidR="46902868">
        <w:t xml:space="preserve"> </w:t>
      </w:r>
      <w:proofErr w:type="gramStart"/>
      <w:r w:rsidR="004C17DD">
        <w:t xml:space="preserve">FERC </w:t>
      </w:r>
      <w:r w:rsidR="005630AA">
        <w:t xml:space="preserve"> to</w:t>
      </w:r>
      <w:proofErr w:type="gramEnd"/>
      <w:r w:rsidR="005630AA">
        <w:t xml:space="preserve"> ensure that </w:t>
      </w:r>
      <w:r w:rsidR="000A735F">
        <w:t>the rates paid by customers are just and reasonable</w:t>
      </w:r>
      <w:r w:rsidR="004C17DD">
        <w:t>.</w:t>
      </w:r>
      <w:r w:rsidR="004C17DD">
        <w:rPr>
          <w:rStyle w:val="FootnoteReference"/>
        </w:rPr>
        <w:footnoteReference w:id="43"/>
      </w:r>
      <w:r w:rsidR="009F60BD" w:rsidRPr="0057267D">
        <w:t xml:space="preserve"> </w:t>
      </w:r>
    </w:p>
    <w:p w14:paraId="5F91B89A" w14:textId="147DAAD6" w:rsidR="0057267D" w:rsidRPr="0057267D" w:rsidRDefault="0057267D" w:rsidP="0057267D">
      <w:pPr>
        <w:pStyle w:val="GaAns"/>
        <w:rPr>
          <w:b/>
          <w:bCs/>
        </w:rPr>
      </w:pPr>
      <w:r w:rsidRPr="0057267D">
        <w:rPr>
          <w:b/>
          <w:bCs/>
        </w:rPr>
        <w:t>Q</w:t>
      </w:r>
      <w:r w:rsidR="00595DF4">
        <w:rPr>
          <w:b/>
          <w:bCs/>
        </w:rPr>
        <w:t>.</w:t>
      </w:r>
      <w:r w:rsidRPr="0057267D">
        <w:rPr>
          <w:b/>
          <w:bCs/>
        </w:rPr>
        <w:tab/>
        <w:t>DO SOUTHEASTERN REGIONAL TRANSMISSION PLANNING (“SERTP”) PROCESSES CURRENTLY USE MULTI-VALUE PLANNING?</w:t>
      </w:r>
    </w:p>
    <w:p w14:paraId="7463D5E4" w14:textId="6C04F5E4" w:rsidR="0057267D" w:rsidRPr="0057267D" w:rsidRDefault="293334A1" w:rsidP="0057267D">
      <w:pPr>
        <w:pStyle w:val="GaAns"/>
      </w:pPr>
      <w:r w:rsidRPr="5CCA6ECA">
        <w:t>A</w:t>
      </w:r>
      <w:r w:rsidR="33090D0E">
        <w:rPr>
          <w:bCs/>
        </w:rPr>
        <w:t>.</w:t>
      </w:r>
      <w:r w:rsidR="0057267D" w:rsidRPr="0057267D">
        <w:rPr>
          <w:bCs/>
        </w:rPr>
        <w:tab/>
      </w:r>
      <w:r w:rsidRPr="0057267D">
        <w:t xml:space="preserve">No. </w:t>
      </w:r>
      <w:r w:rsidR="70C7AB1B">
        <w:t>Similar to Georgia Power’s transmission planning methods, t</w:t>
      </w:r>
      <w:r w:rsidRPr="0057267D">
        <w:t xml:space="preserve">he SERTP processes </w:t>
      </w:r>
      <w:r w:rsidRPr="0057267D">
        <w:lastRenderedPageBreak/>
        <w:t>greatly understate the benefits of transmission by only accounting for the benefit of deferr</w:t>
      </w:r>
      <w:r w:rsidR="2CA769A8">
        <w:t>ing</w:t>
      </w:r>
      <w:r w:rsidRPr="0057267D">
        <w:t xml:space="preserve"> transmission upgrades</w:t>
      </w:r>
      <w:r w:rsidR="2CA769A8">
        <w:t xml:space="preserve"> needed to meet NERC reliability criteria</w:t>
      </w:r>
      <w:r w:rsidRPr="0057267D">
        <w:t>. SERTP also uses siloed instead of multi-value transmission planning, with separate processes for evaluating reliability, economic, and public policy projects.</w:t>
      </w:r>
      <w:r w:rsidR="009B5936">
        <w:rPr>
          <w:rStyle w:val="FootnoteReference"/>
        </w:rPr>
        <w:footnoteReference w:id="44"/>
      </w:r>
    </w:p>
    <w:p w14:paraId="351185E3" w14:textId="71D2CC8F" w:rsidR="0057267D" w:rsidRPr="0057267D" w:rsidRDefault="0057267D" w:rsidP="0057267D">
      <w:pPr>
        <w:pStyle w:val="GaAns"/>
        <w:rPr>
          <w:b/>
        </w:rPr>
      </w:pPr>
      <w:r w:rsidRPr="0057267D">
        <w:rPr>
          <w:b/>
        </w:rPr>
        <w:t>Q</w:t>
      </w:r>
      <w:r w:rsidR="00595DF4">
        <w:rPr>
          <w:b/>
        </w:rPr>
        <w:t>.</w:t>
      </w:r>
      <w:r w:rsidRPr="0057267D">
        <w:rPr>
          <w:b/>
        </w:rPr>
        <w:tab/>
        <w:t xml:space="preserve">HAVE THERE BEEN CONSEQUENCES </w:t>
      </w:r>
      <w:r w:rsidR="00595DF4">
        <w:rPr>
          <w:b/>
        </w:rPr>
        <w:t>FROM</w:t>
      </w:r>
      <w:r w:rsidRPr="0057267D">
        <w:rPr>
          <w:b/>
        </w:rPr>
        <w:t xml:space="preserve"> </w:t>
      </w:r>
      <w:r w:rsidR="00CA3B0D">
        <w:rPr>
          <w:b/>
        </w:rPr>
        <w:t xml:space="preserve">GEORGIA POWER AND </w:t>
      </w:r>
      <w:r w:rsidRPr="0057267D">
        <w:rPr>
          <w:b/>
        </w:rPr>
        <w:t xml:space="preserve">SERTP NOT USING PROACTIVE MULTI-VALUE </w:t>
      </w:r>
      <w:r w:rsidR="002005D0">
        <w:rPr>
          <w:b/>
        </w:rPr>
        <w:t xml:space="preserve">TRANSMISSION </w:t>
      </w:r>
      <w:r w:rsidRPr="0057267D">
        <w:rPr>
          <w:b/>
        </w:rPr>
        <w:t xml:space="preserve">PLANNING? </w:t>
      </w:r>
    </w:p>
    <w:p w14:paraId="7C4A2B41" w14:textId="1B6FAA2B" w:rsidR="0057267D" w:rsidRPr="0057267D" w:rsidRDefault="0057267D" w:rsidP="0057267D">
      <w:pPr>
        <w:pStyle w:val="GaAns"/>
      </w:pPr>
      <w:r w:rsidRPr="0057267D">
        <w:t>A</w:t>
      </w:r>
      <w:r w:rsidR="00595DF4">
        <w:t>.</w:t>
      </w:r>
      <w:r w:rsidRPr="0057267D">
        <w:tab/>
        <w:t xml:space="preserve">Yes. </w:t>
      </w:r>
      <w:r w:rsidR="00CA3B0D">
        <w:t>Ge</w:t>
      </w:r>
      <w:r w:rsidR="00595DF4">
        <w:t>o</w:t>
      </w:r>
      <w:r w:rsidR="00CA3B0D">
        <w:t xml:space="preserve">rgia Power and </w:t>
      </w:r>
      <w:r w:rsidRPr="0057267D">
        <w:t xml:space="preserve">SERTP </w:t>
      </w:r>
      <w:r w:rsidR="007817A8">
        <w:t>trail other regions in transmission expansion</w:t>
      </w:r>
      <w:r w:rsidR="005C265D">
        <w:t xml:space="preserve">, falling well short of the level </w:t>
      </w:r>
      <w:r w:rsidR="004E2A22">
        <w:t xml:space="preserve">of investment other regions have found </w:t>
      </w:r>
      <w:r w:rsidR="00D108BE">
        <w:t>maximizes net benefits for ratepayers</w:t>
      </w:r>
      <w:r w:rsidRPr="0057267D">
        <w:t xml:space="preserve">. </w:t>
      </w:r>
      <w:r w:rsidR="00B20811">
        <w:t>The U.S. Department of Energy’s</w:t>
      </w:r>
      <w:r w:rsidR="0016402B" w:rsidRPr="0057267D">
        <w:t xml:space="preserve"> Transmission Needs Study found</w:t>
      </w:r>
      <w:r w:rsidR="0016402B">
        <w:t xml:space="preserve"> that the Southeast </w:t>
      </w:r>
      <w:r w:rsidR="00EA6221">
        <w:t xml:space="preserve">has greatly lagged other </w:t>
      </w:r>
      <w:r w:rsidR="00B20811">
        <w:t>region</w:t>
      </w:r>
      <w:r w:rsidR="00EA6221">
        <w:t>s</w:t>
      </w:r>
      <w:r w:rsidR="0016402B">
        <w:t xml:space="preserve"> </w:t>
      </w:r>
      <w:r w:rsidR="00B20811">
        <w:t>in building new transmission</w:t>
      </w:r>
      <w:r w:rsidR="00EA6221">
        <w:t>, building only 110 circuit miles</w:t>
      </w:r>
      <w:r w:rsidR="00D97642">
        <w:t xml:space="preserve"> per year on average over the period 2011-2020</w:t>
      </w:r>
      <w:r w:rsidR="0016402B" w:rsidRPr="0057267D">
        <w:t xml:space="preserve">. </w:t>
      </w:r>
      <w:r w:rsidR="000E7E28">
        <w:t xml:space="preserve">This is less than one-quarter </w:t>
      </w:r>
      <w:r w:rsidR="000C310B">
        <w:t xml:space="preserve">of </w:t>
      </w:r>
      <w:r w:rsidR="000E7E28">
        <w:t xml:space="preserve">the </w:t>
      </w:r>
      <w:r w:rsidR="00536191">
        <w:t xml:space="preserve">national </w:t>
      </w:r>
      <w:r w:rsidR="000E7E28">
        <w:t xml:space="preserve">rate </w:t>
      </w:r>
      <w:r w:rsidR="00536191">
        <w:t xml:space="preserve">on a load-weighted basis, with the Southeast building </w:t>
      </w:r>
      <w:r w:rsidR="00072830">
        <w:t>.21 miles/TWh of load versus a national average of .88 miles/TWh.</w:t>
      </w:r>
      <w:r w:rsidR="00072830">
        <w:rPr>
          <w:rStyle w:val="FootnoteReference"/>
        </w:rPr>
        <w:footnoteReference w:id="45"/>
      </w:r>
      <w:r w:rsidR="00072830">
        <w:t xml:space="preserve"> </w:t>
      </w:r>
      <w:r w:rsidR="0016402B">
        <w:t xml:space="preserve">Similarly, </w:t>
      </w:r>
      <w:r w:rsidRPr="0057267D">
        <w:t xml:space="preserve">Americans for a Clean Energy Grid </w:t>
      </w:r>
      <w:r w:rsidR="000C310B">
        <w:t xml:space="preserve">recently </w:t>
      </w:r>
      <w:r w:rsidRPr="0057267D">
        <w:t>released a report card scoring regions based on their transmission planning methods and their success in building transmission. The Southeast was the only region in the country to receive an “F” grade, and the only region that failed to build any transmission lines at or above 300-kV during the period 2020-2022.</w:t>
      </w:r>
      <w:r w:rsidRPr="0057267D">
        <w:rPr>
          <w:vertAlign w:val="superscript"/>
        </w:rPr>
        <w:footnoteReference w:id="46"/>
      </w:r>
      <w:r w:rsidRPr="0057267D">
        <w:t xml:space="preserve"> </w:t>
      </w:r>
      <w:r w:rsidR="006F3F37">
        <w:t xml:space="preserve">Transmission expansion is essential for </w:t>
      </w:r>
      <w:r w:rsidR="00C743C4">
        <w:t xml:space="preserve">efficiently </w:t>
      </w:r>
      <w:r w:rsidR="006F3F37">
        <w:t xml:space="preserve">addressing load growth, changes in the generation mix, </w:t>
      </w:r>
      <w:r w:rsidR="00E26F3A">
        <w:t xml:space="preserve">and reliability risks from severe weather. </w:t>
      </w:r>
      <w:r w:rsidR="00F021FD" w:rsidRPr="0057267D">
        <w:t xml:space="preserve">Continuing to rely on siloed </w:t>
      </w:r>
      <w:r w:rsidR="00F021FD">
        <w:t xml:space="preserve">and reactive </w:t>
      </w:r>
      <w:r w:rsidR="00F021FD" w:rsidRPr="0057267D">
        <w:t xml:space="preserve">processes that understate the benefits of transmission </w:t>
      </w:r>
      <w:r w:rsidR="00F021FD">
        <w:t>harms ratepayers by depriving them of affordable and reliable power.</w:t>
      </w:r>
    </w:p>
    <w:p w14:paraId="446A5BFE" w14:textId="77C322EF" w:rsidR="0057267D" w:rsidRPr="0057267D" w:rsidRDefault="0057267D" w:rsidP="0057267D">
      <w:pPr>
        <w:pStyle w:val="GaAns"/>
        <w:rPr>
          <w:b/>
          <w:bCs/>
        </w:rPr>
      </w:pPr>
      <w:r w:rsidRPr="0057267D">
        <w:rPr>
          <w:b/>
          <w:bCs/>
        </w:rPr>
        <w:t>Q</w:t>
      </w:r>
      <w:r w:rsidR="00595DF4">
        <w:rPr>
          <w:b/>
          <w:bCs/>
        </w:rPr>
        <w:t>.</w:t>
      </w:r>
      <w:r w:rsidRPr="0057267D">
        <w:rPr>
          <w:b/>
          <w:bCs/>
        </w:rPr>
        <w:tab/>
        <w:t xml:space="preserve">WHAT ARE THE BENEFITS OF PROACTIVE </w:t>
      </w:r>
      <w:r w:rsidR="00B3373B">
        <w:rPr>
          <w:b/>
          <w:bCs/>
        </w:rPr>
        <w:t xml:space="preserve">MULTI-VALUE </w:t>
      </w:r>
      <w:r w:rsidRPr="0057267D">
        <w:rPr>
          <w:b/>
          <w:bCs/>
        </w:rPr>
        <w:t xml:space="preserve">TRANSMISSION </w:t>
      </w:r>
      <w:r w:rsidRPr="0057267D">
        <w:rPr>
          <w:b/>
          <w:bCs/>
        </w:rPr>
        <w:lastRenderedPageBreak/>
        <w:t>PLANNING?</w:t>
      </w:r>
    </w:p>
    <w:p w14:paraId="3F57F105" w14:textId="49FAB497" w:rsidR="0057267D" w:rsidRDefault="0057267D" w:rsidP="0057267D">
      <w:pPr>
        <w:pStyle w:val="GaAns"/>
      </w:pPr>
      <w:r w:rsidRPr="0057267D">
        <w:rPr>
          <w:b/>
          <w:bCs/>
        </w:rPr>
        <w:t>A</w:t>
      </w:r>
      <w:r w:rsidR="00595DF4">
        <w:rPr>
          <w:b/>
          <w:bCs/>
        </w:rPr>
        <w:t>.</w:t>
      </w:r>
      <w:r w:rsidRPr="0057267D">
        <w:tab/>
        <w:t xml:space="preserve">Proactively planning a portfolio of transmission projects that meets multiple long-term needs is much more efficient than a reactive process that meets shorter-term needs with more incremental costly investments. This is largely because transmission investment offers large economies of scale, as explained above, with higher-voltage and double-circuit lines carrying many times more power than lower-voltage lines with a less than proportional increase in cost.  </w:t>
      </w:r>
    </w:p>
    <w:p w14:paraId="73F391AA" w14:textId="2C67BD11" w:rsidR="00B3373B" w:rsidRPr="0057267D" w:rsidRDefault="00B3373B" w:rsidP="00B3373B">
      <w:pPr>
        <w:pStyle w:val="GaAns"/>
        <w:ind w:firstLine="0"/>
      </w:pPr>
      <w:bookmarkStart w:id="8" w:name="_Hlk130546427"/>
      <w:r w:rsidRPr="0057267D">
        <w:t>Multi-value transmission planning is more efficient as it allows the selection of grid upgrades that simultaneously meet multiple objectives in providing economic, reliability, and generator interconnection benefits</w:t>
      </w:r>
      <w:bookmarkEnd w:id="8"/>
      <w:r w:rsidRPr="0057267D">
        <w:t xml:space="preserve">. Georgia Power’s current siloed process, in which reliability transmission projects are planned separately from generator interconnection projects, misses opportunities to meet both needs with the same projects more efficiently. </w:t>
      </w:r>
    </w:p>
    <w:p w14:paraId="2BC62D2D" w14:textId="337E13EC" w:rsidR="0057267D" w:rsidRPr="0057267D" w:rsidRDefault="0057267D" w:rsidP="0057267D">
      <w:pPr>
        <w:pStyle w:val="GaAns"/>
        <w:rPr>
          <w:b/>
          <w:bCs/>
        </w:rPr>
      </w:pPr>
      <w:r w:rsidRPr="0057267D">
        <w:rPr>
          <w:b/>
          <w:bCs/>
        </w:rPr>
        <w:t>Q</w:t>
      </w:r>
      <w:r w:rsidR="00051715">
        <w:rPr>
          <w:b/>
          <w:bCs/>
        </w:rPr>
        <w:t>.</w:t>
      </w:r>
      <w:r w:rsidRPr="0057267D">
        <w:rPr>
          <w:b/>
          <w:bCs/>
        </w:rPr>
        <w:tab/>
        <w:t>WHAT ARE COMMON REASONS FOR NOT USING PROACTIVE MULTI-VALUE TRANSMISSION PLANNING?</w:t>
      </w:r>
    </w:p>
    <w:p w14:paraId="0F36E0D3" w14:textId="6597E4E9" w:rsidR="0023763E" w:rsidRDefault="0057267D" w:rsidP="005747D8">
      <w:pPr>
        <w:pStyle w:val="GaAns"/>
      </w:pPr>
      <w:r w:rsidRPr="0057267D">
        <w:rPr>
          <w:b/>
          <w:bCs/>
        </w:rPr>
        <w:t>A</w:t>
      </w:r>
      <w:r w:rsidR="00051715">
        <w:rPr>
          <w:b/>
          <w:bCs/>
        </w:rPr>
        <w:t>.</w:t>
      </w:r>
      <w:r w:rsidRPr="0057267D">
        <w:tab/>
        <w:t xml:space="preserve">Siloed and reactive planning processes are often used so costs for different types of transmission can be assigned to different users of the grid. </w:t>
      </w:r>
      <w:r w:rsidR="00263004">
        <w:t xml:space="preserve">However, allocating </w:t>
      </w:r>
      <w:r w:rsidR="0029014B">
        <w:t xml:space="preserve">the cost of </w:t>
      </w:r>
      <w:r w:rsidR="00C17E9F">
        <w:t xml:space="preserve">upgrades </w:t>
      </w:r>
      <w:r w:rsidR="0041786B">
        <w:t>to</w:t>
      </w:r>
      <w:r w:rsidR="00FE3976">
        <w:t xml:space="preserve"> the bulk transmission network </w:t>
      </w:r>
      <w:r w:rsidR="00C17E9F">
        <w:t>is challenging because the</w:t>
      </w:r>
      <w:r w:rsidR="00156776">
        <w:t xml:space="preserve"> bulk transmission network allows all generators and loads to efficiently and reliably </w:t>
      </w:r>
      <w:r w:rsidR="00FE3976">
        <w:t>deliver power.</w:t>
      </w:r>
      <w:r w:rsidR="00C17E9F">
        <w:t xml:space="preserve"> </w:t>
      </w:r>
      <w:r w:rsidR="00263004">
        <w:t>In contrast, t</w:t>
      </w:r>
      <w:r w:rsidR="005B655C">
        <w:t xml:space="preserve">he cost of </w:t>
      </w:r>
      <w:r w:rsidR="005747D8">
        <w:t xml:space="preserve">direct </w:t>
      </w:r>
      <w:r w:rsidR="005B655C">
        <w:t>interconnection facilities</w:t>
      </w:r>
      <w:r w:rsidR="005747D8">
        <w:t>, analogous to the driveway a resource uses to connect to the transmission system,</w:t>
      </w:r>
      <w:r w:rsidR="005747D8" w:rsidRPr="002D7FCD">
        <w:t xml:space="preserve"> </w:t>
      </w:r>
      <w:r w:rsidR="005747D8">
        <w:t xml:space="preserve">is </w:t>
      </w:r>
      <w:r w:rsidR="005747D8" w:rsidRPr="002D7FCD">
        <w:t xml:space="preserve">always allocated to </w:t>
      </w:r>
      <w:r w:rsidR="005747D8">
        <w:t xml:space="preserve">the </w:t>
      </w:r>
      <w:r w:rsidR="005747D8" w:rsidRPr="002D7FCD">
        <w:t xml:space="preserve">interconnecting </w:t>
      </w:r>
      <w:r w:rsidR="005747D8">
        <w:t>resource</w:t>
      </w:r>
      <w:r w:rsidR="0023763E">
        <w:t xml:space="preserve"> as th</w:t>
      </w:r>
      <w:r w:rsidR="0029014B">
        <w:t>at</w:t>
      </w:r>
      <w:r w:rsidR="0023763E">
        <w:t xml:space="preserve"> </w:t>
      </w:r>
      <w:r w:rsidR="00CE47CD">
        <w:t>cost can be directly attributed to that resource</w:t>
      </w:r>
      <w:r w:rsidR="006A2232">
        <w:t xml:space="preserve"> and network power does not flow across</w:t>
      </w:r>
      <w:r w:rsidR="00527E7C">
        <w:t xml:space="preserve"> that </w:t>
      </w:r>
      <w:r w:rsidR="0041786B">
        <w:t xml:space="preserve">transmission </w:t>
      </w:r>
      <w:r w:rsidR="00527E7C">
        <w:t>element</w:t>
      </w:r>
      <w:r w:rsidR="005747D8">
        <w:t xml:space="preserve">. </w:t>
      </w:r>
    </w:p>
    <w:p w14:paraId="4050A6F5" w14:textId="040E3DF5" w:rsidR="0057267D" w:rsidRPr="0057267D" w:rsidRDefault="005747D8" w:rsidP="00EB1B75">
      <w:pPr>
        <w:pStyle w:val="GaAns"/>
        <w:ind w:firstLine="0"/>
      </w:pPr>
      <w:r>
        <w:t xml:space="preserve">Network upgrade </w:t>
      </w:r>
      <w:r w:rsidR="0057267D" w:rsidRPr="0057267D">
        <w:t xml:space="preserve">costs </w:t>
      </w:r>
      <w:r w:rsidR="0023763E">
        <w:t xml:space="preserve">assigned to generators </w:t>
      </w:r>
      <w:r w:rsidR="0057267D" w:rsidRPr="0057267D">
        <w:t xml:space="preserve">ultimately flow to ratepayers when they are rolled into the cost of the new generation. Generators must recover </w:t>
      </w:r>
      <w:r w:rsidR="002D7FCD">
        <w:t xml:space="preserve">network </w:t>
      </w:r>
      <w:r w:rsidR="0057267D" w:rsidRPr="0057267D">
        <w:t xml:space="preserve">upgrade costs, as well as the cost of interconnection study fees, by charging a higher price when Georgia Power </w:t>
      </w:r>
      <w:r w:rsidR="002D7FCD">
        <w:t>procures</w:t>
      </w:r>
      <w:r w:rsidR="0057267D" w:rsidRPr="0057267D">
        <w:t xml:space="preserve"> new renewable and storage resources</w:t>
      </w:r>
      <w:r w:rsidR="008F5D06">
        <w:t xml:space="preserve">, either through a </w:t>
      </w:r>
      <w:r w:rsidR="008F5D06" w:rsidRPr="0057267D">
        <w:t>power purchase agreement</w:t>
      </w:r>
      <w:r w:rsidR="008F5D06">
        <w:t xml:space="preserve"> or an acquisition</w:t>
      </w:r>
      <w:r w:rsidR="0057267D" w:rsidRPr="0057267D">
        <w:t xml:space="preserve">. As a result, developing a workable planning and cost allocation method that minimizes </w:t>
      </w:r>
      <w:r w:rsidR="00A1199A">
        <w:t xml:space="preserve">the </w:t>
      </w:r>
      <w:r w:rsidR="0057267D" w:rsidRPr="0057267D">
        <w:t>cost</w:t>
      </w:r>
      <w:r w:rsidR="00A1199A">
        <w:t xml:space="preserve"> and maximizes the net benefits of network </w:t>
      </w:r>
      <w:r w:rsidR="00A1199A">
        <w:lastRenderedPageBreak/>
        <w:t>upgrades</w:t>
      </w:r>
      <w:r w:rsidR="0057267D" w:rsidRPr="0057267D">
        <w:t xml:space="preserve"> is more important, as the costs will flow to ratepayers regardless of how they are initially allocated. </w:t>
      </w:r>
    </w:p>
    <w:p w14:paraId="7121DB65" w14:textId="6B518F87" w:rsidR="0057267D" w:rsidRDefault="00316508" w:rsidP="00B3373B">
      <w:pPr>
        <w:pStyle w:val="GaAns"/>
        <w:ind w:firstLine="0"/>
      </w:pPr>
      <w:r>
        <w:t>N</w:t>
      </w:r>
      <w:r w:rsidR="002D7FCD">
        <w:t xml:space="preserve">etwork </w:t>
      </w:r>
      <w:r w:rsidR="0057267D" w:rsidRPr="0057267D">
        <w:t xml:space="preserve">upgrades are also a public good, in that all users of the transmission system benefit from them, including competing generators. As a result, interconnecting generators have little incentive to pay for </w:t>
      </w:r>
      <w:r>
        <w:t>network</w:t>
      </w:r>
      <w:r w:rsidR="0057267D" w:rsidRPr="0057267D">
        <w:t xml:space="preserve"> upgrades, which has driven the extremely high dropout rate in the interconnection queues of </w:t>
      </w:r>
      <w:r w:rsidR="002D7FCD">
        <w:t>Southern Company</w:t>
      </w:r>
      <w:r w:rsidR="0057267D" w:rsidRPr="0057267D">
        <w:t xml:space="preserve"> and other grid operators. Assigning major network upgrade costs to an interconnecting generator is analogous to charging the next car entering a crowded </w:t>
      </w:r>
      <w:r>
        <w:t>high</w:t>
      </w:r>
      <w:r w:rsidR="0057267D" w:rsidRPr="0057267D">
        <w:t xml:space="preserve">way the full cost of </w:t>
      </w:r>
      <w:r>
        <w:t>adding another lane</w:t>
      </w:r>
      <w:r w:rsidR="0057267D" w:rsidRPr="0057267D">
        <w:t xml:space="preserve">. Proactively planning the needed </w:t>
      </w:r>
      <w:r w:rsidR="005747D8">
        <w:t>network upgrades</w:t>
      </w:r>
      <w:r w:rsidR="0057267D" w:rsidRPr="0057267D">
        <w:t xml:space="preserve"> and broadly allocating the cost to ratepayers is a more efficient and workable policy, similar to how costs for other public goods like roads and sewer systems are allocated.</w:t>
      </w:r>
      <w:r w:rsidR="0057267D" w:rsidRPr="0057267D" w:rsidDel="006039DB">
        <w:t xml:space="preserve"> </w:t>
      </w:r>
      <w:r w:rsidR="0057267D" w:rsidRPr="0057267D">
        <w:t xml:space="preserve">While assigning </w:t>
      </w:r>
      <w:r w:rsidR="00FA33A2">
        <w:t xml:space="preserve">network upgrade </w:t>
      </w:r>
      <w:r w:rsidR="0057267D" w:rsidRPr="0057267D">
        <w:t xml:space="preserve">costs to interconnecting generators can theoretically induce generators to locate in parts of the grid where less costly upgrades are needed, the same benefit can be obtained by synchronizing generation and transmission planning and then broadly allocating </w:t>
      </w:r>
      <w:r w:rsidR="00FA33A2">
        <w:t xml:space="preserve">network </w:t>
      </w:r>
      <w:r w:rsidR="0057267D" w:rsidRPr="0057267D">
        <w:t xml:space="preserve">transmission costs to ratepayers, which is more workable than assigning upgrade costs to generators. </w:t>
      </w:r>
    </w:p>
    <w:p w14:paraId="4451A3E7" w14:textId="77777777" w:rsidR="008572F7" w:rsidRPr="0057267D" w:rsidRDefault="008572F7" w:rsidP="008572F7">
      <w:pPr>
        <w:pStyle w:val="GaAns"/>
        <w:rPr>
          <w:b/>
          <w:bCs/>
        </w:rPr>
      </w:pPr>
      <w:r>
        <w:rPr>
          <w:b/>
          <w:bCs/>
        </w:rPr>
        <w:t>Q.</w:t>
      </w:r>
      <w:r w:rsidRPr="0057267D">
        <w:rPr>
          <w:b/>
          <w:bCs/>
        </w:rPr>
        <w:tab/>
        <w:t>DOES PROACTIVE PLANNING REDUCE INTERCONNECTION COSTS?</w:t>
      </w:r>
    </w:p>
    <w:p w14:paraId="0B09B056" w14:textId="51873FF0" w:rsidR="008572F7" w:rsidRPr="0057267D" w:rsidRDefault="008572F7" w:rsidP="008572F7">
      <w:pPr>
        <w:pStyle w:val="GaAns"/>
      </w:pPr>
      <w:r w:rsidRPr="0057267D">
        <w:rPr>
          <w:bCs/>
        </w:rPr>
        <w:t>A</w:t>
      </w:r>
      <w:r>
        <w:rPr>
          <w:bCs/>
        </w:rPr>
        <w:t>.</w:t>
      </w:r>
      <w:r w:rsidRPr="0057267D">
        <w:rPr>
          <w:b/>
          <w:bCs/>
        </w:rPr>
        <w:tab/>
      </w:r>
      <w:r w:rsidRPr="00ED569D">
        <w:t xml:space="preserve">Yes. </w:t>
      </w:r>
      <w:r w:rsidRPr="0057267D">
        <w:t xml:space="preserve">Proactive planning yields major savings by realizing economies of scale in transmission investment. </w:t>
      </w:r>
      <w:r w:rsidR="00F95A50">
        <w:t xml:space="preserve">Proactive planning allows investment in higher-capacity </w:t>
      </w:r>
      <w:r w:rsidR="008144C6">
        <w:t xml:space="preserve">network </w:t>
      </w:r>
      <w:r w:rsidR="00F95A50">
        <w:t xml:space="preserve">transmission </w:t>
      </w:r>
      <w:r w:rsidR="00583FA6">
        <w:t>solutions</w:t>
      </w:r>
      <w:r w:rsidR="00F95A50">
        <w:t xml:space="preserve"> </w:t>
      </w:r>
      <w:r w:rsidR="00FE3DAC">
        <w:t>that are more cost-effective for</w:t>
      </w:r>
      <w:r w:rsidR="00F95A50">
        <w:t xml:space="preserve"> meet</w:t>
      </w:r>
      <w:r w:rsidR="00FE3DAC">
        <w:t>ing</w:t>
      </w:r>
      <w:r w:rsidR="00F95A50">
        <w:t xml:space="preserve"> longer-term needs</w:t>
      </w:r>
      <w:r w:rsidR="00FE3DAC">
        <w:t xml:space="preserve"> than the lower-capacity upgrades</w:t>
      </w:r>
      <w:r w:rsidR="00BB7F9E">
        <w:t xml:space="preserve"> that result from reactive </w:t>
      </w:r>
      <w:r w:rsidR="00583FA6">
        <w:t>transmission expansion processes</w:t>
      </w:r>
      <w:r w:rsidR="003B7BFF">
        <w:t>,</w:t>
      </w:r>
      <w:r w:rsidR="00583FA6">
        <w:t xml:space="preserve"> like the interconnection queue.</w:t>
      </w:r>
      <w:r w:rsidR="00F95A50">
        <w:t xml:space="preserve"> </w:t>
      </w:r>
      <w:r w:rsidRPr="0057267D">
        <w:t>The PJM grid operator recently found that proactive transmission planning could integrate 12.4 GW of offshore wind resources along with 14.5 GW of onshore wind, 45.6 GW of solar, and 7.2 GW of storage, for a total of just $2.2 billion.</w:t>
      </w:r>
      <w:r w:rsidRPr="0057267D">
        <w:rPr>
          <w:vertAlign w:val="superscript"/>
        </w:rPr>
        <w:footnoteReference w:id="47"/>
      </w:r>
      <w:r w:rsidRPr="0057267D">
        <w:t xml:space="preserve"> This equates to a cost of $27/kilowatt for new generation capacity, a fraction of </w:t>
      </w:r>
      <w:r w:rsidRPr="0057267D">
        <w:lastRenderedPageBreak/>
        <w:t>the cost found through interconnection queue studies. For example, a Brattle Group analysis of PJM queue study results show $1.3 billion in total identified transmission upgrades for integrating 5.6 GW of PJM offshore wind resources alone,</w:t>
      </w:r>
      <w:r w:rsidRPr="0057267D">
        <w:rPr>
          <w:vertAlign w:val="superscript"/>
        </w:rPr>
        <w:footnoteReference w:id="48"/>
      </w:r>
      <w:r w:rsidRPr="0057267D">
        <w:t xml:space="preserve"> which equates to a cost of $415/kilowatt, 15 times greater than costs under PJM’s proactive plan. Other analyses found that integrating 15.5 GW of offshore wind under today’s rules would lead to $6.4 billion in upgrades,</w:t>
      </w:r>
      <w:r w:rsidRPr="0057267D">
        <w:rPr>
          <w:vertAlign w:val="superscript"/>
        </w:rPr>
        <w:footnoteReference w:id="49"/>
      </w:r>
      <w:r w:rsidRPr="0057267D">
        <w:t xml:space="preserve"> at a cost of $236/kilowatt.</w:t>
      </w:r>
    </w:p>
    <w:p w14:paraId="0DBE7770" w14:textId="06C58A35" w:rsidR="008572F7" w:rsidRPr="0057267D" w:rsidRDefault="008572F7" w:rsidP="008572F7">
      <w:pPr>
        <w:pStyle w:val="GaAns"/>
        <w:ind w:firstLine="0"/>
        <w:rPr>
          <w:b/>
          <w:bCs/>
        </w:rPr>
      </w:pPr>
      <w:r w:rsidRPr="0057267D">
        <w:t>Similarly, a proactive planning effort in New Jersey for offshore wind resulted in selections of onshore transmission upgrades that save New Jersey ratepayers approximately $1 billion for 6,400 MW of additional offshore wind, a two-thirds reduction relative to the costs identified th</w:t>
      </w:r>
      <w:r w:rsidR="40FB6BE8" w:rsidRPr="0057267D">
        <w:t>r</w:t>
      </w:r>
      <w:r w:rsidRPr="0057267D">
        <w:t>ough PJM queue studies.</w:t>
      </w:r>
      <w:r w:rsidRPr="0057267D">
        <w:rPr>
          <w:vertAlign w:val="superscript"/>
        </w:rPr>
        <w:footnoteReference w:id="50"/>
      </w:r>
    </w:p>
    <w:p w14:paraId="5EF8ACE6" w14:textId="77777777" w:rsidR="008572F7" w:rsidRPr="0057267D" w:rsidRDefault="008572F7" w:rsidP="008572F7">
      <w:pPr>
        <w:pStyle w:val="GaAns"/>
        <w:rPr>
          <w:b/>
          <w:bCs/>
        </w:rPr>
      </w:pPr>
      <w:r w:rsidRPr="0057267D">
        <w:rPr>
          <w:b/>
          <w:bCs/>
        </w:rPr>
        <w:t>Q</w:t>
      </w:r>
      <w:r>
        <w:rPr>
          <w:b/>
          <w:bCs/>
        </w:rPr>
        <w:t>.</w:t>
      </w:r>
      <w:r>
        <w:rPr>
          <w:b/>
          <w:bCs/>
        </w:rPr>
        <w:tab/>
      </w:r>
      <w:r w:rsidRPr="0057267D">
        <w:rPr>
          <w:b/>
          <w:bCs/>
        </w:rPr>
        <w:t>IS A REFORMED TRANSMISSION PLANNING APPROACH NEEDED</w:t>
      </w:r>
      <w:r w:rsidR="0008208B">
        <w:rPr>
          <w:b/>
          <w:bCs/>
        </w:rPr>
        <w:t xml:space="preserve"> FOR GEORGIA POWER</w:t>
      </w:r>
      <w:r w:rsidRPr="0057267D">
        <w:rPr>
          <w:b/>
          <w:bCs/>
        </w:rPr>
        <w:t>?</w:t>
      </w:r>
    </w:p>
    <w:p w14:paraId="050DC9A7" w14:textId="2404A962" w:rsidR="008572F7" w:rsidRPr="0057267D" w:rsidRDefault="008572F7" w:rsidP="008572F7">
      <w:pPr>
        <w:pStyle w:val="GaAns"/>
      </w:pPr>
      <w:r w:rsidRPr="0057267D">
        <w:rPr>
          <w:b/>
          <w:bCs/>
        </w:rPr>
        <w:t>A</w:t>
      </w:r>
      <w:r>
        <w:rPr>
          <w:b/>
          <w:bCs/>
        </w:rPr>
        <w:t>.</w:t>
      </w:r>
      <w:r w:rsidRPr="00656902">
        <w:tab/>
      </w:r>
      <w:r w:rsidRPr="0057267D">
        <w:t xml:space="preserve">Yes, proactive multi-value planning of major transmission upgrades will alleviate the current burden from trying to plan high-capacity network elements through reactive </w:t>
      </w:r>
      <w:r w:rsidR="0022011D">
        <w:t xml:space="preserve">processes like the </w:t>
      </w:r>
      <w:r w:rsidRPr="0057267D">
        <w:t xml:space="preserve">generator interconnection </w:t>
      </w:r>
      <w:r w:rsidR="0022011D">
        <w:t>queue</w:t>
      </w:r>
      <w:r w:rsidRPr="0057267D">
        <w:t xml:space="preserve">. While FERC recently required utilities to move to a cluster </w:t>
      </w:r>
      <w:r w:rsidR="0022011D">
        <w:t xml:space="preserve">interconnection </w:t>
      </w:r>
      <w:r w:rsidRPr="0057267D">
        <w:t>study approach</w:t>
      </w:r>
      <w:r w:rsidR="003C1CB1">
        <w:t>,</w:t>
      </w:r>
      <w:r w:rsidRPr="0057267D">
        <w:t xml:space="preserve"> </w:t>
      </w:r>
      <w:r w:rsidR="17219CF6">
        <w:t xml:space="preserve">which </w:t>
      </w:r>
      <w:r w:rsidRPr="0057267D">
        <w:t>offers incremental improvements over a serial approach in which interconnection applications are studied one at a time, it still fails to address the fundamental problems that interconnecting generators have little incentive to pay for grid upgrades that are public goods, and that transmission planned to interconnect generators does not optimize economic and reliability benefits.</w:t>
      </w:r>
    </w:p>
    <w:p w14:paraId="7CFDB3D3" w14:textId="35EE8C90" w:rsidR="008572F7" w:rsidRPr="0057267D" w:rsidRDefault="008572F7" w:rsidP="008572F7">
      <w:pPr>
        <w:pStyle w:val="GaAns"/>
        <w:ind w:firstLine="0"/>
      </w:pPr>
      <w:r w:rsidRPr="0057267D">
        <w:t xml:space="preserve">Other regions have found that interconnection queues, even with the use of cluster studies, are inadequate for addressing large-scale changes in the transmission system driven by </w:t>
      </w:r>
      <w:r w:rsidRPr="0057267D">
        <w:lastRenderedPageBreak/>
        <w:t>changes in the generation mix, as I explained in a recent report.</w:t>
      </w:r>
      <w:r w:rsidRPr="0057267D">
        <w:rPr>
          <w:vertAlign w:val="superscript"/>
        </w:rPr>
        <w:footnoteReference w:id="51"/>
      </w:r>
      <w:r w:rsidRPr="0057267D">
        <w:t xml:space="preserve"> Across the country, interconnection queues have ballooned to more than 2,000 GW of generation under study as they have failed to </w:t>
      </w:r>
      <w:r w:rsidR="003C1CB1">
        <w:t>efficiently</w:t>
      </w:r>
      <w:r w:rsidR="003C1CB1" w:rsidRPr="0057267D">
        <w:t xml:space="preserve"> </w:t>
      </w:r>
      <w:r w:rsidRPr="0057267D">
        <w:t xml:space="preserve">drive </w:t>
      </w:r>
      <w:r w:rsidR="003C1CB1">
        <w:t xml:space="preserve">network </w:t>
      </w:r>
      <w:r w:rsidRPr="0057267D">
        <w:t>transmission development.</w:t>
      </w:r>
      <w:r w:rsidRPr="0057267D">
        <w:rPr>
          <w:vertAlign w:val="superscript"/>
        </w:rPr>
        <w:footnoteReference w:id="52"/>
      </w:r>
      <w:r w:rsidRPr="0057267D">
        <w:t xml:space="preserve"> MISO has twice successfully used proactive multi-value planning to drive major transmission upgrades</w:t>
      </w:r>
      <w:r w:rsidRPr="0057267D">
        <w:rPr>
          <w:vertAlign w:val="superscript"/>
        </w:rPr>
        <w:footnoteReference w:id="53"/>
      </w:r>
      <w:r w:rsidRPr="0057267D">
        <w:t xml:space="preserve"> when its interconnection queue has gotten bogged down with the same vicious cycle of problems that are plaguing interconnection queues across the country. </w:t>
      </w:r>
    </w:p>
    <w:p w14:paraId="2BE8B3A5" w14:textId="0075ECE2" w:rsidR="008572F7" w:rsidRPr="0057267D" w:rsidRDefault="008572F7" w:rsidP="008572F7">
      <w:pPr>
        <w:pStyle w:val="GaAns"/>
        <w:rPr>
          <w:b/>
          <w:bCs/>
        </w:rPr>
      </w:pPr>
      <w:r w:rsidRPr="0057267D">
        <w:rPr>
          <w:b/>
          <w:bCs/>
        </w:rPr>
        <w:t>Q</w:t>
      </w:r>
      <w:r w:rsidR="00051715">
        <w:rPr>
          <w:b/>
          <w:bCs/>
        </w:rPr>
        <w:t>.</w:t>
      </w:r>
      <w:r w:rsidRPr="0057267D">
        <w:rPr>
          <w:b/>
          <w:bCs/>
        </w:rPr>
        <w:tab/>
        <w:t>WHAT ARE THE DRAWBACKS OF RELYING ON THE INTERCONNECTION QUEUE INSTEAD OF PROACTIVE PLANNING?</w:t>
      </w:r>
    </w:p>
    <w:p w14:paraId="19407C83" w14:textId="2D01C4BC" w:rsidR="008572F7" w:rsidRPr="0057267D" w:rsidRDefault="00051715" w:rsidP="008572F7">
      <w:pPr>
        <w:pStyle w:val="GaAns"/>
      </w:pPr>
      <w:r>
        <w:t>A.</w:t>
      </w:r>
      <w:r w:rsidR="008572F7" w:rsidRPr="0057267D">
        <w:rPr>
          <w:b/>
          <w:bCs/>
        </w:rPr>
        <w:tab/>
      </w:r>
      <w:r w:rsidR="008572F7" w:rsidRPr="0057267D">
        <w:t xml:space="preserve">Relying on the interconnection queue instead of proactive planning causes high </w:t>
      </w:r>
      <w:r w:rsidR="00AC6792">
        <w:t xml:space="preserve">network </w:t>
      </w:r>
      <w:r w:rsidR="008572F7" w:rsidRPr="0057267D">
        <w:t>upgrade costs, which drive developers to propose speculative projects, which results in a high dropout rate, which results in restudies for projects remaining in the queue, which introduces uncertainty to initial cost estimates and drives further withdrawals when updated costs are published for those other generators, which in turn drives further delays</w:t>
      </w:r>
      <w:r w:rsidR="0057332C">
        <w:t>, cost,</w:t>
      </w:r>
      <w:r w:rsidR="008572F7" w:rsidRPr="0057267D">
        <w:t xml:space="preserve"> cost uncertainty. </w:t>
      </w:r>
      <w:r w:rsidR="00AC6792">
        <w:t>As noted above, all of these costs ultimately flow through to ratepayers, as the</w:t>
      </w:r>
      <w:r w:rsidR="00E05A5D">
        <w:t>se</w:t>
      </w:r>
      <w:r w:rsidR="00AC6792">
        <w:t xml:space="preserve"> cost</w:t>
      </w:r>
      <w:r w:rsidR="00E05A5D">
        <w:t>s are</w:t>
      </w:r>
      <w:r w:rsidR="00AC6792">
        <w:t xml:space="preserve"> recovered </w:t>
      </w:r>
      <w:r w:rsidR="00206173">
        <w:t xml:space="preserve">through a higher </w:t>
      </w:r>
      <w:r w:rsidR="00E05A5D">
        <w:t xml:space="preserve">purchase price </w:t>
      </w:r>
      <w:r w:rsidR="00AC6792">
        <w:t xml:space="preserve">when </w:t>
      </w:r>
      <w:r w:rsidR="00206173">
        <w:t>the resources are contracted by Georgia Power.</w:t>
      </w:r>
    </w:p>
    <w:p w14:paraId="59F57093" w14:textId="34EED3FD" w:rsidR="008572F7" w:rsidRPr="0057267D" w:rsidRDefault="008572F7" w:rsidP="008572F7">
      <w:pPr>
        <w:pStyle w:val="GaAns"/>
        <w:rPr>
          <w:b/>
          <w:bCs/>
        </w:rPr>
      </w:pPr>
      <w:r w:rsidRPr="0057267D">
        <w:rPr>
          <w:b/>
          <w:bCs/>
        </w:rPr>
        <w:t>Q</w:t>
      </w:r>
      <w:r w:rsidR="00051715">
        <w:rPr>
          <w:b/>
          <w:bCs/>
        </w:rPr>
        <w:t>.</w:t>
      </w:r>
      <w:r w:rsidRPr="0057267D">
        <w:tab/>
      </w:r>
      <w:r w:rsidRPr="0057267D">
        <w:rPr>
          <w:b/>
          <w:bCs/>
        </w:rPr>
        <w:t>CAN USING PROACTIVE TRANSMISSION PLANNING INSTEAD OF A REACTIVE APPROACH HELP MITIGATE THE IMPACT OF INFLATIONARY COST PRESSURES?</w:t>
      </w:r>
    </w:p>
    <w:p w14:paraId="37ECA014" w14:textId="7D1C0E42" w:rsidR="008572F7" w:rsidRPr="0057267D" w:rsidRDefault="00051715" w:rsidP="008572F7">
      <w:pPr>
        <w:pStyle w:val="GaAns"/>
      </w:pPr>
      <w:r>
        <w:t>A.</w:t>
      </w:r>
      <w:r w:rsidR="008572F7" w:rsidRPr="0057267D">
        <w:tab/>
        <w:t>Yes. As I explain</w:t>
      </w:r>
      <w:r w:rsidR="008572F7">
        <w:t>ed above</w:t>
      </w:r>
      <w:r w:rsidR="008572F7" w:rsidRPr="0057267D">
        <w:t xml:space="preserve">, economies of scale greatly reduce the cost of proactively planned transmission, as a small number of high-voltage transmission lines can carry the </w:t>
      </w:r>
      <w:r w:rsidR="008572F7" w:rsidRPr="0057267D">
        <w:lastRenderedPageBreak/>
        <w:t xml:space="preserve">same amount of power as many lower-voltage lines, saving </w:t>
      </w:r>
      <w:r w:rsidR="00D2644F">
        <w:t xml:space="preserve">ratepayers </w:t>
      </w:r>
      <w:r w:rsidR="008572F7" w:rsidRPr="0057267D">
        <w:t>money by reducing material and labor expenses. This is particularly valuable given current inflationary cost pressures on a range of inputs, including steel and other metals used to build transmission towers and conductors, as well as labor shortages.</w:t>
      </w:r>
    </w:p>
    <w:p w14:paraId="0BC5EF98" w14:textId="21108543" w:rsidR="008572F7" w:rsidRPr="0057267D" w:rsidRDefault="008572F7" w:rsidP="008572F7">
      <w:pPr>
        <w:pStyle w:val="GaAns"/>
        <w:ind w:firstLine="0"/>
      </w:pPr>
      <w:r w:rsidRPr="0057267D">
        <w:t xml:space="preserve">Proactive planning also reduces the cost </w:t>
      </w:r>
      <w:r w:rsidR="00554C81">
        <w:t xml:space="preserve">and time burden </w:t>
      </w:r>
      <w:r w:rsidRPr="0057267D">
        <w:t xml:space="preserve">of planning grid upgrades. Nationally, utilities and </w:t>
      </w:r>
      <w:r w:rsidR="00554C81">
        <w:t xml:space="preserve">generation </w:t>
      </w:r>
      <w:r w:rsidRPr="0057267D">
        <w:t xml:space="preserve">developers are facing significant shortages of qualified engineers to run interconnection studies due to the ballooning interconnection queues. A better use of this scarce resource is to let transmission planners proactively plan transmission, instead of repeatedly running </w:t>
      </w:r>
      <w:r w:rsidR="001F17CB">
        <w:t xml:space="preserve">reactive interconnection </w:t>
      </w:r>
      <w:r w:rsidRPr="0057267D">
        <w:t>studies and restudies for generators that almost always drop out of the queue when they are assigned the cost of building major network upgrades.</w:t>
      </w:r>
    </w:p>
    <w:p w14:paraId="438542E8" w14:textId="793E0AE7" w:rsidR="008572F7" w:rsidRPr="0057267D" w:rsidRDefault="008572F7" w:rsidP="008572F7">
      <w:pPr>
        <w:pStyle w:val="GaAns"/>
        <w:rPr>
          <w:b/>
          <w:bCs/>
        </w:rPr>
      </w:pPr>
      <w:r w:rsidRPr="0057267D">
        <w:rPr>
          <w:b/>
          <w:bCs/>
        </w:rPr>
        <w:t>Q</w:t>
      </w:r>
      <w:r w:rsidR="00051715">
        <w:rPr>
          <w:b/>
          <w:bCs/>
        </w:rPr>
        <w:t>.</w:t>
      </w:r>
      <w:r w:rsidRPr="0057267D">
        <w:rPr>
          <w:b/>
          <w:bCs/>
        </w:rPr>
        <w:tab/>
        <w:t>IN ADDITION TO UTILIZING PROACTIVE MULTI-VALUE TRANSMISSION PLANNING, CAN GEORGIA POWER ALSO RELY ON THE INTERCONNECTION QUEUE?</w:t>
      </w:r>
    </w:p>
    <w:p w14:paraId="6A6489F5" w14:textId="74690D7E" w:rsidR="008572F7" w:rsidRPr="0057267D" w:rsidRDefault="00051715" w:rsidP="008572F7">
      <w:pPr>
        <w:pStyle w:val="GaAns"/>
      </w:pPr>
      <w:r>
        <w:t>A.</w:t>
      </w:r>
      <w:r w:rsidR="008572F7" w:rsidRPr="0057267D">
        <w:rPr>
          <w:b/>
          <w:bCs/>
        </w:rPr>
        <w:tab/>
      </w:r>
      <w:r w:rsidR="008572F7" w:rsidRPr="0057267D">
        <w:t xml:space="preserve">The current interconnection queue can be a useful input for transmission planning, by identifying areas where developers are interested in building generation projects, but it should not be the only input. The location of proposed projects in the queue is heavily shaped by where there is currently available transmission capacity, and new transmission build will change the topology of the system and create new unconstrained entry points for renewables. As a result, Georgia Power should also proactively plan transmission to new areas that are promising for low-cost renewable development. One way to do that is by using the results of a “Request for Proposals” or other solicitation to get market cost data from proposed generators in different locations. </w:t>
      </w:r>
      <w:r w:rsidR="00B01981" w:rsidRPr="0057267D">
        <w:t xml:space="preserve">Georgia Power’s renewable energy solicitations can serve as an important source of that cost information. </w:t>
      </w:r>
      <w:r w:rsidR="008572F7" w:rsidRPr="0057267D">
        <w:t xml:space="preserve">Then, Georgia Power can determine the cost of potential grid upgrade portfolios to accommodate groups of those </w:t>
      </w:r>
      <w:proofErr w:type="gramStart"/>
      <w:r w:rsidR="008572F7" w:rsidRPr="0057267D">
        <w:t>projects, and</w:t>
      </w:r>
      <w:proofErr w:type="gramEnd"/>
      <w:r w:rsidR="008572F7" w:rsidRPr="0057267D">
        <w:t xml:space="preserve"> choose the grid upgrades that minimize the total generation plus transmission cost</w:t>
      </w:r>
      <w:r w:rsidR="00001C9E">
        <w:t xml:space="preserve">. This type of synchronized </w:t>
      </w:r>
      <w:r w:rsidR="00841BD8">
        <w:t xml:space="preserve">generation plus transmission </w:t>
      </w:r>
      <w:r w:rsidR="00001C9E">
        <w:t xml:space="preserve">planning is </w:t>
      </w:r>
      <w:r w:rsidR="00841BD8">
        <w:t>necessary to truly achieve “integrated” resource planning</w:t>
      </w:r>
      <w:r w:rsidR="008572F7" w:rsidRPr="0057267D">
        <w:t xml:space="preserve">. Because transmission upgrades </w:t>
      </w:r>
      <w:r w:rsidR="008572F7" w:rsidRPr="0057267D">
        <w:lastRenderedPageBreak/>
        <w:t>work together to enable the efficient and reliable flow of power across the network, Georgia Power should plan and evaluate a holistic portfolio of upgrades rather than its current approach of evaluating single projects</w:t>
      </w:r>
      <w:r w:rsidR="008572F7">
        <w:t xml:space="preserve"> to address a single problem</w:t>
      </w:r>
      <w:r w:rsidR="008572F7" w:rsidRPr="0057267D">
        <w:t>. Planning should also account for the economies of scale from higher-voltage and double-circuit transmission to right-size for the long-term need.</w:t>
      </w:r>
    </w:p>
    <w:p w14:paraId="5572F57F" w14:textId="6712E268" w:rsidR="0057267D" w:rsidRPr="0057267D" w:rsidRDefault="00FF5988" w:rsidP="0057267D">
      <w:pPr>
        <w:pStyle w:val="GaAns"/>
        <w:rPr>
          <w:b/>
          <w:bCs/>
        </w:rPr>
      </w:pPr>
      <w:r w:rsidRPr="00F63D1F">
        <w:rPr>
          <w:b/>
          <w:bCs/>
        </w:rPr>
        <w:t>Q.</w:t>
      </w:r>
      <w:r w:rsidRPr="00F63D1F">
        <w:rPr>
          <w:b/>
          <w:bCs/>
        </w:rPr>
        <w:tab/>
        <w:t>WHAT</w:t>
      </w:r>
      <w:r w:rsidR="002A7432">
        <w:rPr>
          <w:b/>
          <w:bCs/>
        </w:rPr>
        <w:t xml:space="preserve"> TYPE OF TRANSMISSION PLANNING</w:t>
      </w:r>
      <w:r w:rsidR="008572F7">
        <w:rPr>
          <w:b/>
          <w:bCs/>
        </w:rPr>
        <w:t xml:space="preserve"> SHOULD THE </w:t>
      </w:r>
      <w:r w:rsidRPr="00F63D1F">
        <w:rPr>
          <w:b/>
          <w:bCs/>
        </w:rPr>
        <w:t>COMMISSION</w:t>
      </w:r>
      <w:r w:rsidR="008572F7">
        <w:rPr>
          <w:b/>
          <w:bCs/>
        </w:rPr>
        <w:t xml:space="preserve"> REQUIRE GEORGIA POWER</w:t>
      </w:r>
      <w:r w:rsidR="002A7432">
        <w:rPr>
          <w:b/>
          <w:bCs/>
        </w:rPr>
        <w:t xml:space="preserve"> TO IMPLEMENT</w:t>
      </w:r>
      <w:r w:rsidRPr="00F63D1F">
        <w:rPr>
          <w:b/>
          <w:bCs/>
        </w:rPr>
        <w:t xml:space="preserve">? </w:t>
      </w:r>
    </w:p>
    <w:p w14:paraId="3640EC7E" w14:textId="0B784DE4" w:rsidR="0057267D" w:rsidRPr="0057267D" w:rsidRDefault="00FF5988" w:rsidP="00FF5988">
      <w:pPr>
        <w:pStyle w:val="GaAns"/>
      </w:pPr>
      <w:r>
        <w:t>A.</w:t>
      </w:r>
      <w:r>
        <w:tab/>
        <w:t>M</w:t>
      </w:r>
      <w:r w:rsidR="0057267D" w:rsidRPr="0057267D">
        <w:t>y recommendation is that the Commission s</w:t>
      </w:r>
      <w:r>
        <w:t>hould</w:t>
      </w:r>
      <w:r w:rsidR="0057267D" w:rsidRPr="0057267D">
        <w:t xml:space="preserve"> direct Georgia Power to conduct</w:t>
      </w:r>
      <w:r w:rsidR="00F63D1F">
        <w:t xml:space="preserve"> a</w:t>
      </w:r>
      <w:r w:rsidR="0057267D" w:rsidRPr="0057267D">
        <w:t xml:space="preserve"> synchronized generation and transmission planning process that attempts to minimize total costs for generation plus transmission</w:t>
      </w:r>
      <w:r w:rsidR="0081381E">
        <w:t xml:space="preserve"> to meet long-term needs</w:t>
      </w:r>
      <w:r w:rsidR="000A0643">
        <w:t>, using proactive multi-value transmission planning</w:t>
      </w:r>
      <w:r w:rsidR="002A7432">
        <w:t xml:space="preserve"> </w:t>
      </w:r>
      <w:r w:rsidR="009C4AAE">
        <w:t>to plan upgrades that maximize transmission’s net benefits</w:t>
      </w:r>
      <w:r w:rsidR="0057267D" w:rsidRPr="0057267D">
        <w:t>. MISO and others have successfully used a synchronized generation and transmission planning approach to minimize total costs to ratepayers. As illustrated in the following chart from the MISO planning document that led to the MVPs, synchronized planning minimize</w:t>
      </w:r>
      <w:r w:rsidR="000A0643">
        <w:t>s</w:t>
      </w:r>
      <w:r w:rsidR="0057267D" w:rsidRPr="0057267D">
        <w:t xml:space="preserve"> the total cost to ratepayers of generation plus transmission by building the optimal amount of transmission.</w:t>
      </w:r>
      <w:r w:rsidR="0057267D" w:rsidRPr="0057267D">
        <w:rPr>
          <w:vertAlign w:val="superscript"/>
        </w:rPr>
        <w:footnoteReference w:id="54"/>
      </w:r>
    </w:p>
    <w:p w14:paraId="73BD7211" w14:textId="77777777" w:rsidR="0057267D" w:rsidRPr="00BD272F" w:rsidRDefault="0057267D" w:rsidP="00BD272F">
      <w:pPr>
        <w:pStyle w:val="GaAns"/>
        <w:jc w:val="center"/>
        <w:rPr>
          <w:b/>
          <w:bCs/>
        </w:rPr>
      </w:pPr>
      <w:r w:rsidRPr="00BD272F">
        <w:rPr>
          <w:b/>
          <w:bCs/>
          <w:noProof/>
        </w:rPr>
        <w:lastRenderedPageBreak/>
        <w:drawing>
          <wp:inline distT="0" distB="0" distL="0" distR="0" wp14:anchorId="6EB40412" wp14:editId="0B0D2612">
            <wp:extent cx="4573491" cy="3154589"/>
            <wp:effectExtent l="0" t="0" r="0" b="8255"/>
            <wp:docPr id="1" name="Picture 1" descr="A graph of a normal and a normal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normal and a normal graph&#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4977" cy="3155614"/>
                    </a:xfrm>
                    <a:prstGeom prst="rect">
                      <a:avLst/>
                    </a:prstGeom>
                    <a:noFill/>
                    <a:ln>
                      <a:noFill/>
                    </a:ln>
                  </pic:spPr>
                </pic:pic>
              </a:graphicData>
            </a:graphic>
          </wp:inline>
        </w:drawing>
      </w:r>
    </w:p>
    <w:p w14:paraId="454F58CB" w14:textId="4DD479C0" w:rsidR="008B299D" w:rsidRPr="00BD272F" w:rsidRDefault="008B299D" w:rsidP="00BD272F">
      <w:pPr>
        <w:pStyle w:val="GaBody"/>
        <w:jc w:val="center"/>
        <w:rPr>
          <w:b/>
          <w:bCs/>
          <w:lang w:eastAsia="en-US"/>
        </w:rPr>
      </w:pPr>
      <w:r w:rsidRPr="00BD272F">
        <w:rPr>
          <w:b/>
          <w:bCs/>
          <w:lang w:eastAsia="en-US"/>
        </w:rPr>
        <w:t xml:space="preserve">Figure 1: MISO chart showing </w:t>
      </w:r>
      <w:r w:rsidR="00BD272F" w:rsidRPr="00BD272F">
        <w:rPr>
          <w:b/>
          <w:bCs/>
          <w:lang w:eastAsia="en-US"/>
        </w:rPr>
        <w:t>how co-optimized generation and transmission planning minimizes cost for ratepayers</w:t>
      </w:r>
    </w:p>
    <w:p w14:paraId="0A076B07" w14:textId="27856DF2" w:rsidR="00E70DF4" w:rsidRPr="0057267D" w:rsidRDefault="00E70DF4" w:rsidP="00E70DF4">
      <w:pPr>
        <w:pStyle w:val="GaAns"/>
        <w:ind w:firstLine="0"/>
      </w:pPr>
      <w:r w:rsidRPr="0057267D">
        <w:t xml:space="preserve">While planning and building longer-term </w:t>
      </w:r>
      <w:r w:rsidR="00FF48E5">
        <w:t xml:space="preserve">transmission </w:t>
      </w:r>
      <w:r w:rsidRPr="0057267D">
        <w:t xml:space="preserve">solutions can take time, </w:t>
      </w:r>
      <w:r w:rsidR="00FF48E5">
        <w:t>Georgia Power</w:t>
      </w:r>
      <w:r w:rsidRPr="0057267D">
        <w:t xml:space="preserve"> can use the interim solutions discussed above, like </w:t>
      </w:r>
      <w:r w:rsidR="00FF48E5">
        <w:t xml:space="preserve">battery </w:t>
      </w:r>
      <w:r w:rsidRPr="0057267D">
        <w:t xml:space="preserve">storage, demand response, and grid-enhancing technologies, to defer the need for near-term upgrades.  </w:t>
      </w:r>
    </w:p>
    <w:p w14:paraId="18B12CFD" w14:textId="77777777" w:rsidR="00E70DF4" w:rsidRPr="0057267D" w:rsidRDefault="00E70DF4" w:rsidP="00E70DF4">
      <w:pPr>
        <w:pStyle w:val="GaBody"/>
        <w:rPr>
          <w:lang w:eastAsia="en-US"/>
        </w:rPr>
      </w:pPr>
    </w:p>
    <w:p w14:paraId="0D28616D" w14:textId="4AAC980F" w:rsidR="0057267D" w:rsidRPr="0057267D" w:rsidRDefault="00EA581C" w:rsidP="006F4294">
      <w:pPr>
        <w:pStyle w:val="Heading1"/>
        <w:rPr>
          <w:bCs/>
        </w:rPr>
      </w:pPr>
      <w:bookmarkStart w:id="9" w:name="_Toc158738945"/>
      <w:r>
        <w:rPr>
          <w:bCs/>
        </w:rPr>
        <w:t xml:space="preserve">The proposed Yates CTs </w:t>
      </w:r>
      <w:r w:rsidR="00987B48">
        <w:rPr>
          <w:bCs/>
        </w:rPr>
        <w:t>face</w:t>
      </w:r>
      <w:r>
        <w:rPr>
          <w:bCs/>
        </w:rPr>
        <w:t xml:space="preserve"> curtailment</w:t>
      </w:r>
      <w:r w:rsidR="002B04E9">
        <w:rPr>
          <w:bCs/>
        </w:rPr>
        <w:t xml:space="preserve"> </w:t>
      </w:r>
      <w:r w:rsidR="00987B48">
        <w:rPr>
          <w:bCs/>
        </w:rPr>
        <w:t xml:space="preserve">risk </w:t>
      </w:r>
      <w:r w:rsidR="002B04E9">
        <w:rPr>
          <w:bCs/>
        </w:rPr>
        <w:t xml:space="preserve">that </w:t>
      </w:r>
      <w:r w:rsidR="004C0C72">
        <w:rPr>
          <w:bCs/>
        </w:rPr>
        <w:t>limit</w:t>
      </w:r>
      <w:r w:rsidR="002B04E9">
        <w:rPr>
          <w:bCs/>
        </w:rPr>
        <w:t xml:space="preserve">s their value as a capacity </w:t>
      </w:r>
      <w:proofErr w:type="gramStart"/>
      <w:r w:rsidR="002B04E9">
        <w:rPr>
          <w:bCs/>
        </w:rPr>
        <w:t>resource</w:t>
      </w:r>
      <w:bookmarkEnd w:id="9"/>
      <w:proofErr w:type="gramEnd"/>
    </w:p>
    <w:p w14:paraId="7C728048" w14:textId="7A3045F1" w:rsidR="005626DF" w:rsidRPr="0057267D" w:rsidRDefault="005626DF" w:rsidP="005626DF">
      <w:pPr>
        <w:pStyle w:val="GaAns"/>
        <w:rPr>
          <w:b/>
          <w:bCs/>
        </w:rPr>
      </w:pPr>
      <w:r w:rsidRPr="00F63D1F">
        <w:rPr>
          <w:b/>
          <w:bCs/>
        </w:rPr>
        <w:t>Q.</w:t>
      </w:r>
      <w:r w:rsidRPr="00F63D1F">
        <w:rPr>
          <w:b/>
          <w:bCs/>
        </w:rPr>
        <w:tab/>
        <w:t>WHAT</w:t>
      </w:r>
      <w:r>
        <w:rPr>
          <w:b/>
          <w:bCs/>
        </w:rPr>
        <w:t xml:space="preserve"> TYPE OF TRANSMISSION SERVICE HAS THE COMPANY REQUESTED FOR THE YATES CT</w:t>
      </w:r>
      <w:r w:rsidR="003049B5">
        <w:rPr>
          <w:b/>
          <w:bCs/>
        </w:rPr>
        <w:t xml:space="preserve"> ADDITIONS</w:t>
      </w:r>
      <w:r w:rsidR="00CF0CBA">
        <w:rPr>
          <w:b/>
          <w:bCs/>
        </w:rPr>
        <w:t>?</w:t>
      </w:r>
    </w:p>
    <w:p w14:paraId="0E31B81C" w14:textId="7BAF486F" w:rsidR="00CF0CBA" w:rsidRDefault="005626DF" w:rsidP="003049B5">
      <w:pPr>
        <w:pStyle w:val="GaAns"/>
      </w:pPr>
      <w:r>
        <w:t>A.</w:t>
      </w:r>
      <w:r>
        <w:tab/>
      </w:r>
      <w:r w:rsidR="0057267D" w:rsidRPr="0057267D">
        <w:t>The Company has requested Energy Resource Interconnection Service (</w:t>
      </w:r>
      <w:r w:rsidR="00994F76">
        <w:t>“</w:t>
      </w:r>
      <w:r w:rsidR="0057267D" w:rsidRPr="0057267D">
        <w:t>ERIS</w:t>
      </w:r>
      <w:r w:rsidR="00994F76">
        <w:t>”</w:t>
      </w:r>
      <w:r w:rsidR="0057267D" w:rsidRPr="0057267D">
        <w:t>) and not Network Resource Interconnection Service (</w:t>
      </w:r>
      <w:r w:rsidR="00994F76">
        <w:t>“</w:t>
      </w:r>
      <w:r w:rsidR="0057267D" w:rsidRPr="0057267D">
        <w:t>NRIS</w:t>
      </w:r>
      <w:r w:rsidR="00994F76">
        <w:t>”</w:t>
      </w:r>
      <w:r w:rsidR="0057267D" w:rsidRPr="0057267D">
        <w:t>) for the proposed combustion turbine additions at Plant Yates</w:t>
      </w:r>
      <w:r w:rsidR="00C815E6">
        <w:t>.</w:t>
      </w:r>
      <w:r w:rsidR="0057267D" w:rsidRPr="0057267D">
        <w:rPr>
          <w:vertAlign w:val="superscript"/>
        </w:rPr>
        <w:footnoteReference w:id="55"/>
      </w:r>
      <w:r w:rsidR="0057267D" w:rsidRPr="0057267D">
        <w:t xml:space="preserve"> </w:t>
      </w:r>
      <w:r w:rsidR="00B372D9">
        <w:t xml:space="preserve">As Southern Company explains in its </w:t>
      </w:r>
      <w:r w:rsidR="00215435">
        <w:t xml:space="preserve">Large Generator </w:t>
      </w:r>
      <w:r w:rsidR="00215435">
        <w:lastRenderedPageBreak/>
        <w:t xml:space="preserve">Interconnection Procedures, </w:t>
      </w:r>
      <w:r w:rsidR="00DB45CC">
        <w:t xml:space="preserve">a </w:t>
      </w:r>
      <w:r w:rsidR="00C815E6">
        <w:t xml:space="preserve">NRIS </w:t>
      </w:r>
      <w:r w:rsidR="00DB45CC">
        <w:t>study assures that the full output of the studied resource is deliverable to load</w:t>
      </w:r>
      <w:r w:rsidR="00DC0A6E">
        <w:t xml:space="preserve"> and allows the generator to be designated as a network resource.</w:t>
      </w:r>
      <w:r w:rsidR="005B1F58">
        <w:rPr>
          <w:rStyle w:val="FootnoteReference"/>
        </w:rPr>
        <w:footnoteReference w:id="56"/>
      </w:r>
      <w:r w:rsidR="00C815E6">
        <w:t xml:space="preserve"> </w:t>
      </w:r>
      <w:r w:rsidR="00B049FD">
        <w:t>In contrast,</w:t>
      </w:r>
      <w:r w:rsidR="009C62FF">
        <w:t xml:space="preserve"> </w:t>
      </w:r>
      <w:r w:rsidR="0057267D" w:rsidRPr="0057267D">
        <w:t>ERIS</w:t>
      </w:r>
      <w:r w:rsidR="00B049FD">
        <w:t xml:space="preserve"> </w:t>
      </w:r>
      <w:r w:rsidR="008E10C8">
        <w:t xml:space="preserve">only </w:t>
      </w:r>
      <w:r w:rsidR="00994F76">
        <w:t>makes</w:t>
      </w:r>
      <w:r w:rsidR="008E10C8">
        <w:t xml:space="preserve"> the generator eligible to deliver its output using the </w:t>
      </w:r>
      <w:r w:rsidR="004C0C72">
        <w:t xml:space="preserve">“as available” </w:t>
      </w:r>
      <w:r w:rsidR="008E10C8">
        <w:t xml:space="preserve">capacity of the </w:t>
      </w:r>
      <w:r w:rsidR="004C0C72">
        <w:t>t</w:t>
      </w:r>
      <w:r w:rsidR="008E10C8">
        <w:t xml:space="preserve">ransmission </w:t>
      </w:r>
      <w:r w:rsidR="004C0C72">
        <w:t>s</w:t>
      </w:r>
      <w:r w:rsidR="008E10C8">
        <w:t>ystem</w:t>
      </w:r>
      <w:r w:rsidR="009877A4">
        <w:t>.</w:t>
      </w:r>
      <w:r w:rsidR="00B049FD">
        <w:rPr>
          <w:rStyle w:val="FootnoteReference"/>
        </w:rPr>
        <w:footnoteReference w:id="57"/>
      </w:r>
      <w:r w:rsidR="0057267D" w:rsidRPr="0057267D">
        <w:t xml:space="preserve"> </w:t>
      </w:r>
      <w:r w:rsidR="00FA1378">
        <w:t xml:space="preserve">NRIS is typically used for </w:t>
      </w:r>
      <w:r w:rsidR="003E6CCD">
        <w:t xml:space="preserve">generators like the proposed Yates CTs that are intended to be used as capacity </w:t>
      </w:r>
      <w:r w:rsidR="00FA1378">
        <w:t>resources</w:t>
      </w:r>
      <w:r w:rsidR="009877A4">
        <w:t>, while ERIS is typically used for energy-only resources, as the “energy” in ERIS indicates</w:t>
      </w:r>
      <w:r w:rsidR="003E6CCD">
        <w:t>.</w:t>
      </w:r>
      <w:r w:rsidR="00DA79A8">
        <w:t xml:space="preserve"> </w:t>
      </w:r>
    </w:p>
    <w:p w14:paraId="05775FCA" w14:textId="668AF2BD" w:rsidR="00CF0CBA" w:rsidRPr="00CC66D6" w:rsidRDefault="00CF0CBA" w:rsidP="00CC66D6">
      <w:pPr>
        <w:pStyle w:val="GaBody"/>
        <w:ind w:hanging="720"/>
        <w:rPr>
          <w:b/>
          <w:bCs/>
        </w:rPr>
      </w:pPr>
      <w:r w:rsidRPr="00CC66D6">
        <w:rPr>
          <w:rFonts w:eastAsia="Times New Roman"/>
          <w:b/>
          <w:bCs/>
          <w:lang w:eastAsia="en-US"/>
        </w:rPr>
        <w:t>Q.</w:t>
      </w:r>
      <w:r w:rsidRPr="00CC66D6">
        <w:rPr>
          <w:b/>
          <w:bCs/>
          <w:lang w:eastAsia="en-US"/>
        </w:rPr>
        <w:tab/>
      </w:r>
      <w:r w:rsidR="00D81758">
        <w:rPr>
          <w:b/>
          <w:bCs/>
          <w:lang w:eastAsia="en-US"/>
        </w:rPr>
        <w:t xml:space="preserve">DOES </w:t>
      </w:r>
      <w:r>
        <w:rPr>
          <w:b/>
          <w:bCs/>
          <w:lang w:eastAsia="en-US"/>
        </w:rPr>
        <w:t>THE COMPANY’S REQUEST FOR ERIS AND NOT NRIS</w:t>
      </w:r>
      <w:r w:rsidR="00DB49EA">
        <w:rPr>
          <w:b/>
          <w:bCs/>
          <w:lang w:eastAsia="en-US"/>
        </w:rPr>
        <w:t xml:space="preserve"> FOR THE </w:t>
      </w:r>
      <w:r w:rsidR="0091720B">
        <w:rPr>
          <w:b/>
          <w:bCs/>
          <w:lang w:eastAsia="en-US"/>
        </w:rPr>
        <w:t xml:space="preserve">PROPOSED </w:t>
      </w:r>
      <w:r w:rsidR="00DB49EA">
        <w:rPr>
          <w:b/>
          <w:bCs/>
          <w:lang w:eastAsia="en-US"/>
        </w:rPr>
        <w:t>YATES CT ADDITIONS</w:t>
      </w:r>
      <w:r w:rsidR="00D81758">
        <w:rPr>
          <w:b/>
          <w:bCs/>
          <w:lang w:eastAsia="en-US"/>
        </w:rPr>
        <w:t xml:space="preserve"> CREATE RISK</w:t>
      </w:r>
      <w:r w:rsidRPr="00CC66D6">
        <w:rPr>
          <w:b/>
          <w:bCs/>
          <w:lang w:eastAsia="en-US"/>
        </w:rPr>
        <w:t>?</w:t>
      </w:r>
    </w:p>
    <w:p w14:paraId="612E3B48" w14:textId="32D28AB1" w:rsidR="0057267D" w:rsidRPr="0057267D" w:rsidRDefault="2D8A3F01" w:rsidP="00CC66D6">
      <w:pPr>
        <w:pStyle w:val="GaAns"/>
      </w:pPr>
      <w:r>
        <w:t>A.</w:t>
      </w:r>
      <w:r w:rsidR="00CF0CBA">
        <w:tab/>
      </w:r>
      <w:r>
        <w:t>T</w:t>
      </w:r>
      <w:r w:rsidR="293334A1">
        <w:t xml:space="preserve">here is risk that </w:t>
      </w:r>
      <w:r w:rsidR="245E1131">
        <w:t>a lac</w:t>
      </w:r>
      <w:r w:rsidR="6590B70E">
        <w:t>k</w:t>
      </w:r>
      <w:r w:rsidR="245E1131">
        <w:t xml:space="preserve"> of transmission capacity</w:t>
      </w:r>
      <w:r w:rsidR="6D584090">
        <w:t xml:space="preserve"> </w:t>
      </w:r>
      <w:r w:rsidR="293334A1">
        <w:t xml:space="preserve">will </w:t>
      </w:r>
      <w:r w:rsidR="6590B70E">
        <w:t xml:space="preserve">result in curtailment of the </w:t>
      </w:r>
      <w:r w:rsidR="7B6F00CC">
        <w:t>Yates CTs’</w:t>
      </w:r>
      <w:r w:rsidR="31FC3A4B">
        <w:t xml:space="preserve"> generation</w:t>
      </w:r>
      <w:r w:rsidR="6590B70E">
        <w:t xml:space="preserve"> </w:t>
      </w:r>
      <w:r w:rsidR="7B6F00CC">
        <w:t xml:space="preserve">during periods of peak need, </w:t>
      </w:r>
      <w:r w:rsidR="293334A1">
        <w:t>limit</w:t>
      </w:r>
      <w:r w:rsidR="7B6F00CC">
        <w:t>ing</w:t>
      </w:r>
      <w:r w:rsidR="293334A1">
        <w:t xml:space="preserve"> the capacity contribution of the proposed</w:t>
      </w:r>
      <w:r w:rsidR="6499CC04">
        <w:t xml:space="preserve"> </w:t>
      </w:r>
      <w:r w:rsidR="293334A1">
        <w:t>Yates CTs</w:t>
      </w:r>
      <w:r w:rsidR="1E7816CA">
        <w:t xml:space="preserve">, as transmission congestion often occurs during periods </w:t>
      </w:r>
      <w:r w:rsidR="14ED6A3F">
        <w:t>when the</w:t>
      </w:r>
      <w:r w:rsidR="1E7816CA">
        <w:t xml:space="preserve"> need for generating capacity</w:t>
      </w:r>
      <w:r w:rsidR="14ED6A3F">
        <w:t xml:space="preserve"> is at its highest</w:t>
      </w:r>
      <w:r w:rsidR="293334A1">
        <w:t>.</w:t>
      </w:r>
      <w:r w:rsidR="55EB03CE">
        <w:t xml:space="preserve"> The Company should quantify and clarify this risk</w:t>
      </w:r>
      <w:r w:rsidR="2D2F559D">
        <w:t xml:space="preserve"> to allow the Commission</w:t>
      </w:r>
      <w:r w:rsidR="4E079C57">
        <w:t xml:space="preserve"> and other stakeholders</w:t>
      </w:r>
      <w:r w:rsidR="2D2F559D">
        <w:t xml:space="preserve"> to determine if the Yates CTs and the associated transmission upgrades are </w:t>
      </w:r>
      <w:r w:rsidR="4E079C57">
        <w:t>prudent</w:t>
      </w:r>
      <w:r w:rsidR="3AEC6B00">
        <w:t xml:space="preserve"> capacity resource</w:t>
      </w:r>
      <w:r w:rsidR="4E079C57">
        <w:t xml:space="preserve"> </w:t>
      </w:r>
      <w:r w:rsidR="61C2356D">
        <w:t>investment</w:t>
      </w:r>
      <w:r w:rsidR="3AEC6B00">
        <w:t>s</w:t>
      </w:r>
      <w:r w:rsidR="61C2356D">
        <w:t>.</w:t>
      </w:r>
    </w:p>
    <w:p w14:paraId="0DD1783D" w14:textId="1396F186" w:rsidR="00D02190" w:rsidRDefault="00D02190" w:rsidP="00D02190">
      <w:pPr>
        <w:pStyle w:val="GaAns"/>
        <w:rPr>
          <w:lang w:eastAsia="zh-CN"/>
        </w:rPr>
      </w:pPr>
      <w:r>
        <w:rPr>
          <w:lang w:eastAsia="zh-CN"/>
        </w:rPr>
        <w:t xml:space="preserve">  </w:t>
      </w:r>
    </w:p>
    <w:p w14:paraId="374EBFE3" w14:textId="77777777" w:rsidR="00CE717E" w:rsidRPr="00A52616" w:rsidRDefault="00CE717E" w:rsidP="00DC4C2F">
      <w:pPr>
        <w:pStyle w:val="GeorgiaQuestion"/>
      </w:pPr>
      <w:r w:rsidRPr="00A52616">
        <w:t>Q.</w:t>
      </w:r>
      <w:r w:rsidRPr="00A52616">
        <w:tab/>
        <w:t>DOES THIS CONCLUDE YOUR TESTIMONY?</w:t>
      </w:r>
    </w:p>
    <w:p w14:paraId="63242A26" w14:textId="7586E476" w:rsidR="00D02053" w:rsidRDefault="00CE717E" w:rsidP="00DC4C2F">
      <w:pPr>
        <w:pStyle w:val="GaAns"/>
      </w:pPr>
      <w:r w:rsidRPr="00A52616">
        <w:t>A.</w:t>
      </w:r>
      <w:r w:rsidRPr="00A52616">
        <w:tab/>
        <w:t>Yes</w:t>
      </w:r>
      <w:r w:rsidR="00646D51">
        <w:t>,</w:t>
      </w:r>
      <w:r w:rsidRPr="00A52616">
        <w:t xml:space="preserve"> it does.</w:t>
      </w:r>
    </w:p>
    <w:p w14:paraId="620457CB" w14:textId="491B4246" w:rsidR="00C424E2" w:rsidRPr="00FE42A3" w:rsidRDefault="00C424E2" w:rsidP="00FE42A3">
      <w:pPr>
        <w:pStyle w:val="GaBody"/>
        <w:jc w:val="center"/>
        <w:rPr>
          <w:b/>
          <w:bCs/>
          <w:lang w:eastAsia="en-US"/>
        </w:rPr>
      </w:pPr>
      <w:r w:rsidRPr="441C902C">
        <w:rPr>
          <w:b/>
          <w:bCs/>
          <w:lang w:eastAsia="en-US"/>
        </w:rPr>
        <w:lastRenderedPageBreak/>
        <w:t>Exhibit MG-1:</w:t>
      </w:r>
      <w:r>
        <w:tab/>
      </w:r>
      <w:r w:rsidRPr="441C902C">
        <w:rPr>
          <w:b/>
          <w:bCs/>
          <w:lang w:eastAsia="en-US"/>
        </w:rPr>
        <w:t xml:space="preserve"> Michael S. Goggin Background and Qualifications</w:t>
      </w:r>
    </w:p>
    <w:p w14:paraId="5DA67E7E" w14:textId="77777777" w:rsidR="00E24EE0" w:rsidRPr="00E24EE0" w:rsidRDefault="00E24EE0" w:rsidP="00E24EE0">
      <w:pPr>
        <w:rPr>
          <w:rFonts w:eastAsia="Times"/>
          <w:szCs w:val="24"/>
        </w:rPr>
      </w:pPr>
      <w:r w:rsidRPr="00E24EE0">
        <w:rPr>
          <w:rFonts w:eastAsia="Times"/>
          <w:b/>
          <w:bCs/>
          <w:szCs w:val="24"/>
        </w:rPr>
        <w:t>Education:</w:t>
      </w:r>
    </w:p>
    <w:p w14:paraId="574F7E17" w14:textId="77777777" w:rsidR="00E24EE0" w:rsidRPr="00E24EE0" w:rsidRDefault="00E24EE0" w:rsidP="00E24EE0">
      <w:pPr>
        <w:ind w:firstLine="540"/>
        <w:rPr>
          <w:rFonts w:eastAsia="Times"/>
          <w:szCs w:val="24"/>
        </w:rPr>
      </w:pPr>
      <w:r w:rsidRPr="00E24EE0">
        <w:rPr>
          <w:rFonts w:eastAsia="Times"/>
          <w:szCs w:val="24"/>
        </w:rPr>
        <w:t xml:space="preserve">Harvard University class of 2004, B.A. </w:t>
      </w:r>
      <w:r w:rsidRPr="00E24EE0">
        <w:rPr>
          <w:rFonts w:eastAsia="Times"/>
          <w:i/>
          <w:iCs/>
          <w:szCs w:val="24"/>
        </w:rPr>
        <w:t>cum laude</w:t>
      </w:r>
      <w:r w:rsidRPr="00E24EE0">
        <w:rPr>
          <w:rFonts w:eastAsia="Times"/>
          <w:szCs w:val="24"/>
        </w:rPr>
        <w:t xml:space="preserve"> in Social Studies</w:t>
      </w:r>
    </w:p>
    <w:p w14:paraId="1FA51BCA" w14:textId="77777777" w:rsidR="00E24EE0" w:rsidRPr="00E24EE0" w:rsidRDefault="00E24EE0" w:rsidP="00E24EE0">
      <w:pPr>
        <w:widowControl/>
        <w:numPr>
          <w:ilvl w:val="0"/>
          <w:numId w:val="23"/>
        </w:numPr>
        <w:jc w:val="left"/>
        <w:rPr>
          <w:rFonts w:eastAsia="Times"/>
          <w:szCs w:val="24"/>
        </w:rPr>
      </w:pPr>
      <w:r w:rsidRPr="00E24EE0">
        <w:rPr>
          <w:rFonts w:eastAsia="Times"/>
          <w:szCs w:val="24"/>
        </w:rPr>
        <w:t>Wrote thesis “Is it Time for a Change? Science, Policy, and Climate Change”</w:t>
      </w:r>
    </w:p>
    <w:p w14:paraId="1C27C949" w14:textId="77777777" w:rsidR="00E24EE0" w:rsidRPr="00E24EE0" w:rsidRDefault="00E24EE0" w:rsidP="00E24EE0">
      <w:pPr>
        <w:ind w:left="900"/>
        <w:rPr>
          <w:rFonts w:eastAsia="Times"/>
          <w:szCs w:val="24"/>
        </w:rPr>
      </w:pPr>
    </w:p>
    <w:p w14:paraId="3D61B223" w14:textId="77777777" w:rsidR="00E24EE0" w:rsidRPr="00E24EE0" w:rsidRDefault="00E24EE0" w:rsidP="00E24EE0">
      <w:pPr>
        <w:rPr>
          <w:rFonts w:eastAsia="Times"/>
          <w:b/>
          <w:bCs/>
          <w:szCs w:val="24"/>
        </w:rPr>
      </w:pPr>
      <w:r w:rsidRPr="00E24EE0">
        <w:rPr>
          <w:rFonts w:eastAsia="Times"/>
          <w:b/>
          <w:bCs/>
          <w:szCs w:val="24"/>
        </w:rPr>
        <w:t>Experience:</w:t>
      </w:r>
    </w:p>
    <w:p w14:paraId="67FBC087" w14:textId="66DE2E3F" w:rsidR="00E24EE0" w:rsidRPr="00E24EE0" w:rsidRDefault="00E24EE0" w:rsidP="00E24EE0">
      <w:pPr>
        <w:ind w:left="900" w:hanging="360"/>
        <w:rPr>
          <w:rFonts w:eastAsia="Times"/>
          <w:szCs w:val="24"/>
          <w:u w:val="single"/>
        </w:rPr>
      </w:pPr>
      <w:r w:rsidRPr="00E24EE0">
        <w:rPr>
          <w:rFonts w:eastAsia="Times"/>
          <w:szCs w:val="24"/>
          <w:u w:val="single"/>
        </w:rPr>
        <w:t xml:space="preserve">Grid Strategies </w:t>
      </w:r>
      <w:r w:rsidRPr="00E24EE0">
        <w:rPr>
          <w:rFonts w:eastAsia="Times"/>
          <w:szCs w:val="24"/>
          <w:u w:val="single"/>
        </w:rPr>
        <w:tab/>
        <w:t xml:space="preserve">          </w:t>
      </w:r>
      <w:r w:rsidRPr="00E24EE0">
        <w:rPr>
          <w:rFonts w:eastAsia="Times"/>
          <w:szCs w:val="24"/>
          <w:u w:val="single"/>
        </w:rPr>
        <w:tab/>
        <w:t xml:space="preserve">              Vice President</w:t>
      </w:r>
      <w:r w:rsidRPr="00E24EE0">
        <w:rPr>
          <w:rFonts w:eastAsia="Times"/>
          <w:szCs w:val="24"/>
          <w:u w:val="single"/>
        </w:rPr>
        <w:tab/>
      </w:r>
      <w:r w:rsidRPr="00E24EE0">
        <w:rPr>
          <w:rFonts w:eastAsia="Times"/>
          <w:szCs w:val="24"/>
          <w:u w:val="single"/>
        </w:rPr>
        <w:tab/>
        <w:t>February 2018-present</w:t>
      </w:r>
    </w:p>
    <w:p w14:paraId="4015F6C0" w14:textId="77777777" w:rsidR="00E24EE0" w:rsidRPr="00E24EE0" w:rsidRDefault="00E24EE0" w:rsidP="00E24EE0">
      <w:pPr>
        <w:pStyle w:val="ListParagraph"/>
        <w:widowControl/>
        <w:numPr>
          <w:ilvl w:val="0"/>
          <w:numId w:val="23"/>
        </w:numPr>
        <w:tabs>
          <w:tab w:val="clear" w:pos="1440"/>
        </w:tabs>
        <w:spacing w:before="0" w:after="0"/>
        <w:contextualSpacing/>
        <w:jc w:val="left"/>
        <w:rPr>
          <w:rFonts w:eastAsia="Times"/>
        </w:rPr>
      </w:pPr>
      <w:r w:rsidRPr="00E24EE0">
        <w:rPr>
          <w:rFonts w:eastAsia="Times"/>
        </w:rPr>
        <w:t>Serve as a consultant on electricity transmission, grid integration, reliability, market, and public policy issues for consumer, grid operator, non-profit, and industry clients</w:t>
      </w:r>
    </w:p>
    <w:p w14:paraId="25A7F952" w14:textId="77777777" w:rsidR="00E24EE0" w:rsidRPr="00E24EE0" w:rsidRDefault="00E24EE0" w:rsidP="00E24EE0">
      <w:pPr>
        <w:pStyle w:val="ListParagraph"/>
        <w:widowControl/>
        <w:numPr>
          <w:ilvl w:val="0"/>
          <w:numId w:val="23"/>
        </w:numPr>
        <w:tabs>
          <w:tab w:val="clear" w:pos="1440"/>
        </w:tabs>
        <w:spacing w:before="0" w:after="0"/>
        <w:contextualSpacing/>
        <w:jc w:val="left"/>
        <w:rPr>
          <w:rFonts w:eastAsia="Times"/>
        </w:rPr>
      </w:pPr>
      <w:r w:rsidRPr="00E24EE0">
        <w:rPr>
          <w:rFonts w:eastAsia="Times"/>
        </w:rPr>
        <w:t>Have testified before FERC and in over 25 state regulatory commission cases</w:t>
      </w:r>
    </w:p>
    <w:p w14:paraId="381482E6" w14:textId="77777777" w:rsidR="00E24EE0" w:rsidRPr="00E24EE0" w:rsidRDefault="00E24EE0" w:rsidP="00E24EE0">
      <w:pPr>
        <w:ind w:left="900" w:hanging="360"/>
        <w:rPr>
          <w:rFonts w:eastAsia="Times"/>
          <w:szCs w:val="24"/>
          <w:u w:val="single"/>
        </w:rPr>
      </w:pPr>
    </w:p>
    <w:p w14:paraId="05EE8FAB" w14:textId="77777777" w:rsidR="00E24EE0" w:rsidRPr="00E24EE0" w:rsidRDefault="00E24EE0" w:rsidP="00E24EE0">
      <w:pPr>
        <w:ind w:left="900" w:hanging="360"/>
        <w:rPr>
          <w:rFonts w:eastAsia="Times"/>
          <w:szCs w:val="24"/>
          <w:u w:val="single"/>
        </w:rPr>
      </w:pPr>
      <w:r w:rsidRPr="00E24EE0">
        <w:rPr>
          <w:rFonts w:eastAsia="Times"/>
          <w:szCs w:val="24"/>
          <w:u w:val="single"/>
        </w:rPr>
        <w:t>AWEA           Senior Director of Research, other titles            February 2008-February 2018</w:t>
      </w:r>
    </w:p>
    <w:p w14:paraId="2C0A4BFE" w14:textId="77777777" w:rsidR="00E24EE0" w:rsidRPr="00E24EE0" w:rsidRDefault="00E24EE0" w:rsidP="00E24EE0">
      <w:pPr>
        <w:widowControl/>
        <w:numPr>
          <w:ilvl w:val="0"/>
          <w:numId w:val="23"/>
        </w:numPr>
        <w:jc w:val="left"/>
        <w:rPr>
          <w:rFonts w:eastAsia="Times"/>
          <w:szCs w:val="24"/>
          <w:u w:val="single"/>
        </w:rPr>
      </w:pPr>
      <w:r w:rsidRPr="00E24EE0">
        <w:rPr>
          <w:rFonts w:eastAsia="Times"/>
          <w:szCs w:val="24"/>
        </w:rPr>
        <w:t xml:space="preserve">Led team responsible for all American Wind Energy Association (now American Clean Power Association) analysis </w:t>
      </w:r>
    </w:p>
    <w:p w14:paraId="221223F2" w14:textId="77777777" w:rsidR="00E24EE0" w:rsidRPr="00E24EE0" w:rsidRDefault="00E24EE0" w:rsidP="00E24EE0">
      <w:pPr>
        <w:widowControl/>
        <w:numPr>
          <w:ilvl w:val="0"/>
          <w:numId w:val="23"/>
        </w:numPr>
        <w:jc w:val="left"/>
        <w:rPr>
          <w:rFonts w:eastAsia="Times"/>
          <w:szCs w:val="24"/>
          <w:u w:val="single"/>
        </w:rPr>
      </w:pPr>
      <w:r w:rsidRPr="00E24EE0">
        <w:rPr>
          <w:rFonts w:eastAsia="Times"/>
          <w:szCs w:val="24"/>
        </w:rPr>
        <w:t>Served as primary technical and economic expert for market design, transmission, grid integration, carbon policy, and other topics</w:t>
      </w:r>
    </w:p>
    <w:p w14:paraId="2CF9B822" w14:textId="77777777" w:rsidR="00E24EE0" w:rsidRPr="00E24EE0" w:rsidRDefault="00E24EE0" w:rsidP="00E24EE0">
      <w:pPr>
        <w:widowControl/>
        <w:numPr>
          <w:ilvl w:val="0"/>
          <w:numId w:val="23"/>
        </w:numPr>
        <w:jc w:val="left"/>
        <w:rPr>
          <w:rFonts w:eastAsia="Times"/>
          <w:szCs w:val="24"/>
          <w:u w:val="single"/>
        </w:rPr>
      </w:pPr>
      <w:r w:rsidRPr="00E24EE0">
        <w:rPr>
          <w:rFonts w:eastAsia="Times"/>
          <w:szCs w:val="24"/>
        </w:rPr>
        <w:t xml:space="preserve">Authored regulatory filings at state (IRP and transmission siting cases), regional (ISO transmission and market design), and federal levels (FERC transmission, interconnection standard, grid integration, and market design cases; EPA carbon policy) </w:t>
      </w:r>
    </w:p>
    <w:p w14:paraId="0319B331" w14:textId="77777777" w:rsidR="00E24EE0" w:rsidRPr="00E24EE0" w:rsidRDefault="00E24EE0" w:rsidP="00E24EE0">
      <w:pPr>
        <w:widowControl/>
        <w:numPr>
          <w:ilvl w:val="0"/>
          <w:numId w:val="23"/>
        </w:numPr>
        <w:jc w:val="left"/>
        <w:rPr>
          <w:rFonts w:eastAsia="Times"/>
          <w:szCs w:val="24"/>
          <w:u w:val="single"/>
        </w:rPr>
      </w:pPr>
      <w:r w:rsidRPr="00E24EE0">
        <w:rPr>
          <w:rFonts w:eastAsia="Times"/>
          <w:szCs w:val="24"/>
        </w:rPr>
        <w:t>Directed economic and power sector modeling to inform AWEA’s policy strategy and support advocacy positions</w:t>
      </w:r>
    </w:p>
    <w:p w14:paraId="0BFC132E" w14:textId="77777777" w:rsidR="00E24EE0" w:rsidRPr="00E24EE0" w:rsidRDefault="00E24EE0" w:rsidP="00E24EE0">
      <w:pPr>
        <w:widowControl/>
        <w:numPr>
          <w:ilvl w:val="0"/>
          <w:numId w:val="23"/>
        </w:numPr>
        <w:jc w:val="left"/>
        <w:rPr>
          <w:rFonts w:eastAsia="Times"/>
          <w:szCs w:val="24"/>
          <w:u w:val="single"/>
        </w:rPr>
      </w:pPr>
      <w:r w:rsidRPr="00E24EE0">
        <w:rPr>
          <w:rFonts w:eastAsia="Times"/>
          <w:szCs w:val="24"/>
        </w:rPr>
        <w:t>Communicated with the press and policy makers about wind energy</w:t>
      </w:r>
    </w:p>
    <w:p w14:paraId="60787DEA" w14:textId="77777777" w:rsidR="00E24EE0" w:rsidRPr="00E24EE0" w:rsidRDefault="00E24EE0" w:rsidP="00E24EE0">
      <w:pPr>
        <w:widowControl/>
        <w:numPr>
          <w:ilvl w:val="0"/>
          <w:numId w:val="23"/>
        </w:numPr>
        <w:jc w:val="left"/>
        <w:rPr>
          <w:rFonts w:eastAsia="Times"/>
          <w:szCs w:val="24"/>
          <w:u w:val="single"/>
        </w:rPr>
      </w:pPr>
      <w:r w:rsidRPr="00E24EE0">
        <w:rPr>
          <w:rFonts w:eastAsia="Times"/>
          <w:szCs w:val="24"/>
        </w:rPr>
        <w:t>Authored reports to promote AWEA’s policy agenda, rebut misconceptions about wind energy, and explain complex energy topics to lay audiences</w:t>
      </w:r>
    </w:p>
    <w:p w14:paraId="09835F4E" w14:textId="77777777" w:rsidR="00E24EE0" w:rsidRPr="00E24EE0" w:rsidRDefault="00E24EE0" w:rsidP="00E24EE0">
      <w:pPr>
        <w:widowControl/>
        <w:numPr>
          <w:ilvl w:val="0"/>
          <w:numId w:val="23"/>
        </w:numPr>
        <w:jc w:val="left"/>
        <w:rPr>
          <w:rFonts w:eastAsia="Times"/>
          <w:szCs w:val="24"/>
          <w:u w:val="single"/>
        </w:rPr>
      </w:pPr>
      <w:r w:rsidRPr="00E24EE0">
        <w:rPr>
          <w:rFonts w:eastAsia="Times"/>
          <w:szCs w:val="24"/>
        </w:rPr>
        <w:t>Other titles included Electric Industry Analyst, Senior Analyst, Manager of Transmission Policy, Director of Research</w:t>
      </w:r>
    </w:p>
    <w:p w14:paraId="0FEBEDB5" w14:textId="77777777" w:rsidR="00E24EE0" w:rsidRPr="00E24EE0" w:rsidRDefault="00E24EE0" w:rsidP="00E24EE0">
      <w:pPr>
        <w:ind w:left="900" w:hanging="360"/>
        <w:rPr>
          <w:rFonts w:eastAsia="Times"/>
          <w:szCs w:val="24"/>
          <w:u w:val="single"/>
        </w:rPr>
      </w:pPr>
    </w:p>
    <w:p w14:paraId="690AFF56" w14:textId="77777777" w:rsidR="00E24EE0" w:rsidRPr="00E24EE0" w:rsidRDefault="00E24EE0" w:rsidP="00E24EE0">
      <w:pPr>
        <w:ind w:left="900" w:hanging="360"/>
        <w:rPr>
          <w:rFonts w:eastAsia="Times"/>
          <w:szCs w:val="24"/>
          <w:u w:val="single"/>
        </w:rPr>
      </w:pPr>
      <w:r w:rsidRPr="00E24EE0">
        <w:rPr>
          <w:rFonts w:eastAsia="Times"/>
          <w:szCs w:val="24"/>
          <w:u w:val="single"/>
        </w:rPr>
        <w:t>Sentech, Inc.</w:t>
      </w:r>
      <w:r w:rsidRPr="00E24EE0">
        <w:rPr>
          <w:rFonts w:eastAsia="Times"/>
          <w:szCs w:val="24"/>
          <w:u w:val="single"/>
        </w:rPr>
        <w:tab/>
        <w:t xml:space="preserve">   </w:t>
      </w:r>
      <w:r w:rsidRPr="00E24EE0">
        <w:rPr>
          <w:rFonts w:eastAsia="Times"/>
          <w:szCs w:val="24"/>
          <w:u w:val="single"/>
        </w:rPr>
        <w:tab/>
        <w:t xml:space="preserve"> Research Analyst</w:t>
      </w:r>
      <w:r w:rsidRPr="00E24EE0">
        <w:rPr>
          <w:rFonts w:eastAsia="Times"/>
          <w:szCs w:val="24"/>
          <w:u w:val="single"/>
        </w:rPr>
        <w:tab/>
        <w:t xml:space="preserve">              October 2005-February 2008</w:t>
      </w:r>
    </w:p>
    <w:p w14:paraId="65F26420" w14:textId="77777777" w:rsidR="00E24EE0" w:rsidRPr="00E24EE0" w:rsidRDefault="00E24EE0" w:rsidP="00E24EE0">
      <w:pPr>
        <w:widowControl/>
        <w:numPr>
          <w:ilvl w:val="0"/>
          <w:numId w:val="23"/>
        </w:numPr>
        <w:jc w:val="left"/>
        <w:rPr>
          <w:rFonts w:eastAsia="Times"/>
          <w:szCs w:val="24"/>
        </w:rPr>
      </w:pPr>
      <w:r w:rsidRPr="00E24EE0">
        <w:rPr>
          <w:rFonts w:eastAsia="Times"/>
          <w:szCs w:val="24"/>
        </w:rPr>
        <w:t xml:space="preserve">Conducted economic analyses of solar, wind, geothermal, and energy storage technologies for U.S. Department of Energy officials </w:t>
      </w:r>
    </w:p>
    <w:p w14:paraId="1EF81052" w14:textId="77777777" w:rsidR="00E24EE0" w:rsidRPr="00E24EE0" w:rsidRDefault="00E24EE0" w:rsidP="00E24EE0">
      <w:pPr>
        <w:widowControl/>
        <w:numPr>
          <w:ilvl w:val="0"/>
          <w:numId w:val="23"/>
        </w:numPr>
        <w:jc w:val="left"/>
        <w:rPr>
          <w:rFonts w:eastAsia="Times"/>
          <w:szCs w:val="24"/>
        </w:rPr>
      </w:pPr>
      <w:r w:rsidRPr="00E24EE0">
        <w:rPr>
          <w:rFonts w:eastAsia="Times"/>
          <w:szCs w:val="24"/>
        </w:rPr>
        <w:t>Provided analytical support for DOE’s renewable energy R&amp;D funding decisions</w:t>
      </w:r>
    </w:p>
    <w:p w14:paraId="2D96D476" w14:textId="77777777" w:rsidR="00E24EE0" w:rsidRPr="00E24EE0" w:rsidRDefault="00E24EE0" w:rsidP="00E24EE0">
      <w:pPr>
        <w:rPr>
          <w:rFonts w:eastAsia="Times"/>
          <w:szCs w:val="24"/>
          <w:u w:val="single"/>
        </w:rPr>
      </w:pPr>
    </w:p>
    <w:p w14:paraId="0E616EF7" w14:textId="77777777" w:rsidR="00E24EE0" w:rsidRPr="00E24EE0" w:rsidRDefault="00E24EE0" w:rsidP="00E24EE0">
      <w:pPr>
        <w:ind w:left="900" w:hanging="360"/>
        <w:rPr>
          <w:rFonts w:eastAsia="Times"/>
          <w:szCs w:val="24"/>
          <w:u w:val="single"/>
        </w:rPr>
      </w:pPr>
      <w:r w:rsidRPr="00E24EE0">
        <w:rPr>
          <w:rFonts w:eastAsia="Times"/>
          <w:szCs w:val="24"/>
          <w:u w:val="single"/>
        </w:rPr>
        <w:t>Union of Concerned Scientists       Clean Energy Intern       May 2005-October 2005</w:t>
      </w:r>
    </w:p>
    <w:p w14:paraId="4AEAA0C5" w14:textId="77777777" w:rsidR="00E24EE0" w:rsidRPr="00E24EE0" w:rsidRDefault="00E24EE0" w:rsidP="00E24EE0">
      <w:pPr>
        <w:widowControl/>
        <w:numPr>
          <w:ilvl w:val="0"/>
          <w:numId w:val="23"/>
        </w:numPr>
        <w:jc w:val="left"/>
        <w:rPr>
          <w:rFonts w:eastAsia="Times"/>
          <w:szCs w:val="24"/>
        </w:rPr>
      </w:pPr>
      <w:r w:rsidRPr="00E24EE0">
        <w:rPr>
          <w:rFonts w:eastAsia="Times"/>
          <w:szCs w:val="24"/>
        </w:rPr>
        <w:t>Worked with the legislative and field staff to promote the inclusion of pro-renewable energy measures in the Energy Policy Act of 2005</w:t>
      </w:r>
    </w:p>
    <w:p w14:paraId="26267165" w14:textId="77777777" w:rsidR="00E24EE0" w:rsidRPr="00E24EE0" w:rsidRDefault="00E24EE0" w:rsidP="00E24EE0">
      <w:pPr>
        <w:ind w:left="900" w:hanging="360"/>
        <w:rPr>
          <w:rFonts w:eastAsia="Times"/>
          <w:szCs w:val="24"/>
          <w:u w:val="single"/>
        </w:rPr>
      </w:pPr>
    </w:p>
    <w:p w14:paraId="2BD902A3" w14:textId="77777777" w:rsidR="00E24EE0" w:rsidRPr="00E24EE0" w:rsidRDefault="00E24EE0" w:rsidP="00E24EE0">
      <w:pPr>
        <w:ind w:left="900" w:hanging="360"/>
        <w:rPr>
          <w:rFonts w:eastAsia="Times"/>
          <w:szCs w:val="24"/>
          <w:u w:val="single"/>
        </w:rPr>
      </w:pPr>
      <w:r w:rsidRPr="00E24EE0">
        <w:rPr>
          <w:rFonts w:eastAsia="Times"/>
          <w:szCs w:val="24"/>
          <w:u w:val="single"/>
        </w:rPr>
        <w:t xml:space="preserve">State Public Interest Research Groups      Policy Analyst      August 2004-May 2005 </w:t>
      </w:r>
    </w:p>
    <w:p w14:paraId="3F4703FA" w14:textId="77777777" w:rsidR="00E24EE0" w:rsidRPr="00E24EE0" w:rsidRDefault="00E24EE0" w:rsidP="00E24EE0">
      <w:pPr>
        <w:widowControl/>
        <w:numPr>
          <w:ilvl w:val="0"/>
          <w:numId w:val="23"/>
        </w:numPr>
        <w:jc w:val="left"/>
        <w:rPr>
          <w:rFonts w:eastAsia="Times"/>
          <w:szCs w:val="24"/>
        </w:rPr>
      </w:pPr>
      <w:r w:rsidRPr="00E24EE0">
        <w:rPr>
          <w:rFonts w:eastAsia="Times"/>
          <w:szCs w:val="24"/>
        </w:rPr>
        <w:t>Analyzed and advocated for clean energy policies at the state and federal level</w:t>
      </w:r>
    </w:p>
    <w:p w14:paraId="227062B7" w14:textId="77777777" w:rsidR="00E24EE0" w:rsidRPr="00E24EE0" w:rsidRDefault="00E24EE0" w:rsidP="00E24EE0">
      <w:pPr>
        <w:rPr>
          <w:rFonts w:eastAsia="Times"/>
          <w:b/>
          <w:bCs/>
          <w:szCs w:val="24"/>
        </w:rPr>
      </w:pPr>
    </w:p>
    <w:p w14:paraId="5BA8EE98" w14:textId="7A748ED1" w:rsidR="00C424E2" w:rsidRDefault="00E24EE0" w:rsidP="00FE42A3">
      <w:pPr>
        <w:rPr>
          <w:rFonts w:ascii="Times" w:eastAsia="Times" w:hAnsi="Times" w:cs="Times"/>
          <w:sz w:val="23"/>
          <w:szCs w:val="23"/>
        </w:rPr>
      </w:pPr>
      <w:r w:rsidRPr="00E24EE0">
        <w:rPr>
          <w:rFonts w:eastAsia="Times"/>
          <w:szCs w:val="24"/>
        </w:rPr>
        <w:t xml:space="preserve">Publications available at </w:t>
      </w:r>
      <w:hyperlink r:id="rId15" w:history="1">
        <w:r w:rsidRPr="00E24EE0">
          <w:rPr>
            <w:rStyle w:val="Hyperlink"/>
            <w:rFonts w:eastAsia="Times"/>
            <w:szCs w:val="24"/>
          </w:rPr>
          <w:t>https://gridstrategiesllc.com/reports/</w:t>
        </w:r>
      </w:hyperlink>
      <w:r>
        <w:rPr>
          <w:rFonts w:ascii="Times" w:eastAsia="Times" w:hAnsi="Times" w:cs="Times"/>
          <w:sz w:val="23"/>
          <w:szCs w:val="23"/>
        </w:rPr>
        <w:t xml:space="preserve"> </w:t>
      </w:r>
    </w:p>
    <w:p w14:paraId="149FD476" w14:textId="77777777" w:rsidR="00A52233" w:rsidRDefault="00A52233" w:rsidP="00FE42A3">
      <w:pPr>
        <w:rPr>
          <w:rFonts w:ascii="Times" w:eastAsia="Times" w:hAnsi="Times" w:cs="Times"/>
          <w:sz w:val="23"/>
          <w:szCs w:val="23"/>
        </w:rPr>
      </w:pPr>
    </w:p>
    <w:p w14:paraId="24BAEF53" w14:textId="77777777" w:rsidR="00FE42A3" w:rsidRPr="00FE42A3" w:rsidRDefault="00FE42A3" w:rsidP="00FE42A3">
      <w:pPr>
        <w:rPr>
          <w:rFonts w:ascii="Times" w:eastAsia="Times" w:hAnsi="Times" w:cs="Times"/>
          <w:sz w:val="23"/>
          <w:szCs w:val="23"/>
        </w:rPr>
      </w:pPr>
    </w:p>
    <w:p w14:paraId="0694FA35" w14:textId="20D13EA7" w:rsidR="00C424E2" w:rsidRPr="00C5142F" w:rsidRDefault="00C5142F" w:rsidP="00C5142F">
      <w:pPr>
        <w:pStyle w:val="GaBody"/>
        <w:jc w:val="center"/>
        <w:rPr>
          <w:b/>
          <w:bCs/>
          <w:lang w:eastAsia="en-US"/>
        </w:rPr>
      </w:pPr>
      <w:r w:rsidRPr="00C5142F">
        <w:rPr>
          <w:b/>
          <w:bCs/>
          <w:lang w:eastAsia="en-US"/>
        </w:rPr>
        <w:lastRenderedPageBreak/>
        <w:t xml:space="preserve">Exhibit </w:t>
      </w:r>
      <w:r w:rsidR="00C424E2" w:rsidRPr="00C5142F">
        <w:rPr>
          <w:b/>
          <w:bCs/>
          <w:lang w:eastAsia="en-US"/>
        </w:rPr>
        <w:t>MG-2</w:t>
      </w:r>
      <w:r w:rsidRPr="00C5142F">
        <w:rPr>
          <w:b/>
          <w:bCs/>
          <w:lang w:eastAsia="en-US"/>
        </w:rPr>
        <w:t xml:space="preserve">: </w:t>
      </w:r>
      <w:r w:rsidR="00C424E2" w:rsidRPr="00C5142F">
        <w:rPr>
          <w:b/>
          <w:bCs/>
          <w:lang w:eastAsia="en-US"/>
        </w:rPr>
        <w:t xml:space="preserve">Georgia Power’s response to data request STF-GS-1-1 </w:t>
      </w:r>
      <w:r w:rsidR="00AE4970">
        <w:rPr>
          <w:b/>
          <w:bCs/>
          <w:lang w:eastAsia="en-US"/>
        </w:rPr>
        <w:t>(Docket No. 55378)</w:t>
      </w:r>
    </w:p>
    <w:p w14:paraId="38549251" w14:textId="77777777" w:rsidR="00142376" w:rsidRDefault="00142376" w:rsidP="00142376">
      <w:pPr>
        <w:rPr>
          <w:b/>
          <w:bCs/>
          <w:szCs w:val="24"/>
        </w:rPr>
      </w:pPr>
    </w:p>
    <w:p w14:paraId="17FF4F42" w14:textId="254738A3" w:rsidR="00142376" w:rsidRDefault="00142376" w:rsidP="00142376">
      <w:pPr>
        <w:rPr>
          <w:b/>
          <w:bCs/>
          <w:szCs w:val="24"/>
        </w:rPr>
      </w:pPr>
      <w:r>
        <w:rPr>
          <w:b/>
          <w:bCs/>
          <w:szCs w:val="24"/>
        </w:rPr>
        <w:t>STF-GS-1-1</w:t>
      </w:r>
    </w:p>
    <w:p w14:paraId="389066ED" w14:textId="77777777" w:rsidR="00142376" w:rsidRDefault="00142376" w:rsidP="00142376">
      <w:pPr>
        <w:rPr>
          <w:b/>
          <w:bCs/>
          <w:szCs w:val="24"/>
          <w:u w:val="single"/>
        </w:rPr>
      </w:pPr>
      <w:r>
        <w:rPr>
          <w:b/>
          <w:bCs/>
          <w:szCs w:val="24"/>
          <w:u w:val="single"/>
        </w:rPr>
        <w:t>Question:</w:t>
      </w:r>
    </w:p>
    <w:p w14:paraId="16C964AC" w14:textId="77777777" w:rsidR="00142376" w:rsidRDefault="00142376" w:rsidP="00142376">
      <w:pPr>
        <w:rPr>
          <w:szCs w:val="24"/>
        </w:rPr>
      </w:pPr>
      <w:r>
        <w:rPr>
          <w:szCs w:val="24"/>
        </w:rPr>
        <w:t>Has the Company evaluated the use of Battery Energy Storage Systems (BESS) to reduce, defer, or eliminate the need for the transmission upgrades identified in the Updated IRP? If so, please provide that evaluation and explain why BESS were not selected. If the Company has not conducted that evaluation, please explain why not.</w:t>
      </w:r>
    </w:p>
    <w:p w14:paraId="4727D467" w14:textId="77777777" w:rsidR="00142376" w:rsidRDefault="00142376" w:rsidP="00142376">
      <w:pPr>
        <w:rPr>
          <w:szCs w:val="24"/>
        </w:rPr>
      </w:pPr>
    </w:p>
    <w:p w14:paraId="5E0C5CEA" w14:textId="77777777" w:rsidR="00142376" w:rsidRDefault="00142376" w:rsidP="00142376">
      <w:pPr>
        <w:rPr>
          <w:b/>
          <w:bCs/>
          <w:szCs w:val="24"/>
          <w:u w:val="single"/>
        </w:rPr>
      </w:pPr>
      <w:r>
        <w:rPr>
          <w:b/>
          <w:bCs/>
          <w:szCs w:val="24"/>
          <w:u w:val="single"/>
        </w:rPr>
        <w:t>Response:</w:t>
      </w:r>
    </w:p>
    <w:p w14:paraId="1B55739F" w14:textId="77777777" w:rsidR="00142376" w:rsidRDefault="00142376" w:rsidP="00142376">
      <w:pPr>
        <w:rPr>
          <w:szCs w:val="24"/>
        </w:rPr>
      </w:pPr>
    </w:p>
    <w:p w14:paraId="384162D8" w14:textId="77777777" w:rsidR="00142376" w:rsidRDefault="00142376" w:rsidP="00142376">
      <w:pPr>
        <w:spacing w:after="200"/>
        <w:rPr>
          <w:color w:val="000000" w:themeColor="text1"/>
          <w:szCs w:val="24"/>
        </w:rPr>
      </w:pPr>
      <w:r>
        <w:rPr>
          <w:color w:val="000000" w:themeColor="text1"/>
          <w:szCs w:val="24"/>
        </w:rPr>
        <w:t>Please refer to the Company’s response to STF-DEA-4-15.</w:t>
      </w:r>
    </w:p>
    <w:p w14:paraId="3F79C845" w14:textId="77777777" w:rsidR="00142376" w:rsidRDefault="00142376" w:rsidP="00142376">
      <w:pPr>
        <w:spacing w:after="200"/>
        <w:rPr>
          <w:szCs w:val="24"/>
        </w:rPr>
      </w:pPr>
      <w:r>
        <w:rPr>
          <w:szCs w:val="24"/>
        </w:rPr>
        <w:t xml:space="preserve">The Company did not study Battery Energy Storage Systems (“BESS”) as options to reduce, defer, or eliminate the transmission upgrades identified in the 2023 IRP Update to facilitate the delivery of power from the proposed Plant Yates combustion turbines.  </w:t>
      </w:r>
    </w:p>
    <w:p w14:paraId="1C4F6473" w14:textId="77777777" w:rsidR="00C424E2" w:rsidRPr="00C5142F" w:rsidRDefault="00C424E2" w:rsidP="00C5142F">
      <w:pPr>
        <w:pStyle w:val="GaBody"/>
        <w:jc w:val="center"/>
        <w:rPr>
          <w:b/>
          <w:bCs/>
          <w:lang w:eastAsia="en-US"/>
        </w:rPr>
      </w:pPr>
    </w:p>
    <w:p w14:paraId="2CCD552A" w14:textId="77777777" w:rsidR="00C424E2" w:rsidRDefault="00C424E2" w:rsidP="00C5142F">
      <w:pPr>
        <w:pStyle w:val="GaBody"/>
        <w:jc w:val="center"/>
        <w:rPr>
          <w:b/>
          <w:bCs/>
          <w:lang w:eastAsia="en-US"/>
        </w:rPr>
      </w:pPr>
    </w:p>
    <w:p w14:paraId="6028BDCE" w14:textId="77777777" w:rsidR="00142376" w:rsidRDefault="00142376" w:rsidP="00142376">
      <w:pPr>
        <w:pStyle w:val="GeorgiaQuestion"/>
      </w:pPr>
    </w:p>
    <w:p w14:paraId="0FB0C4F8" w14:textId="77777777" w:rsidR="00142376" w:rsidRDefault="00142376" w:rsidP="00142376">
      <w:pPr>
        <w:pStyle w:val="GaAns"/>
      </w:pPr>
    </w:p>
    <w:p w14:paraId="498A3EFE" w14:textId="77777777" w:rsidR="00142376" w:rsidRDefault="00142376" w:rsidP="00142376">
      <w:pPr>
        <w:pStyle w:val="GaBody"/>
        <w:rPr>
          <w:lang w:eastAsia="en-US"/>
        </w:rPr>
      </w:pPr>
    </w:p>
    <w:p w14:paraId="480D60CD" w14:textId="77777777" w:rsidR="00142376" w:rsidRDefault="00142376" w:rsidP="00142376">
      <w:pPr>
        <w:pStyle w:val="GeorgiaQuestion"/>
      </w:pPr>
    </w:p>
    <w:p w14:paraId="3FB747FE" w14:textId="77777777" w:rsidR="00142376" w:rsidRDefault="00142376" w:rsidP="00142376">
      <w:pPr>
        <w:pStyle w:val="GaAns"/>
      </w:pPr>
    </w:p>
    <w:p w14:paraId="54530762" w14:textId="77777777" w:rsidR="00142376" w:rsidRDefault="00142376" w:rsidP="00142376">
      <w:pPr>
        <w:pStyle w:val="GaBody"/>
        <w:rPr>
          <w:lang w:eastAsia="en-US"/>
        </w:rPr>
      </w:pPr>
    </w:p>
    <w:p w14:paraId="1A5B8C32" w14:textId="77777777" w:rsidR="00142376" w:rsidRDefault="00142376" w:rsidP="00142376">
      <w:pPr>
        <w:pStyle w:val="GeorgiaQuestion"/>
      </w:pPr>
    </w:p>
    <w:p w14:paraId="27108660" w14:textId="77777777" w:rsidR="00142376" w:rsidRDefault="00142376" w:rsidP="00142376">
      <w:pPr>
        <w:pStyle w:val="GaAns"/>
      </w:pPr>
    </w:p>
    <w:p w14:paraId="53ABA09A" w14:textId="77777777" w:rsidR="00142376" w:rsidRDefault="00142376" w:rsidP="00142376">
      <w:pPr>
        <w:pStyle w:val="GaBody"/>
        <w:rPr>
          <w:lang w:eastAsia="en-US"/>
        </w:rPr>
      </w:pPr>
    </w:p>
    <w:p w14:paraId="0DA6E67D" w14:textId="77777777" w:rsidR="00142376" w:rsidRDefault="00142376" w:rsidP="00142376">
      <w:pPr>
        <w:pStyle w:val="GeorgiaQuestion"/>
      </w:pPr>
    </w:p>
    <w:p w14:paraId="48F496B9" w14:textId="77777777" w:rsidR="00142376" w:rsidRDefault="00142376" w:rsidP="00142376">
      <w:pPr>
        <w:pStyle w:val="GaAns"/>
      </w:pPr>
    </w:p>
    <w:p w14:paraId="21A9DCE8" w14:textId="77777777" w:rsidR="00142376" w:rsidRDefault="00142376" w:rsidP="00142376">
      <w:pPr>
        <w:pStyle w:val="GaBody"/>
        <w:rPr>
          <w:lang w:eastAsia="en-US"/>
        </w:rPr>
      </w:pPr>
    </w:p>
    <w:p w14:paraId="33D3561F" w14:textId="77777777" w:rsidR="00142376" w:rsidRDefault="00142376" w:rsidP="00142376">
      <w:pPr>
        <w:pStyle w:val="GeorgiaQuestion"/>
      </w:pPr>
    </w:p>
    <w:p w14:paraId="63E4D8D5" w14:textId="77777777" w:rsidR="00142376" w:rsidRDefault="00142376" w:rsidP="00142376">
      <w:pPr>
        <w:pStyle w:val="GaAns"/>
      </w:pPr>
    </w:p>
    <w:p w14:paraId="5C48E760" w14:textId="5C6EFC24" w:rsidR="00C424E2" w:rsidRPr="00C5142F" w:rsidRDefault="00C5142F" w:rsidP="00C5142F">
      <w:pPr>
        <w:pStyle w:val="GaBody"/>
        <w:jc w:val="center"/>
        <w:rPr>
          <w:b/>
          <w:bCs/>
          <w:lang w:eastAsia="en-US"/>
        </w:rPr>
      </w:pPr>
      <w:r>
        <w:rPr>
          <w:b/>
          <w:bCs/>
          <w:lang w:eastAsia="en-US"/>
        </w:rPr>
        <w:lastRenderedPageBreak/>
        <w:t xml:space="preserve">Exhibit </w:t>
      </w:r>
      <w:r w:rsidR="00C424E2" w:rsidRPr="00C5142F">
        <w:rPr>
          <w:b/>
          <w:bCs/>
          <w:lang w:eastAsia="en-US"/>
        </w:rPr>
        <w:t>MG-3</w:t>
      </w:r>
      <w:r>
        <w:rPr>
          <w:b/>
          <w:bCs/>
          <w:lang w:eastAsia="en-US"/>
        </w:rPr>
        <w:t xml:space="preserve">: </w:t>
      </w:r>
      <w:r w:rsidR="00C424E2" w:rsidRPr="00C5142F">
        <w:rPr>
          <w:b/>
          <w:bCs/>
          <w:lang w:eastAsia="en-US"/>
        </w:rPr>
        <w:t>Georgia Power’s response to data request STF-GDS-4-</w:t>
      </w:r>
      <w:proofErr w:type="gramStart"/>
      <w:r w:rsidR="00C424E2" w:rsidRPr="00C5142F">
        <w:rPr>
          <w:b/>
          <w:bCs/>
          <w:lang w:eastAsia="en-US"/>
        </w:rPr>
        <w:t>7</w:t>
      </w:r>
      <w:r w:rsidR="001B7FC5">
        <w:rPr>
          <w:b/>
          <w:bCs/>
          <w:lang w:eastAsia="en-US"/>
        </w:rPr>
        <w:t>.e</w:t>
      </w:r>
      <w:r w:rsidR="00D4452F">
        <w:rPr>
          <w:b/>
          <w:bCs/>
          <w:lang w:eastAsia="en-US"/>
        </w:rPr>
        <w:t>.</w:t>
      </w:r>
      <w:proofErr w:type="gramEnd"/>
      <w:r w:rsidR="00C424E2" w:rsidRPr="00C5142F">
        <w:rPr>
          <w:b/>
          <w:bCs/>
          <w:lang w:eastAsia="en-US"/>
        </w:rPr>
        <w:t xml:space="preserve"> in the 2022 IRP (Docket No. 44160)</w:t>
      </w:r>
    </w:p>
    <w:p w14:paraId="73E133C6" w14:textId="77777777" w:rsidR="00C424E2" w:rsidRDefault="00C424E2" w:rsidP="00C5142F">
      <w:pPr>
        <w:pStyle w:val="GaBody"/>
        <w:jc w:val="center"/>
        <w:rPr>
          <w:b/>
          <w:bCs/>
          <w:lang w:eastAsia="en-US"/>
        </w:rPr>
      </w:pPr>
    </w:p>
    <w:p w14:paraId="6A8C8597" w14:textId="683019EA" w:rsidR="00D87A6B" w:rsidRDefault="00D87A6B" w:rsidP="00D87A6B">
      <w:pPr>
        <w:spacing w:line="256" w:lineRule="auto"/>
      </w:pPr>
      <w:r>
        <w:t>e.</w:t>
      </w:r>
      <w:bookmarkStart w:id="10" w:name="_Hlk102000012"/>
      <w:r w:rsidR="00D4452F">
        <w:t xml:space="preserve"> </w:t>
      </w:r>
      <w:r>
        <w:t xml:space="preserve">Alternative solutions such as energy storage or distributed energy resources have not been considered yet for various reasons. </w:t>
      </w:r>
      <w:bookmarkEnd w:id="10"/>
      <w:r>
        <w:t>Some projects such as the Klondike switch replacement, are relatively inexpensive and easy to accomplish, so no such alternative is needed. For the identified strategic projects (second Heard County – Tenaska 500 kV line and the new Lagrange – North Opelika 230 kV line), the magnitude of storage or DER that would be needed makes those options untenable. The solutions for the other identified constraints are still under review. Other strategic solutions may replace some of the listed projects, and energy storage, DER, and operating guides will be considered in due time, before the listed projects are approved and budgeted.</w:t>
      </w:r>
    </w:p>
    <w:p w14:paraId="6CAB3DF0" w14:textId="77777777" w:rsidR="00142376" w:rsidRDefault="00142376" w:rsidP="00142376">
      <w:pPr>
        <w:pStyle w:val="GeorgiaQuestion"/>
      </w:pPr>
    </w:p>
    <w:p w14:paraId="4127F5B1" w14:textId="77777777" w:rsidR="00142376" w:rsidRDefault="00142376" w:rsidP="00142376">
      <w:pPr>
        <w:pStyle w:val="GaAns"/>
      </w:pPr>
    </w:p>
    <w:p w14:paraId="23817D2D" w14:textId="77777777" w:rsidR="00142376" w:rsidRDefault="00142376" w:rsidP="00142376">
      <w:pPr>
        <w:pStyle w:val="GaBody"/>
        <w:rPr>
          <w:lang w:eastAsia="en-US"/>
        </w:rPr>
      </w:pPr>
    </w:p>
    <w:p w14:paraId="3B8B8B39" w14:textId="77777777" w:rsidR="00142376" w:rsidRDefault="00142376" w:rsidP="00142376">
      <w:pPr>
        <w:pStyle w:val="GeorgiaQuestion"/>
      </w:pPr>
    </w:p>
    <w:p w14:paraId="7339C9E7" w14:textId="77777777" w:rsidR="00142376" w:rsidRDefault="00142376" w:rsidP="00142376">
      <w:pPr>
        <w:pStyle w:val="GaAns"/>
      </w:pPr>
    </w:p>
    <w:p w14:paraId="0D5242D2" w14:textId="77777777" w:rsidR="00142376" w:rsidRDefault="00142376" w:rsidP="00142376">
      <w:pPr>
        <w:pStyle w:val="GaBody"/>
        <w:rPr>
          <w:lang w:eastAsia="en-US"/>
        </w:rPr>
      </w:pPr>
    </w:p>
    <w:p w14:paraId="79FE4E47" w14:textId="77777777" w:rsidR="00142376" w:rsidRDefault="00142376" w:rsidP="00142376">
      <w:pPr>
        <w:pStyle w:val="GeorgiaQuestion"/>
      </w:pPr>
    </w:p>
    <w:p w14:paraId="7D80B800" w14:textId="77777777" w:rsidR="00142376" w:rsidRDefault="00142376" w:rsidP="00142376">
      <w:pPr>
        <w:pStyle w:val="GaAns"/>
      </w:pPr>
    </w:p>
    <w:p w14:paraId="6D248E28" w14:textId="77777777" w:rsidR="00142376" w:rsidRDefault="00142376" w:rsidP="00142376">
      <w:pPr>
        <w:pStyle w:val="GaBody"/>
        <w:rPr>
          <w:lang w:eastAsia="en-US"/>
        </w:rPr>
      </w:pPr>
    </w:p>
    <w:p w14:paraId="08A71453" w14:textId="77777777" w:rsidR="00142376" w:rsidRDefault="00142376" w:rsidP="00142376">
      <w:pPr>
        <w:pStyle w:val="GeorgiaQuestion"/>
      </w:pPr>
    </w:p>
    <w:p w14:paraId="1FC4310E" w14:textId="77777777" w:rsidR="00142376" w:rsidRDefault="00142376" w:rsidP="00142376">
      <w:pPr>
        <w:pStyle w:val="GaAns"/>
      </w:pPr>
    </w:p>
    <w:p w14:paraId="1273FC6B" w14:textId="77777777" w:rsidR="00142376" w:rsidRDefault="00142376" w:rsidP="00142376">
      <w:pPr>
        <w:pStyle w:val="GaBody"/>
        <w:rPr>
          <w:lang w:eastAsia="en-US"/>
        </w:rPr>
      </w:pPr>
    </w:p>
    <w:p w14:paraId="209B276B" w14:textId="77777777" w:rsidR="00142376" w:rsidRDefault="00142376" w:rsidP="00142376">
      <w:pPr>
        <w:pStyle w:val="GeorgiaQuestion"/>
      </w:pPr>
    </w:p>
    <w:p w14:paraId="01DB2534" w14:textId="77777777" w:rsidR="00142376" w:rsidRDefault="00142376" w:rsidP="00142376">
      <w:pPr>
        <w:pStyle w:val="GaAns"/>
      </w:pPr>
    </w:p>
    <w:p w14:paraId="1222C072" w14:textId="77777777" w:rsidR="00142376" w:rsidRDefault="00142376" w:rsidP="00142376">
      <w:pPr>
        <w:pStyle w:val="GaBody"/>
        <w:rPr>
          <w:lang w:eastAsia="en-US"/>
        </w:rPr>
      </w:pPr>
    </w:p>
    <w:p w14:paraId="7EECDBD0" w14:textId="77777777" w:rsidR="00142376" w:rsidRDefault="00142376" w:rsidP="00142376">
      <w:pPr>
        <w:pStyle w:val="GeorgiaQuestion"/>
      </w:pPr>
    </w:p>
    <w:p w14:paraId="199BD43C" w14:textId="77777777" w:rsidR="00D47B71" w:rsidRDefault="00D47B71" w:rsidP="00D47B71">
      <w:pPr>
        <w:pStyle w:val="GaAns"/>
      </w:pPr>
    </w:p>
    <w:p w14:paraId="474A8A98" w14:textId="77777777" w:rsidR="00D47B71" w:rsidRDefault="00D47B71" w:rsidP="00D47B71">
      <w:pPr>
        <w:pStyle w:val="GaBody"/>
        <w:rPr>
          <w:lang w:eastAsia="en-US"/>
        </w:rPr>
      </w:pPr>
    </w:p>
    <w:p w14:paraId="53AA1BA4" w14:textId="77777777" w:rsidR="00D47B71" w:rsidRDefault="00D47B71" w:rsidP="00D47B71">
      <w:pPr>
        <w:pStyle w:val="GeorgiaQuestion"/>
      </w:pPr>
    </w:p>
    <w:p w14:paraId="5C2E1829" w14:textId="77777777" w:rsidR="00D47B71" w:rsidRDefault="00D47B71" w:rsidP="00D47B71">
      <w:pPr>
        <w:pStyle w:val="GaAns"/>
      </w:pPr>
    </w:p>
    <w:p w14:paraId="1AC06F08" w14:textId="56CEF66C" w:rsidR="00C424E2" w:rsidRPr="00C5142F" w:rsidRDefault="00C5142F" w:rsidP="00C5142F">
      <w:pPr>
        <w:pStyle w:val="GaBody"/>
        <w:jc w:val="center"/>
        <w:rPr>
          <w:b/>
          <w:bCs/>
          <w:lang w:eastAsia="en-US"/>
        </w:rPr>
      </w:pPr>
      <w:r>
        <w:rPr>
          <w:b/>
          <w:bCs/>
          <w:lang w:eastAsia="en-US"/>
        </w:rPr>
        <w:lastRenderedPageBreak/>
        <w:t xml:space="preserve">Exhibit </w:t>
      </w:r>
      <w:r w:rsidR="00C424E2" w:rsidRPr="00C5142F">
        <w:rPr>
          <w:b/>
          <w:bCs/>
          <w:lang w:eastAsia="en-US"/>
        </w:rPr>
        <w:t>MG-4</w:t>
      </w:r>
      <w:r>
        <w:rPr>
          <w:b/>
          <w:bCs/>
          <w:lang w:eastAsia="en-US"/>
        </w:rPr>
        <w:t xml:space="preserve">: </w:t>
      </w:r>
      <w:r w:rsidR="00C424E2" w:rsidRPr="00C5142F">
        <w:rPr>
          <w:b/>
          <w:bCs/>
          <w:lang w:eastAsia="en-US"/>
        </w:rPr>
        <w:t xml:space="preserve">Georgia Power’s responses to data requests STF-GS-1-8 and STF-GS-1-9 </w:t>
      </w:r>
      <w:r w:rsidR="007558FD">
        <w:rPr>
          <w:b/>
          <w:bCs/>
          <w:lang w:eastAsia="en-US"/>
        </w:rPr>
        <w:t>(Docket No. 55378)</w:t>
      </w:r>
    </w:p>
    <w:p w14:paraId="76D0BD62" w14:textId="77777777" w:rsidR="008A100B" w:rsidRDefault="008A100B" w:rsidP="008A100B">
      <w:pPr>
        <w:ind w:left="2160" w:hanging="2160"/>
        <w:rPr>
          <w:b/>
          <w:bCs/>
        </w:rPr>
      </w:pPr>
      <w:r>
        <w:rPr>
          <w:b/>
          <w:bCs/>
        </w:rPr>
        <w:t>STF-GS-1-8</w:t>
      </w:r>
    </w:p>
    <w:p w14:paraId="40FE489F" w14:textId="77777777" w:rsidR="008A100B" w:rsidRDefault="008A100B" w:rsidP="008A100B">
      <w:pPr>
        <w:ind w:left="2160" w:hanging="2160"/>
        <w:rPr>
          <w:b/>
          <w:szCs w:val="24"/>
        </w:rPr>
      </w:pPr>
    </w:p>
    <w:p w14:paraId="7634C484" w14:textId="77777777" w:rsidR="008A100B" w:rsidRDefault="008A100B" w:rsidP="008A100B">
      <w:pPr>
        <w:spacing w:after="200"/>
        <w:rPr>
          <w:szCs w:val="24"/>
        </w:rPr>
      </w:pPr>
      <w:r>
        <w:rPr>
          <w:b/>
          <w:bCs/>
          <w:u w:val="single"/>
        </w:rPr>
        <w:t>Question:</w:t>
      </w:r>
    </w:p>
    <w:p w14:paraId="5032A5DE" w14:textId="1603C995" w:rsidR="008A100B" w:rsidRPr="008A100B" w:rsidRDefault="008A100B" w:rsidP="008A100B">
      <w:pPr>
        <w:rPr>
          <w:szCs w:val="24"/>
        </w:rPr>
      </w:pPr>
      <w:r>
        <w:rPr>
          <w:szCs w:val="24"/>
        </w:rPr>
        <w:t>As a follow-up to the STF-JKA-4-5 question about discussing non-firm, interruptible, or lower service quality options with new customers, has the Company evaluated demand response programs that would compensate those customers for curtailing their load, particularly during the generation or transmission system contingency events that triggered a need for upgrades in the Transmission Screening Analysis? If so, please discuss that evaluation. If not, please explain why the Company has not conducted that analysis.</w:t>
      </w:r>
    </w:p>
    <w:p w14:paraId="4212091E" w14:textId="77777777" w:rsidR="008A100B" w:rsidRDefault="008A100B" w:rsidP="008A100B">
      <w:pPr>
        <w:rPr>
          <w:szCs w:val="24"/>
        </w:rPr>
      </w:pPr>
    </w:p>
    <w:p w14:paraId="48F4AB13" w14:textId="77777777" w:rsidR="008A100B" w:rsidRDefault="008A100B" w:rsidP="008A100B">
      <w:pPr>
        <w:spacing w:after="200"/>
        <w:rPr>
          <w:szCs w:val="24"/>
        </w:rPr>
      </w:pPr>
      <w:r>
        <w:rPr>
          <w:b/>
          <w:bCs/>
          <w:u w:val="single"/>
        </w:rPr>
        <w:t>Response:</w:t>
      </w:r>
    </w:p>
    <w:p w14:paraId="6D53D64F" w14:textId="77777777" w:rsidR="008A100B" w:rsidRDefault="008A100B" w:rsidP="008A100B">
      <w:pPr>
        <w:spacing w:after="200"/>
      </w:pPr>
      <w:r>
        <w:t xml:space="preserve">The Company is proposing a new Curtailable Load program, which will compensate customers for curtailing load during periods of extreme supply and demand conditions. The customer payment will be directly linked to the capacity value provided by the potential demand reduction. </w:t>
      </w:r>
    </w:p>
    <w:p w14:paraId="63704AB0" w14:textId="77777777" w:rsidR="00C424E2" w:rsidRDefault="00C424E2" w:rsidP="008A100B">
      <w:pPr>
        <w:pStyle w:val="GaBody"/>
        <w:rPr>
          <w:b/>
          <w:bCs/>
          <w:lang w:eastAsia="en-US"/>
        </w:rPr>
      </w:pPr>
    </w:p>
    <w:p w14:paraId="0E26108B" w14:textId="77777777" w:rsidR="00D47B71" w:rsidRDefault="00D47B71" w:rsidP="00D47B71">
      <w:pPr>
        <w:ind w:left="2160" w:hanging="2160"/>
        <w:rPr>
          <w:b/>
          <w:bCs/>
        </w:rPr>
      </w:pPr>
      <w:r>
        <w:rPr>
          <w:b/>
          <w:bCs/>
        </w:rPr>
        <w:t>STF-GS-1-9</w:t>
      </w:r>
    </w:p>
    <w:p w14:paraId="65554B02" w14:textId="77777777" w:rsidR="00D47B71" w:rsidRDefault="00D47B71" w:rsidP="00D47B71">
      <w:pPr>
        <w:ind w:left="2160" w:hanging="2160"/>
        <w:rPr>
          <w:b/>
          <w:szCs w:val="24"/>
        </w:rPr>
      </w:pPr>
    </w:p>
    <w:p w14:paraId="142B7381" w14:textId="77777777" w:rsidR="00D47B71" w:rsidRDefault="00D47B71" w:rsidP="00D47B71">
      <w:pPr>
        <w:spacing w:after="200"/>
        <w:rPr>
          <w:szCs w:val="24"/>
        </w:rPr>
      </w:pPr>
      <w:r>
        <w:rPr>
          <w:b/>
          <w:bCs/>
          <w:u w:val="single"/>
        </w:rPr>
        <w:t>Question:</w:t>
      </w:r>
    </w:p>
    <w:p w14:paraId="61FAE54B" w14:textId="77777777" w:rsidR="00D47B71" w:rsidRDefault="00D47B71" w:rsidP="00D47B71">
      <w:pPr>
        <w:rPr>
          <w:szCs w:val="24"/>
        </w:rPr>
      </w:pPr>
      <w:r>
        <w:rPr>
          <w:szCs w:val="24"/>
        </w:rPr>
        <w:t>As a follow-up to the STF-JKA-4-5 question about evaluating non-firm, interruptible, or lower service quality options with new customers, has the Company spoken with new customers about an option for potential reductions in interconnection costs or rates from deploying customer-sited battery storage or demand response resources? If so, please describe those discussions. If not, please explain why the Company has not offered that option.</w:t>
      </w:r>
    </w:p>
    <w:p w14:paraId="713B4862" w14:textId="77777777" w:rsidR="00D47B71" w:rsidRDefault="00D47B71" w:rsidP="00D47B71"/>
    <w:p w14:paraId="0A54C526" w14:textId="77777777" w:rsidR="00D47B71" w:rsidRDefault="00D47B71" w:rsidP="00D47B71">
      <w:pPr>
        <w:rPr>
          <w:szCs w:val="24"/>
        </w:rPr>
      </w:pPr>
    </w:p>
    <w:p w14:paraId="711C0BDB" w14:textId="77777777" w:rsidR="00D47B71" w:rsidRDefault="00D47B71" w:rsidP="00D47B71">
      <w:pPr>
        <w:rPr>
          <w:szCs w:val="24"/>
        </w:rPr>
      </w:pPr>
    </w:p>
    <w:p w14:paraId="5BFFD495" w14:textId="77777777" w:rsidR="00D47B71" w:rsidRDefault="00D47B71" w:rsidP="00D47B71">
      <w:pPr>
        <w:spacing w:after="200"/>
        <w:rPr>
          <w:szCs w:val="24"/>
        </w:rPr>
      </w:pPr>
      <w:r>
        <w:rPr>
          <w:b/>
          <w:bCs/>
          <w:u w:val="single"/>
        </w:rPr>
        <w:t>Response:</w:t>
      </w:r>
    </w:p>
    <w:p w14:paraId="008B3412" w14:textId="77777777" w:rsidR="00D47B71" w:rsidRDefault="00D47B71" w:rsidP="00D47B71">
      <w:pPr>
        <w:spacing w:after="200"/>
      </w:pPr>
      <w:r>
        <w:t xml:space="preserve">Yes, the Company makes potential customers aware of rate options and programs available to them, including the Real Time Pricing rate. The Company also has current demand response programs and is proposing three new DER and DR customer programs as part of this IRP Update to enable both new and existing customers to receive credit for providing system value from customer-sited resources. </w:t>
      </w:r>
    </w:p>
    <w:p w14:paraId="21978D36" w14:textId="77777777" w:rsidR="00142376" w:rsidRDefault="00142376" w:rsidP="00142376">
      <w:pPr>
        <w:pStyle w:val="GeorgiaQuestion"/>
      </w:pPr>
    </w:p>
    <w:p w14:paraId="6BFD626E" w14:textId="77777777" w:rsidR="00142376" w:rsidRDefault="00142376" w:rsidP="00142376">
      <w:pPr>
        <w:pStyle w:val="GaAns"/>
      </w:pPr>
    </w:p>
    <w:p w14:paraId="7EF6818F" w14:textId="67942B56" w:rsidR="00C424E2" w:rsidRPr="00C5142F" w:rsidRDefault="00135FE0" w:rsidP="00C5142F">
      <w:pPr>
        <w:pStyle w:val="GaBody"/>
        <w:jc w:val="center"/>
        <w:rPr>
          <w:b/>
          <w:bCs/>
          <w:lang w:eastAsia="en-US"/>
        </w:rPr>
      </w:pPr>
      <w:r>
        <w:rPr>
          <w:b/>
          <w:bCs/>
          <w:lang w:eastAsia="en-US"/>
        </w:rPr>
        <w:lastRenderedPageBreak/>
        <w:t xml:space="preserve">Exhibit </w:t>
      </w:r>
      <w:r w:rsidR="00C424E2" w:rsidRPr="00C5142F">
        <w:rPr>
          <w:b/>
          <w:bCs/>
          <w:lang w:eastAsia="en-US"/>
        </w:rPr>
        <w:t>MG-5</w:t>
      </w:r>
      <w:r>
        <w:rPr>
          <w:b/>
          <w:bCs/>
          <w:lang w:eastAsia="en-US"/>
        </w:rPr>
        <w:t xml:space="preserve">: </w:t>
      </w:r>
      <w:r w:rsidR="00C424E2" w:rsidRPr="00C5142F">
        <w:rPr>
          <w:b/>
          <w:bCs/>
          <w:lang w:eastAsia="en-US"/>
        </w:rPr>
        <w:t xml:space="preserve">Georgia Power’s response to data request STF-GS-1-7 </w:t>
      </w:r>
      <w:r w:rsidR="00AE4970">
        <w:rPr>
          <w:b/>
          <w:bCs/>
          <w:lang w:eastAsia="en-US"/>
        </w:rPr>
        <w:t>(Docket No. 55378)</w:t>
      </w:r>
    </w:p>
    <w:p w14:paraId="51D5495A" w14:textId="77777777" w:rsidR="00C424E2" w:rsidRPr="00C5142F" w:rsidRDefault="00C424E2" w:rsidP="00C5142F">
      <w:pPr>
        <w:pStyle w:val="GaBody"/>
        <w:jc w:val="center"/>
        <w:rPr>
          <w:b/>
          <w:bCs/>
          <w:lang w:eastAsia="en-US"/>
        </w:rPr>
      </w:pPr>
    </w:p>
    <w:p w14:paraId="48B18574" w14:textId="77777777" w:rsidR="008F34FE" w:rsidRDefault="008F34FE" w:rsidP="008F34FE">
      <w:pPr>
        <w:ind w:left="2160" w:hanging="2160"/>
        <w:rPr>
          <w:b/>
          <w:szCs w:val="24"/>
        </w:rPr>
      </w:pPr>
      <w:r>
        <w:rPr>
          <w:b/>
          <w:szCs w:val="24"/>
        </w:rPr>
        <w:t>STF-GS-1-7</w:t>
      </w:r>
    </w:p>
    <w:p w14:paraId="5D599DE9" w14:textId="77777777" w:rsidR="008F34FE" w:rsidRDefault="008F34FE" w:rsidP="008F34FE">
      <w:pPr>
        <w:ind w:left="2160" w:hanging="2160"/>
        <w:rPr>
          <w:b/>
          <w:szCs w:val="24"/>
        </w:rPr>
      </w:pPr>
    </w:p>
    <w:p w14:paraId="520BEDA1" w14:textId="77777777" w:rsidR="008F34FE" w:rsidRDefault="008F34FE" w:rsidP="008F34FE">
      <w:pPr>
        <w:spacing w:after="200"/>
        <w:rPr>
          <w:b/>
          <w:szCs w:val="24"/>
          <w:u w:val="single"/>
        </w:rPr>
      </w:pPr>
      <w:r>
        <w:rPr>
          <w:b/>
          <w:szCs w:val="24"/>
          <w:u w:val="single"/>
        </w:rPr>
        <w:t>Question:</w:t>
      </w:r>
    </w:p>
    <w:p w14:paraId="2EA8083D" w14:textId="77777777" w:rsidR="008F34FE" w:rsidRDefault="008F34FE" w:rsidP="008F34FE">
      <w:pPr>
        <w:rPr>
          <w:szCs w:val="24"/>
        </w:rPr>
      </w:pPr>
      <w:r>
        <w:rPr>
          <w:szCs w:val="24"/>
        </w:rPr>
        <w:t xml:space="preserve">Has the Company evaluated whether the transmission upgrades identified in the Transmission Screening Analysis could be reduced, deferred, or eliminated with the deployment of grid-enhancing technologies including dynamic line ratings, topology optimization, power flow control devices, and similar solutions? </w:t>
      </w:r>
    </w:p>
    <w:p w14:paraId="7F50E253" w14:textId="77777777" w:rsidR="008F34FE" w:rsidRDefault="008F34FE" w:rsidP="008F34FE">
      <w:pPr>
        <w:rPr>
          <w:szCs w:val="24"/>
        </w:rPr>
      </w:pPr>
    </w:p>
    <w:p w14:paraId="5D078602" w14:textId="77777777" w:rsidR="008F34FE" w:rsidRDefault="008F34FE" w:rsidP="008F34FE">
      <w:pPr>
        <w:rPr>
          <w:szCs w:val="24"/>
        </w:rPr>
      </w:pPr>
    </w:p>
    <w:p w14:paraId="04ACDE4F" w14:textId="77777777" w:rsidR="008F34FE" w:rsidRDefault="008F34FE" w:rsidP="008F34FE">
      <w:pPr>
        <w:spacing w:after="200"/>
        <w:rPr>
          <w:b/>
          <w:szCs w:val="24"/>
          <w:u w:val="single"/>
        </w:rPr>
      </w:pPr>
      <w:r>
        <w:rPr>
          <w:b/>
          <w:szCs w:val="24"/>
          <w:u w:val="single"/>
        </w:rPr>
        <w:t>Response:</w:t>
      </w:r>
    </w:p>
    <w:p w14:paraId="76D93F88" w14:textId="77777777" w:rsidR="008F34FE" w:rsidRDefault="008F34FE" w:rsidP="008F34FE">
      <w:pPr>
        <w:spacing w:after="200"/>
      </w:pPr>
      <w:r>
        <w:rPr>
          <w:rStyle w:val="normaltextrun"/>
          <w:color w:val="000000"/>
          <w:shd w:val="clear" w:color="auto" w:fill="FFFFFF"/>
        </w:rPr>
        <w:t>Please refer to the Transmission Planning study and project development processes outlined in Technical Appendix Volume 3 of the 2022 Georgia Power Integrated Resource Plan (“IRP”) (Docket No. 44160)</w:t>
      </w:r>
      <w:r>
        <w:t xml:space="preserve"> </w:t>
      </w:r>
      <w:r>
        <w:rPr>
          <w:rStyle w:val="normaltextrun"/>
        </w:rPr>
        <w:t xml:space="preserve">which notes how projects are evaluated and developed. Due to the timing of the transmission constraints, the most appropriate projects were developed. </w:t>
      </w:r>
      <w:r>
        <w:rPr>
          <w:rStyle w:val="normaltextrun"/>
          <w:color w:val="000000" w:themeColor="text1"/>
        </w:rPr>
        <w:t>Additionally, please refer to the responses provided to STF-DEA-4-2 and STF-DEA-4-11.</w:t>
      </w:r>
    </w:p>
    <w:p w14:paraId="6448A906" w14:textId="77777777" w:rsidR="00C424E2" w:rsidRPr="00C424E2" w:rsidRDefault="00C424E2" w:rsidP="00C424E2">
      <w:pPr>
        <w:pStyle w:val="GaBody"/>
        <w:rPr>
          <w:lang w:eastAsia="en-US"/>
        </w:rPr>
      </w:pPr>
    </w:p>
    <w:sectPr w:rsidR="00C424E2" w:rsidRPr="00C424E2" w:rsidSect="008C0716">
      <w:headerReference w:type="default" r:id="rId16"/>
      <w:footerReference w:type="default" r:id="rId17"/>
      <w:headerReference w:type="first" r:id="rId18"/>
      <w:footerReference w:type="first" r:id="rId19"/>
      <w:endnotePr>
        <w:numFmt w:val="decimal"/>
      </w:endnotePr>
      <w:pgSz w:w="12240" w:h="15840" w:code="1"/>
      <w:pgMar w:top="1440" w:right="1440" w:bottom="1440" w:left="1440" w:header="1440" w:footer="965" w:gutter="0"/>
      <w:lnNumType w:countBy="1"/>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59E91" w14:textId="77777777" w:rsidR="008C0716" w:rsidRDefault="008C0716">
      <w:pPr>
        <w:pStyle w:val="Footer"/>
        <w:rPr>
          <w:b/>
          <w:u w:val="single"/>
        </w:rPr>
      </w:pPr>
      <w:r>
        <w:rPr>
          <w:b/>
          <w:u w:val="single"/>
        </w:rPr>
        <w:t>End Notes</w:t>
      </w:r>
      <w:r>
        <w:rPr>
          <w:b/>
          <w:u w:val="single"/>
        </w:rPr>
        <w:tab/>
      </w:r>
    </w:p>
    <w:p w14:paraId="14E0DAE6" w14:textId="77777777" w:rsidR="008C0716" w:rsidRDefault="008C0716">
      <w:pPr>
        <w:pStyle w:val="Footer"/>
      </w:pPr>
    </w:p>
  </w:endnote>
  <w:endnote w:type="continuationSeparator" w:id="0">
    <w:p w14:paraId="07D624A9" w14:textId="77777777" w:rsidR="008C0716" w:rsidRDefault="008C0716">
      <w:pPr>
        <w:rPr>
          <w:b/>
          <w:u w:val="single"/>
        </w:rPr>
      </w:pPr>
      <w:r>
        <w:rPr>
          <w:b/>
          <w:u w:val="single"/>
        </w:rPr>
        <w:t>End Notes (Continued)</w:t>
      </w:r>
      <w:r>
        <w:rPr>
          <w:b/>
          <w:u w:val="single"/>
        </w:rPr>
        <w:tab/>
      </w:r>
      <w:r>
        <w:rPr>
          <w:b/>
          <w:u w:val="single"/>
        </w:rPr>
        <w:tab/>
      </w:r>
      <w:r>
        <w:rPr>
          <w:b/>
          <w:u w:val="single"/>
        </w:rPr>
        <w:tab/>
      </w:r>
    </w:p>
    <w:p w14:paraId="3D490A9C" w14:textId="77777777" w:rsidR="008C0716" w:rsidRDefault="008C0716">
      <w:pPr>
        <w:rPr>
          <w:b/>
          <w:u w:val="single"/>
        </w:rPr>
      </w:pPr>
    </w:p>
  </w:endnote>
  <w:endnote w:type="continuationNotice" w:id="1">
    <w:p w14:paraId="5AC286B0" w14:textId="77777777" w:rsidR="008C0716" w:rsidRDefault="008C07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25B13" w14:textId="77777777" w:rsidR="0032539A" w:rsidRDefault="0032539A" w:rsidP="00412253">
    <w:pPr>
      <w:pStyle w:val="Footer"/>
      <w:tabs>
        <w:tab w:val="clear" w:pos="8640"/>
        <w:tab w:val="right" w:pos="9360"/>
      </w:tabs>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0023D" w14:textId="77777777" w:rsidR="0032539A" w:rsidRDefault="0032539A">
    <w:pPr>
      <w:pStyle w:val="Footer"/>
      <w:tabs>
        <w:tab w:val="clear" w:pos="8640"/>
        <w:tab w:val="right" w:pos="936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6984819"/>
      <w:docPartObj>
        <w:docPartGallery w:val="Page Numbers (Bottom of Page)"/>
        <w:docPartUnique/>
      </w:docPartObj>
    </w:sdtPr>
    <w:sdtContent>
      <w:sdt>
        <w:sdtPr>
          <w:id w:val="1728636285"/>
          <w:docPartObj>
            <w:docPartGallery w:val="Page Numbers (Top of Page)"/>
            <w:docPartUnique/>
          </w:docPartObj>
        </w:sdtPr>
        <w:sdtContent>
          <w:p w14:paraId="1226BDCF" w14:textId="4C88E223" w:rsidR="0032539A" w:rsidRDefault="0032539A">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fldSimple w:instr="SECTIONPAGES  \* Arabic  \* MERGEFORMAT">
              <w:r w:rsidR="00C174C0">
                <w:rPr>
                  <w:noProof/>
                </w:rPr>
                <w:t>33</w:t>
              </w:r>
            </w:fldSimple>
          </w:p>
        </w:sdtContent>
      </w:sdt>
    </w:sdtContent>
  </w:sdt>
  <w:p w14:paraId="1E6F5ACC" w14:textId="2E92AC27" w:rsidR="0032539A" w:rsidRPr="00343408" w:rsidRDefault="0032539A" w:rsidP="00AA0EA3">
    <w:pPr>
      <w:pStyle w:val="Footer"/>
      <w:jc w:val="cen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8257E" w14:textId="77777777" w:rsidR="0032539A" w:rsidRPr="003B08CF" w:rsidRDefault="0032539A" w:rsidP="00717F9A">
    <w:pPr>
      <w:pStyle w:val="Footer"/>
      <w:tabs>
        <w:tab w:val="clear" w:pos="8640"/>
        <w:tab w:val="right" w:pos="9360"/>
      </w:tabs>
      <w:jc w:val="center"/>
      <w:rPr>
        <w:sz w:val="20"/>
      </w:rPr>
    </w:pPr>
    <w:r w:rsidRPr="00717F9A">
      <w:rPr>
        <w:sz w:val="20"/>
      </w:rPr>
      <w:t xml:space="preserve">Page </w:t>
    </w:r>
    <w:r w:rsidRPr="00717F9A">
      <w:rPr>
        <w:sz w:val="20"/>
      </w:rPr>
      <w:fldChar w:fldCharType="begin"/>
    </w:r>
    <w:r w:rsidRPr="00717F9A">
      <w:rPr>
        <w:sz w:val="20"/>
      </w:rPr>
      <w:instrText xml:space="preserve"> PAGE </w:instrText>
    </w:r>
    <w:r w:rsidRPr="00717F9A">
      <w:rPr>
        <w:sz w:val="20"/>
      </w:rPr>
      <w:fldChar w:fldCharType="separate"/>
    </w:r>
    <w:r>
      <w:rPr>
        <w:noProof/>
        <w:sz w:val="20"/>
      </w:rPr>
      <w:t>1</w:t>
    </w:r>
    <w:r w:rsidRPr="00717F9A">
      <w:rPr>
        <w:sz w:val="20"/>
      </w:rPr>
      <w:fldChar w:fldCharType="end"/>
    </w:r>
    <w:r w:rsidRPr="00717F9A">
      <w:rPr>
        <w:sz w:val="20"/>
      </w:rPr>
      <w:t xml:space="preserve"> of </w:t>
    </w:r>
    <w:r>
      <w:rPr>
        <w:sz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5E4CD" w14:textId="77777777" w:rsidR="008C0716" w:rsidRDefault="008C0716">
      <w:r>
        <w:separator/>
      </w:r>
    </w:p>
  </w:footnote>
  <w:footnote w:type="continuationSeparator" w:id="0">
    <w:p w14:paraId="65067F94" w14:textId="77777777" w:rsidR="008C0716" w:rsidRDefault="008C0716">
      <w:r>
        <w:continuationSeparator/>
      </w:r>
    </w:p>
  </w:footnote>
  <w:footnote w:type="continuationNotice" w:id="1">
    <w:p w14:paraId="0DE5FE59" w14:textId="77777777" w:rsidR="008C0716" w:rsidRDefault="008C0716"/>
  </w:footnote>
  <w:footnote w:id="2">
    <w:p w14:paraId="2E6D8D7A" w14:textId="60EEDEA1" w:rsidR="006F7290" w:rsidRPr="00185B3C" w:rsidRDefault="000F4DF0" w:rsidP="00AB7EBB">
      <w:pPr>
        <w:pStyle w:val="FootnoteText"/>
      </w:pPr>
      <w:r w:rsidRPr="00185B3C">
        <w:rPr>
          <w:rStyle w:val="FootnoteReference"/>
        </w:rPr>
        <w:footnoteRef/>
      </w:r>
      <w:r w:rsidRPr="00185B3C">
        <w:t xml:space="preserve"> </w:t>
      </w:r>
      <w:r w:rsidR="007E609F" w:rsidRPr="00185B3C">
        <w:t>For example, see the January 16-17, 2024 hearing t</w:t>
      </w:r>
      <w:r w:rsidRPr="00185B3C">
        <w:t xml:space="preserve">ranscript </w:t>
      </w:r>
      <w:r w:rsidR="00D7549E">
        <w:t xml:space="preserve">in this docket </w:t>
      </w:r>
      <w:r w:rsidR="00AB7EBB" w:rsidRPr="00185B3C">
        <w:t xml:space="preserve">(“Hearing Transcript”) </w:t>
      </w:r>
      <w:r w:rsidR="00A60340" w:rsidRPr="00185B3C">
        <w:t xml:space="preserve">at page 257: “we looked at alternatives such as operating guidelines, redispatch, and then </w:t>
      </w:r>
      <w:proofErr w:type="spellStart"/>
      <w:r w:rsidR="00A60340" w:rsidRPr="00185B3C">
        <w:t>reconductering</w:t>
      </w:r>
      <w:proofErr w:type="spellEnd"/>
      <w:r w:rsidR="00A60340" w:rsidRPr="00185B3C">
        <w:t xml:space="preserve"> and </w:t>
      </w:r>
      <w:proofErr w:type="spellStart"/>
      <w:r w:rsidR="00A60340" w:rsidRPr="00185B3C">
        <w:t>rebuilding</w:t>
      </w:r>
      <w:proofErr w:type="gramStart"/>
      <w:r w:rsidR="00A60340" w:rsidRPr="00185B3C">
        <w:t>.”Also</w:t>
      </w:r>
      <w:proofErr w:type="spellEnd"/>
      <w:proofErr w:type="gramEnd"/>
      <w:r w:rsidR="00A60340" w:rsidRPr="00185B3C">
        <w:t xml:space="preserve"> see the question and answer </w:t>
      </w:r>
      <w:r w:rsidRPr="00185B3C">
        <w:t xml:space="preserve">at </w:t>
      </w:r>
      <w:r w:rsidR="007E609F" w:rsidRPr="00185B3C">
        <w:t xml:space="preserve">pages </w:t>
      </w:r>
      <w:r w:rsidRPr="00185B3C">
        <w:t xml:space="preserve">342-343: </w:t>
      </w:r>
      <w:r w:rsidR="00240FDE" w:rsidRPr="00185B3C">
        <w:t>“</w:t>
      </w:r>
      <w:r w:rsidRPr="00185B3C">
        <w:t xml:space="preserve">Did the company evaluate whether storage as a </w:t>
      </w:r>
      <w:r w:rsidRPr="00F94D6D">
        <w:t>transmission solution could overcome those transmission</w:t>
      </w:r>
      <w:r w:rsidR="007E609F" w:rsidRPr="00185B3C">
        <w:t xml:space="preserve"> </w:t>
      </w:r>
      <w:r w:rsidRPr="00F94D6D">
        <w:t>barriers?</w:t>
      </w:r>
      <w:r w:rsidRPr="00185B3C">
        <w:t xml:space="preserve"> </w:t>
      </w:r>
    </w:p>
    <w:p w14:paraId="411AD9F0" w14:textId="5568BED3" w:rsidR="000F4DF0" w:rsidRPr="00185B3C" w:rsidRDefault="000F4DF0" w:rsidP="00AB7EBB">
      <w:pPr>
        <w:pStyle w:val="FootnoteText"/>
      </w:pPr>
      <w:r w:rsidRPr="00F94D6D">
        <w:t>A (Witness Grubb) We did not. In the</w:t>
      </w:r>
      <w:r w:rsidRPr="00185B3C">
        <w:t xml:space="preserve"> </w:t>
      </w:r>
      <w:r w:rsidRPr="00F94D6D">
        <w:t>transmission screening, we looked at -- as we mentioned this</w:t>
      </w:r>
      <w:r w:rsidRPr="00185B3C">
        <w:t xml:space="preserve"> </w:t>
      </w:r>
      <w:r w:rsidRPr="00F94D6D">
        <w:t>morning, redispatch, operating guidelines, reconductoring.</w:t>
      </w:r>
      <w:r w:rsidR="00FC52B2" w:rsidRPr="00185B3C">
        <w:t>”</w:t>
      </w:r>
      <w:r w:rsidR="00685269" w:rsidRPr="00185B3C">
        <w:t xml:space="preserve"> </w:t>
      </w:r>
    </w:p>
  </w:footnote>
  <w:footnote w:id="3">
    <w:p w14:paraId="2AF495A9" w14:textId="53FBEC7A" w:rsidR="0057267D" w:rsidRPr="00185B3C" w:rsidRDefault="0057267D" w:rsidP="0057267D">
      <w:pPr>
        <w:pStyle w:val="FootnoteText"/>
        <w:rPr>
          <w:b/>
          <w:bCs/>
        </w:rPr>
      </w:pPr>
      <w:r w:rsidRPr="00185B3C">
        <w:rPr>
          <w:rStyle w:val="FootnoteReference"/>
        </w:rPr>
        <w:footnoteRef/>
      </w:r>
      <w:r w:rsidRPr="00185B3C">
        <w:t xml:space="preserve"> Please see the Company’s response to data request STF-GS-1-1</w:t>
      </w:r>
      <w:r w:rsidR="00990649">
        <w:t>, attached to my testimony as Exhibit MG-2</w:t>
      </w:r>
      <w:r w:rsidRPr="00185B3C">
        <w:t xml:space="preserve">: “The Company did not study Battery Energy Storage Systems (“BESS”) as options to reduce, defer, or eliminate the transmission upgrades identified in the 2023 IRP Update to facilitate the delivery of power from the proposed Plant Yates combustion turbines.”  </w:t>
      </w:r>
    </w:p>
  </w:footnote>
  <w:footnote w:id="4">
    <w:p w14:paraId="1C197F22" w14:textId="2A21AC9A" w:rsidR="00381EE6" w:rsidRPr="00185B3C" w:rsidRDefault="00381EE6" w:rsidP="00381EE6">
      <w:pPr>
        <w:pStyle w:val="FootnoteText"/>
      </w:pPr>
      <w:r w:rsidRPr="00185B3C">
        <w:rPr>
          <w:rStyle w:val="FootnoteReference"/>
        </w:rPr>
        <w:footnoteRef/>
      </w:r>
      <w:r w:rsidRPr="00185B3C">
        <w:t xml:space="preserve"> For example, see Witness Grubb’s statement in the </w:t>
      </w:r>
      <w:r w:rsidR="00D278D3" w:rsidRPr="00185B3C">
        <w:t>Hearing Transcript</w:t>
      </w:r>
      <w:r w:rsidRPr="00185B3C">
        <w:t xml:space="preserve"> at page 343: “</w:t>
      </w:r>
      <w:r w:rsidRPr="00F94D6D">
        <w:t>We don't usually look at batteries as a potential to remove</w:t>
      </w:r>
      <w:r w:rsidRPr="00185B3C">
        <w:t xml:space="preserve"> </w:t>
      </w:r>
      <w:r w:rsidRPr="00F94D6D">
        <w:t xml:space="preserve">transmission projects mainly because they </w:t>
      </w:r>
      <w:proofErr w:type="gramStart"/>
      <w:r w:rsidRPr="00F94D6D">
        <w:t>have to</w:t>
      </w:r>
      <w:proofErr w:type="gramEnd"/>
      <w:r w:rsidRPr="00F94D6D">
        <w:t xml:space="preserve"> be charged</w:t>
      </w:r>
      <w:r w:rsidRPr="00185B3C">
        <w:t xml:space="preserve"> and so they serve as a load. </w:t>
      </w:r>
      <w:proofErr w:type="gramStart"/>
      <w:r w:rsidRPr="00185B3C">
        <w:t>So</w:t>
      </w:r>
      <w:proofErr w:type="gramEnd"/>
      <w:r w:rsidRPr="00185B3C">
        <w:t xml:space="preserve"> most of our transmission contingencies are not usually solved with a battery.”</w:t>
      </w:r>
    </w:p>
  </w:footnote>
  <w:footnote w:id="5">
    <w:p w14:paraId="70B2734A" w14:textId="778888BD" w:rsidR="00FD2B64" w:rsidRPr="00185B3C" w:rsidRDefault="00FD2B64">
      <w:pPr>
        <w:pStyle w:val="FootnoteText"/>
      </w:pPr>
      <w:r w:rsidRPr="00185B3C">
        <w:rPr>
          <w:rStyle w:val="FootnoteReference"/>
        </w:rPr>
        <w:footnoteRef/>
      </w:r>
      <w:r w:rsidRPr="00185B3C">
        <w:t xml:space="preserve"> </w:t>
      </w:r>
      <w:r w:rsidR="00F97F07">
        <w:t xml:space="preserve">FERC, </w:t>
      </w:r>
      <w:r w:rsidR="00F97F07" w:rsidRPr="00C5505F">
        <w:rPr>
          <w:i/>
          <w:iCs/>
        </w:rPr>
        <w:t>Order 2023</w:t>
      </w:r>
      <w:r w:rsidR="00F97F07">
        <w:t>, (</w:t>
      </w:r>
      <w:r w:rsidR="00FA53C4">
        <w:t xml:space="preserve">July 2023), </w:t>
      </w:r>
      <w:r w:rsidR="00FA53C4">
        <w:rPr>
          <w:i/>
          <w:iCs/>
        </w:rPr>
        <w:t xml:space="preserve">available at </w:t>
      </w:r>
      <w:hyperlink r:id="rId1" w:history="1">
        <w:r w:rsidR="00FA53C4" w:rsidRPr="00FA53C4">
          <w:rPr>
            <w:rStyle w:val="Hyperlink"/>
          </w:rPr>
          <w:t>https://www.fer</w:t>
        </w:r>
        <w:r w:rsidR="00FA53C4" w:rsidRPr="00FA53C4">
          <w:rPr>
            <w:rStyle w:val="Hyperlink"/>
          </w:rPr>
          <w:t>c</w:t>
        </w:r>
        <w:r w:rsidR="00FA53C4" w:rsidRPr="00FA53C4">
          <w:rPr>
            <w:rStyle w:val="Hyperlink"/>
          </w:rPr>
          <w:t>.gov/media/e-1-order-2023-rm22-14-000</w:t>
        </w:r>
      </w:hyperlink>
      <w:r w:rsidRPr="00185B3C">
        <w:t>, at 17</w:t>
      </w:r>
    </w:p>
  </w:footnote>
  <w:footnote w:id="6">
    <w:p w14:paraId="041E2CF8" w14:textId="57DF464D" w:rsidR="0057267D" w:rsidRPr="00185B3C" w:rsidRDefault="0057267D" w:rsidP="00CC66D6">
      <w:pPr>
        <w:pStyle w:val="FootnoteText"/>
        <w:jc w:val="left"/>
      </w:pPr>
      <w:r w:rsidRPr="00185B3C">
        <w:rPr>
          <w:rStyle w:val="FootnoteReference"/>
        </w:rPr>
        <w:footnoteRef/>
      </w:r>
      <w:r w:rsidR="00D278D3" w:rsidRPr="00185B3C">
        <w:t xml:space="preserve"> </w:t>
      </w:r>
      <w:r w:rsidR="000A1CFA">
        <w:t>S</w:t>
      </w:r>
      <w:r w:rsidRPr="00185B3C">
        <w:t>ee</w:t>
      </w:r>
      <w:r w:rsidR="000A1CFA">
        <w:t xml:space="preserve"> Brent Oberlin, </w:t>
      </w:r>
      <w:r w:rsidR="000A1CFA" w:rsidRPr="00C5505F">
        <w:rPr>
          <w:i/>
          <w:iCs/>
        </w:rPr>
        <w:t>Storage as a Transmission Only Asset</w:t>
      </w:r>
      <w:r w:rsidR="000A1CFA">
        <w:t>,</w:t>
      </w:r>
      <w:r w:rsidR="00C5505F">
        <w:t xml:space="preserve"> (May 2022), </w:t>
      </w:r>
      <w:r w:rsidR="00C5505F">
        <w:rPr>
          <w:i/>
          <w:iCs/>
        </w:rPr>
        <w:t>available at</w:t>
      </w:r>
      <w:r w:rsidRPr="00185B3C">
        <w:t xml:space="preserve"> </w:t>
      </w:r>
      <w:hyperlink r:id="rId2" w:history="1">
        <w:r w:rsidRPr="00185B3C">
          <w:rPr>
            <w:rStyle w:val="Hyperlink"/>
          </w:rPr>
          <w:t>https://www.iso-ne.com/static-assets/documents/2022/05/a7_storage_as_a_transmission_only_asset.pdf</w:t>
        </w:r>
      </w:hyperlink>
      <w:r w:rsidRPr="00185B3C">
        <w:t xml:space="preserve">, </w:t>
      </w:r>
      <w:proofErr w:type="spellStart"/>
      <w:r w:rsidRPr="00185B3C">
        <w:t>at</w:t>
      </w:r>
      <w:proofErr w:type="spellEnd"/>
      <w:r w:rsidRPr="00185B3C">
        <w:t xml:space="preserve"> 11-15</w:t>
      </w:r>
      <w:r w:rsidR="00CA0FB0">
        <w:t xml:space="preserve">; and Quanta Technology, </w:t>
      </w:r>
      <w:r w:rsidR="005074F1" w:rsidRPr="005074F1">
        <w:rPr>
          <w:i/>
          <w:iCs/>
        </w:rPr>
        <w:t>Storage as Transmission Asset Market Study</w:t>
      </w:r>
      <w:r w:rsidR="005074F1">
        <w:t xml:space="preserve">, (January 2023), </w:t>
      </w:r>
      <w:r w:rsidR="005074F1">
        <w:rPr>
          <w:i/>
          <w:iCs/>
        </w:rPr>
        <w:t xml:space="preserve">available at </w:t>
      </w:r>
      <w:hyperlink r:id="rId3" w:history="1">
        <w:r w:rsidR="005074F1" w:rsidRPr="00D6456A">
          <w:rPr>
            <w:rStyle w:val="Hyperlink"/>
          </w:rPr>
          <w:t>https://cdn.ymaws.com/ny-best.org/resource/resmgr/reports/SATA_White_Paper_Final_01092.pdf</w:t>
        </w:r>
      </w:hyperlink>
      <w:r w:rsidR="00CA0FB0">
        <w:t xml:space="preserve"> </w:t>
      </w:r>
    </w:p>
  </w:footnote>
  <w:footnote w:id="7">
    <w:p w14:paraId="209955DE" w14:textId="62C13F82" w:rsidR="008E1DD4" w:rsidRPr="00185B3C" w:rsidRDefault="008E1DD4" w:rsidP="00185B3C">
      <w:pPr>
        <w:autoSpaceDE w:val="0"/>
        <w:autoSpaceDN w:val="0"/>
        <w:adjustRightInd w:val="0"/>
        <w:rPr>
          <w:sz w:val="20"/>
        </w:rPr>
      </w:pPr>
      <w:r w:rsidRPr="00185B3C">
        <w:rPr>
          <w:rStyle w:val="FootnoteReference"/>
          <w:sz w:val="20"/>
        </w:rPr>
        <w:footnoteRef/>
      </w:r>
      <w:r w:rsidRPr="00185B3C">
        <w:rPr>
          <w:sz w:val="20"/>
        </w:rPr>
        <w:t xml:space="preserve"> Direct Testimony of Jeffrey R. Grubb, Francisco Valle, Lee Evans, and Michael A. Bush on behalf of Georgia Power Company</w:t>
      </w:r>
      <w:r w:rsidR="00185B3C">
        <w:rPr>
          <w:sz w:val="20"/>
        </w:rPr>
        <w:t xml:space="preserve">, </w:t>
      </w:r>
      <w:r w:rsidRPr="00185B3C">
        <w:rPr>
          <w:sz w:val="20"/>
        </w:rPr>
        <w:t>Docket No. 55378, at 37</w:t>
      </w:r>
    </w:p>
  </w:footnote>
  <w:footnote w:id="8">
    <w:p w14:paraId="772CBE97" w14:textId="4CFDF6B7" w:rsidR="00516DC6" w:rsidRPr="00185B3C" w:rsidRDefault="00516DC6" w:rsidP="00185B3C">
      <w:pPr>
        <w:autoSpaceDE w:val="0"/>
        <w:autoSpaceDN w:val="0"/>
        <w:adjustRightInd w:val="0"/>
        <w:rPr>
          <w:sz w:val="20"/>
        </w:rPr>
      </w:pPr>
      <w:r w:rsidRPr="00185B3C">
        <w:rPr>
          <w:rStyle w:val="FootnoteReference"/>
          <w:sz w:val="20"/>
        </w:rPr>
        <w:footnoteRef/>
      </w:r>
      <w:r w:rsidRPr="00185B3C">
        <w:rPr>
          <w:sz w:val="20"/>
        </w:rPr>
        <w:t xml:space="preserve"> </w:t>
      </w:r>
      <w:r w:rsidR="00506FFE" w:rsidRPr="00185B3C">
        <w:rPr>
          <w:sz w:val="20"/>
        </w:rPr>
        <w:t xml:space="preserve">For example, see page </w:t>
      </w:r>
      <w:r w:rsidR="00185B3C" w:rsidRPr="00185B3C">
        <w:rPr>
          <w:sz w:val="20"/>
        </w:rPr>
        <w:t>35 of the Direct Testimony of Jeffrey R. Grubb, Francisco Valle, Lee Evans, and Michael A. Bush on behalf of Georgia Power Company in Docket No. 55378</w:t>
      </w:r>
      <w:r w:rsidR="00354AE4">
        <w:rPr>
          <w:sz w:val="20"/>
        </w:rPr>
        <w:t>:</w:t>
      </w:r>
      <w:r w:rsidR="00185B3C" w:rsidRPr="00185B3C">
        <w:rPr>
          <w:sz w:val="20"/>
        </w:rPr>
        <w:t xml:space="preserve"> </w:t>
      </w:r>
      <w:r w:rsidR="00506FFE" w:rsidRPr="00185B3C">
        <w:rPr>
          <w:sz w:val="20"/>
        </w:rPr>
        <w:t>“The Company proposes to add 178 MW of 4-hour duration lithium-ion BESS to existing Company-owned solar facilities at Robins and Moody Air Force Bases and 200 MW of BESS plus 200 MW of solar at a new site.” Also see the h</w:t>
      </w:r>
      <w:r w:rsidRPr="00185B3C">
        <w:rPr>
          <w:sz w:val="20"/>
        </w:rPr>
        <w:t xml:space="preserve">earing transcript at page 580: </w:t>
      </w:r>
      <w:r w:rsidRPr="0057267D">
        <w:rPr>
          <w:sz w:val="20"/>
        </w:rPr>
        <w:t>“(Witness Bush) That's correct. We are</w:t>
      </w:r>
      <w:r w:rsidRPr="00185B3C">
        <w:rPr>
          <w:sz w:val="20"/>
        </w:rPr>
        <w:t xml:space="preserve"> </w:t>
      </w:r>
      <w:proofErr w:type="gramStart"/>
      <w:r w:rsidRPr="00AC698F">
        <w:rPr>
          <w:sz w:val="20"/>
        </w:rPr>
        <w:t>actually engaging</w:t>
      </w:r>
      <w:proofErr w:type="gramEnd"/>
      <w:r w:rsidRPr="00AC698F">
        <w:rPr>
          <w:sz w:val="20"/>
        </w:rPr>
        <w:t xml:space="preserve"> many of the PPA providers for Georgia</w:t>
      </w:r>
      <w:r w:rsidRPr="00185B3C">
        <w:rPr>
          <w:sz w:val="20"/>
        </w:rPr>
        <w:t xml:space="preserve"> </w:t>
      </w:r>
      <w:r w:rsidRPr="00AC698F">
        <w:rPr>
          <w:sz w:val="20"/>
        </w:rPr>
        <w:t>Power Company that have large solar sites, engaging them</w:t>
      </w:r>
      <w:r w:rsidRPr="00185B3C">
        <w:rPr>
          <w:sz w:val="20"/>
        </w:rPr>
        <w:t xml:space="preserve"> </w:t>
      </w:r>
      <w:r w:rsidRPr="00AC698F">
        <w:rPr>
          <w:sz w:val="20"/>
        </w:rPr>
        <w:t>to find their interest in allowing us to put a battery</w:t>
      </w:r>
      <w:r w:rsidRPr="00185B3C">
        <w:rPr>
          <w:sz w:val="20"/>
        </w:rPr>
        <w:t xml:space="preserve"> </w:t>
      </w:r>
      <w:r w:rsidRPr="00AC698F">
        <w:rPr>
          <w:sz w:val="20"/>
        </w:rPr>
        <w:t>there at that site, in conjunction with the</w:t>
      </w:r>
      <w:r w:rsidRPr="00185B3C">
        <w:rPr>
          <w:sz w:val="20"/>
        </w:rPr>
        <w:t xml:space="preserve"> </w:t>
      </w:r>
      <w:r w:rsidRPr="00AC698F">
        <w:rPr>
          <w:sz w:val="20"/>
        </w:rPr>
        <w:t>interconnection and delivery service that already exists</w:t>
      </w:r>
      <w:r w:rsidRPr="00185B3C">
        <w:rPr>
          <w:sz w:val="20"/>
        </w:rPr>
        <w:t xml:space="preserve"> </w:t>
      </w:r>
      <w:r w:rsidRPr="0057267D">
        <w:rPr>
          <w:sz w:val="20"/>
        </w:rPr>
        <w:t>at that site.”</w:t>
      </w:r>
    </w:p>
  </w:footnote>
  <w:footnote w:id="9">
    <w:p w14:paraId="3EEB3549" w14:textId="77777777" w:rsidR="00215B36" w:rsidRPr="00185B3C" w:rsidRDefault="00215B36" w:rsidP="00215B36">
      <w:pPr>
        <w:pStyle w:val="FootnoteText"/>
      </w:pPr>
      <w:r w:rsidRPr="00185B3C">
        <w:rPr>
          <w:rStyle w:val="FootnoteReference"/>
        </w:rPr>
        <w:footnoteRef/>
      </w:r>
      <w:r w:rsidRPr="00185B3C">
        <w:t xml:space="preserve"> AES Indiana, </w:t>
      </w:r>
      <w:r w:rsidRPr="00185B3C">
        <w:rPr>
          <w:i/>
          <w:iCs/>
        </w:rPr>
        <w:t>IPL and AES leaders official open first battery-based energy storage in MISO region</w:t>
      </w:r>
      <w:r w:rsidRPr="00185B3C">
        <w:t xml:space="preserve"> (July 12, 2016), </w:t>
      </w:r>
      <w:hyperlink r:id="rId4" w:history="1">
        <w:r w:rsidRPr="00185B3C">
          <w:rPr>
            <w:rStyle w:val="Hyperlink"/>
          </w:rPr>
          <w:t>https://www.aesindiana.com/ipl-and-aes-leaders-officially-open-first-battery-based-energy-storage-miso-region</w:t>
        </w:r>
      </w:hyperlink>
      <w:r w:rsidRPr="00185B3C">
        <w:t>.</w:t>
      </w:r>
    </w:p>
  </w:footnote>
  <w:footnote w:id="10">
    <w:p w14:paraId="6067F6AC" w14:textId="77777777" w:rsidR="00215B36" w:rsidRPr="00185B3C" w:rsidRDefault="00215B36" w:rsidP="00215B36">
      <w:pPr>
        <w:pStyle w:val="FootnoteText"/>
      </w:pPr>
      <w:r w:rsidRPr="00185B3C">
        <w:rPr>
          <w:rStyle w:val="FootnoteReference"/>
        </w:rPr>
        <w:footnoteRef/>
      </w:r>
      <w:r w:rsidRPr="00185B3C">
        <w:t xml:space="preserve"> SDG&amp;E, </w:t>
      </w:r>
      <w:r w:rsidRPr="00185B3C">
        <w:rPr>
          <w:i/>
          <w:iCs/>
        </w:rPr>
        <w:t>SDG&amp;E Unveils World’s Largest Lithium Ion Battery Storage Facility</w:t>
      </w:r>
      <w:r w:rsidRPr="00185B3C">
        <w:t xml:space="preserve"> (Feb. 28, 2017), </w:t>
      </w:r>
      <w:hyperlink r:id="rId5" w:history="1">
        <w:r w:rsidRPr="00185B3C">
          <w:rPr>
            <w:rStyle w:val="Hyperlink"/>
          </w:rPr>
          <w:t>http://newsroom.sdge.com/battery-storage/sdge-unveils-world%E2%80%99s-largest-lithium-ion-battery-storage-facility</w:t>
        </w:r>
      </w:hyperlink>
      <w:r w:rsidRPr="00185B3C">
        <w:t>.</w:t>
      </w:r>
    </w:p>
  </w:footnote>
  <w:footnote w:id="11">
    <w:p w14:paraId="0F6F0FC9" w14:textId="77777777" w:rsidR="00215B36" w:rsidRPr="00185B3C" w:rsidRDefault="00215B36" w:rsidP="00215B36">
      <w:pPr>
        <w:pStyle w:val="FootnoteText"/>
      </w:pPr>
      <w:r w:rsidRPr="00185B3C">
        <w:rPr>
          <w:rStyle w:val="FootnoteReference"/>
        </w:rPr>
        <w:footnoteRef/>
      </w:r>
      <w:r w:rsidRPr="00185B3C">
        <w:t xml:space="preserve"> Aaron Larson, </w:t>
      </w:r>
      <w:r w:rsidRPr="00185B3C">
        <w:rPr>
          <w:i/>
          <w:iCs/>
        </w:rPr>
        <w:t>New York City’s Largest Battery Energy Storage System Nears Completion</w:t>
      </w:r>
      <w:r w:rsidRPr="00185B3C">
        <w:t xml:space="preserve">, </w:t>
      </w:r>
      <w:r w:rsidRPr="00185B3C">
        <w:rPr>
          <w:smallCaps/>
        </w:rPr>
        <w:t xml:space="preserve">Power </w:t>
      </w:r>
      <w:r w:rsidRPr="00185B3C">
        <w:t xml:space="preserve">(June 22, 2023), </w:t>
      </w:r>
      <w:hyperlink r:id="rId6" w:history="1">
        <w:r w:rsidRPr="00185B3C">
          <w:rPr>
            <w:rStyle w:val="Hyperlink"/>
          </w:rPr>
          <w:t>https://www.powermag.com/new-york-citys-largest-battery-energy-storage-system-nears-completion/</w:t>
        </w:r>
      </w:hyperlink>
      <w:r w:rsidRPr="00185B3C">
        <w:t xml:space="preserve">. </w:t>
      </w:r>
    </w:p>
  </w:footnote>
  <w:footnote w:id="12">
    <w:p w14:paraId="3036CD28" w14:textId="000CE36F" w:rsidR="0057267D" w:rsidRPr="00185B3C" w:rsidRDefault="0057267D" w:rsidP="0057267D">
      <w:pPr>
        <w:pStyle w:val="FootnoteText"/>
      </w:pPr>
      <w:r w:rsidRPr="00185B3C">
        <w:rPr>
          <w:rStyle w:val="FootnoteReference"/>
        </w:rPr>
        <w:footnoteRef/>
      </w:r>
      <w:r w:rsidRPr="00185B3C">
        <w:t xml:space="preserve"> For example, see Georgia Power’s response to data request STF-GDS-4-</w:t>
      </w:r>
      <w:proofErr w:type="gramStart"/>
      <w:r w:rsidRPr="00185B3C">
        <w:t>7</w:t>
      </w:r>
      <w:r w:rsidR="00D4452F">
        <w:t>.e.</w:t>
      </w:r>
      <w:proofErr w:type="gramEnd"/>
      <w:r w:rsidR="00A80580" w:rsidRPr="00185B3C">
        <w:t xml:space="preserve"> in Docket No. 44160</w:t>
      </w:r>
      <w:r w:rsidRPr="00185B3C">
        <w:t xml:space="preserve">, </w:t>
      </w:r>
      <w:r w:rsidR="00750105">
        <w:t xml:space="preserve">attached to my testimony as Exhibit MG-3, </w:t>
      </w:r>
      <w:r w:rsidRPr="00185B3C">
        <w:t>stating that “Alternative solutions such as energy storage or distributed energy resources have not been considered yet for various reasons.” Those reasons include “the magnitude of storage or DER that would be needed makes those options untenable.”</w:t>
      </w:r>
    </w:p>
  </w:footnote>
  <w:footnote w:id="13">
    <w:p w14:paraId="416948FB" w14:textId="426AD922" w:rsidR="0057267D" w:rsidRPr="00185B3C" w:rsidRDefault="0057267D" w:rsidP="0057267D">
      <w:pPr>
        <w:pStyle w:val="FootnoteText"/>
      </w:pPr>
      <w:r w:rsidRPr="00185B3C">
        <w:rPr>
          <w:rStyle w:val="FootnoteReference"/>
        </w:rPr>
        <w:footnoteRef/>
      </w:r>
      <w:r w:rsidRPr="00185B3C">
        <w:t xml:space="preserve"> See U.S. Department of Energy</w:t>
      </w:r>
      <w:r w:rsidR="00553F20">
        <w:t xml:space="preserve">, </w:t>
      </w:r>
      <w:r w:rsidR="00553F20" w:rsidRPr="00E3717B">
        <w:rPr>
          <w:i/>
          <w:iCs/>
        </w:rPr>
        <w:t>Energy Community Tax Credit Bonus</w:t>
      </w:r>
      <w:r w:rsidR="00553F20">
        <w:t>,</w:t>
      </w:r>
      <w:r w:rsidRPr="00185B3C">
        <w:t xml:space="preserve"> </w:t>
      </w:r>
      <w:r w:rsidR="00553F20">
        <w:rPr>
          <w:i/>
          <w:iCs/>
        </w:rPr>
        <w:t>av</w:t>
      </w:r>
      <w:r w:rsidR="00091DBE">
        <w:rPr>
          <w:i/>
          <w:iCs/>
        </w:rPr>
        <w:t>a</w:t>
      </w:r>
      <w:r w:rsidR="00553F20">
        <w:rPr>
          <w:i/>
          <w:iCs/>
        </w:rPr>
        <w:t>ilable at</w:t>
      </w:r>
      <w:r w:rsidRPr="00185B3C">
        <w:t xml:space="preserve">   </w:t>
      </w:r>
      <w:proofErr w:type="gramStart"/>
      <w:r w:rsidRPr="00185B3C">
        <w:t>https://arcgis.netl.doe.gov/portal/apps/experiencebuilder/experience/?id=a2ce47d4721a477a8701bd0e08495e1d</w:t>
      </w:r>
      <w:proofErr w:type="gramEnd"/>
    </w:p>
  </w:footnote>
  <w:footnote w:id="14">
    <w:p w14:paraId="7F2189AA" w14:textId="77777777" w:rsidR="0057267D" w:rsidRPr="00185B3C" w:rsidRDefault="0057267D" w:rsidP="0057267D">
      <w:pPr>
        <w:pStyle w:val="FootnoteText"/>
      </w:pPr>
      <w:r w:rsidRPr="00185B3C">
        <w:rPr>
          <w:rStyle w:val="FootnoteReference"/>
        </w:rPr>
        <w:footnoteRef/>
      </w:r>
      <w:r w:rsidRPr="00185B3C">
        <w:t xml:space="preserve"> </w:t>
      </w:r>
      <w:r w:rsidRPr="00185B3C">
        <w:rPr>
          <w:i/>
          <w:iCs/>
        </w:rPr>
        <w:t>Ibid.</w:t>
      </w:r>
    </w:p>
  </w:footnote>
  <w:footnote w:id="15">
    <w:p w14:paraId="105A8F4E" w14:textId="4D354FAE" w:rsidR="00E748EA" w:rsidRPr="00185B3C" w:rsidRDefault="00E748EA">
      <w:pPr>
        <w:pStyle w:val="FootnoteText"/>
      </w:pPr>
      <w:r w:rsidRPr="00185B3C">
        <w:rPr>
          <w:rStyle w:val="FootnoteReference"/>
        </w:rPr>
        <w:footnoteRef/>
      </w:r>
      <w:r w:rsidRPr="00185B3C">
        <w:t xml:space="preserve"> See Georgia Power’s response to STF-GS-1-8</w:t>
      </w:r>
      <w:r w:rsidR="00513EE2" w:rsidRPr="00185B3C">
        <w:t xml:space="preserve"> and STF-GS-1-9</w:t>
      </w:r>
      <w:r w:rsidR="001678A7">
        <w:t xml:space="preserve"> in this docket</w:t>
      </w:r>
      <w:r w:rsidR="00750105">
        <w:t>, attached to my testimony as Exhibit MG-4</w:t>
      </w:r>
    </w:p>
  </w:footnote>
  <w:footnote w:id="16">
    <w:p w14:paraId="78B7F3D1" w14:textId="61B46328" w:rsidR="0057267D" w:rsidRPr="00185B3C" w:rsidRDefault="0057267D" w:rsidP="0057267D">
      <w:pPr>
        <w:pStyle w:val="FootnoteText"/>
      </w:pPr>
      <w:r w:rsidRPr="00185B3C">
        <w:rPr>
          <w:rStyle w:val="FootnoteReference"/>
        </w:rPr>
        <w:footnoteRef/>
      </w:r>
      <w:r w:rsidR="00A70E2D" w:rsidRPr="00185B3C">
        <w:t xml:space="preserve"> For example, see </w:t>
      </w:r>
      <w:r w:rsidR="00DF0EDF">
        <w:t>Ana Rado</w:t>
      </w:r>
      <w:r w:rsidR="00BB4E8E">
        <w:t xml:space="preserve">vanovic, </w:t>
      </w:r>
      <w:r w:rsidR="00BB4E8E" w:rsidRPr="00E3717B">
        <w:rPr>
          <w:i/>
          <w:iCs/>
        </w:rPr>
        <w:t>Our data centers now work harder when the sun shines and wind blows</w:t>
      </w:r>
      <w:r w:rsidR="00BB4E8E">
        <w:t xml:space="preserve">, (April 2020), </w:t>
      </w:r>
      <w:r w:rsidR="00BB4E8E">
        <w:rPr>
          <w:i/>
          <w:iCs/>
        </w:rPr>
        <w:t>available at</w:t>
      </w:r>
      <w:r w:rsidR="00BB4E8E" w:rsidRPr="00BB4E8E">
        <w:t xml:space="preserve"> </w:t>
      </w:r>
      <w:hyperlink r:id="rId7" w:history="1">
        <w:r w:rsidR="00BB4E8E" w:rsidRPr="00BB4E8E">
          <w:rPr>
            <w:rStyle w:val="Hyperlink"/>
          </w:rPr>
          <w:t>https://blog.google/inside-google/infrastructure/data-centers-work-harder-sun-shines-wind-blows/</w:t>
        </w:r>
      </w:hyperlink>
      <w:r w:rsidRPr="00185B3C">
        <w:t xml:space="preserve">; </w:t>
      </w:r>
      <w:r w:rsidR="00155F8D">
        <w:t xml:space="preserve">and Energy Information Administration, </w:t>
      </w:r>
      <w:r w:rsidR="00155F8D" w:rsidRPr="00E3717B">
        <w:rPr>
          <w:i/>
          <w:iCs/>
        </w:rPr>
        <w:t>Tracking electricity consumption from U.S. cryptocurrency mining operations</w:t>
      </w:r>
      <w:r w:rsidR="00155F8D">
        <w:t>,</w:t>
      </w:r>
      <w:r w:rsidR="00155F8D" w:rsidRPr="00155F8D">
        <w:t xml:space="preserve"> </w:t>
      </w:r>
      <w:r w:rsidR="00155F8D">
        <w:t xml:space="preserve">(February 2024), </w:t>
      </w:r>
      <w:r w:rsidR="00155F8D">
        <w:rPr>
          <w:i/>
          <w:iCs/>
        </w:rPr>
        <w:t>available at</w:t>
      </w:r>
      <w:r w:rsidR="00155F8D">
        <w:t xml:space="preserve"> </w:t>
      </w:r>
      <w:hyperlink r:id="rId8" w:history="1">
        <w:r w:rsidR="00155F8D" w:rsidRPr="00155F8D">
          <w:rPr>
            <w:rStyle w:val="Hyperlink"/>
          </w:rPr>
          <w:t>https://www.eia.gov/todayinenergy/detail.php?id=61364</w:t>
        </w:r>
      </w:hyperlink>
      <w:r w:rsidR="004445AC">
        <w:t>:</w:t>
      </w:r>
      <w:r w:rsidRPr="00185B3C">
        <w:t xml:space="preserve"> “For example, in Texas, the grid operator ERCOT has created its Large Flexible Load (LFL) program, which enlisted up to 1,530 megawatts (MW) of large industrial consumers to curtail their use during peak demand periods. Cryptocurrency miners are major participants in the LFL program</w:t>
      </w:r>
      <w:r w:rsidR="002B0EA4" w:rsidRPr="00185B3C">
        <w:t>…</w:t>
      </w:r>
      <w:r w:rsidRPr="00185B3C">
        <w:t>.”</w:t>
      </w:r>
    </w:p>
  </w:footnote>
  <w:footnote w:id="17">
    <w:p w14:paraId="44119CCD" w14:textId="77777777" w:rsidR="0057267D" w:rsidRPr="00185B3C" w:rsidRDefault="0057267D" w:rsidP="0057267D">
      <w:pPr>
        <w:pStyle w:val="FootnoteText"/>
      </w:pPr>
      <w:r w:rsidRPr="00185B3C">
        <w:rPr>
          <w:rStyle w:val="FootnoteReference"/>
        </w:rPr>
        <w:footnoteRef/>
      </w:r>
      <w:r w:rsidRPr="00185B3C">
        <w:t xml:space="preserve"> ERCOT, “2023 Annual Report of Demand Response in the ERCOT Region,” available at </w:t>
      </w:r>
      <w:hyperlink r:id="rId9" w:history="1">
        <w:r w:rsidRPr="00185B3C">
          <w:rPr>
            <w:rStyle w:val="Hyperlink"/>
          </w:rPr>
          <w:t>https://www.ercot.com/misdownload/servlets/mirDownload?doclookupId=975814860</w:t>
        </w:r>
      </w:hyperlink>
      <w:r w:rsidRPr="00185B3C">
        <w:t>, at 2</w:t>
      </w:r>
    </w:p>
  </w:footnote>
  <w:footnote w:id="18">
    <w:p w14:paraId="4DF55B54" w14:textId="1818C146" w:rsidR="0057267D" w:rsidRPr="00185B3C" w:rsidRDefault="0057267D" w:rsidP="0057267D">
      <w:pPr>
        <w:pStyle w:val="FootnoteText"/>
      </w:pPr>
      <w:r w:rsidRPr="00185B3C">
        <w:rPr>
          <w:rStyle w:val="FootnoteReference"/>
        </w:rPr>
        <w:footnoteRef/>
      </w:r>
      <w:r w:rsidRPr="00185B3C">
        <w:t xml:space="preserve"> Rob Gramlich, </w:t>
      </w:r>
      <w:r w:rsidRPr="00185B3C">
        <w:rPr>
          <w:i/>
        </w:rPr>
        <w:t>Bringing the Grid to Life: White Paper on the Benefits to Customers of Transmission Management Technologies</w:t>
      </w:r>
      <w:r w:rsidRPr="00185B3C">
        <w:t xml:space="preserve"> (Mar. 2018), </w:t>
      </w:r>
      <w:r w:rsidRPr="00185B3C">
        <w:rPr>
          <w:i/>
        </w:rPr>
        <w:t>available at</w:t>
      </w:r>
      <w:r w:rsidRPr="00185B3C">
        <w:t xml:space="preserve"> </w:t>
      </w:r>
      <w:hyperlink r:id="rId10" w:history="1">
        <w:r w:rsidR="004445AC" w:rsidRPr="000C28A2">
          <w:rPr>
            <w:rStyle w:val="Hyperlink"/>
          </w:rPr>
          <w:t>https://watttransmission.files.wordpress.com/2018/03/watt-living-grid-white-paper.pdf</w:t>
        </w:r>
      </w:hyperlink>
      <w:r w:rsidRPr="00185B3C">
        <w:t xml:space="preserve">. </w:t>
      </w:r>
    </w:p>
  </w:footnote>
  <w:footnote w:id="19">
    <w:p w14:paraId="58BD9276" w14:textId="77777777" w:rsidR="0057267D" w:rsidRPr="00185B3C" w:rsidRDefault="0057267D" w:rsidP="0057267D">
      <w:pPr>
        <w:pStyle w:val="FootnoteText"/>
      </w:pPr>
      <w:r w:rsidRPr="00185B3C">
        <w:rPr>
          <w:rStyle w:val="FootnoteReference"/>
        </w:rPr>
        <w:footnoteRef/>
      </w:r>
      <w:r w:rsidRPr="00185B3C">
        <w:t xml:space="preserve"> </w:t>
      </w:r>
      <w:r w:rsidRPr="00185B3C">
        <w:rPr>
          <w:i/>
        </w:rPr>
        <w:t xml:space="preserve">See </w:t>
      </w:r>
      <w:r w:rsidRPr="00185B3C">
        <w:rPr>
          <w:iCs/>
        </w:rPr>
        <w:t xml:space="preserve">Idaho </w:t>
      </w:r>
      <w:proofErr w:type="spellStart"/>
      <w:r w:rsidRPr="00185B3C">
        <w:rPr>
          <w:iCs/>
        </w:rPr>
        <w:t>Nat’l</w:t>
      </w:r>
      <w:proofErr w:type="spellEnd"/>
      <w:r w:rsidRPr="00185B3C">
        <w:rPr>
          <w:iCs/>
        </w:rPr>
        <w:t xml:space="preserve"> Lab., </w:t>
      </w:r>
      <w:r w:rsidRPr="00185B3C">
        <w:rPr>
          <w:i/>
        </w:rPr>
        <w:t>A Guide to Case Studies of Grid Enhancing Technologies</w:t>
      </w:r>
      <w:r w:rsidRPr="00185B3C">
        <w:rPr>
          <w:iCs/>
        </w:rPr>
        <w:t xml:space="preserve">, 11, 26 (Oct. 2022), </w:t>
      </w:r>
      <w:hyperlink r:id="rId11" w:history="1">
        <w:r w:rsidRPr="00185B3C">
          <w:rPr>
            <w:rStyle w:val="Hyperlink"/>
          </w:rPr>
          <w:t>https://inl.gov/wp-content/uploads/2023/03/A-Guide-to-Case-Studies-for-Grid-Enhancing-Technologies.pdf</w:t>
        </w:r>
      </w:hyperlink>
      <w:r w:rsidRPr="00185B3C">
        <w:t>.</w:t>
      </w:r>
    </w:p>
  </w:footnote>
  <w:footnote w:id="20">
    <w:p w14:paraId="6E8C2A42" w14:textId="77777777" w:rsidR="00BC3E33" w:rsidRPr="00185B3C" w:rsidRDefault="00BC3E33" w:rsidP="00BC3E33">
      <w:pPr>
        <w:pStyle w:val="FootnoteText"/>
      </w:pPr>
      <w:r w:rsidRPr="00185B3C">
        <w:rPr>
          <w:rStyle w:val="FootnoteReference"/>
        </w:rPr>
        <w:footnoteRef/>
      </w:r>
      <w:r w:rsidRPr="00185B3C">
        <w:t xml:space="preserve"> Transcript at 257</w:t>
      </w:r>
    </w:p>
  </w:footnote>
  <w:footnote w:id="21">
    <w:p w14:paraId="7BA896C0" w14:textId="47F93EE9" w:rsidR="0057267D" w:rsidRPr="00185B3C" w:rsidRDefault="0057267D" w:rsidP="0057267D">
      <w:pPr>
        <w:pStyle w:val="FootnoteText"/>
      </w:pPr>
      <w:r w:rsidRPr="00185B3C">
        <w:rPr>
          <w:rStyle w:val="FootnoteReference"/>
        </w:rPr>
        <w:footnoteRef/>
      </w:r>
      <w:r w:rsidRPr="00185B3C">
        <w:t xml:space="preserve"> Bruce Tsuchida, Stephanie Ross, Adam Bigelow,</w:t>
      </w:r>
      <w:r w:rsidRPr="00185B3C">
        <w:rPr>
          <w:i/>
          <w:iCs/>
        </w:rPr>
        <w:t xml:space="preserve"> Unlocking the Queue with Grid-Enhancing Technologies</w:t>
      </w:r>
      <w:r w:rsidRPr="00185B3C">
        <w:t xml:space="preserve">, at 8 (February 2021), </w:t>
      </w:r>
      <w:r w:rsidRPr="00185B3C">
        <w:rPr>
          <w:i/>
          <w:iCs/>
        </w:rPr>
        <w:t>available at</w:t>
      </w:r>
      <w:r w:rsidRPr="00185B3C">
        <w:t xml:space="preserve"> </w:t>
      </w:r>
      <w:hyperlink r:id="rId12" w:history="1">
        <w:r w:rsidR="00CD2A20" w:rsidRPr="000C28A2">
          <w:rPr>
            <w:rStyle w:val="Hyperlink"/>
          </w:rPr>
          <w:t>https://watt-transmission.org/wp-content/uploads/2021/02/Brattle__Unlocking-the-Queue-with-Grid-Enhancing-Technologies__Final-Report_Public-Version.pdf90.pdf</w:t>
        </w:r>
      </w:hyperlink>
      <w:r w:rsidR="00CD2A20">
        <w:t xml:space="preserve"> </w:t>
      </w:r>
    </w:p>
  </w:footnote>
  <w:footnote w:id="22">
    <w:p w14:paraId="0DAC3472" w14:textId="308FBC25" w:rsidR="0057267D" w:rsidRPr="00B8539C" w:rsidRDefault="0057267D" w:rsidP="0057267D">
      <w:pPr>
        <w:pStyle w:val="FootnoteText"/>
      </w:pPr>
      <w:r w:rsidRPr="00185B3C">
        <w:rPr>
          <w:rStyle w:val="FootnoteReference"/>
        </w:rPr>
        <w:footnoteRef/>
      </w:r>
      <w:r w:rsidRPr="00B8539C">
        <w:t xml:space="preserve"> </w:t>
      </w:r>
      <w:r w:rsidR="00B8539C" w:rsidRPr="00B8539C">
        <w:t xml:space="preserve">FERC, </w:t>
      </w:r>
      <w:r w:rsidR="00B8539C" w:rsidRPr="00CC66D6">
        <w:rPr>
          <w:i/>
          <w:iCs/>
        </w:rPr>
        <w:t>FERC Opens Inquiry on Use of Dynamic Line Ratings to Promote Grid Efficiency</w:t>
      </w:r>
      <w:r w:rsidR="00B8539C">
        <w:t>, (February 2022)</w:t>
      </w:r>
      <w:r w:rsidR="005360DB">
        <w:t xml:space="preserve">, </w:t>
      </w:r>
      <w:r w:rsidR="005360DB">
        <w:rPr>
          <w:i/>
          <w:iCs/>
        </w:rPr>
        <w:t>available at</w:t>
      </w:r>
      <w:r w:rsidR="00B8539C" w:rsidRPr="00CC66D6">
        <w:t xml:space="preserve"> </w:t>
      </w:r>
      <w:hyperlink r:id="rId13" w:history="1">
        <w:r w:rsidR="00B8539C" w:rsidRPr="00B8539C">
          <w:rPr>
            <w:rStyle w:val="Hyperlink"/>
          </w:rPr>
          <w:t>https://www.ferc.gov/news-events/news/ferc-opens-inquiry-use-dynamic-line-ratings-promote-grid-efficiency</w:t>
        </w:r>
      </w:hyperlink>
      <w:r w:rsidR="00CD2A20" w:rsidRPr="00B8539C">
        <w:t xml:space="preserve"> </w:t>
      </w:r>
    </w:p>
  </w:footnote>
  <w:footnote w:id="23">
    <w:p w14:paraId="2264B416" w14:textId="08BB5EB1" w:rsidR="0057267D" w:rsidRPr="00185B3C" w:rsidRDefault="0057267D" w:rsidP="0057267D">
      <w:pPr>
        <w:pStyle w:val="FootnoteText"/>
      </w:pPr>
      <w:r w:rsidRPr="00185B3C">
        <w:rPr>
          <w:rStyle w:val="FootnoteReference"/>
        </w:rPr>
        <w:footnoteRef/>
      </w:r>
      <w:r w:rsidRPr="00185B3C">
        <w:t xml:space="preserve"> Midcontinent </w:t>
      </w:r>
      <w:proofErr w:type="spellStart"/>
      <w:r w:rsidRPr="00185B3C">
        <w:t>Indep</w:t>
      </w:r>
      <w:proofErr w:type="spellEnd"/>
      <w:r w:rsidRPr="00185B3C">
        <w:t xml:space="preserve">. Sys. Operator, </w:t>
      </w:r>
      <w:r w:rsidRPr="00185B3C">
        <w:rPr>
          <w:i/>
          <w:iCs/>
        </w:rPr>
        <w:t>Transmission Cost Estimation Guide for MTEP2</w:t>
      </w:r>
      <w:r w:rsidR="00B17D0D">
        <w:rPr>
          <w:i/>
          <w:iCs/>
        </w:rPr>
        <w:t>4</w:t>
      </w:r>
      <w:r w:rsidRPr="00185B3C">
        <w:t xml:space="preserve"> (</w:t>
      </w:r>
      <w:r w:rsidR="00B17D0D">
        <w:t>Jan</w:t>
      </w:r>
      <w:r w:rsidR="00DA1301">
        <w:t>uary</w:t>
      </w:r>
      <w:r w:rsidRPr="00185B3C">
        <w:t xml:space="preserve"> 202</w:t>
      </w:r>
      <w:r w:rsidR="00B17D0D">
        <w:t>4 draft</w:t>
      </w:r>
      <w:r w:rsidRPr="00185B3C">
        <w:t xml:space="preserve">), </w:t>
      </w:r>
      <w:hyperlink r:id="rId14" w:history="1">
        <w:r w:rsidR="00B17D0D" w:rsidRPr="000C28A2">
          <w:rPr>
            <w:rStyle w:val="Hyperlink"/>
          </w:rPr>
          <w:t>https://cdn.misoenergy.org/20240131%20PSC%20Item%2005%20Transmission%20Cost%20Estimation%20Guide%20for%20MTEP24%20-%20Redline631529.pdf</w:t>
        </w:r>
      </w:hyperlink>
      <w:r w:rsidR="00B17D0D">
        <w:t xml:space="preserve"> </w:t>
      </w:r>
      <w:r w:rsidRPr="00185B3C">
        <w:t xml:space="preserve">(Table 1 was prepared using the reported Power rating (MVA) capacity data in Table 3.1.5 on page </w:t>
      </w:r>
      <w:r w:rsidR="00B17D0D">
        <w:t>43</w:t>
      </w:r>
      <w:r w:rsidRPr="00185B3C">
        <w:t xml:space="preserve"> and the estimated costs for Arkansas reported in Table</w:t>
      </w:r>
      <w:r w:rsidR="00B17D0D">
        <w:t>s</w:t>
      </w:r>
      <w:r w:rsidRPr="00185B3C">
        <w:t xml:space="preserve"> 4.1.1 </w:t>
      </w:r>
      <w:r w:rsidR="00B17D0D">
        <w:t xml:space="preserve">and 4.1.2 </w:t>
      </w:r>
      <w:r w:rsidRPr="00185B3C">
        <w:t>on pages 4</w:t>
      </w:r>
      <w:r w:rsidR="00B17D0D">
        <w:t>7</w:t>
      </w:r>
      <w:r w:rsidRPr="00185B3C">
        <w:t>–4</w:t>
      </w:r>
      <w:r w:rsidR="00B17D0D">
        <w:t>9</w:t>
      </w:r>
      <w:r w:rsidRPr="00185B3C">
        <w:t xml:space="preserve">. Costs for Arkansas were used as they are in the middle of the range of MISO’s cost estimates by </w:t>
      </w:r>
      <w:proofErr w:type="gramStart"/>
      <w:r w:rsidRPr="00185B3C">
        <w:t>state, and</w:t>
      </w:r>
      <w:proofErr w:type="gramEnd"/>
      <w:r w:rsidRPr="00185B3C">
        <w:t xml:space="preserve"> are likely to be more representative of costs in the Southeast. The Power rating (MVA) capacity data for the Double Circuit are twice the capacity for the Single Circuit.).</w:t>
      </w:r>
    </w:p>
  </w:footnote>
  <w:footnote w:id="24">
    <w:p w14:paraId="673AEA10" w14:textId="0B38C4FF" w:rsidR="00D11277" w:rsidRPr="00185B3C" w:rsidRDefault="00D11277">
      <w:pPr>
        <w:pStyle w:val="FootnoteText"/>
      </w:pPr>
      <w:r w:rsidRPr="00185B3C">
        <w:rPr>
          <w:rStyle w:val="FootnoteReference"/>
        </w:rPr>
        <w:footnoteRef/>
      </w:r>
      <w:r w:rsidRPr="00185B3C">
        <w:t xml:space="preserve"> </w:t>
      </w:r>
      <w:r w:rsidR="005D0397">
        <w:t>Lawrence Berkeley National Laboratory</w:t>
      </w:r>
      <w:r w:rsidR="00741A07">
        <w:t xml:space="preserve">, </w:t>
      </w:r>
      <w:r w:rsidR="00741A07" w:rsidRPr="001E71CE">
        <w:rPr>
          <w:i/>
          <w:iCs/>
        </w:rPr>
        <w:t>Generator Interconnection Costs to the Transmission System</w:t>
      </w:r>
      <w:r w:rsidR="00741A07">
        <w:t>,</w:t>
      </w:r>
      <w:r w:rsidR="00D83DC8">
        <w:t xml:space="preserve"> (June 2023) </w:t>
      </w:r>
      <w:r w:rsidR="00D83DC8" w:rsidRPr="00D83DC8">
        <w:rPr>
          <w:i/>
          <w:iCs/>
        </w:rPr>
        <w:t>available at</w:t>
      </w:r>
      <w:r w:rsidR="00741A07">
        <w:t xml:space="preserve"> </w:t>
      </w:r>
      <w:hyperlink r:id="rId15" w:history="1">
        <w:r w:rsidR="00741A07" w:rsidRPr="00D6456A">
          <w:rPr>
            <w:rStyle w:val="Hyperlink"/>
          </w:rPr>
          <w:t>https://eta-publications.lbl.gov/sites/default/files/berkeley_lab_interconnection_cost_webinar.pdf</w:t>
        </w:r>
      </w:hyperlink>
      <w:r w:rsidRPr="00185B3C">
        <w:t xml:space="preserve">, </w:t>
      </w:r>
      <w:proofErr w:type="spellStart"/>
      <w:r w:rsidRPr="00185B3C">
        <w:t>at</w:t>
      </w:r>
      <w:proofErr w:type="spellEnd"/>
      <w:r w:rsidRPr="00185B3C">
        <w:t xml:space="preserve"> 14, 15</w:t>
      </w:r>
      <w:r w:rsidR="000B4D38" w:rsidRPr="00185B3C">
        <w:t>, 20, 24</w:t>
      </w:r>
    </w:p>
  </w:footnote>
  <w:footnote w:id="25">
    <w:p w14:paraId="51F20F9E" w14:textId="40F5C4F7" w:rsidR="00AA1D37" w:rsidRPr="00185B3C" w:rsidRDefault="00AA1D37" w:rsidP="00AA1D37">
      <w:pPr>
        <w:pStyle w:val="FootnoteText"/>
      </w:pPr>
      <w:r w:rsidRPr="00185B3C">
        <w:rPr>
          <w:rStyle w:val="FootnoteReference"/>
        </w:rPr>
        <w:footnoteRef/>
      </w:r>
      <w:r w:rsidRPr="00185B3C">
        <w:t xml:space="preserve"> </w:t>
      </w:r>
      <w:proofErr w:type="spellStart"/>
      <w:r w:rsidRPr="00185B3C">
        <w:t>Pfeifenberger</w:t>
      </w:r>
      <w:proofErr w:type="spellEnd"/>
      <w:r w:rsidRPr="00185B3C">
        <w:t xml:space="preserve">, et al., </w:t>
      </w:r>
      <w:r w:rsidRPr="001E71CE">
        <w:rPr>
          <w:i/>
          <w:iCs/>
        </w:rPr>
        <w:t>Transmission Planning for the 21</w:t>
      </w:r>
      <w:r w:rsidRPr="001E71CE">
        <w:rPr>
          <w:i/>
          <w:iCs/>
          <w:vertAlign w:val="superscript"/>
        </w:rPr>
        <w:t>st</w:t>
      </w:r>
      <w:r w:rsidRPr="001E71CE">
        <w:rPr>
          <w:i/>
          <w:iCs/>
        </w:rPr>
        <w:t xml:space="preserve"> Century: Proven Practices that Increase Value and Reduce Costs</w:t>
      </w:r>
      <w:r w:rsidRPr="00185B3C">
        <w:t xml:space="preserve">, </w:t>
      </w:r>
      <w:r w:rsidRPr="00185B3C">
        <w:rPr>
          <w:smallCaps/>
        </w:rPr>
        <w:t>Brattle Grp. &amp; Grid Strategies LLC</w:t>
      </w:r>
      <w:r w:rsidRPr="00185B3C">
        <w:t xml:space="preserve">, </w:t>
      </w:r>
      <w:r w:rsidR="0014413B">
        <w:t>at iv</w:t>
      </w:r>
      <w:r w:rsidRPr="00185B3C">
        <w:t xml:space="preserve"> (Oct. 2021), </w:t>
      </w:r>
      <w:hyperlink r:id="rId16" w:history="1">
        <w:r w:rsidRPr="00185B3C">
          <w:rPr>
            <w:rStyle w:val="Hyperlink"/>
          </w:rPr>
          <w:t>https://www.brattle.com/wp-content/uploads/2021/10/2021-10-12-Brattle-GridStrategies-Transmission-Planning-Report_v2.pdf</w:t>
        </w:r>
      </w:hyperlink>
      <w:r w:rsidRPr="00185B3C">
        <w:t>.</w:t>
      </w:r>
    </w:p>
  </w:footnote>
  <w:footnote w:id="26">
    <w:p w14:paraId="0C5D6C17" w14:textId="77777777" w:rsidR="0057267D" w:rsidRPr="00185B3C" w:rsidRDefault="0057267D" w:rsidP="0057267D">
      <w:pPr>
        <w:pStyle w:val="FootnoteText"/>
      </w:pPr>
      <w:r w:rsidRPr="00185B3C">
        <w:rPr>
          <w:rStyle w:val="FootnoteReference"/>
        </w:rPr>
        <w:footnoteRef/>
      </w:r>
      <w:r w:rsidRPr="00185B3C">
        <w:t xml:space="preserve"> Midcontinent </w:t>
      </w:r>
      <w:proofErr w:type="spellStart"/>
      <w:r w:rsidRPr="00185B3C">
        <w:t>Indep</w:t>
      </w:r>
      <w:proofErr w:type="spellEnd"/>
      <w:r w:rsidRPr="00185B3C">
        <w:t xml:space="preserve">. Sys. Operator, </w:t>
      </w:r>
      <w:r w:rsidRPr="00185B3C">
        <w:rPr>
          <w:i/>
        </w:rPr>
        <w:t>Multi Value Project Portfolio–Results and Analyses</w:t>
      </w:r>
      <w:r w:rsidRPr="00185B3C">
        <w:t xml:space="preserve"> (Jan. 10, 2012), </w:t>
      </w:r>
      <w:hyperlink r:id="rId17" w:history="1">
        <w:r w:rsidRPr="00185B3C">
          <w:rPr>
            <w:rStyle w:val="Hyperlink"/>
          </w:rPr>
          <w:t>https://cdn.misoenergy.org/2011%20MVP%20Portfolio%20Analysis%20Full%20Report117059.pdf</w:t>
        </w:r>
      </w:hyperlink>
      <w:r w:rsidRPr="00185B3C">
        <w:t>.</w:t>
      </w:r>
    </w:p>
  </w:footnote>
  <w:footnote w:id="27">
    <w:p w14:paraId="77085564" w14:textId="77777777" w:rsidR="0057267D" w:rsidRPr="00185B3C" w:rsidRDefault="0057267D" w:rsidP="0057267D">
      <w:pPr>
        <w:pStyle w:val="FootnoteText"/>
      </w:pPr>
      <w:r w:rsidRPr="00185B3C">
        <w:rPr>
          <w:rStyle w:val="FootnoteReference"/>
        </w:rPr>
        <w:footnoteRef/>
      </w:r>
      <w:r w:rsidRPr="00185B3C">
        <w:t xml:space="preserve"> Midcontinent </w:t>
      </w:r>
      <w:proofErr w:type="spellStart"/>
      <w:r w:rsidRPr="00185B3C">
        <w:t>Indep</w:t>
      </w:r>
      <w:proofErr w:type="spellEnd"/>
      <w:r w:rsidRPr="00185B3C">
        <w:t xml:space="preserve">. Sys. Operator, MTEP17 MVP Triennial Review–A 2017 Review of the Public Policy, Economic, &amp; Qualitative Benefits of the Multi-Value Project Portfolio (Sept. 2017), </w:t>
      </w:r>
      <w:hyperlink r:id="rId18" w:history="1">
        <w:r w:rsidRPr="00185B3C">
          <w:rPr>
            <w:rStyle w:val="Hyperlink"/>
          </w:rPr>
          <w:t>https://cdn.misoenergy.org/MTEP17%20MVP%20Triennial%20Review%20Report117065.pdf</w:t>
        </w:r>
      </w:hyperlink>
      <w:r w:rsidRPr="00185B3C">
        <w:t>.</w:t>
      </w:r>
    </w:p>
  </w:footnote>
  <w:footnote w:id="28">
    <w:p w14:paraId="15C0CF86" w14:textId="77777777" w:rsidR="0057267D" w:rsidRPr="00185B3C" w:rsidRDefault="0057267D" w:rsidP="0057267D">
      <w:pPr>
        <w:pStyle w:val="FootnoteText"/>
      </w:pPr>
      <w:r w:rsidRPr="00185B3C">
        <w:rPr>
          <w:rStyle w:val="FootnoteReference"/>
        </w:rPr>
        <w:footnoteRef/>
      </w:r>
      <w:r w:rsidRPr="00185B3C">
        <w:t xml:space="preserve"> </w:t>
      </w:r>
      <w:r w:rsidRPr="00185B3C">
        <w:rPr>
          <w:i/>
          <w:iCs/>
        </w:rPr>
        <w:t>See, e.g.</w:t>
      </w:r>
      <w:r w:rsidRPr="00185B3C">
        <w:t xml:space="preserve">, Lasher, </w:t>
      </w:r>
      <w:r w:rsidRPr="00185B3C">
        <w:rPr>
          <w:i/>
          <w:iCs/>
        </w:rPr>
        <w:t>The Competitive Renewable Energy Zones Process</w:t>
      </w:r>
      <w:r w:rsidRPr="00185B3C">
        <w:t xml:space="preserve">, ERCOT (Aug. 11, 2014), </w:t>
      </w:r>
      <w:hyperlink r:id="rId19" w:history="1">
        <w:r w:rsidRPr="00185B3C">
          <w:rPr>
            <w:rStyle w:val="Hyperlink"/>
          </w:rPr>
          <w:t>https://www.energy.gov/sites/prod/files/2014/08/f18/c_lasher_qer_santafe_presentation.pdf</w:t>
        </w:r>
      </w:hyperlink>
      <w:r w:rsidRPr="00185B3C">
        <w:t>.</w:t>
      </w:r>
    </w:p>
  </w:footnote>
  <w:footnote w:id="29">
    <w:p w14:paraId="20E5F444" w14:textId="77777777" w:rsidR="0057267D" w:rsidRPr="00185B3C" w:rsidRDefault="0057267D" w:rsidP="0057267D">
      <w:pPr>
        <w:pStyle w:val="FootnoteText"/>
      </w:pPr>
      <w:r w:rsidRPr="00185B3C">
        <w:rPr>
          <w:rStyle w:val="FootnoteReference"/>
        </w:rPr>
        <w:footnoteRef/>
      </w:r>
      <w:r w:rsidRPr="00185B3C">
        <w:t xml:space="preserve"> </w:t>
      </w:r>
      <w:r w:rsidRPr="00185B3C">
        <w:rPr>
          <w:i/>
          <w:iCs/>
        </w:rPr>
        <w:t>See</w:t>
      </w:r>
      <w:r w:rsidRPr="00185B3C">
        <w:t xml:space="preserve"> Sw. Power Pool, </w:t>
      </w:r>
      <w:r w:rsidRPr="00185B3C">
        <w:rPr>
          <w:i/>
          <w:iCs/>
        </w:rPr>
        <w:t>The Value of Transmission</w:t>
      </w:r>
      <w:r w:rsidRPr="00185B3C">
        <w:t xml:space="preserve"> </w:t>
      </w:r>
      <w:r w:rsidRPr="00185B3C">
        <w:rPr>
          <w:i/>
        </w:rPr>
        <w:t>– A Report by Southwest Power Pool</w:t>
      </w:r>
      <w:r w:rsidRPr="00185B3C" w:rsidDel="008C7BFC">
        <w:t xml:space="preserve"> </w:t>
      </w:r>
      <w:r w:rsidRPr="00185B3C">
        <w:t xml:space="preserve">(Jan. 26, 2016), </w:t>
      </w:r>
      <w:hyperlink r:id="rId20" w:history="1">
        <w:r w:rsidRPr="00185B3C">
          <w:rPr>
            <w:rStyle w:val="Hyperlink"/>
          </w:rPr>
          <w:t>https://www.spp.org/documents/35297/the%20value%20of%20transmission%20report.pdf</w:t>
        </w:r>
      </w:hyperlink>
      <w:r w:rsidRPr="00185B3C">
        <w:t xml:space="preserve">; </w:t>
      </w:r>
      <w:r w:rsidRPr="00185B3C">
        <w:rPr>
          <w:i/>
        </w:rPr>
        <w:t xml:space="preserve">see also </w:t>
      </w:r>
      <w:r w:rsidRPr="00185B3C">
        <w:t xml:space="preserve">Sw. Power Pool, </w:t>
      </w:r>
      <w:r w:rsidRPr="00185B3C">
        <w:rPr>
          <w:i/>
        </w:rPr>
        <w:t>The Value of Transmission – A 2021 Study and Report by Southwest Power Pool</w:t>
      </w:r>
      <w:r w:rsidRPr="00185B3C">
        <w:t xml:space="preserve"> (Mar. 31, 2022), </w:t>
      </w:r>
      <w:hyperlink r:id="rId21" w:history="1">
        <w:r w:rsidRPr="00185B3C">
          <w:rPr>
            <w:rStyle w:val="Hyperlink"/>
          </w:rPr>
          <w:t>https://www.spp.org/documents/67023/2021%20value%20of%20transmission%20report.pdf</w:t>
        </w:r>
      </w:hyperlink>
      <w:r w:rsidRPr="00185B3C">
        <w:t xml:space="preserve">. </w:t>
      </w:r>
    </w:p>
  </w:footnote>
  <w:footnote w:id="30">
    <w:p w14:paraId="47F9E7FA" w14:textId="77777777" w:rsidR="003F25A6" w:rsidRPr="00185B3C" w:rsidRDefault="003F25A6" w:rsidP="003F25A6">
      <w:pPr>
        <w:pStyle w:val="FootnoteText"/>
      </w:pPr>
      <w:r w:rsidRPr="00185B3C">
        <w:rPr>
          <w:rStyle w:val="FootnoteReference"/>
        </w:rPr>
        <w:footnoteRef/>
      </w:r>
      <w:r w:rsidRPr="00185B3C">
        <w:t xml:space="preserve"> NV Energy, </w:t>
      </w:r>
      <w:proofErr w:type="spellStart"/>
      <w:r w:rsidRPr="00185B3C">
        <w:rPr>
          <w:i/>
          <w:iCs/>
        </w:rPr>
        <w:t>Greenlink</w:t>
      </w:r>
      <w:proofErr w:type="spellEnd"/>
      <w:r w:rsidRPr="00185B3C">
        <w:rPr>
          <w:i/>
          <w:iCs/>
        </w:rPr>
        <w:t xml:space="preserve"> Nevada</w:t>
      </w:r>
      <w:r w:rsidRPr="00185B3C">
        <w:t xml:space="preserve"> (Apr. 8, 2021),</w:t>
      </w:r>
      <w:r w:rsidRPr="00185B3C">
        <w:br/>
      </w:r>
      <w:hyperlink r:id="rId22" w:history="1">
        <w:r w:rsidRPr="00185B3C">
          <w:rPr>
            <w:rStyle w:val="Hyperlink"/>
          </w:rPr>
          <w:t>https://goed.nv.gov/wp-content/uploads/2021/05/Greenlink-Nevada-Presentation-4-08-21.pdf</w:t>
        </w:r>
      </w:hyperlink>
      <w:r w:rsidRPr="00185B3C">
        <w:t>.</w:t>
      </w:r>
    </w:p>
  </w:footnote>
  <w:footnote w:id="31">
    <w:p w14:paraId="59454CAB" w14:textId="77777777" w:rsidR="003F25A6" w:rsidRPr="00185B3C" w:rsidRDefault="003F25A6" w:rsidP="003F25A6">
      <w:pPr>
        <w:pStyle w:val="FootnoteText"/>
      </w:pPr>
      <w:r w:rsidRPr="00185B3C">
        <w:rPr>
          <w:rStyle w:val="FootnoteReference"/>
        </w:rPr>
        <w:footnoteRef/>
      </w:r>
      <w:r w:rsidRPr="00185B3C">
        <w:t xml:space="preserve"> Xcel Energy, </w:t>
      </w:r>
      <w:r w:rsidRPr="00185B3C">
        <w:rPr>
          <w:i/>
          <w:iCs/>
        </w:rPr>
        <w:t>Colorado’s Power Pathway</w:t>
      </w:r>
      <w:r w:rsidRPr="00185B3C">
        <w:t xml:space="preserve"> (last visited Mar. 24, 2023), </w:t>
      </w:r>
      <w:hyperlink r:id="rId23" w:history="1">
        <w:r w:rsidRPr="00185B3C">
          <w:rPr>
            <w:rStyle w:val="Hyperlink"/>
          </w:rPr>
          <w:t>https://www.coloradospowerpathway.com/project-description/</w:t>
        </w:r>
      </w:hyperlink>
      <w:r w:rsidRPr="00185B3C">
        <w:t>.</w:t>
      </w:r>
    </w:p>
  </w:footnote>
  <w:footnote w:id="32">
    <w:p w14:paraId="529B16B5" w14:textId="77777777" w:rsidR="003F25A6" w:rsidRPr="00185B3C" w:rsidRDefault="003F25A6" w:rsidP="003F25A6">
      <w:pPr>
        <w:pStyle w:val="FootnoteText"/>
      </w:pPr>
      <w:r w:rsidRPr="00185B3C">
        <w:rPr>
          <w:rStyle w:val="FootnoteReference"/>
        </w:rPr>
        <w:footnoteRef/>
      </w:r>
      <w:r>
        <w:t xml:space="preserve">CTPC, </w:t>
      </w:r>
      <w:r w:rsidRPr="004350FC">
        <w:rPr>
          <w:i/>
          <w:iCs/>
        </w:rPr>
        <w:t>Multi-Value Strategic Transmission Planning</w:t>
      </w:r>
      <w:r>
        <w:t xml:space="preserve">, (November 2023), </w:t>
      </w:r>
      <w:r>
        <w:rPr>
          <w:i/>
          <w:iCs/>
        </w:rPr>
        <w:t>available at</w:t>
      </w:r>
      <w:r>
        <w:t xml:space="preserve"> </w:t>
      </w:r>
      <w:hyperlink r:id="rId24" w:history="1">
        <w:r w:rsidRPr="00D6456A">
          <w:rPr>
            <w:rStyle w:val="Hyperlink"/>
          </w:rPr>
          <w:t>http://www.nctpc.org/nctpc/document/REF/2023-12-08/Multi-Value%20Strategic%20Transmission%20Planning%20Process%20draft%2011-13-2023.pdf</w:t>
        </w:r>
      </w:hyperlink>
      <w:r w:rsidRPr="00185B3C">
        <w:t xml:space="preserve"> </w:t>
      </w:r>
    </w:p>
  </w:footnote>
  <w:footnote w:id="33">
    <w:p w14:paraId="72F4AEBD" w14:textId="6594E552" w:rsidR="00634DD3" w:rsidRDefault="00634DD3">
      <w:pPr>
        <w:pStyle w:val="FootnoteText"/>
      </w:pPr>
      <w:r>
        <w:rPr>
          <w:rStyle w:val="FootnoteReference"/>
        </w:rPr>
        <w:footnoteRef/>
      </w:r>
      <w:r>
        <w:t xml:space="preserve"> </w:t>
      </w:r>
      <w:r w:rsidR="007E7734">
        <w:t xml:space="preserve">For example, see the Company’s response to </w:t>
      </w:r>
      <w:r w:rsidR="007E7734" w:rsidRPr="007E7734">
        <w:t>STF-GS-1-7</w:t>
      </w:r>
      <w:r w:rsidR="00A11874">
        <w:t>, attached to my testimony as Exhibit MG-5</w:t>
      </w:r>
    </w:p>
  </w:footnote>
  <w:footnote w:id="34">
    <w:p w14:paraId="250A86D0" w14:textId="77777777" w:rsidR="00A25B37" w:rsidRPr="00185B3C" w:rsidRDefault="00A25B37" w:rsidP="00A25B37">
      <w:pPr>
        <w:pStyle w:val="FootnoteText"/>
      </w:pPr>
      <w:r w:rsidRPr="00185B3C">
        <w:rPr>
          <w:rStyle w:val="FootnoteReference"/>
        </w:rPr>
        <w:footnoteRef/>
      </w:r>
      <w:r w:rsidRPr="00185B3C">
        <w:t xml:space="preserve"> </w:t>
      </w:r>
      <w:r w:rsidRPr="0057267D">
        <w:rPr>
          <w:szCs w:val="24"/>
        </w:rPr>
        <w:t>Technical Appendix Volume 3 of the 2022 Georgia Power Integrated Resource Plan (“IRP”) (Docket No. 44160)</w:t>
      </w:r>
      <w:r>
        <w:rPr>
          <w:szCs w:val="24"/>
        </w:rPr>
        <w:t xml:space="preserve">, at </w:t>
      </w:r>
      <w:r w:rsidRPr="00185B3C">
        <w:t>23-25</w:t>
      </w:r>
    </w:p>
  </w:footnote>
  <w:footnote w:id="35">
    <w:p w14:paraId="26153CB7" w14:textId="64790198" w:rsidR="004728BC" w:rsidRPr="00185B3C" w:rsidRDefault="004728BC" w:rsidP="004728BC">
      <w:pPr>
        <w:pStyle w:val="FootnoteText"/>
      </w:pPr>
      <w:r w:rsidRPr="00185B3C">
        <w:rPr>
          <w:rStyle w:val="FootnoteReference"/>
        </w:rPr>
        <w:footnoteRef/>
      </w:r>
      <w:r w:rsidRPr="00185B3C">
        <w:t xml:space="preserve"> </w:t>
      </w:r>
      <w:r w:rsidR="0068272F" w:rsidRPr="0068272F">
        <w:rPr>
          <w:i/>
          <w:iCs/>
        </w:rPr>
        <w:t>Id.</w:t>
      </w:r>
      <w:r w:rsidR="0068272F">
        <w:t xml:space="preserve">, at </w:t>
      </w:r>
      <w:r w:rsidRPr="00185B3C">
        <w:t>23</w:t>
      </w:r>
    </w:p>
  </w:footnote>
  <w:footnote w:id="36">
    <w:p w14:paraId="2215B9B9" w14:textId="0EE9D33E" w:rsidR="004728BC" w:rsidRPr="002E2E26" w:rsidRDefault="004728BC" w:rsidP="004728BC">
      <w:pPr>
        <w:autoSpaceDE w:val="0"/>
        <w:autoSpaceDN w:val="0"/>
        <w:adjustRightInd w:val="0"/>
        <w:rPr>
          <w:sz w:val="20"/>
        </w:rPr>
      </w:pPr>
      <w:r w:rsidRPr="00185B3C">
        <w:rPr>
          <w:rStyle w:val="FootnoteReference"/>
          <w:sz w:val="20"/>
        </w:rPr>
        <w:footnoteRef/>
      </w:r>
      <w:r w:rsidRPr="00185B3C">
        <w:rPr>
          <w:sz w:val="20"/>
        </w:rPr>
        <w:t xml:space="preserve"> </w:t>
      </w:r>
      <w:r w:rsidR="0068272F" w:rsidRPr="0068272F">
        <w:rPr>
          <w:i/>
          <w:iCs/>
          <w:sz w:val="20"/>
        </w:rPr>
        <w:t>Id.,</w:t>
      </w:r>
      <w:r w:rsidR="0068272F">
        <w:rPr>
          <w:sz w:val="20"/>
        </w:rPr>
        <w:t xml:space="preserve"> a</w:t>
      </w:r>
      <w:r w:rsidRPr="00185B3C">
        <w:rPr>
          <w:sz w:val="20"/>
        </w:rPr>
        <w:t xml:space="preserve">t 32: </w:t>
      </w:r>
      <w:r w:rsidR="00751679" w:rsidRPr="002E2E26">
        <w:rPr>
          <w:sz w:val="20"/>
        </w:rPr>
        <w:t>“</w:t>
      </w:r>
      <w:r w:rsidRPr="002E2E26">
        <w:rPr>
          <w:sz w:val="20"/>
        </w:rPr>
        <w:t>Economic Dispatch Program</w:t>
      </w:r>
      <w:r w:rsidR="00751679" w:rsidRPr="002E2E26">
        <w:rPr>
          <w:sz w:val="20"/>
        </w:rPr>
        <w:t xml:space="preserve">: </w:t>
      </w:r>
      <w:r w:rsidRPr="002E2E26">
        <w:rPr>
          <w:sz w:val="20"/>
        </w:rPr>
        <w:t>The Economic Dispatch Program was developed by SCS to interact with the Power</w:t>
      </w:r>
      <w:r w:rsidR="00751679" w:rsidRPr="002E2E26">
        <w:rPr>
          <w:sz w:val="20"/>
        </w:rPr>
        <w:t xml:space="preserve"> </w:t>
      </w:r>
      <w:r w:rsidRPr="002E2E26">
        <w:rPr>
          <w:sz w:val="20"/>
        </w:rPr>
        <w:t>Technologies Inc. load flow program, PSS/E. The program calculates an economic</w:t>
      </w:r>
      <w:r w:rsidR="00751679" w:rsidRPr="002E2E26">
        <w:rPr>
          <w:sz w:val="20"/>
        </w:rPr>
        <w:t xml:space="preserve"> </w:t>
      </w:r>
      <w:r w:rsidRPr="002E2E26">
        <w:rPr>
          <w:sz w:val="20"/>
        </w:rPr>
        <w:t>dispatch for a given load and spinning reserve requirement specified by the transmission</w:t>
      </w:r>
      <w:r w:rsidR="00751679" w:rsidRPr="002E2E26">
        <w:rPr>
          <w:sz w:val="20"/>
        </w:rPr>
        <w:t xml:space="preserve"> </w:t>
      </w:r>
      <w:r w:rsidRPr="002E2E26">
        <w:rPr>
          <w:sz w:val="20"/>
        </w:rPr>
        <w:t>planners and is based on the theory that the most economical dispatch is obtained by</w:t>
      </w:r>
      <w:r w:rsidR="00751679" w:rsidRPr="002E2E26">
        <w:rPr>
          <w:sz w:val="20"/>
        </w:rPr>
        <w:t xml:space="preserve"> </w:t>
      </w:r>
      <w:r w:rsidRPr="002E2E26">
        <w:rPr>
          <w:sz w:val="20"/>
        </w:rPr>
        <w:t>operating all on-line units at the same incremental cost (lambda). The transmission</w:t>
      </w:r>
    </w:p>
    <w:p w14:paraId="68B5AD15" w14:textId="0871DCCA" w:rsidR="004728BC" w:rsidRPr="00185B3C" w:rsidRDefault="004728BC" w:rsidP="00751679">
      <w:pPr>
        <w:autoSpaceDE w:val="0"/>
        <w:autoSpaceDN w:val="0"/>
        <w:adjustRightInd w:val="0"/>
        <w:rPr>
          <w:sz w:val="20"/>
        </w:rPr>
      </w:pPr>
      <w:r w:rsidRPr="002E2E26">
        <w:rPr>
          <w:sz w:val="20"/>
        </w:rPr>
        <w:t>planners specify information to the program through terminal interaction and two data files</w:t>
      </w:r>
      <w:r w:rsidR="00751679" w:rsidRPr="002E2E26">
        <w:rPr>
          <w:sz w:val="20"/>
        </w:rPr>
        <w:t xml:space="preserve"> </w:t>
      </w:r>
      <w:r w:rsidRPr="002E2E26">
        <w:rPr>
          <w:sz w:val="20"/>
        </w:rPr>
        <w:t>with pertinent information on the availability of units, in-service date, retirement date, must</w:t>
      </w:r>
      <w:r w:rsidR="00751679" w:rsidRPr="002E2E26">
        <w:rPr>
          <w:sz w:val="20"/>
        </w:rPr>
        <w:t xml:space="preserve"> </w:t>
      </w:r>
      <w:r w:rsidRPr="002E2E26">
        <w:rPr>
          <w:sz w:val="20"/>
        </w:rPr>
        <w:t>run status, power generation limits, generator cost data, etc. The program allows the</w:t>
      </w:r>
      <w:r w:rsidR="00751679" w:rsidRPr="002E2E26">
        <w:rPr>
          <w:sz w:val="20"/>
        </w:rPr>
        <w:t xml:space="preserve"> </w:t>
      </w:r>
      <w:r w:rsidRPr="002E2E26">
        <w:rPr>
          <w:sz w:val="20"/>
        </w:rPr>
        <w:t>transmission planners to input the appropriate economic dispatch directly into files for</w:t>
      </w:r>
      <w:r w:rsidR="00751679" w:rsidRPr="002E2E26">
        <w:rPr>
          <w:sz w:val="20"/>
        </w:rPr>
        <w:t xml:space="preserve"> </w:t>
      </w:r>
      <w:r w:rsidRPr="002E2E26">
        <w:rPr>
          <w:sz w:val="20"/>
        </w:rPr>
        <w:t>future use with the PSS/E program.</w:t>
      </w:r>
      <w:r w:rsidR="00751679" w:rsidRPr="002E2E26">
        <w:rPr>
          <w:sz w:val="20"/>
        </w:rPr>
        <w:t>”</w:t>
      </w:r>
    </w:p>
  </w:footnote>
  <w:footnote w:id="37">
    <w:p w14:paraId="4FF1AEDF" w14:textId="1E16D086" w:rsidR="00B53208" w:rsidRPr="00185B3C" w:rsidRDefault="00B53208" w:rsidP="00B53208">
      <w:pPr>
        <w:pStyle w:val="FootnoteText"/>
      </w:pPr>
      <w:r w:rsidRPr="00185B3C">
        <w:rPr>
          <w:rStyle w:val="FootnoteReference"/>
        </w:rPr>
        <w:footnoteRef/>
      </w:r>
      <w:r w:rsidRPr="00185B3C">
        <w:t xml:space="preserve"> </w:t>
      </w:r>
      <w:r w:rsidR="0068272F" w:rsidRPr="0068272F">
        <w:rPr>
          <w:i/>
          <w:iCs/>
        </w:rPr>
        <w:t>Id.</w:t>
      </w:r>
      <w:r w:rsidR="0068272F">
        <w:t xml:space="preserve">, at </w:t>
      </w:r>
      <w:r w:rsidRPr="00185B3C">
        <w:t>16</w:t>
      </w:r>
    </w:p>
  </w:footnote>
  <w:footnote w:id="38">
    <w:p w14:paraId="09429C04" w14:textId="172C71FD" w:rsidR="0057267D" w:rsidRPr="00185B3C" w:rsidRDefault="0057267D" w:rsidP="0057267D">
      <w:pPr>
        <w:pStyle w:val="FootnoteText"/>
      </w:pPr>
      <w:r w:rsidRPr="00185B3C">
        <w:rPr>
          <w:rStyle w:val="FootnoteReference"/>
        </w:rPr>
        <w:footnoteRef/>
      </w:r>
      <w:r w:rsidRPr="00185B3C">
        <w:t xml:space="preserve"> </w:t>
      </w:r>
      <w:r w:rsidR="004350FC">
        <w:t>See</w:t>
      </w:r>
      <w:r w:rsidRPr="00185B3C">
        <w:rPr>
          <w:i/>
          <w:iCs/>
        </w:rPr>
        <w:t xml:space="preserve"> </w:t>
      </w:r>
      <w:r w:rsidRPr="004350FC">
        <w:rPr>
          <w:i/>
          <w:iCs/>
        </w:rPr>
        <w:t>Building for the Future Through Electric Regional Transmission Planning and Cost Allocation and Generator Interconnection</w:t>
      </w:r>
      <w:r w:rsidRPr="00185B3C">
        <w:t xml:space="preserve">, FERC ¶ 61,028, 18 CFR Part 35, </w:t>
      </w:r>
      <w:proofErr w:type="spellStart"/>
      <w:r w:rsidRPr="00185B3C">
        <w:t>Dkt</w:t>
      </w:r>
      <w:proofErr w:type="spellEnd"/>
      <w:r w:rsidRPr="00185B3C">
        <w:t xml:space="preserve">. No. RM21-17-000 (Apr. 21, 2022), </w:t>
      </w:r>
      <w:hyperlink r:id="rId25" w:history="1">
        <w:r w:rsidRPr="00185B3C">
          <w:rPr>
            <w:rStyle w:val="Hyperlink"/>
          </w:rPr>
          <w:t>https://www.ferc.gov/media/rm21-17-000</w:t>
        </w:r>
      </w:hyperlink>
      <w:r w:rsidR="009813FA">
        <w:rPr>
          <w:rStyle w:val="Hyperlink"/>
        </w:rPr>
        <w:t xml:space="preserve">, </w:t>
      </w:r>
      <w:r w:rsidR="009813FA">
        <w:t xml:space="preserve">at </w:t>
      </w:r>
      <w:r w:rsidR="00563839">
        <w:t xml:space="preserve">paragraph </w:t>
      </w:r>
      <w:r w:rsidR="009813FA" w:rsidRPr="00185B3C">
        <w:t>1</w:t>
      </w:r>
      <w:r w:rsidR="00563839">
        <w:t>85</w:t>
      </w:r>
      <w:r w:rsidRPr="00185B3C">
        <w:t>.</w:t>
      </w:r>
    </w:p>
  </w:footnote>
  <w:footnote w:id="39">
    <w:p w14:paraId="62BC1509" w14:textId="791C083F" w:rsidR="002F4F04" w:rsidRPr="00BC32C5" w:rsidRDefault="002F4F04">
      <w:pPr>
        <w:pStyle w:val="FootnoteText"/>
      </w:pPr>
      <w:r>
        <w:rPr>
          <w:rStyle w:val="FootnoteReference"/>
        </w:rPr>
        <w:footnoteRef/>
      </w:r>
      <w:r w:rsidR="00BC32C5">
        <w:t xml:space="preserve"> </w:t>
      </w:r>
      <w:r w:rsidR="00BC32C5" w:rsidRPr="00CC66D6">
        <w:rPr>
          <w:i/>
          <w:iCs/>
        </w:rPr>
        <w:t>Id.</w:t>
      </w:r>
      <w:r w:rsidR="00BC32C5">
        <w:rPr>
          <w:i/>
          <w:iCs/>
        </w:rPr>
        <w:t xml:space="preserve">, </w:t>
      </w:r>
      <w:r w:rsidR="00BC32C5">
        <w:t>at paragraph 199</w:t>
      </w:r>
    </w:p>
  </w:footnote>
  <w:footnote w:id="40">
    <w:p w14:paraId="20A2B60B" w14:textId="77777777" w:rsidR="00DC2B98" w:rsidRPr="00185B3C" w:rsidRDefault="00DC2B98" w:rsidP="00DC2B98">
      <w:pPr>
        <w:pStyle w:val="FootnoteText"/>
      </w:pPr>
      <w:r w:rsidRPr="00185B3C">
        <w:rPr>
          <w:rStyle w:val="FootnoteReference"/>
        </w:rPr>
        <w:footnoteRef/>
      </w:r>
      <w:r w:rsidRPr="00185B3C">
        <w:t xml:space="preserve"> </w:t>
      </w:r>
      <w:proofErr w:type="spellStart"/>
      <w:r w:rsidRPr="00185B3C">
        <w:t>Pfeifenberger</w:t>
      </w:r>
      <w:proofErr w:type="spellEnd"/>
      <w:r w:rsidRPr="00185B3C">
        <w:t xml:space="preserve">, et al., </w:t>
      </w:r>
      <w:r w:rsidRPr="00185B3C">
        <w:rPr>
          <w:i/>
          <w:iCs/>
        </w:rPr>
        <w:t>Transmission Planning for the 21</w:t>
      </w:r>
      <w:r w:rsidRPr="00185B3C">
        <w:rPr>
          <w:i/>
          <w:iCs/>
          <w:vertAlign w:val="superscript"/>
        </w:rPr>
        <w:t>st</w:t>
      </w:r>
      <w:r w:rsidRPr="00185B3C">
        <w:rPr>
          <w:i/>
          <w:iCs/>
        </w:rPr>
        <w:t xml:space="preserve"> Century: Proven Practices that Increase Value and Reduce Costs</w:t>
      </w:r>
      <w:r w:rsidRPr="00185B3C">
        <w:t xml:space="preserve">, </w:t>
      </w:r>
      <w:r w:rsidRPr="00185B3C">
        <w:rPr>
          <w:smallCaps/>
        </w:rPr>
        <w:t>Brattle Grp. &amp; Grid Strategies LLC</w:t>
      </w:r>
      <w:r w:rsidRPr="00185B3C">
        <w:t xml:space="preserve">, Appendix D (Oct. 2021), </w:t>
      </w:r>
      <w:hyperlink r:id="rId26" w:history="1">
        <w:r w:rsidRPr="00185B3C">
          <w:rPr>
            <w:rStyle w:val="Hyperlink"/>
          </w:rPr>
          <w:t>https://www.brattle.com/wp-content/uploads/2021/10/2021-10-12-Brattle-GridStrategies-Transmission-Planning-Report_v2.pdf</w:t>
        </w:r>
      </w:hyperlink>
      <w:r w:rsidRPr="00185B3C">
        <w:t>.</w:t>
      </w:r>
    </w:p>
  </w:footnote>
  <w:footnote w:id="41">
    <w:p w14:paraId="79BB8904" w14:textId="77777777" w:rsidR="00CA548D" w:rsidRPr="00185B3C" w:rsidRDefault="00CA548D" w:rsidP="00CA548D">
      <w:pPr>
        <w:pStyle w:val="FootnoteText"/>
      </w:pPr>
      <w:r w:rsidRPr="00185B3C">
        <w:rPr>
          <w:rStyle w:val="FootnoteReference"/>
        </w:rPr>
        <w:footnoteRef/>
      </w:r>
      <w:r w:rsidRPr="00185B3C">
        <w:t xml:space="preserve"> </w:t>
      </w:r>
      <w:r w:rsidRPr="00185B3C">
        <w:rPr>
          <w:i/>
        </w:rPr>
        <w:t>The Value of Transmission – A 2021 Study and Report by Southwest Power Pool</w:t>
      </w:r>
      <w:r w:rsidRPr="00185B3C">
        <w:t>, at 29.</w:t>
      </w:r>
    </w:p>
  </w:footnote>
  <w:footnote w:id="42">
    <w:p w14:paraId="5E15AE44" w14:textId="033A1294" w:rsidR="004C17DD" w:rsidRPr="00185B3C" w:rsidRDefault="004C17DD" w:rsidP="004C17DD">
      <w:pPr>
        <w:pStyle w:val="FootnoteText"/>
      </w:pPr>
      <w:r w:rsidRPr="00185B3C">
        <w:rPr>
          <w:rStyle w:val="FootnoteReference"/>
        </w:rPr>
        <w:footnoteRef/>
      </w:r>
      <w:r w:rsidRPr="00185B3C">
        <w:t xml:space="preserve"> </w:t>
      </w:r>
      <w:r w:rsidRPr="004C17DD">
        <w:rPr>
          <w:i/>
          <w:iCs/>
        </w:rPr>
        <w:t>Id.</w:t>
      </w:r>
      <w:r>
        <w:t xml:space="preserve">, at </w:t>
      </w:r>
      <w:r w:rsidRPr="00185B3C">
        <w:t>15</w:t>
      </w:r>
      <w:r>
        <w:t xml:space="preserve">: </w:t>
      </w:r>
      <w:r w:rsidRPr="00C43F83">
        <w:rPr>
          <w:szCs w:val="24"/>
        </w:rPr>
        <w:t>“The transmission planning process follows an iterative process with a planning horizon</w:t>
      </w:r>
      <w:r w:rsidRPr="00C43F83">
        <w:t xml:space="preserve"> </w:t>
      </w:r>
      <w:r w:rsidRPr="00C43F83">
        <w:rPr>
          <w:szCs w:val="24"/>
        </w:rPr>
        <w:t>looking 10 years into the future. However, due to the dynamics of the assumptions and</w:t>
      </w:r>
      <w:r w:rsidRPr="00C43F83">
        <w:t xml:space="preserve"> </w:t>
      </w:r>
      <w:r w:rsidRPr="00C43F83">
        <w:rPr>
          <w:szCs w:val="24"/>
        </w:rPr>
        <w:t>data used to develop the latter years of the system model, project proposals are usually</w:t>
      </w:r>
      <w:r w:rsidRPr="00C43F83">
        <w:t xml:space="preserve"> </w:t>
      </w:r>
      <w:r w:rsidRPr="00C43F83">
        <w:rPr>
          <w:szCs w:val="24"/>
        </w:rPr>
        <w:t>fully developed for the first five years only (considered to be the near-term planning</w:t>
      </w:r>
      <w:r w:rsidRPr="00C43F83">
        <w:t xml:space="preserve"> </w:t>
      </w:r>
      <w:r w:rsidRPr="00C43F83">
        <w:rPr>
          <w:szCs w:val="24"/>
        </w:rPr>
        <w:t>horizon). These projects and their mutual effects are tested throughout the full ten-year</w:t>
      </w:r>
      <w:r w:rsidRPr="00C43F83">
        <w:t xml:space="preserve"> </w:t>
      </w:r>
      <w:r w:rsidRPr="00C43F83">
        <w:rPr>
          <w:szCs w:val="24"/>
        </w:rPr>
        <w:t>period. For issues in the last five years of the planning horizon, viable projects are</w:t>
      </w:r>
      <w:r w:rsidRPr="00C43F83">
        <w:t xml:space="preserve"> </w:t>
      </w:r>
      <w:r w:rsidRPr="00C43F83">
        <w:rPr>
          <w:szCs w:val="24"/>
        </w:rPr>
        <w:t>identified but not fully scoped, estimated and budgeted unless long lead-time items such</w:t>
      </w:r>
      <w:r w:rsidRPr="00C43F83">
        <w:t xml:space="preserve"> </w:t>
      </w:r>
      <w:r w:rsidRPr="00C43F83">
        <w:rPr>
          <w:szCs w:val="24"/>
        </w:rPr>
        <w:t>as right-of-way acquisition are included.”</w:t>
      </w:r>
    </w:p>
  </w:footnote>
  <w:footnote w:id="43">
    <w:p w14:paraId="4CCC91EC" w14:textId="5273ACF8" w:rsidR="004C17DD" w:rsidRPr="00EA2942" w:rsidRDefault="004C17DD">
      <w:pPr>
        <w:pStyle w:val="FootnoteText"/>
      </w:pPr>
      <w:r>
        <w:rPr>
          <w:rStyle w:val="FootnoteReference"/>
        </w:rPr>
        <w:footnoteRef/>
      </w:r>
      <w:r w:rsidR="00E25827">
        <w:t xml:space="preserve"> FERC, </w:t>
      </w:r>
      <w:r w:rsidR="00EA2942" w:rsidRPr="004350FC">
        <w:rPr>
          <w:i/>
          <w:iCs/>
        </w:rPr>
        <w:t>Building for the Future Through Electric Regional Transmission Planning and Cost Allocation and Generator Interconnection</w:t>
      </w:r>
      <w:r w:rsidR="00EA2942" w:rsidRPr="00185B3C">
        <w:t xml:space="preserve">, 179 FERC ¶ 61,028, 18 CFR Part 35, </w:t>
      </w:r>
      <w:proofErr w:type="spellStart"/>
      <w:r w:rsidR="00EA2942" w:rsidRPr="00185B3C">
        <w:t>Dkt</w:t>
      </w:r>
      <w:proofErr w:type="spellEnd"/>
      <w:r w:rsidR="00EA2942" w:rsidRPr="00185B3C">
        <w:t xml:space="preserve">. No. </w:t>
      </w:r>
      <w:r w:rsidR="00EA2942" w:rsidRPr="00EA2942">
        <w:t xml:space="preserve">RM21-17-000 (Apr. 21, 2022), </w:t>
      </w:r>
      <w:hyperlink r:id="rId27" w:history="1">
        <w:r w:rsidR="00EA2942" w:rsidRPr="00EA2942">
          <w:rPr>
            <w:rStyle w:val="Hyperlink"/>
          </w:rPr>
          <w:t>https://www.ferc.gov/media/rm21-17-000</w:t>
        </w:r>
      </w:hyperlink>
      <w:r w:rsidR="00EA2942">
        <w:t xml:space="preserve">, </w:t>
      </w:r>
      <w:r w:rsidR="008476EF" w:rsidRPr="00EA2942">
        <w:rPr>
          <w:rStyle w:val="Hyperlink"/>
        </w:rPr>
        <w:t>at page 82</w:t>
      </w:r>
      <w:r w:rsidRPr="00EA2942">
        <w:t xml:space="preserve"> </w:t>
      </w:r>
    </w:p>
  </w:footnote>
  <w:footnote w:id="44">
    <w:p w14:paraId="155A109C" w14:textId="48C5AED8" w:rsidR="009B5936" w:rsidRDefault="009B5936">
      <w:pPr>
        <w:pStyle w:val="FootnoteText"/>
      </w:pPr>
      <w:r>
        <w:rPr>
          <w:rStyle w:val="FootnoteReference"/>
        </w:rPr>
        <w:footnoteRef/>
      </w:r>
      <w:r w:rsidR="5CCA6ECA">
        <w:t xml:space="preserve"> See the separate submission forms for economic and public policy study requests at SERTP, </w:t>
      </w:r>
      <w:r w:rsidR="5CCA6ECA" w:rsidRPr="5CCA6ECA">
        <w:rPr>
          <w:i/>
          <w:iCs/>
        </w:rPr>
        <w:t>Reference Library: Forms</w:t>
      </w:r>
      <w:r w:rsidR="5CCA6ECA">
        <w:t xml:space="preserve">, </w:t>
      </w:r>
      <w:r w:rsidR="5CCA6ECA" w:rsidRPr="5CCA6ECA">
        <w:rPr>
          <w:i/>
          <w:iCs/>
        </w:rPr>
        <w:t xml:space="preserve">available at </w:t>
      </w:r>
      <w:hyperlink r:id="rId28" w:history="1">
        <w:r w:rsidR="5CCA6ECA" w:rsidRPr="00D6456A">
          <w:rPr>
            <w:rStyle w:val="Hyperlink"/>
          </w:rPr>
          <w:t>http://www.southeasternrtp.com/reference_library.cshtml</w:t>
        </w:r>
      </w:hyperlink>
      <w:r w:rsidR="5CCA6ECA">
        <w:t xml:space="preserve"> </w:t>
      </w:r>
    </w:p>
  </w:footnote>
  <w:footnote w:id="45">
    <w:p w14:paraId="74C06896" w14:textId="1F1DA78A" w:rsidR="00072830" w:rsidRPr="00185B3C" w:rsidRDefault="00072830">
      <w:pPr>
        <w:pStyle w:val="FootnoteText"/>
      </w:pPr>
      <w:r w:rsidRPr="00185B3C">
        <w:rPr>
          <w:rStyle w:val="FootnoteReference"/>
        </w:rPr>
        <w:footnoteRef/>
      </w:r>
      <w:r w:rsidR="00552419">
        <w:t xml:space="preserve"> </w:t>
      </w:r>
      <w:r w:rsidR="009A01AF">
        <w:t xml:space="preserve">U.S. </w:t>
      </w:r>
      <w:r w:rsidR="00552419">
        <w:t>D</w:t>
      </w:r>
      <w:r w:rsidR="000C310B">
        <w:t xml:space="preserve">epartment of </w:t>
      </w:r>
      <w:r w:rsidR="00552419">
        <w:t>E</w:t>
      </w:r>
      <w:r w:rsidR="000C310B">
        <w:t>nergy</w:t>
      </w:r>
      <w:r w:rsidR="00552419">
        <w:t>,</w:t>
      </w:r>
      <w:r w:rsidR="009A01AF">
        <w:t xml:space="preserve"> </w:t>
      </w:r>
      <w:r w:rsidR="009A01AF" w:rsidRPr="004350FC">
        <w:rPr>
          <w:i/>
          <w:iCs/>
        </w:rPr>
        <w:t>National Transmission Needs Study</w:t>
      </w:r>
      <w:r w:rsidR="009A01AF">
        <w:t xml:space="preserve">, (December 2023), </w:t>
      </w:r>
      <w:r w:rsidR="009A01AF">
        <w:rPr>
          <w:i/>
          <w:iCs/>
        </w:rPr>
        <w:t>available at</w:t>
      </w:r>
      <w:r w:rsidR="00552419">
        <w:t xml:space="preserve"> </w:t>
      </w:r>
      <w:hyperlink r:id="rId29" w:history="1">
        <w:r w:rsidR="00552419" w:rsidRPr="00D6456A">
          <w:rPr>
            <w:rStyle w:val="Hyperlink"/>
          </w:rPr>
          <w:t>https://www.energy.gov/sites/default/files/2023-12/National%20Transmission%20Needs%20Study%20-%20Final_2023.12.1.pdf</w:t>
        </w:r>
      </w:hyperlink>
      <w:r w:rsidR="00A4321B" w:rsidRPr="00185B3C">
        <w:t xml:space="preserve">, </w:t>
      </w:r>
      <w:proofErr w:type="spellStart"/>
      <w:r w:rsidR="00A4321B" w:rsidRPr="00185B3C">
        <w:t>at</w:t>
      </w:r>
      <w:proofErr w:type="spellEnd"/>
      <w:r w:rsidR="00A4321B" w:rsidRPr="00185B3C">
        <w:t xml:space="preserve"> 22</w:t>
      </w:r>
    </w:p>
  </w:footnote>
  <w:footnote w:id="46">
    <w:p w14:paraId="65FEC382" w14:textId="69959C70" w:rsidR="0057267D" w:rsidRPr="00185B3C" w:rsidRDefault="0057267D" w:rsidP="007A32E4">
      <w:pPr>
        <w:spacing w:after="120"/>
        <w:jc w:val="left"/>
        <w:rPr>
          <w:sz w:val="20"/>
        </w:rPr>
      </w:pPr>
      <w:r w:rsidRPr="00185B3C">
        <w:rPr>
          <w:rStyle w:val="FootnoteReference"/>
          <w:sz w:val="20"/>
        </w:rPr>
        <w:footnoteRef/>
      </w:r>
      <w:r w:rsidRPr="00185B3C">
        <w:rPr>
          <w:sz w:val="20"/>
        </w:rPr>
        <w:t xml:space="preserve"> </w:t>
      </w:r>
      <w:r w:rsidRPr="00185B3C">
        <w:rPr>
          <w:i/>
          <w:sz w:val="20"/>
        </w:rPr>
        <w:t xml:space="preserve">See </w:t>
      </w:r>
      <w:r w:rsidRPr="00185B3C">
        <w:rPr>
          <w:sz w:val="20"/>
        </w:rPr>
        <w:t xml:space="preserve">Zimmerman, et al., </w:t>
      </w:r>
      <w:hyperlink r:id="rId30" w:history="1">
        <w:r w:rsidRPr="006265B9">
          <w:rPr>
            <w:rStyle w:val="Hyperlink"/>
            <w:i/>
            <w:sz w:val="20"/>
          </w:rPr>
          <w:t>Transmission Planning and Development Regional Report Card</w:t>
        </w:r>
      </w:hyperlink>
      <w:r w:rsidRPr="00185B3C">
        <w:rPr>
          <w:sz w:val="20"/>
        </w:rPr>
        <w:t>,</w:t>
      </w:r>
      <w:r w:rsidRPr="00185B3C">
        <w:rPr>
          <w:i/>
          <w:sz w:val="20"/>
        </w:rPr>
        <w:t xml:space="preserve"> </w:t>
      </w:r>
      <w:r w:rsidRPr="00185B3C">
        <w:rPr>
          <w:smallCaps/>
          <w:sz w:val="20"/>
        </w:rPr>
        <w:t xml:space="preserve">Am. for a Clean Energy Grid </w:t>
      </w:r>
      <w:r w:rsidRPr="00185B3C">
        <w:rPr>
          <w:sz w:val="20"/>
        </w:rPr>
        <w:t>(June 2023)</w:t>
      </w:r>
      <w:r w:rsidR="007A32E4">
        <w:rPr>
          <w:sz w:val="20"/>
        </w:rPr>
        <w:t>.</w:t>
      </w:r>
    </w:p>
  </w:footnote>
  <w:footnote w:id="47">
    <w:p w14:paraId="5343B2E1" w14:textId="77777777" w:rsidR="008572F7" w:rsidRPr="00185B3C" w:rsidRDefault="008572F7" w:rsidP="008572F7">
      <w:pPr>
        <w:spacing w:after="120"/>
        <w:rPr>
          <w:sz w:val="20"/>
        </w:rPr>
      </w:pPr>
      <w:r w:rsidRPr="00185B3C">
        <w:rPr>
          <w:rStyle w:val="FootnoteReference"/>
          <w:sz w:val="20"/>
        </w:rPr>
        <w:footnoteRef/>
      </w:r>
      <w:r w:rsidRPr="00185B3C">
        <w:rPr>
          <w:sz w:val="20"/>
        </w:rPr>
        <w:t xml:space="preserve"> PJM Interconnection, </w:t>
      </w:r>
      <w:r w:rsidRPr="00185B3C">
        <w:rPr>
          <w:i/>
          <w:iCs/>
          <w:sz w:val="20"/>
        </w:rPr>
        <w:t>Offshore Wind Transmission Study: Phase 1 Results</w:t>
      </w:r>
      <w:r w:rsidRPr="00185B3C">
        <w:rPr>
          <w:sz w:val="20"/>
        </w:rPr>
        <w:t xml:space="preserve">, 16, Scenario 6 (Oct. 19, 2021), </w:t>
      </w:r>
      <w:hyperlink r:id="rId31" w:history="1">
        <w:r w:rsidRPr="00185B3C">
          <w:rPr>
            <w:rStyle w:val="Hyperlink"/>
            <w:sz w:val="20"/>
          </w:rPr>
          <w:t>https://pjm.com/-/media/library/reports-notices/special-reports/2021/20211019-offshore-wind-transmission-study-phase-1-results.ashx</w:t>
        </w:r>
      </w:hyperlink>
      <w:r w:rsidRPr="00185B3C">
        <w:rPr>
          <w:sz w:val="20"/>
        </w:rPr>
        <w:t>.</w:t>
      </w:r>
    </w:p>
  </w:footnote>
  <w:footnote w:id="48">
    <w:p w14:paraId="673235E1" w14:textId="77777777" w:rsidR="008572F7" w:rsidRPr="00185B3C" w:rsidRDefault="008572F7" w:rsidP="008572F7">
      <w:pPr>
        <w:spacing w:after="120"/>
        <w:ind w:right="138"/>
        <w:rPr>
          <w:sz w:val="20"/>
        </w:rPr>
      </w:pPr>
      <w:r w:rsidRPr="00185B3C">
        <w:rPr>
          <w:rStyle w:val="FootnoteReference"/>
          <w:sz w:val="20"/>
        </w:rPr>
        <w:footnoteRef/>
      </w:r>
      <w:r w:rsidRPr="00185B3C">
        <w:rPr>
          <w:sz w:val="20"/>
        </w:rPr>
        <w:t xml:space="preserve"> </w:t>
      </w:r>
      <w:proofErr w:type="spellStart"/>
      <w:r w:rsidRPr="00185B3C">
        <w:rPr>
          <w:sz w:val="20"/>
        </w:rPr>
        <w:t>Pfeifenberger</w:t>
      </w:r>
      <w:proofErr w:type="spellEnd"/>
      <w:r w:rsidRPr="00185B3C">
        <w:rPr>
          <w:sz w:val="20"/>
        </w:rPr>
        <w:t xml:space="preserve">, et al., </w:t>
      </w:r>
      <w:r w:rsidRPr="00185B3C">
        <w:rPr>
          <w:i/>
          <w:iCs/>
          <w:sz w:val="20"/>
        </w:rPr>
        <w:t>New Jersey State Agreement Approach for Offshore Wind Transmission: Evaluation Report</w:t>
      </w:r>
      <w:r w:rsidRPr="00185B3C">
        <w:rPr>
          <w:sz w:val="20"/>
        </w:rPr>
        <w:t xml:space="preserve">, </w:t>
      </w:r>
      <w:r w:rsidRPr="00185B3C">
        <w:rPr>
          <w:smallCaps/>
          <w:sz w:val="20"/>
        </w:rPr>
        <w:t>N.J. Bd. of Pub. Utils.</w:t>
      </w:r>
      <w:r w:rsidRPr="00185B3C">
        <w:rPr>
          <w:sz w:val="20"/>
        </w:rPr>
        <w:t xml:space="preserve">, 180, Table A-2 (Oct. 26, 2022), </w:t>
      </w:r>
      <w:hyperlink r:id="rId32" w:history="1">
        <w:r w:rsidRPr="00185B3C">
          <w:rPr>
            <w:rStyle w:val="Hyperlink"/>
            <w:sz w:val="20"/>
          </w:rPr>
          <w:t>https://www.brattle.com/wp-content/uploads/2022/10/New-Jersey-State-Agreement-Approach-for-Offshore-Wind-Transmission-Evaluation-Report.pdf</w:t>
        </w:r>
      </w:hyperlink>
      <w:r w:rsidRPr="00185B3C">
        <w:rPr>
          <w:sz w:val="20"/>
        </w:rPr>
        <w:t>.</w:t>
      </w:r>
    </w:p>
  </w:footnote>
  <w:footnote w:id="49">
    <w:p w14:paraId="0C49F845" w14:textId="77777777" w:rsidR="008572F7" w:rsidRPr="00185B3C" w:rsidRDefault="008572F7" w:rsidP="008572F7">
      <w:pPr>
        <w:pStyle w:val="FootnoteText"/>
      </w:pPr>
      <w:r w:rsidRPr="00185B3C">
        <w:rPr>
          <w:rStyle w:val="FootnoteReference"/>
        </w:rPr>
        <w:footnoteRef/>
      </w:r>
      <w:r w:rsidRPr="00185B3C">
        <w:t xml:space="preserve"> Burke, et al., </w:t>
      </w:r>
      <w:r w:rsidRPr="00185B3C">
        <w:rPr>
          <w:i/>
          <w:iCs/>
        </w:rPr>
        <w:t>Offshore Wind Transmission White Paper</w:t>
      </w:r>
      <w:r w:rsidRPr="00185B3C">
        <w:t xml:space="preserve">, </w:t>
      </w:r>
      <w:r w:rsidRPr="00185B3C">
        <w:rPr>
          <w:smallCaps/>
        </w:rPr>
        <w:t>Bus. Network for Offshore Wind,</w:t>
      </w:r>
      <w:r w:rsidRPr="00185B3C">
        <w:t xml:space="preserve"> 40 (Oct. 2020), </w:t>
      </w:r>
      <w:hyperlink r:id="rId33" w:history="1">
        <w:r w:rsidRPr="00185B3C">
          <w:rPr>
            <w:rStyle w:val="Hyperlink"/>
          </w:rPr>
          <w:t>https://gridprogress.files.wordpress.com/2020/11/business-network-osw-transmission-white-paper-final.pdf</w:t>
        </w:r>
      </w:hyperlink>
      <w:r w:rsidRPr="00185B3C">
        <w:t>.</w:t>
      </w:r>
    </w:p>
  </w:footnote>
  <w:footnote w:id="50">
    <w:p w14:paraId="0CC62864" w14:textId="5B53B3C2" w:rsidR="008572F7" w:rsidRPr="00185B3C" w:rsidRDefault="008572F7" w:rsidP="008572F7">
      <w:pPr>
        <w:spacing w:after="120"/>
        <w:rPr>
          <w:rFonts w:eastAsia="Calibri"/>
          <w:sz w:val="20"/>
        </w:rPr>
      </w:pPr>
      <w:r w:rsidRPr="00185B3C">
        <w:rPr>
          <w:rStyle w:val="FootnoteReference"/>
          <w:sz w:val="20"/>
        </w:rPr>
        <w:footnoteRef/>
      </w:r>
      <w:r w:rsidRPr="00185B3C">
        <w:rPr>
          <w:sz w:val="20"/>
        </w:rPr>
        <w:t xml:space="preserve"> </w:t>
      </w:r>
      <w:proofErr w:type="spellStart"/>
      <w:r w:rsidRPr="00185B3C">
        <w:rPr>
          <w:sz w:val="20"/>
        </w:rPr>
        <w:t>Pfeifenberger</w:t>
      </w:r>
      <w:proofErr w:type="spellEnd"/>
      <w:r w:rsidRPr="00185B3C">
        <w:rPr>
          <w:sz w:val="20"/>
        </w:rPr>
        <w:t xml:space="preserve">, </w:t>
      </w:r>
      <w:proofErr w:type="gramStart"/>
      <w:r w:rsidRPr="00185B3C">
        <w:rPr>
          <w:i/>
          <w:sz w:val="20"/>
        </w:rPr>
        <w:t>supra</w:t>
      </w:r>
      <w:r w:rsidRPr="00185B3C">
        <w:rPr>
          <w:sz w:val="20"/>
        </w:rPr>
        <w:t xml:space="preserve">  at</w:t>
      </w:r>
      <w:proofErr w:type="gramEnd"/>
      <w:r w:rsidRPr="00185B3C">
        <w:rPr>
          <w:sz w:val="20"/>
        </w:rPr>
        <w:t xml:space="preserve"> 92, Figure 4.</w:t>
      </w:r>
    </w:p>
  </w:footnote>
  <w:footnote w:id="51">
    <w:p w14:paraId="29083615" w14:textId="77777777" w:rsidR="008572F7" w:rsidRPr="00185B3C" w:rsidRDefault="008572F7" w:rsidP="008572F7">
      <w:pPr>
        <w:pStyle w:val="FootnoteText"/>
      </w:pPr>
      <w:r w:rsidRPr="00185B3C">
        <w:rPr>
          <w:rStyle w:val="FootnoteReference"/>
        </w:rPr>
        <w:footnoteRef/>
      </w:r>
      <w:r w:rsidRPr="00185B3C">
        <w:t xml:space="preserve"> Goggin, et al., </w:t>
      </w:r>
      <w:r w:rsidRPr="00185B3C">
        <w:rPr>
          <w:i/>
          <w:iCs/>
        </w:rPr>
        <w:t>Disconnected: The Need for a New Generator Interconnection Policy</w:t>
      </w:r>
      <w:r w:rsidRPr="00185B3C">
        <w:t xml:space="preserve">, </w:t>
      </w:r>
      <w:r w:rsidRPr="00185B3C">
        <w:rPr>
          <w:smallCaps/>
        </w:rPr>
        <w:t>Am. for a Clean Energy Grid</w:t>
      </w:r>
      <w:r w:rsidRPr="00185B3C">
        <w:t xml:space="preserve"> (Jan. 12, 2021), </w:t>
      </w:r>
      <w:hyperlink r:id="rId34" w:history="1">
        <w:r w:rsidRPr="00185B3C">
          <w:rPr>
            <w:rStyle w:val="Hyperlink"/>
          </w:rPr>
          <w:t>https://cleanenergygrid.org/wp-content/uploads/2021/01/Disconnected-The-Need-for-a-New-Generator-Interconnection-Policy-1.pdf</w:t>
        </w:r>
      </w:hyperlink>
      <w:r w:rsidRPr="00185B3C">
        <w:t>.</w:t>
      </w:r>
    </w:p>
  </w:footnote>
  <w:footnote w:id="52">
    <w:p w14:paraId="3B0F8E7C" w14:textId="77777777" w:rsidR="008572F7" w:rsidRPr="00185B3C" w:rsidRDefault="008572F7" w:rsidP="008572F7">
      <w:pPr>
        <w:pStyle w:val="FootnoteText"/>
      </w:pPr>
      <w:r w:rsidRPr="00185B3C">
        <w:rPr>
          <w:rStyle w:val="FootnoteReference"/>
        </w:rPr>
        <w:footnoteRef/>
      </w:r>
      <w:r w:rsidRPr="00185B3C">
        <w:t xml:space="preserve"> Berkeley Lab, </w:t>
      </w:r>
      <w:r w:rsidRPr="00185B3C">
        <w:rPr>
          <w:i/>
          <w:iCs/>
        </w:rPr>
        <w:t>Generation, Storage, and Hybrid Capacity in Interconnection Queues – Projects in the Interconnection Queues for ISOs and Utility Service Territories</w:t>
      </w:r>
      <w:r w:rsidRPr="00185B3C">
        <w:t xml:space="preserve">, Electricity Markets &amp; Policy,  </w:t>
      </w:r>
      <w:hyperlink r:id="rId35" w:history="1">
        <w:r w:rsidRPr="00185B3C">
          <w:rPr>
            <w:rStyle w:val="Hyperlink"/>
          </w:rPr>
          <w:t>https://emp.lbl.gov/generation-storage-and-hybrid-capacity</w:t>
        </w:r>
      </w:hyperlink>
      <w:r w:rsidRPr="00185B3C">
        <w:t>.</w:t>
      </w:r>
    </w:p>
  </w:footnote>
  <w:footnote w:id="53">
    <w:p w14:paraId="5ED9F021" w14:textId="77777777" w:rsidR="008572F7" w:rsidRPr="00185B3C" w:rsidRDefault="008572F7" w:rsidP="008572F7">
      <w:pPr>
        <w:pStyle w:val="FootnoteText"/>
      </w:pPr>
      <w:r w:rsidRPr="00185B3C">
        <w:rPr>
          <w:rStyle w:val="FootnoteReference"/>
        </w:rPr>
        <w:footnoteRef/>
      </w:r>
      <w:r w:rsidRPr="00185B3C">
        <w:t xml:space="preserve"> </w:t>
      </w:r>
      <w:r w:rsidRPr="00185B3C">
        <w:rPr>
          <w:i/>
          <w:iCs/>
        </w:rPr>
        <w:t xml:space="preserve">See </w:t>
      </w:r>
      <w:r w:rsidRPr="00185B3C">
        <w:t xml:space="preserve">Ethan Howland, </w:t>
      </w:r>
      <w:r w:rsidRPr="00185B3C">
        <w:rPr>
          <w:i/>
          <w:iCs/>
        </w:rPr>
        <w:t>MISO board approves $10.3B transmission plan to support 53 GW of renewables</w:t>
      </w:r>
      <w:r w:rsidRPr="00185B3C">
        <w:t xml:space="preserve">, </w:t>
      </w:r>
      <w:r w:rsidRPr="00185B3C">
        <w:rPr>
          <w:smallCaps/>
        </w:rPr>
        <w:t>Utility Dive</w:t>
      </w:r>
      <w:r w:rsidRPr="00185B3C">
        <w:t xml:space="preserve"> (July 26, 2022), </w:t>
      </w:r>
      <w:hyperlink r:id="rId36" w:history="1">
        <w:r w:rsidRPr="00185B3C">
          <w:rPr>
            <w:rStyle w:val="Hyperlink"/>
          </w:rPr>
          <w:t>https://www.utilitydive.com/news/miso-board-transmission-plan-midcontinent-renewables/628108/</w:t>
        </w:r>
      </w:hyperlink>
      <w:r w:rsidRPr="00185B3C">
        <w:rPr>
          <w:rStyle w:val="Hyperlink"/>
          <w:color w:val="000000" w:themeColor="text1"/>
        </w:rPr>
        <w:t xml:space="preserve"> (</w:t>
      </w:r>
      <w:r w:rsidRPr="00185B3C">
        <w:t>In addition to the MVPs discussed above, last year, MISO approved a portfolio of Long-Range Transmission Plan projects that were developed using a similar proactive multi-value planning approach).</w:t>
      </w:r>
    </w:p>
  </w:footnote>
  <w:footnote w:id="54">
    <w:p w14:paraId="799F2CE3" w14:textId="77777777" w:rsidR="0057267D" w:rsidRPr="00185B3C" w:rsidRDefault="0057267D" w:rsidP="0057267D">
      <w:pPr>
        <w:pStyle w:val="FootnoteText"/>
      </w:pPr>
      <w:r w:rsidRPr="00185B3C">
        <w:rPr>
          <w:rStyle w:val="FootnoteReference"/>
        </w:rPr>
        <w:footnoteRef/>
      </w:r>
      <w:r w:rsidRPr="00185B3C">
        <w:t xml:space="preserve"> Midwest </w:t>
      </w:r>
      <w:proofErr w:type="spellStart"/>
      <w:r w:rsidRPr="00185B3C">
        <w:t>Indep</w:t>
      </w:r>
      <w:proofErr w:type="spellEnd"/>
      <w:r w:rsidRPr="00185B3C">
        <w:t xml:space="preserve">. Sys. Operator, </w:t>
      </w:r>
      <w:r w:rsidRPr="00185B3C">
        <w:rPr>
          <w:i/>
          <w:iCs/>
        </w:rPr>
        <w:t>Regional Generation Outlet Study</w:t>
      </w:r>
      <w:r w:rsidRPr="00185B3C">
        <w:t xml:space="preserve">, 3 (Nov. 19, 2010), </w:t>
      </w:r>
      <w:hyperlink r:id="rId37" w:history="1">
        <w:r w:rsidRPr="00185B3C">
          <w:rPr>
            <w:rStyle w:val="Hyperlink"/>
          </w:rPr>
          <w:t>https://puc.sd.gov/commission/dockets/electric/2013/EL13-028/appendixb3.pdf</w:t>
        </w:r>
      </w:hyperlink>
      <w:r w:rsidRPr="00185B3C">
        <w:t>.</w:t>
      </w:r>
    </w:p>
  </w:footnote>
  <w:footnote w:id="55">
    <w:p w14:paraId="6E6A39AC" w14:textId="33F104A6" w:rsidR="0057267D" w:rsidRPr="00185B3C" w:rsidRDefault="0057267D" w:rsidP="0057267D">
      <w:pPr>
        <w:pStyle w:val="FootnoteText"/>
      </w:pPr>
      <w:r w:rsidRPr="00185B3C">
        <w:rPr>
          <w:rStyle w:val="FootnoteReference"/>
        </w:rPr>
        <w:footnoteRef/>
      </w:r>
      <w:r w:rsidRPr="00185B3C">
        <w:t xml:space="preserve"> </w:t>
      </w:r>
      <w:r w:rsidR="00341B74">
        <w:t xml:space="preserve">See </w:t>
      </w:r>
      <w:r w:rsidRPr="00185B3C">
        <w:t xml:space="preserve">IC-1166, IC-1167, and IC-1168 </w:t>
      </w:r>
      <w:r w:rsidR="00AF4A72">
        <w:t xml:space="preserve">in Southern Company, </w:t>
      </w:r>
      <w:r w:rsidR="00A1074A" w:rsidRPr="00825933">
        <w:rPr>
          <w:i/>
          <w:iCs/>
        </w:rPr>
        <w:t>Southern Companies' Transmission System Active OATT Generator Interconnection Requests</w:t>
      </w:r>
      <w:r w:rsidR="00AF4A72">
        <w:t>,</w:t>
      </w:r>
      <w:r w:rsidRPr="00185B3C">
        <w:t xml:space="preserve"> page 2</w:t>
      </w:r>
      <w:r w:rsidR="00AF4A72">
        <w:t xml:space="preserve">, </w:t>
      </w:r>
      <w:r w:rsidR="00AF4A72" w:rsidRPr="00AF4A72">
        <w:rPr>
          <w:i/>
          <w:iCs/>
        </w:rPr>
        <w:t>available at</w:t>
      </w:r>
      <w:r w:rsidRPr="00185B3C">
        <w:t xml:space="preserve">: </w:t>
      </w:r>
      <w:hyperlink r:id="rId38" w:history="1">
        <w:r w:rsidRPr="00185B3C">
          <w:rPr>
            <w:rStyle w:val="Hyperlink"/>
          </w:rPr>
          <w:t>https://www.oasis.oati.com/woa/docs/SOCO/SOCOdocs/Active-Gen-IC-Requests.pdf</w:t>
        </w:r>
      </w:hyperlink>
      <w:r w:rsidR="00312992">
        <w:rPr>
          <w:rStyle w:val="Hyperlink"/>
        </w:rPr>
        <w:t xml:space="preserve">; </w:t>
      </w:r>
    </w:p>
  </w:footnote>
  <w:footnote w:id="56">
    <w:p w14:paraId="6CFE1F89" w14:textId="4A6C2013" w:rsidR="005B1F58" w:rsidRDefault="005B1F58">
      <w:pPr>
        <w:pStyle w:val="FootnoteText"/>
      </w:pPr>
      <w:r>
        <w:rPr>
          <w:rStyle w:val="FootnoteReference"/>
        </w:rPr>
        <w:footnoteRef/>
      </w:r>
      <w:r>
        <w:t xml:space="preserve"> </w:t>
      </w:r>
      <w:r w:rsidR="005F3C7D">
        <w:t xml:space="preserve">Southern Companies, </w:t>
      </w:r>
      <w:r w:rsidR="005F3C7D" w:rsidRPr="00CC66D6">
        <w:rPr>
          <w:i/>
          <w:iCs/>
        </w:rPr>
        <w:t xml:space="preserve">Open Access Transmission Tariff: </w:t>
      </w:r>
      <w:r w:rsidRPr="00CC66D6">
        <w:rPr>
          <w:i/>
          <w:iCs/>
        </w:rPr>
        <w:t>Large Generator Interconnection Procedures</w:t>
      </w:r>
      <w:r>
        <w:t xml:space="preserve">, </w:t>
      </w:r>
      <w:r w:rsidR="00BC5141">
        <w:t xml:space="preserve">(February 2020), </w:t>
      </w:r>
      <w:r w:rsidR="00BC5141" w:rsidRPr="00CC66D6">
        <w:rPr>
          <w:i/>
          <w:iCs/>
        </w:rPr>
        <w:t>available at</w:t>
      </w:r>
      <w:r w:rsidR="00BC5141">
        <w:t xml:space="preserve"> </w:t>
      </w:r>
      <w:r w:rsidR="00BC5141" w:rsidRPr="00BC5141">
        <w:t>https://www.oasis.oati.com/woa/docs/SOCO/SOCOdocs/LGIP,LGIA,SGIP,SGIA_2020-02-18.pdf</w:t>
      </w:r>
      <w:r w:rsidR="00BC5141">
        <w:t xml:space="preserve"> </w:t>
      </w:r>
      <w:proofErr w:type="spellStart"/>
      <w:r>
        <w:t>at</w:t>
      </w:r>
      <w:proofErr w:type="spellEnd"/>
      <w:r>
        <w:t xml:space="preserve"> 18</w:t>
      </w:r>
      <w:r w:rsidR="00DD721C">
        <w:t xml:space="preserve"> (Section 3.2.2)</w:t>
      </w:r>
      <w:r>
        <w:t>: “</w:t>
      </w:r>
      <w:r w:rsidR="00A34A91">
        <w:t>Network Resource Interconnection Service Allows Interconnection Customer’s Large Generating Facility to be designated as a Network Resource, up to the Large Generating Facility’s full output, on the same basis as existing Network Resources interconnected to Transmission Provider’s Transmission System, and to be studied as a Network Resource on the assumption that such a designation will occur</w:t>
      </w:r>
      <w:r w:rsidR="00B83D30">
        <w:t xml:space="preserve">. 3.2.2.2 The Study. </w:t>
      </w:r>
      <w:r>
        <w:t>The Interconnection Study for Network Resource Interconnection Service shall assure that Interconnection Customer’s Large Generating Facility meets the requirements for Network Resource Interconnection Service and as a general matter, that such Large Generating Facility’s interconnection is also studied with Transmission Provider’s Transmission System, under a variety of severely stressed conditions, to determine whether, with the Large Generating Facility at full output, the aggregate of generation in the local area can be delivered to the aggregate of load on Transmission Provider’s Transmission System, consistent with Transmission Provider’s reliability criteria and procedures.”</w:t>
      </w:r>
    </w:p>
  </w:footnote>
  <w:footnote w:id="57">
    <w:p w14:paraId="298086C4" w14:textId="66F86DFE" w:rsidR="00B049FD" w:rsidRDefault="00B049FD">
      <w:pPr>
        <w:pStyle w:val="FootnoteText"/>
      </w:pPr>
      <w:r>
        <w:rPr>
          <w:rStyle w:val="FootnoteReference"/>
        </w:rPr>
        <w:footnoteRef/>
      </w:r>
      <w:r>
        <w:t xml:space="preserve"> </w:t>
      </w:r>
      <w:r w:rsidR="008E10C8" w:rsidRPr="00CC66D6">
        <w:rPr>
          <w:i/>
          <w:iCs/>
        </w:rPr>
        <w:t>Id.</w:t>
      </w:r>
      <w:r w:rsidR="008E10C8">
        <w:t>, at 17</w:t>
      </w:r>
      <w:r w:rsidR="00DD721C">
        <w:t xml:space="preserve"> (Section 3.2.1)</w:t>
      </w:r>
      <w:r w:rsidR="008E10C8">
        <w:t xml:space="preserve"> “</w:t>
      </w:r>
      <w:r>
        <w:t>Energy Resource Interconnection Service allows Interconnection Customer to connect the Large Generating Facility to the Transmission System and be eligible to deliver the Large Generating Facility’s output using the existing firm or non-firm capacity of the Transmission System on an "as available" basis. Energy Resource Interconnection Service does not in and of itself convey any right to deliver electricity to any specific customer or Point of Delivery.”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EE319" w14:textId="77777777" w:rsidR="0032539A" w:rsidRDefault="0032539A">
    <w:pPr>
      <w:pStyle w:val="Header"/>
      <w:jc w:val="right"/>
      <w:rPr>
        <w:b/>
        <w:sz w:val="28"/>
      </w:rPr>
    </w:pPr>
  </w:p>
  <w:p w14:paraId="1CDB001D" w14:textId="77777777" w:rsidR="0032539A" w:rsidRDefault="0032539A">
    <w:pPr>
      <w:pStyle w:val="Header"/>
      <w:jc w:val="right"/>
      <w:rPr>
        <w:sz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9DD3C" w14:textId="078CD2A5" w:rsidR="0032539A" w:rsidRDefault="0032539A" w:rsidP="00DC0FB9">
    <w:pPr>
      <w:pStyle w:val="Header"/>
      <w:tabs>
        <w:tab w:val="clear" w:pos="8640"/>
        <w:tab w:val="right" w:pos="9360"/>
      </w:tabs>
      <w:rPr>
        <w:b/>
        <w:sz w:val="20"/>
      </w:rPr>
    </w:pPr>
    <w:r>
      <w:rPr>
        <w:b/>
        <w:sz w:val="20"/>
      </w:rPr>
      <w:t>DOCKET NO</w:t>
    </w:r>
    <w:r w:rsidR="00DC0FB9">
      <w:rPr>
        <w:b/>
        <w:sz w:val="20"/>
      </w:rPr>
      <w:t xml:space="preserve"> 55378</w:t>
    </w:r>
    <w:r>
      <w:rPr>
        <w:b/>
        <w:sz w:val="20"/>
      </w:rPr>
      <w:tab/>
    </w:r>
    <w:r>
      <w:rPr>
        <w:b/>
        <w:sz w:val="20"/>
      </w:rPr>
      <w:tab/>
      <w:t xml:space="preserve">TESTIMONY OF </w:t>
    </w:r>
    <w:r w:rsidR="00DC0FB9">
      <w:rPr>
        <w:b/>
        <w:sz w:val="20"/>
      </w:rPr>
      <w:t>MICHAEL GOGGIN</w:t>
    </w:r>
  </w:p>
  <w:p w14:paraId="5DA90CB4" w14:textId="4E56CE07" w:rsidR="0032539A" w:rsidRDefault="00086332" w:rsidP="00DB77B9">
    <w:pPr>
      <w:pStyle w:val="Header"/>
      <w:pBdr>
        <w:bottom w:val="single" w:sz="4" w:space="1" w:color="auto"/>
      </w:pBdr>
      <w:jc w:val="right"/>
      <w:rPr>
        <w:b/>
        <w:sz w:val="20"/>
      </w:rPr>
    </w:pPr>
    <w:r>
      <w:rPr>
        <w:b/>
        <w:sz w:val="20"/>
      </w:rPr>
      <w:t>PUBLIC DISCLOSURE</w:t>
    </w:r>
    <w:r w:rsidR="0032539A">
      <w:rPr>
        <w:b/>
        <w:sz w:val="20"/>
      </w:rPr>
      <w:t xml:space="preserve"> VERSION</w:t>
    </w:r>
  </w:p>
  <w:p w14:paraId="3959414A" w14:textId="77777777" w:rsidR="0032539A" w:rsidRDefault="0032539A" w:rsidP="00DB77B9">
    <w:pPr>
      <w:pStyle w:val="Header"/>
      <w:rPr>
        <w:sz w:val="32"/>
      </w:rPr>
    </w:pPr>
  </w:p>
  <w:p w14:paraId="302A7CF0" w14:textId="77777777" w:rsidR="0032539A" w:rsidRPr="00DB77B9" w:rsidRDefault="0032539A" w:rsidP="00DB7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87A3C" w14:textId="77777777" w:rsidR="0032539A" w:rsidRDefault="0032539A">
    <w:pPr>
      <w:pStyle w:val="Header"/>
      <w:jc w:val="right"/>
      <w:rPr>
        <w:b/>
        <w:sz w:val="28"/>
      </w:rPr>
    </w:pPr>
  </w:p>
  <w:p w14:paraId="4E160CB7" w14:textId="77777777" w:rsidR="0032539A" w:rsidRDefault="0032539A" w:rsidP="00412253">
    <w:pPr>
      <w:pStyle w:val="Header"/>
      <w:tabs>
        <w:tab w:val="clear" w:pos="8640"/>
        <w:tab w:val="right" w:pos="9360"/>
      </w:tabs>
      <w:rPr>
        <w:b/>
        <w:sz w:val="20"/>
      </w:rPr>
    </w:pPr>
    <w:r>
      <w:rPr>
        <w:b/>
        <w:sz w:val="20"/>
      </w:rPr>
      <w:t>DOCKET NO. 36498</w:t>
    </w:r>
    <w:r>
      <w:rPr>
        <w:b/>
        <w:sz w:val="20"/>
      </w:rPr>
      <w:tab/>
    </w:r>
    <w:r>
      <w:rPr>
        <w:b/>
        <w:sz w:val="20"/>
      </w:rPr>
      <w:tab/>
      <w:t>TESTIMONY OF RALPH C. SMITH</w:t>
    </w:r>
  </w:p>
  <w:p w14:paraId="3EF295CF" w14:textId="77777777" w:rsidR="0032539A" w:rsidRDefault="0032539A" w:rsidP="00412253">
    <w:pPr>
      <w:pStyle w:val="Header"/>
      <w:pBdr>
        <w:bottom w:val="single" w:sz="4" w:space="1" w:color="auto"/>
      </w:pBdr>
      <w:jc w:val="right"/>
      <w:rPr>
        <w:b/>
        <w:sz w:val="20"/>
      </w:rPr>
    </w:pPr>
    <w:r>
      <w:rPr>
        <w:b/>
        <w:sz w:val="20"/>
      </w:rPr>
      <w:t>TRADE SECRET VERSION</w:t>
    </w:r>
  </w:p>
  <w:p w14:paraId="7B69EB0E" w14:textId="77777777" w:rsidR="0032539A" w:rsidRDefault="0032539A">
    <w:pPr>
      <w:pStyle w:val="Header"/>
      <w:jc w:val="right"/>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8C306F1E"/>
    <w:lvl w:ilvl="0">
      <w:start w:val="1"/>
      <w:numFmt w:val="upperRoman"/>
      <w:lvlText w:val="%1."/>
      <w:legacy w:legacy="1" w:legacySpace="0" w:legacyIndent="0"/>
      <w:lvlJc w:val="left"/>
    </w:lvl>
    <w:lvl w:ilvl="1">
      <w:start w:val="1"/>
      <w:numFmt w:val="upperLetter"/>
      <w:pStyle w:val="Heading2"/>
      <w:lvlText w:val="%2."/>
      <w:legacy w:legacy="1" w:legacySpace="0" w:legacyIndent="0"/>
      <w:lvlJc w:val="left"/>
    </w:lvl>
    <w:lvl w:ilvl="2">
      <w:start w:val="1"/>
      <w:numFmt w:val="decimal"/>
      <w:pStyle w:val="Heading3"/>
      <w:lvlText w:val="%3."/>
      <w:legacy w:legacy="1" w:legacySpace="0" w:legacyIndent="0"/>
      <w:lvlJc w:val="left"/>
      <w:rPr>
        <w:rFonts w:ascii="Times New Roman Bold" w:hAnsi="Times New Roman Bold" w:cs="Times New Roman"/>
        <w:b w:val="0"/>
        <w:bCs w:val="0"/>
        <w:i w:val="0"/>
        <w:iCs w:val="0"/>
        <w:caps w:val="0"/>
        <w:smallCaps w:val="0"/>
        <w:strike w:val="0"/>
        <w:dstrike w:val="0"/>
        <w:noProof w:val="0"/>
        <w:vanish w:val="0"/>
        <w:color w:val="000000"/>
        <w:spacing w:val="0"/>
        <w:kern w:val="0"/>
        <w:position w:val="0"/>
        <w:u w:val="single"/>
        <w:vertAlign w:val="baseline"/>
        <w:em w:val="none"/>
      </w:rPr>
    </w:lvl>
    <w:lvl w:ilvl="3">
      <w:start w:val="1"/>
      <w:numFmt w:val="lowerLetter"/>
      <w:pStyle w:val="Heading4"/>
      <w:lvlText w:val="%4."/>
      <w:legacy w:legacy="1" w:legacySpace="0" w:legacyIndent="0"/>
      <w:lvlJc w:val="left"/>
    </w:lvl>
    <w:lvl w:ilvl="4">
      <w:start w:val="1"/>
      <w:numFmt w:val="decimal"/>
      <w:pStyle w:val="Heading5"/>
      <w:lvlText w:val="(%5)"/>
      <w:legacy w:legacy="1" w:legacySpace="0" w:legacyIndent="0"/>
      <w:lvlJc w:val="left"/>
    </w:lvl>
    <w:lvl w:ilvl="5">
      <w:start w:val="1"/>
      <w:numFmt w:val="lowerLetter"/>
      <w:pStyle w:val="Heading6"/>
      <w:lvlText w:val="(%6)"/>
      <w:legacy w:legacy="1" w:legacySpace="0" w:legacyIndent="0"/>
      <w:lvlJc w:val="left"/>
    </w:lvl>
    <w:lvl w:ilvl="6">
      <w:start w:val="1"/>
      <w:numFmt w:val="lowerRoman"/>
      <w:pStyle w:val="Heading7"/>
      <w:lvlText w:val="(%7)"/>
      <w:legacy w:legacy="1" w:legacySpace="0" w:legacyIndent="0"/>
      <w:lvlJc w:val="left"/>
    </w:lvl>
    <w:lvl w:ilvl="7">
      <w:start w:val="1"/>
      <w:numFmt w:val="upperLetter"/>
      <w:pStyle w:val="Heading8"/>
      <w:lvlText w:val="(%8)"/>
      <w:legacy w:legacy="1" w:legacySpace="0" w:legacyIndent="0"/>
      <w:lvlJc w:val="left"/>
    </w:lvl>
    <w:lvl w:ilvl="8">
      <w:numFmt w:val="none"/>
      <w:lvlText w:val=""/>
      <w:lvlJc w:val="left"/>
    </w:lvl>
  </w:abstractNum>
  <w:abstractNum w:abstractNumId="1" w15:restartNumberingAfterBreak="0">
    <w:nsid w:val="00000001"/>
    <w:multiLevelType w:val="singleLevel"/>
    <w:tmpl w:val="B596AC92"/>
    <w:lvl w:ilvl="0">
      <w:numFmt w:val="bullet"/>
      <w:lvlText w:val="-"/>
      <w:lvlJc w:val="left"/>
      <w:pPr>
        <w:tabs>
          <w:tab w:val="num" w:pos="900"/>
        </w:tabs>
        <w:ind w:left="900" w:hanging="360"/>
      </w:pPr>
      <w:rPr>
        <w:rFonts w:ascii="Times" w:hAnsi="Times" w:hint="default"/>
      </w:rPr>
    </w:lvl>
  </w:abstractNum>
  <w:abstractNum w:abstractNumId="2" w15:restartNumberingAfterBreak="0">
    <w:nsid w:val="0ACC571C"/>
    <w:multiLevelType w:val="hybridMultilevel"/>
    <w:tmpl w:val="4CA00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F702B5"/>
    <w:multiLevelType w:val="hybridMultilevel"/>
    <w:tmpl w:val="31528770"/>
    <w:lvl w:ilvl="0" w:tplc="761EFCA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2E10A9"/>
    <w:multiLevelType w:val="hybridMultilevel"/>
    <w:tmpl w:val="5DDAE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432C22"/>
    <w:multiLevelType w:val="hybridMultilevel"/>
    <w:tmpl w:val="07FEFBEC"/>
    <w:lvl w:ilvl="0" w:tplc="CC600702">
      <w:start w:val="1"/>
      <w:numFmt w:val="upperRoman"/>
      <w:pStyle w:val="Heading1"/>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FA3094"/>
    <w:multiLevelType w:val="hybridMultilevel"/>
    <w:tmpl w:val="CA6E7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DC0B27"/>
    <w:multiLevelType w:val="multilevel"/>
    <w:tmpl w:val="1F24EE3A"/>
    <w:lvl w:ilvl="0">
      <w:start w:val="1"/>
      <w:numFmt w:val="decimal"/>
      <w:pStyle w:val="JDHNumberedList"/>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numFmt w:val="bullet"/>
      <w:lvlText w:val=""/>
      <w:lvlJc w:val="left"/>
      <w:pPr>
        <w:tabs>
          <w:tab w:val="num" w:pos="1440"/>
        </w:tabs>
        <w:ind w:left="1440" w:hanging="720"/>
      </w:pPr>
      <w:rPr>
        <w:rFonts w:ascii="Symbol" w:hAnsi="Symbol" w:hint="default"/>
        <w:color w:val="auto"/>
      </w:rPr>
    </w:lvl>
    <w:lvl w:ilvl="3">
      <w:numFmt w:val="none"/>
      <w:lvlText w:val=""/>
      <w:lvlJc w:val="left"/>
      <w:pPr>
        <w:tabs>
          <w:tab w:val="num" w:pos="360"/>
        </w:tabs>
        <w:ind w:left="0" w:firstLine="0"/>
      </w:pPr>
      <w:rPr>
        <w:rFonts w:ascii="Tms Rmn" w:hAnsi="Tms Rmn" w:hint="default"/>
      </w:rPr>
    </w:lvl>
    <w:lvl w:ilvl="4">
      <w:numFmt w:val="none"/>
      <w:lvlText w:val=""/>
      <w:lvlJc w:val="left"/>
      <w:pPr>
        <w:tabs>
          <w:tab w:val="num" w:pos="0"/>
        </w:tabs>
        <w:ind w:left="0" w:firstLine="0"/>
      </w:pPr>
      <w:rPr>
        <w:rFonts w:ascii="Tms Rmn" w:hAnsi="Tms Rmn" w:hint="default"/>
      </w:rPr>
    </w:lvl>
    <w:lvl w:ilvl="5">
      <w:numFmt w:val="none"/>
      <w:lvlText w:val=""/>
      <w:lvlJc w:val="left"/>
      <w:pPr>
        <w:tabs>
          <w:tab w:val="num" w:pos="0"/>
        </w:tabs>
        <w:ind w:left="0" w:firstLine="0"/>
      </w:pPr>
      <w:rPr>
        <w:rFonts w:ascii="Tms Rmn" w:hAnsi="Tms Rmn" w:hint="default"/>
      </w:rPr>
    </w:lvl>
    <w:lvl w:ilvl="6">
      <w:numFmt w:val="none"/>
      <w:lvlText w:val=""/>
      <w:lvlJc w:val="left"/>
      <w:pPr>
        <w:tabs>
          <w:tab w:val="num" w:pos="0"/>
        </w:tabs>
        <w:ind w:left="0" w:firstLine="0"/>
      </w:pPr>
      <w:rPr>
        <w:rFonts w:ascii="Tms Rmn" w:hAnsi="Tms Rmn" w:hint="default"/>
      </w:rPr>
    </w:lvl>
    <w:lvl w:ilvl="7">
      <w:numFmt w:val="none"/>
      <w:lvlText w:val=""/>
      <w:lvlJc w:val="left"/>
      <w:pPr>
        <w:tabs>
          <w:tab w:val="num" w:pos="0"/>
        </w:tabs>
        <w:ind w:left="0" w:firstLine="0"/>
      </w:pPr>
      <w:rPr>
        <w:rFonts w:ascii="Tms Rmn" w:hAnsi="Tms Rmn" w:hint="default"/>
      </w:rPr>
    </w:lvl>
    <w:lvl w:ilvl="8">
      <w:numFmt w:val="none"/>
      <w:lvlText w:val=""/>
      <w:lvlJc w:val="left"/>
      <w:pPr>
        <w:tabs>
          <w:tab w:val="num" w:pos="0"/>
        </w:tabs>
        <w:ind w:left="0" w:firstLine="0"/>
      </w:pPr>
      <w:rPr>
        <w:rFonts w:ascii="Tms Rmn" w:hAnsi="Tms Rmn" w:hint="default"/>
      </w:rPr>
    </w:lvl>
  </w:abstractNum>
  <w:abstractNum w:abstractNumId="8" w15:restartNumberingAfterBreak="0">
    <w:nsid w:val="484824A6"/>
    <w:multiLevelType w:val="hybridMultilevel"/>
    <w:tmpl w:val="C428AA4A"/>
    <w:lvl w:ilvl="0" w:tplc="6FBACC28">
      <w:start w:val="1"/>
      <w:numFmt w:val="bullet"/>
      <w:pStyle w:val="Ga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1656C"/>
    <w:multiLevelType w:val="hybridMultilevel"/>
    <w:tmpl w:val="2DE410CE"/>
    <w:lvl w:ilvl="0" w:tplc="0A747004">
      <w:start w:val="1"/>
      <w:numFmt w:val="decimal"/>
      <w:pStyle w:val="ListParagraph"/>
      <w:lvlText w:val="%1."/>
      <w:lvlJc w:val="left"/>
      <w:pPr>
        <w:ind w:left="2160" w:hanging="360"/>
      </w:pPr>
      <w:rPr>
        <w:rFonts w:hint="default"/>
      </w:rPr>
    </w:lvl>
    <w:lvl w:ilvl="1" w:tplc="6D86092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146F2"/>
    <w:multiLevelType w:val="multilevel"/>
    <w:tmpl w:val="8236D1A8"/>
    <w:styleLink w:val="Style1"/>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BC57FC"/>
    <w:multiLevelType w:val="multilevel"/>
    <w:tmpl w:val="0409001D"/>
    <w:styleLink w:val="Style2"/>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9A65B2D"/>
    <w:multiLevelType w:val="hybridMultilevel"/>
    <w:tmpl w:val="F6A6E17E"/>
    <w:lvl w:ilvl="0" w:tplc="802455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E32CE"/>
    <w:multiLevelType w:val="hybridMultilevel"/>
    <w:tmpl w:val="AB7893A6"/>
    <w:lvl w:ilvl="0" w:tplc="B60436AC">
      <w:start w:val="1"/>
      <w:numFmt w:val="upperLetter"/>
      <w:pStyle w:val="Response"/>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388921092">
    <w:abstractNumId w:val="0"/>
  </w:num>
  <w:num w:numId="2" w16cid:durableId="1190412942">
    <w:abstractNumId w:val="7"/>
  </w:num>
  <w:num w:numId="3" w16cid:durableId="1925801607">
    <w:abstractNumId w:val="10"/>
  </w:num>
  <w:num w:numId="4" w16cid:durableId="1312490329">
    <w:abstractNumId w:val="11"/>
  </w:num>
  <w:num w:numId="5" w16cid:durableId="2105608582">
    <w:abstractNumId w:val="5"/>
  </w:num>
  <w:num w:numId="6" w16cid:durableId="875047268">
    <w:abstractNumId w:val="9"/>
  </w:num>
  <w:num w:numId="7" w16cid:durableId="1960255139">
    <w:abstractNumId w:val="13"/>
  </w:num>
  <w:num w:numId="8" w16cid:durableId="884608399">
    <w:abstractNumId w:val="8"/>
  </w:num>
  <w:num w:numId="9" w16cid:durableId="11681303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0" w16cid:durableId="1013844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1" w16cid:durableId="1242107379">
    <w:abstractNumId w:val="5"/>
    <w:lvlOverride w:ilvl="0">
      <w:startOverride w:val="1"/>
    </w:lvlOverride>
  </w:num>
  <w:num w:numId="12" w16cid:durableId="1298219349">
    <w:abstractNumId w:val="5"/>
  </w:num>
  <w:num w:numId="13" w16cid:durableId="1496531544">
    <w:abstractNumId w:val="2"/>
  </w:num>
  <w:num w:numId="14" w16cid:durableId="1496534685">
    <w:abstractNumId w:val="5"/>
    <w:lvlOverride w:ilvl="0">
      <w:startOverride w:val="1"/>
    </w:lvlOverride>
  </w:num>
  <w:num w:numId="15" w16cid:durableId="1757507587">
    <w:abstractNumId w:val="5"/>
  </w:num>
  <w:num w:numId="16" w16cid:durableId="1624997377">
    <w:abstractNumId w:val="5"/>
    <w:lvlOverride w:ilvl="0">
      <w:startOverride w:val="1"/>
    </w:lvlOverride>
  </w:num>
  <w:num w:numId="17" w16cid:durableId="660041871">
    <w:abstractNumId w:val="5"/>
    <w:lvlOverride w:ilvl="0">
      <w:startOverride w:val="1"/>
    </w:lvlOverride>
  </w:num>
  <w:num w:numId="18" w16cid:durableId="1609511093">
    <w:abstractNumId w:val="5"/>
    <w:lvlOverride w:ilvl="0">
      <w:startOverride w:val="1"/>
    </w:lvlOverride>
  </w:num>
  <w:num w:numId="19" w16cid:durableId="1143236299">
    <w:abstractNumId w:val="12"/>
  </w:num>
  <w:num w:numId="20" w16cid:durableId="270282627">
    <w:abstractNumId w:val="6"/>
  </w:num>
  <w:num w:numId="21" w16cid:durableId="144202602">
    <w:abstractNumId w:val="3"/>
  </w:num>
  <w:num w:numId="22" w16cid:durableId="302659158">
    <w:abstractNumId w:val="4"/>
  </w:num>
  <w:num w:numId="23" w16cid:durableId="1751384732">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E38"/>
    <w:rsid w:val="0000039C"/>
    <w:rsid w:val="0000042C"/>
    <w:rsid w:val="00000CEF"/>
    <w:rsid w:val="00001C6F"/>
    <w:rsid w:val="00001C9E"/>
    <w:rsid w:val="00001D29"/>
    <w:rsid w:val="00001FD3"/>
    <w:rsid w:val="0000225E"/>
    <w:rsid w:val="000029DB"/>
    <w:rsid w:val="00003FF3"/>
    <w:rsid w:val="00005209"/>
    <w:rsid w:val="000057AF"/>
    <w:rsid w:val="000063BD"/>
    <w:rsid w:val="00006B3A"/>
    <w:rsid w:val="00006E82"/>
    <w:rsid w:val="00007570"/>
    <w:rsid w:val="00007F92"/>
    <w:rsid w:val="0001026D"/>
    <w:rsid w:val="000106BA"/>
    <w:rsid w:val="000114C8"/>
    <w:rsid w:val="0001191E"/>
    <w:rsid w:val="00011965"/>
    <w:rsid w:val="00012898"/>
    <w:rsid w:val="0001405C"/>
    <w:rsid w:val="00014495"/>
    <w:rsid w:val="00014FD4"/>
    <w:rsid w:val="0001559C"/>
    <w:rsid w:val="00015F1F"/>
    <w:rsid w:val="00016366"/>
    <w:rsid w:val="000201A4"/>
    <w:rsid w:val="00021CDF"/>
    <w:rsid w:val="00021E8F"/>
    <w:rsid w:val="0002231E"/>
    <w:rsid w:val="0002243A"/>
    <w:rsid w:val="00023BD6"/>
    <w:rsid w:val="00025742"/>
    <w:rsid w:val="00027061"/>
    <w:rsid w:val="00027B73"/>
    <w:rsid w:val="00027E71"/>
    <w:rsid w:val="000314B4"/>
    <w:rsid w:val="00031AD3"/>
    <w:rsid w:val="00032419"/>
    <w:rsid w:val="00033B1A"/>
    <w:rsid w:val="00033F7A"/>
    <w:rsid w:val="000342BE"/>
    <w:rsid w:val="00034434"/>
    <w:rsid w:val="000345D9"/>
    <w:rsid w:val="000349C2"/>
    <w:rsid w:val="000350A0"/>
    <w:rsid w:val="000359FF"/>
    <w:rsid w:val="00035ACA"/>
    <w:rsid w:val="00035CCF"/>
    <w:rsid w:val="000360AE"/>
    <w:rsid w:val="00036251"/>
    <w:rsid w:val="00036C06"/>
    <w:rsid w:val="00036F15"/>
    <w:rsid w:val="000379F0"/>
    <w:rsid w:val="00037A42"/>
    <w:rsid w:val="00037CFB"/>
    <w:rsid w:val="00040B15"/>
    <w:rsid w:val="00040B2A"/>
    <w:rsid w:val="00040CA9"/>
    <w:rsid w:val="00040D27"/>
    <w:rsid w:val="00040DD2"/>
    <w:rsid w:val="000414F3"/>
    <w:rsid w:val="00042F82"/>
    <w:rsid w:val="000438B3"/>
    <w:rsid w:val="000439B1"/>
    <w:rsid w:val="00044AD5"/>
    <w:rsid w:val="00045B44"/>
    <w:rsid w:val="00045E3C"/>
    <w:rsid w:val="00046C88"/>
    <w:rsid w:val="00046ED7"/>
    <w:rsid w:val="000470AE"/>
    <w:rsid w:val="000471F7"/>
    <w:rsid w:val="00050C2B"/>
    <w:rsid w:val="00051715"/>
    <w:rsid w:val="000525B9"/>
    <w:rsid w:val="0005261E"/>
    <w:rsid w:val="00052660"/>
    <w:rsid w:val="000528A4"/>
    <w:rsid w:val="00052BE4"/>
    <w:rsid w:val="00052C77"/>
    <w:rsid w:val="0005365B"/>
    <w:rsid w:val="000538FD"/>
    <w:rsid w:val="00055E55"/>
    <w:rsid w:val="000560D4"/>
    <w:rsid w:val="00056B58"/>
    <w:rsid w:val="00056EE3"/>
    <w:rsid w:val="0005719E"/>
    <w:rsid w:val="00060171"/>
    <w:rsid w:val="00060EC4"/>
    <w:rsid w:val="000620F1"/>
    <w:rsid w:val="00063793"/>
    <w:rsid w:val="00063AE8"/>
    <w:rsid w:val="00063DE7"/>
    <w:rsid w:val="0006424A"/>
    <w:rsid w:val="00064379"/>
    <w:rsid w:val="00064AFA"/>
    <w:rsid w:val="00065C25"/>
    <w:rsid w:val="00065D5D"/>
    <w:rsid w:val="00065D9D"/>
    <w:rsid w:val="00065ECC"/>
    <w:rsid w:val="00066D38"/>
    <w:rsid w:val="000675FA"/>
    <w:rsid w:val="00067CDB"/>
    <w:rsid w:val="0007121A"/>
    <w:rsid w:val="0007148B"/>
    <w:rsid w:val="00071AF7"/>
    <w:rsid w:val="00072202"/>
    <w:rsid w:val="00072830"/>
    <w:rsid w:val="000743F6"/>
    <w:rsid w:val="000745C5"/>
    <w:rsid w:val="00074ADF"/>
    <w:rsid w:val="00074E43"/>
    <w:rsid w:val="00075DC7"/>
    <w:rsid w:val="00075F93"/>
    <w:rsid w:val="000760C5"/>
    <w:rsid w:val="000768C5"/>
    <w:rsid w:val="00077233"/>
    <w:rsid w:val="000804B0"/>
    <w:rsid w:val="00080FA6"/>
    <w:rsid w:val="00081547"/>
    <w:rsid w:val="000816B8"/>
    <w:rsid w:val="0008177F"/>
    <w:rsid w:val="00081D0A"/>
    <w:rsid w:val="00081FC4"/>
    <w:rsid w:val="0008208B"/>
    <w:rsid w:val="0008227E"/>
    <w:rsid w:val="0008273A"/>
    <w:rsid w:val="00082831"/>
    <w:rsid w:val="00082AB0"/>
    <w:rsid w:val="00083F17"/>
    <w:rsid w:val="0008461E"/>
    <w:rsid w:val="00086332"/>
    <w:rsid w:val="00086B50"/>
    <w:rsid w:val="00090C7E"/>
    <w:rsid w:val="00091149"/>
    <w:rsid w:val="00091BFB"/>
    <w:rsid w:val="00091DBE"/>
    <w:rsid w:val="00091DC4"/>
    <w:rsid w:val="000920FD"/>
    <w:rsid w:val="0009273E"/>
    <w:rsid w:val="00092C4B"/>
    <w:rsid w:val="00092FC4"/>
    <w:rsid w:val="000932AA"/>
    <w:rsid w:val="000936E4"/>
    <w:rsid w:val="00093B9B"/>
    <w:rsid w:val="00094D4A"/>
    <w:rsid w:val="00095973"/>
    <w:rsid w:val="00095DDC"/>
    <w:rsid w:val="000965BC"/>
    <w:rsid w:val="00096609"/>
    <w:rsid w:val="00097733"/>
    <w:rsid w:val="000977CE"/>
    <w:rsid w:val="0009791D"/>
    <w:rsid w:val="000A01DF"/>
    <w:rsid w:val="000A0643"/>
    <w:rsid w:val="000A0711"/>
    <w:rsid w:val="000A0BB4"/>
    <w:rsid w:val="000A0E28"/>
    <w:rsid w:val="000A11C0"/>
    <w:rsid w:val="000A12E3"/>
    <w:rsid w:val="000A135D"/>
    <w:rsid w:val="000A1802"/>
    <w:rsid w:val="000A1CFA"/>
    <w:rsid w:val="000A22EB"/>
    <w:rsid w:val="000A2801"/>
    <w:rsid w:val="000A2DE1"/>
    <w:rsid w:val="000A3AA4"/>
    <w:rsid w:val="000A5055"/>
    <w:rsid w:val="000A5D4C"/>
    <w:rsid w:val="000A63B6"/>
    <w:rsid w:val="000A64D5"/>
    <w:rsid w:val="000A735F"/>
    <w:rsid w:val="000B0204"/>
    <w:rsid w:val="000B0881"/>
    <w:rsid w:val="000B0B5F"/>
    <w:rsid w:val="000B0FFC"/>
    <w:rsid w:val="000B11A7"/>
    <w:rsid w:val="000B17BF"/>
    <w:rsid w:val="000B1B56"/>
    <w:rsid w:val="000B474E"/>
    <w:rsid w:val="000B4D38"/>
    <w:rsid w:val="000B5E5F"/>
    <w:rsid w:val="000B5EA0"/>
    <w:rsid w:val="000B6C3F"/>
    <w:rsid w:val="000B714B"/>
    <w:rsid w:val="000B7CBE"/>
    <w:rsid w:val="000C0380"/>
    <w:rsid w:val="000C0BB1"/>
    <w:rsid w:val="000C0F28"/>
    <w:rsid w:val="000C18FD"/>
    <w:rsid w:val="000C1A5E"/>
    <w:rsid w:val="000C2255"/>
    <w:rsid w:val="000C24F5"/>
    <w:rsid w:val="000C309F"/>
    <w:rsid w:val="000C310B"/>
    <w:rsid w:val="000C3166"/>
    <w:rsid w:val="000C3498"/>
    <w:rsid w:val="000C39C7"/>
    <w:rsid w:val="000C3A02"/>
    <w:rsid w:val="000C4995"/>
    <w:rsid w:val="000C4A28"/>
    <w:rsid w:val="000C52FC"/>
    <w:rsid w:val="000C6EF0"/>
    <w:rsid w:val="000D016C"/>
    <w:rsid w:val="000D09C3"/>
    <w:rsid w:val="000D0FC3"/>
    <w:rsid w:val="000D16A5"/>
    <w:rsid w:val="000D35DE"/>
    <w:rsid w:val="000D4BB9"/>
    <w:rsid w:val="000D4EF4"/>
    <w:rsid w:val="000D5254"/>
    <w:rsid w:val="000D5642"/>
    <w:rsid w:val="000D608E"/>
    <w:rsid w:val="000D71C9"/>
    <w:rsid w:val="000E0169"/>
    <w:rsid w:val="000E06EE"/>
    <w:rsid w:val="000E0765"/>
    <w:rsid w:val="000E1401"/>
    <w:rsid w:val="000E143C"/>
    <w:rsid w:val="000E1594"/>
    <w:rsid w:val="000E16D2"/>
    <w:rsid w:val="000E33E9"/>
    <w:rsid w:val="000E38DB"/>
    <w:rsid w:val="000E3DC7"/>
    <w:rsid w:val="000E4534"/>
    <w:rsid w:val="000E57DE"/>
    <w:rsid w:val="000E7187"/>
    <w:rsid w:val="000E7579"/>
    <w:rsid w:val="000E7DDD"/>
    <w:rsid w:val="000E7E28"/>
    <w:rsid w:val="000F0248"/>
    <w:rsid w:val="000F0D0D"/>
    <w:rsid w:val="000F1155"/>
    <w:rsid w:val="000F15E7"/>
    <w:rsid w:val="000F19F7"/>
    <w:rsid w:val="000F1DE3"/>
    <w:rsid w:val="000F2516"/>
    <w:rsid w:val="000F25DE"/>
    <w:rsid w:val="000F2A00"/>
    <w:rsid w:val="000F2A18"/>
    <w:rsid w:val="000F4DCD"/>
    <w:rsid w:val="000F4DF0"/>
    <w:rsid w:val="000F4E50"/>
    <w:rsid w:val="000F567E"/>
    <w:rsid w:val="000F5D2F"/>
    <w:rsid w:val="000F5F4D"/>
    <w:rsid w:val="000F68C0"/>
    <w:rsid w:val="000F6E2C"/>
    <w:rsid w:val="000F742A"/>
    <w:rsid w:val="000F7546"/>
    <w:rsid w:val="000F7967"/>
    <w:rsid w:val="001006E8"/>
    <w:rsid w:val="001008E4"/>
    <w:rsid w:val="00100BB2"/>
    <w:rsid w:val="001016F3"/>
    <w:rsid w:val="00101967"/>
    <w:rsid w:val="00102ED5"/>
    <w:rsid w:val="00103C71"/>
    <w:rsid w:val="00103EC6"/>
    <w:rsid w:val="00104250"/>
    <w:rsid w:val="00104340"/>
    <w:rsid w:val="00105536"/>
    <w:rsid w:val="00105C6B"/>
    <w:rsid w:val="00105D76"/>
    <w:rsid w:val="00106EF8"/>
    <w:rsid w:val="00107553"/>
    <w:rsid w:val="0010786A"/>
    <w:rsid w:val="00107E30"/>
    <w:rsid w:val="00107F77"/>
    <w:rsid w:val="0011028D"/>
    <w:rsid w:val="001104A9"/>
    <w:rsid w:val="00110AFE"/>
    <w:rsid w:val="00110DEC"/>
    <w:rsid w:val="00111429"/>
    <w:rsid w:val="00111A3D"/>
    <w:rsid w:val="001121D3"/>
    <w:rsid w:val="00112388"/>
    <w:rsid w:val="00112CD5"/>
    <w:rsid w:val="00113A6A"/>
    <w:rsid w:val="00113D27"/>
    <w:rsid w:val="00113FA0"/>
    <w:rsid w:val="00114762"/>
    <w:rsid w:val="0011561C"/>
    <w:rsid w:val="001156EE"/>
    <w:rsid w:val="00116009"/>
    <w:rsid w:val="001162A6"/>
    <w:rsid w:val="00116378"/>
    <w:rsid w:val="00117609"/>
    <w:rsid w:val="0011788B"/>
    <w:rsid w:val="00120207"/>
    <w:rsid w:val="00120A65"/>
    <w:rsid w:val="00122356"/>
    <w:rsid w:val="0012279E"/>
    <w:rsid w:val="00122807"/>
    <w:rsid w:val="0012294E"/>
    <w:rsid w:val="00122E1B"/>
    <w:rsid w:val="00122FF9"/>
    <w:rsid w:val="0012385C"/>
    <w:rsid w:val="00123E50"/>
    <w:rsid w:val="00123EAA"/>
    <w:rsid w:val="00123F76"/>
    <w:rsid w:val="00124431"/>
    <w:rsid w:val="00124435"/>
    <w:rsid w:val="00124674"/>
    <w:rsid w:val="00124CB3"/>
    <w:rsid w:val="00126640"/>
    <w:rsid w:val="00126731"/>
    <w:rsid w:val="00126F78"/>
    <w:rsid w:val="00127E1A"/>
    <w:rsid w:val="001302EC"/>
    <w:rsid w:val="0013078E"/>
    <w:rsid w:val="00131379"/>
    <w:rsid w:val="001313D8"/>
    <w:rsid w:val="00131D31"/>
    <w:rsid w:val="00131E0F"/>
    <w:rsid w:val="001325EE"/>
    <w:rsid w:val="0013267C"/>
    <w:rsid w:val="001328B9"/>
    <w:rsid w:val="00135079"/>
    <w:rsid w:val="00135FE0"/>
    <w:rsid w:val="00136331"/>
    <w:rsid w:val="0013637F"/>
    <w:rsid w:val="00137910"/>
    <w:rsid w:val="001400A3"/>
    <w:rsid w:val="00140C9D"/>
    <w:rsid w:val="00141459"/>
    <w:rsid w:val="00142376"/>
    <w:rsid w:val="00142A2D"/>
    <w:rsid w:val="0014358B"/>
    <w:rsid w:val="0014411D"/>
    <w:rsid w:val="0014413B"/>
    <w:rsid w:val="0014433B"/>
    <w:rsid w:val="001446CD"/>
    <w:rsid w:val="00144961"/>
    <w:rsid w:val="00144FC2"/>
    <w:rsid w:val="00145130"/>
    <w:rsid w:val="0014528F"/>
    <w:rsid w:val="0014729F"/>
    <w:rsid w:val="00147DCD"/>
    <w:rsid w:val="00147DF8"/>
    <w:rsid w:val="00152245"/>
    <w:rsid w:val="00152BEA"/>
    <w:rsid w:val="00152EBC"/>
    <w:rsid w:val="0015412F"/>
    <w:rsid w:val="00154C5D"/>
    <w:rsid w:val="00154D89"/>
    <w:rsid w:val="00155B85"/>
    <w:rsid w:val="00155F8D"/>
    <w:rsid w:val="00156776"/>
    <w:rsid w:val="0015722B"/>
    <w:rsid w:val="00157F62"/>
    <w:rsid w:val="00157F92"/>
    <w:rsid w:val="001600C9"/>
    <w:rsid w:val="0016051D"/>
    <w:rsid w:val="001608ED"/>
    <w:rsid w:val="00160B81"/>
    <w:rsid w:val="0016106B"/>
    <w:rsid w:val="0016141C"/>
    <w:rsid w:val="0016223D"/>
    <w:rsid w:val="001624C7"/>
    <w:rsid w:val="001635B5"/>
    <w:rsid w:val="00163D10"/>
    <w:rsid w:val="0016402B"/>
    <w:rsid w:val="00165213"/>
    <w:rsid w:val="00165912"/>
    <w:rsid w:val="00166AFA"/>
    <w:rsid w:val="00166B41"/>
    <w:rsid w:val="00166BB5"/>
    <w:rsid w:val="00166BFB"/>
    <w:rsid w:val="001676CF"/>
    <w:rsid w:val="001678A7"/>
    <w:rsid w:val="00170BDF"/>
    <w:rsid w:val="00170E68"/>
    <w:rsid w:val="001710E2"/>
    <w:rsid w:val="001714E7"/>
    <w:rsid w:val="001716A4"/>
    <w:rsid w:val="00171F2B"/>
    <w:rsid w:val="00172204"/>
    <w:rsid w:val="001723B1"/>
    <w:rsid w:val="0017270E"/>
    <w:rsid w:val="00172BFA"/>
    <w:rsid w:val="00172C94"/>
    <w:rsid w:val="00172D89"/>
    <w:rsid w:val="00172FB1"/>
    <w:rsid w:val="00173F34"/>
    <w:rsid w:val="00174695"/>
    <w:rsid w:val="0017526D"/>
    <w:rsid w:val="00175965"/>
    <w:rsid w:val="00176B49"/>
    <w:rsid w:val="00176D04"/>
    <w:rsid w:val="00177AEF"/>
    <w:rsid w:val="00177BD2"/>
    <w:rsid w:val="00177D27"/>
    <w:rsid w:val="001809E4"/>
    <w:rsid w:val="00180EC9"/>
    <w:rsid w:val="00181934"/>
    <w:rsid w:val="00181C40"/>
    <w:rsid w:val="001820A9"/>
    <w:rsid w:val="00182798"/>
    <w:rsid w:val="00183350"/>
    <w:rsid w:val="00184B4E"/>
    <w:rsid w:val="001855A2"/>
    <w:rsid w:val="0018596A"/>
    <w:rsid w:val="00185B3C"/>
    <w:rsid w:val="00185F47"/>
    <w:rsid w:val="0019018C"/>
    <w:rsid w:val="001903B2"/>
    <w:rsid w:val="00190EBA"/>
    <w:rsid w:val="00190F16"/>
    <w:rsid w:val="00191DE1"/>
    <w:rsid w:val="00192032"/>
    <w:rsid w:val="00192685"/>
    <w:rsid w:val="001934D9"/>
    <w:rsid w:val="00193A7F"/>
    <w:rsid w:val="001940A1"/>
    <w:rsid w:val="00195B55"/>
    <w:rsid w:val="00196F35"/>
    <w:rsid w:val="001970BF"/>
    <w:rsid w:val="0019769F"/>
    <w:rsid w:val="001A0E20"/>
    <w:rsid w:val="001A1457"/>
    <w:rsid w:val="001A1DA6"/>
    <w:rsid w:val="001A1F30"/>
    <w:rsid w:val="001A21A7"/>
    <w:rsid w:val="001A253F"/>
    <w:rsid w:val="001A2550"/>
    <w:rsid w:val="001A47C4"/>
    <w:rsid w:val="001A509E"/>
    <w:rsid w:val="001A549E"/>
    <w:rsid w:val="001A570F"/>
    <w:rsid w:val="001A5D58"/>
    <w:rsid w:val="001A7008"/>
    <w:rsid w:val="001B0F6A"/>
    <w:rsid w:val="001B1690"/>
    <w:rsid w:val="001B16B1"/>
    <w:rsid w:val="001B17F3"/>
    <w:rsid w:val="001B19CD"/>
    <w:rsid w:val="001B1DC4"/>
    <w:rsid w:val="001B324F"/>
    <w:rsid w:val="001B3292"/>
    <w:rsid w:val="001B34E7"/>
    <w:rsid w:val="001B3E9B"/>
    <w:rsid w:val="001B4CD8"/>
    <w:rsid w:val="001B5004"/>
    <w:rsid w:val="001B5102"/>
    <w:rsid w:val="001B55A5"/>
    <w:rsid w:val="001B57B7"/>
    <w:rsid w:val="001B57D5"/>
    <w:rsid w:val="001B586E"/>
    <w:rsid w:val="001B668E"/>
    <w:rsid w:val="001B6702"/>
    <w:rsid w:val="001B6BA5"/>
    <w:rsid w:val="001B6E25"/>
    <w:rsid w:val="001B6EA1"/>
    <w:rsid w:val="001B7A3E"/>
    <w:rsid w:val="001B7BD0"/>
    <w:rsid w:val="001B7FC5"/>
    <w:rsid w:val="001C118F"/>
    <w:rsid w:val="001C1419"/>
    <w:rsid w:val="001C15EE"/>
    <w:rsid w:val="001C160A"/>
    <w:rsid w:val="001C1BE3"/>
    <w:rsid w:val="001C2012"/>
    <w:rsid w:val="001C2542"/>
    <w:rsid w:val="001C27B9"/>
    <w:rsid w:val="001C296D"/>
    <w:rsid w:val="001C29AC"/>
    <w:rsid w:val="001C2C8D"/>
    <w:rsid w:val="001C2D73"/>
    <w:rsid w:val="001C3981"/>
    <w:rsid w:val="001C3FBA"/>
    <w:rsid w:val="001C40AC"/>
    <w:rsid w:val="001C4DFC"/>
    <w:rsid w:val="001C4F3C"/>
    <w:rsid w:val="001C5898"/>
    <w:rsid w:val="001C5EF0"/>
    <w:rsid w:val="001C6194"/>
    <w:rsid w:val="001D02C7"/>
    <w:rsid w:val="001D0952"/>
    <w:rsid w:val="001D11E6"/>
    <w:rsid w:val="001D12E9"/>
    <w:rsid w:val="001D1616"/>
    <w:rsid w:val="001D1E0D"/>
    <w:rsid w:val="001D2E63"/>
    <w:rsid w:val="001D4088"/>
    <w:rsid w:val="001D410E"/>
    <w:rsid w:val="001D4271"/>
    <w:rsid w:val="001D43FA"/>
    <w:rsid w:val="001D4541"/>
    <w:rsid w:val="001D6E42"/>
    <w:rsid w:val="001D6FAD"/>
    <w:rsid w:val="001D72A7"/>
    <w:rsid w:val="001D72FB"/>
    <w:rsid w:val="001D735A"/>
    <w:rsid w:val="001D7393"/>
    <w:rsid w:val="001D7D42"/>
    <w:rsid w:val="001D7F0C"/>
    <w:rsid w:val="001E0563"/>
    <w:rsid w:val="001E0CF2"/>
    <w:rsid w:val="001E1807"/>
    <w:rsid w:val="001E1F7A"/>
    <w:rsid w:val="001E2F29"/>
    <w:rsid w:val="001E302F"/>
    <w:rsid w:val="001E37F4"/>
    <w:rsid w:val="001E3B34"/>
    <w:rsid w:val="001E3C23"/>
    <w:rsid w:val="001E3FDB"/>
    <w:rsid w:val="001E4701"/>
    <w:rsid w:val="001E481C"/>
    <w:rsid w:val="001E4EC9"/>
    <w:rsid w:val="001E659C"/>
    <w:rsid w:val="001E6617"/>
    <w:rsid w:val="001E71CE"/>
    <w:rsid w:val="001E792A"/>
    <w:rsid w:val="001F127D"/>
    <w:rsid w:val="001F17CB"/>
    <w:rsid w:val="001F1DF7"/>
    <w:rsid w:val="001F2B5A"/>
    <w:rsid w:val="001F2E8B"/>
    <w:rsid w:val="001F2EEA"/>
    <w:rsid w:val="001F39DC"/>
    <w:rsid w:val="001F4909"/>
    <w:rsid w:val="001F4E92"/>
    <w:rsid w:val="001F54A0"/>
    <w:rsid w:val="001F688D"/>
    <w:rsid w:val="002005D0"/>
    <w:rsid w:val="00200B3B"/>
    <w:rsid w:val="00200DC6"/>
    <w:rsid w:val="0020190C"/>
    <w:rsid w:val="00201C15"/>
    <w:rsid w:val="00201F0B"/>
    <w:rsid w:val="002027D6"/>
    <w:rsid w:val="00202813"/>
    <w:rsid w:val="00202F2A"/>
    <w:rsid w:val="00203305"/>
    <w:rsid w:val="002047C8"/>
    <w:rsid w:val="00204ECC"/>
    <w:rsid w:val="00205645"/>
    <w:rsid w:val="00205C24"/>
    <w:rsid w:val="00206173"/>
    <w:rsid w:val="0020708E"/>
    <w:rsid w:val="0020784D"/>
    <w:rsid w:val="002103CF"/>
    <w:rsid w:val="00211137"/>
    <w:rsid w:val="00211394"/>
    <w:rsid w:val="00211690"/>
    <w:rsid w:val="00211BA2"/>
    <w:rsid w:val="0021304C"/>
    <w:rsid w:val="00213176"/>
    <w:rsid w:val="00213759"/>
    <w:rsid w:val="00213F90"/>
    <w:rsid w:val="002143D4"/>
    <w:rsid w:val="002146BA"/>
    <w:rsid w:val="00214942"/>
    <w:rsid w:val="00215435"/>
    <w:rsid w:val="002159CF"/>
    <w:rsid w:val="00215B36"/>
    <w:rsid w:val="00215DA7"/>
    <w:rsid w:val="00216000"/>
    <w:rsid w:val="0021620C"/>
    <w:rsid w:val="0021690B"/>
    <w:rsid w:val="0022011D"/>
    <w:rsid w:val="0022032F"/>
    <w:rsid w:val="00220FE4"/>
    <w:rsid w:val="00221C0A"/>
    <w:rsid w:val="00221F5C"/>
    <w:rsid w:val="002239B8"/>
    <w:rsid w:val="00225666"/>
    <w:rsid w:val="002257C0"/>
    <w:rsid w:val="00225BE5"/>
    <w:rsid w:val="00225D2C"/>
    <w:rsid w:val="00225E02"/>
    <w:rsid w:val="002260A5"/>
    <w:rsid w:val="00226E12"/>
    <w:rsid w:val="00230140"/>
    <w:rsid w:val="0023080B"/>
    <w:rsid w:val="0023190C"/>
    <w:rsid w:val="00231D00"/>
    <w:rsid w:val="00232743"/>
    <w:rsid w:val="00233F1A"/>
    <w:rsid w:val="00234717"/>
    <w:rsid w:val="002347E0"/>
    <w:rsid w:val="00235535"/>
    <w:rsid w:val="00236A19"/>
    <w:rsid w:val="002371F9"/>
    <w:rsid w:val="0023763E"/>
    <w:rsid w:val="00240476"/>
    <w:rsid w:val="002405E0"/>
    <w:rsid w:val="00240718"/>
    <w:rsid w:val="002407D1"/>
    <w:rsid w:val="00240F1E"/>
    <w:rsid w:val="00240FDE"/>
    <w:rsid w:val="0024110D"/>
    <w:rsid w:val="00243883"/>
    <w:rsid w:val="00243A84"/>
    <w:rsid w:val="00244BAA"/>
    <w:rsid w:val="00244FFB"/>
    <w:rsid w:val="002454B0"/>
    <w:rsid w:val="00245F97"/>
    <w:rsid w:val="00246208"/>
    <w:rsid w:val="002472A0"/>
    <w:rsid w:val="00247837"/>
    <w:rsid w:val="00247AB1"/>
    <w:rsid w:val="00250CF3"/>
    <w:rsid w:val="0025161A"/>
    <w:rsid w:val="002524A5"/>
    <w:rsid w:val="00253D16"/>
    <w:rsid w:val="00254283"/>
    <w:rsid w:val="002545D0"/>
    <w:rsid w:val="00254981"/>
    <w:rsid w:val="0025504D"/>
    <w:rsid w:val="00256EA3"/>
    <w:rsid w:val="00257204"/>
    <w:rsid w:val="00260C72"/>
    <w:rsid w:val="00260DC9"/>
    <w:rsid w:val="00261FA5"/>
    <w:rsid w:val="00263004"/>
    <w:rsid w:val="002640B8"/>
    <w:rsid w:val="00264BAB"/>
    <w:rsid w:val="00265CB0"/>
    <w:rsid w:val="00265E5A"/>
    <w:rsid w:val="0026600D"/>
    <w:rsid w:val="0026627B"/>
    <w:rsid w:val="002675BA"/>
    <w:rsid w:val="00267656"/>
    <w:rsid w:val="00267740"/>
    <w:rsid w:val="0027076C"/>
    <w:rsid w:val="00270970"/>
    <w:rsid w:val="00271191"/>
    <w:rsid w:val="00271BF6"/>
    <w:rsid w:val="00271F42"/>
    <w:rsid w:val="00273A49"/>
    <w:rsid w:val="00273BE5"/>
    <w:rsid w:val="002748A4"/>
    <w:rsid w:val="00274ABA"/>
    <w:rsid w:val="00274F1B"/>
    <w:rsid w:val="00275B84"/>
    <w:rsid w:val="00275CD3"/>
    <w:rsid w:val="00276040"/>
    <w:rsid w:val="00276503"/>
    <w:rsid w:val="00276B23"/>
    <w:rsid w:val="00277639"/>
    <w:rsid w:val="00277BCF"/>
    <w:rsid w:val="00277C86"/>
    <w:rsid w:val="00277CE1"/>
    <w:rsid w:val="00283277"/>
    <w:rsid w:val="00283383"/>
    <w:rsid w:val="002834C1"/>
    <w:rsid w:val="00283D2C"/>
    <w:rsid w:val="00283F10"/>
    <w:rsid w:val="002848A8"/>
    <w:rsid w:val="00284EE7"/>
    <w:rsid w:val="00286051"/>
    <w:rsid w:val="00286994"/>
    <w:rsid w:val="00286D64"/>
    <w:rsid w:val="00287A6C"/>
    <w:rsid w:val="00287AB0"/>
    <w:rsid w:val="0029014B"/>
    <w:rsid w:val="002903BE"/>
    <w:rsid w:val="00290DF2"/>
    <w:rsid w:val="0029136A"/>
    <w:rsid w:val="00291525"/>
    <w:rsid w:val="00291CDB"/>
    <w:rsid w:val="0029244B"/>
    <w:rsid w:val="00292473"/>
    <w:rsid w:val="002931E9"/>
    <w:rsid w:val="00293F69"/>
    <w:rsid w:val="0029403E"/>
    <w:rsid w:val="002940A9"/>
    <w:rsid w:val="00294230"/>
    <w:rsid w:val="00294679"/>
    <w:rsid w:val="002947AA"/>
    <w:rsid w:val="00295330"/>
    <w:rsid w:val="00295B2C"/>
    <w:rsid w:val="00295F4E"/>
    <w:rsid w:val="00297594"/>
    <w:rsid w:val="002A07BB"/>
    <w:rsid w:val="002A0CEE"/>
    <w:rsid w:val="002A1104"/>
    <w:rsid w:val="002A1882"/>
    <w:rsid w:val="002A2459"/>
    <w:rsid w:val="002A2597"/>
    <w:rsid w:val="002A2667"/>
    <w:rsid w:val="002A3726"/>
    <w:rsid w:val="002A399F"/>
    <w:rsid w:val="002A3F48"/>
    <w:rsid w:val="002A5E32"/>
    <w:rsid w:val="002A6238"/>
    <w:rsid w:val="002A628F"/>
    <w:rsid w:val="002A62DA"/>
    <w:rsid w:val="002A68EC"/>
    <w:rsid w:val="002A6B31"/>
    <w:rsid w:val="002A6FF8"/>
    <w:rsid w:val="002A7432"/>
    <w:rsid w:val="002A7F73"/>
    <w:rsid w:val="002B04E9"/>
    <w:rsid w:val="002B0AC0"/>
    <w:rsid w:val="002B0BC4"/>
    <w:rsid w:val="002B0E86"/>
    <w:rsid w:val="002B0EA4"/>
    <w:rsid w:val="002B134C"/>
    <w:rsid w:val="002B1371"/>
    <w:rsid w:val="002B1771"/>
    <w:rsid w:val="002B1944"/>
    <w:rsid w:val="002B3A77"/>
    <w:rsid w:val="002B3F4C"/>
    <w:rsid w:val="002B41F2"/>
    <w:rsid w:val="002B4669"/>
    <w:rsid w:val="002B48AF"/>
    <w:rsid w:val="002B5470"/>
    <w:rsid w:val="002B6811"/>
    <w:rsid w:val="002B6E58"/>
    <w:rsid w:val="002B6E5C"/>
    <w:rsid w:val="002B71D5"/>
    <w:rsid w:val="002B74E3"/>
    <w:rsid w:val="002B79E5"/>
    <w:rsid w:val="002C1377"/>
    <w:rsid w:val="002C2F5D"/>
    <w:rsid w:val="002C32DD"/>
    <w:rsid w:val="002C3E98"/>
    <w:rsid w:val="002C439A"/>
    <w:rsid w:val="002C5012"/>
    <w:rsid w:val="002C512E"/>
    <w:rsid w:val="002C6095"/>
    <w:rsid w:val="002C7EB6"/>
    <w:rsid w:val="002D055A"/>
    <w:rsid w:val="002D0B22"/>
    <w:rsid w:val="002D3B1F"/>
    <w:rsid w:val="002D3E95"/>
    <w:rsid w:val="002D437C"/>
    <w:rsid w:val="002D515E"/>
    <w:rsid w:val="002D698E"/>
    <w:rsid w:val="002D6FB9"/>
    <w:rsid w:val="002D74E4"/>
    <w:rsid w:val="002D74EB"/>
    <w:rsid w:val="002D7C40"/>
    <w:rsid w:val="002D7F32"/>
    <w:rsid w:val="002D7FCD"/>
    <w:rsid w:val="002E0D8C"/>
    <w:rsid w:val="002E18D9"/>
    <w:rsid w:val="002E1F44"/>
    <w:rsid w:val="002E2E26"/>
    <w:rsid w:val="002E3987"/>
    <w:rsid w:val="002E3BA1"/>
    <w:rsid w:val="002E3EB2"/>
    <w:rsid w:val="002E4700"/>
    <w:rsid w:val="002E5000"/>
    <w:rsid w:val="002E529E"/>
    <w:rsid w:val="002E59D5"/>
    <w:rsid w:val="002E5E9E"/>
    <w:rsid w:val="002E6D16"/>
    <w:rsid w:val="002E7850"/>
    <w:rsid w:val="002E7898"/>
    <w:rsid w:val="002F063A"/>
    <w:rsid w:val="002F2140"/>
    <w:rsid w:val="002F278D"/>
    <w:rsid w:val="002F3284"/>
    <w:rsid w:val="002F3D89"/>
    <w:rsid w:val="002F4C1F"/>
    <w:rsid w:val="002F4F04"/>
    <w:rsid w:val="002F625A"/>
    <w:rsid w:val="002F65E3"/>
    <w:rsid w:val="002F6918"/>
    <w:rsid w:val="002F6BDF"/>
    <w:rsid w:val="003002C7"/>
    <w:rsid w:val="0030079D"/>
    <w:rsid w:val="003016A5"/>
    <w:rsid w:val="003018EA"/>
    <w:rsid w:val="00302265"/>
    <w:rsid w:val="00302E9B"/>
    <w:rsid w:val="00303522"/>
    <w:rsid w:val="00304200"/>
    <w:rsid w:val="003042A6"/>
    <w:rsid w:val="003049B5"/>
    <w:rsid w:val="00304C34"/>
    <w:rsid w:val="00304DC9"/>
    <w:rsid w:val="00305F1F"/>
    <w:rsid w:val="0030600F"/>
    <w:rsid w:val="00306234"/>
    <w:rsid w:val="0030761E"/>
    <w:rsid w:val="00307E83"/>
    <w:rsid w:val="0031001D"/>
    <w:rsid w:val="0031057C"/>
    <w:rsid w:val="0031095C"/>
    <w:rsid w:val="00310A20"/>
    <w:rsid w:val="00310D3F"/>
    <w:rsid w:val="00311907"/>
    <w:rsid w:val="00312992"/>
    <w:rsid w:val="00313E44"/>
    <w:rsid w:val="00314252"/>
    <w:rsid w:val="00314542"/>
    <w:rsid w:val="003151A4"/>
    <w:rsid w:val="00315263"/>
    <w:rsid w:val="0031538A"/>
    <w:rsid w:val="0031558F"/>
    <w:rsid w:val="003156AB"/>
    <w:rsid w:val="00315776"/>
    <w:rsid w:val="0031585D"/>
    <w:rsid w:val="00315B97"/>
    <w:rsid w:val="0031644B"/>
    <w:rsid w:val="00316508"/>
    <w:rsid w:val="00317A70"/>
    <w:rsid w:val="00317C23"/>
    <w:rsid w:val="003203BC"/>
    <w:rsid w:val="00320F07"/>
    <w:rsid w:val="00321287"/>
    <w:rsid w:val="0032187A"/>
    <w:rsid w:val="0032344F"/>
    <w:rsid w:val="00323B7A"/>
    <w:rsid w:val="0032400E"/>
    <w:rsid w:val="003246D6"/>
    <w:rsid w:val="003250C8"/>
    <w:rsid w:val="003252CD"/>
    <w:rsid w:val="0032539A"/>
    <w:rsid w:val="00325561"/>
    <w:rsid w:val="0032566D"/>
    <w:rsid w:val="00325AF0"/>
    <w:rsid w:val="003269A2"/>
    <w:rsid w:val="00326D8E"/>
    <w:rsid w:val="00327E19"/>
    <w:rsid w:val="0033053F"/>
    <w:rsid w:val="00330C9D"/>
    <w:rsid w:val="003311D2"/>
    <w:rsid w:val="00331318"/>
    <w:rsid w:val="00331890"/>
    <w:rsid w:val="00331A32"/>
    <w:rsid w:val="003320E1"/>
    <w:rsid w:val="00332473"/>
    <w:rsid w:val="00332A10"/>
    <w:rsid w:val="00333D93"/>
    <w:rsid w:val="00333FA9"/>
    <w:rsid w:val="0033437A"/>
    <w:rsid w:val="00334BD1"/>
    <w:rsid w:val="00335168"/>
    <w:rsid w:val="0033553D"/>
    <w:rsid w:val="00335674"/>
    <w:rsid w:val="00336C86"/>
    <w:rsid w:val="00336EFC"/>
    <w:rsid w:val="00340E3B"/>
    <w:rsid w:val="003412B3"/>
    <w:rsid w:val="003419BC"/>
    <w:rsid w:val="00341A34"/>
    <w:rsid w:val="00341B74"/>
    <w:rsid w:val="00341C2B"/>
    <w:rsid w:val="0034268C"/>
    <w:rsid w:val="00342763"/>
    <w:rsid w:val="003428C4"/>
    <w:rsid w:val="00342CEA"/>
    <w:rsid w:val="003430EC"/>
    <w:rsid w:val="00343142"/>
    <w:rsid w:val="00343408"/>
    <w:rsid w:val="0034347D"/>
    <w:rsid w:val="00343CCF"/>
    <w:rsid w:val="00343CEB"/>
    <w:rsid w:val="00343DAE"/>
    <w:rsid w:val="003440DF"/>
    <w:rsid w:val="00344131"/>
    <w:rsid w:val="00344ADD"/>
    <w:rsid w:val="0034574F"/>
    <w:rsid w:val="00345863"/>
    <w:rsid w:val="00345B1B"/>
    <w:rsid w:val="00346079"/>
    <w:rsid w:val="00346A0E"/>
    <w:rsid w:val="00346BF3"/>
    <w:rsid w:val="003473FC"/>
    <w:rsid w:val="00347EB7"/>
    <w:rsid w:val="0035044C"/>
    <w:rsid w:val="00351B3C"/>
    <w:rsid w:val="0035298A"/>
    <w:rsid w:val="00352BC5"/>
    <w:rsid w:val="00352E80"/>
    <w:rsid w:val="0035367C"/>
    <w:rsid w:val="00353ABE"/>
    <w:rsid w:val="00353EA3"/>
    <w:rsid w:val="00354AE4"/>
    <w:rsid w:val="00354B41"/>
    <w:rsid w:val="003553B3"/>
    <w:rsid w:val="0035568F"/>
    <w:rsid w:val="00356C6B"/>
    <w:rsid w:val="00357C6A"/>
    <w:rsid w:val="003606CC"/>
    <w:rsid w:val="00360DDD"/>
    <w:rsid w:val="003613FB"/>
    <w:rsid w:val="0036155F"/>
    <w:rsid w:val="00361848"/>
    <w:rsid w:val="00364887"/>
    <w:rsid w:val="00364CC4"/>
    <w:rsid w:val="003654FF"/>
    <w:rsid w:val="0036576D"/>
    <w:rsid w:val="003674DE"/>
    <w:rsid w:val="003676D7"/>
    <w:rsid w:val="00367C69"/>
    <w:rsid w:val="00370702"/>
    <w:rsid w:val="00370844"/>
    <w:rsid w:val="00370C89"/>
    <w:rsid w:val="00371149"/>
    <w:rsid w:val="0037185D"/>
    <w:rsid w:val="00371A91"/>
    <w:rsid w:val="0037233E"/>
    <w:rsid w:val="00373639"/>
    <w:rsid w:val="0037381A"/>
    <w:rsid w:val="00373D7C"/>
    <w:rsid w:val="003743C6"/>
    <w:rsid w:val="003747DA"/>
    <w:rsid w:val="00374DE0"/>
    <w:rsid w:val="00375C84"/>
    <w:rsid w:val="00375D32"/>
    <w:rsid w:val="00375E9D"/>
    <w:rsid w:val="0037642F"/>
    <w:rsid w:val="0037678E"/>
    <w:rsid w:val="00376C12"/>
    <w:rsid w:val="003800BC"/>
    <w:rsid w:val="00380FDB"/>
    <w:rsid w:val="00381AEB"/>
    <w:rsid w:val="00381EE6"/>
    <w:rsid w:val="003829BB"/>
    <w:rsid w:val="00382D58"/>
    <w:rsid w:val="00382E9B"/>
    <w:rsid w:val="00383B16"/>
    <w:rsid w:val="00383F6A"/>
    <w:rsid w:val="003849E4"/>
    <w:rsid w:val="00386021"/>
    <w:rsid w:val="00386A40"/>
    <w:rsid w:val="00386F92"/>
    <w:rsid w:val="00387D57"/>
    <w:rsid w:val="00387DB5"/>
    <w:rsid w:val="00387DC7"/>
    <w:rsid w:val="00387ECF"/>
    <w:rsid w:val="00390D88"/>
    <w:rsid w:val="00391583"/>
    <w:rsid w:val="00392757"/>
    <w:rsid w:val="00392AE7"/>
    <w:rsid w:val="00392B64"/>
    <w:rsid w:val="0039315B"/>
    <w:rsid w:val="0039500B"/>
    <w:rsid w:val="00395612"/>
    <w:rsid w:val="0039593B"/>
    <w:rsid w:val="00395949"/>
    <w:rsid w:val="00395D97"/>
    <w:rsid w:val="0039637D"/>
    <w:rsid w:val="00396642"/>
    <w:rsid w:val="00396BFD"/>
    <w:rsid w:val="00396E49"/>
    <w:rsid w:val="003977EC"/>
    <w:rsid w:val="00397EE6"/>
    <w:rsid w:val="003A0669"/>
    <w:rsid w:val="003A06BE"/>
    <w:rsid w:val="003A0DBC"/>
    <w:rsid w:val="003A1510"/>
    <w:rsid w:val="003A16A6"/>
    <w:rsid w:val="003A1A0D"/>
    <w:rsid w:val="003A2A51"/>
    <w:rsid w:val="003A3194"/>
    <w:rsid w:val="003A3DB9"/>
    <w:rsid w:val="003A5018"/>
    <w:rsid w:val="003A5BDA"/>
    <w:rsid w:val="003A67B1"/>
    <w:rsid w:val="003A7099"/>
    <w:rsid w:val="003A72B9"/>
    <w:rsid w:val="003B08CF"/>
    <w:rsid w:val="003B0977"/>
    <w:rsid w:val="003B09AA"/>
    <w:rsid w:val="003B0B39"/>
    <w:rsid w:val="003B128B"/>
    <w:rsid w:val="003B18DF"/>
    <w:rsid w:val="003B2D27"/>
    <w:rsid w:val="003B3182"/>
    <w:rsid w:val="003B347C"/>
    <w:rsid w:val="003B34DC"/>
    <w:rsid w:val="003B35C9"/>
    <w:rsid w:val="003B3CB1"/>
    <w:rsid w:val="003B3FB8"/>
    <w:rsid w:val="003B4010"/>
    <w:rsid w:val="003B45C8"/>
    <w:rsid w:val="003B653F"/>
    <w:rsid w:val="003B65ED"/>
    <w:rsid w:val="003B74CD"/>
    <w:rsid w:val="003B7BFF"/>
    <w:rsid w:val="003C07BC"/>
    <w:rsid w:val="003C0D9F"/>
    <w:rsid w:val="003C1CB1"/>
    <w:rsid w:val="003C1FA0"/>
    <w:rsid w:val="003C2292"/>
    <w:rsid w:val="003C2C8B"/>
    <w:rsid w:val="003C32DC"/>
    <w:rsid w:val="003C4067"/>
    <w:rsid w:val="003C49CE"/>
    <w:rsid w:val="003C4A57"/>
    <w:rsid w:val="003C5E1B"/>
    <w:rsid w:val="003C5EB7"/>
    <w:rsid w:val="003C6245"/>
    <w:rsid w:val="003C633B"/>
    <w:rsid w:val="003C63F9"/>
    <w:rsid w:val="003C6485"/>
    <w:rsid w:val="003C7159"/>
    <w:rsid w:val="003C7640"/>
    <w:rsid w:val="003C7B00"/>
    <w:rsid w:val="003C7E5E"/>
    <w:rsid w:val="003D0239"/>
    <w:rsid w:val="003D06D2"/>
    <w:rsid w:val="003D1F12"/>
    <w:rsid w:val="003D437F"/>
    <w:rsid w:val="003D5ADF"/>
    <w:rsid w:val="003D6BA2"/>
    <w:rsid w:val="003D70D7"/>
    <w:rsid w:val="003D76DF"/>
    <w:rsid w:val="003D7F3C"/>
    <w:rsid w:val="003E06D6"/>
    <w:rsid w:val="003E06F4"/>
    <w:rsid w:val="003E0B17"/>
    <w:rsid w:val="003E1253"/>
    <w:rsid w:val="003E129E"/>
    <w:rsid w:val="003E15DB"/>
    <w:rsid w:val="003E1D0F"/>
    <w:rsid w:val="003E2A35"/>
    <w:rsid w:val="003E4118"/>
    <w:rsid w:val="003E464B"/>
    <w:rsid w:val="003E555B"/>
    <w:rsid w:val="003E6CCD"/>
    <w:rsid w:val="003E7507"/>
    <w:rsid w:val="003E78C6"/>
    <w:rsid w:val="003E7E41"/>
    <w:rsid w:val="003E7ED0"/>
    <w:rsid w:val="003F0BF4"/>
    <w:rsid w:val="003F0F80"/>
    <w:rsid w:val="003F1B7F"/>
    <w:rsid w:val="003F25A6"/>
    <w:rsid w:val="003F2988"/>
    <w:rsid w:val="003F4A32"/>
    <w:rsid w:val="003F5104"/>
    <w:rsid w:val="003F67DF"/>
    <w:rsid w:val="003F7110"/>
    <w:rsid w:val="00400957"/>
    <w:rsid w:val="004017CF"/>
    <w:rsid w:val="00401BAD"/>
    <w:rsid w:val="004020CA"/>
    <w:rsid w:val="00402F6B"/>
    <w:rsid w:val="00403366"/>
    <w:rsid w:val="00403406"/>
    <w:rsid w:val="004041F2"/>
    <w:rsid w:val="00404568"/>
    <w:rsid w:val="00404597"/>
    <w:rsid w:val="004049D5"/>
    <w:rsid w:val="00404FE2"/>
    <w:rsid w:val="0040569E"/>
    <w:rsid w:val="004060DF"/>
    <w:rsid w:val="0040637E"/>
    <w:rsid w:val="00406D12"/>
    <w:rsid w:val="0040722D"/>
    <w:rsid w:val="004108AB"/>
    <w:rsid w:val="00410B15"/>
    <w:rsid w:val="00410B96"/>
    <w:rsid w:val="00411BC0"/>
    <w:rsid w:val="00411DA4"/>
    <w:rsid w:val="00411FE7"/>
    <w:rsid w:val="00412253"/>
    <w:rsid w:val="00413842"/>
    <w:rsid w:val="00414581"/>
    <w:rsid w:val="00415486"/>
    <w:rsid w:val="004166AF"/>
    <w:rsid w:val="00416DB3"/>
    <w:rsid w:val="00416FEB"/>
    <w:rsid w:val="0041786B"/>
    <w:rsid w:val="00417E62"/>
    <w:rsid w:val="0042106E"/>
    <w:rsid w:val="00421BB4"/>
    <w:rsid w:val="00422026"/>
    <w:rsid w:val="004226BB"/>
    <w:rsid w:val="004227B5"/>
    <w:rsid w:val="00423087"/>
    <w:rsid w:val="0042344B"/>
    <w:rsid w:val="00424B2C"/>
    <w:rsid w:val="00424D4C"/>
    <w:rsid w:val="004255CB"/>
    <w:rsid w:val="004259A1"/>
    <w:rsid w:val="00426808"/>
    <w:rsid w:val="00430A5E"/>
    <w:rsid w:val="00430B3B"/>
    <w:rsid w:val="00431D31"/>
    <w:rsid w:val="0043237D"/>
    <w:rsid w:val="00432759"/>
    <w:rsid w:val="00432B3E"/>
    <w:rsid w:val="00433342"/>
    <w:rsid w:val="00433665"/>
    <w:rsid w:val="004345FB"/>
    <w:rsid w:val="00434D9A"/>
    <w:rsid w:val="004350FC"/>
    <w:rsid w:val="0043512D"/>
    <w:rsid w:val="004352AB"/>
    <w:rsid w:val="004357D3"/>
    <w:rsid w:val="0043590E"/>
    <w:rsid w:val="00436656"/>
    <w:rsid w:val="00436ED0"/>
    <w:rsid w:val="00437043"/>
    <w:rsid w:val="00437926"/>
    <w:rsid w:val="0044041F"/>
    <w:rsid w:val="00440A32"/>
    <w:rsid w:val="00440F51"/>
    <w:rsid w:val="00441124"/>
    <w:rsid w:val="00441165"/>
    <w:rsid w:val="0044218D"/>
    <w:rsid w:val="004423B7"/>
    <w:rsid w:val="00442836"/>
    <w:rsid w:val="00443A56"/>
    <w:rsid w:val="004445AC"/>
    <w:rsid w:val="004446C5"/>
    <w:rsid w:val="0044471C"/>
    <w:rsid w:val="00444AC4"/>
    <w:rsid w:val="00444B1D"/>
    <w:rsid w:val="004455E1"/>
    <w:rsid w:val="00445B46"/>
    <w:rsid w:val="00446050"/>
    <w:rsid w:val="0044648E"/>
    <w:rsid w:val="00446F5C"/>
    <w:rsid w:val="00450386"/>
    <w:rsid w:val="004505E9"/>
    <w:rsid w:val="004505FA"/>
    <w:rsid w:val="004515F9"/>
    <w:rsid w:val="00451AF7"/>
    <w:rsid w:val="00451CEC"/>
    <w:rsid w:val="004520C2"/>
    <w:rsid w:val="00452B5A"/>
    <w:rsid w:val="00452C93"/>
    <w:rsid w:val="00453D75"/>
    <w:rsid w:val="00454280"/>
    <w:rsid w:val="00455846"/>
    <w:rsid w:val="00455AAB"/>
    <w:rsid w:val="00456966"/>
    <w:rsid w:val="00456CF9"/>
    <w:rsid w:val="00457164"/>
    <w:rsid w:val="00457592"/>
    <w:rsid w:val="00460A90"/>
    <w:rsid w:val="0046116B"/>
    <w:rsid w:val="00461C19"/>
    <w:rsid w:val="00462670"/>
    <w:rsid w:val="00462787"/>
    <w:rsid w:val="00463758"/>
    <w:rsid w:val="004644E7"/>
    <w:rsid w:val="00464FD5"/>
    <w:rsid w:val="004653F8"/>
    <w:rsid w:val="004658E5"/>
    <w:rsid w:val="00465ACE"/>
    <w:rsid w:val="00466D59"/>
    <w:rsid w:val="00467883"/>
    <w:rsid w:val="00467C7A"/>
    <w:rsid w:val="00470267"/>
    <w:rsid w:val="004702CE"/>
    <w:rsid w:val="00470A4F"/>
    <w:rsid w:val="004728BC"/>
    <w:rsid w:val="004738F5"/>
    <w:rsid w:val="004743A1"/>
    <w:rsid w:val="00477C47"/>
    <w:rsid w:val="00480C20"/>
    <w:rsid w:val="004810AA"/>
    <w:rsid w:val="00481550"/>
    <w:rsid w:val="00481A79"/>
    <w:rsid w:val="00482971"/>
    <w:rsid w:val="0048354B"/>
    <w:rsid w:val="00483693"/>
    <w:rsid w:val="00483F3A"/>
    <w:rsid w:val="004840C1"/>
    <w:rsid w:val="0048527E"/>
    <w:rsid w:val="004852CB"/>
    <w:rsid w:val="00485B2B"/>
    <w:rsid w:val="00485E35"/>
    <w:rsid w:val="00486B15"/>
    <w:rsid w:val="00487579"/>
    <w:rsid w:val="00487C71"/>
    <w:rsid w:val="00490955"/>
    <w:rsid w:val="00490982"/>
    <w:rsid w:val="00490E85"/>
    <w:rsid w:val="00491439"/>
    <w:rsid w:val="004917A2"/>
    <w:rsid w:val="004919A2"/>
    <w:rsid w:val="00492BE8"/>
    <w:rsid w:val="00492FCC"/>
    <w:rsid w:val="0049358F"/>
    <w:rsid w:val="00493823"/>
    <w:rsid w:val="0049421D"/>
    <w:rsid w:val="00494579"/>
    <w:rsid w:val="0049481B"/>
    <w:rsid w:val="00496816"/>
    <w:rsid w:val="004A0514"/>
    <w:rsid w:val="004A0EB6"/>
    <w:rsid w:val="004A1383"/>
    <w:rsid w:val="004A1B72"/>
    <w:rsid w:val="004A22AC"/>
    <w:rsid w:val="004A4322"/>
    <w:rsid w:val="004A4DDF"/>
    <w:rsid w:val="004A4DEA"/>
    <w:rsid w:val="004A5762"/>
    <w:rsid w:val="004A5D5A"/>
    <w:rsid w:val="004A71D9"/>
    <w:rsid w:val="004A7589"/>
    <w:rsid w:val="004A7A00"/>
    <w:rsid w:val="004B0A62"/>
    <w:rsid w:val="004B0EFD"/>
    <w:rsid w:val="004B190B"/>
    <w:rsid w:val="004B324B"/>
    <w:rsid w:val="004B32B9"/>
    <w:rsid w:val="004B3EE6"/>
    <w:rsid w:val="004B4C5C"/>
    <w:rsid w:val="004B4E5D"/>
    <w:rsid w:val="004B598B"/>
    <w:rsid w:val="004B5DE5"/>
    <w:rsid w:val="004B5F5A"/>
    <w:rsid w:val="004B6832"/>
    <w:rsid w:val="004B6933"/>
    <w:rsid w:val="004B7260"/>
    <w:rsid w:val="004B7865"/>
    <w:rsid w:val="004C049B"/>
    <w:rsid w:val="004C0580"/>
    <w:rsid w:val="004C0C1D"/>
    <w:rsid w:val="004C0C72"/>
    <w:rsid w:val="004C0FD9"/>
    <w:rsid w:val="004C14A2"/>
    <w:rsid w:val="004C17DD"/>
    <w:rsid w:val="004C1913"/>
    <w:rsid w:val="004C1EF0"/>
    <w:rsid w:val="004C282B"/>
    <w:rsid w:val="004C29C4"/>
    <w:rsid w:val="004C2AA9"/>
    <w:rsid w:val="004C2CC9"/>
    <w:rsid w:val="004C321B"/>
    <w:rsid w:val="004C3A56"/>
    <w:rsid w:val="004C3DE9"/>
    <w:rsid w:val="004C3F91"/>
    <w:rsid w:val="004C3FEA"/>
    <w:rsid w:val="004C4578"/>
    <w:rsid w:val="004C52B5"/>
    <w:rsid w:val="004C5848"/>
    <w:rsid w:val="004C6216"/>
    <w:rsid w:val="004C6304"/>
    <w:rsid w:val="004C6D2C"/>
    <w:rsid w:val="004C6E36"/>
    <w:rsid w:val="004C7933"/>
    <w:rsid w:val="004C7EAD"/>
    <w:rsid w:val="004D01B0"/>
    <w:rsid w:val="004D1714"/>
    <w:rsid w:val="004D1A51"/>
    <w:rsid w:val="004D1C77"/>
    <w:rsid w:val="004D2B94"/>
    <w:rsid w:val="004D3337"/>
    <w:rsid w:val="004D3B03"/>
    <w:rsid w:val="004D3CF9"/>
    <w:rsid w:val="004D481D"/>
    <w:rsid w:val="004D4B7F"/>
    <w:rsid w:val="004D4FF1"/>
    <w:rsid w:val="004D542F"/>
    <w:rsid w:val="004D5BD9"/>
    <w:rsid w:val="004D62CA"/>
    <w:rsid w:val="004D6E4D"/>
    <w:rsid w:val="004D6EA8"/>
    <w:rsid w:val="004D716C"/>
    <w:rsid w:val="004D72FF"/>
    <w:rsid w:val="004D7841"/>
    <w:rsid w:val="004D7B1F"/>
    <w:rsid w:val="004D7E2C"/>
    <w:rsid w:val="004D7E4C"/>
    <w:rsid w:val="004E0165"/>
    <w:rsid w:val="004E0380"/>
    <w:rsid w:val="004E0BE2"/>
    <w:rsid w:val="004E1040"/>
    <w:rsid w:val="004E1206"/>
    <w:rsid w:val="004E13B9"/>
    <w:rsid w:val="004E1538"/>
    <w:rsid w:val="004E16DC"/>
    <w:rsid w:val="004E1D7A"/>
    <w:rsid w:val="004E286A"/>
    <w:rsid w:val="004E2A22"/>
    <w:rsid w:val="004E3104"/>
    <w:rsid w:val="004E3DFF"/>
    <w:rsid w:val="004E5670"/>
    <w:rsid w:val="004E580E"/>
    <w:rsid w:val="004E70C4"/>
    <w:rsid w:val="004E75B1"/>
    <w:rsid w:val="004E75E4"/>
    <w:rsid w:val="004F0374"/>
    <w:rsid w:val="004F1752"/>
    <w:rsid w:val="004F1B79"/>
    <w:rsid w:val="004F1F81"/>
    <w:rsid w:val="004F2625"/>
    <w:rsid w:val="004F2E36"/>
    <w:rsid w:val="004F3696"/>
    <w:rsid w:val="004F4B48"/>
    <w:rsid w:val="004F4CD7"/>
    <w:rsid w:val="004F4E58"/>
    <w:rsid w:val="004F4E87"/>
    <w:rsid w:val="004F583E"/>
    <w:rsid w:val="004F65CA"/>
    <w:rsid w:val="004F689E"/>
    <w:rsid w:val="004F6C2E"/>
    <w:rsid w:val="004F6C49"/>
    <w:rsid w:val="004F7915"/>
    <w:rsid w:val="004F7D3A"/>
    <w:rsid w:val="005028C2"/>
    <w:rsid w:val="00502F56"/>
    <w:rsid w:val="0050305B"/>
    <w:rsid w:val="0050329B"/>
    <w:rsid w:val="00504412"/>
    <w:rsid w:val="00504D54"/>
    <w:rsid w:val="00504E5F"/>
    <w:rsid w:val="00505103"/>
    <w:rsid w:val="00505C4E"/>
    <w:rsid w:val="00505CBB"/>
    <w:rsid w:val="00506FFE"/>
    <w:rsid w:val="005074F1"/>
    <w:rsid w:val="005075EF"/>
    <w:rsid w:val="005102F5"/>
    <w:rsid w:val="00510414"/>
    <w:rsid w:val="00510AE5"/>
    <w:rsid w:val="0051145D"/>
    <w:rsid w:val="00512152"/>
    <w:rsid w:val="00512483"/>
    <w:rsid w:val="0051257D"/>
    <w:rsid w:val="005128F5"/>
    <w:rsid w:val="00512E8B"/>
    <w:rsid w:val="00513152"/>
    <w:rsid w:val="00513BBC"/>
    <w:rsid w:val="00513CBA"/>
    <w:rsid w:val="00513EE2"/>
    <w:rsid w:val="005140A0"/>
    <w:rsid w:val="005157ED"/>
    <w:rsid w:val="0051644C"/>
    <w:rsid w:val="00516DC6"/>
    <w:rsid w:val="00520939"/>
    <w:rsid w:val="005209E2"/>
    <w:rsid w:val="00520A34"/>
    <w:rsid w:val="00520B0E"/>
    <w:rsid w:val="00522B18"/>
    <w:rsid w:val="00522C36"/>
    <w:rsid w:val="0052458C"/>
    <w:rsid w:val="0052464D"/>
    <w:rsid w:val="005255B2"/>
    <w:rsid w:val="00525A90"/>
    <w:rsid w:val="00525D4A"/>
    <w:rsid w:val="00527764"/>
    <w:rsid w:val="00527E7C"/>
    <w:rsid w:val="005308CA"/>
    <w:rsid w:val="005311E2"/>
    <w:rsid w:val="00531280"/>
    <w:rsid w:val="0053140A"/>
    <w:rsid w:val="00531531"/>
    <w:rsid w:val="005316FA"/>
    <w:rsid w:val="005320B7"/>
    <w:rsid w:val="00532115"/>
    <w:rsid w:val="00532A8C"/>
    <w:rsid w:val="00532F5D"/>
    <w:rsid w:val="00532FE4"/>
    <w:rsid w:val="00533300"/>
    <w:rsid w:val="005336B2"/>
    <w:rsid w:val="0053375A"/>
    <w:rsid w:val="00533998"/>
    <w:rsid w:val="00533CA4"/>
    <w:rsid w:val="00533CE4"/>
    <w:rsid w:val="00534A02"/>
    <w:rsid w:val="005352E7"/>
    <w:rsid w:val="00535547"/>
    <w:rsid w:val="005360DB"/>
    <w:rsid w:val="00536191"/>
    <w:rsid w:val="005365FF"/>
    <w:rsid w:val="005401C5"/>
    <w:rsid w:val="0054054E"/>
    <w:rsid w:val="0054107A"/>
    <w:rsid w:val="00541E5F"/>
    <w:rsid w:val="0054232A"/>
    <w:rsid w:val="005426B1"/>
    <w:rsid w:val="00542F11"/>
    <w:rsid w:val="00543626"/>
    <w:rsid w:val="00544041"/>
    <w:rsid w:val="00544A0C"/>
    <w:rsid w:val="00544CF4"/>
    <w:rsid w:val="005452AC"/>
    <w:rsid w:val="00545A7A"/>
    <w:rsid w:val="00546B58"/>
    <w:rsid w:val="005504BE"/>
    <w:rsid w:val="00552419"/>
    <w:rsid w:val="0055290B"/>
    <w:rsid w:val="00552AD2"/>
    <w:rsid w:val="00552C44"/>
    <w:rsid w:val="005532DD"/>
    <w:rsid w:val="00553617"/>
    <w:rsid w:val="005536B6"/>
    <w:rsid w:val="005538E4"/>
    <w:rsid w:val="00553E9A"/>
    <w:rsid w:val="00553F20"/>
    <w:rsid w:val="00553F97"/>
    <w:rsid w:val="00554305"/>
    <w:rsid w:val="0055472A"/>
    <w:rsid w:val="00554C81"/>
    <w:rsid w:val="00554CCC"/>
    <w:rsid w:val="0055570E"/>
    <w:rsid w:val="00555A68"/>
    <w:rsid w:val="00555F82"/>
    <w:rsid w:val="0055696C"/>
    <w:rsid w:val="00556AB7"/>
    <w:rsid w:val="00557456"/>
    <w:rsid w:val="0055786B"/>
    <w:rsid w:val="0056221B"/>
    <w:rsid w:val="005626DF"/>
    <w:rsid w:val="005629CE"/>
    <w:rsid w:val="00562C00"/>
    <w:rsid w:val="00562D67"/>
    <w:rsid w:val="00562EFB"/>
    <w:rsid w:val="005630AA"/>
    <w:rsid w:val="00563839"/>
    <w:rsid w:val="00563E0F"/>
    <w:rsid w:val="00564142"/>
    <w:rsid w:val="0056471F"/>
    <w:rsid w:val="005659E0"/>
    <w:rsid w:val="00567236"/>
    <w:rsid w:val="005675B5"/>
    <w:rsid w:val="00567859"/>
    <w:rsid w:val="0057138B"/>
    <w:rsid w:val="00571A77"/>
    <w:rsid w:val="00571C0C"/>
    <w:rsid w:val="0057267D"/>
    <w:rsid w:val="00572EDD"/>
    <w:rsid w:val="00573042"/>
    <w:rsid w:val="005731F0"/>
    <w:rsid w:val="0057332C"/>
    <w:rsid w:val="00573E4E"/>
    <w:rsid w:val="005747D8"/>
    <w:rsid w:val="00574E89"/>
    <w:rsid w:val="00575118"/>
    <w:rsid w:val="0057596D"/>
    <w:rsid w:val="00575A58"/>
    <w:rsid w:val="00576141"/>
    <w:rsid w:val="005761CB"/>
    <w:rsid w:val="0057638B"/>
    <w:rsid w:val="00576452"/>
    <w:rsid w:val="00576AEC"/>
    <w:rsid w:val="00576B14"/>
    <w:rsid w:val="00576CCC"/>
    <w:rsid w:val="005779FE"/>
    <w:rsid w:val="00577D60"/>
    <w:rsid w:val="00577FE0"/>
    <w:rsid w:val="005801E6"/>
    <w:rsid w:val="00580E9E"/>
    <w:rsid w:val="0058206B"/>
    <w:rsid w:val="005821C7"/>
    <w:rsid w:val="00582BFA"/>
    <w:rsid w:val="00582DC4"/>
    <w:rsid w:val="00583AB3"/>
    <w:rsid w:val="00583F2D"/>
    <w:rsid w:val="00583FA6"/>
    <w:rsid w:val="005845CE"/>
    <w:rsid w:val="00585287"/>
    <w:rsid w:val="005861F2"/>
    <w:rsid w:val="00586296"/>
    <w:rsid w:val="00586E37"/>
    <w:rsid w:val="0059003E"/>
    <w:rsid w:val="005909B2"/>
    <w:rsid w:val="00590A45"/>
    <w:rsid w:val="00591B33"/>
    <w:rsid w:val="0059204A"/>
    <w:rsid w:val="005922DF"/>
    <w:rsid w:val="005922FB"/>
    <w:rsid w:val="0059230A"/>
    <w:rsid w:val="0059242E"/>
    <w:rsid w:val="0059255E"/>
    <w:rsid w:val="00592829"/>
    <w:rsid w:val="00592A7F"/>
    <w:rsid w:val="005941A2"/>
    <w:rsid w:val="005947E4"/>
    <w:rsid w:val="00595DF4"/>
    <w:rsid w:val="00595F62"/>
    <w:rsid w:val="00596051"/>
    <w:rsid w:val="005967B9"/>
    <w:rsid w:val="005968B2"/>
    <w:rsid w:val="00596F03"/>
    <w:rsid w:val="005A02C1"/>
    <w:rsid w:val="005A0483"/>
    <w:rsid w:val="005A1051"/>
    <w:rsid w:val="005A16CD"/>
    <w:rsid w:val="005A16E2"/>
    <w:rsid w:val="005A1D24"/>
    <w:rsid w:val="005A268A"/>
    <w:rsid w:val="005A2A0F"/>
    <w:rsid w:val="005A2A5D"/>
    <w:rsid w:val="005A2B49"/>
    <w:rsid w:val="005A37AE"/>
    <w:rsid w:val="005A39CB"/>
    <w:rsid w:val="005A5377"/>
    <w:rsid w:val="005A55BA"/>
    <w:rsid w:val="005A60B5"/>
    <w:rsid w:val="005A63A0"/>
    <w:rsid w:val="005A64FB"/>
    <w:rsid w:val="005A755C"/>
    <w:rsid w:val="005A774B"/>
    <w:rsid w:val="005A7A5E"/>
    <w:rsid w:val="005A7C2A"/>
    <w:rsid w:val="005A7DFD"/>
    <w:rsid w:val="005A7EA1"/>
    <w:rsid w:val="005A7EB3"/>
    <w:rsid w:val="005B1DE7"/>
    <w:rsid w:val="005B1F58"/>
    <w:rsid w:val="005B22E2"/>
    <w:rsid w:val="005B3588"/>
    <w:rsid w:val="005B3806"/>
    <w:rsid w:val="005B3B03"/>
    <w:rsid w:val="005B537D"/>
    <w:rsid w:val="005B62C0"/>
    <w:rsid w:val="005B655C"/>
    <w:rsid w:val="005C03ED"/>
    <w:rsid w:val="005C19DC"/>
    <w:rsid w:val="005C21B4"/>
    <w:rsid w:val="005C254E"/>
    <w:rsid w:val="005C265D"/>
    <w:rsid w:val="005C3935"/>
    <w:rsid w:val="005C3960"/>
    <w:rsid w:val="005C45D0"/>
    <w:rsid w:val="005C507E"/>
    <w:rsid w:val="005C5ADC"/>
    <w:rsid w:val="005C5B3E"/>
    <w:rsid w:val="005C5B90"/>
    <w:rsid w:val="005C65A7"/>
    <w:rsid w:val="005C6922"/>
    <w:rsid w:val="005C6C75"/>
    <w:rsid w:val="005D0397"/>
    <w:rsid w:val="005D17EF"/>
    <w:rsid w:val="005D32F9"/>
    <w:rsid w:val="005D412E"/>
    <w:rsid w:val="005D4BED"/>
    <w:rsid w:val="005D5BFD"/>
    <w:rsid w:val="005D627A"/>
    <w:rsid w:val="005D68A6"/>
    <w:rsid w:val="005D692C"/>
    <w:rsid w:val="005D6D63"/>
    <w:rsid w:val="005D6DBB"/>
    <w:rsid w:val="005D7372"/>
    <w:rsid w:val="005D76DF"/>
    <w:rsid w:val="005E00F4"/>
    <w:rsid w:val="005E01FB"/>
    <w:rsid w:val="005E08D4"/>
    <w:rsid w:val="005E0F15"/>
    <w:rsid w:val="005E188F"/>
    <w:rsid w:val="005E1CF9"/>
    <w:rsid w:val="005E26C8"/>
    <w:rsid w:val="005E28DA"/>
    <w:rsid w:val="005E2BDE"/>
    <w:rsid w:val="005E32F0"/>
    <w:rsid w:val="005E3B35"/>
    <w:rsid w:val="005E4A44"/>
    <w:rsid w:val="005E4B78"/>
    <w:rsid w:val="005E504A"/>
    <w:rsid w:val="005E59A6"/>
    <w:rsid w:val="005E5C74"/>
    <w:rsid w:val="005E627B"/>
    <w:rsid w:val="005E6BFD"/>
    <w:rsid w:val="005E79F8"/>
    <w:rsid w:val="005F0531"/>
    <w:rsid w:val="005F053E"/>
    <w:rsid w:val="005F0605"/>
    <w:rsid w:val="005F1C58"/>
    <w:rsid w:val="005F2252"/>
    <w:rsid w:val="005F22F5"/>
    <w:rsid w:val="005F2768"/>
    <w:rsid w:val="005F2C4C"/>
    <w:rsid w:val="005F308F"/>
    <w:rsid w:val="005F3C7D"/>
    <w:rsid w:val="005F3F36"/>
    <w:rsid w:val="005F417F"/>
    <w:rsid w:val="005F5040"/>
    <w:rsid w:val="005F555F"/>
    <w:rsid w:val="005F6454"/>
    <w:rsid w:val="005F6D3E"/>
    <w:rsid w:val="005F6E19"/>
    <w:rsid w:val="005F723E"/>
    <w:rsid w:val="005F7C44"/>
    <w:rsid w:val="0060006E"/>
    <w:rsid w:val="006004FD"/>
    <w:rsid w:val="00600637"/>
    <w:rsid w:val="00600723"/>
    <w:rsid w:val="00600949"/>
    <w:rsid w:val="00600DCA"/>
    <w:rsid w:val="00601C5B"/>
    <w:rsid w:val="00602421"/>
    <w:rsid w:val="00602A6E"/>
    <w:rsid w:val="006032EA"/>
    <w:rsid w:val="006035FF"/>
    <w:rsid w:val="00604856"/>
    <w:rsid w:val="006060E1"/>
    <w:rsid w:val="00610014"/>
    <w:rsid w:val="00610988"/>
    <w:rsid w:val="0061198B"/>
    <w:rsid w:val="00611AFB"/>
    <w:rsid w:val="00612926"/>
    <w:rsid w:val="0061294D"/>
    <w:rsid w:val="0061304B"/>
    <w:rsid w:val="006134DA"/>
    <w:rsid w:val="00613D03"/>
    <w:rsid w:val="00614633"/>
    <w:rsid w:val="00614D20"/>
    <w:rsid w:val="00614E82"/>
    <w:rsid w:val="00615EAF"/>
    <w:rsid w:val="00616590"/>
    <w:rsid w:val="00617251"/>
    <w:rsid w:val="0061766E"/>
    <w:rsid w:val="00617A4D"/>
    <w:rsid w:val="0062064C"/>
    <w:rsid w:val="00620AC3"/>
    <w:rsid w:val="00621194"/>
    <w:rsid w:val="006212A2"/>
    <w:rsid w:val="00621C8A"/>
    <w:rsid w:val="00621EEA"/>
    <w:rsid w:val="0062229C"/>
    <w:rsid w:val="006230A3"/>
    <w:rsid w:val="006232A3"/>
    <w:rsid w:val="00623F82"/>
    <w:rsid w:val="006241DA"/>
    <w:rsid w:val="0062459F"/>
    <w:rsid w:val="00624E50"/>
    <w:rsid w:val="00626125"/>
    <w:rsid w:val="006262FD"/>
    <w:rsid w:val="006265B9"/>
    <w:rsid w:val="00627579"/>
    <w:rsid w:val="00630172"/>
    <w:rsid w:val="0063030D"/>
    <w:rsid w:val="00630322"/>
    <w:rsid w:val="00631756"/>
    <w:rsid w:val="0063187D"/>
    <w:rsid w:val="006325BF"/>
    <w:rsid w:val="006325CF"/>
    <w:rsid w:val="00632779"/>
    <w:rsid w:val="00633C06"/>
    <w:rsid w:val="00633F6A"/>
    <w:rsid w:val="0063487E"/>
    <w:rsid w:val="00634DD3"/>
    <w:rsid w:val="00635432"/>
    <w:rsid w:val="00635612"/>
    <w:rsid w:val="00636C50"/>
    <w:rsid w:val="00640492"/>
    <w:rsid w:val="00640F2F"/>
    <w:rsid w:val="00641B5A"/>
    <w:rsid w:val="006429AC"/>
    <w:rsid w:val="00642A79"/>
    <w:rsid w:val="0064372D"/>
    <w:rsid w:val="00644641"/>
    <w:rsid w:val="0064528B"/>
    <w:rsid w:val="00645935"/>
    <w:rsid w:val="006461A9"/>
    <w:rsid w:val="006462FE"/>
    <w:rsid w:val="00646D51"/>
    <w:rsid w:val="0065006F"/>
    <w:rsid w:val="00650139"/>
    <w:rsid w:val="006508DB"/>
    <w:rsid w:val="0065130A"/>
    <w:rsid w:val="00651435"/>
    <w:rsid w:val="00651552"/>
    <w:rsid w:val="00652277"/>
    <w:rsid w:val="0065252A"/>
    <w:rsid w:val="00652BA0"/>
    <w:rsid w:val="00652DB0"/>
    <w:rsid w:val="00653F8B"/>
    <w:rsid w:val="0065415A"/>
    <w:rsid w:val="00655527"/>
    <w:rsid w:val="00656147"/>
    <w:rsid w:val="0065649C"/>
    <w:rsid w:val="00656902"/>
    <w:rsid w:val="00656F76"/>
    <w:rsid w:val="00657D4F"/>
    <w:rsid w:val="00657E61"/>
    <w:rsid w:val="006602EC"/>
    <w:rsid w:val="00660480"/>
    <w:rsid w:val="006608BE"/>
    <w:rsid w:val="006608C0"/>
    <w:rsid w:val="00660968"/>
    <w:rsid w:val="00661731"/>
    <w:rsid w:val="00661AF6"/>
    <w:rsid w:val="00661BD5"/>
    <w:rsid w:val="00661D69"/>
    <w:rsid w:val="00661F9E"/>
    <w:rsid w:val="00663160"/>
    <w:rsid w:val="00663D3F"/>
    <w:rsid w:val="00666058"/>
    <w:rsid w:val="0066724F"/>
    <w:rsid w:val="0066787E"/>
    <w:rsid w:val="00670111"/>
    <w:rsid w:val="00670154"/>
    <w:rsid w:val="00670FB5"/>
    <w:rsid w:val="006715FF"/>
    <w:rsid w:val="0067208E"/>
    <w:rsid w:val="006723D2"/>
    <w:rsid w:val="006726A2"/>
    <w:rsid w:val="00672764"/>
    <w:rsid w:val="00672B95"/>
    <w:rsid w:val="00672CFC"/>
    <w:rsid w:val="0067307F"/>
    <w:rsid w:val="0067342A"/>
    <w:rsid w:val="00674B8C"/>
    <w:rsid w:val="00674D66"/>
    <w:rsid w:val="00676115"/>
    <w:rsid w:val="006769D2"/>
    <w:rsid w:val="00676D79"/>
    <w:rsid w:val="00676EDB"/>
    <w:rsid w:val="00677534"/>
    <w:rsid w:val="00677EA4"/>
    <w:rsid w:val="006806F1"/>
    <w:rsid w:val="00680F67"/>
    <w:rsid w:val="00681AAC"/>
    <w:rsid w:val="00681B27"/>
    <w:rsid w:val="00681B2B"/>
    <w:rsid w:val="00681E72"/>
    <w:rsid w:val="006826B4"/>
    <w:rsid w:val="0068272F"/>
    <w:rsid w:val="00683353"/>
    <w:rsid w:val="00685233"/>
    <w:rsid w:val="00685269"/>
    <w:rsid w:val="00685A15"/>
    <w:rsid w:val="00685A37"/>
    <w:rsid w:val="00685B68"/>
    <w:rsid w:val="00686161"/>
    <w:rsid w:val="00686453"/>
    <w:rsid w:val="0068646B"/>
    <w:rsid w:val="006874D0"/>
    <w:rsid w:val="0068778E"/>
    <w:rsid w:val="00687D5E"/>
    <w:rsid w:val="00690408"/>
    <w:rsid w:val="00690FC6"/>
    <w:rsid w:val="006923B6"/>
    <w:rsid w:val="006927F0"/>
    <w:rsid w:val="00692C7E"/>
    <w:rsid w:val="0069449F"/>
    <w:rsid w:val="0069566B"/>
    <w:rsid w:val="0069574E"/>
    <w:rsid w:val="00695C33"/>
    <w:rsid w:val="00695D49"/>
    <w:rsid w:val="00696891"/>
    <w:rsid w:val="00696928"/>
    <w:rsid w:val="0069707F"/>
    <w:rsid w:val="00697961"/>
    <w:rsid w:val="00697A5F"/>
    <w:rsid w:val="00697C0E"/>
    <w:rsid w:val="00697CF3"/>
    <w:rsid w:val="006A0741"/>
    <w:rsid w:val="006A0C35"/>
    <w:rsid w:val="006A1469"/>
    <w:rsid w:val="006A21D2"/>
    <w:rsid w:val="006A2232"/>
    <w:rsid w:val="006A23C3"/>
    <w:rsid w:val="006A254F"/>
    <w:rsid w:val="006A2AAD"/>
    <w:rsid w:val="006A3588"/>
    <w:rsid w:val="006A4512"/>
    <w:rsid w:val="006A4E96"/>
    <w:rsid w:val="006A504E"/>
    <w:rsid w:val="006A5591"/>
    <w:rsid w:val="006A5640"/>
    <w:rsid w:val="006A5DAD"/>
    <w:rsid w:val="006A6FF2"/>
    <w:rsid w:val="006A721F"/>
    <w:rsid w:val="006A7871"/>
    <w:rsid w:val="006A7C4D"/>
    <w:rsid w:val="006B0048"/>
    <w:rsid w:val="006B0888"/>
    <w:rsid w:val="006B1EF9"/>
    <w:rsid w:val="006B30B0"/>
    <w:rsid w:val="006B31F9"/>
    <w:rsid w:val="006B35D7"/>
    <w:rsid w:val="006B5A4F"/>
    <w:rsid w:val="006B5F16"/>
    <w:rsid w:val="006B72F0"/>
    <w:rsid w:val="006B7E89"/>
    <w:rsid w:val="006C037D"/>
    <w:rsid w:val="006C1415"/>
    <w:rsid w:val="006C289E"/>
    <w:rsid w:val="006C374C"/>
    <w:rsid w:val="006C43D5"/>
    <w:rsid w:val="006C4413"/>
    <w:rsid w:val="006C4783"/>
    <w:rsid w:val="006C4AD5"/>
    <w:rsid w:val="006C4E30"/>
    <w:rsid w:val="006C5B47"/>
    <w:rsid w:val="006C5D31"/>
    <w:rsid w:val="006D0533"/>
    <w:rsid w:val="006D14E7"/>
    <w:rsid w:val="006D20A9"/>
    <w:rsid w:val="006D3161"/>
    <w:rsid w:val="006D333F"/>
    <w:rsid w:val="006D34FE"/>
    <w:rsid w:val="006D3DAA"/>
    <w:rsid w:val="006D499D"/>
    <w:rsid w:val="006D4DD0"/>
    <w:rsid w:val="006D5080"/>
    <w:rsid w:val="006D6065"/>
    <w:rsid w:val="006D7D21"/>
    <w:rsid w:val="006E0556"/>
    <w:rsid w:val="006E0F11"/>
    <w:rsid w:val="006E233E"/>
    <w:rsid w:val="006E3ECD"/>
    <w:rsid w:val="006E4969"/>
    <w:rsid w:val="006E5170"/>
    <w:rsid w:val="006E54F1"/>
    <w:rsid w:val="006E5519"/>
    <w:rsid w:val="006E570C"/>
    <w:rsid w:val="006E575F"/>
    <w:rsid w:val="006E613C"/>
    <w:rsid w:val="006E6388"/>
    <w:rsid w:val="006E63D4"/>
    <w:rsid w:val="006E6BFA"/>
    <w:rsid w:val="006E7DA1"/>
    <w:rsid w:val="006F243F"/>
    <w:rsid w:val="006F2AEC"/>
    <w:rsid w:val="006F2B3B"/>
    <w:rsid w:val="006F3BFC"/>
    <w:rsid w:val="006F3D31"/>
    <w:rsid w:val="006F3F37"/>
    <w:rsid w:val="006F40EF"/>
    <w:rsid w:val="006F4294"/>
    <w:rsid w:val="006F44AC"/>
    <w:rsid w:val="006F46E8"/>
    <w:rsid w:val="006F47CC"/>
    <w:rsid w:val="006F482E"/>
    <w:rsid w:val="006F56CD"/>
    <w:rsid w:val="006F5EF9"/>
    <w:rsid w:val="006F6E82"/>
    <w:rsid w:val="006F7290"/>
    <w:rsid w:val="006F7450"/>
    <w:rsid w:val="006F78BE"/>
    <w:rsid w:val="00700BE9"/>
    <w:rsid w:val="00700F7E"/>
    <w:rsid w:val="00701E71"/>
    <w:rsid w:val="00701EFA"/>
    <w:rsid w:val="007025E5"/>
    <w:rsid w:val="0070273C"/>
    <w:rsid w:val="00702A69"/>
    <w:rsid w:val="0070308B"/>
    <w:rsid w:val="007033D7"/>
    <w:rsid w:val="0070382F"/>
    <w:rsid w:val="00703ABA"/>
    <w:rsid w:val="00703EC0"/>
    <w:rsid w:val="007040B3"/>
    <w:rsid w:val="00704968"/>
    <w:rsid w:val="007051C2"/>
    <w:rsid w:val="00705B49"/>
    <w:rsid w:val="0070615E"/>
    <w:rsid w:val="007065B0"/>
    <w:rsid w:val="00710BE5"/>
    <w:rsid w:val="00711CC9"/>
    <w:rsid w:val="00711E48"/>
    <w:rsid w:val="00712CD4"/>
    <w:rsid w:val="0071343E"/>
    <w:rsid w:val="00713C20"/>
    <w:rsid w:val="0071405C"/>
    <w:rsid w:val="007157E4"/>
    <w:rsid w:val="0071683F"/>
    <w:rsid w:val="00716F1B"/>
    <w:rsid w:val="007171E5"/>
    <w:rsid w:val="00717909"/>
    <w:rsid w:val="00717F9A"/>
    <w:rsid w:val="00721581"/>
    <w:rsid w:val="00721890"/>
    <w:rsid w:val="00721E45"/>
    <w:rsid w:val="00722249"/>
    <w:rsid w:val="00724512"/>
    <w:rsid w:val="00725CCB"/>
    <w:rsid w:val="00725D57"/>
    <w:rsid w:val="00726189"/>
    <w:rsid w:val="00726E3D"/>
    <w:rsid w:val="00726F40"/>
    <w:rsid w:val="00727006"/>
    <w:rsid w:val="00730D83"/>
    <w:rsid w:val="00731B9F"/>
    <w:rsid w:val="00732109"/>
    <w:rsid w:val="0073245E"/>
    <w:rsid w:val="0073279E"/>
    <w:rsid w:val="007336F8"/>
    <w:rsid w:val="00733B9E"/>
    <w:rsid w:val="00734145"/>
    <w:rsid w:val="0073424A"/>
    <w:rsid w:val="00734583"/>
    <w:rsid w:val="00734987"/>
    <w:rsid w:val="00734C7E"/>
    <w:rsid w:val="00734E2C"/>
    <w:rsid w:val="007351B3"/>
    <w:rsid w:val="00735807"/>
    <w:rsid w:val="00736503"/>
    <w:rsid w:val="00736542"/>
    <w:rsid w:val="0073699E"/>
    <w:rsid w:val="00736FD5"/>
    <w:rsid w:val="00737406"/>
    <w:rsid w:val="00737475"/>
    <w:rsid w:val="0073797C"/>
    <w:rsid w:val="00740023"/>
    <w:rsid w:val="00740EDE"/>
    <w:rsid w:val="007418BC"/>
    <w:rsid w:val="00741A07"/>
    <w:rsid w:val="00742B5B"/>
    <w:rsid w:val="00742EBD"/>
    <w:rsid w:val="00743CB4"/>
    <w:rsid w:val="00744553"/>
    <w:rsid w:val="007445CD"/>
    <w:rsid w:val="0074471E"/>
    <w:rsid w:val="00744909"/>
    <w:rsid w:val="0074540D"/>
    <w:rsid w:val="00745687"/>
    <w:rsid w:val="007461C9"/>
    <w:rsid w:val="00746E3A"/>
    <w:rsid w:val="007471DD"/>
    <w:rsid w:val="00750105"/>
    <w:rsid w:val="0075059D"/>
    <w:rsid w:val="00751679"/>
    <w:rsid w:val="007522C9"/>
    <w:rsid w:val="00752B72"/>
    <w:rsid w:val="00752E30"/>
    <w:rsid w:val="007538CA"/>
    <w:rsid w:val="00753ED6"/>
    <w:rsid w:val="00754533"/>
    <w:rsid w:val="00754B8E"/>
    <w:rsid w:val="007558FD"/>
    <w:rsid w:val="00756EBA"/>
    <w:rsid w:val="00757A9A"/>
    <w:rsid w:val="007605EC"/>
    <w:rsid w:val="00760D76"/>
    <w:rsid w:val="00762666"/>
    <w:rsid w:val="00763167"/>
    <w:rsid w:val="00763336"/>
    <w:rsid w:val="00763B12"/>
    <w:rsid w:val="00763CE0"/>
    <w:rsid w:val="00764B30"/>
    <w:rsid w:val="00764CBB"/>
    <w:rsid w:val="00765BA7"/>
    <w:rsid w:val="00765FAE"/>
    <w:rsid w:val="00766E30"/>
    <w:rsid w:val="0076769C"/>
    <w:rsid w:val="00770284"/>
    <w:rsid w:val="0077114E"/>
    <w:rsid w:val="00771F0B"/>
    <w:rsid w:val="00772A08"/>
    <w:rsid w:val="00772DAA"/>
    <w:rsid w:val="00773224"/>
    <w:rsid w:val="0077508C"/>
    <w:rsid w:val="00775EE7"/>
    <w:rsid w:val="007764D6"/>
    <w:rsid w:val="00780450"/>
    <w:rsid w:val="00780483"/>
    <w:rsid w:val="00780E9B"/>
    <w:rsid w:val="00780F96"/>
    <w:rsid w:val="00781478"/>
    <w:rsid w:val="007817A8"/>
    <w:rsid w:val="00782777"/>
    <w:rsid w:val="0078365F"/>
    <w:rsid w:val="007848A9"/>
    <w:rsid w:val="007848BE"/>
    <w:rsid w:val="00784E6F"/>
    <w:rsid w:val="00785A6C"/>
    <w:rsid w:val="00785BC1"/>
    <w:rsid w:val="00785C0F"/>
    <w:rsid w:val="0078630E"/>
    <w:rsid w:val="007863E7"/>
    <w:rsid w:val="007879A7"/>
    <w:rsid w:val="0079033F"/>
    <w:rsid w:val="007906C3"/>
    <w:rsid w:val="00790ABC"/>
    <w:rsid w:val="00791561"/>
    <w:rsid w:val="007916EE"/>
    <w:rsid w:val="0079194A"/>
    <w:rsid w:val="00791B4E"/>
    <w:rsid w:val="00791E35"/>
    <w:rsid w:val="00792ECA"/>
    <w:rsid w:val="007930C0"/>
    <w:rsid w:val="0079380D"/>
    <w:rsid w:val="00793873"/>
    <w:rsid w:val="00793E0B"/>
    <w:rsid w:val="00793F64"/>
    <w:rsid w:val="007943E3"/>
    <w:rsid w:val="0079446C"/>
    <w:rsid w:val="007957D2"/>
    <w:rsid w:val="00795EFA"/>
    <w:rsid w:val="0079687D"/>
    <w:rsid w:val="00796F50"/>
    <w:rsid w:val="007979A5"/>
    <w:rsid w:val="00797AF6"/>
    <w:rsid w:val="00797F9A"/>
    <w:rsid w:val="007A05D7"/>
    <w:rsid w:val="007A05F3"/>
    <w:rsid w:val="007A12D3"/>
    <w:rsid w:val="007A1789"/>
    <w:rsid w:val="007A1BDA"/>
    <w:rsid w:val="007A2198"/>
    <w:rsid w:val="007A25F5"/>
    <w:rsid w:val="007A2AED"/>
    <w:rsid w:val="007A2F80"/>
    <w:rsid w:val="007A2FC1"/>
    <w:rsid w:val="007A3295"/>
    <w:rsid w:val="007A32E4"/>
    <w:rsid w:val="007A40E9"/>
    <w:rsid w:val="007A5090"/>
    <w:rsid w:val="007A59F1"/>
    <w:rsid w:val="007A6665"/>
    <w:rsid w:val="007A716B"/>
    <w:rsid w:val="007A7B85"/>
    <w:rsid w:val="007B0588"/>
    <w:rsid w:val="007B097A"/>
    <w:rsid w:val="007B0D2D"/>
    <w:rsid w:val="007B1180"/>
    <w:rsid w:val="007B12DA"/>
    <w:rsid w:val="007B2970"/>
    <w:rsid w:val="007B334E"/>
    <w:rsid w:val="007B3DB5"/>
    <w:rsid w:val="007B4718"/>
    <w:rsid w:val="007B7725"/>
    <w:rsid w:val="007B7B6F"/>
    <w:rsid w:val="007C062E"/>
    <w:rsid w:val="007C0DF3"/>
    <w:rsid w:val="007C1F57"/>
    <w:rsid w:val="007C23A1"/>
    <w:rsid w:val="007C3BF1"/>
    <w:rsid w:val="007C3D3C"/>
    <w:rsid w:val="007C40BC"/>
    <w:rsid w:val="007C4622"/>
    <w:rsid w:val="007C4C2B"/>
    <w:rsid w:val="007C51B7"/>
    <w:rsid w:val="007C5F93"/>
    <w:rsid w:val="007C6459"/>
    <w:rsid w:val="007C693A"/>
    <w:rsid w:val="007C7DD9"/>
    <w:rsid w:val="007D1E26"/>
    <w:rsid w:val="007D1EE9"/>
    <w:rsid w:val="007D2416"/>
    <w:rsid w:val="007D2757"/>
    <w:rsid w:val="007D29B2"/>
    <w:rsid w:val="007D3388"/>
    <w:rsid w:val="007D33EE"/>
    <w:rsid w:val="007D3725"/>
    <w:rsid w:val="007D45CE"/>
    <w:rsid w:val="007D469C"/>
    <w:rsid w:val="007D4C1E"/>
    <w:rsid w:val="007D5ACB"/>
    <w:rsid w:val="007D5B8F"/>
    <w:rsid w:val="007D5D2C"/>
    <w:rsid w:val="007D6C54"/>
    <w:rsid w:val="007D78B4"/>
    <w:rsid w:val="007D7B36"/>
    <w:rsid w:val="007D7E95"/>
    <w:rsid w:val="007D7EB0"/>
    <w:rsid w:val="007E0245"/>
    <w:rsid w:val="007E04C6"/>
    <w:rsid w:val="007E0EEE"/>
    <w:rsid w:val="007E1212"/>
    <w:rsid w:val="007E1477"/>
    <w:rsid w:val="007E1A1B"/>
    <w:rsid w:val="007E1B11"/>
    <w:rsid w:val="007E1D24"/>
    <w:rsid w:val="007E2CDE"/>
    <w:rsid w:val="007E30D3"/>
    <w:rsid w:val="007E31BA"/>
    <w:rsid w:val="007E4417"/>
    <w:rsid w:val="007E472B"/>
    <w:rsid w:val="007E4E2E"/>
    <w:rsid w:val="007E52C7"/>
    <w:rsid w:val="007E5438"/>
    <w:rsid w:val="007E5A3B"/>
    <w:rsid w:val="007E609F"/>
    <w:rsid w:val="007E6FEC"/>
    <w:rsid w:val="007E7734"/>
    <w:rsid w:val="007F117F"/>
    <w:rsid w:val="007F16FD"/>
    <w:rsid w:val="007F1F89"/>
    <w:rsid w:val="007F207A"/>
    <w:rsid w:val="007F36C1"/>
    <w:rsid w:val="007F3CD5"/>
    <w:rsid w:val="007F4AEF"/>
    <w:rsid w:val="007F4DCE"/>
    <w:rsid w:val="007F5240"/>
    <w:rsid w:val="007F589A"/>
    <w:rsid w:val="007F5FEB"/>
    <w:rsid w:val="007F6682"/>
    <w:rsid w:val="007F6853"/>
    <w:rsid w:val="007F7199"/>
    <w:rsid w:val="007F71F3"/>
    <w:rsid w:val="007F7254"/>
    <w:rsid w:val="007F7BD2"/>
    <w:rsid w:val="00800307"/>
    <w:rsid w:val="00801342"/>
    <w:rsid w:val="00801361"/>
    <w:rsid w:val="00801B5E"/>
    <w:rsid w:val="00803A70"/>
    <w:rsid w:val="0080434B"/>
    <w:rsid w:val="00804470"/>
    <w:rsid w:val="0080705C"/>
    <w:rsid w:val="008077BD"/>
    <w:rsid w:val="00807AB0"/>
    <w:rsid w:val="00807F95"/>
    <w:rsid w:val="00810443"/>
    <w:rsid w:val="008106A5"/>
    <w:rsid w:val="00810C34"/>
    <w:rsid w:val="0081105B"/>
    <w:rsid w:val="00811522"/>
    <w:rsid w:val="008118AD"/>
    <w:rsid w:val="0081246B"/>
    <w:rsid w:val="008127F3"/>
    <w:rsid w:val="0081381E"/>
    <w:rsid w:val="008141DC"/>
    <w:rsid w:val="008142B9"/>
    <w:rsid w:val="008144C6"/>
    <w:rsid w:val="008153FB"/>
    <w:rsid w:val="0081577C"/>
    <w:rsid w:val="0081591A"/>
    <w:rsid w:val="00815A15"/>
    <w:rsid w:val="00815B40"/>
    <w:rsid w:val="008168A5"/>
    <w:rsid w:val="00816E0D"/>
    <w:rsid w:val="0082055B"/>
    <w:rsid w:val="00820F80"/>
    <w:rsid w:val="00821453"/>
    <w:rsid w:val="0082250A"/>
    <w:rsid w:val="00822FD5"/>
    <w:rsid w:val="00823BBD"/>
    <w:rsid w:val="00823D0A"/>
    <w:rsid w:val="00823D6B"/>
    <w:rsid w:val="00823FDA"/>
    <w:rsid w:val="00824915"/>
    <w:rsid w:val="0082520D"/>
    <w:rsid w:val="00825350"/>
    <w:rsid w:val="00825933"/>
    <w:rsid w:val="00825A77"/>
    <w:rsid w:val="00825ECA"/>
    <w:rsid w:val="00826300"/>
    <w:rsid w:val="008310D4"/>
    <w:rsid w:val="008316FD"/>
    <w:rsid w:val="00831B50"/>
    <w:rsid w:val="00831D8C"/>
    <w:rsid w:val="008327D0"/>
    <w:rsid w:val="00832B1A"/>
    <w:rsid w:val="00832DF9"/>
    <w:rsid w:val="00837434"/>
    <w:rsid w:val="00837526"/>
    <w:rsid w:val="008376C8"/>
    <w:rsid w:val="00837AD9"/>
    <w:rsid w:val="00837AEF"/>
    <w:rsid w:val="00841114"/>
    <w:rsid w:val="00841262"/>
    <w:rsid w:val="00841A3D"/>
    <w:rsid w:val="00841BD8"/>
    <w:rsid w:val="00842A83"/>
    <w:rsid w:val="00843CDD"/>
    <w:rsid w:val="008447A7"/>
    <w:rsid w:val="0084550A"/>
    <w:rsid w:val="00845F04"/>
    <w:rsid w:val="008463BB"/>
    <w:rsid w:val="008465D9"/>
    <w:rsid w:val="008476EF"/>
    <w:rsid w:val="00847E7F"/>
    <w:rsid w:val="008507B1"/>
    <w:rsid w:val="008512F9"/>
    <w:rsid w:val="00851F34"/>
    <w:rsid w:val="00851F98"/>
    <w:rsid w:val="0085231F"/>
    <w:rsid w:val="00852889"/>
    <w:rsid w:val="00852B7B"/>
    <w:rsid w:val="0085332E"/>
    <w:rsid w:val="008534EA"/>
    <w:rsid w:val="008541A3"/>
    <w:rsid w:val="00854AA4"/>
    <w:rsid w:val="008550BE"/>
    <w:rsid w:val="008561A6"/>
    <w:rsid w:val="00856509"/>
    <w:rsid w:val="008572F7"/>
    <w:rsid w:val="00857BB3"/>
    <w:rsid w:val="00861777"/>
    <w:rsid w:val="008619AA"/>
    <w:rsid w:val="0086257B"/>
    <w:rsid w:val="008628EC"/>
    <w:rsid w:val="00862D77"/>
    <w:rsid w:val="00862E11"/>
    <w:rsid w:val="00862EBF"/>
    <w:rsid w:val="008636E8"/>
    <w:rsid w:val="00863808"/>
    <w:rsid w:val="00863FA6"/>
    <w:rsid w:val="0086413A"/>
    <w:rsid w:val="0086427B"/>
    <w:rsid w:val="00866B97"/>
    <w:rsid w:val="0086721B"/>
    <w:rsid w:val="00870225"/>
    <w:rsid w:val="0087027F"/>
    <w:rsid w:val="0087190C"/>
    <w:rsid w:val="00872CB7"/>
    <w:rsid w:val="00873493"/>
    <w:rsid w:val="00874490"/>
    <w:rsid w:val="00874FA2"/>
    <w:rsid w:val="008757A2"/>
    <w:rsid w:val="00876060"/>
    <w:rsid w:val="00876B0D"/>
    <w:rsid w:val="008778AF"/>
    <w:rsid w:val="00877B41"/>
    <w:rsid w:val="00877D8D"/>
    <w:rsid w:val="00882153"/>
    <w:rsid w:val="0088225F"/>
    <w:rsid w:val="008822E3"/>
    <w:rsid w:val="00882CCB"/>
    <w:rsid w:val="00882E69"/>
    <w:rsid w:val="00882EC2"/>
    <w:rsid w:val="0088439E"/>
    <w:rsid w:val="008844E3"/>
    <w:rsid w:val="0088483B"/>
    <w:rsid w:val="00884C07"/>
    <w:rsid w:val="00884E31"/>
    <w:rsid w:val="008851B6"/>
    <w:rsid w:val="00885B6F"/>
    <w:rsid w:val="00885BFD"/>
    <w:rsid w:val="00886826"/>
    <w:rsid w:val="00886953"/>
    <w:rsid w:val="00886DDE"/>
    <w:rsid w:val="008874FE"/>
    <w:rsid w:val="00890483"/>
    <w:rsid w:val="0089123A"/>
    <w:rsid w:val="00891704"/>
    <w:rsid w:val="00891BE4"/>
    <w:rsid w:val="00891E09"/>
    <w:rsid w:val="00892044"/>
    <w:rsid w:val="0089227E"/>
    <w:rsid w:val="00892632"/>
    <w:rsid w:val="00892C82"/>
    <w:rsid w:val="008931E8"/>
    <w:rsid w:val="00893491"/>
    <w:rsid w:val="008935F1"/>
    <w:rsid w:val="00893E9F"/>
    <w:rsid w:val="008948AF"/>
    <w:rsid w:val="00896A52"/>
    <w:rsid w:val="00896C34"/>
    <w:rsid w:val="008A100B"/>
    <w:rsid w:val="008A19A3"/>
    <w:rsid w:val="008A273C"/>
    <w:rsid w:val="008A3319"/>
    <w:rsid w:val="008A3A38"/>
    <w:rsid w:val="008A4A53"/>
    <w:rsid w:val="008A54F9"/>
    <w:rsid w:val="008A639A"/>
    <w:rsid w:val="008B0AD3"/>
    <w:rsid w:val="008B0C96"/>
    <w:rsid w:val="008B1342"/>
    <w:rsid w:val="008B299D"/>
    <w:rsid w:val="008B29AC"/>
    <w:rsid w:val="008B3915"/>
    <w:rsid w:val="008B7300"/>
    <w:rsid w:val="008B73C4"/>
    <w:rsid w:val="008C0518"/>
    <w:rsid w:val="008C0716"/>
    <w:rsid w:val="008C0C0D"/>
    <w:rsid w:val="008C0C72"/>
    <w:rsid w:val="008C0C7A"/>
    <w:rsid w:val="008C11C7"/>
    <w:rsid w:val="008C1E2F"/>
    <w:rsid w:val="008C2901"/>
    <w:rsid w:val="008C34F6"/>
    <w:rsid w:val="008C3603"/>
    <w:rsid w:val="008C3B62"/>
    <w:rsid w:val="008C3CF1"/>
    <w:rsid w:val="008C44E0"/>
    <w:rsid w:val="008C4AB5"/>
    <w:rsid w:val="008C4E11"/>
    <w:rsid w:val="008C5AB5"/>
    <w:rsid w:val="008C6253"/>
    <w:rsid w:val="008C6334"/>
    <w:rsid w:val="008C6E99"/>
    <w:rsid w:val="008C70AF"/>
    <w:rsid w:val="008D0106"/>
    <w:rsid w:val="008D2686"/>
    <w:rsid w:val="008D3040"/>
    <w:rsid w:val="008D31A2"/>
    <w:rsid w:val="008D33B6"/>
    <w:rsid w:val="008D3646"/>
    <w:rsid w:val="008D3EB7"/>
    <w:rsid w:val="008D429A"/>
    <w:rsid w:val="008D42C5"/>
    <w:rsid w:val="008D47BB"/>
    <w:rsid w:val="008D5B0D"/>
    <w:rsid w:val="008D5BDB"/>
    <w:rsid w:val="008D6E38"/>
    <w:rsid w:val="008D7214"/>
    <w:rsid w:val="008E04AD"/>
    <w:rsid w:val="008E082D"/>
    <w:rsid w:val="008E10C8"/>
    <w:rsid w:val="008E13CC"/>
    <w:rsid w:val="008E15EB"/>
    <w:rsid w:val="008E1664"/>
    <w:rsid w:val="008E1DD4"/>
    <w:rsid w:val="008E31C6"/>
    <w:rsid w:val="008E3329"/>
    <w:rsid w:val="008E36ED"/>
    <w:rsid w:val="008E41EB"/>
    <w:rsid w:val="008E42AC"/>
    <w:rsid w:val="008E42BF"/>
    <w:rsid w:val="008E4452"/>
    <w:rsid w:val="008E5522"/>
    <w:rsid w:val="008E57AA"/>
    <w:rsid w:val="008E59C0"/>
    <w:rsid w:val="008E5E21"/>
    <w:rsid w:val="008E63D9"/>
    <w:rsid w:val="008E6E43"/>
    <w:rsid w:val="008E71B1"/>
    <w:rsid w:val="008E74ED"/>
    <w:rsid w:val="008E7CF1"/>
    <w:rsid w:val="008F13E9"/>
    <w:rsid w:val="008F150B"/>
    <w:rsid w:val="008F1E0A"/>
    <w:rsid w:val="008F1E46"/>
    <w:rsid w:val="008F1E71"/>
    <w:rsid w:val="008F222A"/>
    <w:rsid w:val="008F26D1"/>
    <w:rsid w:val="008F2ACB"/>
    <w:rsid w:val="008F319F"/>
    <w:rsid w:val="008F34C3"/>
    <w:rsid w:val="008F34FE"/>
    <w:rsid w:val="008F3D26"/>
    <w:rsid w:val="008F3FF5"/>
    <w:rsid w:val="008F51F7"/>
    <w:rsid w:val="008F5D06"/>
    <w:rsid w:val="008F66E0"/>
    <w:rsid w:val="008F731C"/>
    <w:rsid w:val="008F7482"/>
    <w:rsid w:val="008F7F67"/>
    <w:rsid w:val="009004FB"/>
    <w:rsid w:val="00900949"/>
    <w:rsid w:val="00900BE9"/>
    <w:rsid w:val="00900EF0"/>
    <w:rsid w:val="009010E4"/>
    <w:rsid w:val="00901AEE"/>
    <w:rsid w:val="00901EB7"/>
    <w:rsid w:val="00902198"/>
    <w:rsid w:val="00903143"/>
    <w:rsid w:val="009039E8"/>
    <w:rsid w:val="00903DDC"/>
    <w:rsid w:val="00903EAA"/>
    <w:rsid w:val="00903FAF"/>
    <w:rsid w:val="00904F8E"/>
    <w:rsid w:val="00904FC5"/>
    <w:rsid w:val="00906038"/>
    <w:rsid w:val="0090614B"/>
    <w:rsid w:val="009068B0"/>
    <w:rsid w:val="00906C26"/>
    <w:rsid w:val="00906CA3"/>
    <w:rsid w:val="009101DE"/>
    <w:rsid w:val="00910664"/>
    <w:rsid w:val="009108B2"/>
    <w:rsid w:val="009108E7"/>
    <w:rsid w:val="00911FB6"/>
    <w:rsid w:val="00912189"/>
    <w:rsid w:val="00913A5F"/>
    <w:rsid w:val="00913CB1"/>
    <w:rsid w:val="00913CC2"/>
    <w:rsid w:val="009144D4"/>
    <w:rsid w:val="00914F92"/>
    <w:rsid w:val="009150B7"/>
    <w:rsid w:val="0091545F"/>
    <w:rsid w:val="009156BC"/>
    <w:rsid w:val="00915B18"/>
    <w:rsid w:val="0091720B"/>
    <w:rsid w:val="00917B73"/>
    <w:rsid w:val="009209F2"/>
    <w:rsid w:val="00920D88"/>
    <w:rsid w:val="0092122A"/>
    <w:rsid w:val="00921552"/>
    <w:rsid w:val="009217A9"/>
    <w:rsid w:val="00922E00"/>
    <w:rsid w:val="00923AC9"/>
    <w:rsid w:val="00923EBE"/>
    <w:rsid w:val="00923FEE"/>
    <w:rsid w:val="009243FD"/>
    <w:rsid w:val="0092461E"/>
    <w:rsid w:val="009249E9"/>
    <w:rsid w:val="0092559F"/>
    <w:rsid w:val="00925B73"/>
    <w:rsid w:val="00927256"/>
    <w:rsid w:val="009273CB"/>
    <w:rsid w:val="009275D6"/>
    <w:rsid w:val="009304FA"/>
    <w:rsid w:val="009314FE"/>
    <w:rsid w:val="00931850"/>
    <w:rsid w:val="009318E4"/>
    <w:rsid w:val="0093235F"/>
    <w:rsid w:val="00932452"/>
    <w:rsid w:val="00932DED"/>
    <w:rsid w:val="009339F2"/>
    <w:rsid w:val="009352AA"/>
    <w:rsid w:val="00935390"/>
    <w:rsid w:val="00935702"/>
    <w:rsid w:val="00935CFF"/>
    <w:rsid w:val="0093622D"/>
    <w:rsid w:val="00937203"/>
    <w:rsid w:val="00937F9D"/>
    <w:rsid w:val="009403E4"/>
    <w:rsid w:val="00941610"/>
    <w:rsid w:val="00942012"/>
    <w:rsid w:val="009422FB"/>
    <w:rsid w:val="00943A0A"/>
    <w:rsid w:val="00943B2C"/>
    <w:rsid w:val="009448BD"/>
    <w:rsid w:val="0094503F"/>
    <w:rsid w:val="0094514E"/>
    <w:rsid w:val="00946341"/>
    <w:rsid w:val="009470F1"/>
    <w:rsid w:val="009478D6"/>
    <w:rsid w:val="00947C4C"/>
    <w:rsid w:val="009500B1"/>
    <w:rsid w:val="0095147A"/>
    <w:rsid w:val="00951901"/>
    <w:rsid w:val="00952AC1"/>
    <w:rsid w:val="00952E61"/>
    <w:rsid w:val="00952F0E"/>
    <w:rsid w:val="0095339E"/>
    <w:rsid w:val="009537E7"/>
    <w:rsid w:val="00955DD1"/>
    <w:rsid w:val="009605ED"/>
    <w:rsid w:val="00962171"/>
    <w:rsid w:val="00962CA6"/>
    <w:rsid w:val="00962F15"/>
    <w:rsid w:val="00963039"/>
    <w:rsid w:val="00963CA9"/>
    <w:rsid w:val="00964586"/>
    <w:rsid w:val="009655BF"/>
    <w:rsid w:val="009666BF"/>
    <w:rsid w:val="00966C2A"/>
    <w:rsid w:val="00966C74"/>
    <w:rsid w:val="009672FA"/>
    <w:rsid w:val="00970445"/>
    <w:rsid w:val="009706E4"/>
    <w:rsid w:val="0097083E"/>
    <w:rsid w:val="00971066"/>
    <w:rsid w:val="0097155D"/>
    <w:rsid w:val="0097195B"/>
    <w:rsid w:val="00972079"/>
    <w:rsid w:val="00972311"/>
    <w:rsid w:val="00972726"/>
    <w:rsid w:val="00973071"/>
    <w:rsid w:val="00973A25"/>
    <w:rsid w:val="00974BD4"/>
    <w:rsid w:val="00974E6D"/>
    <w:rsid w:val="009769D2"/>
    <w:rsid w:val="00977AF4"/>
    <w:rsid w:val="00977E2F"/>
    <w:rsid w:val="0098034A"/>
    <w:rsid w:val="00980566"/>
    <w:rsid w:val="009806BB"/>
    <w:rsid w:val="00980F59"/>
    <w:rsid w:val="009813B6"/>
    <w:rsid w:val="009813FA"/>
    <w:rsid w:val="00981450"/>
    <w:rsid w:val="009817B9"/>
    <w:rsid w:val="00981CD7"/>
    <w:rsid w:val="00982352"/>
    <w:rsid w:val="00982852"/>
    <w:rsid w:val="00982B43"/>
    <w:rsid w:val="0098431C"/>
    <w:rsid w:val="009845E6"/>
    <w:rsid w:val="009847D0"/>
    <w:rsid w:val="00984BF6"/>
    <w:rsid w:val="00985F49"/>
    <w:rsid w:val="009862AD"/>
    <w:rsid w:val="009877A4"/>
    <w:rsid w:val="00987B48"/>
    <w:rsid w:val="00990649"/>
    <w:rsid w:val="00990982"/>
    <w:rsid w:val="00990B32"/>
    <w:rsid w:val="00990F1F"/>
    <w:rsid w:val="009912A7"/>
    <w:rsid w:val="009921DD"/>
    <w:rsid w:val="009936C3"/>
    <w:rsid w:val="00993B52"/>
    <w:rsid w:val="00994456"/>
    <w:rsid w:val="0099463B"/>
    <w:rsid w:val="009946EF"/>
    <w:rsid w:val="00994E16"/>
    <w:rsid w:val="00994F76"/>
    <w:rsid w:val="00995061"/>
    <w:rsid w:val="00995267"/>
    <w:rsid w:val="00995ECC"/>
    <w:rsid w:val="00995F31"/>
    <w:rsid w:val="0099699C"/>
    <w:rsid w:val="00996F64"/>
    <w:rsid w:val="009A01AF"/>
    <w:rsid w:val="009A0560"/>
    <w:rsid w:val="009A1948"/>
    <w:rsid w:val="009A19B7"/>
    <w:rsid w:val="009A1A16"/>
    <w:rsid w:val="009A2913"/>
    <w:rsid w:val="009A309B"/>
    <w:rsid w:val="009A3541"/>
    <w:rsid w:val="009A4E26"/>
    <w:rsid w:val="009A56FE"/>
    <w:rsid w:val="009A597B"/>
    <w:rsid w:val="009A6127"/>
    <w:rsid w:val="009A7338"/>
    <w:rsid w:val="009B0AF3"/>
    <w:rsid w:val="009B0DB8"/>
    <w:rsid w:val="009B0F95"/>
    <w:rsid w:val="009B1305"/>
    <w:rsid w:val="009B151D"/>
    <w:rsid w:val="009B1975"/>
    <w:rsid w:val="009B1BD4"/>
    <w:rsid w:val="009B1ED4"/>
    <w:rsid w:val="009B264A"/>
    <w:rsid w:val="009B3079"/>
    <w:rsid w:val="009B3AE3"/>
    <w:rsid w:val="009B4278"/>
    <w:rsid w:val="009B4BA0"/>
    <w:rsid w:val="009B4D22"/>
    <w:rsid w:val="009B5936"/>
    <w:rsid w:val="009B5AC6"/>
    <w:rsid w:val="009C036A"/>
    <w:rsid w:val="009C06D2"/>
    <w:rsid w:val="009C08BB"/>
    <w:rsid w:val="009C0A65"/>
    <w:rsid w:val="009C1456"/>
    <w:rsid w:val="009C1A26"/>
    <w:rsid w:val="009C1E26"/>
    <w:rsid w:val="009C20B4"/>
    <w:rsid w:val="009C2EDF"/>
    <w:rsid w:val="009C3CF6"/>
    <w:rsid w:val="009C422E"/>
    <w:rsid w:val="009C42CD"/>
    <w:rsid w:val="009C47EA"/>
    <w:rsid w:val="009C4AAE"/>
    <w:rsid w:val="009C534E"/>
    <w:rsid w:val="009C542B"/>
    <w:rsid w:val="009C5CAB"/>
    <w:rsid w:val="009C62FF"/>
    <w:rsid w:val="009C6581"/>
    <w:rsid w:val="009C679C"/>
    <w:rsid w:val="009C6FA3"/>
    <w:rsid w:val="009C707F"/>
    <w:rsid w:val="009C70A8"/>
    <w:rsid w:val="009C7327"/>
    <w:rsid w:val="009C7461"/>
    <w:rsid w:val="009D0A86"/>
    <w:rsid w:val="009D0BC2"/>
    <w:rsid w:val="009D15B8"/>
    <w:rsid w:val="009D164C"/>
    <w:rsid w:val="009D1A66"/>
    <w:rsid w:val="009D344E"/>
    <w:rsid w:val="009D3A46"/>
    <w:rsid w:val="009D4202"/>
    <w:rsid w:val="009D4707"/>
    <w:rsid w:val="009D4F0E"/>
    <w:rsid w:val="009D645A"/>
    <w:rsid w:val="009D6928"/>
    <w:rsid w:val="009D6EAD"/>
    <w:rsid w:val="009D7829"/>
    <w:rsid w:val="009D7D6D"/>
    <w:rsid w:val="009E0E0C"/>
    <w:rsid w:val="009E1549"/>
    <w:rsid w:val="009E16D3"/>
    <w:rsid w:val="009E3F5F"/>
    <w:rsid w:val="009E4A80"/>
    <w:rsid w:val="009E5325"/>
    <w:rsid w:val="009E5335"/>
    <w:rsid w:val="009E6413"/>
    <w:rsid w:val="009E7417"/>
    <w:rsid w:val="009E7C2F"/>
    <w:rsid w:val="009F039D"/>
    <w:rsid w:val="009F08B9"/>
    <w:rsid w:val="009F1369"/>
    <w:rsid w:val="009F137B"/>
    <w:rsid w:val="009F15F9"/>
    <w:rsid w:val="009F1F72"/>
    <w:rsid w:val="009F2243"/>
    <w:rsid w:val="009F2E7E"/>
    <w:rsid w:val="009F4362"/>
    <w:rsid w:val="009F44B3"/>
    <w:rsid w:val="009F4914"/>
    <w:rsid w:val="009F5293"/>
    <w:rsid w:val="009F6007"/>
    <w:rsid w:val="009F60BD"/>
    <w:rsid w:val="009F617D"/>
    <w:rsid w:val="009F7BB9"/>
    <w:rsid w:val="009F7F58"/>
    <w:rsid w:val="00A0047D"/>
    <w:rsid w:val="00A006E8"/>
    <w:rsid w:val="00A00C86"/>
    <w:rsid w:val="00A02095"/>
    <w:rsid w:val="00A0243B"/>
    <w:rsid w:val="00A03CA1"/>
    <w:rsid w:val="00A03F50"/>
    <w:rsid w:val="00A07534"/>
    <w:rsid w:val="00A10398"/>
    <w:rsid w:val="00A1074A"/>
    <w:rsid w:val="00A108EC"/>
    <w:rsid w:val="00A10913"/>
    <w:rsid w:val="00A10A72"/>
    <w:rsid w:val="00A110DD"/>
    <w:rsid w:val="00A11276"/>
    <w:rsid w:val="00A11589"/>
    <w:rsid w:val="00A11782"/>
    <w:rsid w:val="00A11874"/>
    <w:rsid w:val="00A1199A"/>
    <w:rsid w:val="00A11F7F"/>
    <w:rsid w:val="00A1203B"/>
    <w:rsid w:val="00A12075"/>
    <w:rsid w:val="00A12363"/>
    <w:rsid w:val="00A12DAA"/>
    <w:rsid w:val="00A130C1"/>
    <w:rsid w:val="00A14DB9"/>
    <w:rsid w:val="00A154D4"/>
    <w:rsid w:val="00A15606"/>
    <w:rsid w:val="00A16BF3"/>
    <w:rsid w:val="00A174D2"/>
    <w:rsid w:val="00A17870"/>
    <w:rsid w:val="00A17A3E"/>
    <w:rsid w:val="00A17BFE"/>
    <w:rsid w:val="00A20D5B"/>
    <w:rsid w:val="00A2106A"/>
    <w:rsid w:val="00A22510"/>
    <w:rsid w:val="00A22AAF"/>
    <w:rsid w:val="00A23148"/>
    <w:rsid w:val="00A23D7F"/>
    <w:rsid w:val="00A23F7C"/>
    <w:rsid w:val="00A24019"/>
    <w:rsid w:val="00A24248"/>
    <w:rsid w:val="00A2522F"/>
    <w:rsid w:val="00A2534A"/>
    <w:rsid w:val="00A2541B"/>
    <w:rsid w:val="00A2592D"/>
    <w:rsid w:val="00A25B37"/>
    <w:rsid w:val="00A2659B"/>
    <w:rsid w:val="00A26D22"/>
    <w:rsid w:val="00A2741D"/>
    <w:rsid w:val="00A277C9"/>
    <w:rsid w:val="00A27CC8"/>
    <w:rsid w:val="00A3076A"/>
    <w:rsid w:val="00A31934"/>
    <w:rsid w:val="00A31F37"/>
    <w:rsid w:val="00A32948"/>
    <w:rsid w:val="00A32F8E"/>
    <w:rsid w:val="00A33B88"/>
    <w:rsid w:val="00A33BA8"/>
    <w:rsid w:val="00A33E33"/>
    <w:rsid w:val="00A346E5"/>
    <w:rsid w:val="00A34A91"/>
    <w:rsid w:val="00A36355"/>
    <w:rsid w:val="00A379EE"/>
    <w:rsid w:val="00A37E81"/>
    <w:rsid w:val="00A40351"/>
    <w:rsid w:val="00A40BB8"/>
    <w:rsid w:val="00A40D32"/>
    <w:rsid w:val="00A425F3"/>
    <w:rsid w:val="00A426DF"/>
    <w:rsid w:val="00A42CF0"/>
    <w:rsid w:val="00A42D5C"/>
    <w:rsid w:val="00A42F66"/>
    <w:rsid w:val="00A4321B"/>
    <w:rsid w:val="00A4326A"/>
    <w:rsid w:val="00A437D0"/>
    <w:rsid w:val="00A4391E"/>
    <w:rsid w:val="00A44D6E"/>
    <w:rsid w:val="00A450F0"/>
    <w:rsid w:val="00A452AD"/>
    <w:rsid w:val="00A45899"/>
    <w:rsid w:val="00A45BAB"/>
    <w:rsid w:val="00A45C09"/>
    <w:rsid w:val="00A462CB"/>
    <w:rsid w:val="00A46E75"/>
    <w:rsid w:val="00A46F92"/>
    <w:rsid w:val="00A471E6"/>
    <w:rsid w:val="00A47850"/>
    <w:rsid w:val="00A47936"/>
    <w:rsid w:val="00A47DED"/>
    <w:rsid w:val="00A509C0"/>
    <w:rsid w:val="00A50C8A"/>
    <w:rsid w:val="00A510E9"/>
    <w:rsid w:val="00A511F5"/>
    <w:rsid w:val="00A52233"/>
    <w:rsid w:val="00A52616"/>
    <w:rsid w:val="00A526F9"/>
    <w:rsid w:val="00A53D2C"/>
    <w:rsid w:val="00A54DA1"/>
    <w:rsid w:val="00A54E25"/>
    <w:rsid w:val="00A55054"/>
    <w:rsid w:val="00A55288"/>
    <w:rsid w:val="00A557DA"/>
    <w:rsid w:val="00A55B0D"/>
    <w:rsid w:val="00A56421"/>
    <w:rsid w:val="00A564A6"/>
    <w:rsid w:val="00A56969"/>
    <w:rsid w:val="00A57696"/>
    <w:rsid w:val="00A57A95"/>
    <w:rsid w:val="00A601AC"/>
    <w:rsid w:val="00A60340"/>
    <w:rsid w:val="00A615AB"/>
    <w:rsid w:val="00A61A4E"/>
    <w:rsid w:val="00A62FA3"/>
    <w:rsid w:val="00A63168"/>
    <w:rsid w:val="00A631CF"/>
    <w:rsid w:val="00A631ED"/>
    <w:rsid w:val="00A6371A"/>
    <w:rsid w:val="00A63AA1"/>
    <w:rsid w:val="00A6413F"/>
    <w:rsid w:val="00A64AF3"/>
    <w:rsid w:val="00A64B4C"/>
    <w:rsid w:val="00A652F9"/>
    <w:rsid w:val="00A6622A"/>
    <w:rsid w:val="00A66A29"/>
    <w:rsid w:val="00A70263"/>
    <w:rsid w:val="00A7053D"/>
    <w:rsid w:val="00A7074B"/>
    <w:rsid w:val="00A70E2D"/>
    <w:rsid w:val="00A70E32"/>
    <w:rsid w:val="00A712EA"/>
    <w:rsid w:val="00A7174E"/>
    <w:rsid w:val="00A72ECE"/>
    <w:rsid w:val="00A731AB"/>
    <w:rsid w:val="00A73539"/>
    <w:rsid w:val="00A73868"/>
    <w:rsid w:val="00A73DAC"/>
    <w:rsid w:val="00A75445"/>
    <w:rsid w:val="00A75778"/>
    <w:rsid w:val="00A7602C"/>
    <w:rsid w:val="00A76D11"/>
    <w:rsid w:val="00A76E2A"/>
    <w:rsid w:val="00A80580"/>
    <w:rsid w:val="00A805C8"/>
    <w:rsid w:val="00A80C9A"/>
    <w:rsid w:val="00A81BA9"/>
    <w:rsid w:val="00A81C13"/>
    <w:rsid w:val="00A82817"/>
    <w:rsid w:val="00A83925"/>
    <w:rsid w:val="00A839A2"/>
    <w:rsid w:val="00A84505"/>
    <w:rsid w:val="00A847B9"/>
    <w:rsid w:val="00A87DC3"/>
    <w:rsid w:val="00A900F5"/>
    <w:rsid w:val="00A91DBC"/>
    <w:rsid w:val="00A94016"/>
    <w:rsid w:val="00A94202"/>
    <w:rsid w:val="00A9586E"/>
    <w:rsid w:val="00A96B57"/>
    <w:rsid w:val="00A96DF1"/>
    <w:rsid w:val="00A979A6"/>
    <w:rsid w:val="00A97BE7"/>
    <w:rsid w:val="00AA02A5"/>
    <w:rsid w:val="00AA089C"/>
    <w:rsid w:val="00AA08A9"/>
    <w:rsid w:val="00AA0EA3"/>
    <w:rsid w:val="00AA136D"/>
    <w:rsid w:val="00AA1D37"/>
    <w:rsid w:val="00AA2B80"/>
    <w:rsid w:val="00AA2E2D"/>
    <w:rsid w:val="00AA2F89"/>
    <w:rsid w:val="00AA30B4"/>
    <w:rsid w:val="00AA3429"/>
    <w:rsid w:val="00AA37C7"/>
    <w:rsid w:val="00AA3A6E"/>
    <w:rsid w:val="00AA3DE5"/>
    <w:rsid w:val="00AA4C78"/>
    <w:rsid w:val="00AA525E"/>
    <w:rsid w:val="00AA5999"/>
    <w:rsid w:val="00AA59C7"/>
    <w:rsid w:val="00AA5CBA"/>
    <w:rsid w:val="00AA69A3"/>
    <w:rsid w:val="00AA788A"/>
    <w:rsid w:val="00AA7F6F"/>
    <w:rsid w:val="00AB0CBD"/>
    <w:rsid w:val="00AB1B12"/>
    <w:rsid w:val="00AB280C"/>
    <w:rsid w:val="00AB2830"/>
    <w:rsid w:val="00AB299B"/>
    <w:rsid w:val="00AB2ABD"/>
    <w:rsid w:val="00AB3364"/>
    <w:rsid w:val="00AB407D"/>
    <w:rsid w:val="00AB442E"/>
    <w:rsid w:val="00AB4CEA"/>
    <w:rsid w:val="00AB53C1"/>
    <w:rsid w:val="00AB5C79"/>
    <w:rsid w:val="00AB67B2"/>
    <w:rsid w:val="00AB6DA8"/>
    <w:rsid w:val="00AB76C6"/>
    <w:rsid w:val="00AB7A33"/>
    <w:rsid w:val="00AB7A50"/>
    <w:rsid w:val="00AB7EBB"/>
    <w:rsid w:val="00AB7F3D"/>
    <w:rsid w:val="00AC00E7"/>
    <w:rsid w:val="00AC181A"/>
    <w:rsid w:val="00AC1C6D"/>
    <w:rsid w:val="00AC21EF"/>
    <w:rsid w:val="00AC2DCE"/>
    <w:rsid w:val="00AC313B"/>
    <w:rsid w:val="00AC39A2"/>
    <w:rsid w:val="00AC3F99"/>
    <w:rsid w:val="00AC3FC7"/>
    <w:rsid w:val="00AC48B9"/>
    <w:rsid w:val="00AC659A"/>
    <w:rsid w:val="00AC6792"/>
    <w:rsid w:val="00AC6898"/>
    <w:rsid w:val="00AC698F"/>
    <w:rsid w:val="00AC6B80"/>
    <w:rsid w:val="00AC7278"/>
    <w:rsid w:val="00AC743A"/>
    <w:rsid w:val="00AC76B1"/>
    <w:rsid w:val="00AC7D79"/>
    <w:rsid w:val="00AD0F20"/>
    <w:rsid w:val="00AD0F65"/>
    <w:rsid w:val="00AD0FB5"/>
    <w:rsid w:val="00AD10A6"/>
    <w:rsid w:val="00AD3CEE"/>
    <w:rsid w:val="00AD3FFE"/>
    <w:rsid w:val="00AD49C4"/>
    <w:rsid w:val="00AD6784"/>
    <w:rsid w:val="00AD70EB"/>
    <w:rsid w:val="00AD7521"/>
    <w:rsid w:val="00AD7749"/>
    <w:rsid w:val="00AD78DE"/>
    <w:rsid w:val="00AE0014"/>
    <w:rsid w:val="00AE0127"/>
    <w:rsid w:val="00AE14D2"/>
    <w:rsid w:val="00AE1570"/>
    <w:rsid w:val="00AE27AE"/>
    <w:rsid w:val="00AE294A"/>
    <w:rsid w:val="00AE3B5D"/>
    <w:rsid w:val="00AE3CDB"/>
    <w:rsid w:val="00AE4970"/>
    <w:rsid w:val="00AE4B94"/>
    <w:rsid w:val="00AE4DE8"/>
    <w:rsid w:val="00AE530F"/>
    <w:rsid w:val="00AE6547"/>
    <w:rsid w:val="00AE6A8B"/>
    <w:rsid w:val="00AE73C2"/>
    <w:rsid w:val="00AF2528"/>
    <w:rsid w:val="00AF3337"/>
    <w:rsid w:val="00AF4A72"/>
    <w:rsid w:val="00AF4DAD"/>
    <w:rsid w:val="00AF5396"/>
    <w:rsid w:val="00AF5681"/>
    <w:rsid w:val="00AF651D"/>
    <w:rsid w:val="00AF6549"/>
    <w:rsid w:val="00AF69A6"/>
    <w:rsid w:val="00AF6E28"/>
    <w:rsid w:val="00AF7D2B"/>
    <w:rsid w:val="00B01205"/>
    <w:rsid w:val="00B01545"/>
    <w:rsid w:val="00B0167D"/>
    <w:rsid w:val="00B0183F"/>
    <w:rsid w:val="00B01981"/>
    <w:rsid w:val="00B01D3B"/>
    <w:rsid w:val="00B03328"/>
    <w:rsid w:val="00B04332"/>
    <w:rsid w:val="00B045F0"/>
    <w:rsid w:val="00B046C8"/>
    <w:rsid w:val="00B049FD"/>
    <w:rsid w:val="00B04BD2"/>
    <w:rsid w:val="00B056B1"/>
    <w:rsid w:val="00B06D8D"/>
    <w:rsid w:val="00B07231"/>
    <w:rsid w:val="00B075B1"/>
    <w:rsid w:val="00B075C7"/>
    <w:rsid w:val="00B07A13"/>
    <w:rsid w:val="00B10000"/>
    <w:rsid w:val="00B10408"/>
    <w:rsid w:val="00B1186B"/>
    <w:rsid w:val="00B12B78"/>
    <w:rsid w:val="00B13062"/>
    <w:rsid w:val="00B131CE"/>
    <w:rsid w:val="00B13C3D"/>
    <w:rsid w:val="00B13C7F"/>
    <w:rsid w:val="00B14487"/>
    <w:rsid w:val="00B14547"/>
    <w:rsid w:val="00B156ED"/>
    <w:rsid w:val="00B15868"/>
    <w:rsid w:val="00B15DC9"/>
    <w:rsid w:val="00B16AE2"/>
    <w:rsid w:val="00B16D48"/>
    <w:rsid w:val="00B16EEB"/>
    <w:rsid w:val="00B17A9E"/>
    <w:rsid w:val="00B17B65"/>
    <w:rsid w:val="00B17D0D"/>
    <w:rsid w:val="00B20811"/>
    <w:rsid w:val="00B209F6"/>
    <w:rsid w:val="00B211B3"/>
    <w:rsid w:val="00B216CF"/>
    <w:rsid w:val="00B2324E"/>
    <w:rsid w:val="00B238F7"/>
    <w:rsid w:val="00B26490"/>
    <w:rsid w:val="00B26B12"/>
    <w:rsid w:val="00B26D26"/>
    <w:rsid w:val="00B2702B"/>
    <w:rsid w:val="00B2769E"/>
    <w:rsid w:val="00B27763"/>
    <w:rsid w:val="00B3106A"/>
    <w:rsid w:val="00B31E71"/>
    <w:rsid w:val="00B31FC2"/>
    <w:rsid w:val="00B329BA"/>
    <w:rsid w:val="00B3373B"/>
    <w:rsid w:val="00B34BDB"/>
    <w:rsid w:val="00B350D2"/>
    <w:rsid w:val="00B35598"/>
    <w:rsid w:val="00B3593D"/>
    <w:rsid w:val="00B364AC"/>
    <w:rsid w:val="00B36802"/>
    <w:rsid w:val="00B36DA4"/>
    <w:rsid w:val="00B36DBA"/>
    <w:rsid w:val="00B372D9"/>
    <w:rsid w:val="00B37350"/>
    <w:rsid w:val="00B3749F"/>
    <w:rsid w:val="00B379C8"/>
    <w:rsid w:val="00B41C31"/>
    <w:rsid w:val="00B42B66"/>
    <w:rsid w:val="00B437E1"/>
    <w:rsid w:val="00B4381C"/>
    <w:rsid w:val="00B43E2F"/>
    <w:rsid w:val="00B4428B"/>
    <w:rsid w:val="00B443B8"/>
    <w:rsid w:val="00B45979"/>
    <w:rsid w:val="00B459E2"/>
    <w:rsid w:val="00B46427"/>
    <w:rsid w:val="00B46514"/>
    <w:rsid w:val="00B46AB6"/>
    <w:rsid w:val="00B46C66"/>
    <w:rsid w:val="00B47155"/>
    <w:rsid w:val="00B472C5"/>
    <w:rsid w:val="00B50440"/>
    <w:rsid w:val="00B51285"/>
    <w:rsid w:val="00B51D22"/>
    <w:rsid w:val="00B52AA4"/>
    <w:rsid w:val="00B52D55"/>
    <w:rsid w:val="00B53208"/>
    <w:rsid w:val="00B5333C"/>
    <w:rsid w:val="00B54068"/>
    <w:rsid w:val="00B544B0"/>
    <w:rsid w:val="00B562EE"/>
    <w:rsid w:val="00B5631B"/>
    <w:rsid w:val="00B5640B"/>
    <w:rsid w:val="00B56AC5"/>
    <w:rsid w:val="00B56D6D"/>
    <w:rsid w:val="00B56D9D"/>
    <w:rsid w:val="00B60BE2"/>
    <w:rsid w:val="00B60FA8"/>
    <w:rsid w:val="00B60FC2"/>
    <w:rsid w:val="00B62A2A"/>
    <w:rsid w:val="00B64748"/>
    <w:rsid w:val="00B65046"/>
    <w:rsid w:val="00B65075"/>
    <w:rsid w:val="00B654B8"/>
    <w:rsid w:val="00B65E8F"/>
    <w:rsid w:val="00B66ADF"/>
    <w:rsid w:val="00B66D6F"/>
    <w:rsid w:val="00B66D77"/>
    <w:rsid w:val="00B67121"/>
    <w:rsid w:val="00B67475"/>
    <w:rsid w:val="00B67938"/>
    <w:rsid w:val="00B6799A"/>
    <w:rsid w:val="00B70342"/>
    <w:rsid w:val="00B70D35"/>
    <w:rsid w:val="00B70D57"/>
    <w:rsid w:val="00B719A2"/>
    <w:rsid w:val="00B725A6"/>
    <w:rsid w:val="00B7284C"/>
    <w:rsid w:val="00B74500"/>
    <w:rsid w:val="00B74C63"/>
    <w:rsid w:val="00B76293"/>
    <w:rsid w:val="00B7713D"/>
    <w:rsid w:val="00B77C1D"/>
    <w:rsid w:val="00B80636"/>
    <w:rsid w:val="00B80A37"/>
    <w:rsid w:val="00B80D26"/>
    <w:rsid w:val="00B80DC0"/>
    <w:rsid w:val="00B813AA"/>
    <w:rsid w:val="00B81BE2"/>
    <w:rsid w:val="00B82150"/>
    <w:rsid w:val="00B82170"/>
    <w:rsid w:val="00B82561"/>
    <w:rsid w:val="00B82913"/>
    <w:rsid w:val="00B83008"/>
    <w:rsid w:val="00B831C7"/>
    <w:rsid w:val="00B8352F"/>
    <w:rsid w:val="00B8387B"/>
    <w:rsid w:val="00B83BC9"/>
    <w:rsid w:val="00B83D30"/>
    <w:rsid w:val="00B8482B"/>
    <w:rsid w:val="00B849ED"/>
    <w:rsid w:val="00B8539C"/>
    <w:rsid w:val="00B85429"/>
    <w:rsid w:val="00B868E8"/>
    <w:rsid w:val="00B871F7"/>
    <w:rsid w:val="00B87333"/>
    <w:rsid w:val="00B87A09"/>
    <w:rsid w:val="00B87D74"/>
    <w:rsid w:val="00B87EB2"/>
    <w:rsid w:val="00B90154"/>
    <w:rsid w:val="00B90498"/>
    <w:rsid w:val="00B9071B"/>
    <w:rsid w:val="00B9097F"/>
    <w:rsid w:val="00B90EDA"/>
    <w:rsid w:val="00B913D9"/>
    <w:rsid w:val="00B913EE"/>
    <w:rsid w:val="00B91767"/>
    <w:rsid w:val="00B92274"/>
    <w:rsid w:val="00B926E9"/>
    <w:rsid w:val="00B92806"/>
    <w:rsid w:val="00B93667"/>
    <w:rsid w:val="00B93A12"/>
    <w:rsid w:val="00B9430E"/>
    <w:rsid w:val="00B945D1"/>
    <w:rsid w:val="00B95331"/>
    <w:rsid w:val="00B95D93"/>
    <w:rsid w:val="00B95E5D"/>
    <w:rsid w:val="00B95EB0"/>
    <w:rsid w:val="00B96071"/>
    <w:rsid w:val="00B96325"/>
    <w:rsid w:val="00B969AC"/>
    <w:rsid w:val="00B977B9"/>
    <w:rsid w:val="00BA0059"/>
    <w:rsid w:val="00BA059C"/>
    <w:rsid w:val="00BA0B60"/>
    <w:rsid w:val="00BA1F84"/>
    <w:rsid w:val="00BA219E"/>
    <w:rsid w:val="00BA25A7"/>
    <w:rsid w:val="00BA2AD1"/>
    <w:rsid w:val="00BA2B49"/>
    <w:rsid w:val="00BA324B"/>
    <w:rsid w:val="00BA325E"/>
    <w:rsid w:val="00BA3C4A"/>
    <w:rsid w:val="00BA3DE4"/>
    <w:rsid w:val="00BA41C6"/>
    <w:rsid w:val="00BA420A"/>
    <w:rsid w:val="00BA7184"/>
    <w:rsid w:val="00BA7D1C"/>
    <w:rsid w:val="00BB0363"/>
    <w:rsid w:val="00BB05DB"/>
    <w:rsid w:val="00BB0AB1"/>
    <w:rsid w:val="00BB0D02"/>
    <w:rsid w:val="00BB0DF6"/>
    <w:rsid w:val="00BB117C"/>
    <w:rsid w:val="00BB2167"/>
    <w:rsid w:val="00BB26A9"/>
    <w:rsid w:val="00BB2CEC"/>
    <w:rsid w:val="00BB2E35"/>
    <w:rsid w:val="00BB3986"/>
    <w:rsid w:val="00BB40B2"/>
    <w:rsid w:val="00BB4E8E"/>
    <w:rsid w:val="00BB501F"/>
    <w:rsid w:val="00BB6000"/>
    <w:rsid w:val="00BB7F9E"/>
    <w:rsid w:val="00BC00D1"/>
    <w:rsid w:val="00BC0633"/>
    <w:rsid w:val="00BC0755"/>
    <w:rsid w:val="00BC14C6"/>
    <w:rsid w:val="00BC16F3"/>
    <w:rsid w:val="00BC1AF5"/>
    <w:rsid w:val="00BC25C1"/>
    <w:rsid w:val="00BC32C5"/>
    <w:rsid w:val="00BC3367"/>
    <w:rsid w:val="00BC3E33"/>
    <w:rsid w:val="00BC404E"/>
    <w:rsid w:val="00BC45A6"/>
    <w:rsid w:val="00BC4978"/>
    <w:rsid w:val="00BC5141"/>
    <w:rsid w:val="00BC65B6"/>
    <w:rsid w:val="00BC6919"/>
    <w:rsid w:val="00BC70F5"/>
    <w:rsid w:val="00BC7736"/>
    <w:rsid w:val="00BC7FB8"/>
    <w:rsid w:val="00BD12F6"/>
    <w:rsid w:val="00BD20CA"/>
    <w:rsid w:val="00BD2377"/>
    <w:rsid w:val="00BD272F"/>
    <w:rsid w:val="00BD453C"/>
    <w:rsid w:val="00BD58B4"/>
    <w:rsid w:val="00BD60B3"/>
    <w:rsid w:val="00BD7105"/>
    <w:rsid w:val="00BE05AC"/>
    <w:rsid w:val="00BE1003"/>
    <w:rsid w:val="00BE1BBF"/>
    <w:rsid w:val="00BE1CD5"/>
    <w:rsid w:val="00BE258A"/>
    <w:rsid w:val="00BE29B3"/>
    <w:rsid w:val="00BE2C94"/>
    <w:rsid w:val="00BE39F4"/>
    <w:rsid w:val="00BE3C7E"/>
    <w:rsid w:val="00BE3C9E"/>
    <w:rsid w:val="00BE4024"/>
    <w:rsid w:val="00BE45FC"/>
    <w:rsid w:val="00BE4645"/>
    <w:rsid w:val="00BE498D"/>
    <w:rsid w:val="00BE5358"/>
    <w:rsid w:val="00BE565A"/>
    <w:rsid w:val="00BE5851"/>
    <w:rsid w:val="00BE631D"/>
    <w:rsid w:val="00BE649F"/>
    <w:rsid w:val="00BE7688"/>
    <w:rsid w:val="00BF0676"/>
    <w:rsid w:val="00BF0BE8"/>
    <w:rsid w:val="00BF0DAC"/>
    <w:rsid w:val="00BF16C4"/>
    <w:rsid w:val="00BF210E"/>
    <w:rsid w:val="00BF2D48"/>
    <w:rsid w:val="00BF3B2F"/>
    <w:rsid w:val="00BF3B84"/>
    <w:rsid w:val="00BF3BDA"/>
    <w:rsid w:val="00BF3F70"/>
    <w:rsid w:val="00BF4285"/>
    <w:rsid w:val="00BF4EA1"/>
    <w:rsid w:val="00BF515D"/>
    <w:rsid w:val="00BF5200"/>
    <w:rsid w:val="00BF5D23"/>
    <w:rsid w:val="00BF63F6"/>
    <w:rsid w:val="00BF6549"/>
    <w:rsid w:val="00BF673C"/>
    <w:rsid w:val="00BF6E37"/>
    <w:rsid w:val="00BF7108"/>
    <w:rsid w:val="00BF7AFC"/>
    <w:rsid w:val="00C00277"/>
    <w:rsid w:val="00C002DE"/>
    <w:rsid w:val="00C00DFF"/>
    <w:rsid w:val="00C00E53"/>
    <w:rsid w:val="00C014EC"/>
    <w:rsid w:val="00C016A4"/>
    <w:rsid w:val="00C02A16"/>
    <w:rsid w:val="00C02EFF"/>
    <w:rsid w:val="00C0335A"/>
    <w:rsid w:val="00C03471"/>
    <w:rsid w:val="00C0459D"/>
    <w:rsid w:val="00C049FC"/>
    <w:rsid w:val="00C04FF1"/>
    <w:rsid w:val="00C05CCF"/>
    <w:rsid w:val="00C05D7C"/>
    <w:rsid w:val="00C0618E"/>
    <w:rsid w:val="00C063FA"/>
    <w:rsid w:val="00C06897"/>
    <w:rsid w:val="00C07938"/>
    <w:rsid w:val="00C07E63"/>
    <w:rsid w:val="00C07E78"/>
    <w:rsid w:val="00C10A73"/>
    <w:rsid w:val="00C11671"/>
    <w:rsid w:val="00C11754"/>
    <w:rsid w:val="00C12537"/>
    <w:rsid w:val="00C1283F"/>
    <w:rsid w:val="00C13975"/>
    <w:rsid w:val="00C141C4"/>
    <w:rsid w:val="00C14592"/>
    <w:rsid w:val="00C170FD"/>
    <w:rsid w:val="00C174C0"/>
    <w:rsid w:val="00C17909"/>
    <w:rsid w:val="00C17A42"/>
    <w:rsid w:val="00C17E78"/>
    <w:rsid w:val="00C17E9F"/>
    <w:rsid w:val="00C202D0"/>
    <w:rsid w:val="00C20A26"/>
    <w:rsid w:val="00C218BA"/>
    <w:rsid w:val="00C21AE7"/>
    <w:rsid w:val="00C22D3F"/>
    <w:rsid w:val="00C23343"/>
    <w:rsid w:val="00C24073"/>
    <w:rsid w:val="00C242FD"/>
    <w:rsid w:val="00C2622E"/>
    <w:rsid w:val="00C26339"/>
    <w:rsid w:val="00C26870"/>
    <w:rsid w:val="00C26E4A"/>
    <w:rsid w:val="00C27630"/>
    <w:rsid w:val="00C27DEF"/>
    <w:rsid w:val="00C30439"/>
    <w:rsid w:val="00C30561"/>
    <w:rsid w:val="00C3077C"/>
    <w:rsid w:val="00C30BF6"/>
    <w:rsid w:val="00C31325"/>
    <w:rsid w:val="00C3193D"/>
    <w:rsid w:val="00C31F6B"/>
    <w:rsid w:val="00C321F3"/>
    <w:rsid w:val="00C32C61"/>
    <w:rsid w:val="00C333C1"/>
    <w:rsid w:val="00C3366B"/>
    <w:rsid w:val="00C33EDB"/>
    <w:rsid w:val="00C34E09"/>
    <w:rsid w:val="00C35292"/>
    <w:rsid w:val="00C352F2"/>
    <w:rsid w:val="00C358F9"/>
    <w:rsid w:val="00C35EC5"/>
    <w:rsid w:val="00C36B5B"/>
    <w:rsid w:val="00C36D0A"/>
    <w:rsid w:val="00C37205"/>
    <w:rsid w:val="00C37215"/>
    <w:rsid w:val="00C40915"/>
    <w:rsid w:val="00C40CB7"/>
    <w:rsid w:val="00C424E2"/>
    <w:rsid w:val="00C42E1E"/>
    <w:rsid w:val="00C437F9"/>
    <w:rsid w:val="00C43D2D"/>
    <w:rsid w:val="00C43F83"/>
    <w:rsid w:val="00C442E1"/>
    <w:rsid w:val="00C445C6"/>
    <w:rsid w:val="00C45713"/>
    <w:rsid w:val="00C465CA"/>
    <w:rsid w:val="00C46ACB"/>
    <w:rsid w:val="00C46EBC"/>
    <w:rsid w:val="00C46FB3"/>
    <w:rsid w:val="00C47009"/>
    <w:rsid w:val="00C47296"/>
    <w:rsid w:val="00C501CB"/>
    <w:rsid w:val="00C510E1"/>
    <w:rsid w:val="00C5121E"/>
    <w:rsid w:val="00C5142F"/>
    <w:rsid w:val="00C51451"/>
    <w:rsid w:val="00C51496"/>
    <w:rsid w:val="00C51BDA"/>
    <w:rsid w:val="00C520AA"/>
    <w:rsid w:val="00C52922"/>
    <w:rsid w:val="00C53094"/>
    <w:rsid w:val="00C53F4E"/>
    <w:rsid w:val="00C5505F"/>
    <w:rsid w:val="00C555EA"/>
    <w:rsid w:val="00C557EB"/>
    <w:rsid w:val="00C55E86"/>
    <w:rsid w:val="00C56616"/>
    <w:rsid w:val="00C60656"/>
    <w:rsid w:val="00C61248"/>
    <w:rsid w:val="00C61B2A"/>
    <w:rsid w:val="00C625D9"/>
    <w:rsid w:val="00C63102"/>
    <w:rsid w:val="00C64029"/>
    <w:rsid w:val="00C64667"/>
    <w:rsid w:val="00C64932"/>
    <w:rsid w:val="00C64B3C"/>
    <w:rsid w:val="00C64D9D"/>
    <w:rsid w:val="00C64F26"/>
    <w:rsid w:val="00C65009"/>
    <w:rsid w:val="00C660FE"/>
    <w:rsid w:val="00C6668B"/>
    <w:rsid w:val="00C669CD"/>
    <w:rsid w:val="00C66D6D"/>
    <w:rsid w:val="00C670B2"/>
    <w:rsid w:val="00C67B82"/>
    <w:rsid w:val="00C70349"/>
    <w:rsid w:val="00C703EC"/>
    <w:rsid w:val="00C72174"/>
    <w:rsid w:val="00C72290"/>
    <w:rsid w:val="00C73802"/>
    <w:rsid w:val="00C743C4"/>
    <w:rsid w:val="00C75B60"/>
    <w:rsid w:val="00C76C91"/>
    <w:rsid w:val="00C800DC"/>
    <w:rsid w:val="00C80B95"/>
    <w:rsid w:val="00C815E6"/>
    <w:rsid w:val="00C81F7B"/>
    <w:rsid w:val="00C8240B"/>
    <w:rsid w:val="00C829A0"/>
    <w:rsid w:val="00C8448C"/>
    <w:rsid w:val="00C84E84"/>
    <w:rsid w:val="00C84FAE"/>
    <w:rsid w:val="00C8549F"/>
    <w:rsid w:val="00C85B93"/>
    <w:rsid w:val="00C87675"/>
    <w:rsid w:val="00C87942"/>
    <w:rsid w:val="00C87C61"/>
    <w:rsid w:val="00C900C5"/>
    <w:rsid w:val="00C90189"/>
    <w:rsid w:val="00C90451"/>
    <w:rsid w:val="00C90F45"/>
    <w:rsid w:val="00C92A88"/>
    <w:rsid w:val="00C92DBD"/>
    <w:rsid w:val="00C93BAC"/>
    <w:rsid w:val="00C9547A"/>
    <w:rsid w:val="00C957B5"/>
    <w:rsid w:val="00C9586A"/>
    <w:rsid w:val="00C963E6"/>
    <w:rsid w:val="00C97768"/>
    <w:rsid w:val="00C97854"/>
    <w:rsid w:val="00C97912"/>
    <w:rsid w:val="00C97971"/>
    <w:rsid w:val="00CA04E4"/>
    <w:rsid w:val="00CA0FB0"/>
    <w:rsid w:val="00CA1063"/>
    <w:rsid w:val="00CA19B9"/>
    <w:rsid w:val="00CA2079"/>
    <w:rsid w:val="00CA35ED"/>
    <w:rsid w:val="00CA3772"/>
    <w:rsid w:val="00CA385B"/>
    <w:rsid w:val="00CA3B0D"/>
    <w:rsid w:val="00CA548D"/>
    <w:rsid w:val="00CA591C"/>
    <w:rsid w:val="00CA62C4"/>
    <w:rsid w:val="00CA64F2"/>
    <w:rsid w:val="00CA6763"/>
    <w:rsid w:val="00CA6CB9"/>
    <w:rsid w:val="00CA6CD6"/>
    <w:rsid w:val="00CA6D56"/>
    <w:rsid w:val="00CA74A6"/>
    <w:rsid w:val="00CA7C63"/>
    <w:rsid w:val="00CA7EA9"/>
    <w:rsid w:val="00CB000F"/>
    <w:rsid w:val="00CB0FC2"/>
    <w:rsid w:val="00CB111A"/>
    <w:rsid w:val="00CB1C2B"/>
    <w:rsid w:val="00CB261E"/>
    <w:rsid w:val="00CB2763"/>
    <w:rsid w:val="00CB41F7"/>
    <w:rsid w:val="00CB44C3"/>
    <w:rsid w:val="00CB50C5"/>
    <w:rsid w:val="00CB5454"/>
    <w:rsid w:val="00CB54DC"/>
    <w:rsid w:val="00CB57CA"/>
    <w:rsid w:val="00CB72F3"/>
    <w:rsid w:val="00CC002B"/>
    <w:rsid w:val="00CC04AF"/>
    <w:rsid w:val="00CC053F"/>
    <w:rsid w:val="00CC0D31"/>
    <w:rsid w:val="00CC1679"/>
    <w:rsid w:val="00CC1FDC"/>
    <w:rsid w:val="00CC35A5"/>
    <w:rsid w:val="00CC3B2D"/>
    <w:rsid w:val="00CC3D13"/>
    <w:rsid w:val="00CC4082"/>
    <w:rsid w:val="00CC4395"/>
    <w:rsid w:val="00CC49EB"/>
    <w:rsid w:val="00CC5121"/>
    <w:rsid w:val="00CC66D6"/>
    <w:rsid w:val="00CC7CCD"/>
    <w:rsid w:val="00CC7EFC"/>
    <w:rsid w:val="00CD12CC"/>
    <w:rsid w:val="00CD1517"/>
    <w:rsid w:val="00CD180E"/>
    <w:rsid w:val="00CD1C6F"/>
    <w:rsid w:val="00CD1CF9"/>
    <w:rsid w:val="00CD2A20"/>
    <w:rsid w:val="00CD3210"/>
    <w:rsid w:val="00CD3A3A"/>
    <w:rsid w:val="00CD3B75"/>
    <w:rsid w:val="00CD4372"/>
    <w:rsid w:val="00CD5510"/>
    <w:rsid w:val="00CD5520"/>
    <w:rsid w:val="00CD574C"/>
    <w:rsid w:val="00CD57C3"/>
    <w:rsid w:val="00CD5BDC"/>
    <w:rsid w:val="00CD6D3A"/>
    <w:rsid w:val="00CD7DEF"/>
    <w:rsid w:val="00CE00E8"/>
    <w:rsid w:val="00CE0B63"/>
    <w:rsid w:val="00CE0E62"/>
    <w:rsid w:val="00CE223B"/>
    <w:rsid w:val="00CE3767"/>
    <w:rsid w:val="00CE3D9D"/>
    <w:rsid w:val="00CE3E6E"/>
    <w:rsid w:val="00CE47CD"/>
    <w:rsid w:val="00CE4B95"/>
    <w:rsid w:val="00CE5722"/>
    <w:rsid w:val="00CE5AD8"/>
    <w:rsid w:val="00CE618A"/>
    <w:rsid w:val="00CE653C"/>
    <w:rsid w:val="00CE6E7B"/>
    <w:rsid w:val="00CE7028"/>
    <w:rsid w:val="00CE7138"/>
    <w:rsid w:val="00CE717E"/>
    <w:rsid w:val="00CE7EA7"/>
    <w:rsid w:val="00CF0348"/>
    <w:rsid w:val="00CF0CBA"/>
    <w:rsid w:val="00CF1550"/>
    <w:rsid w:val="00CF1953"/>
    <w:rsid w:val="00CF2BE9"/>
    <w:rsid w:val="00CF35CE"/>
    <w:rsid w:val="00CF36AB"/>
    <w:rsid w:val="00CF38E4"/>
    <w:rsid w:val="00CF3D24"/>
    <w:rsid w:val="00CF4928"/>
    <w:rsid w:val="00CF4FE0"/>
    <w:rsid w:val="00CF64B1"/>
    <w:rsid w:val="00CF686D"/>
    <w:rsid w:val="00CF6A55"/>
    <w:rsid w:val="00CF6A92"/>
    <w:rsid w:val="00CF6CDF"/>
    <w:rsid w:val="00CF7209"/>
    <w:rsid w:val="00CF7DE4"/>
    <w:rsid w:val="00D01FC1"/>
    <w:rsid w:val="00D02053"/>
    <w:rsid w:val="00D02190"/>
    <w:rsid w:val="00D0240F"/>
    <w:rsid w:val="00D0286A"/>
    <w:rsid w:val="00D02B64"/>
    <w:rsid w:val="00D02E0D"/>
    <w:rsid w:val="00D02FE8"/>
    <w:rsid w:val="00D032AC"/>
    <w:rsid w:val="00D04028"/>
    <w:rsid w:val="00D04122"/>
    <w:rsid w:val="00D04C7B"/>
    <w:rsid w:val="00D04D64"/>
    <w:rsid w:val="00D053B4"/>
    <w:rsid w:val="00D05837"/>
    <w:rsid w:val="00D05FAE"/>
    <w:rsid w:val="00D07276"/>
    <w:rsid w:val="00D07473"/>
    <w:rsid w:val="00D07CB0"/>
    <w:rsid w:val="00D108BE"/>
    <w:rsid w:val="00D11277"/>
    <w:rsid w:val="00D11B31"/>
    <w:rsid w:val="00D11D0F"/>
    <w:rsid w:val="00D11D98"/>
    <w:rsid w:val="00D12815"/>
    <w:rsid w:val="00D1323E"/>
    <w:rsid w:val="00D13314"/>
    <w:rsid w:val="00D14011"/>
    <w:rsid w:val="00D14FFF"/>
    <w:rsid w:val="00D15E39"/>
    <w:rsid w:val="00D15F32"/>
    <w:rsid w:val="00D16F68"/>
    <w:rsid w:val="00D20156"/>
    <w:rsid w:val="00D2049B"/>
    <w:rsid w:val="00D20A9E"/>
    <w:rsid w:val="00D20C4B"/>
    <w:rsid w:val="00D23F02"/>
    <w:rsid w:val="00D246EC"/>
    <w:rsid w:val="00D24EC7"/>
    <w:rsid w:val="00D25304"/>
    <w:rsid w:val="00D25C48"/>
    <w:rsid w:val="00D2644F"/>
    <w:rsid w:val="00D264EF"/>
    <w:rsid w:val="00D26509"/>
    <w:rsid w:val="00D267CF"/>
    <w:rsid w:val="00D26D1A"/>
    <w:rsid w:val="00D272AC"/>
    <w:rsid w:val="00D272B5"/>
    <w:rsid w:val="00D278D3"/>
    <w:rsid w:val="00D31004"/>
    <w:rsid w:val="00D32084"/>
    <w:rsid w:val="00D32CB1"/>
    <w:rsid w:val="00D338DC"/>
    <w:rsid w:val="00D34B58"/>
    <w:rsid w:val="00D34F6D"/>
    <w:rsid w:val="00D3503C"/>
    <w:rsid w:val="00D35515"/>
    <w:rsid w:val="00D355B0"/>
    <w:rsid w:val="00D35ADA"/>
    <w:rsid w:val="00D35C4A"/>
    <w:rsid w:val="00D35EB6"/>
    <w:rsid w:val="00D361A9"/>
    <w:rsid w:val="00D36B58"/>
    <w:rsid w:val="00D36DF0"/>
    <w:rsid w:val="00D372F7"/>
    <w:rsid w:val="00D37EBE"/>
    <w:rsid w:val="00D40747"/>
    <w:rsid w:val="00D40CCA"/>
    <w:rsid w:val="00D40E48"/>
    <w:rsid w:val="00D4101F"/>
    <w:rsid w:val="00D4179E"/>
    <w:rsid w:val="00D426AC"/>
    <w:rsid w:val="00D436A7"/>
    <w:rsid w:val="00D44029"/>
    <w:rsid w:val="00D4452F"/>
    <w:rsid w:val="00D44BD2"/>
    <w:rsid w:val="00D44D80"/>
    <w:rsid w:val="00D460B1"/>
    <w:rsid w:val="00D46D67"/>
    <w:rsid w:val="00D47B71"/>
    <w:rsid w:val="00D47E28"/>
    <w:rsid w:val="00D50493"/>
    <w:rsid w:val="00D504EC"/>
    <w:rsid w:val="00D5065C"/>
    <w:rsid w:val="00D50C82"/>
    <w:rsid w:val="00D5120B"/>
    <w:rsid w:val="00D51F1A"/>
    <w:rsid w:val="00D52207"/>
    <w:rsid w:val="00D5386D"/>
    <w:rsid w:val="00D55A93"/>
    <w:rsid w:val="00D55D17"/>
    <w:rsid w:val="00D56366"/>
    <w:rsid w:val="00D56BC1"/>
    <w:rsid w:val="00D56BE1"/>
    <w:rsid w:val="00D572F1"/>
    <w:rsid w:val="00D573AE"/>
    <w:rsid w:val="00D579DA"/>
    <w:rsid w:val="00D6014C"/>
    <w:rsid w:val="00D60FFB"/>
    <w:rsid w:val="00D617B3"/>
    <w:rsid w:val="00D61853"/>
    <w:rsid w:val="00D627A9"/>
    <w:rsid w:val="00D62886"/>
    <w:rsid w:val="00D62A6D"/>
    <w:rsid w:val="00D63119"/>
    <w:rsid w:val="00D63443"/>
    <w:rsid w:val="00D63D99"/>
    <w:rsid w:val="00D65D4E"/>
    <w:rsid w:val="00D65FC2"/>
    <w:rsid w:val="00D70B1B"/>
    <w:rsid w:val="00D7186A"/>
    <w:rsid w:val="00D72059"/>
    <w:rsid w:val="00D7212C"/>
    <w:rsid w:val="00D7251B"/>
    <w:rsid w:val="00D729B6"/>
    <w:rsid w:val="00D72D31"/>
    <w:rsid w:val="00D7329B"/>
    <w:rsid w:val="00D7418F"/>
    <w:rsid w:val="00D74C23"/>
    <w:rsid w:val="00D7549E"/>
    <w:rsid w:val="00D75AB8"/>
    <w:rsid w:val="00D76F44"/>
    <w:rsid w:val="00D76FD8"/>
    <w:rsid w:val="00D7727C"/>
    <w:rsid w:val="00D77314"/>
    <w:rsid w:val="00D77847"/>
    <w:rsid w:val="00D804FB"/>
    <w:rsid w:val="00D80E25"/>
    <w:rsid w:val="00D80F1C"/>
    <w:rsid w:val="00D81758"/>
    <w:rsid w:val="00D81BD3"/>
    <w:rsid w:val="00D826AC"/>
    <w:rsid w:val="00D83077"/>
    <w:rsid w:val="00D83DC8"/>
    <w:rsid w:val="00D84524"/>
    <w:rsid w:val="00D84535"/>
    <w:rsid w:val="00D84793"/>
    <w:rsid w:val="00D85A5E"/>
    <w:rsid w:val="00D8603A"/>
    <w:rsid w:val="00D861B8"/>
    <w:rsid w:val="00D86228"/>
    <w:rsid w:val="00D867AB"/>
    <w:rsid w:val="00D86A1C"/>
    <w:rsid w:val="00D86C5A"/>
    <w:rsid w:val="00D87A6B"/>
    <w:rsid w:val="00D90C5C"/>
    <w:rsid w:val="00D90EC1"/>
    <w:rsid w:val="00D91186"/>
    <w:rsid w:val="00D919EC"/>
    <w:rsid w:val="00D92579"/>
    <w:rsid w:val="00D92B48"/>
    <w:rsid w:val="00D93CF7"/>
    <w:rsid w:val="00D94477"/>
    <w:rsid w:val="00D94710"/>
    <w:rsid w:val="00D947BD"/>
    <w:rsid w:val="00D9572C"/>
    <w:rsid w:val="00D96625"/>
    <w:rsid w:val="00D96D08"/>
    <w:rsid w:val="00D96F76"/>
    <w:rsid w:val="00D97642"/>
    <w:rsid w:val="00D97A9A"/>
    <w:rsid w:val="00D97C03"/>
    <w:rsid w:val="00DA0396"/>
    <w:rsid w:val="00DA0B87"/>
    <w:rsid w:val="00DA0EEE"/>
    <w:rsid w:val="00DA0F24"/>
    <w:rsid w:val="00DA1301"/>
    <w:rsid w:val="00DA19DD"/>
    <w:rsid w:val="00DA29C8"/>
    <w:rsid w:val="00DA44EC"/>
    <w:rsid w:val="00DA4938"/>
    <w:rsid w:val="00DA64A8"/>
    <w:rsid w:val="00DA6655"/>
    <w:rsid w:val="00DA787B"/>
    <w:rsid w:val="00DA790C"/>
    <w:rsid w:val="00DA79A8"/>
    <w:rsid w:val="00DA7A87"/>
    <w:rsid w:val="00DB06DB"/>
    <w:rsid w:val="00DB07B0"/>
    <w:rsid w:val="00DB0A21"/>
    <w:rsid w:val="00DB0DEA"/>
    <w:rsid w:val="00DB0F90"/>
    <w:rsid w:val="00DB1061"/>
    <w:rsid w:val="00DB14C4"/>
    <w:rsid w:val="00DB169A"/>
    <w:rsid w:val="00DB16EA"/>
    <w:rsid w:val="00DB1D69"/>
    <w:rsid w:val="00DB29B0"/>
    <w:rsid w:val="00DB2AD5"/>
    <w:rsid w:val="00DB3C77"/>
    <w:rsid w:val="00DB45CC"/>
    <w:rsid w:val="00DB49EA"/>
    <w:rsid w:val="00DB77B9"/>
    <w:rsid w:val="00DC0A6E"/>
    <w:rsid w:val="00DC0C89"/>
    <w:rsid w:val="00DC0FB9"/>
    <w:rsid w:val="00DC10CD"/>
    <w:rsid w:val="00DC17A1"/>
    <w:rsid w:val="00DC20D5"/>
    <w:rsid w:val="00DC2B98"/>
    <w:rsid w:val="00DC3337"/>
    <w:rsid w:val="00DC42FF"/>
    <w:rsid w:val="00DC4C2F"/>
    <w:rsid w:val="00DC4EF1"/>
    <w:rsid w:val="00DC5481"/>
    <w:rsid w:val="00DC676E"/>
    <w:rsid w:val="00DC6A5F"/>
    <w:rsid w:val="00DC6C6D"/>
    <w:rsid w:val="00DC7230"/>
    <w:rsid w:val="00DC7278"/>
    <w:rsid w:val="00DC7D53"/>
    <w:rsid w:val="00DD1AD3"/>
    <w:rsid w:val="00DD26C3"/>
    <w:rsid w:val="00DD299D"/>
    <w:rsid w:val="00DD2F63"/>
    <w:rsid w:val="00DD4C2A"/>
    <w:rsid w:val="00DD4FFE"/>
    <w:rsid w:val="00DD6714"/>
    <w:rsid w:val="00DD6B10"/>
    <w:rsid w:val="00DD711A"/>
    <w:rsid w:val="00DD721C"/>
    <w:rsid w:val="00DD743D"/>
    <w:rsid w:val="00DD7779"/>
    <w:rsid w:val="00DD7935"/>
    <w:rsid w:val="00DE108D"/>
    <w:rsid w:val="00DE40E9"/>
    <w:rsid w:val="00DE48B7"/>
    <w:rsid w:val="00DE4C70"/>
    <w:rsid w:val="00DE59EC"/>
    <w:rsid w:val="00DE5AA5"/>
    <w:rsid w:val="00DE62E9"/>
    <w:rsid w:val="00DE639D"/>
    <w:rsid w:val="00DE690B"/>
    <w:rsid w:val="00DE757E"/>
    <w:rsid w:val="00DF019B"/>
    <w:rsid w:val="00DF0681"/>
    <w:rsid w:val="00DF0EDF"/>
    <w:rsid w:val="00DF181D"/>
    <w:rsid w:val="00DF304A"/>
    <w:rsid w:val="00DF31E8"/>
    <w:rsid w:val="00DF46CD"/>
    <w:rsid w:val="00DF4EBD"/>
    <w:rsid w:val="00DF565B"/>
    <w:rsid w:val="00DF5B92"/>
    <w:rsid w:val="00DF7203"/>
    <w:rsid w:val="00DF78D2"/>
    <w:rsid w:val="00DF7AD2"/>
    <w:rsid w:val="00DF7C58"/>
    <w:rsid w:val="00DF7C95"/>
    <w:rsid w:val="00E002F7"/>
    <w:rsid w:val="00E0194D"/>
    <w:rsid w:val="00E01968"/>
    <w:rsid w:val="00E022BB"/>
    <w:rsid w:val="00E0362A"/>
    <w:rsid w:val="00E038D0"/>
    <w:rsid w:val="00E038DA"/>
    <w:rsid w:val="00E0478C"/>
    <w:rsid w:val="00E047C9"/>
    <w:rsid w:val="00E04B3D"/>
    <w:rsid w:val="00E052FE"/>
    <w:rsid w:val="00E05A5D"/>
    <w:rsid w:val="00E06637"/>
    <w:rsid w:val="00E07CF2"/>
    <w:rsid w:val="00E1034D"/>
    <w:rsid w:val="00E10398"/>
    <w:rsid w:val="00E12124"/>
    <w:rsid w:val="00E1213D"/>
    <w:rsid w:val="00E12276"/>
    <w:rsid w:val="00E1396F"/>
    <w:rsid w:val="00E13F6A"/>
    <w:rsid w:val="00E143F9"/>
    <w:rsid w:val="00E14DD6"/>
    <w:rsid w:val="00E1563F"/>
    <w:rsid w:val="00E15749"/>
    <w:rsid w:val="00E15A8D"/>
    <w:rsid w:val="00E15C84"/>
    <w:rsid w:val="00E15ED1"/>
    <w:rsid w:val="00E16114"/>
    <w:rsid w:val="00E16657"/>
    <w:rsid w:val="00E16764"/>
    <w:rsid w:val="00E16904"/>
    <w:rsid w:val="00E16EF1"/>
    <w:rsid w:val="00E170A3"/>
    <w:rsid w:val="00E171EF"/>
    <w:rsid w:val="00E21853"/>
    <w:rsid w:val="00E235D9"/>
    <w:rsid w:val="00E24610"/>
    <w:rsid w:val="00E249ED"/>
    <w:rsid w:val="00E24EE0"/>
    <w:rsid w:val="00E25827"/>
    <w:rsid w:val="00E25C74"/>
    <w:rsid w:val="00E26AE4"/>
    <w:rsid w:val="00E26F3A"/>
    <w:rsid w:val="00E271C3"/>
    <w:rsid w:val="00E27496"/>
    <w:rsid w:val="00E274D8"/>
    <w:rsid w:val="00E275F4"/>
    <w:rsid w:val="00E27F0C"/>
    <w:rsid w:val="00E3023D"/>
    <w:rsid w:val="00E32054"/>
    <w:rsid w:val="00E32D79"/>
    <w:rsid w:val="00E359A7"/>
    <w:rsid w:val="00E367B8"/>
    <w:rsid w:val="00E37115"/>
    <w:rsid w:val="00E3717B"/>
    <w:rsid w:val="00E3726F"/>
    <w:rsid w:val="00E3752A"/>
    <w:rsid w:val="00E37F0E"/>
    <w:rsid w:val="00E40960"/>
    <w:rsid w:val="00E41062"/>
    <w:rsid w:val="00E4124A"/>
    <w:rsid w:val="00E418B3"/>
    <w:rsid w:val="00E426FE"/>
    <w:rsid w:val="00E42A69"/>
    <w:rsid w:val="00E42B6D"/>
    <w:rsid w:val="00E43D4A"/>
    <w:rsid w:val="00E43E3D"/>
    <w:rsid w:val="00E43FF2"/>
    <w:rsid w:val="00E44782"/>
    <w:rsid w:val="00E44B9B"/>
    <w:rsid w:val="00E44EC8"/>
    <w:rsid w:val="00E4591C"/>
    <w:rsid w:val="00E4602B"/>
    <w:rsid w:val="00E47BA7"/>
    <w:rsid w:val="00E505A5"/>
    <w:rsid w:val="00E51C14"/>
    <w:rsid w:val="00E52061"/>
    <w:rsid w:val="00E54B7A"/>
    <w:rsid w:val="00E54CC2"/>
    <w:rsid w:val="00E5507E"/>
    <w:rsid w:val="00E55675"/>
    <w:rsid w:val="00E55773"/>
    <w:rsid w:val="00E55C0C"/>
    <w:rsid w:val="00E600C1"/>
    <w:rsid w:val="00E61B23"/>
    <w:rsid w:val="00E61B72"/>
    <w:rsid w:val="00E61E61"/>
    <w:rsid w:val="00E628B0"/>
    <w:rsid w:val="00E62F3B"/>
    <w:rsid w:val="00E63023"/>
    <w:rsid w:val="00E6417B"/>
    <w:rsid w:val="00E64CF4"/>
    <w:rsid w:val="00E652D0"/>
    <w:rsid w:val="00E65C83"/>
    <w:rsid w:val="00E660B8"/>
    <w:rsid w:val="00E66197"/>
    <w:rsid w:val="00E662E6"/>
    <w:rsid w:val="00E6634F"/>
    <w:rsid w:val="00E66B5D"/>
    <w:rsid w:val="00E66C5B"/>
    <w:rsid w:val="00E67514"/>
    <w:rsid w:val="00E67E63"/>
    <w:rsid w:val="00E67FC4"/>
    <w:rsid w:val="00E7006D"/>
    <w:rsid w:val="00E701D3"/>
    <w:rsid w:val="00E70DF4"/>
    <w:rsid w:val="00E70ED9"/>
    <w:rsid w:val="00E710D8"/>
    <w:rsid w:val="00E71EA1"/>
    <w:rsid w:val="00E72231"/>
    <w:rsid w:val="00E728FA"/>
    <w:rsid w:val="00E740CE"/>
    <w:rsid w:val="00E74327"/>
    <w:rsid w:val="00E7478D"/>
    <w:rsid w:val="00E748EA"/>
    <w:rsid w:val="00E74928"/>
    <w:rsid w:val="00E74B79"/>
    <w:rsid w:val="00E74D6A"/>
    <w:rsid w:val="00E75A56"/>
    <w:rsid w:val="00E77E78"/>
    <w:rsid w:val="00E80277"/>
    <w:rsid w:val="00E8073D"/>
    <w:rsid w:val="00E80AC8"/>
    <w:rsid w:val="00E8114E"/>
    <w:rsid w:val="00E81236"/>
    <w:rsid w:val="00E819BB"/>
    <w:rsid w:val="00E81FF6"/>
    <w:rsid w:val="00E821A7"/>
    <w:rsid w:val="00E828E6"/>
    <w:rsid w:val="00E832DA"/>
    <w:rsid w:val="00E83661"/>
    <w:rsid w:val="00E848F3"/>
    <w:rsid w:val="00E84D6A"/>
    <w:rsid w:val="00E85295"/>
    <w:rsid w:val="00E85AF8"/>
    <w:rsid w:val="00E8648E"/>
    <w:rsid w:val="00E86B3A"/>
    <w:rsid w:val="00E8728B"/>
    <w:rsid w:val="00E90046"/>
    <w:rsid w:val="00E91716"/>
    <w:rsid w:val="00E91A38"/>
    <w:rsid w:val="00E925F1"/>
    <w:rsid w:val="00E92EA4"/>
    <w:rsid w:val="00E931BA"/>
    <w:rsid w:val="00E93458"/>
    <w:rsid w:val="00E93498"/>
    <w:rsid w:val="00E93566"/>
    <w:rsid w:val="00E93775"/>
    <w:rsid w:val="00E946FE"/>
    <w:rsid w:val="00E96BDA"/>
    <w:rsid w:val="00E975ED"/>
    <w:rsid w:val="00EA01E4"/>
    <w:rsid w:val="00EA0B01"/>
    <w:rsid w:val="00EA17E4"/>
    <w:rsid w:val="00EA1D03"/>
    <w:rsid w:val="00EA2942"/>
    <w:rsid w:val="00EA372A"/>
    <w:rsid w:val="00EA3811"/>
    <w:rsid w:val="00EA3D74"/>
    <w:rsid w:val="00EA450A"/>
    <w:rsid w:val="00EA4E6E"/>
    <w:rsid w:val="00EA525B"/>
    <w:rsid w:val="00EA575A"/>
    <w:rsid w:val="00EA581C"/>
    <w:rsid w:val="00EA6221"/>
    <w:rsid w:val="00EA70AA"/>
    <w:rsid w:val="00EA7499"/>
    <w:rsid w:val="00EA7BE0"/>
    <w:rsid w:val="00EA7C51"/>
    <w:rsid w:val="00EA7EEF"/>
    <w:rsid w:val="00EB12B9"/>
    <w:rsid w:val="00EB1540"/>
    <w:rsid w:val="00EB1B75"/>
    <w:rsid w:val="00EB200E"/>
    <w:rsid w:val="00EB2183"/>
    <w:rsid w:val="00EB2A3D"/>
    <w:rsid w:val="00EB32B6"/>
    <w:rsid w:val="00EB3C1C"/>
    <w:rsid w:val="00EB3C22"/>
    <w:rsid w:val="00EB43CC"/>
    <w:rsid w:val="00EB6ADE"/>
    <w:rsid w:val="00EB726F"/>
    <w:rsid w:val="00EB7C8C"/>
    <w:rsid w:val="00EB7EBB"/>
    <w:rsid w:val="00EC0401"/>
    <w:rsid w:val="00EC0E79"/>
    <w:rsid w:val="00EC1075"/>
    <w:rsid w:val="00EC1386"/>
    <w:rsid w:val="00EC15A1"/>
    <w:rsid w:val="00EC1663"/>
    <w:rsid w:val="00EC20D2"/>
    <w:rsid w:val="00EC29A6"/>
    <w:rsid w:val="00EC2EE1"/>
    <w:rsid w:val="00EC426A"/>
    <w:rsid w:val="00EC4873"/>
    <w:rsid w:val="00EC4E59"/>
    <w:rsid w:val="00EC58B6"/>
    <w:rsid w:val="00EC6D41"/>
    <w:rsid w:val="00EC6E97"/>
    <w:rsid w:val="00EC7A02"/>
    <w:rsid w:val="00EC7AD3"/>
    <w:rsid w:val="00EC7B51"/>
    <w:rsid w:val="00ED183A"/>
    <w:rsid w:val="00ED1C99"/>
    <w:rsid w:val="00ED2BA7"/>
    <w:rsid w:val="00ED3268"/>
    <w:rsid w:val="00ED38D5"/>
    <w:rsid w:val="00ED3948"/>
    <w:rsid w:val="00ED39E5"/>
    <w:rsid w:val="00ED3C8F"/>
    <w:rsid w:val="00ED569D"/>
    <w:rsid w:val="00ED5FEA"/>
    <w:rsid w:val="00ED619C"/>
    <w:rsid w:val="00ED6413"/>
    <w:rsid w:val="00ED67E4"/>
    <w:rsid w:val="00EE0AF7"/>
    <w:rsid w:val="00EE2117"/>
    <w:rsid w:val="00EE3BB1"/>
    <w:rsid w:val="00EE3D29"/>
    <w:rsid w:val="00EE4A24"/>
    <w:rsid w:val="00EE5267"/>
    <w:rsid w:val="00EE59B4"/>
    <w:rsid w:val="00EE5C1A"/>
    <w:rsid w:val="00EE615E"/>
    <w:rsid w:val="00EE6901"/>
    <w:rsid w:val="00EE6F79"/>
    <w:rsid w:val="00EE70F5"/>
    <w:rsid w:val="00EE7465"/>
    <w:rsid w:val="00EE76CA"/>
    <w:rsid w:val="00EE77AB"/>
    <w:rsid w:val="00EE7B02"/>
    <w:rsid w:val="00EF0928"/>
    <w:rsid w:val="00EF10CB"/>
    <w:rsid w:val="00EF15B6"/>
    <w:rsid w:val="00EF1665"/>
    <w:rsid w:val="00EF181A"/>
    <w:rsid w:val="00EF19A9"/>
    <w:rsid w:val="00EF19D7"/>
    <w:rsid w:val="00EF2370"/>
    <w:rsid w:val="00EF2D77"/>
    <w:rsid w:val="00EF2DBA"/>
    <w:rsid w:val="00EF3818"/>
    <w:rsid w:val="00EF42A8"/>
    <w:rsid w:val="00EF480C"/>
    <w:rsid w:val="00EF57FA"/>
    <w:rsid w:val="00EF592F"/>
    <w:rsid w:val="00EF6AD8"/>
    <w:rsid w:val="00EF793E"/>
    <w:rsid w:val="00F0035E"/>
    <w:rsid w:val="00F005FB"/>
    <w:rsid w:val="00F006E4"/>
    <w:rsid w:val="00F00E28"/>
    <w:rsid w:val="00F01B7D"/>
    <w:rsid w:val="00F020EE"/>
    <w:rsid w:val="00F021FD"/>
    <w:rsid w:val="00F02538"/>
    <w:rsid w:val="00F0258C"/>
    <w:rsid w:val="00F0286E"/>
    <w:rsid w:val="00F035F6"/>
    <w:rsid w:val="00F03889"/>
    <w:rsid w:val="00F04E5D"/>
    <w:rsid w:val="00F054C8"/>
    <w:rsid w:val="00F06481"/>
    <w:rsid w:val="00F06520"/>
    <w:rsid w:val="00F065C5"/>
    <w:rsid w:val="00F06A15"/>
    <w:rsid w:val="00F06C6F"/>
    <w:rsid w:val="00F071EC"/>
    <w:rsid w:val="00F07A61"/>
    <w:rsid w:val="00F07B21"/>
    <w:rsid w:val="00F07E3E"/>
    <w:rsid w:val="00F07E7A"/>
    <w:rsid w:val="00F1001F"/>
    <w:rsid w:val="00F10954"/>
    <w:rsid w:val="00F10C3E"/>
    <w:rsid w:val="00F12746"/>
    <w:rsid w:val="00F128B3"/>
    <w:rsid w:val="00F12AC6"/>
    <w:rsid w:val="00F1473F"/>
    <w:rsid w:val="00F14FA1"/>
    <w:rsid w:val="00F15123"/>
    <w:rsid w:val="00F1532B"/>
    <w:rsid w:val="00F157C9"/>
    <w:rsid w:val="00F159C4"/>
    <w:rsid w:val="00F15B51"/>
    <w:rsid w:val="00F163AF"/>
    <w:rsid w:val="00F16F63"/>
    <w:rsid w:val="00F17F76"/>
    <w:rsid w:val="00F205D9"/>
    <w:rsid w:val="00F20A16"/>
    <w:rsid w:val="00F20F8B"/>
    <w:rsid w:val="00F21419"/>
    <w:rsid w:val="00F2180A"/>
    <w:rsid w:val="00F22102"/>
    <w:rsid w:val="00F22193"/>
    <w:rsid w:val="00F22A13"/>
    <w:rsid w:val="00F22BA4"/>
    <w:rsid w:val="00F2330B"/>
    <w:rsid w:val="00F23B21"/>
    <w:rsid w:val="00F250EE"/>
    <w:rsid w:val="00F25681"/>
    <w:rsid w:val="00F25C67"/>
    <w:rsid w:val="00F25F1C"/>
    <w:rsid w:val="00F26195"/>
    <w:rsid w:val="00F263A5"/>
    <w:rsid w:val="00F265F7"/>
    <w:rsid w:val="00F2764D"/>
    <w:rsid w:val="00F27664"/>
    <w:rsid w:val="00F27E22"/>
    <w:rsid w:val="00F300D5"/>
    <w:rsid w:val="00F30B86"/>
    <w:rsid w:val="00F328BF"/>
    <w:rsid w:val="00F3298C"/>
    <w:rsid w:val="00F32B3C"/>
    <w:rsid w:val="00F32D75"/>
    <w:rsid w:val="00F33167"/>
    <w:rsid w:val="00F3381A"/>
    <w:rsid w:val="00F33CED"/>
    <w:rsid w:val="00F33F32"/>
    <w:rsid w:val="00F34345"/>
    <w:rsid w:val="00F3482D"/>
    <w:rsid w:val="00F350AD"/>
    <w:rsid w:val="00F355EE"/>
    <w:rsid w:val="00F35821"/>
    <w:rsid w:val="00F3630C"/>
    <w:rsid w:val="00F36DD9"/>
    <w:rsid w:val="00F375AD"/>
    <w:rsid w:val="00F37FE6"/>
    <w:rsid w:val="00F40081"/>
    <w:rsid w:val="00F40093"/>
    <w:rsid w:val="00F40C15"/>
    <w:rsid w:val="00F4120A"/>
    <w:rsid w:val="00F415C6"/>
    <w:rsid w:val="00F42EE6"/>
    <w:rsid w:val="00F43393"/>
    <w:rsid w:val="00F43CA3"/>
    <w:rsid w:val="00F4408D"/>
    <w:rsid w:val="00F440F0"/>
    <w:rsid w:val="00F45376"/>
    <w:rsid w:val="00F456DF"/>
    <w:rsid w:val="00F45F09"/>
    <w:rsid w:val="00F4694E"/>
    <w:rsid w:val="00F46A6E"/>
    <w:rsid w:val="00F46AD6"/>
    <w:rsid w:val="00F46F0E"/>
    <w:rsid w:val="00F501E3"/>
    <w:rsid w:val="00F515EE"/>
    <w:rsid w:val="00F520AB"/>
    <w:rsid w:val="00F524E5"/>
    <w:rsid w:val="00F529E9"/>
    <w:rsid w:val="00F54058"/>
    <w:rsid w:val="00F556E1"/>
    <w:rsid w:val="00F55A0F"/>
    <w:rsid w:val="00F56B77"/>
    <w:rsid w:val="00F56CC6"/>
    <w:rsid w:val="00F57191"/>
    <w:rsid w:val="00F575C8"/>
    <w:rsid w:val="00F6037B"/>
    <w:rsid w:val="00F60463"/>
    <w:rsid w:val="00F608D0"/>
    <w:rsid w:val="00F60AD5"/>
    <w:rsid w:val="00F61A26"/>
    <w:rsid w:val="00F61A31"/>
    <w:rsid w:val="00F623FD"/>
    <w:rsid w:val="00F62A87"/>
    <w:rsid w:val="00F63D1F"/>
    <w:rsid w:val="00F660B7"/>
    <w:rsid w:val="00F6714E"/>
    <w:rsid w:val="00F70472"/>
    <w:rsid w:val="00F70A56"/>
    <w:rsid w:val="00F71602"/>
    <w:rsid w:val="00F72885"/>
    <w:rsid w:val="00F72EC3"/>
    <w:rsid w:val="00F75938"/>
    <w:rsid w:val="00F75A25"/>
    <w:rsid w:val="00F76C46"/>
    <w:rsid w:val="00F77105"/>
    <w:rsid w:val="00F7764E"/>
    <w:rsid w:val="00F77BF1"/>
    <w:rsid w:val="00F802CF"/>
    <w:rsid w:val="00F82072"/>
    <w:rsid w:val="00F82281"/>
    <w:rsid w:val="00F82465"/>
    <w:rsid w:val="00F825D2"/>
    <w:rsid w:val="00F82B9A"/>
    <w:rsid w:val="00F8326C"/>
    <w:rsid w:val="00F835AE"/>
    <w:rsid w:val="00F83735"/>
    <w:rsid w:val="00F83C1F"/>
    <w:rsid w:val="00F8434A"/>
    <w:rsid w:val="00F8484C"/>
    <w:rsid w:val="00F850D5"/>
    <w:rsid w:val="00F85820"/>
    <w:rsid w:val="00F858F7"/>
    <w:rsid w:val="00F85F3F"/>
    <w:rsid w:val="00F864E9"/>
    <w:rsid w:val="00F87E7F"/>
    <w:rsid w:val="00F900D7"/>
    <w:rsid w:val="00F904D1"/>
    <w:rsid w:val="00F9148C"/>
    <w:rsid w:val="00F91DAC"/>
    <w:rsid w:val="00F921BE"/>
    <w:rsid w:val="00F921E3"/>
    <w:rsid w:val="00F92A02"/>
    <w:rsid w:val="00F932DE"/>
    <w:rsid w:val="00F93E60"/>
    <w:rsid w:val="00F941AF"/>
    <w:rsid w:val="00F94720"/>
    <w:rsid w:val="00F94A81"/>
    <w:rsid w:val="00F94EA7"/>
    <w:rsid w:val="00F95A50"/>
    <w:rsid w:val="00F962B9"/>
    <w:rsid w:val="00F9641C"/>
    <w:rsid w:val="00F9693C"/>
    <w:rsid w:val="00F9694F"/>
    <w:rsid w:val="00F979B5"/>
    <w:rsid w:val="00F97D68"/>
    <w:rsid w:val="00F97F07"/>
    <w:rsid w:val="00FA0503"/>
    <w:rsid w:val="00FA05A3"/>
    <w:rsid w:val="00FA0D61"/>
    <w:rsid w:val="00FA0F04"/>
    <w:rsid w:val="00FA1378"/>
    <w:rsid w:val="00FA2109"/>
    <w:rsid w:val="00FA2E91"/>
    <w:rsid w:val="00FA2E92"/>
    <w:rsid w:val="00FA33A2"/>
    <w:rsid w:val="00FA352F"/>
    <w:rsid w:val="00FA35A7"/>
    <w:rsid w:val="00FA36D7"/>
    <w:rsid w:val="00FA3B0A"/>
    <w:rsid w:val="00FA3E0A"/>
    <w:rsid w:val="00FA452C"/>
    <w:rsid w:val="00FA4C1C"/>
    <w:rsid w:val="00FA536B"/>
    <w:rsid w:val="00FA53C4"/>
    <w:rsid w:val="00FA5AF8"/>
    <w:rsid w:val="00FA5FEC"/>
    <w:rsid w:val="00FB045F"/>
    <w:rsid w:val="00FB1107"/>
    <w:rsid w:val="00FB1D74"/>
    <w:rsid w:val="00FB220F"/>
    <w:rsid w:val="00FB2619"/>
    <w:rsid w:val="00FB352C"/>
    <w:rsid w:val="00FB4B88"/>
    <w:rsid w:val="00FB59DE"/>
    <w:rsid w:val="00FB5C7C"/>
    <w:rsid w:val="00FB7838"/>
    <w:rsid w:val="00FC09C3"/>
    <w:rsid w:val="00FC1B75"/>
    <w:rsid w:val="00FC2C6A"/>
    <w:rsid w:val="00FC2E8E"/>
    <w:rsid w:val="00FC2F2B"/>
    <w:rsid w:val="00FC304A"/>
    <w:rsid w:val="00FC385B"/>
    <w:rsid w:val="00FC46A9"/>
    <w:rsid w:val="00FC46AC"/>
    <w:rsid w:val="00FC48CB"/>
    <w:rsid w:val="00FC4A52"/>
    <w:rsid w:val="00FC52B2"/>
    <w:rsid w:val="00FC6B29"/>
    <w:rsid w:val="00FC71AC"/>
    <w:rsid w:val="00FC74EA"/>
    <w:rsid w:val="00FC7ACB"/>
    <w:rsid w:val="00FC7B6A"/>
    <w:rsid w:val="00FD0A82"/>
    <w:rsid w:val="00FD1312"/>
    <w:rsid w:val="00FD1A4F"/>
    <w:rsid w:val="00FD204D"/>
    <w:rsid w:val="00FD2439"/>
    <w:rsid w:val="00FD2B64"/>
    <w:rsid w:val="00FD2D29"/>
    <w:rsid w:val="00FD4286"/>
    <w:rsid w:val="00FD49EE"/>
    <w:rsid w:val="00FD54B0"/>
    <w:rsid w:val="00FD6F0A"/>
    <w:rsid w:val="00FD72D8"/>
    <w:rsid w:val="00FD7500"/>
    <w:rsid w:val="00FD7C8D"/>
    <w:rsid w:val="00FD7CF9"/>
    <w:rsid w:val="00FD7E37"/>
    <w:rsid w:val="00FD7EA4"/>
    <w:rsid w:val="00FE10E0"/>
    <w:rsid w:val="00FE11F2"/>
    <w:rsid w:val="00FE1247"/>
    <w:rsid w:val="00FE15A4"/>
    <w:rsid w:val="00FE1977"/>
    <w:rsid w:val="00FE2449"/>
    <w:rsid w:val="00FE2509"/>
    <w:rsid w:val="00FE25AD"/>
    <w:rsid w:val="00FE3464"/>
    <w:rsid w:val="00FE35F0"/>
    <w:rsid w:val="00FE3976"/>
    <w:rsid w:val="00FE3DAC"/>
    <w:rsid w:val="00FE42A3"/>
    <w:rsid w:val="00FE497F"/>
    <w:rsid w:val="00FE4AC7"/>
    <w:rsid w:val="00FE588B"/>
    <w:rsid w:val="00FE5A7E"/>
    <w:rsid w:val="00FE68AE"/>
    <w:rsid w:val="00FE6975"/>
    <w:rsid w:val="00FE6B91"/>
    <w:rsid w:val="00FE6DF3"/>
    <w:rsid w:val="00FE6EDD"/>
    <w:rsid w:val="00FE6F1B"/>
    <w:rsid w:val="00FE7181"/>
    <w:rsid w:val="00FE72BF"/>
    <w:rsid w:val="00FE731D"/>
    <w:rsid w:val="00FF04E9"/>
    <w:rsid w:val="00FF085B"/>
    <w:rsid w:val="00FF08F7"/>
    <w:rsid w:val="00FF0E6D"/>
    <w:rsid w:val="00FF12B0"/>
    <w:rsid w:val="00FF155D"/>
    <w:rsid w:val="00FF1802"/>
    <w:rsid w:val="00FF25F7"/>
    <w:rsid w:val="00FF2863"/>
    <w:rsid w:val="00FF48E5"/>
    <w:rsid w:val="00FF497D"/>
    <w:rsid w:val="00FF55AE"/>
    <w:rsid w:val="00FF574F"/>
    <w:rsid w:val="00FF5988"/>
    <w:rsid w:val="00FF6130"/>
    <w:rsid w:val="00FF6520"/>
    <w:rsid w:val="00FF70FF"/>
    <w:rsid w:val="00FF74BD"/>
    <w:rsid w:val="00FF7DCF"/>
    <w:rsid w:val="01FC89F9"/>
    <w:rsid w:val="03A204B9"/>
    <w:rsid w:val="049EE496"/>
    <w:rsid w:val="051AC7F4"/>
    <w:rsid w:val="0523D627"/>
    <w:rsid w:val="06E7BA93"/>
    <w:rsid w:val="0702FED9"/>
    <w:rsid w:val="070F0F10"/>
    <w:rsid w:val="09592D5C"/>
    <w:rsid w:val="0A284E23"/>
    <w:rsid w:val="0AF4FDBD"/>
    <w:rsid w:val="0C5391E4"/>
    <w:rsid w:val="0F197A2F"/>
    <w:rsid w:val="113FA8A8"/>
    <w:rsid w:val="12508379"/>
    <w:rsid w:val="14C38AD4"/>
    <w:rsid w:val="14ED6A3F"/>
    <w:rsid w:val="15414122"/>
    <w:rsid w:val="1579D498"/>
    <w:rsid w:val="16025113"/>
    <w:rsid w:val="17219CF6"/>
    <w:rsid w:val="196D84B4"/>
    <w:rsid w:val="1E7816CA"/>
    <w:rsid w:val="204BF88E"/>
    <w:rsid w:val="20B92D40"/>
    <w:rsid w:val="219E0AD6"/>
    <w:rsid w:val="245E1131"/>
    <w:rsid w:val="24DEF259"/>
    <w:rsid w:val="24E80AC3"/>
    <w:rsid w:val="261A334D"/>
    <w:rsid w:val="293334A1"/>
    <w:rsid w:val="2C34E0BB"/>
    <w:rsid w:val="2CA769A8"/>
    <w:rsid w:val="2D2F559D"/>
    <w:rsid w:val="2D8A3F01"/>
    <w:rsid w:val="2E47AB3C"/>
    <w:rsid w:val="2F24C01D"/>
    <w:rsid w:val="2F97C86E"/>
    <w:rsid w:val="31FC3A4B"/>
    <w:rsid w:val="33090D0E"/>
    <w:rsid w:val="341C0586"/>
    <w:rsid w:val="3643F3F8"/>
    <w:rsid w:val="3AEC6B00"/>
    <w:rsid w:val="3AF48B3A"/>
    <w:rsid w:val="3B67AE9B"/>
    <w:rsid w:val="3D6E37C9"/>
    <w:rsid w:val="3ED0CA2E"/>
    <w:rsid w:val="4046D362"/>
    <w:rsid w:val="40FB6BE8"/>
    <w:rsid w:val="43AC3AAA"/>
    <w:rsid w:val="4406AD6C"/>
    <w:rsid w:val="441C902C"/>
    <w:rsid w:val="44C846B2"/>
    <w:rsid w:val="46092F03"/>
    <w:rsid w:val="46902868"/>
    <w:rsid w:val="4962CA66"/>
    <w:rsid w:val="4BFB0CDF"/>
    <w:rsid w:val="4C13F7A6"/>
    <w:rsid w:val="4D0AAF97"/>
    <w:rsid w:val="4E079C57"/>
    <w:rsid w:val="51B96F1A"/>
    <w:rsid w:val="55EB03CE"/>
    <w:rsid w:val="56062A70"/>
    <w:rsid w:val="5AB5105B"/>
    <w:rsid w:val="5B4ED342"/>
    <w:rsid w:val="5CCA6ECA"/>
    <w:rsid w:val="5D97930E"/>
    <w:rsid w:val="607F59ED"/>
    <w:rsid w:val="61C2356D"/>
    <w:rsid w:val="6272D743"/>
    <w:rsid w:val="6499CC04"/>
    <w:rsid w:val="6590B70E"/>
    <w:rsid w:val="66C6C554"/>
    <w:rsid w:val="66EEF706"/>
    <w:rsid w:val="67C3F592"/>
    <w:rsid w:val="6AC38221"/>
    <w:rsid w:val="6C75C160"/>
    <w:rsid w:val="6D584090"/>
    <w:rsid w:val="70C7AB1B"/>
    <w:rsid w:val="7275ECA5"/>
    <w:rsid w:val="7661D45D"/>
    <w:rsid w:val="76ABDEB2"/>
    <w:rsid w:val="7895E9B4"/>
    <w:rsid w:val="78AD30BC"/>
    <w:rsid w:val="7AD80B0D"/>
    <w:rsid w:val="7B6F00CC"/>
    <w:rsid w:val="7FFD43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4CA4FBE"/>
  <w15:docId w15:val="{6B1E5735-33BE-4351-A6BE-7FC0C7B89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470AE"/>
    <w:pPr>
      <w:widowControl w:val="0"/>
      <w:jc w:val="both"/>
    </w:pPr>
    <w:rPr>
      <w:sz w:val="24"/>
    </w:rPr>
  </w:style>
  <w:style w:type="paragraph" w:styleId="Heading1">
    <w:name w:val="heading 1"/>
    <w:basedOn w:val="Normal"/>
    <w:next w:val="Normal"/>
    <w:qFormat/>
    <w:rsid w:val="002640B8"/>
    <w:pPr>
      <w:keepNext/>
      <w:keepLines/>
      <w:numPr>
        <w:numId w:val="15"/>
      </w:numPr>
      <w:spacing w:after="120"/>
      <w:jc w:val="left"/>
      <w:outlineLvl w:val="0"/>
    </w:pPr>
    <w:rPr>
      <w:b/>
      <w:szCs w:val="24"/>
    </w:rPr>
  </w:style>
  <w:style w:type="paragraph" w:styleId="Heading2">
    <w:name w:val="heading 2"/>
    <w:basedOn w:val="Normal"/>
    <w:next w:val="Normal"/>
    <w:qFormat/>
    <w:rsid w:val="004E16DC"/>
    <w:pPr>
      <w:numPr>
        <w:ilvl w:val="1"/>
        <w:numId w:val="1"/>
      </w:numPr>
      <w:outlineLvl w:val="1"/>
    </w:pPr>
    <w:rPr>
      <w:b/>
      <w:u w:val="single"/>
      <w:lang w:eastAsia="zh-CN"/>
    </w:rPr>
  </w:style>
  <w:style w:type="paragraph" w:styleId="Heading3">
    <w:name w:val="heading 3"/>
    <w:basedOn w:val="Normal"/>
    <w:next w:val="Normal"/>
    <w:qFormat/>
    <w:rsid w:val="00B8482B"/>
    <w:pPr>
      <w:numPr>
        <w:ilvl w:val="2"/>
        <w:numId w:val="1"/>
      </w:numPr>
      <w:ind w:left="720"/>
      <w:outlineLvl w:val="2"/>
    </w:pPr>
    <w:rPr>
      <w:b/>
      <w:u w:val="single"/>
      <w:lang w:eastAsia="zh-CN"/>
    </w:rPr>
  </w:style>
  <w:style w:type="paragraph" w:styleId="Heading4">
    <w:name w:val="heading 4"/>
    <w:basedOn w:val="Normal"/>
    <w:next w:val="Normal"/>
    <w:rsid w:val="000470AE"/>
    <w:pPr>
      <w:numPr>
        <w:ilvl w:val="3"/>
        <w:numId w:val="1"/>
      </w:numPr>
      <w:outlineLvl w:val="3"/>
    </w:pPr>
  </w:style>
  <w:style w:type="paragraph" w:styleId="Heading5">
    <w:name w:val="heading 5"/>
    <w:basedOn w:val="Normal"/>
    <w:next w:val="Normal"/>
    <w:rsid w:val="000470AE"/>
    <w:pPr>
      <w:numPr>
        <w:ilvl w:val="4"/>
        <w:numId w:val="1"/>
      </w:numPr>
      <w:outlineLvl w:val="4"/>
    </w:pPr>
  </w:style>
  <w:style w:type="paragraph" w:styleId="Heading6">
    <w:name w:val="heading 6"/>
    <w:basedOn w:val="Normal"/>
    <w:next w:val="Normal"/>
    <w:rsid w:val="000470AE"/>
    <w:pPr>
      <w:numPr>
        <w:ilvl w:val="5"/>
        <w:numId w:val="1"/>
      </w:numPr>
      <w:outlineLvl w:val="5"/>
    </w:pPr>
  </w:style>
  <w:style w:type="paragraph" w:styleId="Heading7">
    <w:name w:val="heading 7"/>
    <w:basedOn w:val="Normal"/>
    <w:next w:val="Normal"/>
    <w:rsid w:val="000470AE"/>
    <w:pPr>
      <w:numPr>
        <w:ilvl w:val="6"/>
        <w:numId w:val="1"/>
      </w:numPr>
      <w:outlineLvl w:val="6"/>
    </w:pPr>
  </w:style>
  <w:style w:type="paragraph" w:styleId="Heading8">
    <w:name w:val="heading 8"/>
    <w:basedOn w:val="Normal"/>
    <w:next w:val="Normal"/>
    <w:rsid w:val="000470AE"/>
    <w:pPr>
      <w:numPr>
        <w:ilvl w:val="7"/>
        <w:numId w:val="1"/>
      </w:numPr>
      <w:outlineLvl w:val="7"/>
    </w:pPr>
  </w:style>
  <w:style w:type="paragraph" w:styleId="Heading9">
    <w:name w:val="heading 9"/>
    <w:basedOn w:val="Normal"/>
    <w:next w:val="Normal"/>
    <w:rsid w:val="000470AE"/>
    <w:pPr>
      <w:keepNext/>
      <w:ind w:firstLine="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0470AE"/>
    <w:pPr>
      <w:spacing w:after="120"/>
    </w:pPr>
    <w:rPr>
      <w:sz w:val="20"/>
    </w:rPr>
  </w:style>
  <w:style w:type="character" w:styleId="EndnoteReference">
    <w:name w:val="endnote reference"/>
    <w:semiHidden/>
    <w:rsid w:val="000470AE"/>
    <w:rPr>
      <w:sz w:val="20"/>
      <w:vertAlign w:val="superscript"/>
    </w:rPr>
  </w:style>
  <w:style w:type="paragraph" w:styleId="FootnoteText">
    <w:name w:val="footnote text"/>
    <w:aliases w:val="Footnote Text Char,Footnote Text Char1 Char,Footnote Text Char Char Char,Footnote Text Char1 Char Char Char,Footnote Text Char Char Char Char Char,Footnote Text Char Char1 Char,Footnote Text Char1 Char1 Char,Style 14,fn,Style 18,Style 10,f"/>
    <w:basedOn w:val="Normal"/>
    <w:link w:val="FootnoteTextChar1"/>
    <w:uiPriority w:val="99"/>
    <w:qFormat/>
    <w:rsid w:val="008F7F67"/>
    <w:pPr>
      <w:spacing w:after="120"/>
    </w:pPr>
    <w:rPr>
      <w:sz w:val="20"/>
    </w:rPr>
  </w:style>
  <w:style w:type="character" w:styleId="FootnoteReference">
    <w:name w:val="footnote reference"/>
    <w:aliases w:val="Style 13,Style 12,Style 15,Style 17,Style 9,o,fr,Style 11,Style 8,o1,fr1,o2,fr2,o3,fr3,(NECG) Footnote Reference,Style 20,Style 7,Style 19,Style 28,Styl,Style 16,Style 27,Tory Footnotes,Style 30,Footnote Reference (EIS),fnr,SR FR,."/>
    <w:uiPriority w:val="99"/>
    <w:qFormat/>
    <w:rsid w:val="000470AE"/>
    <w:rPr>
      <w:vertAlign w:val="superscript"/>
    </w:rPr>
  </w:style>
  <w:style w:type="paragraph" w:styleId="TOC1">
    <w:name w:val="toc 1"/>
    <w:basedOn w:val="Normal"/>
    <w:next w:val="Normal"/>
    <w:uiPriority w:val="39"/>
    <w:rsid w:val="000470AE"/>
    <w:pPr>
      <w:tabs>
        <w:tab w:val="right" w:leader="dot" w:pos="9360"/>
      </w:tabs>
      <w:suppressAutoHyphens/>
      <w:spacing w:before="480"/>
      <w:ind w:left="720" w:right="720" w:hanging="720"/>
    </w:pPr>
  </w:style>
  <w:style w:type="paragraph" w:styleId="TOC2">
    <w:name w:val="toc 2"/>
    <w:basedOn w:val="Normal"/>
    <w:next w:val="Normal"/>
    <w:uiPriority w:val="39"/>
    <w:rsid w:val="000470AE"/>
    <w:pPr>
      <w:tabs>
        <w:tab w:val="right" w:leader="dot" w:pos="9360"/>
      </w:tabs>
      <w:suppressAutoHyphens/>
      <w:ind w:left="1440" w:right="720" w:hanging="720"/>
    </w:pPr>
  </w:style>
  <w:style w:type="paragraph" w:styleId="TOC3">
    <w:name w:val="toc 3"/>
    <w:basedOn w:val="Normal"/>
    <w:next w:val="Normal"/>
    <w:uiPriority w:val="39"/>
    <w:rsid w:val="000470AE"/>
    <w:pPr>
      <w:tabs>
        <w:tab w:val="right" w:leader="dot" w:pos="9360"/>
      </w:tabs>
      <w:suppressAutoHyphens/>
      <w:ind w:left="2160" w:right="720" w:hanging="720"/>
    </w:pPr>
  </w:style>
  <w:style w:type="paragraph" w:styleId="TOC4">
    <w:name w:val="toc 4"/>
    <w:basedOn w:val="Normal"/>
    <w:next w:val="Normal"/>
    <w:semiHidden/>
    <w:rsid w:val="000470AE"/>
    <w:pPr>
      <w:tabs>
        <w:tab w:val="right" w:leader="dot" w:pos="9360"/>
      </w:tabs>
      <w:suppressAutoHyphens/>
      <w:ind w:left="2880" w:right="720" w:hanging="720"/>
    </w:pPr>
  </w:style>
  <w:style w:type="paragraph" w:styleId="TOC5">
    <w:name w:val="toc 5"/>
    <w:basedOn w:val="Normal"/>
    <w:next w:val="Normal"/>
    <w:semiHidden/>
    <w:rsid w:val="000470AE"/>
    <w:pPr>
      <w:tabs>
        <w:tab w:val="right" w:leader="dot" w:pos="9360"/>
      </w:tabs>
      <w:suppressAutoHyphens/>
      <w:ind w:left="3600" w:right="720" w:hanging="720"/>
    </w:pPr>
  </w:style>
  <w:style w:type="paragraph" w:styleId="TOC6">
    <w:name w:val="toc 6"/>
    <w:basedOn w:val="Normal"/>
    <w:next w:val="Normal"/>
    <w:semiHidden/>
    <w:rsid w:val="000470AE"/>
    <w:pPr>
      <w:tabs>
        <w:tab w:val="right" w:pos="9360"/>
      </w:tabs>
      <w:suppressAutoHyphens/>
      <w:ind w:left="720" w:hanging="720"/>
    </w:pPr>
  </w:style>
  <w:style w:type="paragraph" w:styleId="TOC7">
    <w:name w:val="toc 7"/>
    <w:basedOn w:val="Normal"/>
    <w:next w:val="Normal"/>
    <w:semiHidden/>
    <w:rsid w:val="000470AE"/>
    <w:pPr>
      <w:suppressAutoHyphens/>
      <w:ind w:left="720" w:hanging="720"/>
    </w:pPr>
  </w:style>
  <w:style w:type="paragraph" w:styleId="TOC8">
    <w:name w:val="toc 8"/>
    <w:basedOn w:val="Normal"/>
    <w:next w:val="Normal"/>
    <w:semiHidden/>
    <w:rsid w:val="000470AE"/>
    <w:pPr>
      <w:tabs>
        <w:tab w:val="right" w:pos="9360"/>
      </w:tabs>
      <w:suppressAutoHyphens/>
      <w:ind w:left="720" w:hanging="720"/>
    </w:pPr>
  </w:style>
  <w:style w:type="paragraph" w:styleId="TOC9">
    <w:name w:val="toc 9"/>
    <w:basedOn w:val="Normal"/>
    <w:next w:val="Normal"/>
    <w:semiHidden/>
    <w:rsid w:val="000470AE"/>
    <w:pPr>
      <w:tabs>
        <w:tab w:val="right" w:leader="dot" w:pos="9360"/>
      </w:tabs>
      <w:suppressAutoHyphens/>
      <w:ind w:left="720" w:hanging="720"/>
    </w:pPr>
  </w:style>
  <w:style w:type="paragraph" w:styleId="Index1">
    <w:name w:val="index 1"/>
    <w:basedOn w:val="Normal"/>
    <w:next w:val="Normal"/>
    <w:semiHidden/>
    <w:rsid w:val="000470AE"/>
    <w:pPr>
      <w:tabs>
        <w:tab w:val="right" w:leader="dot" w:pos="9360"/>
      </w:tabs>
      <w:suppressAutoHyphens/>
      <w:ind w:left="1440" w:right="720" w:hanging="1440"/>
    </w:pPr>
  </w:style>
  <w:style w:type="paragraph" w:styleId="Index2">
    <w:name w:val="index 2"/>
    <w:basedOn w:val="Normal"/>
    <w:next w:val="Normal"/>
    <w:semiHidden/>
    <w:rsid w:val="000470AE"/>
    <w:pPr>
      <w:tabs>
        <w:tab w:val="right" w:leader="dot" w:pos="9360"/>
      </w:tabs>
      <w:suppressAutoHyphens/>
      <w:ind w:left="1440" w:right="720" w:hanging="720"/>
    </w:pPr>
  </w:style>
  <w:style w:type="paragraph" w:styleId="TOAHeading">
    <w:name w:val="toa heading"/>
    <w:basedOn w:val="Normal"/>
    <w:next w:val="Normal"/>
    <w:semiHidden/>
    <w:rsid w:val="000470AE"/>
    <w:pPr>
      <w:tabs>
        <w:tab w:val="right" w:pos="9360"/>
      </w:tabs>
      <w:suppressAutoHyphens/>
    </w:pPr>
  </w:style>
  <w:style w:type="paragraph" w:styleId="Caption">
    <w:name w:val="caption"/>
    <w:basedOn w:val="Normal"/>
    <w:next w:val="Normal"/>
    <w:uiPriority w:val="99"/>
    <w:rsid w:val="000470AE"/>
  </w:style>
  <w:style w:type="character" w:customStyle="1" w:styleId="EquationCaption">
    <w:name w:val="_Equation Caption"/>
    <w:rsid w:val="000470AE"/>
  </w:style>
  <w:style w:type="paragraph" w:styleId="Header">
    <w:name w:val="header"/>
    <w:basedOn w:val="Normal"/>
    <w:link w:val="HeaderChar"/>
    <w:uiPriority w:val="99"/>
    <w:rsid w:val="000470AE"/>
    <w:pPr>
      <w:tabs>
        <w:tab w:val="center" w:pos="4320"/>
        <w:tab w:val="right" w:pos="8640"/>
      </w:tabs>
    </w:pPr>
  </w:style>
  <w:style w:type="paragraph" w:styleId="Footer">
    <w:name w:val="footer"/>
    <w:basedOn w:val="Normal"/>
    <w:link w:val="FooterChar"/>
    <w:uiPriority w:val="99"/>
    <w:rsid w:val="000470AE"/>
    <w:pPr>
      <w:tabs>
        <w:tab w:val="center" w:pos="4320"/>
        <w:tab w:val="right" w:pos="8640"/>
      </w:tabs>
    </w:pPr>
  </w:style>
  <w:style w:type="character" w:styleId="PageNumber">
    <w:name w:val="page number"/>
    <w:basedOn w:val="DefaultParagraphFont"/>
    <w:rsid w:val="000470AE"/>
  </w:style>
  <w:style w:type="paragraph" w:customStyle="1" w:styleId="A">
    <w:name w:val="A"/>
    <w:rsid w:val="000470AE"/>
    <w:pPr>
      <w:widowControl w:val="0"/>
      <w:spacing w:after="264" w:line="264" w:lineRule="atLeast"/>
      <w:ind w:firstLine="432"/>
      <w:jc w:val="both"/>
    </w:pPr>
    <w:rPr>
      <w:rFonts w:ascii="Times" w:hAnsi="Times"/>
      <w:sz w:val="24"/>
    </w:rPr>
  </w:style>
  <w:style w:type="paragraph" w:customStyle="1" w:styleId="InsideAddress">
    <w:name w:val="InsideAddress"/>
    <w:basedOn w:val="Normal"/>
    <w:rsid w:val="000470AE"/>
    <w:pPr>
      <w:widowControl/>
      <w:jc w:val="left"/>
    </w:pPr>
  </w:style>
  <w:style w:type="paragraph" w:customStyle="1" w:styleId="bul">
    <w:name w:val="bul"/>
    <w:basedOn w:val="Normal"/>
    <w:rsid w:val="000470AE"/>
    <w:pPr>
      <w:widowControl/>
      <w:ind w:left="360" w:hanging="360"/>
    </w:pPr>
    <w:rPr>
      <w:rFonts w:ascii="Times" w:hAnsi="Times"/>
    </w:rPr>
  </w:style>
  <w:style w:type="paragraph" w:customStyle="1" w:styleId="table">
    <w:name w:val="table"/>
    <w:basedOn w:val="Normal"/>
    <w:rsid w:val="000470AE"/>
    <w:pPr>
      <w:widowControl/>
      <w:spacing w:before="120"/>
      <w:jc w:val="left"/>
    </w:pPr>
    <w:rPr>
      <w:rFonts w:ascii="Times" w:hAnsi="Times"/>
      <w:color w:val="000000"/>
      <w:sz w:val="20"/>
    </w:rPr>
  </w:style>
  <w:style w:type="paragraph" w:customStyle="1" w:styleId="subheadd">
    <w:name w:val="sub headd"/>
    <w:basedOn w:val="Normal"/>
    <w:rsid w:val="000470AE"/>
    <w:pPr>
      <w:widowControl/>
      <w:spacing w:after="240"/>
      <w:jc w:val="left"/>
    </w:pPr>
    <w:rPr>
      <w:rFonts w:ascii="Times" w:hAnsi="Times"/>
      <w:b/>
    </w:rPr>
  </w:style>
  <w:style w:type="paragraph" w:styleId="BodyText">
    <w:name w:val="Body Text"/>
    <w:basedOn w:val="Normal"/>
    <w:link w:val="BodyTextChar"/>
    <w:rsid w:val="000470AE"/>
    <w:pPr>
      <w:widowControl/>
      <w:spacing w:after="120"/>
      <w:jc w:val="left"/>
    </w:pPr>
    <w:rPr>
      <w:szCs w:val="24"/>
    </w:rPr>
  </w:style>
  <w:style w:type="paragraph" w:customStyle="1" w:styleId="JDHNumberedList">
    <w:name w:val="JDH Numbered List"/>
    <w:basedOn w:val="Normal"/>
    <w:rsid w:val="000470AE"/>
    <w:pPr>
      <w:widowControl/>
      <w:numPr>
        <w:numId w:val="2"/>
      </w:numPr>
      <w:jc w:val="left"/>
    </w:pPr>
    <w:rPr>
      <w:rFonts w:ascii="Times" w:hAnsi="Times"/>
    </w:rPr>
  </w:style>
  <w:style w:type="character" w:styleId="LineNumber">
    <w:name w:val="line number"/>
    <w:basedOn w:val="DefaultParagraphFont"/>
    <w:rsid w:val="000470AE"/>
  </w:style>
  <w:style w:type="paragraph" w:styleId="BalloonText">
    <w:name w:val="Balloon Text"/>
    <w:basedOn w:val="Normal"/>
    <w:semiHidden/>
    <w:rsid w:val="000470AE"/>
    <w:rPr>
      <w:rFonts w:ascii="Tahoma" w:hAnsi="Tahoma" w:cs="Tahoma"/>
      <w:sz w:val="16"/>
      <w:szCs w:val="16"/>
    </w:rPr>
  </w:style>
  <w:style w:type="paragraph" w:styleId="BodyTextIndent3">
    <w:name w:val="Body Text Indent 3"/>
    <w:basedOn w:val="Normal"/>
    <w:rsid w:val="000470AE"/>
    <w:pPr>
      <w:spacing w:after="120"/>
      <w:ind w:left="360"/>
    </w:pPr>
    <w:rPr>
      <w:sz w:val="16"/>
      <w:szCs w:val="16"/>
    </w:rPr>
  </w:style>
  <w:style w:type="paragraph" w:customStyle="1" w:styleId="BodyTextIn">
    <w:name w:val="Body Text In"/>
    <w:basedOn w:val="Normal"/>
    <w:rsid w:val="000470AE"/>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snapToGrid w:val="0"/>
      <w:szCs w:val="24"/>
    </w:rPr>
  </w:style>
  <w:style w:type="paragraph" w:customStyle="1" w:styleId="question">
    <w:name w:val="question"/>
    <w:basedOn w:val="Normal"/>
    <w:next w:val="Normal"/>
    <w:autoRedefine/>
    <w:rsid w:val="005311E2"/>
    <w:pPr>
      <w:widowControl/>
      <w:overflowPunct w:val="0"/>
      <w:autoSpaceDE w:val="0"/>
      <w:autoSpaceDN w:val="0"/>
      <w:adjustRightInd w:val="0"/>
      <w:spacing w:line="480" w:lineRule="auto"/>
      <w:ind w:left="720" w:hanging="720"/>
      <w:textAlignment w:val="baseline"/>
    </w:pPr>
    <w:rPr>
      <w:b/>
      <w:spacing w:val="10"/>
      <w:szCs w:val="24"/>
    </w:rPr>
  </w:style>
  <w:style w:type="paragraph" w:customStyle="1" w:styleId="Answer">
    <w:name w:val="Answer"/>
    <w:basedOn w:val="Normal"/>
    <w:next w:val="question"/>
    <w:rsid w:val="000470AE"/>
    <w:pPr>
      <w:widowControl/>
      <w:overflowPunct w:val="0"/>
      <w:autoSpaceDE w:val="0"/>
      <w:autoSpaceDN w:val="0"/>
      <w:adjustRightInd w:val="0"/>
      <w:spacing w:after="240" w:line="480" w:lineRule="auto"/>
      <w:ind w:left="720" w:hanging="720"/>
      <w:textAlignment w:val="baseline"/>
    </w:pPr>
    <w:rPr>
      <w:spacing w:val="10"/>
      <w:szCs w:val="23"/>
    </w:rPr>
  </w:style>
  <w:style w:type="character" w:customStyle="1" w:styleId="EmailStyle491">
    <w:name w:val="EmailStyle491"/>
    <w:semiHidden/>
    <w:rsid w:val="000470AE"/>
    <w:rPr>
      <w:rFonts w:ascii="Arial" w:hAnsi="Arial" w:cs="Arial"/>
      <w:color w:val="000080"/>
      <w:sz w:val="20"/>
      <w:szCs w:val="20"/>
    </w:rPr>
  </w:style>
  <w:style w:type="paragraph" w:styleId="BodyTextIndent">
    <w:name w:val="Body Text Indent"/>
    <w:basedOn w:val="Normal"/>
    <w:rsid w:val="000470AE"/>
    <w:pPr>
      <w:spacing w:after="120"/>
      <w:ind w:left="360"/>
    </w:pPr>
  </w:style>
  <w:style w:type="paragraph" w:styleId="BodyTextIndent2">
    <w:name w:val="Body Text Indent 2"/>
    <w:basedOn w:val="Normal"/>
    <w:rsid w:val="000470AE"/>
    <w:pPr>
      <w:spacing w:line="480" w:lineRule="auto"/>
      <w:ind w:left="720" w:firstLine="360"/>
    </w:pPr>
  </w:style>
  <w:style w:type="paragraph" w:styleId="DocumentMap">
    <w:name w:val="Document Map"/>
    <w:basedOn w:val="Normal"/>
    <w:semiHidden/>
    <w:rsid w:val="00F2330B"/>
    <w:pPr>
      <w:shd w:val="clear" w:color="auto" w:fill="000080"/>
    </w:pPr>
    <w:rPr>
      <w:rFonts w:ascii="Tahoma" w:hAnsi="Tahoma" w:cs="Tahoma"/>
      <w:sz w:val="20"/>
    </w:rPr>
  </w:style>
  <w:style w:type="paragraph" w:styleId="BodyText2">
    <w:name w:val="Body Text 2"/>
    <w:basedOn w:val="Normal"/>
    <w:rsid w:val="003F4A32"/>
    <w:pPr>
      <w:spacing w:after="120" w:line="480" w:lineRule="auto"/>
    </w:pPr>
  </w:style>
  <w:style w:type="table" w:styleId="TableGrid">
    <w:name w:val="Table Grid"/>
    <w:basedOn w:val="TableNormal"/>
    <w:rsid w:val="00661F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C5CAB"/>
    <w:pPr>
      <w:numPr>
        <w:numId w:val="6"/>
      </w:numPr>
      <w:tabs>
        <w:tab w:val="left" w:pos="1440"/>
      </w:tabs>
      <w:spacing w:before="160" w:after="160"/>
      <w:ind w:left="1440"/>
    </w:pPr>
    <w:rPr>
      <w:szCs w:val="24"/>
    </w:rPr>
  </w:style>
  <w:style w:type="paragraph" w:styleId="NormalWeb">
    <w:name w:val="Normal (Web)"/>
    <w:basedOn w:val="Normal"/>
    <w:uiPriority w:val="99"/>
    <w:rsid w:val="0076769C"/>
    <w:pPr>
      <w:widowControl/>
      <w:spacing w:before="100" w:beforeAutospacing="1" w:after="100" w:afterAutospacing="1"/>
      <w:jc w:val="left"/>
    </w:pPr>
    <w:rPr>
      <w:szCs w:val="24"/>
    </w:rPr>
  </w:style>
  <w:style w:type="paragraph" w:styleId="PlainText">
    <w:name w:val="Plain Text"/>
    <w:basedOn w:val="Normal"/>
    <w:link w:val="PlainTextChar"/>
    <w:rsid w:val="009C08BB"/>
    <w:pPr>
      <w:widowControl/>
      <w:jc w:val="left"/>
    </w:pPr>
    <w:rPr>
      <w:rFonts w:ascii="Courier New" w:hAnsi="Courier New"/>
      <w:sz w:val="20"/>
    </w:rPr>
  </w:style>
  <w:style w:type="character" w:customStyle="1" w:styleId="PlainTextChar">
    <w:name w:val="Plain Text Char"/>
    <w:link w:val="PlainText"/>
    <w:rsid w:val="009C08BB"/>
    <w:rPr>
      <w:rFonts w:ascii="Courier New" w:hAnsi="Courier New" w:cs="Courier New"/>
    </w:rPr>
  </w:style>
  <w:style w:type="character" w:styleId="CommentReference">
    <w:name w:val="annotation reference"/>
    <w:uiPriority w:val="99"/>
    <w:semiHidden/>
    <w:rsid w:val="00E44782"/>
    <w:rPr>
      <w:sz w:val="16"/>
      <w:szCs w:val="16"/>
    </w:rPr>
  </w:style>
  <w:style w:type="paragraph" w:styleId="CommentText">
    <w:name w:val="annotation text"/>
    <w:basedOn w:val="Normal"/>
    <w:link w:val="CommentTextChar"/>
    <w:uiPriority w:val="99"/>
    <w:rsid w:val="00E44782"/>
    <w:rPr>
      <w:sz w:val="20"/>
    </w:rPr>
  </w:style>
  <w:style w:type="paragraph" w:styleId="CommentSubject">
    <w:name w:val="annotation subject"/>
    <w:basedOn w:val="CommentText"/>
    <w:next w:val="CommentText"/>
    <w:link w:val="CommentSubjectChar"/>
    <w:uiPriority w:val="99"/>
    <w:semiHidden/>
    <w:rsid w:val="00E44782"/>
    <w:rPr>
      <w:b/>
      <w:bCs/>
    </w:rPr>
  </w:style>
  <w:style w:type="character" w:styleId="Hyperlink">
    <w:name w:val="Hyperlink"/>
    <w:uiPriority w:val="99"/>
    <w:rsid w:val="00CC4082"/>
    <w:rPr>
      <w:color w:val="0000FF"/>
      <w:u w:val="single"/>
    </w:rPr>
  </w:style>
  <w:style w:type="character" w:styleId="Emphasis">
    <w:name w:val="Emphasis"/>
    <w:uiPriority w:val="20"/>
    <w:rsid w:val="00803A70"/>
    <w:rPr>
      <w:i/>
      <w:iCs/>
    </w:rPr>
  </w:style>
  <w:style w:type="numbering" w:customStyle="1" w:styleId="Style1">
    <w:name w:val="Style1"/>
    <w:rsid w:val="003E7507"/>
    <w:pPr>
      <w:numPr>
        <w:numId w:val="3"/>
      </w:numPr>
    </w:pPr>
  </w:style>
  <w:style w:type="numbering" w:customStyle="1" w:styleId="Style2">
    <w:name w:val="Style2"/>
    <w:rsid w:val="003E7507"/>
    <w:pPr>
      <w:numPr>
        <w:numId w:val="4"/>
      </w:numPr>
    </w:pPr>
  </w:style>
  <w:style w:type="character" w:customStyle="1" w:styleId="CommentTextChar">
    <w:name w:val="Comment Text Char"/>
    <w:basedOn w:val="DefaultParagraphFont"/>
    <w:link w:val="CommentText"/>
    <w:uiPriority w:val="99"/>
    <w:rsid w:val="00DB06DB"/>
  </w:style>
  <w:style w:type="paragraph" w:styleId="Revision">
    <w:name w:val="Revision"/>
    <w:hidden/>
    <w:uiPriority w:val="99"/>
    <w:semiHidden/>
    <w:rsid w:val="00D14FFF"/>
    <w:rPr>
      <w:sz w:val="24"/>
    </w:rPr>
  </w:style>
  <w:style w:type="character" w:customStyle="1" w:styleId="EndnoteTextChar">
    <w:name w:val="Endnote Text Char"/>
    <w:basedOn w:val="DefaultParagraphFont"/>
    <w:link w:val="EndnoteText"/>
    <w:uiPriority w:val="99"/>
    <w:semiHidden/>
    <w:rsid w:val="00E0362A"/>
  </w:style>
  <w:style w:type="character" w:customStyle="1" w:styleId="FootnoteTextChar1">
    <w:name w:val="Footnote Text Char1"/>
    <w:aliases w:val="Footnote Text Char Char,Footnote Text Char1 Char Char,Footnote Text Char Char Char Char,Footnote Text Char1 Char Char Char Char,Footnote Text Char Char Char Char Char Char,Footnote Text Char Char1 Char Char,Style 14 Char,fn Char"/>
    <w:link w:val="FootnoteText"/>
    <w:uiPriority w:val="99"/>
    <w:locked/>
    <w:rsid w:val="008F7F67"/>
  </w:style>
  <w:style w:type="paragraph" w:customStyle="1" w:styleId="Default">
    <w:name w:val="Default"/>
    <w:rsid w:val="003C6245"/>
    <w:pPr>
      <w:autoSpaceDE w:val="0"/>
      <w:autoSpaceDN w:val="0"/>
      <w:adjustRightInd w:val="0"/>
    </w:pPr>
    <w:rPr>
      <w:rFonts w:ascii="Calibri,Bold" w:hAnsi="Calibri,Bold" w:cs="Calibri,Bold"/>
      <w:color w:val="000000"/>
      <w:sz w:val="24"/>
      <w:szCs w:val="24"/>
    </w:rPr>
  </w:style>
  <w:style w:type="paragraph" w:customStyle="1" w:styleId="CM48">
    <w:name w:val="CM48"/>
    <w:basedOn w:val="Default"/>
    <w:next w:val="Default"/>
    <w:uiPriority w:val="99"/>
    <w:rsid w:val="003C6245"/>
    <w:rPr>
      <w:rFonts w:cs="Times New Roman"/>
      <w:color w:val="auto"/>
    </w:rPr>
  </w:style>
  <w:style w:type="paragraph" w:customStyle="1" w:styleId="Response">
    <w:name w:val="Response"/>
    <w:basedOn w:val="Normal"/>
    <w:uiPriority w:val="99"/>
    <w:rsid w:val="00FD72D8"/>
    <w:pPr>
      <w:widowControl/>
      <w:numPr>
        <w:numId w:val="7"/>
      </w:numPr>
      <w:spacing w:after="240" w:line="480" w:lineRule="auto"/>
      <w:jc w:val="left"/>
    </w:pPr>
    <w:rPr>
      <w:szCs w:val="24"/>
    </w:rPr>
  </w:style>
  <w:style w:type="paragraph" w:styleId="Subtitle">
    <w:name w:val="Subtitle"/>
    <w:basedOn w:val="Normal"/>
    <w:link w:val="SubtitleChar"/>
    <w:rsid w:val="00C8549F"/>
    <w:pPr>
      <w:widowControl/>
      <w:spacing w:before="480" w:after="240"/>
      <w:jc w:val="left"/>
      <w:outlineLvl w:val="1"/>
    </w:pPr>
    <w:rPr>
      <w:rFonts w:ascii="Times New Roman Bold" w:hAnsi="Times New Roman Bold"/>
      <w:b/>
      <w:caps/>
      <w:szCs w:val="24"/>
    </w:rPr>
  </w:style>
  <w:style w:type="character" w:customStyle="1" w:styleId="SubtitleChar">
    <w:name w:val="Subtitle Char"/>
    <w:link w:val="Subtitle"/>
    <w:rsid w:val="00C8549F"/>
    <w:rPr>
      <w:rFonts w:ascii="Times New Roman Bold" w:hAnsi="Times New Roman Bold"/>
      <w:b/>
      <w:caps/>
      <w:sz w:val="24"/>
      <w:szCs w:val="24"/>
    </w:rPr>
  </w:style>
  <w:style w:type="character" w:customStyle="1" w:styleId="FooterChar">
    <w:name w:val="Footer Char"/>
    <w:link w:val="Footer"/>
    <w:uiPriority w:val="99"/>
    <w:rsid w:val="00412253"/>
    <w:rPr>
      <w:sz w:val="24"/>
    </w:rPr>
  </w:style>
  <w:style w:type="paragraph" w:styleId="NoSpacing">
    <w:name w:val="No Spacing"/>
    <w:uiPriority w:val="1"/>
    <w:rsid w:val="008D33B6"/>
    <w:rPr>
      <w:rFonts w:ascii="Calibri" w:eastAsia="Calibri" w:hAnsi="Calibri"/>
      <w:sz w:val="22"/>
      <w:szCs w:val="22"/>
    </w:rPr>
  </w:style>
  <w:style w:type="character" w:customStyle="1" w:styleId="BodyTextChar">
    <w:name w:val="Body Text Char"/>
    <w:link w:val="BodyText"/>
    <w:rsid w:val="008D33B6"/>
    <w:rPr>
      <w:sz w:val="24"/>
      <w:szCs w:val="24"/>
    </w:rPr>
  </w:style>
  <w:style w:type="character" w:customStyle="1" w:styleId="text">
    <w:name w:val="text"/>
    <w:basedOn w:val="DefaultParagraphFont"/>
    <w:rsid w:val="00040B2A"/>
  </w:style>
  <w:style w:type="paragraph" w:customStyle="1" w:styleId="GeorgiaQuestion">
    <w:name w:val="Georgia Question"/>
    <w:basedOn w:val="Normal"/>
    <w:next w:val="GaAns"/>
    <w:link w:val="GeorgiaQuestionChar"/>
    <w:uiPriority w:val="99"/>
    <w:qFormat/>
    <w:rsid w:val="000F68C0"/>
    <w:pPr>
      <w:spacing w:line="360" w:lineRule="auto"/>
      <w:ind w:left="720" w:hanging="720"/>
    </w:pPr>
    <w:rPr>
      <w:rFonts w:ascii="Times New Roman Bold" w:hAnsi="Times New Roman Bold"/>
      <w:b/>
      <w:caps/>
      <w:szCs w:val="24"/>
    </w:rPr>
  </w:style>
  <w:style w:type="paragraph" w:customStyle="1" w:styleId="GaAns">
    <w:name w:val="Ga Ans"/>
    <w:basedOn w:val="Normal"/>
    <w:next w:val="GaBody"/>
    <w:link w:val="GaAnsChar"/>
    <w:uiPriority w:val="99"/>
    <w:qFormat/>
    <w:rsid w:val="003250C8"/>
    <w:pPr>
      <w:spacing w:line="360" w:lineRule="auto"/>
      <w:ind w:left="720" w:hanging="720"/>
    </w:pPr>
    <w:rPr>
      <w:szCs w:val="24"/>
    </w:rPr>
  </w:style>
  <w:style w:type="character" w:customStyle="1" w:styleId="GeorgiaQuestionChar">
    <w:name w:val="Georgia Question Char"/>
    <w:link w:val="GeorgiaQuestion"/>
    <w:uiPriority w:val="99"/>
    <w:locked/>
    <w:rsid w:val="000F68C0"/>
    <w:rPr>
      <w:rFonts w:ascii="Times New Roman Bold" w:hAnsi="Times New Roman Bold"/>
      <w:b/>
      <w:caps/>
      <w:sz w:val="24"/>
      <w:szCs w:val="24"/>
    </w:rPr>
  </w:style>
  <w:style w:type="paragraph" w:customStyle="1" w:styleId="GaBody">
    <w:name w:val="Ga Body"/>
    <w:basedOn w:val="Normal"/>
    <w:next w:val="GeorgiaQuestion"/>
    <w:link w:val="GaBodyChar"/>
    <w:uiPriority w:val="99"/>
    <w:qFormat/>
    <w:rsid w:val="00D97A9A"/>
    <w:pPr>
      <w:widowControl/>
      <w:spacing w:line="360" w:lineRule="auto"/>
      <w:ind w:left="720"/>
      <w:jc w:val="left"/>
    </w:pPr>
    <w:rPr>
      <w:rFonts w:eastAsia="Calibri"/>
      <w:szCs w:val="24"/>
      <w:lang w:eastAsia="zh-CN"/>
    </w:rPr>
  </w:style>
  <w:style w:type="character" w:customStyle="1" w:styleId="GaAnsChar">
    <w:name w:val="Ga Ans Char"/>
    <w:link w:val="GaAns"/>
    <w:uiPriority w:val="99"/>
    <w:locked/>
    <w:rsid w:val="003250C8"/>
    <w:rPr>
      <w:sz w:val="24"/>
      <w:szCs w:val="24"/>
    </w:rPr>
  </w:style>
  <w:style w:type="character" w:customStyle="1" w:styleId="GaBodyChar">
    <w:name w:val="Ga Body Char"/>
    <w:link w:val="GaBody"/>
    <w:uiPriority w:val="99"/>
    <w:locked/>
    <w:rsid w:val="00D97A9A"/>
    <w:rPr>
      <w:rFonts w:eastAsia="Calibri"/>
      <w:sz w:val="24"/>
      <w:szCs w:val="24"/>
      <w:lang w:eastAsia="zh-CN"/>
    </w:rPr>
  </w:style>
  <w:style w:type="paragraph" w:styleId="TOCHeading">
    <w:name w:val="TOC Heading"/>
    <w:basedOn w:val="Heading1"/>
    <w:next w:val="Normal"/>
    <w:uiPriority w:val="39"/>
    <w:unhideWhenUsed/>
    <w:qFormat/>
    <w:rsid w:val="00F035F6"/>
    <w:pPr>
      <w:widowControl/>
      <w:numPr>
        <w:numId w:val="0"/>
      </w:numPr>
      <w:spacing w:before="480" w:line="276" w:lineRule="auto"/>
      <w:outlineLvl w:val="9"/>
    </w:pPr>
    <w:rPr>
      <w:rFonts w:ascii="Cambria" w:hAnsi="Cambria"/>
      <w:bCs/>
      <w:sz w:val="28"/>
      <w:szCs w:val="28"/>
    </w:rPr>
  </w:style>
  <w:style w:type="paragraph" w:styleId="Quote">
    <w:name w:val="Quote"/>
    <w:basedOn w:val="Normal"/>
    <w:next w:val="Normal"/>
    <w:link w:val="QuoteChar"/>
    <w:uiPriority w:val="29"/>
    <w:qFormat/>
    <w:rsid w:val="00B82170"/>
    <w:pPr>
      <w:spacing w:after="120"/>
      <w:ind w:left="1166"/>
    </w:pPr>
    <w:rPr>
      <w:iCs/>
      <w:color w:val="000000"/>
    </w:rPr>
  </w:style>
  <w:style w:type="character" w:customStyle="1" w:styleId="QuoteChar">
    <w:name w:val="Quote Char"/>
    <w:link w:val="Quote"/>
    <w:uiPriority w:val="29"/>
    <w:rsid w:val="00B82170"/>
    <w:rPr>
      <w:iCs/>
      <w:color w:val="000000"/>
      <w:sz w:val="24"/>
    </w:rPr>
  </w:style>
  <w:style w:type="paragraph" w:customStyle="1" w:styleId="GaBody0">
    <w:name w:val="GaBody"/>
    <w:basedOn w:val="Normal"/>
    <w:link w:val="GaBodyChar0"/>
    <w:qFormat/>
    <w:rsid w:val="001E1807"/>
    <w:pPr>
      <w:widowControl/>
      <w:spacing w:before="240" w:after="240" w:line="480" w:lineRule="auto"/>
    </w:pPr>
    <w:rPr>
      <w:rFonts w:eastAsia="Calibri"/>
      <w:szCs w:val="24"/>
    </w:rPr>
  </w:style>
  <w:style w:type="paragraph" w:customStyle="1" w:styleId="GaBullet">
    <w:name w:val="GaBullet"/>
    <w:basedOn w:val="ListParagraph"/>
    <w:link w:val="GaBulletChar"/>
    <w:qFormat/>
    <w:rsid w:val="008C4AB5"/>
    <w:pPr>
      <w:widowControl/>
      <w:numPr>
        <w:numId w:val="8"/>
      </w:numPr>
      <w:tabs>
        <w:tab w:val="clear" w:pos="1440"/>
      </w:tabs>
      <w:spacing w:before="240" w:after="240"/>
      <w:ind w:left="1440"/>
    </w:pPr>
    <w:rPr>
      <w:rFonts w:eastAsia="Calibri"/>
      <w:lang w:eastAsia="zh-CN"/>
    </w:rPr>
  </w:style>
  <w:style w:type="character" w:customStyle="1" w:styleId="GaBodyChar0">
    <w:name w:val="GaBody Char"/>
    <w:link w:val="GaBody0"/>
    <w:rsid w:val="001E1807"/>
    <w:rPr>
      <w:rFonts w:eastAsia="Calibri"/>
      <w:sz w:val="24"/>
      <w:szCs w:val="24"/>
    </w:rPr>
  </w:style>
  <w:style w:type="character" w:customStyle="1" w:styleId="ListParagraphChar">
    <w:name w:val="List Paragraph Char"/>
    <w:link w:val="ListParagraph"/>
    <w:uiPriority w:val="34"/>
    <w:rsid w:val="001E1807"/>
    <w:rPr>
      <w:sz w:val="24"/>
      <w:szCs w:val="24"/>
    </w:rPr>
  </w:style>
  <w:style w:type="character" w:customStyle="1" w:styleId="GaBulletChar">
    <w:name w:val="GaBullet Char"/>
    <w:link w:val="GaBullet"/>
    <w:rsid w:val="008C4AB5"/>
    <w:rPr>
      <w:rFonts w:eastAsia="Calibri"/>
      <w:sz w:val="24"/>
      <w:szCs w:val="24"/>
      <w:lang w:eastAsia="zh-CN"/>
    </w:rPr>
  </w:style>
  <w:style w:type="paragraph" w:customStyle="1" w:styleId="Ga-subheading">
    <w:name w:val="Ga-subheading"/>
    <w:basedOn w:val="GaBody"/>
    <w:link w:val="Ga-subheadingChar"/>
    <w:qFormat/>
    <w:rsid w:val="00DA790C"/>
    <w:rPr>
      <w:b/>
      <w:u w:val="single"/>
      <w:lang w:eastAsia="en-US"/>
    </w:rPr>
  </w:style>
  <w:style w:type="character" w:customStyle="1" w:styleId="Ga-subheadingChar">
    <w:name w:val="Ga-subheading Char"/>
    <w:link w:val="Ga-subheading"/>
    <w:rsid w:val="00DA790C"/>
    <w:rPr>
      <w:rFonts w:eastAsia="Calibri"/>
      <w:b/>
      <w:sz w:val="24"/>
      <w:szCs w:val="24"/>
      <w:u w:val="single"/>
      <w:lang w:eastAsia="zh-CN"/>
    </w:rPr>
  </w:style>
  <w:style w:type="paragraph" w:customStyle="1" w:styleId="yiv8900051021msonormal">
    <w:name w:val="yiv8900051021msonormal"/>
    <w:basedOn w:val="Normal"/>
    <w:rsid w:val="001D7393"/>
    <w:pPr>
      <w:widowControl/>
      <w:spacing w:before="100" w:beforeAutospacing="1" w:after="100" w:afterAutospacing="1"/>
      <w:jc w:val="left"/>
    </w:pPr>
    <w:rPr>
      <w:szCs w:val="24"/>
    </w:rPr>
  </w:style>
  <w:style w:type="character" w:customStyle="1" w:styleId="HeaderChar">
    <w:name w:val="Header Char"/>
    <w:basedOn w:val="DefaultParagraphFont"/>
    <w:link w:val="Header"/>
    <w:uiPriority w:val="99"/>
    <w:rsid w:val="0057267D"/>
    <w:rPr>
      <w:sz w:val="24"/>
    </w:rPr>
  </w:style>
  <w:style w:type="character" w:styleId="UnresolvedMention">
    <w:name w:val="Unresolved Mention"/>
    <w:basedOn w:val="DefaultParagraphFont"/>
    <w:uiPriority w:val="99"/>
    <w:semiHidden/>
    <w:unhideWhenUsed/>
    <w:rsid w:val="0057267D"/>
    <w:rPr>
      <w:color w:val="605E5C"/>
      <w:shd w:val="clear" w:color="auto" w:fill="E1DFDD"/>
    </w:rPr>
  </w:style>
  <w:style w:type="character" w:customStyle="1" w:styleId="CommentSubjectChar">
    <w:name w:val="Comment Subject Char"/>
    <w:basedOn w:val="CommentTextChar"/>
    <w:link w:val="CommentSubject"/>
    <w:uiPriority w:val="99"/>
    <w:semiHidden/>
    <w:rsid w:val="0057267D"/>
    <w:rPr>
      <w:b/>
      <w:bCs/>
    </w:rPr>
  </w:style>
  <w:style w:type="character" w:customStyle="1" w:styleId="normaltextrun">
    <w:name w:val="normaltextrun"/>
    <w:basedOn w:val="DefaultParagraphFont"/>
    <w:rsid w:val="0057267D"/>
  </w:style>
  <w:style w:type="character" w:customStyle="1" w:styleId="eop">
    <w:name w:val="eop"/>
    <w:basedOn w:val="DefaultParagraphFont"/>
    <w:rsid w:val="0057267D"/>
  </w:style>
  <w:style w:type="character" w:styleId="FollowedHyperlink">
    <w:name w:val="FollowedHyperlink"/>
    <w:basedOn w:val="DefaultParagraphFont"/>
    <w:semiHidden/>
    <w:unhideWhenUsed/>
    <w:rsid w:val="00DC7278"/>
    <w:rPr>
      <w:color w:val="800080" w:themeColor="followedHyperlink"/>
      <w:u w:val="single"/>
    </w:rPr>
  </w:style>
  <w:style w:type="paragraph" w:customStyle="1" w:styleId="Question0">
    <w:name w:val="Question"/>
    <w:basedOn w:val="BodyTextIndent"/>
    <w:next w:val="Normal"/>
    <w:rsid w:val="00FA5FEC"/>
    <w:pPr>
      <w:keepNext/>
      <w:widowControl/>
      <w:spacing w:after="0" w:line="480" w:lineRule="auto"/>
      <w:ind w:left="720" w:hanging="720"/>
      <w:jc w:val="left"/>
    </w:pPr>
    <w:rPr>
      <w:rFonts w:eastAsiaTheme="minorHAnsi" w:cstheme="minorBidi"/>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5601">
      <w:bodyDiv w:val="1"/>
      <w:marLeft w:val="0"/>
      <w:marRight w:val="0"/>
      <w:marTop w:val="0"/>
      <w:marBottom w:val="0"/>
      <w:divBdr>
        <w:top w:val="none" w:sz="0" w:space="0" w:color="auto"/>
        <w:left w:val="none" w:sz="0" w:space="0" w:color="auto"/>
        <w:bottom w:val="none" w:sz="0" w:space="0" w:color="auto"/>
        <w:right w:val="none" w:sz="0" w:space="0" w:color="auto"/>
      </w:divBdr>
    </w:div>
    <w:div w:id="17197900">
      <w:bodyDiv w:val="1"/>
      <w:marLeft w:val="0"/>
      <w:marRight w:val="0"/>
      <w:marTop w:val="0"/>
      <w:marBottom w:val="0"/>
      <w:divBdr>
        <w:top w:val="none" w:sz="0" w:space="0" w:color="auto"/>
        <w:left w:val="none" w:sz="0" w:space="0" w:color="auto"/>
        <w:bottom w:val="none" w:sz="0" w:space="0" w:color="auto"/>
        <w:right w:val="none" w:sz="0" w:space="0" w:color="auto"/>
      </w:divBdr>
    </w:div>
    <w:div w:id="47729033">
      <w:bodyDiv w:val="1"/>
      <w:marLeft w:val="0"/>
      <w:marRight w:val="0"/>
      <w:marTop w:val="0"/>
      <w:marBottom w:val="0"/>
      <w:divBdr>
        <w:top w:val="none" w:sz="0" w:space="0" w:color="auto"/>
        <w:left w:val="none" w:sz="0" w:space="0" w:color="auto"/>
        <w:bottom w:val="none" w:sz="0" w:space="0" w:color="auto"/>
        <w:right w:val="none" w:sz="0" w:space="0" w:color="auto"/>
      </w:divBdr>
    </w:div>
    <w:div w:id="125589958">
      <w:bodyDiv w:val="1"/>
      <w:marLeft w:val="0"/>
      <w:marRight w:val="0"/>
      <w:marTop w:val="0"/>
      <w:marBottom w:val="0"/>
      <w:divBdr>
        <w:top w:val="none" w:sz="0" w:space="0" w:color="auto"/>
        <w:left w:val="none" w:sz="0" w:space="0" w:color="auto"/>
        <w:bottom w:val="none" w:sz="0" w:space="0" w:color="auto"/>
        <w:right w:val="none" w:sz="0" w:space="0" w:color="auto"/>
      </w:divBdr>
    </w:div>
    <w:div w:id="128284291">
      <w:bodyDiv w:val="1"/>
      <w:marLeft w:val="0"/>
      <w:marRight w:val="0"/>
      <w:marTop w:val="0"/>
      <w:marBottom w:val="0"/>
      <w:divBdr>
        <w:top w:val="none" w:sz="0" w:space="0" w:color="auto"/>
        <w:left w:val="none" w:sz="0" w:space="0" w:color="auto"/>
        <w:bottom w:val="none" w:sz="0" w:space="0" w:color="auto"/>
        <w:right w:val="none" w:sz="0" w:space="0" w:color="auto"/>
      </w:divBdr>
      <w:divsChild>
        <w:div w:id="652291262">
          <w:marLeft w:val="0"/>
          <w:marRight w:val="0"/>
          <w:marTop w:val="0"/>
          <w:marBottom w:val="0"/>
          <w:divBdr>
            <w:top w:val="none" w:sz="0" w:space="0" w:color="auto"/>
            <w:left w:val="none" w:sz="0" w:space="0" w:color="auto"/>
            <w:bottom w:val="none" w:sz="0" w:space="0" w:color="auto"/>
            <w:right w:val="none" w:sz="0" w:space="0" w:color="auto"/>
          </w:divBdr>
          <w:divsChild>
            <w:div w:id="4233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62903">
      <w:bodyDiv w:val="1"/>
      <w:marLeft w:val="0"/>
      <w:marRight w:val="0"/>
      <w:marTop w:val="0"/>
      <w:marBottom w:val="0"/>
      <w:divBdr>
        <w:top w:val="none" w:sz="0" w:space="0" w:color="auto"/>
        <w:left w:val="none" w:sz="0" w:space="0" w:color="auto"/>
        <w:bottom w:val="none" w:sz="0" w:space="0" w:color="auto"/>
        <w:right w:val="none" w:sz="0" w:space="0" w:color="auto"/>
      </w:divBdr>
      <w:divsChild>
        <w:div w:id="837765776">
          <w:marLeft w:val="0"/>
          <w:marRight w:val="0"/>
          <w:marTop w:val="0"/>
          <w:marBottom w:val="0"/>
          <w:divBdr>
            <w:top w:val="none" w:sz="0" w:space="0" w:color="auto"/>
            <w:left w:val="none" w:sz="0" w:space="0" w:color="auto"/>
            <w:bottom w:val="none" w:sz="0" w:space="0" w:color="auto"/>
            <w:right w:val="none" w:sz="0" w:space="0" w:color="auto"/>
          </w:divBdr>
          <w:divsChild>
            <w:div w:id="1296334121">
              <w:marLeft w:val="0"/>
              <w:marRight w:val="0"/>
              <w:marTop w:val="0"/>
              <w:marBottom w:val="0"/>
              <w:divBdr>
                <w:top w:val="none" w:sz="0" w:space="0" w:color="auto"/>
                <w:left w:val="none" w:sz="0" w:space="0" w:color="auto"/>
                <w:bottom w:val="none" w:sz="0" w:space="0" w:color="auto"/>
                <w:right w:val="none" w:sz="0" w:space="0" w:color="auto"/>
              </w:divBdr>
              <w:divsChild>
                <w:div w:id="225070564">
                  <w:marLeft w:val="0"/>
                  <w:marRight w:val="0"/>
                  <w:marTop w:val="0"/>
                  <w:marBottom w:val="0"/>
                  <w:divBdr>
                    <w:top w:val="none" w:sz="0" w:space="0" w:color="auto"/>
                    <w:left w:val="none" w:sz="0" w:space="0" w:color="auto"/>
                    <w:bottom w:val="none" w:sz="0" w:space="0" w:color="auto"/>
                    <w:right w:val="none" w:sz="0" w:space="0" w:color="auto"/>
                  </w:divBdr>
                  <w:divsChild>
                    <w:div w:id="309021421">
                      <w:marLeft w:val="228"/>
                      <w:marRight w:val="0"/>
                      <w:marTop w:val="0"/>
                      <w:marBottom w:val="0"/>
                      <w:divBdr>
                        <w:top w:val="none" w:sz="0" w:space="0" w:color="auto"/>
                        <w:left w:val="none" w:sz="0" w:space="0" w:color="auto"/>
                        <w:bottom w:val="none" w:sz="0" w:space="0" w:color="auto"/>
                        <w:right w:val="none" w:sz="0" w:space="0" w:color="auto"/>
                      </w:divBdr>
                      <w:divsChild>
                        <w:div w:id="20132077">
                          <w:marLeft w:val="0"/>
                          <w:marRight w:val="0"/>
                          <w:marTop w:val="0"/>
                          <w:marBottom w:val="0"/>
                          <w:divBdr>
                            <w:top w:val="none" w:sz="0" w:space="0" w:color="auto"/>
                            <w:left w:val="none" w:sz="0" w:space="0" w:color="auto"/>
                            <w:bottom w:val="none" w:sz="0" w:space="0" w:color="auto"/>
                            <w:right w:val="none" w:sz="0" w:space="0" w:color="auto"/>
                          </w:divBdr>
                          <w:divsChild>
                            <w:div w:id="126618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434497">
      <w:bodyDiv w:val="1"/>
      <w:marLeft w:val="0"/>
      <w:marRight w:val="0"/>
      <w:marTop w:val="0"/>
      <w:marBottom w:val="0"/>
      <w:divBdr>
        <w:top w:val="none" w:sz="0" w:space="0" w:color="auto"/>
        <w:left w:val="none" w:sz="0" w:space="0" w:color="auto"/>
        <w:bottom w:val="none" w:sz="0" w:space="0" w:color="auto"/>
        <w:right w:val="none" w:sz="0" w:space="0" w:color="auto"/>
      </w:divBdr>
    </w:div>
    <w:div w:id="431900120">
      <w:bodyDiv w:val="1"/>
      <w:marLeft w:val="0"/>
      <w:marRight w:val="0"/>
      <w:marTop w:val="0"/>
      <w:marBottom w:val="0"/>
      <w:divBdr>
        <w:top w:val="none" w:sz="0" w:space="0" w:color="auto"/>
        <w:left w:val="none" w:sz="0" w:space="0" w:color="auto"/>
        <w:bottom w:val="none" w:sz="0" w:space="0" w:color="auto"/>
        <w:right w:val="none" w:sz="0" w:space="0" w:color="auto"/>
      </w:divBdr>
    </w:div>
    <w:div w:id="490562324">
      <w:bodyDiv w:val="1"/>
      <w:marLeft w:val="0"/>
      <w:marRight w:val="0"/>
      <w:marTop w:val="0"/>
      <w:marBottom w:val="0"/>
      <w:divBdr>
        <w:top w:val="none" w:sz="0" w:space="0" w:color="auto"/>
        <w:left w:val="none" w:sz="0" w:space="0" w:color="auto"/>
        <w:bottom w:val="none" w:sz="0" w:space="0" w:color="auto"/>
        <w:right w:val="none" w:sz="0" w:space="0" w:color="auto"/>
      </w:divBdr>
    </w:div>
    <w:div w:id="537744315">
      <w:bodyDiv w:val="1"/>
      <w:marLeft w:val="0"/>
      <w:marRight w:val="0"/>
      <w:marTop w:val="0"/>
      <w:marBottom w:val="0"/>
      <w:divBdr>
        <w:top w:val="none" w:sz="0" w:space="0" w:color="auto"/>
        <w:left w:val="none" w:sz="0" w:space="0" w:color="auto"/>
        <w:bottom w:val="none" w:sz="0" w:space="0" w:color="auto"/>
        <w:right w:val="none" w:sz="0" w:space="0" w:color="auto"/>
      </w:divBdr>
      <w:divsChild>
        <w:div w:id="328942190">
          <w:marLeft w:val="0"/>
          <w:marRight w:val="0"/>
          <w:marTop w:val="0"/>
          <w:marBottom w:val="0"/>
          <w:divBdr>
            <w:top w:val="none" w:sz="0" w:space="0" w:color="auto"/>
            <w:left w:val="none" w:sz="0" w:space="0" w:color="auto"/>
            <w:bottom w:val="none" w:sz="0" w:space="0" w:color="auto"/>
            <w:right w:val="none" w:sz="0" w:space="0" w:color="auto"/>
          </w:divBdr>
        </w:div>
        <w:div w:id="773282339">
          <w:marLeft w:val="0"/>
          <w:marRight w:val="0"/>
          <w:marTop w:val="0"/>
          <w:marBottom w:val="0"/>
          <w:divBdr>
            <w:top w:val="none" w:sz="0" w:space="0" w:color="auto"/>
            <w:left w:val="none" w:sz="0" w:space="0" w:color="auto"/>
            <w:bottom w:val="none" w:sz="0" w:space="0" w:color="auto"/>
            <w:right w:val="none" w:sz="0" w:space="0" w:color="auto"/>
          </w:divBdr>
        </w:div>
      </w:divsChild>
    </w:div>
    <w:div w:id="616058227">
      <w:bodyDiv w:val="1"/>
      <w:marLeft w:val="0"/>
      <w:marRight w:val="0"/>
      <w:marTop w:val="0"/>
      <w:marBottom w:val="0"/>
      <w:divBdr>
        <w:top w:val="none" w:sz="0" w:space="0" w:color="auto"/>
        <w:left w:val="none" w:sz="0" w:space="0" w:color="auto"/>
        <w:bottom w:val="none" w:sz="0" w:space="0" w:color="auto"/>
        <w:right w:val="none" w:sz="0" w:space="0" w:color="auto"/>
      </w:divBdr>
    </w:div>
    <w:div w:id="639698038">
      <w:bodyDiv w:val="1"/>
      <w:marLeft w:val="0"/>
      <w:marRight w:val="0"/>
      <w:marTop w:val="225"/>
      <w:marBottom w:val="225"/>
      <w:divBdr>
        <w:top w:val="none" w:sz="0" w:space="0" w:color="auto"/>
        <w:left w:val="none" w:sz="0" w:space="0" w:color="auto"/>
        <w:bottom w:val="none" w:sz="0" w:space="0" w:color="auto"/>
        <w:right w:val="none" w:sz="0" w:space="0" w:color="auto"/>
      </w:divBdr>
      <w:divsChild>
        <w:div w:id="1681665568">
          <w:marLeft w:val="0"/>
          <w:marRight w:val="0"/>
          <w:marTop w:val="0"/>
          <w:marBottom w:val="0"/>
          <w:divBdr>
            <w:top w:val="single" w:sz="2" w:space="0" w:color="D8D8D8"/>
            <w:left w:val="single" w:sz="6" w:space="0" w:color="D8D8D8"/>
            <w:bottom w:val="single" w:sz="2" w:space="0" w:color="D8D8D8"/>
            <w:right w:val="single" w:sz="6" w:space="0" w:color="D8D8D8"/>
          </w:divBdr>
          <w:divsChild>
            <w:div w:id="173346946">
              <w:marLeft w:val="0"/>
              <w:marRight w:val="0"/>
              <w:marTop w:val="0"/>
              <w:marBottom w:val="0"/>
              <w:divBdr>
                <w:top w:val="none" w:sz="0" w:space="0" w:color="auto"/>
                <w:left w:val="none" w:sz="0" w:space="0" w:color="auto"/>
                <w:bottom w:val="none" w:sz="0" w:space="0" w:color="auto"/>
                <w:right w:val="none" w:sz="0" w:space="0" w:color="auto"/>
              </w:divBdr>
              <w:divsChild>
                <w:div w:id="1226919088">
                  <w:marLeft w:val="0"/>
                  <w:marRight w:val="0"/>
                  <w:marTop w:val="0"/>
                  <w:marBottom w:val="0"/>
                  <w:divBdr>
                    <w:top w:val="none" w:sz="0" w:space="0" w:color="auto"/>
                    <w:left w:val="none" w:sz="0" w:space="0" w:color="auto"/>
                    <w:bottom w:val="none" w:sz="0" w:space="0" w:color="auto"/>
                    <w:right w:val="none" w:sz="0" w:space="0" w:color="auto"/>
                  </w:divBdr>
                  <w:divsChild>
                    <w:div w:id="228882789">
                      <w:marLeft w:val="0"/>
                      <w:marRight w:val="0"/>
                      <w:marTop w:val="120"/>
                      <w:marBottom w:val="600"/>
                      <w:divBdr>
                        <w:top w:val="none" w:sz="0" w:space="0" w:color="auto"/>
                        <w:left w:val="none" w:sz="0" w:space="0" w:color="auto"/>
                        <w:bottom w:val="none" w:sz="0" w:space="0" w:color="auto"/>
                        <w:right w:val="none" w:sz="0" w:space="0" w:color="auto"/>
                      </w:divBdr>
                      <w:divsChild>
                        <w:div w:id="15388418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663703495">
      <w:bodyDiv w:val="1"/>
      <w:marLeft w:val="0"/>
      <w:marRight w:val="0"/>
      <w:marTop w:val="0"/>
      <w:marBottom w:val="0"/>
      <w:divBdr>
        <w:top w:val="none" w:sz="0" w:space="0" w:color="auto"/>
        <w:left w:val="none" w:sz="0" w:space="0" w:color="auto"/>
        <w:bottom w:val="none" w:sz="0" w:space="0" w:color="auto"/>
        <w:right w:val="none" w:sz="0" w:space="0" w:color="auto"/>
      </w:divBdr>
    </w:div>
    <w:div w:id="686561114">
      <w:bodyDiv w:val="1"/>
      <w:marLeft w:val="0"/>
      <w:marRight w:val="0"/>
      <w:marTop w:val="0"/>
      <w:marBottom w:val="0"/>
      <w:divBdr>
        <w:top w:val="none" w:sz="0" w:space="0" w:color="auto"/>
        <w:left w:val="none" w:sz="0" w:space="0" w:color="auto"/>
        <w:bottom w:val="none" w:sz="0" w:space="0" w:color="auto"/>
        <w:right w:val="none" w:sz="0" w:space="0" w:color="auto"/>
      </w:divBdr>
    </w:div>
    <w:div w:id="878861243">
      <w:bodyDiv w:val="1"/>
      <w:marLeft w:val="0"/>
      <w:marRight w:val="0"/>
      <w:marTop w:val="0"/>
      <w:marBottom w:val="0"/>
      <w:divBdr>
        <w:top w:val="none" w:sz="0" w:space="0" w:color="auto"/>
        <w:left w:val="none" w:sz="0" w:space="0" w:color="auto"/>
        <w:bottom w:val="none" w:sz="0" w:space="0" w:color="auto"/>
        <w:right w:val="none" w:sz="0" w:space="0" w:color="auto"/>
      </w:divBdr>
    </w:div>
    <w:div w:id="1091005584">
      <w:bodyDiv w:val="1"/>
      <w:marLeft w:val="0"/>
      <w:marRight w:val="0"/>
      <w:marTop w:val="0"/>
      <w:marBottom w:val="0"/>
      <w:divBdr>
        <w:top w:val="none" w:sz="0" w:space="0" w:color="auto"/>
        <w:left w:val="none" w:sz="0" w:space="0" w:color="auto"/>
        <w:bottom w:val="none" w:sz="0" w:space="0" w:color="auto"/>
        <w:right w:val="none" w:sz="0" w:space="0" w:color="auto"/>
      </w:divBdr>
    </w:div>
    <w:div w:id="1135759229">
      <w:bodyDiv w:val="1"/>
      <w:marLeft w:val="0"/>
      <w:marRight w:val="0"/>
      <w:marTop w:val="0"/>
      <w:marBottom w:val="0"/>
      <w:divBdr>
        <w:top w:val="none" w:sz="0" w:space="0" w:color="auto"/>
        <w:left w:val="none" w:sz="0" w:space="0" w:color="auto"/>
        <w:bottom w:val="none" w:sz="0" w:space="0" w:color="auto"/>
        <w:right w:val="none" w:sz="0" w:space="0" w:color="auto"/>
      </w:divBdr>
    </w:div>
    <w:div w:id="1137843443">
      <w:bodyDiv w:val="1"/>
      <w:marLeft w:val="0"/>
      <w:marRight w:val="0"/>
      <w:marTop w:val="0"/>
      <w:marBottom w:val="0"/>
      <w:divBdr>
        <w:top w:val="none" w:sz="0" w:space="0" w:color="auto"/>
        <w:left w:val="none" w:sz="0" w:space="0" w:color="auto"/>
        <w:bottom w:val="none" w:sz="0" w:space="0" w:color="auto"/>
        <w:right w:val="none" w:sz="0" w:space="0" w:color="auto"/>
      </w:divBdr>
    </w:div>
    <w:div w:id="1171725782">
      <w:bodyDiv w:val="1"/>
      <w:marLeft w:val="0"/>
      <w:marRight w:val="0"/>
      <w:marTop w:val="0"/>
      <w:marBottom w:val="0"/>
      <w:divBdr>
        <w:top w:val="none" w:sz="0" w:space="0" w:color="auto"/>
        <w:left w:val="none" w:sz="0" w:space="0" w:color="auto"/>
        <w:bottom w:val="none" w:sz="0" w:space="0" w:color="auto"/>
        <w:right w:val="none" w:sz="0" w:space="0" w:color="auto"/>
      </w:divBdr>
    </w:div>
    <w:div w:id="1171947093">
      <w:bodyDiv w:val="1"/>
      <w:marLeft w:val="0"/>
      <w:marRight w:val="0"/>
      <w:marTop w:val="0"/>
      <w:marBottom w:val="0"/>
      <w:divBdr>
        <w:top w:val="none" w:sz="0" w:space="0" w:color="auto"/>
        <w:left w:val="none" w:sz="0" w:space="0" w:color="auto"/>
        <w:bottom w:val="none" w:sz="0" w:space="0" w:color="auto"/>
        <w:right w:val="none" w:sz="0" w:space="0" w:color="auto"/>
      </w:divBdr>
    </w:div>
    <w:div w:id="1174802120">
      <w:bodyDiv w:val="1"/>
      <w:marLeft w:val="0"/>
      <w:marRight w:val="0"/>
      <w:marTop w:val="0"/>
      <w:marBottom w:val="0"/>
      <w:divBdr>
        <w:top w:val="none" w:sz="0" w:space="0" w:color="auto"/>
        <w:left w:val="none" w:sz="0" w:space="0" w:color="auto"/>
        <w:bottom w:val="none" w:sz="0" w:space="0" w:color="auto"/>
        <w:right w:val="none" w:sz="0" w:space="0" w:color="auto"/>
      </w:divBdr>
    </w:div>
    <w:div w:id="1209336165">
      <w:bodyDiv w:val="1"/>
      <w:marLeft w:val="0"/>
      <w:marRight w:val="0"/>
      <w:marTop w:val="0"/>
      <w:marBottom w:val="0"/>
      <w:divBdr>
        <w:top w:val="none" w:sz="0" w:space="0" w:color="auto"/>
        <w:left w:val="none" w:sz="0" w:space="0" w:color="auto"/>
        <w:bottom w:val="none" w:sz="0" w:space="0" w:color="auto"/>
        <w:right w:val="none" w:sz="0" w:space="0" w:color="auto"/>
      </w:divBdr>
    </w:div>
    <w:div w:id="1277711928">
      <w:bodyDiv w:val="1"/>
      <w:marLeft w:val="0"/>
      <w:marRight w:val="0"/>
      <w:marTop w:val="0"/>
      <w:marBottom w:val="0"/>
      <w:divBdr>
        <w:top w:val="none" w:sz="0" w:space="0" w:color="auto"/>
        <w:left w:val="none" w:sz="0" w:space="0" w:color="auto"/>
        <w:bottom w:val="none" w:sz="0" w:space="0" w:color="auto"/>
        <w:right w:val="none" w:sz="0" w:space="0" w:color="auto"/>
      </w:divBdr>
      <w:divsChild>
        <w:div w:id="1030109176">
          <w:marLeft w:val="0"/>
          <w:marRight w:val="0"/>
          <w:marTop w:val="0"/>
          <w:marBottom w:val="0"/>
          <w:divBdr>
            <w:top w:val="none" w:sz="0" w:space="0" w:color="auto"/>
            <w:left w:val="none" w:sz="0" w:space="0" w:color="auto"/>
            <w:bottom w:val="none" w:sz="0" w:space="0" w:color="auto"/>
            <w:right w:val="none" w:sz="0" w:space="0" w:color="auto"/>
          </w:divBdr>
        </w:div>
        <w:div w:id="2036031866">
          <w:marLeft w:val="0"/>
          <w:marRight w:val="0"/>
          <w:marTop w:val="0"/>
          <w:marBottom w:val="0"/>
          <w:divBdr>
            <w:top w:val="none" w:sz="0" w:space="0" w:color="auto"/>
            <w:left w:val="none" w:sz="0" w:space="0" w:color="auto"/>
            <w:bottom w:val="none" w:sz="0" w:space="0" w:color="auto"/>
            <w:right w:val="none" w:sz="0" w:space="0" w:color="auto"/>
          </w:divBdr>
        </w:div>
      </w:divsChild>
    </w:div>
    <w:div w:id="1350572037">
      <w:bodyDiv w:val="1"/>
      <w:marLeft w:val="0"/>
      <w:marRight w:val="0"/>
      <w:marTop w:val="0"/>
      <w:marBottom w:val="0"/>
      <w:divBdr>
        <w:top w:val="none" w:sz="0" w:space="0" w:color="auto"/>
        <w:left w:val="none" w:sz="0" w:space="0" w:color="auto"/>
        <w:bottom w:val="none" w:sz="0" w:space="0" w:color="auto"/>
        <w:right w:val="none" w:sz="0" w:space="0" w:color="auto"/>
      </w:divBdr>
    </w:div>
    <w:div w:id="1367827658">
      <w:bodyDiv w:val="1"/>
      <w:marLeft w:val="0"/>
      <w:marRight w:val="0"/>
      <w:marTop w:val="0"/>
      <w:marBottom w:val="0"/>
      <w:divBdr>
        <w:top w:val="none" w:sz="0" w:space="0" w:color="auto"/>
        <w:left w:val="none" w:sz="0" w:space="0" w:color="auto"/>
        <w:bottom w:val="none" w:sz="0" w:space="0" w:color="auto"/>
        <w:right w:val="none" w:sz="0" w:space="0" w:color="auto"/>
      </w:divBdr>
    </w:div>
    <w:div w:id="1388797850">
      <w:bodyDiv w:val="1"/>
      <w:marLeft w:val="0"/>
      <w:marRight w:val="0"/>
      <w:marTop w:val="0"/>
      <w:marBottom w:val="0"/>
      <w:divBdr>
        <w:top w:val="none" w:sz="0" w:space="0" w:color="auto"/>
        <w:left w:val="none" w:sz="0" w:space="0" w:color="auto"/>
        <w:bottom w:val="none" w:sz="0" w:space="0" w:color="auto"/>
        <w:right w:val="none" w:sz="0" w:space="0" w:color="auto"/>
      </w:divBdr>
    </w:div>
    <w:div w:id="1419059069">
      <w:bodyDiv w:val="1"/>
      <w:marLeft w:val="0"/>
      <w:marRight w:val="0"/>
      <w:marTop w:val="0"/>
      <w:marBottom w:val="0"/>
      <w:divBdr>
        <w:top w:val="none" w:sz="0" w:space="0" w:color="auto"/>
        <w:left w:val="none" w:sz="0" w:space="0" w:color="auto"/>
        <w:bottom w:val="none" w:sz="0" w:space="0" w:color="auto"/>
        <w:right w:val="none" w:sz="0" w:space="0" w:color="auto"/>
      </w:divBdr>
    </w:div>
    <w:div w:id="1430393509">
      <w:bodyDiv w:val="1"/>
      <w:marLeft w:val="0"/>
      <w:marRight w:val="0"/>
      <w:marTop w:val="0"/>
      <w:marBottom w:val="0"/>
      <w:divBdr>
        <w:top w:val="none" w:sz="0" w:space="0" w:color="auto"/>
        <w:left w:val="none" w:sz="0" w:space="0" w:color="auto"/>
        <w:bottom w:val="none" w:sz="0" w:space="0" w:color="auto"/>
        <w:right w:val="none" w:sz="0" w:space="0" w:color="auto"/>
      </w:divBdr>
    </w:div>
    <w:div w:id="1467159388">
      <w:bodyDiv w:val="1"/>
      <w:marLeft w:val="0"/>
      <w:marRight w:val="0"/>
      <w:marTop w:val="0"/>
      <w:marBottom w:val="0"/>
      <w:divBdr>
        <w:top w:val="none" w:sz="0" w:space="0" w:color="auto"/>
        <w:left w:val="none" w:sz="0" w:space="0" w:color="auto"/>
        <w:bottom w:val="none" w:sz="0" w:space="0" w:color="auto"/>
        <w:right w:val="none" w:sz="0" w:space="0" w:color="auto"/>
      </w:divBdr>
    </w:div>
    <w:div w:id="1561135606">
      <w:bodyDiv w:val="1"/>
      <w:marLeft w:val="0"/>
      <w:marRight w:val="0"/>
      <w:marTop w:val="0"/>
      <w:marBottom w:val="0"/>
      <w:divBdr>
        <w:top w:val="none" w:sz="0" w:space="0" w:color="auto"/>
        <w:left w:val="none" w:sz="0" w:space="0" w:color="auto"/>
        <w:bottom w:val="none" w:sz="0" w:space="0" w:color="auto"/>
        <w:right w:val="none" w:sz="0" w:space="0" w:color="auto"/>
      </w:divBdr>
    </w:div>
    <w:div w:id="1591888102">
      <w:bodyDiv w:val="1"/>
      <w:marLeft w:val="0"/>
      <w:marRight w:val="0"/>
      <w:marTop w:val="0"/>
      <w:marBottom w:val="0"/>
      <w:divBdr>
        <w:top w:val="none" w:sz="0" w:space="0" w:color="auto"/>
        <w:left w:val="none" w:sz="0" w:space="0" w:color="auto"/>
        <w:bottom w:val="none" w:sz="0" w:space="0" w:color="auto"/>
        <w:right w:val="none" w:sz="0" w:space="0" w:color="auto"/>
      </w:divBdr>
    </w:div>
    <w:div w:id="1652173996">
      <w:bodyDiv w:val="1"/>
      <w:marLeft w:val="0"/>
      <w:marRight w:val="0"/>
      <w:marTop w:val="0"/>
      <w:marBottom w:val="0"/>
      <w:divBdr>
        <w:top w:val="none" w:sz="0" w:space="0" w:color="auto"/>
        <w:left w:val="none" w:sz="0" w:space="0" w:color="auto"/>
        <w:bottom w:val="none" w:sz="0" w:space="0" w:color="auto"/>
        <w:right w:val="none" w:sz="0" w:space="0" w:color="auto"/>
      </w:divBdr>
    </w:div>
    <w:div w:id="1773669195">
      <w:bodyDiv w:val="1"/>
      <w:marLeft w:val="0"/>
      <w:marRight w:val="0"/>
      <w:marTop w:val="0"/>
      <w:marBottom w:val="0"/>
      <w:divBdr>
        <w:top w:val="none" w:sz="0" w:space="0" w:color="auto"/>
        <w:left w:val="none" w:sz="0" w:space="0" w:color="auto"/>
        <w:bottom w:val="none" w:sz="0" w:space="0" w:color="auto"/>
        <w:right w:val="none" w:sz="0" w:space="0" w:color="auto"/>
      </w:divBdr>
      <w:divsChild>
        <w:div w:id="401484066">
          <w:marLeft w:val="0"/>
          <w:marRight w:val="0"/>
          <w:marTop w:val="0"/>
          <w:marBottom w:val="0"/>
          <w:divBdr>
            <w:top w:val="none" w:sz="0" w:space="0" w:color="auto"/>
            <w:left w:val="none" w:sz="0" w:space="0" w:color="auto"/>
            <w:bottom w:val="none" w:sz="0" w:space="0" w:color="auto"/>
            <w:right w:val="none" w:sz="0" w:space="0" w:color="auto"/>
          </w:divBdr>
        </w:div>
        <w:div w:id="432479090">
          <w:marLeft w:val="0"/>
          <w:marRight w:val="0"/>
          <w:marTop w:val="0"/>
          <w:marBottom w:val="0"/>
          <w:divBdr>
            <w:top w:val="none" w:sz="0" w:space="0" w:color="auto"/>
            <w:left w:val="none" w:sz="0" w:space="0" w:color="auto"/>
            <w:bottom w:val="none" w:sz="0" w:space="0" w:color="auto"/>
            <w:right w:val="none" w:sz="0" w:space="0" w:color="auto"/>
          </w:divBdr>
        </w:div>
      </w:divsChild>
    </w:div>
    <w:div w:id="1869294322">
      <w:bodyDiv w:val="1"/>
      <w:marLeft w:val="0"/>
      <w:marRight w:val="0"/>
      <w:marTop w:val="0"/>
      <w:marBottom w:val="0"/>
      <w:divBdr>
        <w:top w:val="none" w:sz="0" w:space="0" w:color="auto"/>
        <w:left w:val="none" w:sz="0" w:space="0" w:color="auto"/>
        <w:bottom w:val="none" w:sz="0" w:space="0" w:color="auto"/>
        <w:right w:val="none" w:sz="0" w:space="0" w:color="auto"/>
      </w:divBdr>
    </w:div>
    <w:div w:id="1873765200">
      <w:bodyDiv w:val="1"/>
      <w:marLeft w:val="0"/>
      <w:marRight w:val="0"/>
      <w:marTop w:val="0"/>
      <w:marBottom w:val="0"/>
      <w:divBdr>
        <w:top w:val="none" w:sz="0" w:space="0" w:color="auto"/>
        <w:left w:val="none" w:sz="0" w:space="0" w:color="auto"/>
        <w:bottom w:val="none" w:sz="0" w:space="0" w:color="auto"/>
        <w:right w:val="none" w:sz="0" w:space="0" w:color="auto"/>
      </w:divBdr>
    </w:div>
    <w:div w:id="2035767667">
      <w:bodyDiv w:val="1"/>
      <w:marLeft w:val="0"/>
      <w:marRight w:val="0"/>
      <w:marTop w:val="0"/>
      <w:marBottom w:val="0"/>
      <w:divBdr>
        <w:top w:val="none" w:sz="0" w:space="0" w:color="auto"/>
        <w:left w:val="none" w:sz="0" w:space="0" w:color="auto"/>
        <w:bottom w:val="none" w:sz="0" w:space="0" w:color="auto"/>
        <w:right w:val="none" w:sz="0" w:space="0" w:color="auto"/>
      </w:divBdr>
    </w:div>
    <w:div w:id="2057972081">
      <w:bodyDiv w:val="1"/>
      <w:marLeft w:val="0"/>
      <w:marRight w:val="0"/>
      <w:marTop w:val="0"/>
      <w:marBottom w:val="0"/>
      <w:divBdr>
        <w:top w:val="none" w:sz="0" w:space="0" w:color="auto"/>
        <w:left w:val="none" w:sz="0" w:space="0" w:color="auto"/>
        <w:bottom w:val="none" w:sz="0" w:space="0" w:color="auto"/>
        <w:right w:val="none" w:sz="0" w:space="0" w:color="auto"/>
      </w:divBdr>
    </w:div>
    <w:div w:id="2071071205">
      <w:bodyDiv w:val="1"/>
      <w:marLeft w:val="0"/>
      <w:marRight w:val="0"/>
      <w:marTop w:val="0"/>
      <w:marBottom w:val="0"/>
      <w:divBdr>
        <w:top w:val="none" w:sz="0" w:space="0" w:color="auto"/>
        <w:left w:val="none" w:sz="0" w:space="0" w:color="auto"/>
        <w:bottom w:val="none" w:sz="0" w:space="0" w:color="auto"/>
        <w:right w:val="none" w:sz="0" w:space="0" w:color="auto"/>
      </w:divBdr>
    </w:div>
    <w:div w:id="2089963142">
      <w:bodyDiv w:val="1"/>
      <w:marLeft w:val="0"/>
      <w:marRight w:val="0"/>
      <w:marTop w:val="0"/>
      <w:marBottom w:val="0"/>
      <w:divBdr>
        <w:top w:val="none" w:sz="0" w:space="0" w:color="auto"/>
        <w:left w:val="none" w:sz="0" w:space="0" w:color="auto"/>
        <w:bottom w:val="none" w:sz="0" w:space="0" w:color="auto"/>
        <w:right w:val="none" w:sz="0" w:space="0" w:color="auto"/>
      </w:divBdr>
    </w:div>
    <w:div w:id="21281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gridstrategiesllc.com/reports/"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3" Type="http://schemas.openxmlformats.org/officeDocument/2006/relationships/hyperlink" Target="https://www.ferc.gov/news-events/news/ferc-opens-inquiry-use-dynamic-line-ratings-promote-grid-efficiency" TargetMode="External"/><Relationship Id="rId18" Type="http://schemas.openxmlformats.org/officeDocument/2006/relationships/hyperlink" Target="https://cdn.misoenergy.org/MTEP17%20MVP%20Triennial%20Review%20Report117065.pdf" TargetMode="External"/><Relationship Id="rId26" Type="http://schemas.openxmlformats.org/officeDocument/2006/relationships/hyperlink" Target="https://www.brattle.com/wp-content/uploads/2021/10/2021-10-12-Brattle-GridStrategies-Transmission-Planning-Report_v2.pdf" TargetMode="External"/><Relationship Id="rId21" Type="http://schemas.openxmlformats.org/officeDocument/2006/relationships/hyperlink" Target="https://www.spp.org/documents/67023/2021%20value%20of%20transmission%20report.pdf" TargetMode="External"/><Relationship Id="rId34" Type="http://schemas.openxmlformats.org/officeDocument/2006/relationships/hyperlink" Target="https://cleanenergygrid.org/wp-content/uploads/2021/01/Disconnected-The-Need-for-a-New-Generator-Interconnection-Policy-1.pdf" TargetMode="External"/><Relationship Id="rId7" Type="http://schemas.openxmlformats.org/officeDocument/2006/relationships/hyperlink" Target="https://blog.google/inside-google/infrastructure/data-centers-work-harder-sun-shines-wind-blows/" TargetMode="External"/><Relationship Id="rId12" Type="http://schemas.openxmlformats.org/officeDocument/2006/relationships/hyperlink" Target="https://watt-transmission.org/wp-content/uploads/2021/02/Brattle__Unlocking-the-Queue-with-Grid-Enhancing-Technologies__Final-Report_Public-Version.pdf90.pdf" TargetMode="External"/><Relationship Id="rId17" Type="http://schemas.openxmlformats.org/officeDocument/2006/relationships/hyperlink" Target="https://cdn.misoenergy.org/2011%20MVP%20Portfolio%20Analysis%20Full%20Report117059.pdf" TargetMode="External"/><Relationship Id="rId25" Type="http://schemas.openxmlformats.org/officeDocument/2006/relationships/hyperlink" Target="https://www.ferc.gov/media/rm21-17-000" TargetMode="External"/><Relationship Id="rId33" Type="http://schemas.openxmlformats.org/officeDocument/2006/relationships/hyperlink" Target="https://gridprogress.files.wordpress.com/2020/11/business-network-osw-transmission-white-paper-final.pdf" TargetMode="External"/><Relationship Id="rId38" Type="http://schemas.openxmlformats.org/officeDocument/2006/relationships/hyperlink" Target="https://www.oasis.oati.com/woa/docs/SOCO/SOCOdocs/Active-Gen-IC-Requests.pdf" TargetMode="External"/><Relationship Id="rId2" Type="http://schemas.openxmlformats.org/officeDocument/2006/relationships/hyperlink" Target="https://www.iso-ne.com/static-assets/documents/2022/05/a7_storage_as_a_transmission_only_asset.pdf" TargetMode="External"/><Relationship Id="rId16" Type="http://schemas.openxmlformats.org/officeDocument/2006/relationships/hyperlink" Target="https://www.brattle.com/wp-content/uploads/2021/10/2021-10-12-Brattle-GridStrategies-Transmission-Planning-Report_v2.pdf" TargetMode="External"/><Relationship Id="rId20" Type="http://schemas.openxmlformats.org/officeDocument/2006/relationships/hyperlink" Target="https://www.spp.org/documents/35297/the%20value%20of%20transmission%20report.pdf" TargetMode="External"/><Relationship Id="rId29" Type="http://schemas.openxmlformats.org/officeDocument/2006/relationships/hyperlink" Target="https://www.energy.gov/sites/default/files/2023-12/National%20Transmission%20Needs%20Study%20-%20Final_2023.12.1.pdf" TargetMode="External"/><Relationship Id="rId1" Type="http://schemas.openxmlformats.org/officeDocument/2006/relationships/hyperlink" Target="https://www.ferc.gov/media/e-1-order-2023-rm22-14-000" TargetMode="External"/><Relationship Id="rId6" Type="http://schemas.openxmlformats.org/officeDocument/2006/relationships/hyperlink" Target="https://www.powermag.com/new-york-citys-largest-battery-energy-storage-system-nears-completion/" TargetMode="External"/><Relationship Id="rId11" Type="http://schemas.openxmlformats.org/officeDocument/2006/relationships/hyperlink" Target="https://inl.gov/wp-content/uploads/2023/03/A-Guide-to-Case-Studies-for-Grid-Enhancing-Technologies.pdf" TargetMode="External"/><Relationship Id="rId24" Type="http://schemas.openxmlformats.org/officeDocument/2006/relationships/hyperlink" Target="http://www.nctpc.org/nctpc/document/REF/2023-12-08/Multi-Value%20Strategic%20Transmission%20Planning%20Process%20draft%2011-13-2023.pdf" TargetMode="External"/><Relationship Id="rId32" Type="http://schemas.openxmlformats.org/officeDocument/2006/relationships/hyperlink" Target="https://www.brattle.com/wp-content/uploads/2022/10/New-Jersey-State-Agreement-Approach-for-Offshore-Wind-Transmission-Evaluation-Report.pdf" TargetMode="External"/><Relationship Id="rId37" Type="http://schemas.openxmlformats.org/officeDocument/2006/relationships/hyperlink" Target="https://puc.sd.gov/commission/dockets/electric/2013/EL13-028/appendixb3.pdf" TargetMode="External"/><Relationship Id="rId5" Type="http://schemas.openxmlformats.org/officeDocument/2006/relationships/hyperlink" Target="http://newsroom.sdge.com/battery-storage/sdge-unveils-world%E2%80%99s-largest-lithium-ion-battery-storage-facility" TargetMode="External"/><Relationship Id="rId15" Type="http://schemas.openxmlformats.org/officeDocument/2006/relationships/hyperlink" Target="https://eta-publications.lbl.gov/sites/default/files/berkeley_lab_interconnection_cost_webinar.pdf" TargetMode="External"/><Relationship Id="rId23" Type="http://schemas.openxmlformats.org/officeDocument/2006/relationships/hyperlink" Target="https://www.coloradospowerpathway.com/project-description/" TargetMode="External"/><Relationship Id="rId28" Type="http://schemas.openxmlformats.org/officeDocument/2006/relationships/hyperlink" Target="http://www.southeasternrtp.com/reference_library.cshtml" TargetMode="External"/><Relationship Id="rId36" Type="http://schemas.openxmlformats.org/officeDocument/2006/relationships/hyperlink" Target="https://www.utilitydive.com/news/miso-board-transmission-plan-midcontinent-renewables/628108/" TargetMode="External"/><Relationship Id="rId10" Type="http://schemas.openxmlformats.org/officeDocument/2006/relationships/hyperlink" Target="https://watttransmission.files.wordpress.com/2018/03/watt-living-grid-white-paper.pdf" TargetMode="External"/><Relationship Id="rId19" Type="http://schemas.openxmlformats.org/officeDocument/2006/relationships/hyperlink" Target="https://www.energy.gov/sites/prod/files/2014/08/f18/c_lasher_qer_santafe_presentation.pdf" TargetMode="External"/><Relationship Id="rId31" Type="http://schemas.openxmlformats.org/officeDocument/2006/relationships/hyperlink" Target="https://pjm.com/-/media/library/reports-notices/special-reports/2021/20211019-offshore-wind-transmission-study-phase-1-results.ashx" TargetMode="External"/><Relationship Id="rId4" Type="http://schemas.openxmlformats.org/officeDocument/2006/relationships/hyperlink" Target="https://www.aesindiana.com/ipl-and-aes-leaders-officially-open-first-battery-based-energy-storage-miso-region" TargetMode="External"/><Relationship Id="rId9" Type="http://schemas.openxmlformats.org/officeDocument/2006/relationships/hyperlink" Target="https://www.ercot.com/misdownload/servlets/mirDownload?doclookupId=975814860" TargetMode="External"/><Relationship Id="rId14" Type="http://schemas.openxmlformats.org/officeDocument/2006/relationships/hyperlink" Target="https://cdn.misoenergy.org/20240131%20PSC%20Item%2005%20Transmission%20Cost%20Estimation%20Guide%20for%20MTEP24%20-%20Redline631529.pdf" TargetMode="External"/><Relationship Id="rId22" Type="http://schemas.openxmlformats.org/officeDocument/2006/relationships/hyperlink" Target="https://goed.nv.gov/wp-content/uploads/2021/05/Greenlink-Nevada-Presentation-4-08-21.pdf" TargetMode="External"/><Relationship Id="rId27" Type="http://schemas.openxmlformats.org/officeDocument/2006/relationships/hyperlink" Target="https://www.ferc.gov/media/rm21-17-000" TargetMode="External"/><Relationship Id="rId30" Type="http://schemas.openxmlformats.org/officeDocument/2006/relationships/hyperlink" Target="https://www.cleanenergygrid.org/wp-content/uploads/2023/06/ACEG_Transmission_Planning_and_Development_Report_Card.pdf" TargetMode="External"/><Relationship Id="rId35" Type="http://schemas.openxmlformats.org/officeDocument/2006/relationships/hyperlink" Target="https://emp.lbl.gov/generation-storage-and-hybrid-capacity" TargetMode="External"/><Relationship Id="rId8" Type="http://schemas.openxmlformats.org/officeDocument/2006/relationships/hyperlink" Target="https://www.eia.gov/todayinenergy/detail.php?id=61364" TargetMode="External"/><Relationship Id="rId3" Type="http://schemas.openxmlformats.org/officeDocument/2006/relationships/hyperlink" Target="https://cdn.ymaws.com/ny-best.org/resource/resmgr/reports/SATA_White_Paper_Final_0109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9D604C9416F7D42B19D04356824670A" ma:contentTypeVersion="12" ma:contentTypeDescription="Create a new document." ma:contentTypeScope="" ma:versionID="5a86396fd2cb6f86c5b752de4676b216">
  <xsd:schema xmlns:xsd="http://www.w3.org/2001/XMLSchema" xmlns:xs="http://www.w3.org/2001/XMLSchema" xmlns:p="http://schemas.microsoft.com/office/2006/metadata/properties" xmlns:ns2="956c91bd-07e9-4e5e-8b56-2a74e9369b60" xmlns:ns3="bfe06535-efc6-4487-9d5e-01610a6d7e4b" targetNamespace="http://schemas.microsoft.com/office/2006/metadata/properties" ma:root="true" ma:fieldsID="7a786e2a0e5e33f524ea46fbc1a5c75b" ns2:_="" ns3:_="">
    <xsd:import namespace="956c91bd-07e9-4e5e-8b56-2a74e9369b60"/>
    <xsd:import namespace="bfe06535-efc6-4487-9d5e-01610a6d7e4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c91bd-07e9-4e5e-8b56-2a74e9369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17d8504-7ee1-4e4a-9b94-7367353ff7b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e06535-efc6-4487-9d5e-01610a6d7e4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712ae2-ab96-4019-a5e3-379b699c49fb}" ma:internalName="TaxCatchAll" ma:showField="CatchAllData" ma:web="bfe06535-efc6-4487-9d5e-01610a6d7e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fe06535-efc6-4487-9d5e-01610a6d7e4b">
      <UserInfo>
        <DisplayName>Benjamin Deitchman</DisplayName>
        <AccountId>26</AccountId>
        <AccountType/>
      </UserInfo>
    </SharedWithUsers>
    <TaxCatchAll xmlns="bfe06535-efc6-4487-9d5e-01610a6d7e4b" xsi:nil="true"/>
    <lcf76f155ced4ddcb4097134ff3c332f xmlns="956c91bd-07e9-4e5e-8b56-2a74e9369b6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C9AE-684A-472E-837D-791594F31138}">
  <ds:schemaRefs>
    <ds:schemaRef ds:uri="http://schemas.openxmlformats.org/officeDocument/2006/bibliography"/>
  </ds:schemaRefs>
</ds:datastoreItem>
</file>

<file path=customXml/itemProps2.xml><?xml version="1.0" encoding="utf-8"?>
<ds:datastoreItem xmlns:ds="http://schemas.openxmlformats.org/officeDocument/2006/customXml" ds:itemID="{DA8370EF-8C62-4F29-B989-EE716D914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c91bd-07e9-4e5e-8b56-2a74e9369b60"/>
    <ds:schemaRef ds:uri="bfe06535-efc6-4487-9d5e-01610a6d7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C0C98-B443-4D0C-AB2C-507B572829D9}">
  <ds:schemaRefs>
    <ds:schemaRef ds:uri="http://schemas.microsoft.com/office/2006/metadata/properties"/>
    <ds:schemaRef ds:uri="http://schemas.microsoft.com/office/infopath/2007/PartnerControls"/>
    <ds:schemaRef ds:uri="bfe06535-efc6-4487-9d5e-01610a6d7e4b"/>
    <ds:schemaRef ds:uri="956c91bd-07e9-4e5e-8b56-2a74e9369b60"/>
  </ds:schemaRefs>
</ds:datastoreItem>
</file>

<file path=customXml/itemProps4.xml><?xml version="1.0" encoding="utf-8"?>
<ds:datastoreItem xmlns:ds="http://schemas.openxmlformats.org/officeDocument/2006/customXml" ds:itemID="{E26E8233-0635-4C97-886B-437BD9DBFE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36</Pages>
  <Words>8073</Words>
  <Characters>46019</Characters>
  <Application>Microsoft Office Word</Application>
  <DocSecurity>0</DocSecurity>
  <Lines>383</Lines>
  <Paragraphs>107</Paragraphs>
  <ScaleCrop>false</ScaleCrop>
  <Company>Microsoft</Company>
  <LinksUpToDate>false</LinksUpToDate>
  <CharactersWithSpaces>53985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GPC FCR-17 Direct Testimony</dc:title>
  <dc:subject/>
  <dc:creator>John D. Heaton;Beric Danderrion</dc:creator>
  <cp:keywords/>
  <cp:lastModifiedBy>Michael Goggin</cp:lastModifiedBy>
  <cp:revision>10</cp:revision>
  <cp:lastPrinted>2024-02-15T17:22:00Z</cp:lastPrinted>
  <dcterms:created xsi:type="dcterms:W3CDTF">2024-02-15T17:33:00Z</dcterms:created>
  <dcterms:modified xsi:type="dcterms:W3CDTF">2024-02-15T17:41:00Z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0x010100D9D604C9416F7D42B19D04356824670A</vt:lpwstr>
  </property>
</Properties>
</file>