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9CAB" w14:textId="5E1486C9" w:rsidR="009E7506" w:rsidRPr="00A65AF6" w:rsidRDefault="009E7506" w:rsidP="009E7506">
      <w:pPr>
        <w:jc w:val="center"/>
        <w:rPr>
          <w:rFonts w:ascii="Times New Roman" w:hAnsi="Times New Roman"/>
          <w:b/>
          <w:sz w:val="32"/>
          <w:szCs w:val="32"/>
        </w:rPr>
      </w:pPr>
      <w:r w:rsidRPr="00A65AF6">
        <w:rPr>
          <w:rFonts w:ascii="Times New Roman" w:hAnsi="Times New Roman"/>
          <w:b/>
          <w:sz w:val="32"/>
          <w:szCs w:val="32"/>
        </w:rPr>
        <w:t>BEFORE THE</w:t>
      </w:r>
    </w:p>
    <w:p w14:paraId="1B6A339A" w14:textId="77777777" w:rsidR="009E7506" w:rsidRPr="00A65AF6" w:rsidRDefault="009E7506" w:rsidP="009E7506">
      <w:pPr>
        <w:jc w:val="center"/>
        <w:rPr>
          <w:rFonts w:ascii="Times New Roman" w:hAnsi="Times New Roman"/>
          <w:b/>
          <w:sz w:val="32"/>
          <w:szCs w:val="32"/>
        </w:rPr>
      </w:pPr>
    </w:p>
    <w:p w14:paraId="544A4880" w14:textId="77777777" w:rsidR="009E7506" w:rsidRDefault="009E7506" w:rsidP="009E7506">
      <w:pPr>
        <w:jc w:val="center"/>
        <w:rPr>
          <w:rFonts w:ascii="Times New Roman" w:hAnsi="Times New Roman"/>
          <w:b/>
          <w:sz w:val="32"/>
          <w:szCs w:val="32"/>
        </w:rPr>
      </w:pPr>
      <w:r w:rsidRPr="00A65AF6">
        <w:rPr>
          <w:rFonts w:ascii="Times New Roman" w:hAnsi="Times New Roman"/>
          <w:b/>
          <w:sz w:val="32"/>
          <w:szCs w:val="32"/>
        </w:rPr>
        <w:t>GEORGIA PUBLIC SERVICE COMMISSION</w:t>
      </w:r>
    </w:p>
    <w:p w14:paraId="40CC4120" w14:textId="77777777" w:rsidR="005B5B28" w:rsidRPr="00A65AF6" w:rsidRDefault="005B5B28" w:rsidP="009E7506">
      <w:pPr>
        <w:jc w:val="center"/>
        <w:rPr>
          <w:rFonts w:ascii="Times New Roman" w:hAnsi="Times New Roman"/>
          <w:b/>
          <w:sz w:val="32"/>
          <w:szCs w:val="32"/>
        </w:rPr>
      </w:pPr>
    </w:p>
    <w:p w14:paraId="76EB2E4E" w14:textId="77777777" w:rsidR="009E7506" w:rsidRPr="00A65AF6" w:rsidRDefault="009E7506" w:rsidP="009E7506">
      <w:pPr>
        <w:jc w:val="center"/>
        <w:rPr>
          <w:rFonts w:ascii="Times New Roman" w:hAnsi="Times New Roman"/>
          <w:b/>
          <w:sz w:val="32"/>
          <w:szCs w:val="32"/>
        </w:rPr>
      </w:pPr>
    </w:p>
    <w:p w14:paraId="375C63B1" w14:textId="77777777" w:rsidR="009E7506" w:rsidRDefault="009E7506" w:rsidP="009E7506">
      <w:pPr>
        <w:rPr>
          <w:rFonts w:ascii="Times New Roman" w:hAnsi="Times New Roman"/>
          <w:b/>
          <w:sz w:val="24"/>
          <w:szCs w:val="24"/>
        </w:rPr>
      </w:pPr>
      <w:r w:rsidRPr="00F31F50">
        <w:rPr>
          <w:rFonts w:ascii="Times New Roman" w:hAnsi="Times New Roman"/>
          <w:b/>
          <w:sz w:val="24"/>
          <w:szCs w:val="24"/>
        </w:rPr>
        <w:t>In the Matter of:</w:t>
      </w:r>
    </w:p>
    <w:p w14:paraId="6E6952CB" w14:textId="77777777" w:rsidR="009E7506" w:rsidRPr="00F31F50" w:rsidRDefault="009E7506" w:rsidP="009E7506">
      <w:pPr>
        <w:rPr>
          <w:rFonts w:ascii="Times New Roman" w:hAnsi="Times New Roman"/>
          <w:b/>
          <w:sz w:val="24"/>
          <w:szCs w:val="24"/>
        </w:rPr>
      </w:pP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p>
    <w:p w14:paraId="599A1940" w14:textId="4E95B7E6" w:rsidR="009E7506" w:rsidRPr="00143177" w:rsidRDefault="009E7506" w:rsidP="009E7506">
      <w:pPr>
        <w:spacing w:line="360" w:lineRule="auto"/>
        <w:rPr>
          <w:rFonts w:ascii="Times New Roman" w:hAnsi="Times New Roman"/>
          <w:b/>
          <w:sz w:val="24"/>
          <w:szCs w:val="24"/>
        </w:rPr>
      </w:pPr>
      <w:r w:rsidRPr="00143177">
        <w:rPr>
          <w:rFonts w:ascii="Times New Roman" w:hAnsi="Times New Roman"/>
          <w:b/>
          <w:sz w:val="24"/>
          <w:szCs w:val="24"/>
        </w:rPr>
        <w:t>GEORGIA POWER COMPANY’S</w:t>
      </w:r>
      <w:r w:rsidRPr="00143177">
        <w:rPr>
          <w:rFonts w:ascii="Times New Roman" w:hAnsi="Times New Roman"/>
          <w:b/>
          <w:sz w:val="24"/>
          <w:szCs w:val="24"/>
        </w:rPr>
        <w:tab/>
      </w:r>
      <w:r w:rsidRPr="00143177">
        <w:rPr>
          <w:rFonts w:ascii="Times New Roman" w:hAnsi="Times New Roman"/>
          <w:b/>
          <w:sz w:val="24"/>
          <w:szCs w:val="24"/>
        </w:rPr>
        <w:tab/>
        <w:t>)</w:t>
      </w:r>
      <w:r w:rsidRPr="00143177">
        <w:rPr>
          <w:rFonts w:ascii="Times New Roman" w:hAnsi="Times New Roman"/>
          <w:b/>
          <w:sz w:val="24"/>
          <w:szCs w:val="24"/>
        </w:rPr>
        <w:tab/>
        <w:t xml:space="preserve">DOCKET NO. </w:t>
      </w:r>
      <w:r w:rsidR="00143177" w:rsidRPr="00143177">
        <w:rPr>
          <w:rFonts w:ascii="Times New Roman" w:hAnsi="Times New Roman"/>
          <w:b/>
          <w:sz w:val="24"/>
          <w:szCs w:val="24"/>
        </w:rPr>
        <w:t>55378</w:t>
      </w:r>
    </w:p>
    <w:p w14:paraId="093993AA" w14:textId="35FF7127" w:rsidR="00143177" w:rsidRPr="00143177" w:rsidRDefault="009E7506" w:rsidP="009E7506">
      <w:pPr>
        <w:spacing w:line="360" w:lineRule="auto"/>
        <w:rPr>
          <w:rFonts w:ascii="Times New Roman" w:hAnsi="Times New Roman"/>
          <w:b/>
          <w:sz w:val="24"/>
          <w:szCs w:val="24"/>
        </w:rPr>
      </w:pPr>
      <w:r w:rsidRPr="00143177">
        <w:rPr>
          <w:rFonts w:ascii="Times New Roman" w:hAnsi="Times New Roman"/>
          <w:b/>
          <w:sz w:val="24"/>
          <w:szCs w:val="24"/>
        </w:rPr>
        <w:t>202</w:t>
      </w:r>
      <w:r w:rsidR="00143177" w:rsidRPr="00143177">
        <w:rPr>
          <w:rFonts w:ascii="Times New Roman" w:hAnsi="Times New Roman"/>
          <w:b/>
          <w:sz w:val="24"/>
          <w:szCs w:val="24"/>
        </w:rPr>
        <w:t>3</w:t>
      </w:r>
      <w:r w:rsidRPr="00143177">
        <w:rPr>
          <w:rFonts w:ascii="Times New Roman" w:hAnsi="Times New Roman"/>
          <w:b/>
          <w:sz w:val="24"/>
          <w:szCs w:val="24"/>
        </w:rPr>
        <w:t xml:space="preserve"> INTEGRATED RESOURCE PLAN</w:t>
      </w:r>
      <w:r w:rsidRPr="00143177">
        <w:rPr>
          <w:rFonts w:ascii="Times New Roman" w:hAnsi="Times New Roman"/>
          <w:b/>
          <w:sz w:val="24"/>
          <w:szCs w:val="24"/>
        </w:rPr>
        <w:tab/>
      </w:r>
      <w:r w:rsidR="00143177" w:rsidRPr="00143177">
        <w:rPr>
          <w:rFonts w:ascii="Times New Roman" w:hAnsi="Times New Roman"/>
          <w:b/>
          <w:sz w:val="24"/>
          <w:szCs w:val="24"/>
        </w:rPr>
        <w:tab/>
        <w:t>)</w:t>
      </w:r>
    </w:p>
    <w:p w14:paraId="07C78E7C" w14:textId="4B471F27" w:rsidR="00394C6D" w:rsidRPr="00143177" w:rsidRDefault="00143177" w:rsidP="009E7506">
      <w:pPr>
        <w:spacing w:line="360" w:lineRule="auto"/>
        <w:rPr>
          <w:rFonts w:ascii="Times New Roman" w:hAnsi="Times New Roman"/>
          <w:b/>
          <w:sz w:val="24"/>
          <w:szCs w:val="24"/>
        </w:rPr>
      </w:pPr>
      <w:r w:rsidRPr="00143177">
        <w:rPr>
          <w:rFonts w:ascii="Times New Roman" w:hAnsi="Times New Roman"/>
          <w:b/>
          <w:sz w:val="24"/>
          <w:szCs w:val="24"/>
        </w:rPr>
        <w:t>UPDATE</w:t>
      </w:r>
      <w:r w:rsidRPr="00143177">
        <w:rPr>
          <w:rFonts w:ascii="Times New Roman" w:hAnsi="Times New Roman"/>
          <w:b/>
          <w:sz w:val="24"/>
          <w:szCs w:val="24"/>
        </w:rPr>
        <w:tab/>
      </w:r>
      <w:r w:rsidRPr="00143177">
        <w:rPr>
          <w:rFonts w:ascii="Times New Roman" w:hAnsi="Times New Roman"/>
          <w:b/>
          <w:sz w:val="24"/>
          <w:szCs w:val="24"/>
        </w:rPr>
        <w:tab/>
      </w:r>
      <w:r w:rsidRPr="00143177">
        <w:rPr>
          <w:rFonts w:ascii="Times New Roman" w:hAnsi="Times New Roman"/>
          <w:b/>
          <w:sz w:val="24"/>
          <w:szCs w:val="24"/>
        </w:rPr>
        <w:tab/>
      </w:r>
      <w:r w:rsidRPr="00143177">
        <w:rPr>
          <w:rFonts w:ascii="Times New Roman" w:hAnsi="Times New Roman"/>
          <w:b/>
          <w:sz w:val="24"/>
          <w:szCs w:val="24"/>
        </w:rPr>
        <w:tab/>
      </w:r>
      <w:r w:rsidRPr="00143177">
        <w:rPr>
          <w:rFonts w:ascii="Times New Roman" w:hAnsi="Times New Roman"/>
          <w:b/>
          <w:sz w:val="24"/>
          <w:szCs w:val="24"/>
        </w:rPr>
        <w:tab/>
      </w:r>
      <w:r w:rsidRPr="00143177">
        <w:rPr>
          <w:rFonts w:ascii="Times New Roman" w:hAnsi="Times New Roman"/>
          <w:b/>
          <w:sz w:val="24"/>
          <w:szCs w:val="24"/>
        </w:rPr>
        <w:tab/>
      </w:r>
      <w:r w:rsidR="009E7506" w:rsidRPr="00143177">
        <w:rPr>
          <w:rFonts w:ascii="Times New Roman" w:hAnsi="Times New Roman"/>
          <w:b/>
          <w:sz w:val="24"/>
          <w:szCs w:val="24"/>
        </w:rPr>
        <w:t>)</w:t>
      </w:r>
    </w:p>
    <w:p w14:paraId="0DB1E38C" w14:textId="77777777" w:rsidR="00394C6D" w:rsidRPr="00EC70B0" w:rsidRDefault="00394C6D" w:rsidP="009E7506">
      <w:pPr>
        <w:spacing w:line="360" w:lineRule="auto"/>
        <w:rPr>
          <w:rFonts w:ascii="Times New Roman" w:hAnsi="Times New Roman"/>
          <w:b/>
          <w:sz w:val="24"/>
          <w:szCs w:val="24"/>
          <w:highlight w:val="yellow"/>
        </w:rPr>
      </w:pPr>
    </w:p>
    <w:p w14:paraId="6248E1CA" w14:textId="77777777" w:rsidR="009E7506" w:rsidRDefault="009E7506" w:rsidP="009E7506">
      <w:pPr>
        <w:spacing w:line="360" w:lineRule="auto"/>
        <w:rPr>
          <w:rFonts w:ascii="Times New Roman" w:hAnsi="Times New Roman"/>
          <w:b/>
          <w:sz w:val="24"/>
          <w:szCs w:val="24"/>
        </w:rPr>
      </w:pPr>
    </w:p>
    <w:p w14:paraId="210AEDAF" w14:textId="77777777" w:rsidR="009E7506" w:rsidRPr="00F31F50" w:rsidRDefault="009E7506" w:rsidP="009E7506">
      <w:pPr>
        <w:spacing w:line="360" w:lineRule="auto"/>
        <w:rPr>
          <w:rFonts w:ascii="Times New Roman" w:hAnsi="Times New Roman"/>
          <w:b/>
          <w:sz w:val="24"/>
          <w:szCs w:val="24"/>
        </w:rPr>
      </w:pPr>
    </w:p>
    <w:p w14:paraId="3B4D0A3F" w14:textId="77777777" w:rsidR="009E7506" w:rsidRPr="00F31F50" w:rsidRDefault="009E7506" w:rsidP="009E7506">
      <w:pPr>
        <w:spacing w:line="360" w:lineRule="auto"/>
        <w:jc w:val="center"/>
        <w:rPr>
          <w:rFonts w:ascii="Times New Roman" w:hAnsi="Times New Roman"/>
          <w:b/>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22"/>
      </w:tblGrid>
      <w:tr w:rsidR="009E7506" w:rsidRPr="00A65AF6" w14:paraId="6D836370" w14:textId="77777777" w:rsidTr="00AE5F1F">
        <w:trPr>
          <w:jc w:val="center"/>
        </w:trPr>
        <w:tc>
          <w:tcPr>
            <w:tcW w:w="5622" w:type="dxa"/>
          </w:tcPr>
          <w:p w14:paraId="158EEB28" w14:textId="77777777" w:rsidR="009E7506" w:rsidRPr="00A65AF6" w:rsidRDefault="009E7506" w:rsidP="00AE5F1F">
            <w:pPr>
              <w:jc w:val="center"/>
              <w:rPr>
                <w:rFonts w:ascii="Times New Roman" w:hAnsi="Times New Roman"/>
                <w:b/>
                <w:sz w:val="28"/>
                <w:szCs w:val="28"/>
              </w:rPr>
            </w:pPr>
          </w:p>
          <w:p w14:paraId="26E00FF6" w14:textId="77777777" w:rsidR="009E7506" w:rsidRPr="00A65AF6" w:rsidRDefault="009E7506" w:rsidP="00AE5F1F">
            <w:pPr>
              <w:jc w:val="center"/>
              <w:rPr>
                <w:rFonts w:ascii="Times New Roman" w:hAnsi="Times New Roman"/>
                <w:b/>
                <w:sz w:val="28"/>
                <w:szCs w:val="28"/>
              </w:rPr>
            </w:pPr>
          </w:p>
          <w:p w14:paraId="7CD10D35" w14:textId="77777777" w:rsidR="009E7506" w:rsidRPr="00A65AF6" w:rsidRDefault="009E7506" w:rsidP="00AE5F1F">
            <w:pPr>
              <w:jc w:val="center"/>
              <w:rPr>
                <w:rFonts w:ascii="Times New Roman" w:hAnsi="Times New Roman"/>
                <w:b/>
                <w:sz w:val="28"/>
                <w:szCs w:val="28"/>
              </w:rPr>
            </w:pPr>
            <w:r w:rsidRPr="00A65AF6">
              <w:rPr>
                <w:rFonts w:ascii="Times New Roman" w:hAnsi="Times New Roman"/>
                <w:b/>
                <w:sz w:val="28"/>
                <w:szCs w:val="28"/>
              </w:rPr>
              <w:t>DIRECT TESTIMONY</w:t>
            </w:r>
            <w:r>
              <w:rPr>
                <w:rFonts w:ascii="Times New Roman" w:hAnsi="Times New Roman"/>
                <w:b/>
                <w:sz w:val="28"/>
                <w:szCs w:val="28"/>
              </w:rPr>
              <w:t xml:space="preserve"> AND EXHIBITS</w:t>
            </w:r>
          </w:p>
          <w:p w14:paraId="7AF496F9" w14:textId="77777777" w:rsidR="009E7506" w:rsidRPr="00A65AF6" w:rsidRDefault="009E7506" w:rsidP="00AE5F1F">
            <w:pPr>
              <w:jc w:val="center"/>
              <w:rPr>
                <w:rFonts w:ascii="Times New Roman" w:hAnsi="Times New Roman"/>
                <w:b/>
                <w:sz w:val="28"/>
                <w:szCs w:val="28"/>
              </w:rPr>
            </w:pPr>
          </w:p>
          <w:p w14:paraId="1450BDE1" w14:textId="77777777" w:rsidR="009E7506" w:rsidRPr="00A65AF6" w:rsidRDefault="009E7506" w:rsidP="00AE5F1F">
            <w:pPr>
              <w:jc w:val="center"/>
              <w:rPr>
                <w:rFonts w:ascii="Times New Roman" w:hAnsi="Times New Roman"/>
                <w:b/>
                <w:sz w:val="28"/>
                <w:szCs w:val="28"/>
              </w:rPr>
            </w:pPr>
            <w:r w:rsidRPr="00A65AF6">
              <w:rPr>
                <w:rFonts w:ascii="Times New Roman" w:hAnsi="Times New Roman"/>
                <w:b/>
                <w:sz w:val="28"/>
                <w:szCs w:val="28"/>
              </w:rPr>
              <w:t>OF</w:t>
            </w:r>
          </w:p>
          <w:p w14:paraId="7891181B" w14:textId="77777777" w:rsidR="009E7506" w:rsidRPr="00A65AF6" w:rsidRDefault="009E7506" w:rsidP="00AE5F1F">
            <w:pPr>
              <w:jc w:val="center"/>
              <w:rPr>
                <w:rFonts w:ascii="Times New Roman" w:hAnsi="Times New Roman"/>
                <w:b/>
                <w:sz w:val="28"/>
                <w:szCs w:val="28"/>
              </w:rPr>
            </w:pPr>
          </w:p>
          <w:p w14:paraId="7156CCED" w14:textId="5EE89A85" w:rsidR="009E7506" w:rsidRPr="00A65AF6" w:rsidRDefault="003049A8" w:rsidP="00AE5F1F">
            <w:pPr>
              <w:jc w:val="center"/>
              <w:rPr>
                <w:rFonts w:ascii="Times New Roman" w:hAnsi="Times New Roman"/>
                <w:b/>
                <w:sz w:val="28"/>
                <w:szCs w:val="28"/>
              </w:rPr>
            </w:pPr>
            <w:r>
              <w:rPr>
                <w:rFonts w:ascii="Times New Roman" w:hAnsi="Times New Roman"/>
                <w:b/>
                <w:sz w:val="28"/>
                <w:szCs w:val="28"/>
              </w:rPr>
              <w:t xml:space="preserve">DOUGLAS A. SMITH AND </w:t>
            </w:r>
            <w:r>
              <w:rPr>
                <w:rFonts w:ascii="Times New Roman" w:hAnsi="Times New Roman"/>
                <w:b/>
                <w:sz w:val="28"/>
                <w:szCs w:val="28"/>
              </w:rPr>
              <w:br/>
              <w:t>KATHERINE PALACIOS</w:t>
            </w:r>
          </w:p>
          <w:p w14:paraId="2A008986" w14:textId="77777777" w:rsidR="009E7506" w:rsidRPr="00A65AF6" w:rsidRDefault="009E7506" w:rsidP="00AE5F1F">
            <w:pPr>
              <w:jc w:val="center"/>
              <w:rPr>
                <w:rFonts w:ascii="Times New Roman" w:hAnsi="Times New Roman"/>
                <w:b/>
                <w:sz w:val="28"/>
                <w:szCs w:val="28"/>
              </w:rPr>
            </w:pPr>
          </w:p>
          <w:p w14:paraId="71A8A308" w14:textId="77777777" w:rsidR="009E7506" w:rsidRPr="00A65AF6" w:rsidRDefault="009E7506" w:rsidP="00AE5F1F">
            <w:pPr>
              <w:jc w:val="center"/>
              <w:rPr>
                <w:rFonts w:ascii="Times New Roman" w:hAnsi="Times New Roman"/>
                <w:b/>
                <w:sz w:val="28"/>
                <w:szCs w:val="28"/>
              </w:rPr>
            </w:pPr>
          </w:p>
        </w:tc>
      </w:tr>
    </w:tbl>
    <w:p w14:paraId="648AB180" w14:textId="77777777" w:rsidR="009E7506" w:rsidRPr="00A65AF6" w:rsidRDefault="009E7506" w:rsidP="009E7506">
      <w:pPr>
        <w:jc w:val="center"/>
        <w:rPr>
          <w:rFonts w:ascii="Times New Roman" w:hAnsi="Times New Roman"/>
          <w:b/>
          <w:sz w:val="28"/>
          <w:szCs w:val="28"/>
        </w:rPr>
      </w:pPr>
    </w:p>
    <w:p w14:paraId="37C87868" w14:textId="77777777" w:rsidR="009E7506" w:rsidRDefault="009E7506" w:rsidP="009E7506">
      <w:pPr>
        <w:jc w:val="center"/>
        <w:rPr>
          <w:rFonts w:ascii="Times New Roman" w:hAnsi="Times New Roman"/>
          <w:b/>
          <w:sz w:val="28"/>
          <w:szCs w:val="28"/>
        </w:rPr>
      </w:pPr>
    </w:p>
    <w:p w14:paraId="20BFFFC1" w14:textId="77777777" w:rsidR="00691593" w:rsidRDefault="00691593" w:rsidP="009E7506">
      <w:pPr>
        <w:jc w:val="center"/>
        <w:rPr>
          <w:rFonts w:ascii="Times New Roman" w:hAnsi="Times New Roman"/>
          <w:b/>
          <w:sz w:val="28"/>
          <w:szCs w:val="28"/>
        </w:rPr>
      </w:pPr>
    </w:p>
    <w:p w14:paraId="00C35E04" w14:textId="77777777" w:rsidR="009E7506" w:rsidRPr="00A65AF6" w:rsidRDefault="009E7506" w:rsidP="009E7506">
      <w:pPr>
        <w:jc w:val="center"/>
        <w:rPr>
          <w:rFonts w:ascii="Times New Roman" w:hAnsi="Times New Roman"/>
          <w:b/>
          <w:sz w:val="28"/>
          <w:szCs w:val="28"/>
        </w:rPr>
      </w:pPr>
      <w:r w:rsidRPr="00A65AF6">
        <w:rPr>
          <w:rFonts w:ascii="Times New Roman" w:hAnsi="Times New Roman"/>
          <w:b/>
          <w:sz w:val="28"/>
          <w:szCs w:val="28"/>
        </w:rPr>
        <w:t xml:space="preserve">ON BEHALF OF THE </w:t>
      </w:r>
    </w:p>
    <w:p w14:paraId="61FA7D31" w14:textId="77777777" w:rsidR="009E7506" w:rsidRPr="00A65AF6" w:rsidRDefault="009E7506" w:rsidP="009E7506">
      <w:pPr>
        <w:jc w:val="center"/>
        <w:rPr>
          <w:rFonts w:ascii="Times New Roman" w:hAnsi="Times New Roman"/>
          <w:b/>
          <w:sz w:val="28"/>
          <w:szCs w:val="28"/>
        </w:rPr>
      </w:pPr>
    </w:p>
    <w:p w14:paraId="61A1B46A" w14:textId="77777777" w:rsidR="009E7506" w:rsidRPr="00A65AF6" w:rsidRDefault="009E7506" w:rsidP="009E7506">
      <w:pPr>
        <w:jc w:val="center"/>
        <w:rPr>
          <w:rFonts w:ascii="Times New Roman" w:hAnsi="Times New Roman"/>
          <w:b/>
          <w:sz w:val="28"/>
          <w:szCs w:val="28"/>
        </w:rPr>
      </w:pPr>
      <w:r w:rsidRPr="00A65AF6">
        <w:rPr>
          <w:rFonts w:ascii="Times New Roman" w:hAnsi="Times New Roman"/>
          <w:b/>
          <w:sz w:val="28"/>
          <w:szCs w:val="28"/>
        </w:rPr>
        <w:t>GEORGIA PUBLIC SERVICE COMMISSION</w:t>
      </w:r>
    </w:p>
    <w:p w14:paraId="1393363B" w14:textId="77777777" w:rsidR="009E7506" w:rsidRDefault="009E7506" w:rsidP="009E7506">
      <w:pPr>
        <w:jc w:val="center"/>
        <w:rPr>
          <w:rFonts w:ascii="Times New Roman" w:hAnsi="Times New Roman"/>
          <w:b/>
          <w:sz w:val="28"/>
          <w:szCs w:val="28"/>
        </w:rPr>
      </w:pPr>
      <w:r w:rsidRPr="00A65AF6">
        <w:rPr>
          <w:rFonts w:ascii="Times New Roman" w:hAnsi="Times New Roman"/>
          <w:b/>
          <w:sz w:val="28"/>
          <w:szCs w:val="28"/>
        </w:rPr>
        <w:t>PUBLIC INTEREST ADVOCACY STAFF</w:t>
      </w:r>
    </w:p>
    <w:p w14:paraId="1194223E" w14:textId="77777777" w:rsidR="00691593" w:rsidRPr="00A65AF6" w:rsidRDefault="00691593" w:rsidP="009E7506">
      <w:pPr>
        <w:jc w:val="center"/>
        <w:rPr>
          <w:rFonts w:ascii="Times New Roman" w:hAnsi="Times New Roman"/>
          <w:b/>
          <w:sz w:val="28"/>
          <w:szCs w:val="28"/>
        </w:rPr>
      </w:pPr>
    </w:p>
    <w:p w14:paraId="7AF26FD3" w14:textId="658463FC" w:rsidR="009E7506" w:rsidRDefault="003049A8" w:rsidP="009E7506">
      <w:pPr>
        <w:jc w:val="center"/>
        <w:rPr>
          <w:rFonts w:ascii="Times New Roman" w:hAnsi="Times New Roman"/>
          <w:b/>
          <w:sz w:val="28"/>
          <w:szCs w:val="28"/>
        </w:rPr>
      </w:pPr>
      <w:r>
        <w:rPr>
          <w:rFonts w:ascii="Times New Roman" w:hAnsi="Times New Roman"/>
          <w:b/>
          <w:sz w:val="28"/>
          <w:szCs w:val="28"/>
        </w:rPr>
        <w:t>FEBRUARY 15,</w:t>
      </w:r>
      <w:r w:rsidR="009E7506" w:rsidRPr="00A65AF6">
        <w:rPr>
          <w:rFonts w:ascii="Times New Roman" w:hAnsi="Times New Roman"/>
          <w:b/>
          <w:sz w:val="28"/>
          <w:szCs w:val="28"/>
        </w:rPr>
        <w:t xml:space="preserve"> 20</w:t>
      </w:r>
      <w:r w:rsidR="00272160">
        <w:rPr>
          <w:rFonts w:ascii="Times New Roman" w:hAnsi="Times New Roman"/>
          <w:b/>
          <w:sz w:val="28"/>
          <w:szCs w:val="28"/>
        </w:rPr>
        <w:t>2</w:t>
      </w:r>
      <w:r w:rsidR="00EC70B0">
        <w:rPr>
          <w:rFonts w:ascii="Times New Roman" w:hAnsi="Times New Roman"/>
          <w:b/>
          <w:sz w:val="28"/>
          <w:szCs w:val="28"/>
        </w:rPr>
        <w:t>4</w:t>
      </w:r>
    </w:p>
    <w:p w14:paraId="77CC089C" w14:textId="27BF35F3" w:rsidR="007E7494" w:rsidRPr="00160EA0" w:rsidRDefault="00451E19" w:rsidP="009E7506">
      <w:pPr>
        <w:jc w:val="center"/>
        <w:rPr>
          <w:rFonts w:ascii="Times New Roman" w:hAnsi="Times New Roman"/>
          <w:b/>
          <w:color w:val="385623" w:themeColor="accent6" w:themeShade="80"/>
          <w:sz w:val="28"/>
          <w:szCs w:val="28"/>
        </w:rPr>
      </w:pPr>
      <w:r w:rsidRPr="00160EA0">
        <w:rPr>
          <w:rFonts w:ascii="Times New Roman" w:hAnsi="Times New Roman"/>
          <w:b/>
          <w:color w:val="385623" w:themeColor="accent6" w:themeShade="80"/>
          <w:sz w:val="28"/>
          <w:szCs w:val="28"/>
        </w:rPr>
        <w:t>PUBLIC DISCLOSURE</w:t>
      </w:r>
    </w:p>
    <w:p w14:paraId="7F27DA83" w14:textId="77777777" w:rsidR="00596500" w:rsidRDefault="00596500" w:rsidP="009E7506">
      <w:pPr>
        <w:spacing w:line="480" w:lineRule="auto"/>
        <w:jc w:val="center"/>
        <w:rPr>
          <w:rFonts w:ascii="Times New Roman" w:hAnsi="Times New Roman"/>
          <w:b/>
          <w:sz w:val="28"/>
          <w:szCs w:val="28"/>
          <w:u w:val="single"/>
        </w:rPr>
      </w:pPr>
    </w:p>
    <w:p w14:paraId="0BD4F579" w14:textId="77777777" w:rsidR="00143177" w:rsidRDefault="00143177">
      <w:pPr>
        <w:spacing w:after="160" w:line="259" w:lineRule="auto"/>
        <w:jc w:val="left"/>
        <w:rPr>
          <w:rFonts w:ascii="Times New Roman" w:hAnsi="Times New Roman"/>
          <w:b/>
          <w:sz w:val="28"/>
          <w:szCs w:val="28"/>
          <w:u w:val="single"/>
        </w:rPr>
      </w:pPr>
      <w:r>
        <w:rPr>
          <w:rFonts w:ascii="Times New Roman" w:hAnsi="Times New Roman"/>
          <w:b/>
          <w:sz w:val="28"/>
          <w:szCs w:val="28"/>
          <w:u w:val="single"/>
        </w:rPr>
        <w:br w:type="page"/>
      </w:r>
    </w:p>
    <w:p w14:paraId="41B8E08C" w14:textId="3FA72F78" w:rsidR="009E7506" w:rsidRPr="007C1513" w:rsidRDefault="009E7506" w:rsidP="009E7506">
      <w:pPr>
        <w:spacing w:line="480" w:lineRule="auto"/>
        <w:jc w:val="center"/>
        <w:rPr>
          <w:rFonts w:ascii="Times New Roman" w:hAnsi="Times New Roman"/>
          <w:b/>
          <w:sz w:val="28"/>
          <w:szCs w:val="28"/>
          <w:u w:val="single"/>
        </w:rPr>
      </w:pPr>
      <w:r w:rsidRPr="007C1513">
        <w:rPr>
          <w:rFonts w:ascii="Times New Roman" w:hAnsi="Times New Roman"/>
          <w:b/>
          <w:sz w:val="28"/>
          <w:szCs w:val="28"/>
          <w:u w:val="single"/>
        </w:rPr>
        <w:lastRenderedPageBreak/>
        <w:t>TABLE OF CONTENTS</w:t>
      </w:r>
    </w:p>
    <w:p w14:paraId="6C8B2E1A" w14:textId="77777777" w:rsidR="009E7506" w:rsidRPr="00152957" w:rsidRDefault="009E7506" w:rsidP="009352B6">
      <w:pPr>
        <w:spacing w:line="480" w:lineRule="auto"/>
        <w:ind w:right="2340"/>
        <w:jc w:val="center"/>
        <w:rPr>
          <w:rFonts w:ascii="Times New Roman" w:hAnsi="Times New Roman"/>
          <w:b/>
          <w:sz w:val="24"/>
          <w:szCs w:val="24"/>
        </w:rPr>
      </w:pPr>
    </w:p>
    <w:p w14:paraId="4334271C" w14:textId="18F10691" w:rsidR="00BC0821" w:rsidRDefault="009E7506" w:rsidP="00BC0821">
      <w:pPr>
        <w:pStyle w:val="TOC1"/>
        <w:rPr>
          <w:rFonts w:asciiTheme="minorHAnsi" w:eastAsiaTheme="minorEastAsia" w:hAnsiTheme="minorHAnsi" w:cstheme="minorBidi"/>
          <w:noProof/>
          <w:kern w:val="2"/>
          <w14:ligatures w14:val="standardContextual"/>
        </w:rPr>
      </w:pPr>
      <w:r w:rsidRPr="00152957">
        <w:rPr>
          <w:rFonts w:ascii="Times New Roman" w:hAnsi="Times New Roman"/>
          <w:b/>
          <w:sz w:val="24"/>
          <w:szCs w:val="24"/>
        </w:rPr>
        <w:fldChar w:fldCharType="begin"/>
      </w:r>
      <w:r w:rsidRPr="00152957">
        <w:rPr>
          <w:rFonts w:ascii="Times New Roman" w:hAnsi="Times New Roman"/>
          <w:b/>
          <w:sz w:val="24"/>
          <w:szCs w:val="24"/>
        </w:rPr>
        <w:instrText xml:space="preserve"> TOC \o "1-3" \u </w:instrText>
      </w:r>
      <w:r w:rsidRPr="00152957">
        <w:rPr>
          <w:rFonts w:ascii="Times New Roman" w:hAnsi="Times New Roman"/>
          <w:b/>
          <w:sz w:val="24"/>
          <w:szCs w:val="24"/>
        </w:rPr>
        <w:fldChar w:fldCharType="separate"/>
      </w:r>
      <w:r w:rsidR="00BC0821">
        <w:rPr>
          <w:noProof/>
        </w:rPr>
        <w:t>I.</w:t>
      </w:r>
      <w:r w:rsidR="00BC0821">
        <w:rPr>
          <w:rFonts w:asciiTheme="minorHAnsi" w:eastAsiaTheme="minorEastAsia" w:hAnsiTheme="minorHAnsi" w:cstheme="minorBidi"/>
          <w:noProof/>
          <w:kern w:val="2"/>
          <w14:ligatures w14:val="standardContextual"/>
        </w:rPr>
        <w:tab/>
      </w:r>
      <w:r w:rsidR="00BC0821">
        <w:rPr>
          <w:noProof/>
        </w:rPr>
        <w:t>INTRODUCTION</w:t>
      </w:r>
      <w:r w:rsidR="00BC0821">
        <w:rPr>
          <w:noProof/>
        </w:rPr>
        <w:tab/>
      </w:r>
      <w:r w:rsidR="00BC0821">
        <w:rPr>
          <w:noProof/>
        </w:rPr>
        <w:fldChar w:fldCharType="begin"/>
      </w:r>
      <w:r w:rsidR="00BC0821">
        <w:rPr>
          <w:noProof/>
        </w:rPr>
        <w:instrText xml:space="preserve"> PAGEREF _Toc158741862 \h </w:instrText>
      </w:r>
      <w:r w:rsidR="00BC0821">
        <w:rPr>
          <w:noProof/>
        </w:rPr>
      </w:r>
      <w:r w:rsidR="00BC0821">
        <w:rPr>
          <w:noProof/>
        </w:rPr>
        <w:fldChar w:fldCharType="separate"/>
      </w:r>
      <w:r w:rsidR="005851D7">
        <w:rPr>
          <w:noProof/>
        </w:rPr>
        <w:t>1</w:t>
      </w:r>
      <w:r w:rsidR="00BC0821">
        <w:rPr>
          <w:noProof/>
        </w:rPr>
        <w:fldChar w:fldCharType="end"/>
      </w:r>
    </w:p>
    <w:p w14:paraId="42CD2FD1" w14:textId="15DEBB76" w:rsidR="00BC0821" w:rsidRDefault="00BC0821" w:rsidP="00BC0821">
      <w:pPr>
        <w:pStyle w:val="TOC1"/>
        <w:rPr>
          <w:rFonts w:asciiTheme="minorHAnsi" w:eastAsiaTheme="minorEastAsia" w:hAnsiTheme="minorHAnsi" w:cstheme="minorBidi"/>
          <w:noProof/>
          <w:kern w:val="2"/>
          <w14:ligatures w14:val="standardContextual"/>
        </w:rPr>
      </w:pPr>
      <w:r>
        <w:rPr>
          <w:noProof/>
        </w:rPr>
        <w:t>II.</w:t>
      </w:r>
      <w:r>
        <w:rPr>
          <w:rFonts w:asciiTheme="minorHAnsi" w:eastAsiaTheme="minorEastAsia" w:hAnsiTheme="minorHAnsi" w:cstheme="minorBidi"/>
          <w:noProof/>
          <w:kern w:val="2"/>
          <w14:ligatures w14:val="standardContextual"/>
        </w:rPr>
        <w:tab/>
      </w:r>
      <w:r>
        <w:rPr>
          <w:noProof/>
        </w:rPr>
        <w:t>OVERVIEW OF COMPANY FILING</w:t>
      </w:r>
      <w:r>
        <w:rPr>
          <w:noProof/>
        </w:rPr>
        <w:tab/>
      </w:r>
      <w:r>
        <w:rPr>
          <w:noProof/>
        </w:rPr>
        <w:fldChar w:fldCharType="begin"/>
      </w:r>
      <w:r>
        <w:rPr>
          <w:noProof/>
        </w:rPr>
        <w:instrText xml:space="preserve"> PAGEREF _Toc158741863 \h </w:instrText>
      </w:r>
      <w:r>
        <w:rPr>
          <w:noProof/>
        </w:rPr>
      </w:r>
      <w:r>
        <w:rPr>
          <w:noProof/>
        </w:rPr>
        <w:fldChar w:fldCharType="separate"/>
      </w:r>
      <w:r w:rsidR="005851D7">
        <w:rPr>
          <w:noProof/>
        </w:rPr>
        <w:t>5</w:t>
      </w:r>
      <w:r>
        <w:rPr>
          <w:noProof/>
        </w:rPr>
        <w:fldChar w:fldCharType="end"/>
      </w:r>
    </w:p>
    <w:p w14:paraId="54B04C2D" w14:textId="19126978" w:rsidR="00BC0821" w:rsidRDefault="00BC0821" w:rsidP="00BC0821">
      <w:pPr>
        <w:pStyle w:val="TOC1"/>
        <w:rPr>
          <w:rFonts w:asciiTheme="minorHAnsi" w:eastAsiaTheme="minorEastAsia" w:hAnsiTheme="minorHAnsi" w:cstheme="minorBidi"/>
          <w:noProof/>
          <w:kern w:val="2"/>
          <w14:ligatures w14:val="standardContextual"/>
        </w:rPr>
      </w:pPr>
      <w:r>
        <w:rPr>
          <w:noProof/>
        </w:rPr>
        <w:t>III.</w:t>
      </w:r>
      <w:r>
        <w:rPr>
          <w:rFonts w:asciiTheme="minorHAnsi" w:eastAsiaTheme="minorEastAsia" w:hAnsiTheme="minorHAnsi" w:cstheme="minorBidi"/>
          <w:noProof/>
          <w:kern w:val="2"/>
          <w14:ligatures w14:val="standardContextual"/>
        </w:rPr>
        <w:tab/>
      </w:r>
      <w:r>
        <w:rPr>
          <w:noProof/>
        </w:rPr>
        <w:t>DISCUSSION OF THE TRANSMISSION SCREENING ANALYSIS AND RESULTS</w:t>
      </w:r>
      <w:r>
        <w:rPr>
          <w:noProof/>
        </w:rPr>
        <w:tab/>
      </w:r>
      <w:r>
        <w:rPr>
          <w:noProof/>
        </w:rPr>
        <w:fldChar w:fldCharType="begin"/>
      </w:r>
      <w:r>
        <w:rPr>
          <w:noProof/>
        </w:rPr>
        <w:instrText xml:space="preserve"> PAGEREF _Toc158741864 \h </w:instrText>
      </w:r>
      <w:r>
        <w:rPr>
          <w:noProof/>
        </w:rPr>
      </w:r>
      <w:r>
        <w:rPr>
          <w:noProof/>
        </w:rPr>
        <w:fldChar w:fldCharType="separate"/>
      </w:r>
      <w:r w:rsidR="005851D7">
        <w:rPr>
          <w:noProof/>
        </w:rPr>
        <w:t>10</w:t>
      </w:r>
      <w:r>
        <w:rPr>
          <w:noProof/>
        </w:rPr>
        <w:fldChar w:fldCharType="end"/>
      </w:r>
    </w:p>
    <w:p w14:paraId="0A673FBB" w14:textId="25221A6E" w:rsidR="00BC0821" w:rsidRDefault="00BC0821" w:rsidP="00BC0821">
      <w:pPr>
        <w:pStyle w:val="TOC1"/>
        <w:rPr>
          <w:rFonts w:asciiTheme="minorHAnsi" w:eastAsiaTheme="minorEastAsia" w:hAnsiTheme="minorHAnsi" w:cstheme="minorBidi"/>
          <w:noProof/>
          <w:kern w:val="2"/>
          <w14:ligatures w14:val="standardContextual"/>
        </w:rPr>
      </w:pPr>
      <w:r>
        <w:rPr>
          <w:noProof/>
        </w:rPr>
        <w:t>IV.</w:t>
      </w:r>
      <w:r>
        <w:rPr>
          <w:rFonts w:asciiTheme="minorHAnsi" w:eastAsiaTheme="minorEastAsia" w:hAnsiTheme="minorHAnsi" w:cstheme="minorBidi"/>
          <w:noProof/>
          <w:kern w:val="2"/>
          <w14:ligatures w14:val="standardContextual"/>
        </w:rPr>
        <w:tab/>
      </w:r>
      <w:r>
        <w:rPr>
          <w:noProof/>
        </w:rPr>
        <w:t>DISCUSSION OF UPDATED TRANSMISSION ANALYSIS AND RESULTS</w:t>
      </w:r>
      <w:r>
        <w:rPr>
          <w:noProof/>
        </w:rPr>
        <w:tab/>
      </w:r>
      <w:r>
        <w:rPr>
          <w:noProof/>
        </w:rPr>
        <w:fldChar w:fldCharType="begin"/>
      </w:r>
      <w:r>
        <w:rPr>
          <w:noProof/>
        </w:rPr>
        <w:instrText xml:space="preserve"> PAGEREF _Toc158741865 \h </w:instrText>
      </w:r>
      <w:r>
        <w:rPr>
          <w:noProof/>
        </w:rPr>
      </w:r>
      <w:r>
        <w:rPr>
          <w:noProof/>
        </w:rPr>
        <w:fldChar w:fldCharType="separate"/>
      </w:r>
      <w:r w:rsidR="005851D7">
        <w:rPr>
          <w:noProof/>
        </w:rPr>
        <w:t>15</w:t>
      </w:r>
      <w:r>
        <w:rPr>
          <w:noProof/>
        </w:rPr>
        <w:fldChar w:fldCharType="end"/>
      </w:r>
    </w:p>
    <w:p w14:paraId="36049332" w14:textId="0A3057BC" w:rsidR="00BC0821" w:rsidRDefault="00BC0821" w:rsidP="00BC0821">
      <w:pPr>
        <w:pStyle w:val="TOC1"/>
        <w:rPr>
          <w:rFonts w:asciiTheme="minorHAnsi" w:eastAsiaTheme="minorEastAsia" w:hAnsiTheme="minorHAnsi" w:cstheme="minorBidi"/>
          <w:noProof/>
          <w:kern w:val="2"/>
          <w14:ligatures w14:val="standardContextual"/>
        </w:rPr>
      </w:pPr>
      <w:r>
        <w:rPr>
          <w:noProof/>
        </w:rPr>
        <w:t>V.</w:t>
      </w:r>
      <w:r>
        <w:rPr>
          <w:rFonts w:asciiTheme="minorHAnsi" w:eastAsiaTheme="minorEastAsia" w:hAnsiTheme="minorHAnsi" w:cstheme="minorBidi"/>
          <w:noProof/>
          <w:kern w:val="2"/>
          <w14:ligatures w14:val="standardContextual"/>
        </w:rPr>
        <w:tab/>
      </w:r>
      <w:r>
        <w:rPr>
          <w:noProof/>
        </w:rPr>
        <w:t>DISCUSSION OF TRANSMISSION ANALYSIS AND TRANSMISSION UPGRADES FOR PLANT YATES</w:t>
      </w:r>
      <w:r>
        <w:rPr>
          <w:noProof/>
        </w:rPr>
        <w:tab/>
      </w:r>
      <w:r>
        <w:rPr>
          <w:noProof/>
        </w:rPr>
        <w:fldChar w:fldCharType="begin"/>
      </w:r>
      <w:r>
        <w:rPr>
          <w:noProof/>
        </w:rPr>
        <w:instrText xml:space="preserve"> PAGEREF _Toc158741866 \h </w:instrText>
      </w:r>
      <w:r>
        <w:rPr>
          <w:noProof/>
        </w:rPr>
      </w:r>
      <w:r>
        <w:rPr>
          <w:noProof/>
        </w:rPr>
        <w:fldChar w:fldCharType="separate"/>
      </w:r>
      <w:r w:rsidR="005851D7">
        <w:rPr>
          <w:noProof/>
        </w:rPr>
        <w:t>17</w:t>
      </w:r>
      <w:r>
        <w:rPr>
          <w:noProof/>
        </w:rPr>
        <w:fldChar w:fldCharType="end"/>
      </w:r>
    </w:p>
    <w:p w14:paraId="688FA9B9" w14:textId="2416068D" w:rsidR="00BC0821" w:rsidRDefault="00BC0821" w:rsidP="00BC0821">
      <w:pPr>
        <w:pStyle w:val="TOC1"/>
        <w:rPr>
          <w:rFonts w:asciiTheme="minorHAnsi" w:eastAsiaTheme="minorEastAsia" w:hAnsiTheme="minorHAnsi" w:cstheme="minorBidi"/>
          <w:noProof/>
          <w:kern w:val="2"/>
          <w14:ligatures w14:val="standardContextual"/>
        </w:rPr>
      </w:pPr>
      <w:r>
        <w:rPr>
          <w:noProof/>
        </w:rPr>
        <w:t>VI.</w:t>
      </w:r>
      <w:r>
        <w:rPr>
          <w:rFonts w:asciiTheme="minorHAnsi" w:eastAsiaTheme="minorEastAsia" w:hAnsiTheme="minorHAnsi" w:cstheme="minorBidi"/>
          <w:noProof/>
          <w:kern w:val="2"/>
          <w14:ligatures w14:val="standardContextual"/>
        </w:rPr>
        <w:tab/>
      </w:r>
      <w:r>
        <w:rPr>
          <w:noProof/>
        </w:rPr>
        <w:t>THE INCLUSION OF THE ASSUMED EXTENSION UNITS DESIGNATED FOR RETIREMENT IN THE 2022 IRP BIASES THE RESULTS OF THESE ANALYSES</w:t>
      </w:r>
      <w:r>
        <w:rPr>
          <w:noProof/>
        </w:rPr>
        <w:tab/>
      </w:r>
      <w:r>
        <w:rPr>
          <w:noProof/>
        </w:rPr>
        <w:fldChar w:fldCharType="begin"/>
      </w:r>
      <w:r>
        <w:rPr>
          <w:noProof/>
        </w:rPr>
        <w:instrText xml:space="preserve"> PAGEREF _Toc158741867 \h </w:instrText>
      </w:r>
      <w:r>
        <w:rPr>
          <w:noProof/>
        </w:rPr>
      </w:r>
      <w:r>
        <w:rPr>
          <w:noProof/>
        </w:rPr>
        <w:fldChar w:fldCharType="separate"/>
      </w:r>
      <w:r w:rsidR="005851D7">
        <w:rPr>
          <w:noProof/>
        </w:rPr>
        <w:t>19</w:t>
      </w:r>
      <w:r>
        <w:rPr>
          <w:noProof/>
        </w:rPr>
        <w:fldChar w:fldCharType="end"/>
      </w:r>
    </w:p>
    <w:p w14:paraId="6A6EFFC3" w14:textId="10543FAA" w:rsidR="00BC0821" w:rsidRDefault="00BC0821" w:rsidP="00BC0821">
      <w:pPr>
        <w:pStyle w:val="TOC1"/>
        <w:rPr>
          <w:rFonts w:asciiTheme="minorHAnsi" w:eastAsiaTheme="minorEastAsia" w:hAnsiTheme="minorHAnsi" w:cstheme="minorBidi"/>
          <w:noProof/>
          <w:kern w:val="2"/>
          <w14:ligatures w14:val="standardContextual"/>
        </w:rPr>
      </w:pPr>
      <w:r>
        <w:rPr>
          <w:noProof/>
        </w:rPr>
        <w:t>VII.</w:t>
      </w:r>
      <w:r>
        <w:rPr>
          <w:rFonts w:asciiTheme="minorHAnsi" w:eastAsiaTheme="minorEastAsia" w:hAnsiTheme="minorHAnsi" w:cstheme="minorBidi"/>
          <w:noProof/>
          <w:kern w:val="2"/>
          <w14:ligatures w14:val="standardContextual"/>
        </w:rPr>
        <w:tab/>
      </w:r>
      <w:r>
        <w:rPr>
          <w:noProof/>
        </w:rPr>
        <w:t>THE TIMING AND MAGNITUDE OF THE NEED FOR PROJECT 7 SUGGESTS THE REQUESTED EXPENSE TO ADVANCE THE PROJECT ONE YEAR BE DENIED</w:t>
      </w:r>
      <w:r>
        <w:rPr>
          <w:noProof/>
        </w:rPr>
        <w:tab/>
      </w:r>
      <w:r>
        <w:rPr>
          <w:noProof/>
        </w:rPr>
        <w:fldChar w:fldCharType="begin"/>
      </w:r>
      <w:r>
        <w:rPr>
          <w:noProof/>
        </w:rPr>
        <w:instrText xml:space="preserve"> PAGEREF _Toc158741868 \h </w:instrText>
      </w:r>
      <w:r>
        <w:rPr>
          <w:noProof/>
        </w:rPr>
      </w:r>
      <w:r>
        <w:rPr>
          <w:noProof/>
        </w:rPr>
        <w:fldChar w:fldCharType="separate"/>
      </w:r>
      <w:r w:rsidR="005851D7">
        <w:rPr>
          <w:noProof/>
        </w:rPr>
        <w:t>21</w:t>
      </w:r>
      <w:r>
        <w:rPr>
          <w:noProof/>
        </w:rPr>
        <w:fldChar w:fldCharType="end"/>
      </w:r>
    </w:p>
    <w:p w14:paraId="3F56C8B6" w14:textId="29811181" w:rsidR="00BC0821" w:rsidRDefault="00BC0821" w:rsidP="00BC0821">
      <w:pPr>
        <w:pStyle w:val="TOC1"/>
        <w:rPr>
          <w:rFonts w:asciiTheme="minorHAnsi" w:eastAsiaTheme="minorEastAsia" w:hAnsiTheme="minorHAnsi" w:cstheme="minorBidi"/>
          <w:noProof/>
          <w:kern w:val="2"/>
          <w14:ligatures w14:val="standardContextual"/>
        </w:rPr>
      </w:pPr>
      <w:r>
        <w:rPr>
          <w:noProof/>
        </w:rPr>
        <w:t>VIII.</w:t>
      </w:r>
      <w:r>
        <w:rPr>
          <w:rFonts w:asciiTheme="minorHAnsi" w:eastAsiaTheme="minorEastAsia" w:hAnsiTheme="minorHAnsi" w:cstheme="minorBidi"/>
          <w:noProof/>
          <w:kern w:val="2"/>
          <w14:ligatures w14:val="standardContextual"/>
        </w:rPr>
        <w:tab/>
      </w:r>
      <w:r>
        <w:rPr>
          <w:noProof/>
        </w:rPr>
        <w:t>THE TIMING AND MAGNITUDE OF THE NEED FOR PROJECT 8 SUGGESTS THE REQUESTED EXPENSE BE REJECTED PENDING A MORE COMPLETE ANALYSIS IN THE NEXT IRP</w:t>
      </w:r>
      <w:r>
        <w:rPr>
          <w:noProof/>
        </w:rPr>
        <w:tab/>
      </w:r>
      <w:r>
        <w:rPr>
          <w:noProof/>
        </w:rPr>
        <w:fldChar w:fldCharType="begin"/>
      </w:r>
      <w:r>
        <w:rPr>
          <w:noProof/>
        </w:rPr>
        <w:instrText xml:space="preserve"> PAGEREF _Toc158741869 \h </w:instrText>
      </w:r>
      <w:r>
        <w:rPr>
          <w:noProof/>
        </w:rPr>
      </w:r>
      <w:r>
        <w:rPr>
          <w:noProof/>
        </w:rPr>
        <w:fldChar w:fldCharType="separate"/>
      </w:r>
      <w:r w:rsidR="005851D7">
        <w:rPr>
          <w:noProof/>
        </w:rPr>
        <w:t>23</w:t>
      </w:r>
      <w:r>
        <w:rPr>
          <w:noProof/>
        </w:rPr>
        <w:fldChar w:fldCharType="end"/>
      </w:r>
    </w:p>
    <w:p w14:paraId="7F5EC508" w14:textId="480942AC" w:rsidR="00BC0821" w:rsidRDefault="00BC0821" w:rsidP="00BC0821">
      <w:pPr>
        <w:pStyle w:val="TOC1"/>
        <w:rPr>
          <w:rFonts w:asciiTheme="minorHAnsi" w:eastAsiaTheme="minorEastAsia" w:hAnsiTheme="minorHAnsi" w:cstheme="minorBidi"/>
          <w:noProof/>
          <w:kern w:val="2"/>
          <w14:ligatures w14:val="standardContextual"/>
        </w:rPr>
      </w:pPr>
      <w:r>
        <w:rPr>
          <w:noProof/>
        </w:rPr>
        <w:t>IX.</w:t>
      </w:r>
      <w:r>
        <w:rPr>
          <w:rFonts w:asciiTheme="minorHAnsi" w:eastAsiaTheme="minorEastAsia" w:hAnsiTheme="minorHAnsi" w:cstheme="minorBidi"/>
          <w:noProof/>
          <w:kern w:val="2"/>
          <w14:ligatures w14:val="standardContextual"/>
        </w:rPr>
        <w:tab/>
      </w:r>
      <w:r>
        <w:rPr>
          <w:noProof/>
        </w:rPr>
        <w:t>DISCUSSION OF DAYMARK’S ANALYSIS ON TRANSMISSION UPGRADES FOR PLANT YATES</w:t>
      </w:r>
      <w:r>
        <w:rPr>
          <w:noProof/>
        </w:rPr>
        <w:tab/>
      </w:r>
      <w:r>
        <w:rPr>
          <w:noProof/>
        </w:rPr>
        <w:fldChar w:fldCharType="begin"/>
      </w:r>
      <w:r>
        <w:rPr>
          <w:noProof/>
        </w:rPr>
        <w:instrText xml:space="preserve"> PAGEREF _Toc158741870 \h </w:instrText>
      </w:r>
      <w:r>
        <w:rPr>
          <w:noProof/>
        </w:rPr>
      </w:r>
      <w:r>
        <w:rPr>
          <w:noProof/>
        </w:rPr>
        <w:fldChar w:fldCharType="separate"/>
      </w:r>
      <w:r w:rsidR="005851D7">
        <w:rPr>
          <w:noProof/>
        </w:rPr>
        <w:t>24</w:t>
      </w:r>
      <w:r>
        <w:rPr>
          <w:noProof/>
        </w:rPr>
        <w:fldChar w:fldCharType="end"/>
      </w:r>
    </w:p>
    <w:p w14:paraId="71B9B8B7" w14:textId="55424672" w:rsidR="00BC0821" w:rsidRDefault="00BC0821" w:rsidP="00BC0821">
      <w:pPr>
        <w:pStyle w:val="TOC1"/>
        <w:rPr>
          <w:rFonts w:asciiTheme="minorHAnsi" w:eastAsiaTheme="minorEastAsia" w:hAnsiTheme="minorHAnsi" w:cstheme="minorBidi"/>
          <w:noProof/>
          <w:kern w:val="2"/>
          <w14:ligatures w14:val="standardContextual"/>
        </w:rPr>
      </w:pPr>
      <w:r>
        <w:rPr>
          <w:noProof/>
        </w:rPr>
        <w:t>X.</w:t>
      </w:r>
      <w:r>
        <w:rPr>
          <w:rFonts w:asciiTheme="minorHAnsi" w:eastAsiaTheme="minorEastAsia" w:hAnsiTheme="minorHAnsi" w:cstheme="minorBidi"/>
          <w:noProof/>
          <w:kern w:val="2"/>
          <w14:ligatures w14:val="standardContextual"/>
        </w:rPr>
        <w:tab/>
      </w:r>
      <w:r>
        <w:rPr>
          <w:noProof/>
        </w:rPr>
        <w:t>OTHER OBSERVATIONS REGARDING THE SCOPE AND SCALE OF THE TRANSMISSION ANALYSIS PERFORMED</w:t>
      </w:r>
      <w:r>
        <w:rPr>
          <w:noProof/>
        </w:rPr>
        <w:tab/>
      </w:r>
      <w:r>
        <w:rPr>
          <w:noProof/>
        </w:rPr>
        <w:fldChar w:fldCharType="begin"/>
      </w:r>
      <w:r>
        <w:rPr>
          <w:noProof/>
        </w:rPr>
        <w:instrText xml:space="preserve"> PAGEREF _Toc158741871 \h </w:instrText>
      </w:r>
      <w:r>
        <w:rPr>
          <w:noProof/>
        </w:rPr>
      </w:r>
      <w:r>
        <w:rPr>
          <w:noProof/>
        </w:rPr>
        <w:fldChar w:fldCharType="separate"/>
      </w:r>
      <w:r w:rsidR="005851D7">
        <w:rPr>
          <w:noProof/>
        </w:rPr>
        <w:t>27</w:t>
      </w:r>
      <w:r>
        <w:rPr>
          <w:noProof/>
        </w:rPr>
        <w:fldChar w:fldCharType="end"/>
      </w:r>
    </w:p>
    <w:p w14:paraId="7CF04B93" w14:textId="01C7FA07" w:rsidR="00BC0821" w:rsidRDefault="00BC0821" w:rsidP="00BC0821">
      <w:pPr>
        <w:pStyle w:val="TOC1"/>
        <w:rPr>
          <w:rFonts w:asciiTheme="minorHAnsi" w:eastAsiaTheme="minorEastAsia" w:hAnsiTheme="minorHAnsi" w:cstheme="minorBidi"/>
          <w:noProof/>
          <w:kern w:val="2"/>
          <w14:ligatures w14:val="standardContextual"/>
        </w:rPr>
      </w:pPr>
      <w:r>
        <w:rPr>
          <w:noProof/>
        </w:rPr>
        <w:t>XI.</w:t>
      </w:r>
      <w:r>
        <w:rPr>
          <w:rFonts w:asciiTheme="minorHAnsi" w:eastAsiaTheme="minorEastAsia" w:hAnsiTheme="minorHAnsi" w:cstheme="minorBidi"/>
          <w:noProof/>
          <w:kern w:val="2"/>
          <w14:ligatures w14:val="standardContextual"/>
        </w:rPr>
        <w:tab/>
      </w:r>
      <w:r>
        <w:rPr>
          <w:noProof/>
        </w:rPr>
        <w:t>CONCLUSIONS AND RECOMMENDATIONS</w:t>
      </w:r>
      <w:r>
        <w:rPr>
          <w:noProof/>
        </w:rPr>
        <w:tab/>
      </w:r>
      <w:r>
        <w:rPr>
          <w:noProof/>
        </w:rPr>
        <w:fldChar w:fldCharType="begin"/>
      </w:r>
      <w:r>
        <w:rPr>
          <w:noProof/>
        </w:rPr>
        <w:instrText xml:space="preserve"> PAGEREF _Toc158741872 \h </w:instrText>
      </w:r>
      <w:r>
        <w:rPr>
          <w:noProof/>
        </w:rPr>
      </w:r>
      <w:r>
        <w:rPr>
          <w:noProof/>
        </w:rPr>
        <w:fldChar w:fldCharType="separate"/>
      </w:r>
      <w:r w:rsidR="005851D7">
        <w:rPr>
          <w:noProof/>
        </w:rPr>
        <w:t>33</w:t>
      </w:r>
      <w:r>
        <w:rPr>
          <w:noProof/>
        </w:rPr>
        <w:fldChar w:fldCharType="end"/>
      </w:r>
    </w:p>
    <w:p w14:paraId="3FE2945B" w14:textId="78BE6464" w:rsidR="009E7506" w:rsidRPr="00BA5ADE" w:rsidRDefault="009E7506" w:rsidP="009352B6">
      <w:pPr>
        <w:spacing w:line="480" w:lineRule="auto"/>
        <w:ind w:right="2340"/>
        <w:jc w:val="left"/>
        <w:rPr>
          <w:rFonts w:ascii="Times New Roman" w:hAnsi="Times New Roman"/>
          <w:b/>
          <w:sz w:val="24"/>
          <w:szCs w:val="24"/>
        </w:rPr>
        <w:sectPr w:rsidR="009E7506" w:rsidRPr="00BA5ADE" w:rsidSect="00A5529C">
          <w:footerReference w:type="default" r:id="rId10"/>
          <w:pgSz w:w="12240" w:h="15840"/>
          <w:pgMar w:top="1440" w:right="1440" w:bottom="1440" w:left="1440" w:header="720" w:footer="720" w:gutter="0"/>
          <w:cols w:space="720"/>
          <w:docGrid w:linePitch="360"/>
        </w:sectPr>
      </w:pPr>
      <w:r w:rsidRPr="00152957">
        <w:rPr>
          <w:rFonts w:ascii="Times New Roman" w:hAnsi="Times New Roman"/>
          <w:b/>
          <w:sz w:val="24"/>
          <w:szCs w:val="24"/>
        </w:rPr>
        <w:fldChar w:fldCharType="end"/>
      </w:r>
    </w:p>
    <w:p w14:paraId="72622BEA" w14:textId="77777777" w:rsidR="009E7506" w:rsidRPr="00F35F4C" w:rsidRDefault="009E7506" w:rsidP="009E7506">
      <w:pPr>
        <w:tabs>
          <w:tab w:val="left" w:pos="2160"/>
          <w:tab w:val="center" w:pos="4680"/>
          <w:tab w:val="right" w:pos="9360"/>
        </w:tabs>
        <w:spacing w:line="480" w:lineRule="auto"/>
        <w:jc w:val="left"/>
        <w:rPr>
          <w:rFonts w:ascii="Times New Roman" w:eastAsia="Calibri" w:hAnsi="Times New Roman"/>
          <w:b/>
          <w:sz w:val="24"/>
          <w:szCs w:val="24"/>
          <w:u w:val="single"/>
        </w:rPr>
      </w:pPr>
      <w:r w:rsidRPr="00F35F4C">
        <w:rPr>
          <w:rFonts w:ascii="Times New Roman" w:eastAsia="Calibri" w:hAnsi="Times New Roman"/>
          <w:b/>
          <w:sz w:val="24"/>
          <w:szCs w:val="24"/>
          <w:u w:val="single"/>
        </w:rPr>
        <w:lastRenderedPageBreak/>
        <w:t>Staff Exhibit #</w:t>
      </w:r>
      <w:r>
        <w:rPr>
          <w:rFonts w:eastAsia="Calibri"/>
        </w:rPr>
        <w:tab/>
      </w:r>
      <w:r w:rsidRPr="00F35F4C">
        <w:rPr>
          <w:rFonts w:ascii="Times New Roman" w:eastAsia="Calibri" w:hAnsi="Times New Roman"/>
          <w:b/>
          <w:sz w:val="24"/>
          <w:szCs w:val="24"/>
          <w:u w:val="single"/>
        </w:rPr>
        <w:t>Description</w:t>
      </w:r>
    </w:p>
    <w:p w14:paraId="43E92DAB" w14:textId="77777777" w:rsidR="00484046" w:rsidRDefault="00CE04E6" w:rsidP="00594F46">
      <w:pPr>
        <w:tabs>
          <w:tab w:val="left" w:pos="2160"/>
          <w:tab w:val="center" w:pos="4680"/>
          <w:tab w:val="right" w:pos="9360"/>
        </w:tabs>
        <w:spacing w:line="480" w:lineRule="auto"/>
        <w:jc w:val="left"/>
      </w:pPr>
      <w:r w:rsidRPr="003D0BFB">
        <w:t>Exhibit_SP-1</w:t>
      </w:r>
      <w:r>
        <w:tab/>
      </w:r>
      <w:r w:rsidR="00484046">
        <w:t>Resume for Douglas A. Smith</w:t>
      </w:r>
    </w:p>
    <w:p w14:paraId="14D1C960" w14:textId="3BEFED11" w:rsidR="00F14E97" w:rsidRDefault="00484046" w:rsidP="00594F46">
      <w:pPr>
        <w:tabs>
          <w:tab w:val="left" w:pos="2160"/>
          <w:tab w:val="center" w:pos="4680"/>
          <w:tab w:val="right" w:pos="9360"/>
        </w:tabs>
        <w:spacing w:line="480" w:lineRule="auto"/>
        <w:jc w:val="left"/>
      </w:pPr>
      <w:r>
        <w:t>Exhibit</w:t>
      </w:r>
      <w:r w:rsidR="00087409">
        <w:t>_</w:t>
      </w:r>
      <w:r>
        <w:t>SP-2</w:t>
      </w:r>
      <w:r>
        <w:tab/>
        <w:t>Resume for Katherine Palacios</w:t>
      </w:r>
    </w:p>
    <w:p w14:paraId="1EB39732" w14:textId="7E66890D" w:rsidR="00805CC2" w:rsidRDefault="00F14E97" w:rsidP="00594F46">
      <w:pPr>
        <w:tabs>
          <w:tab w:val="left" w:pos="2160"/>
          <w:tab w:val="center" w:pos="4680"/>
          <w:tab w:val="right" w:pos="9360"/>
        </w:tabs>
        <w:spacing w:line="480" w:lineRule="auto"/>
        <w:jc w:val="left"/>
      </w:pPr>
      <w:r>
        <w:t>Exhibit</w:t>
      </w:r>
      <w:r w:rsidR="00087409">
        <w:t>_</w:t>
      </w:r>
      <w:r>
        <w:t>SP-3</w:t>
      </w:r>
      <w:r>
        <w:tab/>
      </w:r>
      <w:r w:rsidRPr="00F14E97">
        <w:t>[TS] 2023 GPC IRP Update - Transmission Planning - Analysis Overview</w:t>
      </w:r>
    </w:p>
    <w:p w14:paraId="28EF602A" w14:textId="67C1F412" w:rsidR="00DD3D7D" w:rsidRDefault="00805CC2" w:rsidP="00A55C40">
      <w:pPr>
        <w:tabs>
          <w:tab w:val="left" w:pos="2160"/>
          <w:tab w:val="center" w:pos="4680"/>
          <w:tab w:val="right" w:pos="9360"/>
        </w:tabs>
        <w:spacing w:line="480" w:lineRule="auto"/>
        <w:jc w:val="left"/>
      </w:pPr>
      <w:r>
        <w:t>Exhibit</w:t>
      </w:r>
      <w:r w:rsidR="00087409">
        <w:t>_</w:t>
      </w:r>
      <w:r>
        <w:t>SP-4</w:t>
      </w:r>
      <w:r>
        <w:tab/>
      </w:r>
      <w:r w:rsidR="00FD21B8" w:rsidRPr="00FD21B8">
        <w:t>PSC Informal Transmission Request – GPC Responses</w:t>
      </w:r>
      <w:r w:rsidR="00E6457E">
        <w:rPr>
          <w:rFonts w:eastAsia="Calibri"/>
          <w:szCs w:val="24"/>
        </w:rPr>
        <w:tab/>
      </w:r>
    </w:p>
    <w:p w14:paraId="4314245A" w14:textId="17E4B2FB" w:rsidR="00594F46" w:rsidRPr="00DD3D7D" w:rsidRDefault="00594F46" w:rsidP="00C01F46">
      <w:pPr>
        <w:tabs>
          <w:tab w:val="left" w:pos="2160"/>
          <w:tab w:val="center" w:pos="4680"/>
          <w:tab w:val="right" w:pos="9360"/>
        </w:tabs>
        <w:spacing w:line="480" w:lineRule="auto"/>
        <w:jc w:val="left"/>
        <w:rPr>
          <w:b/>
          <w:bCs/>
        </w:rPr>
        <w:sectPr w:rsidR="00594F46" w:rsidRPr="00DD3D7D" w:rsidSect="00A5529C">
          <w:footerReference w:type="default" r:id="rId11"/>
          <w:pgSz w:w="12240" w:h="15840"/>
          <w:pgMar w:top="1440" w:right="1440" w:bottom="1440" w:left="1440" w:header="720" w:footer="720" w:gutter="0"/>
          <w:lnNumType w:countBy="1"/>
          <w:pgNumType w:start="1"/>
          <w:cols w:space="720"/>
          <w:docGrid w:linePitch="360"/>
        </w:sectPr>
      </w:pPr>
    </w:p>
    <w:p w14:paraId="4652875A" w14:textId="77777777" w:rsidR="003D0BFB" w:rsidRPr="00386453" w:rsidRDefault="003D0BFB" w:rsidP="00386453">
      <w:pPr>
        <w:pStyle w:val="Heading1"/>
        <w:ind w:left="720" w:hanging="720"/>
      </w:pPr>
      <w:bookmarkStart w:id="0" w:name="_Toc102548217"/>
      <w:bookmarkStart w:id="1" w:name="_Toc158741862"/>
      <w:r w:rsidRPr="00386453">
        <w:lastRenderedPageBreak/>
        <w:t>INTRODUCTION</w:t>
      </w:r>
      <w:bookmarkEnd w:id="0"/>
      <w:bookmarkEnd w:id="1"/>
    </w:p>
    <w:p w14:paraId="671F56E5" w14:textId="77777777" w:rsidR="003D0BFB" w:rsidRPr="007F29D4" w:rsidRDefault="003D0BFB" w:rsidP="003D0BFB">
      <w:pPr>
        <w:pStyle w:val="Question"/>
      </w:pPr>
      <w:r w:rsidRPr="007F29D4">
        <w:t>Q.</w:t>
      </w:r>
      <w:r w:rsidRPr="007F29D4">
        <w:tab/>
        <w:t>PLEASE STATE YOUR NAME</w:t>
      </w:r>
      <w:r>
        <w:t>S</w:t>
      </w:r>
      <w:r w:rsidRPr="007F29D4">
        <w:t>, TITLE</w:t>
      </w:r>
      <w:r>
        <w:t>S</w:t>
      </w:r>
      <w:r w:rsidRPr="007F29D4">
        <w:t>, AND BUSINESS ADDRESS.</w:t>
      </w:r>
    </w:p>
    <w:p w14:paraId="38557445" w14:textId="46089290" w:rsidR="003D0BFB" w:rsidRPr="003D0BFB" w:rsidRDefault="003D0BFB" w:rsidP="00EC5362">
      <w:pPr>
        <w:pStyle w:val="Answers"/>
      </w:pPr>
      <w:r>
        <w:t>A.</w:t>
      </w:r>
      <w:r>
        <w:tab/>
        <w:t>This testimony is being jointly offered by Douglas A. Smith and Katherine Palacios, both from Daymark Energy Advisors, Inc. (Daymark). Mr. Smith is a Principal Consultant and Ms. Palacios is a Managing Consultant</w:t>
      </w:r>
      <w:r w:rsidR="3A87BCAB">
        <w:t xml:space="preserve"> and registered professional engineer</w:t>
      </w:r>
      <w:r w:rsidR="00D476F8">
        <w:t xml:space="preserve"> in the state of Te</w:t>
      </w:r>
      <w:r w:rsidR="00970F4B">
        <w:t>xas</w:t>
      </w:r>
      <w:r>
        <w:t>. Our business address is 370 Main Street, Suite 325, Worcester, Massachusetts 01608.</w:t>
      </w:r>
    </w:p>
    <w:p w14:paraId="415A562E" w14:textId="77777777" w:rsidR="003D0BFB" w:rsidRPr="007F29D4" w:rsidRDefault="003D0BFB" w:rsidP="003D0BFB">
      <w:pPr>
        <w:pStyle w:val="Question"/>
      </w:pPr>
      <w:r w:rsidRPr="1CCD2166">
        <w:t>Q.</w:t>
      </w:r>
      <w:r>
        <w:tab/>
      </w:r>
      <w:r w:rsidRPr="1CCD2166">
        <w:t>Please summarize daymark’s business.</w:t>
      </w:r>
    </w:p>
    <w:p w14:paraId="41A8F7C1" w14:textId="77777777" w:rsidR="003D0BFB" w:rsidRPr="003D0BFB" w:rsidRDefault="003D0BFB" w:rsidP="00EC5362">
      <w:pPr>
        <w:pStyle w:val="Answers"/>
      </w:pPr>
      <w:r w:rsidRPr="003D0BFB">
        <w:t>A.</w:t>
      </w:r>
      <w:r w:rsidRPr="003D0BFB">
        <w:tab/>
        <w:t>Daymark provides energy planning, market analysis, and regulatory policy consulting and advisory services to support decision making within the electricity and natural gas industries. We serve a broad range of clients in North America, including private and public utilities, energy producers and traders, energy consumers and consumer advocates, regulatory agencies, and public policy and energy research organizations, and other industry stakeholders. Our technical skills include power market forecasting models and methods, economics, management, planning, rates and pricing, and energy procurement, and contracting. Our experience includes detailed analyses of energy and environmental performance of the electric systems, economic planning for transmission, and market analytics.</w:t>
      </w:r>
    </w:p>
    <w:p w14:paraId="0A35872D" w14:textId="77777777" w:rsidR="003D0BFB" w:rsidRPr="007F29D4" w:rsidRDefault="003D0BFB" w:rsidP="003D0BFB">
      <w:pPr>
        <w:pStyle w:val="Question"/>
      </w:pPr>
      <w:r w:rsidRPr="007F29D4">
        <w:lastRenderedPageBreak/>
        <w:t>Q.</w:t>
      </w:r>
      <w:r w:rsidRPr="007F29D4">
        <w:tab/>
      </w:r>
      <w:r>
        <w:t>Mr. Smith, please summarize your experience and qualifications.</w:t>
      </w:r>
    </w:p>
    <w:p w14:paraId="14EB4561" w14:textId="3FABAFF6" w:rsidR="003D0BFB" w:rsidRPr="003D0BFB" w:rsidRDefault="003D0BFB" w:rsidP="00EC5362">
      <w:pPr>
        <w:pStyle w:val="Answers"/>
      </w:pPr>
      <w:r>
        <w:t>A.</w:t>
      </w:r>
      <w:r>
        <w:tab/>
      </w:r>
      <w:r w:rsidR="775DAC15" w:rsidRPr="00CA311C">
        <w:t>I have over twenty years of experience in the energy industry, primarily supporting clients advance or review infrastructure projects.</w:t>
      </w:r>
      <w:r w:rsidR="164BD921" w:rsidRPr="00CA311C">
        <w:t xml:space="preserve"> I have advised clients regarding competitive transmission project development</w:t>
      </w:r>
      <w:r w:rsidR="075AE1F8" w:rsidRPr="00CA311C">
        <w:t xml:space="preserve">, including determination of need, solution building and outreach to stakeholders. </w:t>
      </w:r>
      <w:r w:rsidR="54FEF76C" w:rsidRPr="00CA311C">
        <w:t xml:space="preserve">I have led evaluations of proposed transmission projects, including assessment of regional benefits, in </w:t>
      </w:r>
      <w:r w:rsidR="6D0CBA96" w:rsidRPr="00CA311C">
        <w:t>SPP, PJM, NYISO, ISO-NE and in the province of Manitoba.</w:t>
      </w:r>
      <w:r w:rsidR="00CA311C">
        <w:t xml:space="preserve"> </w:t>
      </w:r>
      <w:r w:rsidR="00CE04E6">
        <w:t xml:space="preserve">I have also evaluated non-wires alternatives in Vermont and Maine. </w:t>
      </w:r>
      <w:r w:rsidRPr="003D0BFB">
        <w:t xml:space="preserve">Additional detail on my experience and qualifications is provided in my resume, attached hereto as Exhibit_SP-1. </w:t>
      </w:r>
    </w:p>
    <w:p w14:paraId="20D16133" w14:textId="77777777" w:rsidR="003D0BFB" w:rsidRPr="007F29D4" w:rsidRDefault="003D0BFB" w:rsidP="003D0BFB">
      <w:pPr>
        <w:pStyle w:val="Question"/>
      </w:pPr>
      <w:r w:rsidRPr="007F29D4">
        <w:t>Q.</w:t>
      </w:r>
      <w:r w:rsidRPr="007F29D4">
        <w:tab/>
        <w:t xml:space="preserve">Have you </w:t>
      </w:r>
      <w:r>
        <w:t>previously testified before this commission</w:t>
      </w:r>
      <w:r w:rsidRPr="007F29D4">
        <w:t>?</w:t>
      </w:r>
    </w:p>
    <w:p w14:paraId="1B8A9588" w14:textId="5DA74CCC" w:rsidR="003D0BFB" w:rsidRPr="003D0BFB" w:rsidRDefault="003D0BFB" w:rsidP="00EC5362">
      <w:pPr>
        <w:pStyle w:val="Answers"/>
      </w:pPr>
      <w:r w:rsidRPr="003D0BFB">
        <w:t>A.</w:t>
      </w:r>
      <w:r w:rsidRPr="003D0BFB">
        <w:tab/>
        <w:t xml:space="preserve">I have not previously testified before this Commission. I have previously appeared as an expert witness before regulatory commissions in Arkansas, Louisiana, Maryland, Maine, </w:t>
      </w:r>
      <w:r w:rsidR="00F5500D">
        <w:t xml:space="preserve">Rhode Island, </w:t>
      </w:r>
      <w:r w:rsidRPr="003D0BFB">
        <w:t>and the province of Manitoba. A full list of my appearances is included in Exhibit</w:t>
      </w:r>
      <w:r w:rsidR="00F5500D">
        <w:t>_SP-</w:t>
      </w:r>
      <w:r w:rsidRPr="003D0BFB">
        <w:t>1.</w:t>
      </w:r>
    </w:p>
    <w:p w14:paraId="2E973822" w14:textId="77777777" w:rsidR="003D0BFB" w:rsidRPr="007F29D4" w:rsidRDefault="003D0BFB" w:rsidP="003D0BFB">
      <w:pPr>
        <w:pStyle w:val="Question"/>
      </w:pPr>
      <w:r w:rsidRPr="007F29D4">
        <w:t>Q.</w:t>
      </w:r>
      <w:r w:rsidRPr="007F29D4">
        <w:tab/>
      </w:r>
      <w:r>
        <w:t>Ms. Palacios, please summarize your experience and qualifications.</w:t>
      </w:r>
    </w:p>
    <w:p w14:paraId="17341E0B" w14:textId="26F82070" w:rsidR="003D0BFB" w:rsidRPr="003D0BFB" w:rsidRDefault="003D0BFB" w:rsidP="00EC5362">
      <w:pPr>
        <w:pStyle w:val="Answers"/>
      </w:pPr>
      <w:r w:rsidRPr="003D0BFB">
        <w:t>A.</w:t>
      </w:r>
      <w:r w:rsidRPr="003D0BFB">
        <w:tab/>
      </w:r>
      <w:r w:rsidR="007E266C">
        <w:t>I am a</w:t>
      </w:r>
      <w:r w:rsidR="00987630">
        <w:t xml:space="preserve"> professional Electrical Engineer with a license in Texas. </w:t>
      </w:r>
      <w:r w:rsidR="00A92AB2">
        <w:t xml:space="preserve">I have over </w:t>
      </w:r>
      <w:r w:rsidR="00D3235E">
        <w:t>14 years of experience working in the energy industry, 12 of which, I was working</w:t>
      </w:r>
      <w:r w:rsidR="00E675A7">
        <w:t xml:space="preserve"> in various roles in the Tran</w:t>
      </w:r>
      <w:r w:rsidR="00987630">
        <w:t xml:space="preserve">smission Planning department for a </w:t>
      </w:r>
      <w:r w:rsidR="00A53A81">
        <w:t>major utility</w:t>
      </w:r>
      <w:r w:rsidR="00987630">
        <w:t xml:space="preserve"> in Texas</w:t>
      </w:r>
      <w:r w:rsidR="00D666B7">
        <w:t xml:space="preserve"> where I would perform various </w:t>
      </w:r>
      <w:r w:rsidR="005C06AD">
        <w:t>transmission analysis, set the planned 5-year budget</w:t>
      </w:r>
      <w:r w:rsidR="00D90530">
        <w:t xml:space="preserve">, and </w:t>
      </w:r>
      <w:r w:rsidR="002128D5">
        <w:t xml:space="preserve">develop supporting </w:t>
      </w:r>
      <w:r w:rsidR="002128D5">
        <w:lastRenderedPageBreak/>
        <w:t>documentation t</w:t>
      </w:r>
      <w:r w:rsidR="005900C3">
        <w:t>o advance projects through rate case filing</w:t>
      </w:r>
      <w:r w:rsidR="00183BF0">
        <w:t xml:space="preserve">. </w:t>
      </w:r>
      <w:r w:rsidR="00BD6E0B">
        <w:t xml:space="preserve">Throughout my </w:t>
      </w:r>
      <w:r w:rsidR="00A72474">
        <w:t xml:space="preserve">career, I </w:t>
      </w:r>
      <w:r w:rsidR="00105A1B">
        <w:t xml:space="preserve">have performed </w:t>
      </w:r>
      <w:r w:rsidR="00A53A81">
        <w:t xml:space="preserve">dozens of </w:t>
      </w:r>
      <w:r w:rsidR="00A72474">
        <w:t xml:space="preserve">load and </w:t>
      </w:r>
      <w:r w:rsidR="005D4E45">
        <w:t>generator</w:t>
      </w:r>
      <w:r w:rsidR="00A72474">
        <w:t xml:space="preserve"> </w:t>
      </w:r>
      <w:r w:rsidR="00BF3056">
        <w:t>interconnection studies</w:t>
      </w:r>
      <w:r w:rsidR="00A72474">
        <w:t xml:space="preserve">, </w:t>
      </w:r>
      <w:r w:rsidR="00652E8D">
        <w:t xml:space="preserve">conducting and leading </w:t>
      </w:r>
      <w:r w:rsidR="009F7957">
        <w:t>both steady-state and stability analysis</w:t>
      </w:r>
      <w:r w:rsidR="00DD3673">
        <w:t xml:space="preserve"> to assess the impact of the proposed changes and develop robust and cost-effective solutions if any </w:t>
      </w:r>
      <w:r w:rsidR="00860294">
        <w:t>issues were observed.</w:t>
      </w:r>
      <w:r w:rsidR="00E73A3C">
        <w:t xml:space="preserve"> </w:t>
      </w:r>
      <w:r w:rsidR="00860294">
        <w:t xml:space="preserve"> My experience </w:t>
      </w:r>
      <w:r w:rsidR="00093A1E">
        <w:t xml:space="preserve">includes </w:t>
      </w:r>
      <w:r w:rsidR="000E1109">
        <w:t xml:space="preserve">performing analysis and </w:t>
      </w:r>
      <w:r w:rsidR="00A428B0">
        <w:t>evaluating projects</w:t>
      </w:r>
      <w:r w:rsidR="00093A1E">
        <w:t xml:space="preserve"> in ERCOT, ISO-NE, PJM, NYISO, MISO, </w:t>
      </w:r>
      <w:r w:rsidR="00544B7C">
        <w:t>and SPP</w:t>
      </w:r>
      <w:r w:rsidR="0069413A">
        <w:t>.</w:t>
      </w:r>
      <w:r w:rsidR="00A72474">
        <w:t xml:space="preserve"> </w:t>
      </w:r>
      <w:r w:rsidRPr="003D0BFB">
        <w:t>Additional detail on my experience and qualifications is provided in my resume, attached hereto as Exhibit_SP-</w:t>
      </w:r>
      <w:r w:rsidR="00323121">
        <w:t>2</w:t>
      </w:r>
      <w:r w:rsidRPr="003D0BFB">
        <w:t>.</w:t>
      </w:r>
    </w:p>
    <w:p w14:paraId="45713F2C" w14:textId="77777777" w:rsidR="003D0BFB" w:rsidRPr="007F29D4" w:rsidRDefault="003D0BFB" w:rsidP="003D0BFB">
      <w:pPr>
        <w:pStyle w:val="Question"/>
      </w:pPr>
      <w:r w:rsidRPr="007F29D4">
        <w:t>Q.</w:t>
      </w:r>
      <w:r w:rsidRPr="007F29D4">
        <w:tab/>
        <w:t xml:space="preserve">Have you </w:t>
      </w:r>
      <w:r>
        <w:t>previously testified before this commission</w:t>
      </w:r>
      <w:r w:rsidRPr="007F29D4">
        <w:t>?</w:t>
      </w:r>
    </w:p>
    <w:p w14:paraId="24915726" w14:textId="77777777" w:rsidR="003D0BFB" w:rsidRPr="003D0BFB" w:rsidRDefault="003D0BFB" w:rsidP="00EC5362">
      <w:pPr>
        <w:pStyle w:val="Answers"/>
      </w:pPr>
      <w:r w:rsidRPr="003D0BFB">
        <w:t>A.</w:t>
      </w:r>
      <w:r w:rsidRPr="003D0BFB">
        <w:tab/>
        <w:t>No, I have not.</w:t>
      </w:r>
    </w:p>
    <w:p w14:paraId="76C91050" w14:textId="77777777" w:rsidR="003D0BFB" w:rsidRPr="007F29D4" w:rsidRDefault="003D0BFB" w:rsidP="003D0BFB">
      <w:pPr>
        <w:pStyle w:val="Question"/>
      </w:pPr>
      <w:r w:rsidRPr="007F29D4">
        <w:t>Q.</w:t>
      </w:r>
      <w:r w:rsidRPr="007F29D4">
        <w:tab/>
        <w:t>WHAT IS THE PURPOSE OF YOUR TESTIMONY?</w:t>
      </w:r>
    </w:p>
    <w:p w14:paraId="1A83C028" w14:textId="77777777" w:rsidR="003D0BFB" w:rsidRPr="003D0BFB" w:rsidRDefault="003D0BFB" w:rsidP="00EC5362">
      <w:pPr>
        <w:pStyle w:val="Answers"/>
      </w:pPr>
      <w:r w:rsidRPr="003D0BFB">
        <w:t>A.</w:t>
      </w:r>
      <w:r w:rsidRPr="003D0BFB">
        <w:tab/>
        <w:t>We are testifying on behalf of the Public Interest Advocacy Staff (“Staff”) of the Georgia Public Service Commission (“Commission”). The purpose of our testimony is to respond to certain elements of Georgia Power Company’s (“Company” or “Georgia Power”) 2023 Updated Integrated Resource Plan (“IRP Update”) filing. We address issues pertaining to the Company’s transmission planning processes and the resulting proposed investments.</w:t>
      </w:r>
      <w:bookmarkStart w:id="2" w:name="_Toc260671347"/>
      <w:bookmarkStart w:id="3" w:name="_Toc260830359"/>
      <w:bookmarkStart w:id="4" w:name="_Toc260982671"/>
      <w:bookmarkStart w:id="5" w:name="_Toc260989954"/>
      <w:bookmarkStart w:id="6" w:name="_Toc355957508"/>
    </w:p>
    <w:p w14:paraId="4B6F7202" w14:textId="18012D40" w:rsidR="003D0BFB" w:rsidRPr="003D0BFB" w:rsidRDefault="003D0BFB" w:rsidP="00EC5362">
      <w:pPr>
        <w:pStyle w:val="Answers"/>
      </w:pPr>
      <w:r w:rsidRPr="003D0BFB">
        <w:tab/>
      </w:r>
      <w:r w:rsidRPr="003D0BFB">
        <w:tab/>
        <w:t xml:space="preserve">We reviewed the Company’s analysis and conclusions related to the transmission system upgrades proposed in the IRP Update. Our scope included a </w:t>
      </w:r>
      <w:r w:rsidR="0353FE56" w:rsidRPr="003D0BFB">
        <w:t xml:space="preserve">thorough </w:t>
      </w:r>
      <w:r w:rsidRPr="003D0BFB">
        <w:t>review of the Company’s assumptions, methodology, and conclusions, includ</w:t>
      </w:r>
      <w:r w:rsidR="7B0AB6F3" w:rsidRPr="003D0BFB">
        <w:t>ing</w:t>
      </w:r>
      <w:r w:rsidRPr="003D0BFB">
        <w:t xml:space="preserve"> a review of the power flow analyses conducted by the Company in support of its filing.</w:t>
      </w:r>
    </w:p>
    <w:bookmarkEnd w:id="2"/>
    <w:bookmarkEnd w:id="3"/>
    <w:bookmarkEnd w:id="4"/>
    <w:bookmarkEnd w:id="5"/>
    <w:bookmarkEnd w:id="6"/>
    <w:p w14:paraId="70FE8A71" w14:textId="64EFF985" w:rsidR="003D0BFB" w:rsidRPr="007F29D4" w:rsidRDefault="003D0BFB" w:rsidP="003D0BFB">
      <w:pPr>
        <w:pStyle w:val="Question"/>
      </w:pPr>
      <w:r w:rsidRPr="44899DC4">
        <w:lastRenderedPageBreak/>
        <w:t>Q.</w:t>
      </w:r>
      <w:r>
        <w:tab/>
      </w:r>
      <w:r w:rsidRPr="44899DC4">
        <w:t>please summarize your recommendations.</w:t>
      </w:r>
    </w:p>
    <w:p w14:paraId="701205A3" w14:textId="611835FB" w:rsidR="003D0BFB" w:rsidRDefault="003D0BFB" w:rsidP="00EC5362">
      <w:pPr>
        <w:pStyle w:val="Answers"/>
      </w:pPr>
      <w:r w:rsidRPr="003D0BFB">
        <w:t>A.</w:t>
      </w:r>
      <w:r w:rsidRPr="003D0BFB">
        <w:tab/>
      </w:r>
      <w:r w:rsidR="00EA6BC2">
        <w:t>Our recommendations are as follows</w:t>
      </w:r>
      <w:r w:rsidR="00356A66">
        <w:t>:</w:t>
      </w:r>
    </w:p>
    <w:p w14:paraId="33AE022F" w14:textId="4D808F2A" w:rsidR="00DE50C8" w:rsidRDefault="000C1242" w:rsidP="00331FD5">
      <w:pPr>
        <w:pStyle w:val="Answers"/>
        <w:numPr>
          <w:ilvl w:val="3"/>
          <w:numId w:val="28"/>
        </w:numPr>
        <w:tabs>
          <w:tab w:val="clear" w:pos="1260"/>
          <w:tab w:val="left" w:pos="1440"/>
        </w:tabs>
        <w:ind w:left="1440"/>
      </w:pPr>
      <w:r>
        <w:t>We recommend that</w:t>
      </w:r>
      <w:r w:rsidR="00582CF9">
        <w:t xml:space="preserve">, pending resolution of the need for 3 Plant Yates CTs and the resolution of </w:t>
      </w:r>
      <w:r w:rsidR="00DE50C8">
        <w:t>retirement dates of the units the Company</w:t>
      </w:r>
      <w:r w:rsidR="00FF6E45">
        <w:t xml:space="preserve"> has questioned in its 2023 IRP Update, that </w:t>
      </w:r>
      <w:r w:rsidR="003E38E9">
        <w:t xml:space="preserve">the question of advancing </w:t>
      </w:r>
      <w:r w:rsidR="005C245F">
        <w:t>transmission</w:t>
      </w:r>
      <w:r w:rsidR="002062F0">
        <w:t xml:space="preserve"> solutions in support of the Plant Yates CTs be delayed and restudied in the 2025 IRP.</w:t>
      </w:r>
    </w:p>
    <w:p w14:paraId="794E2BB3" w14:textId="3368452A" w:rsidR="00781B1A" w:rsidRDefault="00903FFD" w:rsidP="00331FD5">
      <w:pPr>
        <w:pStyle w:val="Answers"/>
        <w:numPr>
          <w:ilvl w:val="3"/>
          <w:numId w:val="28"/>
        </w:numPr>
        <w:tabs>
          <w:tab w:val="clear" w:pos="1260"/>
          <w:tab w:val="left" w:pos="1440"/>
        </w:tabs>
        <w:ind w:left="1440"/>
      </w:pPr>
      <w:r>
        <w:t xml:space="preserve">Should the question of </w:t>
      </w:r>
      <w:r w:rsidR="00C62B63">
        <w:t xml:space="preserve">the need for Plant Yates CTs be resolved in the affirmative in this docket, </w:t>
      </w:r>
      <w:r w:rsidR="00781B1A">
        <w:t>we separately recommend the following:</w:t>
      </w:r>
    </w:p>
    <w:p w14:paraId="1B9F4D22" w14:textId="236CF6E7" w:rsidR="00356A66" w:rsidRDefault="00F75FCC" w:rsidP="00331FD5">
      <w:pPr>
        <w:pStyle w:val="Answers"/>
        <w:numPr>
          <w:ilvl w:val="0"/>
          <w:numId w:val="31"/>
        </w:numPr>
        <w:tabs>
          <w:tab w:val="clear" w:pos="1260"/>
          <w:tab w:val="left" w:pos="1440"/>
        </w:tabs>
      </w:pPr>
      <w:r>
        <w:t>T</w:t>
      </w:r>
      <w:r w:rsidR="003261B5" w:rsidRPr="003261B5">
        <w:t xml:space="preserve">he requested expense to advance </w:t>
      </w:r>
      <w:r w:rsidR="003261B5">
        <w:t xml:space="preserve">Project 7 by </w:t>
      </w:r>
      <w:r w:rsidR="003261B5" w:rsidRPr="003261B5">
        <w:t xml:space="preserve">one year </w:t>
      </w:r>
      <w:r w:rsidR="00FD3A00">
        <w:t xml:space="preserve">should </w:t>
      </w:r>
      <w:r w:rsidR="003261B5" w:rsidRPr="003261B5">
        <w:t>be denied. Determination of whether Project 7 remains the optimal solution to any future transmission needs should be considered as part of the Company’s full 2025 IRP.</w:t>
      </w:r>
    </w:p>
    <w:p w14:paraId="6FF42C67" w14:textId="79C40325" w:rsidR="00BE3A8D" w:rsidRDefault="000C1242" w:rsidP="00331FD5">
      <w:pPr>
        <w:pStyle w:val="Answers"/>
        <w:numPr>
          <w:ilvl w:val="0"/>
          <w:numId w:val="31"/>
        </w:numPr>
        <w:tabs>
          <w:tab w:val="clear" w:pos="1260"/>
          <w:tab w:val="left" w:pos="1440"/>
        </w:tabs>
      </w:pPr>
      <w:r>
        <w:t>Project 8</w:t>
      </w:r>
      <w:r w:rsidR="00A245CE" w:rsidRPr="003D0BFB">
        <w:t xml:space="preserve"> </w:t>
      </w:r>
      <w:r w:rsidR="009C5400">
        <w:t xml:space="preserve">should </w:t>
      </w:r>
      <w:r w:rsidR="00A245CE" w:rsidRPr="003D0BFB">
        <w:t xml:space="preserve">be </w:t>
      </w:r>
      <w:r w:rsidR="00A245CE">
        <w:t>denied and</w:t>
      </w:r>
      <w:r w:rsidR="00A245CE" w:rsidRPr="003D0BFB">
        <w:t xml:space="preserve"> the </w:t>
      </w:r>
      <w:r w:rsidR="00A245CE">
        <w:t xml:space="preserve">potential need for this or other similar projects </w:t>
      </w:r>
      <w:r w:rsidR="009C5400">
        <w:t xml:space="preserve">should </w:t>
      </w:r>
      <w:r w:rsidR="00A245CE">
        <w:t xml:space="preserve">be </w:t>
      </w:r>
      <w:r w:rsidR="009C5400">
        <w:t>re</w:t>
      </w:r>
      <w:r w:rsidR="00A245CE">
        <w:t xml:space="preserve">considered </w:t>
      </w:r>
      <w:r w:rsidR="009C5400">
        <w:t>as part of</w:t>
      </w:r>
      <w:r w:rsidR="00A245CE">
        <w:t xml:space="preserve"> the 2025 IRP</w:t>
      </w:r>
      <w:r w:rsidR="009C5400">
        <w:t xml:space="preserve"> transmission analysis</w:t>
      </w:r>
      <w:r w:rsidR="00A245CE" w:rsidRPr="003D0BFB">
        <w:t>.</w:t>
      </w:r>
    </w:p>
    <w:p w14:paraId="5642239C" w14:textId="3A951B04" w:rsidR="00A245CE" w:rsidRPr="003D0BFB" w:rsidRDefault="009C5400" w:rsidP="00331FD5">
      <w:pPr>
        <w:pStyle w:val="Answers"/>
        <w:numPr>
          <w:ilvl w:val="3"/>
          <w:numId w:val="28"/>
        </w:numPr>
        <w:tabs>
          <w:tab w:val="clear" w:pos="1260"/>
          <w:tab w:val="left" w:pos="1440"/>
        </w:tabs>
        <w:ind w:left="1440"/>
      </w:pPr>
      <w:r>
        <w:t xml:space="preserve">The Company should consider expanding its </w:t>
      </w:r>
      <w:r w:rsidR="003A2F66">
        <w:t xml:space="preserve">potential </w:t>
      </w:r>
      <w:r w:rsidR="0078584B">
        <w:t>transmission solution</w:t>
      </w:r>
      <w:r w:rsidR="004376D1">
        <w:t xml:space="preserve">s to include non-wires alternatives </w:t>
      </w:r>
      <w:r w:rsidR="00C3166E">
        <w:t>as well as</w:t>
      </w:r>
      <w:r w:rsidR="0088497D">
        <w:t xml:space="preserve"> new </w:t>
      </w:r>
      <w:r w:rsidR="00331FD5">
        <w:t>substations</w:t>
      </w:r>
      <w:r w:rsidR="0088497D">
        <w:t xml:space="preserve"> and/or </w:t>
      </w:r>
      <w:r w:rsidR="00331FD5">
        <w:t>right of way solutions</w:t>
      </w:r>
      <w:r w:rsidR="000D2B0C">
        <w:t xml:space="preserve"> to ensure a </w:t>
      </w:r>
      <w:r w:rsidR="000E44C3">
        <w:t>robust test to find the most cost-effective solution</w:t>
      </w:r>
      <w:r w:rsidR="00331FD5">
        <w:t>.</w:t>
      </w:r>
      <w:r w:rsidR="00C3166E">
        <w:t xml:space="preserve"> </w:t>
      </w:r>
    </w:p>
    <w:p w14:paraId="0A9DF8EF" w14:textId="4F0A30B4" w:rsidR="003D0BFB" w:rsidRDefault="003D0BFB" w:rsidP="003D0BFB">
      <w:pPr>
        <w:pStyle w:val="Question"/>
        <w:rPr>
          <w:rStyle w:val="eop"/>
          <w:b w:val="0"/>
          <w:bCs w:val="0"/>
        </w:rPr>
      </w:pPr>
      <w:bookmarkStart w:id="7" w:name="_Hlk158551697"/>
      <w:r w:rsidRPr="34ADECF8">
        <w:rPr>
          <w:rStyle w:val="eop"/>
        </w:rPr>
        <w:lastRenderedPageBreak/>
        <w:t>Q.</w:t>
      </w:r>
      <w:r>
        <w:tab/>
      </w:r>
      <w:r w:rsidRPr="34ADECF8">
        <w:rPr>
          <w:rStyle w:val="eop"/>
        </w:rPr>
        <w:t>PLEASE EXPLAIN HOW THE REMAINDER OF THE TESTIMONY IS ORGANIZED.</w:t>
      </w:r>
    </w:p>
    <w:bookmarkEnd w:id="7"/>
    <w:p w14:paraId="28C97DDF" w14:textId="32D901B7" w:rsidR="00CA10A7" w:rsidRDefault="00CA10A7" w:rsidP="00EC5362">
      <w:pPr>
        <w:pStyle w:val="Answers"/>
        <w:rPr>
          <w:rStyle w:val="eop"/>
        </w:rPr>
      </w:pPr>
      <w:r w:rsidRPr="34ADECF8">
        <w:rPr>
          <w:rStyle w:val="eop"/>
        </w:rPr>
        <w:t>A.</w:t>
      </w:r>
      <w:r>
        <w:tab/>
      </w:r>
      <w:r w:rsidRPr="34ADECF8">
        <w:rPr>
          <w:rStyle w:val="eop"/>
        </w:rPr>
        <w:t xml:space="preserve">Section II provides an overview of the Company’s filing as it pertains to the transmission investment sought. Section III of the testimony describes the first round of transmission screening analysis and the results of the analysis as filed in the 2023 IRP on December 4, 2023. Section IV of the testimony addresses the second round of transmission planning analysis filed on January 12, 2024, and the updates made to the screening analysis results. Section V of the testimony describes our observations regarding the Company’s transmission analysis and conclusions of the required transmission upgrades for Plant Yates. Section VI </w:t>
      </w:r>
      <w:r>
        <w:rPr>
          <w:rStyle w:val="eop"/>
        </w:rPr>
        <w:t xml:space="preserve">discusses our </w:t>
      </w:r>
      <w:r w:rsidR="00E35937">
        <w:rPr>
          <w:rStyle w:val="eop"/>
        </w:rPr>
        <w:t xml:space="preserve">concerns with the assumptions regarding Plants Gaston and Plant Scherer unit 3 with respect to the transmission analyses performed. Section VII discusses our </w:t>
      </w:r>
      <w:r>
        <w:rPr>
          <w:rStyle w:val="eop"/>
        </w:rPr>
        <w:t xml:space="preserve">recommendation regarding Project </w:t>
      </w:r>
      <w:r w:rsidR="00E35937">
        <w:rPr>
          <w:rStyle w:val="eop"/>
        </w:rPr>
        <w:t>7</w:t>
      </w:r>
      <w:r>
        <w:rPr>
          <w:rStyle w:val="eop"/>
        </w:rPr>
        <w:t xml:space="preserve"> and Section V</w:t>
      </w:r>
      <w:r w:rsidR="00E35937">
        <w:rPr>
          <w:rStyle w:val="eop"/>
        </w:rPr>
        <w:t>I</w:t>
      </w:r>
      <w:r>
        <w:rPr>
          <w:rStyle w:val="eop"/>
        </w:rPr>
        <w:t>II discusses our recommendation regarding Project 8. Section I</w:t>
      </w:r>
      <w:r w:rsidR="00E35937">
        <w:rPr>
          <w:rStyle w:val="eop"/>
        </w:rPr>
        <w:t>X</w:t>
      </w:r>
      <w:r>
        <w:rPr>
          <w:rStyle w:val="eop"/>
        </w:rPr>
        <w:t xml:space="preserve"> discusses our analysis and general observations regarding the analysis of Plant Yates transmission upgrades and the sensitivity of those results to the amount of planned capacity at Plant Yates. Section X discusses other transmission planning observations and Section X</w:t>
      </w:r>
      <w:r w:rsidR="00E35937">
        <w:rPr>
          <w:rStyle w:val="eop"/>
        </w:rPr>
        <w:t>I</w:t>
      </w:r>
      <w:r>
        <w:rPr>
          <w:rStyle w:val="eop"/>
        </w:rPr>
        <w:t xml:space="preserve"> concludes our testimony.</w:t>
      </w:r>
    </w:p>
    <w:p w14:paraId="00565CA8" w14:textId="77777777" w:rsidR="002F5A5D" w:rsidRDefault="002F5A5D" w:rsidP="00EC5362">
      <w:pPr>
        <w:pStyle w:val="Answers"/>
        <w:rPr>
          <w:rStyle w:val="eop"/>
        </w:rPr>
      </w:pPr>
    </w:p>
    <w:p w14:paraId="2CA7A9E8" w14:textId="2A5FEFCC" w:rsidR="002F5A5D" w:rsidRPr="00386453" w:rsidRDefault="002F5A5D" w:rsidP="00386453">
      <w:pPr>
        <w:pStyle w:val="Heading1"/>
        <w:ind w:left="720" w:hanging="720"/>
      </w:pPr>
      <w:bookmarkStart w:id="8" w:name="_Toc158741863"/>
      <w:r w:rsidRPr="00386453">
        <w:lastRenderedPageBreak/>
        <w:t>OVERVIEW OF COMPANY FILING</w:t>
      </w:r>
      <w:bookmarkEnd w:id="8"/>
    </w:p>
    <w:p w14:paraId="53FA4931" w14:textId="6D85E134" w:rsidR="002F5A5D" w:rsidRPr="00476E90" w:rsidRDefault="002F5A5D" w:rsidP="002F5A5D">
      <w:pPr>
        <w:pStyle w:val="Question"/>
      </w:pPr>
      <w:r w:rsidRPr="007F29D4">
        <w:t>Q.</w:t>
      </w:r>
      <w:r w:rsidRPr="007F29D4">
        <w:tab/>
      </w:r>
      <w:r>
        <w:t>pLEASE SUMMARIZE THE cOMPANY'S FILING RELATED TO TRANSMISSION INVESTMENTS.</w:t>
      </w:r>
    </w:p>
    <w:p w14:paraId="42C8F934" w14:textId="62BAF087" w:rsidR="002F5A5D" w:rsidRDefault="002F5A5D" w:rsidP="00EC5362">
      <w:pPr>
        <w:pStyle w:val="Answers"/>
      </w:pPr>
      <w:r>
        <w:t>A.</w:t>
      </w:r>
      <w:r>
        <w:tab/>
        <w:t xml:space="preserve">The IRP Update contains a request for approval of </w:t>
      </w:r>
      <w:r w:rsidR="0EA55916">
        <w:t xml:space="preserve">transmission </w:t>
      </w:r>
      <w:r>
        <w:t xml:space="preserve">infrastructure investments that the Company claims are required </w:t>
      </w:r>
      <w:r w:rsidR="43FBC8AA">
        <w:t>in support</w:t>
      </w:r>
      <w:r>
        <w:t xml:space="preserve"> of the portfolio of new proposed </w:t>
      </w:r>
      <w:r w:rsidR="7B078B1D">
        <w:t xml:space="preserve">supply </w:t>
      </w:r>
      <w:r>
        <w:t>resources. Specifically, the IRP states that “[t]he Company requests approval of the transmission investments necessary to accommodate the proposed resources and the Load and Energy Forecast in the 2023 IRP Update.”</w:t>
      </w:r>
      <w:r>
        <w:rPr>
          <w:rStyle w:val="FootnoteReference"/>
        </w:rPr>
        <w:footnoteReference w:id="2"/>
      </w:r>
    </w:p>
    <w:p w14:paraId="30EFC8F6" w14:textId="50C3F4F2" w:rsidR="000050C5" w:rsidRDefault="000050C5" w:rsidP="000050C5">
      <w:pPr>
        <w:pStyle w:val="Question"/>
      </w:pPr>
      <w:r w:rsidRPr="007F29D4">
        <w:t>Q.</w:t>
      </w:r>
      <w:r w:rsidRPr="007F29D4">
        <w:tab/>
      </w:r>
      <w:r>
        <w:t>PLEASE CHARACTERIZE THE COMPANY’S FILING WITH RESPECT TO THE TRANSMISSION ANALYSIS PERFORMED</w:t>
      </w:r>
      <w:r w:rsidR="00204D89">
        <w:t>.</w:t>
      </w:r>
    </w:p>
    <w:p w14:paraId="14A9B833" w14:textId="1720CCBB" w:rsidR="000050C5" w:rsidRDefault="00A77542" w:rsidP="00EC5362">
      <w:pPr>
        <w:pStyle w:val="Answers"/>
      </w:pPr>
      <w:r>
        <w:t>A.</w:t>
      </w:r>
      <w:r>
        <w:tab/>
        <w:t xml:space="preserve">The </w:t>
      </w:r>
      <w:r w:rsidRPr="003D0BFB">
        <w:t>Company performed and submitted two rounds of transmission analysis and findings in this updated IRP.</w:t>
      </w:r>
      <w:r>
        <w:t xml:space="preserve"> </w:t>
      </w:r>
      <w:r w:rsidRPr="003D0BFB">
        <w:t>The first consisted of “transmission screens for various generation resource options considered by the Company</w:t>
      </w:r>
      <w:r w:rsidR="004701D9">
        <w:t>,</w:t>
      </w:r>
      <w:r w:rsidRPr="003D0BFB">
        <w:t>”</w:t>
      </w:r>
      <w:r w:rsidR="006D48B6" w:rsidRPr="006D48B6">
        <w:rPr>
          <w:rStyle w:val="FootnoteReference"/>
          <w:rFonts w:cs="Calibri"/>
        </w:rPr>
        <w:t xml:space="preserve"> </w:t>
      </w:r>
      <w:r w:rsidR="006D48B6" w:rsidRPr="006B04CC">
        <w:rPr>
          <w:rStyle w:val="FootnoteReference"/>
          <w:rFonts w:cs="Calibri"/>
        </w:rPr>
        <w:footnoteReference w:id="3"/>
      </w:r>
      <w:r w:rsidR="004701D9">
        <w:t xml:space="preserve"> which was as filed with the Company’s IRP Update on October 27, 2023</w:t>
      </w:r>
      <w:r w:rsidR="00372AB5">
        <w:t>.</w:t>
      </w:r>
      <w:r w:rsidR="004701D9">
        <w:t xml:space="preserve"> </w:t>
      </w:r>
      <w:r>
        <w:t>This first analysis, referred to by the Company as the “Transmission Screening Analysis”, studied the thermal impacts of the transmission grid from the addition of new loads</w:t>
      </w:r>
      <w:r>
        <w:rPr>
          <w:rStyle w:val="FootnoteReference"/>
        </w:rPr>
        <w:footnoteReference w:id="4"/>
      </w:r>
      <w:r>
        <w:t xml:space="preserve"> and potential supply options to serve that load.</w:t>
      </w:r>
    </w:p>
    <w:p w14:paraId="43D6BD9C" w14:textId="06BBF6EE" w:rsidR="002F5A5D" w:rsidRDefault="002F5A5D" w:rsidP="00EC5362">
      <w:pPr>
        <w:pStyle w:val="Answers"/>
      </w:pPr>
      <w:r>
        <w:tab/>
      </w:r>
      <w:r>
        <w:tab/>
        <w:t>The IRP Update include</w:t>
      </w:r>
      <w:r w:rsidR="00A77542">
        <w:t>d</w:t>
      </w:r>
      <w:r>
        <w:t xml:space="preserve"> a Transmission Screening Analys</w:t>
      </w:r>
      <w:r w:rsidR="00E44EE2">
        <w:t>e</w:t>
      </w:r>
      <w:r>
        <w:t>s</w:t>
      </w:r>
      <w:r w:rsidR="00E44EE2">
        <w:t xml:space="preserve"> Overview</w:t>
      </w:r>
      <w:r>
        <w:t xml:space="preserve"> in the Technical Appendix, which</w:t>
      </w:r>
      <w:r w:rsidR="00E44EE2">
        <w:t xml:space="preserve"> provides a</w:t>
      </w:r>
      <w:r w:rsidR="00E270B2">
        <w:t xml:space="preserve"> summary of the conclusions of the Company’s </w:t>
      </w:r>
      <w:r w:rsidR="00A77542">
        <w:lastRenderedPageBreak/>
        <w:t>Transmission Screening Analysis</w:t>
      </w:r>
      <w:r w:rsidR="00E270B2">
        <w:t>. As noted in this document, at the time of filing the IRP Update, the Company only had preliminary results, and additional studies were underway.</w:t>
      </w:r>
      <w:r w:rsidR="00E270B2">
        <w:rPr>
          <w:rStyle w:val="FootnoteReference"/>
        </w:rPr>
        <w:footnoteReference w:id="5"/>
      </w:r>
    </w:p>
    <w:p w14:paraId="6A2F2F3E" w14:textId="6D3AF648" w:rsidR="00A77542" w:rsidRDefault="00A77542" w:rsidP="00EC5362">
      <w:pPr>
        <w:pStyle w:val="Answers"/>
      </w:pPr>
      <w:r>
        <w:tab/>
      </w:r>
      <w:r>
        <w:tab/>
        <w:t xml:space="preserve">The additional analysis </w:t>
      </w:r>
      <w:r w:rsidRPr="003D0BFB">
        <w:t xml:space="preserve">was filed in part on January 12th and additional material was made available on </w:t>
      </w:r>
      <w:r>
        <w:t xml:space="preserve">January </w:t>
      </w:r>
      <w:r w:rsidRPr="003D0BFB">
        <w:t>19, 2024</w:t>
      </w:r>
      <w:r>
        <w:t>. In it, the Company studied higher levels of load to reflect the 2023 updated load forecast.</w:t>
      </w:r>
    </w:p>
    <w:p w14:paraId="21BBB5A0" w14:textId="482F3AD8" w:rsidR="002F5A5D" w:rsidRPr="00476E90" w:rsidRDefault="002F5A5D" w:rsidP="002F5A5D">
      <w:pPr>
        <w:pStyle w:val="Question"/>
      </w:pPr>
      <w:r w:rsidRPr="007F29D4">
        <w:t>Q.</w:t>
      </w:r>
      <w:r w:rsidRPr="007F29D4">
        <w:tab/>
      </w:r>
      <w:r>
        <w:t>How do transmission analyses typically relate to irp analyses?</w:t>
      </w:r>
    </w:p>
    <w:p w14:paraId="39337D96" w14:textId="3A3E5CC5" w:rsidR="002F5A5D" w:rsidRDefault="002F5A5D" w:rsidP="00EC5362">
      <w:pPr>
        <w:pStyle w:val="Answers"/>
      </w:pPr>
      <w:r w:rsidRPr="003D0BFB">
        <w:t>A.</w:t>
      </w:r>
      <w:r w:rsidRPr="003D0BFB">
        <w:tab/>
      </w:r>
      <w:r>
        <w:t>At the highest level, the objective of an IRP analysis is to forecast future needs for capacity and energy to serve customers and identify an optimized portfolio of infrastructure investments to meet those needs, subject to a variety of physical, economic, and policy constraints. Transmission analyses are an important component of an IRP because changes in load and generation can have a significant impact on the reliable operation of the transmission grid, and the need for transmission investments to serve certain loads or enable certain resource additions can have a significant impact on the economics of resource portfolios.</w:t>
      </w:r>
      <w:r w:rsidR="008B37B3">
        <w:t xml:space="preserve"> Simply put, the transmission grid can limit the supply options that are available at any given time and chosen supply can have an impact on future transmission needs.</w:t>
      </w:r>
    </w:p>
    <w:p w14:paraId="435A6BBF" w14:textId="46760E88" w:rsidR="00E270B2" w:rsidRDefault="00E270B2" w:rsidP="00EC5362">
      <w:pPr>
        <w:pStyle w:val="Answers"/>
      </w:pPr>
      <w:r>
        <w:tab/>
      </w:r>
      <w:r>
        <w:tab/>
        <w:t xml:space="preserve">A typical transmission analysis in this context will evaluate specific load conditions and will use power flow models to evaluate whether the dispatch of the generation resources to meet load will lead to reliability violations on the transmission system. If </w:t>
      </w:r>
      <w:r>
        <w:lastRenderedPageBreak/>
        <w:t>violations are identified, these analyses typically identify the upgrades needed to resolve the reliability issue and quantify the cost of those upgrades.</w:t>
      </w:r>
    </w:p>
    <w:p w14:paraId="12AFC01A" w14:textId="17DA9862" w:rsidR="002F5A5D" w:rsidRPr="00476E90" w:rsidRDefault="002F5A5D" w:rsidP="002F5A5D">
      <w:pPr>
        <w:pStyle w:val="Question"/>
      </w:pPr>
      <w:r>
        <w:t>Q.</w:t>
      </w:r>
      <w:r>
        <w:tab/>
      </w:r>
      <w:r w:rsidR="00E270B2">
        <w:t>Please summarize</w:t>
      </w:r>
      <w:r>
        <w:t xml:space="preserve"> the specific conclusions of the Company’s transmission screening analysis and the company’s requests to the commission related to transmission investments?</w:t>
      </w:r>
    </w:p>
    <w:p w14:paraId="591359BE" w14:textId="00FD6C17" w:rsidR="00E270B2" w:rsidRDefault="002F5A5D" w:rsidP="00EC5362">
      <w:pPr>
        <w:pStyle w:val="Answers"/>
      </w:pPr>
      <w:r w:rsidRPr="003D0BFB">
        <w:t>A.</w:t>
      </w:r>
      <w:r w:rsidRPr="003D0BFB">
        <w:tab/>
      </w:r>
      <w:r w:rsidR="00886158">
        <w:t xml:space="preserve">The </w:t>
      </w:r>
      <w:r w:rsidR="00A2470E">
        <w:t xml:space="preserve">initial Transmission Screening Analysis Overview filed with the IRP Update identified transmission projects needed to integrate the full capacity of the three Yates CTs, with an estimated </w:t>
      </w:r>
      <w:r w:rsidR="00A2470E" w:rsidRPr="005851D7">
        <w:t>cost of $80 million</w:t>
      </w:r>
      <w:r w:rsidR="00630B44" w:rsidRPr="005851D7">
        <w:t xml:space="preserve">. </w:t>
      </w:r>
      <w:r w:rsidR="0054255A" w:rsidRPr="005851D7">
        <w:t xml:space="preserve">No other transmission costs to integrate </w:t>
      </w:r>
      <w:r w:rsidR="001417DA" w:rsidRPr="005851D7">
        <w:t>the requested</w:t>
      </w:r>
      <w:r w:rsidR="0054255A" w:rsidRPr="005851D7">
        <w:t xml:space="preserve"> supply were </w:t>
      </w:r>
      <w:r w:rsidR="00965227" w:rsidRPr="005851D7">
        <w:t xml:space="preserve">identified by the Company. </w:t>
      </w:r>
      <w:r w:rsidR="00A2470E" w:rsidRPr="005851D7">
        <w:t>In the supplemental analysis filed in January 2024</w:t>
      </w:r>
      <w:r w:rsidR="00DF608E" w:rsidRPr="005851D7">
        <w:t>,</w:t>
      </w:r>
      <w:r w:rsidR="00A2470E" w:rsidRPr="005851D7">
        <w:t xml:space="preserve"> </w:t>
      </w:r>
      <w:r w:rsidR="001417DA" w:rsidRPr="005851D7">
        <w:t>no</w:t>
      </w:r>
      <w:r w:rsidR="008B37B3" w:rsidRPr="005851D7">
        <w:t xml:space="preserve"> new or different transmission needs or solutions </w:t>
      </w:r>
      <w:r w:rsidR="00F37D63" w:rsidRPr="005851D7">
        <w:t>were identified</w:t>
      </w:r>
      <w:r w:rsidR="00851CD9" w:rsidRPr="005851D7">
        <w:t xml:space="preserve"> by the Company</w:t>
      </w:r>
      <w:r w:rsidR="00F37D63" w:rsidRPr="005851D7">
        <w:t xml:space="preserve">. </w:t>
      </w:r>
      <w:r w:rsidR="005A6B6C" w:rsidRPr="005851D7">
        <w:t>T</w:t>
      </w:r>
      <w:r w:rsidR="008B37B3" w:rsidRPr="005851D7">
        <w:t xml:space="preserve">he </w:t>
      </w:r>
      <w:r w:rsidR="00743521" w:rsidRPr="005851D7">
        <w:t xml:space="preserve">Company’s </w:t>
      </w:r>
      <w:r w:rsidR="008B37B3" w:rsidRPr="005851D7">
        <w:t>estimated costs of the transmission solution to integrate the three Ya</w:t>
      </w:r>
      <w:r w:rsidR="00BA5F9C" w:rsidRPr="005851D7">
        <w:t>t</w:t>
      </w:r>
      <w:r w:rsidR="008B37B3" w:rsidRPr="005851D7">
        <w:t xml:space="preserve">es CTs </w:t>
      </w:r>
      <w:r w:rsidR="00743521" w:rsidRPr="005851D7">
        <w:t xml:space="preserve">was reduced by roughly $20 million </w:t>
      </w:r>
      <w:r w:rsidR="008B37B3" w:rsidRPr="005851D7">
        <w:t>to approximately $60 million</w:t>
      </w:r>
      <w:r w:rsidR="008B37B3">
        <w:t>.</w:t>
      </w:r>
      <w:r w:rsidR="00A2470E">
        <w:t xml:space="preserve"> Daymark’s review of these upgrades will be discussed in more detail in the following sections.</w:t>
      </w:r>
    </w:p>
    <w:p w14:paraId="7DFB6176" w14:textId="3DF77613" w:rsidR="4DB42970" w:rsidRDefault="00386453" w:rsidP="00EC5362">
      <w:pPr>
        <w:pStyle w:val="Answers"/>
      </w:pPr>
      <w:r>
        <w:tab/>
      </w:r>
      <w:r>
        <w:tab/>
      </w:r>
      <w:r w:rsidR="4DB42970">
        <w:t>The Company also concluded that certain</w:t>
      </w:r>
      <w:r w:rsidR="4DB42970" w:rsidDel="002B3915">
        <w:t xml:space="preserve"> </w:t>
      </w:r>
      <w:r w:rsidR="4DB42970">
        <w:t xml:space="preserve">supply options did not require transmission upgrades. These supply options included </w:t>
      </w:r>
      <w:r w:rsidR="4A8D3C23">
        <w:t>a</w:t>
      </w:r>
      <w:r w:rsidR="4DB42970">
        <w:t xml:space="preserve"> Power Purchase Agreement</w:t>
      </w:r>
      <w:r w:rsidR="001F4DC1">
        <w:t xml:space="preserve"> (“PPA”)</w:t>
      </w:r>
      <w:r w:rsidR="4DB42970">
        <w:t xml:space="preserve"> </w:t>
      </w:r>
      <w:r w:rsidR="01915D21">
        <w:t>with Mississippi</w:t>
      </w:r>
      <w:r w:rsidR="4DB42970">
        <w:t xml:space="preserve"> </w:t>
      </w:r>
      <w:r w:rsidR="01915D21">
        <w:t>Power Com</w:t>
      </w:r>
      <w:r w:rsidR="008B37B3">
        <w:t>p</w:t>
      </w:r>
      <w:r w:rsidR="01915D21">
        <w:t>any</w:t>
      </w:r>
      <w:r w:rsidR="4DB42970">
        <w:t xml:space="preserve"> (</w:t>
      </w:r>
      <w:r w:rsidR="001F4DC1">
        <w:t>“</w:t>
      </w:r>
      <w:r w:rsidR="4DB42970">
        <w:t>MS PPA</w:t>
      </w:r>
      <w:r w:rsidR="001F4DC1">
        <w:t>”</w:t>
      </w:r>
      <w:r w:rsidR="4DB42970">
        <w:t xml:space="preserve">), </w:t>
      </w:r>
      <w:r w:rsidR="60C5BDF7">
        <w:t xml:space="preserve">a </w:t>
      </w:r>
      <w:r w:rsidR="001F4DC1">
        <w:t>PPA</w:t>
      </w:r>
      <w:r w:rsidR="60C5BDF7">
        <w:t xml:space="preserve"> with </w:t>
      </w:r>
      <w:r w:rsidR="70145302">
        <w:t xml:space="preserve">the Santa Rosa </w:t>
      </w:r>
      <w:r w:rsidR="60C5BDF7">
        <w:t>Energy Center LLC (</w:t>
      </w:r>
      <w:r w:rsidR="001F4DC1">
        <w:t>“</w:t>
      </w:r>
      <w:r w:rsidR="70145302">
        <w:t>Santa Rosa PPA</w:t>
      </w:r>
      <w:r w:rsidR="001F4DC1">
        <w:t>”</w:t>
      </w:r>
      <w:r w:rsidR="38E7FE63">
        <w:t>)</w:t>
      </w:r>
      <w:r w:rsidR="70145302">
        <w:t xml:space="preserve">, </w:t>
      </w:r>
      <w:r w:rsidR="4835565E">
        <w:t>as well</w:t>
      </w:r>
      <w:r w:rsidR="00F85EC6">
        <w:t xml:space="preserve"> as</w:t>
      </w:r>
      <w:r w:rsidR="4835565E">
        <w:t xml:space="preserve"> </w:t>
      </w:r>
      <w:r w:rsidR="70145302">
        <w:t xml:space="preserve">up to 600 </w:t>
      </w:r>
      <w:r w:rsidR="0090031A">
        <w:t>megawatts (“</w:t>
      </w:r>
      <w:r w:rsidR="70145302">
        <w:t>MW</w:t>
      </w:r>
      <w:r w:rsidR="0090031A">
        <w:t>”)</w:t>
      </w:r>
      <w:r w:rsidR="70145302">
        <w:t xml:space="preserve"> of capacity at the Plant Yates site</w:t>
      </w:r>
      <w:r w:rsidR="235ED1EB">
        <w:t xml:space="preserve">. The Company also concluded that it could incorporate up to 1,000 MW of battery </w:t>
      </w:r>
      <w:r w:rsidR="235ED1EB">
        <w:lastRenderedPageBreak/>
        <w:t>energy storage systems (</w:t>
      </w:r>
      <w:r w:rsidR="00582927">
        <w:t>“</w:t>
      </w:r>
      <w:r w:rsidR="235ED1EB">
        <w:t>BESS</w:t>
      </w:r>
      <w:r w:rsidR="00582927">
        <w:t>”</w:t>
      </w:r>
      <w:r w:rsidR="235ED1EB">
        <w:t>) at various locations</w:t>
      </w:r>
      <w:r w:rsidR="4DB42970" w:rsidRPr="00F85EC6">
        <w:rPr>
          <w:vertAlign w:val="superscript"/>
        </w:rPr>
        <w:footnoteReference w:id="6"/>
      </w:r>
      <w:r w:rsidR="235ED1EB">
        <w:t xml:space="preserve"> without needing transmission upgrades.</w:t>
      </w:r>
    </w:p>
    <w:p w14:paraId="53F91A42" w14:textId="7B0BC3F0" w:rsidR="002F5A5D" w:rsidRDefault="00E270B2" w:rsidP="00EC5362">
      <w:pPr>
        <w:pStyle w:val="Answers"/>
      </w:pPr>
      <w:r>
        <w:tab/>
      </w:r>
      <w:r>
        <w:tab/>
        <w:t>In addition to these conclusions regarding the potential need for transmission upgrades, the Company’s analysis was also used to rule out certain</w:t>
      </w:r>
      <w:r w:rsidR="00886158">
        <w:t xml:space="preserve"> generation projects.  Specifically, the Lindsay Hill PPA was eliminated as an option because the transmission screening determined that required transmission upgrades could not be completed in time to meet the anticipated capacity need.</w:t>
      </w:r>
    </w:p>
    <w:p w14:paraId="1B702651" w14:textId="77777777" w:rsidR="001870BC" w:rsidRDefault="001870BC" w:rsidP="00630B44">
      <w:pPr>
        <w:pStyle w:val="Question"/>
      </w:pPr>
      <w:r>
        <w:t>Q.</w:t>
      </w:r>
      <w:r>
        <w:tab/>
        <w:t>HOW DID THE COMPANY CHARACTERIZE THE STATE OF THE FILING BEFORE THE ADDITIONAL ANALYSIS WAS MADE AVAILABLE?</w:t>
      </w:r>
    </w:p>
    <w:p w14:paraId="387AA5A7" w14:textId="0D7555FD" w:rsidR="001870BC" w:rsidRDefault="001870BC" w:rsidP="00EC5362">
      <w:pPr>
        <w:pStyle w:val="Answers"/>
      </w:pPr>
      <w:r>
        <w:t>A.</w:t>
      </w:r>
      <w:r>
        <w:tab/>
        <w:t>During the November 27</w:t>
      </w:r>
      <w:r w:rsidRPr="001870BC">
        <w:rPr>
          <w:vertAlign w:val="superscript"/>
        </w:rPr>
        <w:t>th</w:t>
      </w:r>
      <w:r>
        <w:t xml:space="preserve"> technical conference, the Company also provided some responses to informal requests made by Staff. In those responses, the Company characterized the IRP Update filing as “complete”</w:t>
      </w:r>
      <w:r w:rsidR="00FB275D">
        <w:rPr>
          <w:rStyle w:val="FootnoteReference"/>
        </w:rPr>
        <w:footnoteReference w:id="7"/>
      </w:r>
      <w:r>
        <w:t xml:space="preserve"> without the supplemental analysis. Furthermore, the Company stated that “</w:t>
      </w:r>
      <w:r w:rsidRPr="001870BC">
        <w:t>Since the Company needed to move quickly on its filing, the full transmission investment required will be filed subsequently in January as a supplemental filing. Staff has been provided preliminary information to assist with their review of the transmission impacts and the Company will provide the remainder of the information in January</w:t>
      </w:r>
      <w:r>
        <w:t>.”</w:t>
      </w:r>
      <w:r w:rsidR="006A5606">
        <w:rPr>
          <w:rStyle w:val="FootnoteReference"/>
        </w:rPr>
        <w:footnoteReference w:id="8"/>
      </w:r>
    </w:p>
    <w:p w14:paraId="5431C24C" w14:textId="77777777" w:rsidR="001870BC" w:rsidRPr="001F4DC1" w:rsidRDefault="001870BC" w:rsidP="00EC5362">
      <w:pPr>
        <w:pStyle w:val="Answers"/>
        <w:rPr>
          <w:b/>
          <w:bCs/>
        </w:rPr>
      </w:pPr>
      <w:r w:rsidRPr="001F4DC1">
        <w:rPr>
          <w:b/>
          <w:bCs/>
        </w:rPr>
        <w:lastRenderedPageBreak/>
        <w:t>Q.</w:t>
      </w:r>
      <w:r w:rsidRPr="001F4DC1">
        <w:rPr>
          <w:b/>
          <w:bCs/>
        </w:rPr>
        <w:tab/>
        <w:t>HOW DID DAYMARK CONSIDER THE TWO ANALYSES GIVEN THIS CHARACTERIZATION?</w:t>
      </w:r>
    </w:p>
    <w:p w14:paraId="13F7B428" w14:textId="12C20412" w:rsidR="001870BC" w:rsidRPr="001870BC" w:rsidRDefault="001870BC" w:rsidP="00EC5362">
      <w:pPr>
        <w:pStyle w:val="Answers"/>
      </w:pPr>
      <w:r>
        <w:t>A.</w:t>
      </w:r>
      <w:r>
        <w:tab/>
        <w:t xml:space="preserve">Daymark </w:t>
      </w:r>
      <w:r w:rsidR="00F755B2">
        <w:t xml:space="preserve">reviewed both sets of analyses and offers </w:t>
      </w:r>
      <w:r w:rsidR="00EE1EF0">
        <w:t xml:space="preserve">observations and conclusions </w:t>
      </w:r>
      <w:r w:rsidR="00C40084">
        <w:t xml:space="preserve">regarding each. However, we </w:t>
      </w:r>
      <w:r>
        <w:t xml:space="preserve">consider the transmission request to be predominantly based on the Transmission Screening Analysis. The loads in that analysis are those the Company has testified to as being the most concerning from a timing perspective. Additionally, the supplemental analysis, while </w:t>
      </w:r>
      <w:r w:rsidR="00A941E3">
        <w:t xml:space="preserve">producing </w:t>
      </w:r>
      <w:r>
        <w:t xml:space="preserve">different line loadings, did not identify any new transmission needs </w:t>
      </w:r>
      <w:r w:rsidR="002F7DC2">
        <w:t xml:space="preserve">that had </w:t>
      </w:r>
      <w:r>
        <w:t>not previously</w:t>
      </w:r>
      <w:r w:rsidR="008764D3">
        <w:t xml:space="preserve"> been</w:t>
      </w:r>
      <w:r>
        <w:t xml:space="preserve"> identified in the Transmission Screening Analysis.</w:t>
      </w:r>
      <w:r w:rsidR="000B1781">
        <w:t xml:space="preserve"> </w:t>
      </w:r>
    </w:p>
    <w:p w14:paraId="6C9279D9" w14:textId="77777777" w:rsidR="001870BC" w:rsidRPr="002F5A5D" w:rsidRDefault="001870BC" w:rsidP="00EC5362">
      <w:pPr>
        <w:pStyle w:val="Answers"/>
      </w:pPr>
    </w:p>
    <w:p w14:paraId="3997E1C7" w14:textId="14861EBC" w:rsidR="003D0BFB" w:rsidRPr="00386453" w:rsidRDefault="003D0BFB" w:rsidP="00386453">
      <w:pPr>
        <w:pStyle w:val="Heading1"/>
        <w:ind w:left="720" w:hanging="720"/>
      </w:pPr>
      <w:bookmarkStart w:id="9" w:name="_Toc158741864"/>
      <w:r w:rsidRPr="00386453">
        <w:t xml:space="preserve">DISCUSSION OF </w:t>
      </w:r>
      <w:r w:rsidR="001870BC" w:rsidRPr="00386453">
        <w:t>THE</w:t>
      </w:r>
      <w:r w:rsidRPr="00386453">
        <w:t xml:space="preserve"> TRANSMISSION </w:t>
      </w:r>
      <w:r w:rsidR="001870BC" w:rsidRPr="00386453">
        <w:t xml:space="preserve">SCREENING </w:t>
      </w:r>
      <w:r w:rsidRPr="00386453">
        <w:t>ANALYSIS AND RESULTS</w:t>
      </w:r>
      <w:bookmarkEnd w:id="9"/>
      <w:r w:rsidRPr="00386453">
        <w:t xml:space="preserve"> </w:t>
      </w:r>
    </w:p>
    <w:p w14:paraId="575AC044" w14:textId="77777777" w:rsidR="003D0BFB" w:rsidRPr="00476E90" w:rsidRDefault="003D0BFB" w:rsidP="003D0BFB">
      <w:pPr>
        <w:pStyle w:val="Question"/>
      </w:pPr>
      <w:r w:rsidRPr="007F29D4">
        <w:t>Q.</w:t>
      </w:r>
      <w:r w:rsidRPr="007F29D4">
        <w:tab/>
      </w:r>
      <w:r>
        <w:t>PLEASE DESCRIBE THE DRIVERS FOR THE SCREENING ANALYSIS IN THE 2023 IRP UPDATE.</w:t>
      </w:r>
    </w:p>
    <w:p w14:paraId="340887A7" w14:textId="4C992E93" w:rsidR="003D0BFB" w:rsidRPr="003D0BFB" w:rsidRDefault="003D0BFB" w:rsidP="00EC5362">
      <w:pPr>
        <w:pStyle w:val="Answers"/>
      </w:pPr>
      <w:r w:rsidRPr="003D0BFB">
        <w:t>A.</w:t>
      </w:r>
      <w:r w:rsidRPr="003D0BFB">
        <w:tab/>
      </w:r>
      <w:r w:rsidR="00CC7D64">
        <w:t>As presented by the Company, t</w:t>
      </w:r>
      <w:r w:rsidRPr="003D0BFB">
        <w:t xml:space="preserve">he update to the 2022 IRP was produced to meet the growing electrical demands occurring in Georgia. Largely driven by policy and emerging industries, the expected load forecast has increased significantly – with </w:t>
      </w:r>
      <w:r w:rsidR="1159B40C" w:rsidRPr="003D0BFB">
        <w:t xml:space="preserve">the Company </w:t>
      </w:r>
      <w:r w:rsidRPr="003D0BFB">
        <w:t>project</w:t>
      </w:r>
      <w:r w:rsidR="20F29A63" w:rsidRPr="003D0BFB">
        <w:t>ing</w:t>
      </w:r>
      <w:r w:rsidRPr="003D0BFB">
        <w:t xml:space="preserve"> growth of 6,600 </w:t>
      </w:r>
      <w:r w:rsidR="44CD5DA3" w:rsidRPr="003D0BFB">
        <w:t>MW</w:t>
      </w:r>
      <w:r w:rsidRPr="003D0BFB">
        <w:t xml:space="preserve"> by 2030</w:t>
      </w:r>
      <w:r w:rsidR="00E926C6">
        <w:t>.</w:t>
      </w:r>
      <w:r w:rsidRPr="006B04CC">
        <w:rPr>
          <w:rStyle w:val="FootnoteReference"/>
          <w:rFonts w:cs="Calibri"/>
        </w:rPr>
        <w:footnoteReference w:id="9"/>
      </w:r>
      <w:r w:rsidRPr="003D0BFB">
        <w:t xml:space="preserve"> To meet this increase, Georgia Power </w:t>
      </w:r>
      <w:r w:rsidR="006B04CC">
        <w:t xml:space="preserve">stated that </w:t>
      </w:r>
      <w:r w:rsidR="006B04CC">
        <w:lastRenderedPageBreak/>
        <w:t>it</w:t>
      </w:r>
      <w:r w:rsidRPr="003D0BFB">
        <w:t xml:space="preserve"> need</w:t>
      </w:r>
      <w:r w:rsidR="006B04CC">
        <w:t>ed</w:t>
      </w:r>
      <w:r w:rsidRPr="003D0BFB">
        <w:t xml:space="preserve"> to act quickly</w:t>
      </w:r>
      <w:r w:rsidR="006B04CC">
        <w:rPr>
          <w:rStyle w:val="FootnoteReference"/>
        </w:rPr>
        <w:footnoteReference w:id="10"/>
      </w:r>
      <w:r w:rsidRPr="003D0BFB">
        <w:t xml:space="preserve"> to procure </w:t>
      </w:r>
      <w:r w:rsidR="001870BC">
        <w:t>generation supply</w:t>
      </w:r>
      <w:r w:rsidRPr="003D0BFB">
        <w:t xml:space="preserve"> and upgrade the transmission grid to </w:t>
      </w:r>
      <w:r w:rsidR="001870BC">
        <w:t>ensure the reliable integration of this new load and supply</w:t>
      </w:r>
      <w:r w:rsidRPr="003D0BFB">
        <w:t xml:space="preserve">. The 2023 IRP </w:t>
      </w:r>
      <w:r w:rsidR="00FF79EF">
        <w:t>U</w:t>
      </w:r>
      <w:r w:rsidR="008764D3">
        <w:t>p</w:t>
      </w:r>
      <w:r w:rsidR="00FF79EF">
        <w:t xml:space="preserve">date </w:t>
      </w:r>
      <w:r w:rsidRPr="003D0BFB">
        <w:t>describes</w:t>
      </w:r>
      <w:r w:rsidR="001870BC">
        <w:t xml:space="preserve"> the </w:t>
      </w:r>
      <w:r w:rsidR="00BA5F9C">
        <w:t>C</w:t>
      </w:r>
      <w:r w:rsidR="001870BC">
        <w:t>ompany</w:t>
      </w:r>
      <w:r w:rsidR="00BA5F9C">
        <w:t>’s</w:t>
      </w:r>
      <w:r w:rsidR="001870BC">
        <w:t xml:space="preserve"> forecast of</w:t>
      </w:r>
      <w:r w:rsidRPr="003D0BFB">
        <w:t>:</w:t>
      </w:r>
    </w:p>
    <w:p w14:paraId="4648DA93" w14:textId="77777777" w:rsidR="003D0BFB" w:rsidRPr="003D0BFB" w:rsidRDefault="003D0BFB" w:rsidP="003D0BFB">
      <w:pPr>
        <w:pStyle w:val="BULLETS"/>
      </w:pPr>
      <w:r w:rsidRPr="003D0BFB">
        <w:t>The magnitude of economic growth occurring in Georgia.</w:t>
      </w:r>
    </w:p>
    <w:p w14:paraId="73F60920" w14:textId="2B8AD032" w:rsidR="003D0BFB" w:rsidRPr="003D0BFB" w:rsidRDefault="003D0BFB" w:rsidP="003D0BFB">
      <w:pPr>
        <w:pStyle w:val="BULLETS"/>
      </w:pPr>
      <w:r w:rsidRPr="003D0BFB">
        <w:t xml:space="preserve">The changes in the load caused by the </w:t>
      </w:r>
      <w:r w:rsidR="00AC6B73">
        <w:t xml:space="preserve">forecasted </w:t>
      </w:r>
      <w:r w:rsidRPr="003D0BFB">
        <w:t>rapid economic growth.</w:t>
      </w:r>
    </w:p>
    <w:p w14:paraId="40C8F4A8" w14:textId="77777777" w:rsidR="003D0BFB" w:rsidRPr="003D0BFB" w:rsidRDefault="003D0BFB" w:rsidP="003D0BFB">
      <w:pPr>
        <w:pStyle w:val="BULLETS"/>
      </w:pPr>
      <w:r w:rsidRPr="003D0BFB">
        <w:t xml:space="preserve">The capacity needs resulting from the growth and the advancement of this capacity need. </w:t>
      </w:r>
    </w:p>
    <w:p w14:paraId="785E9763" w14:textId="77777777" w:rsidR="003D0BFB" w:rsidRPr="003D0BFB" w:rsidRDefault="003D0BFB" w:rsidP="003D0BFB">
      <w:pPr>
        <w:pStyle w:val="BULLETS"/>
      </w:pPr>
      <w:r w:rsidRPr="003D0BFB">
        <w:t>Plans to address the state’s rapidly growing energy needs.</w:t>
      </w:r>
    </w:p>
    <w:p w14:paraId="22276258" w14:textId="3A5FAAFF" w:rsidR="003D0BFB" w:rsidRDefault="003D0BFB" w:rsidP="003D0BFB">
      <w:pPr>
        <w:pStyle w:val="Question"/>
      </w:pPr>
      <w:r w:rsidRPr="007F29D4">
        <w:t>Q.</w:t>
      </w:r>
      <w:r w:rsidRPr="007F29D4">
        <w:tab/>
      </w:r>
      <w:r>
        <w:t>PLEASE DESCRIBE THE SCREENING ANALYSIS PERFORMED BY GEORGIA POWER COMPANY IN THE 2023 IRP UPDATE.</w:t>
      </w:r>
      <w:r w:rsidRPr="045DBEBA">
        <w:t xml:space="preserve"> </w:t>
      </w:r>
    </w:p>
    <w:p w14:paraId="5FE2A04F" w14:textId="1AA1789B" w:rsidR="003D0BFB" w:rsidRDefault="003D0BFB" w:rsidP="00EC5362">
      <w:pPr>
        <w:pStyle w:val="Answers"/>
      </w:pPr>
      <w:r w:rsidRPr="003D0BFB">
        <w:t>A.</w:t>
      </w:r>
      <w:r w:rsidRPr="003D0BFB">
        <w:tab/>
        <w:t xml:space="preserve">A set of supply options and transmission upgrades were identified as potentially feasible means to serve the </w:t>
      </w:r>
      <w:r w:rsidR="39005D8D" w:rsidRPr="003D0BFB">
        <w:t xml:space="preserve">Company’s </w:t>
      </w:r>
      <w:r w:rsidRPr="003D0BFB">
        <w:t xml:space="preserve">projected </w:t>
      </w:r>
      <w:r w:rsidR="5B38B897" w:rsidRPr="003D0BFB">
        <w:t>capacity need</w:t>
      </w:r>
      <w:r w:rsidRPr="003D0BFB">
        <w:t>. The updated loads and supply options served as the basis for the Transmission Screening Analysis</w:t>
      </w:r>
      <w:r w:rsidR="001870BC">
        <w:rPr>
          <w:rStyle w:val="FootnoteReference"/>
        </w:rPr>
        <w:footnoteReference w:id="11"/>
      </w:r>
      <w:r w:rsidRPr="003D0BFB">
        <w:t xml:space="preserve">. The Company performed transmission screens for various generation resource options under consideration by the Company to support its generation resource needs. This analysis was performed by utilizing PSS/E, an industry standard planning tool, to identify thermal overloads caused by the new loads and assumed supply when tested under a standard set of seasonal base cases with stressed conditions applied. </w:t>
      </w:r>
      <w:r w:rsidR="002A7F9A">
        <w:t xml:space="preserve">The development of these base cases is a typical step in transmission planning studies such as these, and they are designed </w:t>
      </w:r>
      <w:r w:rsidR="002A7F9A">
        <w:lastRenderedPageBreak/>
        <w:t xml:space="preserve">to test the impact of changes to the system (new load, new </w:t>
      </w:r>
      <w:r w:rsidR="00AC7A21">
        <w:t xml:space="preserve">and retired </w:t>
      </w:r>
      <w:r w:rsidR="002A7F9A">
        <w:t xml:space="preserve">generation, new transmission, etc.) in the conditions that are most likely to result in a reliability violation. </w:t>
      </w:r>
      <w:r w:rsidRPr="003D0BFB">
        <w:t xml:space="preserve">The seasonal base cases </w:t>
      </w:r>
      <w:r w:rsidR="002A7F9A">
        <w:t xml:space="preserve">used by the Company </w:t>
      </w:r>
      <w:r w:rsidR="001870BC">
        <w:t xml:space="preserve">in this analysis were a limited set compared to the complete list that is </w:t>
      </w:r>
      <w:r w:rsidR="00BA5F9C">
        <w:t xml:space="preserve">typically </w:t>
      </w:r>
      <w:r w:rsidR="001870BC">
        <w:t xml:space="preserve">used in </w:t>
      </w:r>
      <w:r w:rsidR="00BA5F9C">
        <w:t xml:space="preserve">the Company’s </w:t>
      </w:r>
      <w:r w:rsidR="001870BC">
        <w:t xml:space="preserve">long-term transmission studies. For this analysis, the base cases modeled </w:t>
      </w:r>
      <w:r w:rsidRPr="003D0BFB">
        <w:t>were:</w:t>
      </w:r>
    </w:p>
    <w:p w14:paraId="3C2C5E54" w14:textId="729F99EB" w:rsidR="001870BC" w:rsidRPr="00410D04" w:rsidRDefault="001870BC" w:rsidP="00410D04">
      <w:pPr>
        <w:spacing w:line="480" w:lineRule="auto"/>
        <w:rPr>
          <w:rFonts w:ascii="Times New Roman" w:hAnsi="Times New Roman"/>
          <w:sz w:val="24"/>
          <w:szCs w:val="24"/>
        </w:rPr>
      </w:pPr>
    </w:p>
    <w:tbl>
      <w:tblPr>
        <w:tblStyle w:val="TableGrid"/>
        <w:tblW w:w="0" w:type="auto"/>
        <w:tblInd w:w="535" w:type="dxa"/>
        <w:tblLook w:val="04A0" w:firstRow="1" w:lastRow="0" w:firstColumn="1" w:lastColumn="0" w:noHBand="0" w:noVBand="1"/>
      </w:tblPr>
      <w:tblGrid>
        <w:gridCol w:w="2070"/>
        <w:gridCol w:w="770"/>
        <w:gridCol w:w="2200"/>
        <w:gridCol w:w="900"/>
        <w:gridCol w:w="1010"/>
        <w:gridCol w:w="1842"/>
      </w:tblGrid>
      <w:tr w:rsidR="001870BC" w:rsidRPr="005851D7" w14:paraId="66E8FA9A" w14:textId="77777777">
        <w:tc>
          <w:tcPr>
            <w:tcW w:w="2070" w:type="dxa"/>
          </w:tcPr>
          <w:p w14:paraId="0D2B9635"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Name</w:t>
            </w:r>
          </w:p>
        </w:tc>
        <w:tc>
          <w:tcPr>
            <w:tcW w:w="770" w:type="dxa"/>
          </w:tcPr>
          <w:p w14:paraId="5C2E32FD"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Abbr.</w:t>
            </w:r>
          </w:p>
        </w:tc>
        <w:tc>
          <w:tcPr>
            <w:tcW w:w="2200" w:type="dxa"/>
          </w:tcPr>
          <w:p w14:paraId="7366F58A"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Load Level</w:t>
            </w:r>
          </w:p>
        </w:tc>
        <w:tc>
          <w:tcPr>
            <w:tcW w:w="900" w:type="dxa"/>
          </w:tcPr>
          <w:p w14:paraId="4FE6A2F9"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Solar</w:t>
            </w:r>
          </w:p>
        </w:tc>
        <w:tc>
          <w:tcPr>
            <w:tcW w:w="1010" w:type="dxa"/>
          </w:tcPr>
          <w:p w14:paraId="5E06FD67"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Hydro</w:t>
            </w:r>
          </w:p>
        </w:tc>
        <w:tc>
          <w:tcPr>
            <w:tcW w:w="1842" w:type="dxa"/>
          </w:tcPr>
          <w:p w14:paraId="4D34352E" w14:textId="77777777" w:rsidR="001870BC" w:rsidRPr="005851D7" w:rsidRDefault="001870BC">
            <w:pPr>
              <w:spacing w:line="480" w:lineRule="auto"/>
              <w:jc w:val="center"/>
              <w:rPr>
                <w:rFonts w:ascii="Times New Roman" w:hAnsi="Times New Roman"/>
                <w:sz w:val="24"/>
                <w:szCs w:val="24"/>
              </w:rPr>
            </w:pPr>
            <w:r w:rsidRPr="005851D7">
              <w:rPr>
                <w:rFonts w:ascii="Times New Roman" w:hAnsi="Times New Roman"/>
                <w:sz w:val="24"/>
                <w:szCs w:val="24"/>
              </w:rPr>
              <w:t>MISO Transfer</w:t>
            </w:r>
          </w:p>
        </w:tc>
      </w:tr>
      <w:tr w:rsidR="001870BC" w:rsidRPr="005851D7" w14:paraId="335F120C" w14:textId="77777777">
        <w:tc>
          <w:tcPr>
            <w:tcW w:w="2070" w:type="dxa"/>
          </w:tcPr>
          <w:p w14:paraId="12E2DE6F"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Summer Peak</w:t>
            </w:r>
          </w:p>
        </w:tc>
        <w:tc>
          <w:tcPr>
            <w:tcW w:w="770" w:type="dxa"/>
          </w:tcPr>
          <w:p w14:paraId="247BFECD"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S</w:t>
            </w:r>
          </w:p>
        </w:tc>
        <w:tc>
          <w:tcPr>
            <w:tcW w:w="2200" w:type="dxa"/>
          </w:tcPr>
          <w:p w14:paraId="43EAB3F9"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Summer Peak</w:t>
            </w:r>
          </w:p>
        </w:tc>
        <w:tc>
          <w:tcPr>
            <w:tcW w:w="900" w:type="dxa"/>
          </w:tcPr>
          <w:p w14:paraId="1E072576"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On</w:t>
            </w:r>
          </w:p>
        </w:tc>
        <w:tc>
          <w:tcPr>
            <w:tcW w:w="1010" w:type="dxa"/>
          </w:tcPr>
          <w:p w14:paraId="1334D6B8"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On</w:t>
            </w:r>
          </w:p>
        </w:tc>
        <w:tc>
          <w:tcPr>
            <w:tcW w:w="1842" w:type="dxa"/>
          </w:tcPr>
          <w:p w14:paraId="6D1E02D2"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1000 S  ̶&gt; N</w:t>
            </w:r>
          </w:p>
        </w:tc>
      </w:tr>
      <w:tr w:rsidR="001870BC" w:rsidRPr="005851D7" w14:paraId="5EFA3858" w14:textId="77777777">
        <w:tc>
          <w:tcPr>
            <w:tcW w:w="2070" w:type="dxa"/>
          </w:tcPr>
          <w:p w14:paraId="61443597"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Off Peak</w:t>
            </w:r>
          </w:p>
        </w:tc>
        <w:tc>
          <w:tcPr>
            <w:tcW w:w="770" w:type="dxa"/>
          </w:tcPr>
          <w:p w14:paraId="10C8DCE4"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w:t>
            </w:r>
          </w:p>
        </w:tc>
        <w:tc>
          <w:tcPr>
            <w:tcW w:w="2200" w:type="dxa"/>
          </w:tcPr>
          <w:p w14:paraId="04CED40C"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Off Peak (70%)</w:t>
            </w:r>
          </w:p>
        </w:tc>
        <w:tc>
          <w:tcPr>
            <w:tcW w:w="900" w:type="dxa"/>
          </w:tcPr>
          <w:p w14:paraId="0DA99333"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On</w:t>
            </w:r>
          </w:p>
        </w:tc>
        <w:tc>
          <w:tcPr>
            <w:tcW w:w="1010" w:type="dxa"/>
          </w:tcPr>
          <w:p w14:paraId="3D80BFE7"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Motor</w:t>
            </w:r>
          </w:p>
        </w:tc>
        <w:tc>
          <w:tcPr>
            <w:tcW w:w="1842" w:type="dxa"/>
          </w:tcPr>
          <w:p w14:paraId="0F4ED97D"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1000 S  ̶&gt; N</w:t>
            </w:r>
          </w:p>
        </w:tc>
      </w:tr>
      <w:tr w:rsidR="001870BC" w:rsidRPr="005851D7" w14:paraId="0B156647" w14:textId="77777777">
        <w:tc>
          <w:tcPr>
            <w:tcW w:w="2070" w:type="dxa"/>
          </w:tcPr>
          <w:p w14:paraId="4050810E"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Daylight Shoulder</w:t>
            </w:r>
          </w:p>
        </w:tc>
        <w:tc>
          <w:tcPr>
            <w:tcW w:w="770" w:type="dxa"/>
          </w:tcPr>
          <w:p w14:paraId="6B73BDF1"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D</w:t>
            </w:r>
          </w:p>
        </w:tc>
        <w:tc>
          <w:tcPr>
            <w:tcW w:w="2200" w:type="dxa"/>
          </w:tcPr>
          <w:p w14:paraId="524AA7CF"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Shoulder (93%)</w:t>
            </w:r>
          </w:p>
        </w:tc>
        <w:tc>
          <w:tcPr>
            <w:tcW w:w="900" w:type="dxa"/>
          </w:tcPr>
          <w:p w14:paraId="15148159"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On</w:t>
            </w:r>
          </w:p>
        </w:tc>
        <w:tc>
          <w:tcPr>
            <w:tcW w:w="1010" w:type="dxa"/>
          </w:tcPr>
          <w:p w14:paraId="4EB3024E"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Motor</w:t>
            </w:r>
          </w:p>
        </w:tc>
        <w:tc>
          <w:tcPr>
            <w:tcW w:w="1842" w:type="dxa"/>
          </w:tcPr>
          <w:p w14:paraId="446C5569" w14:textId="77777777" w:rsidR="001870BC" w:rsidRPr="005851D7" w:rsidRDefault="001870BC">
            <w:pPr>
              <w:spacing w:line="480" w:lineRule="auto"/>
              <w:rPr>
                <w:rFonts w:ascii="Times New Roman" w:hAnsi="Times New Roman"/>
                <w:sz w:val="24"/>
                <w:szCs w:val="24"/>
              </w:rPr>
            </w:pPr>
            <w:r w:rsidRPr="005851D7">
              <w:rPr>
                <w:rFonts w:ascii="Times New Roman" w:hAnsi="Times New Roman"/>
                <w:sz w:val="24"/>
                <w:szCs w:val="24"/>
              </w:rPr>
              <w:t>1000 S  ̶&gt; N</w:t>
            </w:r>
          </w:p>
        </w:tc>
      </w:tr>
    </w:tbl>
    <w:p w14:paraId="392DF4BC" w14:textId="77777777" w:rsidR="001870BC" w:rsidRPr="005851D7" w:rsidRDefault="001870BC" w:rsidP="00EC5362">
      <w:pPr>
        <w:pStyle w:val="Answers"/>
      </w:pPr>
    </w:p>
    <w:p w14:paraId="2A84001A" w14:textId="77777777" w:rsidR="001870BC" w:rsidRPr="005851D7" w:rsidRDefault="001870BC" w:rsidP="001870BC">
      <w:pPr>
        <w:pStyle w:val="BULLETS"/>
      </w:pPr>
      <w:r w:rsidRPr="005851D7">
        <w:t>Summer Peak – This case represents the highest summer loading conditions for the planning horizon. Hydro units are online.</w:t>
      </w:r>
    </w:p>
    <w:p w14:paraId="451C0165" w14:textId="48F699FF" w:rsidR="001870BC" w:rsidRPr="005851D7" w:rsidRDefault="001870BC" w:rsidP="001870BC">
      <w:pPr>
        <w:pStyle w:val="BULLETS"/>
      </w:pPr>
      <w:r w:rsidRPr="005851D7">
        <w:t xml:space="preserve">Off Peak – This case developed with approximately 70% of the Summer Peak Demand. In this case, hydro generation acts as a synchronous condenser to supply voltage support to the grid – otherwise known as ‘motoring’ however they are not providing a significant supply of </w:t>
      </w:r>
      <w:r w:rsidR="1F7824B4" w:rsidRPr="005851D7">
        <w:t>MW</w:t>
      </w:r>
      <w:r w:rsidRPr="005851D7">
        <w:t xml:space="preserve">. </w:t>
      </w:r>
    </w:p>
    <w:p w14:paraId="142CCD8B" w14:textId="402DD794" w:rsidR="003D0BFB" w:rsidRPr="005851D7" w:rsidRDefault="003D0BFB" w:rsidP="003D0BFB">
      <w:pPr>
        <w:pStyle w:val="BULLETS"/>
      </w:pPr>
      <w:r w:rsidRPr="005851D7">
        <w:t>Daylight Shoulder –</w:t>
      </w:r>
      <w:r w:rsidR="001870BC" w:rsidRPr="005851D7">
        <w:t xml:space="preserve"> </w:t>
      </w:r>
      <w:r w:rsidRPr="005851D7">
        <w:t xml:space="preserve">This case represents the hour of the </w:t>
      </w:r>
      <w:r w:rsidR="5DB3A8D6" w:rsidRPr="005851D7">
        <w:t xml:space="preserve">seasonal </w:t>
      </w:r>
      <w:r w:rsidRPr="005851D7">
        <w:t>peak day just before hydro units ramp up. This case utilizes approximately 93% of the Summer Peak load</w:t>
      </w:r>
      <w:r w:rsidR="001870BC" w:rsidRPr="005851D7">
        <w:t>. As in the Off Peak case, the hydro generation is acting as a synchronous condenser.</w:t>
      </w:r>
    </w:p>
    <w:p w14:paraId="15A15550" w14:textId="77777777" w:rsidR="003D0BFB" w:rsidRDefault="003D0BFB" w:rsidP="003D0BFB">
      <w:pPr>
        <w:spacing w:line="480" w:lineRule="auto"/>
        <w:rPr>
          <w:rFonts w:ascii="Times New Roman" w:hAnsi="Times New Roman"/>
          <w:sz w:val="24"/>
          <w:szCs w:val="24"/>
        </w:rPr>
      </w:pPr>
    </w:p>
    <w:p w14:paraId="032C5B36" w14:textId="77777777" w:rsidR="001870BC" w:rsidRPr="00476E90" w:rsidRDefault="001870BC" w:rsidP="001870BC">
      <w:pPr>
        <w:pStyle w:val="Question"/>
      </w:pPr>
      <w:r w:rsidRPr="007F29D4">
        <w:lastRenderedPageBreak/>
        <w:t>Q.</w:t>
      </w:r>
      <w:r w:rsidRPr="007F29D4">
        <w:tab/>
      </w:r>
      <w:r>
        <w:t>Which generation options were evaluated in the Screening analysis?</w:t>
      </w:r>
    </w:p>
    <w:p w14:paraId="0EEFE0CC" w14:textId="03507D8E" w:rsidR="001870BC" w:rsidRDefault="001870BC" w:rsidP="00EC5362">
      <w:pPr>
        <w:pStyle w:val="Answers"/>
      </w:pPr>
      <w:r w:rsidRPr="003D0BFB">
        <w:t>A.</w:t>
      </w:r>
      <w:r w:rsidRPr="003D0BFB">
        <w:tab/>
      </w:r>
      <w:r w:rsidR="53D455DE">
        <w:t>According to the Company, t</w:t>
      </w:r>
      <w:r>
        <w:t>he following supply scenarios were tested</w:t>
      </w:r>
      <w:r w:rsidR="00713C36">
        <w:rPr>
          <w:rStyle w:val="FootnoteReference"/>
        </w:rPr>
        <w:footnoteReference w:id="12"/>
      </w:r>
      <w:r>
        <w:t>:</w:t>
      </w:r>
    </w:p>
    <w:p w14:paraId="4687B9EC" w14:textId="77777777" w:rsidR="006116A6" w:rsidRDefault="006116A6" w:rsidP="00EC5362">
      <w:pPr>
        <w:pStyle w:val="Answers"/>
      </w:pPr>
    </w:p>
    <w:tbl>
      <w:tblPr>
        <w:tblStyle w:val="TableGrid"/>
        <w:tblW w:w="9360" w:type="dxa"/>
        <w:tblInd w:w="-5" w:type="dxa"/>
        <w:tblLook w:val="04A0" w:firstRow="1" w:lastRow="0" w:firstColumn="1" w:lastColumn="0" w:noHBand="0" w:noVBand="1"/>
      </w:tblPr>
      <w:tblGrid>
        <w:gridCol w:w="1170"/>
        <w:gridCol w:w="8190"/>
      </w:tblGrid>
      <w:tr w:rsidR="003013A7" w14:paraId="386FED89" w14:textId="77777777" w:rsidTr="001870BC">
        <w:tc>
          <w:tcPr>
            <w:tcW w:w="1170" w:type="dxa"/>
          </w:tcPr>
          <w:p w14:paraId="710C7D7D" w14:textId="2D938E8B" w:rsidR="001870BC" w:rsidRPr="005851D7" w:rsidRDefault="001870BC" w:rsidP="00047407">
            <w:pPr>
              <w:pStyle w:val="Answers"/>
            </w:pPr>
            <w:r w:rsidRPr="005851D7">
              <w:t>Scenario</w:t>
            </w:r>
          </w:p>
        </w:tc>
        <w:tc>
          <w:tcPr>
            <w:tcW w:w="8190" w:type="dxa"/>
          </w:tcPr>
          <w:p w14:paraId="07370B97" w14:textId="5C6E0A35" w:rsidR="001870BC" w:rsidRPr="005851D7" w:rsidRDefault="001870BC" w:rsidP="00047407">
            <w:pPr>
              <w:pStyle w:val="Answers"/>
            </w:pPr>
            <w:r w:rsidRPr="005851D7">
              <w:t>Description</w:t>
            </w:r>
          </w:p>
        </w:tc>
      </w:tr>
      <w:tr w:rsidR="003013A7" w14:paraId="02D9BAE6" w14:textId="77777777" w:rsidTr="001870BC">
        <w:tc>
          <w:tcPr>
            <w:tcW w:w="1170" w:type="dxa"/>
          </w:tcPr>
          <w:p w14:paraId="38F860D5" w14:textId="39F6DA00" w:rsidR="001870BC" w:rsidRPr="005851D7" w:rsidRDefault="001870BC" w:rsidP="00047407">
            <w:pPr>
              <w:pStyle w:val="Answers"/>
            </w:pPr>
            <w:r w:rsidRPr="005851D7">
              <w:t>Base</w:t>
            </w:r>
          </w:p>
        </w:tc>
        <w:tc>
          <w:tcPr>
            <w:tcW w:w="8190" w:type="dxa"/>
          </w:tcPr>
          <w:p w14:paraId="2BA7B0D5" w14:textId="006D2877" w:rsidR="001870BC" w:rsidRPr="005851D7" w:rsidRDefault="001870BC" w:rsidP="00EC5362">
            <w:pPr>
              <w:pStyle w:val="Answers"/>
            </w:pPr>
            <w:r w:rsidRPr="005851D7">
              <w:t>Includes all large loads which have selected Georgia Power (v2 base cases) and prior queued projects.</w:t>
            </w:r>
          </w:p>
        </w:tc>
      </w:tr>
      <w:tr w:rsidR="003013A7" w14:paraId="248D5AD3" w14:textId="77777777" w:rsidTr="001870BC">
        <w:tc>
          <w:tcPr>
            <w:tcW w:w="1170" w:type="dxa"/>
          </w:tcPr>
          <w:p w14:paraId="75E3C51F" w14:textId="203C7DB1" w:rsidR="001870BC" w:rsidRPr="005851D7" w:rsidRDefault="001870BC" w:rsidP="00047407">
            <w:pPr>
              <w:pStyle w:val="Answers"/>
            </w:pPr>
            <w:r w:rsidRPr="005851D7">
              <w:t>A1</w:t>
            </w:r>
          </w:p>
        </w:tc>
        <w:tc>
          <w:tcPr>
            <w:tcW w:w="8190" w:type="dxa"/>
          </w:tcPr>
          <w:p w14:paraId="47EBF0AF" w14:textId="77777777" w:rsidR="001870BC" w:rsidRPr="005851D7" w:rsidRDefault="001870BC" w:rsidP="00EC5362">
            <w:pPr>
              <w:pStyle w:val="Answers"/>
            </w:pPr>
            <w:r w:rsidRPr="005851D7">
              <w:t>Base scenario with other retail operating company potential unit extensions and the following Georgia Power resource extensions:</w:t>
            </w:r>
          </w:p>
          <w:p w14:paraId="6294AC9B" w14:textId="77777777" w:rsidR="001870BC" w:rsidRPr="005851D7" w:rsidRDefault="001870BC" w:rsidP="001870BC">
            <w:pPr>
              <w:pStyle w:val="BULLETS"/>
            </w:pPr>
            <w:r w:rsidRPr="005851D7">
              <w:t>Gaston 1-4, Bowen 1-4, and Scherer 3 available through 2035</w:t>
            </w:r>
          </w:p>
          <w:p w14:paraId="110ADCB8" w14:textId="77777777" w:rsidR="001870BC" w:rsidRPr="005851D7" w:rsidRDefault="001870BC" w:rsidP="00EC5362">
            <w:pPr>
              <w:pStyle w:val="Answers"/>
            </w:pPr>
            <w:r w:rsidRPr="005851D7">
              <w:t>Base scenario with the following potential power purchase agreements (“PPAs”):</w:t>
            </w:r>
          </w:p>
          <w:p w14:paraId="516AC6AE" w14:textId="100B9CC3" w:rsidR="001870BC" w:rsidRPr="005851D7" w:rsidRDefault="001870BC">
            <w:pPr>
              <w:pStyle w:val="BULLETS"/>
            </w:pPr>
            <w:r w:rsidRPr="005851D7">
              <w:t>Lindsay Hill (895MW) years 2026-2035</w:t>
            </w:r>
          </w:p>
          <w:p w14:paraId="3E0E1F9D" w14:textId="16DD3B37" w:rsidR="001870BC" w:rsidRPr="005851D7" w:rsidRDefault="001870BC" w:rsidP="001870BC">
            <w:pPr>
              <w:pStyle w:val="BULLETS"/>
            </w:pPr>
            <w:r w:rsidRPr="005851D7">
              <w:t>Santa Rosa (225MW) years 2024-2028</w:t>
            </w:r>
          </w:p>
        </w:tc>
      </w:tr>
      <w:tr w:rsidR="003013A7" w14:paraId="5E9999F0" w14:textId="77777777" w:rsidTr="001870BC">
        <w:tc>
          <w:tcPr>
            <w:tcW w:w="1170" w:type="dxa"/>
          </w:tcPr>
          <w:p w14:paraId="5DE21C67" w14:textId="3EB4E5C5" w:rsidR="001870BC" w:rsidRPr="005851D7" w:rsidRDefault="001870BC" w:rsidP="00047407">
            <w:pPr>
              <w:pStyle w:val="Answers"/>
            </w:pPr>
            <w:r w:rsidRPr="005851D7">
              <w:t>A2</w:t>
            </w:r>
          </w:p>
        </w:tc>
        <w:tc>
          <w:tcPr>
            <w:tcW w:w="8190" w:type="dxa"/>
          </w:tcPr>
          <w:p w14:paraId="46688DC2" w14:textId="03E5A16C" w:rsidR="001870BC" w:rsidRPr="005851D7" w:rsidRDefault="001870BC" w:rsidP="00EC5362">
            <w:pPr>
              <w:pStyle w:val="Answers"/>
            </w:pPr>
            <w:r w:rsidRPr="005851D7">
              <w:t>Scenario A1 with Lindsay Hill PPA starting on 5/2029 (due to transmission constraints and project timing limitations)</w:t>
            </w:r>
          </w:p>
        </w:tc>
      </w:tr>
      <w:tr w:rsidR="003013A7" w14:paraId="26178E33" w14:textId="77777777" w:rsidTr="001870BC">
        <w:tc>
          <w:tcPr>
            <w:tcW w:w="1170" w:type="dxa"/>
          </w:tcPr>
          <w:p w14:paraId="45B38832" w14:textId="749BDD24" w:rsidR="001870BC" w:rsidRPr="005851D7" w:rsidRDefault="001870BC" w:rsidP="00047407">
            <w:pPr>
              <w:pStyle w:val="Answers"/>
            </w:pPr>
            <w:r w:rsidRPr="005851D7">
              <w:t>B</w:t>
            </w:r>
          </w:p>
        </w:tc>
        <w:tc>
          <w:tcPr>
            <w:tcW w:w="8190" w:type="dxa"/>
          </w:tcPr>
          <w:p w14:paraId="489CA269" w14:textId="77777777" w:rsidR="001870BC" w:rsidRPr="005851D7" w:rsidRDefault="001870BC" w:rsidP="00047407">
            <w:pPr>
              <w:pStyle w:val="Answers"/>
            </w:pPr>
            <w:r w:rsidRPr="005851D7">
              <w:t>Scenario A1 with proposed Yates CTs and their respective commercial operation dates:</w:t>
            </w:r>
          </w:p>
          <w:p w14:paraId="2B8FD500" w14:textId="7CDF088D" w:rsidR="001870BC" w:rsidRPr="005851D7" w:rsidRDefault="001870BC" w:rsidP="001870BC">
            <w:pPr>
              <w:pStyle w:val="BULLETS"/>
            </w:pPr>
            <w:r w:rsidRPr="005851D7">
              <w:t>2 Units – 11/2026</w:t>
            </w:r>
          </w:p>
          <w:p w14:paraId="137CB13F" w14:textId="2760E8C7" w:rsidR="001870BC" w:rsidRPr="005851D7" w:rsidRDefault="001870BC" w:rsidP="001870BC">
            <w:pPr>
              <w:pStyle w:val="BULLETS"/>
            </w:pPr>
            <w:r w:rsidRPr="005851D7">
              <w:t>1 Unit – 2/2027</w:t>
            </w:r>
          </w:p>
        </w:tc>
      </w:tr>
      <w:tr w:rsidR="003013A7" w14:paraId="449579A8" w14:textId="77777777" w:rsidTr="001870BC">
        <w:tc>
          <w:tcPr>
            <w:tcW w:w="1170" w:type="dxa"/>
          </w:tcPr>
          <w:p w14:paraId="70B70BAC" w14:textId="2DCE8B96" w:rsidR="001870BC" w:rsidRPr="005851D7" w:rsidRDefault="001870BC" w:rsidP="00047407">
            <w:pPr>
              <w:pStyle w:val="Answers"/>
            </w:pPr>
            <w:r w:rsidRPr="005851D7">
              <w:t>C</w:t>
            </w:r>
          </w:p>
        </w:tc>
        <w:tc>
          <w:tcPr>
            <w:tcW w:w="8190" w:type="dxa"/>
          </w:tcPr>
          <w:p w14:paraId="7460DBBE" w14:textId="77777777" w:rsidR="001870BC" w:rsidRPr="005851D7" w:rsidRDefault="001870BC" w:rsidP="00EC5362">
            <w:pPr>
              <w:pStyle w:val="Answers"/>
            </w:pPr>
            <w:r w:rsidRPr="005851D7">
              <w:t>Scenario B with proposed 200MW battery energy storage systems (“BESS”) co</w:t>
            </w:r>
          </w:p>
          <w:p w14:paraId="3947BAD3" w14:textId="1CDF0C3C" w:rsidR="001870BC" w:rsidRPr="005851D7" w:rsidRDefault="001870BC" w:rsidP="00EC5362">
            <w:pPr>
              <w:pStyle w:val="Answers"/>
            </w:pPr>
            <w:r w:rsidRPr="005851D7">
              <w:t xml:space="preserve">located with 200MW solar project at </w:t>
            </w:r>
            <w:r w:rsidR="008764D3" w:rsidRPr="008764D3">
              <w:rPr>
                <w:highlight w:val="black"/>
              </w:rPr>
              <w:t>XXX</w:t>
            </w:r>
            <w:r w:rsidR="008764D3">
              <w:rPr>
                <w:highlight w:val="black"/>
              </w:rPr>
              <w:t>X</w:t>
            </w:r>
            <w:r w:rsidR="008764D3" w:rsidRPr="008764D3">
              <w:rPr>
                <w:highlight w:val="black"/>
              </w:rPr>
              <w:t>XXX</w:t>
            </w:r>
            <w:r w:rsidRPr="005851D7">
              <w:t xml:space="preserve"> Solar.</w:t>
            </w:r>
          </w:p>
        </w:tc>
      </w:tr>
    </w:tbl>
    <w:p w14:paraId="57B3C782" w14:textId="749839D7" w:rsidR="001870BC" w:rsidRDefault="001870BC" w:rsidP="00EC5362">
      <w:pPr>
        <w:pStyle w:val="Answers"/>
      </w:pPr>
      <w:r>
        <w:lastRenderedPageBreak/>
        <w:t xml:space="preserve">  </w:t>
      </w:r>
    </w:p>
    <w:p w14:paraId="345EC7E1" w14:textId="3E4A9759" w:rsidR="003646E4" w:rsidRDefault="003646E4" w:rsidP="00EC5362">
      <w:pPr>
        <w:pStyle w:val="Answers"/>
      </w:pPr>
      <w:r>
        <w:tab/>
      </w:r>
      <w:r w:rsidR="00D15EC9">
        <w:tab/>
      </w:r>
      <w:r>
        <w:t>As can be seen in the table above, the later scenarios built upon earlier ones</w:t>
      </w:r>
      <w:r w:rsidR="000038B7">
        <w:t>.</w:t>
      </w:r>
      <w:r w:rsidR="001D18D3">
        <w:t xml:space="preserve"> Scenario C</w:t>
      </w:r>
      <w:r w:rsidR="00F65966">
        <w:t xml:space="preserve"> was the final </w:t>
      </w:r>
      <w:r w:rsidR="00574DA0">
        <w:t>cumul</w:t>
      </w:r>
      <w:r w:rsidR="004D69E3">
        <w:t>ative</w:t>
      </w:r>
      <w:r w:rsidR="006116A6">
        <w:t xml:space="preserve"> </w:t>
      </w:r>
      <w:r w:rsidR="00F65966">
        <w:t>scenario</w:t>
      </w:r>
      <w:r w:rsidR="004D69E3">
        <w:t xml:space="preserve"> in the scr</w:t>
      </w:r>
      <w:r w:rsidR="005A7A74">
        <w:t>eening analysis</w:t>
      </w:r>
      <w:r w:rsidR="00F65966">
        <w:t xml:space="preserve"> </w:t>
      </w:r>
      <w:r w:rsidR="00D15EC9">
        <w:t>and produced the recommended transmission solutions.</w:t>
      </w:r>
    </w:p>
    <w:p w14:paraId="356F66C4" w14:textId="12B400E0" w:rsidR="001870BC" w:rsidRDefault="001870BC" w:rsidP="00B86F99">
      <w:pPr>
        <w:pStyle w:val="Question"/>
      </w:pPr>
      <w:r>
        <w:t>Q.</w:t>
      </w:r>
      <w:r>
        <w:tab/>
        <w:t>WHAT WERE THE FINAL SET OF SUPPLY OPTIONS STUDIED IN SCENARIO C?</w:t>
      </w:r>
    </w:p>
    <w:p w14:paraId="11417CD9" w14:textId="105FCDD7" w:rsidR="001870BC" w:rsidRDefault="001870BC" w:rsidP="00EC5362">
      <w:pPr>
        <w:pStyle w:val="Answers"/>
      </w:pPr>
      <w:r>
        <w:t>A.</w:t>
      </w:r>
      <w:r>
        <w:tab/>
      </w:r>
      <w:r w:rsidR="018A71BD">
        <w:t>According to the Company’s technical presentation, t</w:t>
      </w:r>
      <w:r>
        <w:t>he new supply studied in Scenario C are as follows:</w:t>
      </w:r>
    </w:p>
    <w:p w14:paraId="22EC0094" w14:textId="5B9EF134" w:rsidR="001870BC" w:rsidRPr="001870BC" w:rsidRDefault="001870BC" w:rsidP="001870BC">
      <w:pPr>
        <w:pStyle w:val="BULLETS"/>
      </w:pPr>
      <w:r w:rsidRPr="001870BC">
        <w:t>Mississippi Power PPA through 2028 </w:t>
      </w:r>
    </w:p>
    <w:p w14:paraId="52DEE450" w14:textId="688BD51B" w:rsidR="001870BC" w:rsidRPr="001870BC" w:rsidRDefault="001870BC" w:rsidP="001870BC">
      <w:pPr>
        <w:pStyle w:val="BULLETS"/>
      </w:pPr>
      <w:r w:rsidRPr="001870BC">
        <w:t>Santa Rosa PPA through 2028 </w:t>
      </w:r>
    </w:p>
    <w:p w14:paraId="4BE9B3E4" w14:textId="6AE54BEA" w:rsidR="001870BC" w:rsidRPr="001870BC" w:rsidRDefault="001870BC" w:rsidP="001870BC">
      <w:pPr>
        <w:pStyle w:val="BULLETS"/>
      </w:pPr>
      <w:r w:rsidRPr="001870BC">
        <w:t xml:space="preserve">Yates CTs </w:t>
      </w:r>
      <w:r>
        <w:t>beginning 2026/</w:t>
      </w:r>
      <w:r w:rsidRPr="001870BC">
        <w:t>2027 </w:t>
      </w:r>
    </w:p>
    <w:p w14:paraId="5FA72212" w14:textId="79653AF8" w:rsidR="001870BC" w:rsidRDefault="001870BC" w:rsidP="001870BC">
      <w:pPr>
        <w:pStyle w:val="BULLETS"/>
      </w:pPr>
      <w:r w:rsidRPr="001870BC">
        <w:t xml:space="preserve">BESS </w:t>
      </w:r>
      <w:r w:rsidR="356C5AB4">
        <w:t>co-located with MW</w:t>
      </w:r>
      <w:r w:rsidRPr="001870BC">
        <w:t xml:space="preserve"> Solar (location is Trade Secret) </w:t>
      </w:r>
    </w:p>
    <w:p w14:paraId="471D5940" w14:textId="2FCB4F32" w:rsidR="00836552" w:rsidRPr="003135B9" w:rsidRDefault="000A209F" w:rsidP="00EC5362">
      <w:pPr>
        <w:pStyle w:val="Answers"/>
      </w:pPr>
      <w:r>
        <w:tab/>
      </w:r>
      <w:r w:rsidR="00836552">
        <w:t>In addition to the new supply, the following units, originally designated for retirement by 2028 by the 2022 IRP Order</w:t>
      </w:r>
      <w:r w:rsidR="000457A8">
        <w:rPr>
          <w:rStyle w:val="FootnoteReference"/>
        </w:rPr>
        <w:footnoteReference w:id="13"/>
      </w:r>
      <w:r w:rsidR="00836552">
        <w:t xml:space="preserve"> </w:t>
      </w:r>
      <w:r w:rsidR="00836552" w:rsidRPr="003135B9">
        <w:t>have been assumed to be extended</w:t>
      </w:r>
      <w:r w:rsidR="00DE13B5" w:rsidRPr="003135B9">
        <w:t xml:space="preserve"> in the transmission analyses</w:t>
      </w:r>
      <w:r w:rsidR="003135B9" w:rsidRPr="003135B9">
        <w:t xml:space="preserve"> as follows</w:t>
      </w:r>
      <w:r w:rsidR="00836552" w:rsidRPr="003135B9">
        <w:t>:</w:t>
      </w:r>
    </w:p>
    <w:p w14:paraId="034CEE65" w14:textId="46BF54EE" w:rsidR="001870BC" w:rsidRPr="003135B9" w:rsidRDefault="001870BC" w:rsidP="001870BC">
      <w:pPr>
        <w:pStyle w:val="BULLETS"/>
      </w:pPr>
      <w:r w:rsidRPr="003135B9">
        <w:t xml:space="preserve">Gaston </w:t>
      </w:r>
      <w:r w:rsidR="00D15EC9" w:rsidRPr="003135B9">
        <w:t xml:space="preserve">Units </w:t>
      </w:r>
      <w:r w:rsidRPr="003135B9">
        <w:t>1-4 extended until 2035</w:t>
      </w:r>
      <w:r w:rsidR="003B2DBA" w:rsidRPr="003135B9">
        <w:t>.</w:t>
      </w:r>
    </w:p>
    <w:p w14:paraId="7E13E616" w14:textId="7B12F050" w:rsidR="00D15EC9" w:rsidRPr="003135B9" w:rsidRDefault="001870BC" w:rsidP="00D15EC9">
      <w:pPr>
        <w:pStyle w:val="BULLETS"/>
      </w:pPr>
      <w:r w:rsidRPr="003135B9">
        <w:t xml:space="preserve">Scherer </w:t>
      </w:r>
      <w:r w:rsidR="00D15EC9" w:rsidRPr="003135B9">
        <w:t xml:space="preserve">Unit </w:t>
      </w:r>
      <w:r w:rsidRPr="003135B9">
        <w:t>3 extended until 2035</w:t>
      </w:r>
      <w:r w:rsidR="00396BCB" w:rsidRPr="003135B9">
        <w:t>.</w:t>
      </w:r>
    </w:p>
    <w:p w14:paraId="27921734" w14:textId="5C34C3F5" w:rsidR="00B86F99" w:rsidRPr="00476E90" w:rsidRDefault="00DF75A8" w:rsidP="00B86F99">
      <w:pPr>
        <w:pStyle w:val="Question"/>
      </w:pPr>
      <w:r w:rsidRPr="007F29D4">
        <w:lastRenderedPageBreak/>
        <w:t>Q.</w:t>
      </w:r>
      <w:r w:rsidRPr="007F29D4">
        <w:tab/>
      </w:r>
      <w:r w:rsidR="001870BC">
        <w:t>FOR THOSE UNITS ASSUMED TO HAVE LIFE EXTENSIONs, WERE THEY DISPATCHED IN CASES that IDENTIFIED TRANSMISSION NEEDS?</w:t>
      </w:r>
    </w:p>
    <w:p w14:paraId="3BC2FCF3" w14:textId="51E5B6C9" w:rsidR="00DF75A8" w:rsidRPr="00B70B5B" w:rsidRDefault="00B86F99" w:rsidP="00EC5362">
      <w:pPr>
        <w:pStyle w:val="Answers"/>
      </w:pPr>
      <w:r w:rsidRPr="00C13F40">
        <w:rPr>
          <w:rFonts w:cs="Times New Roman"/>
        </w:rPr>
        <w:t>A.</w:t>
      </w:r>
      <w:r w:rsidRPr="00C13F40">
        <w:rPr>
          <w:rFonts w:cs="Times New Roman"/>
        </w:rPr>
        <w:tab/>
      </w:r>
      <w:r w:rsidR="001870BC">
        <w:rPr>
          <w:rFonts w:cs="Times New Roman"/>
        </w:rPr>
        <w:t>Yes.</w:t>
      </w:r>
      <w:r w:rsidR="008764D3">
        <w:rPr>
          <w:rFonts w:cs="Times New Roman"/>
        </w:rPr>
        <w:t xml:space="preserve"> </w:t>
      </w:r>
      <w:r w:rsidR="008764D3" w:rsidRPr="008764D3">
        <w:rPr>
          <w:rFonts w:cs="Times New Roman"/>
          <w:highlight w:val="black"/>
        </w:rPr>
        <w:t>XXXXXXXXXXXXXXXXXXXXXXXXXXXXXXXXXXXXXXXXXXXXXXX</w:t>
      </w:r>
      <w:r w:rsidR="001870BC" w:rsidRPr="008764D3">
        <w:rPr>
          <w:rFonts w:cs="Times New Roman"/>
          <w:highlight w:val="black"/>
        </w:rPr>
        <w:t xml:space="preserve"> </w:t>
      </w:r>
      <w:r w:rsidR="008764D3" w:rsidRPr="008764D3">
        <w:rPr>
          <w:rFonts w:cs="Times New Roman"/>
          <w:highlight w:val="black"/>
        </w:rPr>
        <w:t xml:space="preserve"> XXXXXXXXXXXXXXXXXXXXXXXXXXXXXXXXXXXXXXXXXXXXXXXXXXXXXXXXXXXXXXXXXXXXXXXXXXXXXXXXXXXXXXXXXXXXXXXXXXXXXXXXXXXXXXXXXXXXXXXXXXXXXXXXXXXXXXXXXXXXXXXXXXXXXXXXXXXXXXXXXXXXXXXXXXXXXXX</w:t>
      </w:r>
      <w:r w:rsidR="008764D3">
        <w:rPr>
          <w:rFonts w:cs="Times New Roman"/>
          <w:highlight w:val="black"/>
        </w:rPr>
        <w:t>x</w:t>
      </w:r>
      <w:r w:rsidR="008764D3" w:rsidRPr="008764D3">
        <w:rPr>
          <w:rFonts w:cs="Times New Roman"/>
          <w:highlight w:val="black"/>
        </w:rPr>
        <w:t>X</w:t>
      </w:r>
    </w:p>
    <w:p w14:paraId="69529E80" w14:textId="77777777" w:rsidR="003D0BFB" w:rsidRPr="00476E90" w:rsidRDefault="003D0BFB" w:rsidP="003D0BFB">
      <w:pPr>
        <w:pStyle w:val="Question"/>
      </w:pPr>
      <w:r w:rsidRPr="007F29D4">
        <w:t>Q.</w:t>
      </w:r>
      <w:r w:rsidRPr="007F29D4">
        <w:tab/>
      </w:r>
      <w:r>
        <w:t>PLEASE DESCRIBE THE RESULTS OF THE SCREENING ANALYSIS.</w:t>
      </w:r>
    </w:p>
    <w:p w14:paraId="2197766F" w14:textId="1D8D780B" w:rsidR="003D0BFB" w:rsidRDefault="003D0BFB" w:rsidP="00EC5362">
      <w:pPr>
        <w:pStyle w:val="Answers"/>
      </w:pPr>
      <w:r w:rsidRPr="003D0BFB">
        <w:t>A.</w:t>
      </w:r>
      <w:r w:rsidRPr="003D0BFB">
        <w:tab/>
        <w:t>The</w:t>
      </w:r>
      <w:r w:rsidRPr="00476E90">
        <w:t xml:space="preserve"> </w:t>
      </w:r>
      <w:r w:rsidR="013E0117" w:rsidRPr="00476E90">
        <w:t xml:space="preserve">Company’s </w:t>
      </w:r>
      <w:r>
        <w:t xml:space="preserve">Screening Analysis focused on the transmission upgrades </w:t>
      </w:r>
      <w:r w:rsidR="000E62CA">
        <w:t xml:space="preserve">that were </w:t>
      </w:r>
      <w:r w:rsidR="3199DE4D">
        <w:t xml:space="preserve">identified as necessary </w:t>
      </w:r>
      <w:r>
        <w:t xml:space="preserve">to reliably use the supply options </w:t>
      </w:r>
      <w:r w:rsidR="4B36C748">
        <w:t xml:space="preserve">available </w:t>
      </w:r>
      <w:r>
        <w:t xml:space="preserve">to serve the </w:t>
      </w:r>
      <w:r w:rsidR="7D6F4ADE">
        <w:t>Company’s projected</w:t>
      </w:r>
      <w:r>
        <w:t xml:space="preserve"> incremental load. The analysis determined that Mississippi Power Company </w:t>
      </w:r>
      <w:r w:rsidR="0055606E">
        <w:t xml:space="preserve">PPA </w:t>
      </w:r>
      <w:r>
        <w:t>can be accommodated along with the PPA for capacity and energy from the Santa Rosa combined cycle facility with no required transmission project upgrades.</w:t>
      </w:r>
      <w:r w:rsidR="007054EA">
        <w:t xml:space="preserve"> Additionally, the Company </w:t>
      </w:r>
      <w:r w:rsidR="008A764F">
        <w:t xml:space="preserve">determined that the proposed 200 </w:t>
      </w:r>
      <w:r w:rsidR="007054EA">
        <w:t xml:space="preserve">MW of solar </w:t>
      </w:r>
      <w:r w:rsidR="008A764F">
        <w:t xml:space="preserve">co-located with </w:t>
      </w:r>
      <w:r w:rsidR="007054EA">
        <w:t xml:space="preserve">200 MW of BESS </w:t>
      </w:r>
      <w:r w:rsidR="008A764F">
        <w:t xml:space="preserve">did not require any </w:t>
      </w:r>
      <w:r w:rsidR="007054EA">
        <w:t xml:space="preserve">transmission projects to accommodate the facility’s full output.  </w:t>
      </w:r>
      <w:r>
        <w:t xml:space="preserve"> The initial transmission screens to fully deliver </w:t>
      </w:r>
      <w:r w:rsidR="007C52DC">
        <w:t>the</w:t>
      </w:r>
      <w:r>
        <w:t xml:space="preserve"> combustion turbines proposed at Plant Yates revealed </w:t>
      </w:r>
      <w:r w:rsidRPr="005851D7">
        <w:t>approximately $80 million</w:t>
      </w:r>
      <w:r>
        <w:t xml:space="preserve"> in additional transmission upgrades to accommodate the full capacity of the facility. </w:t>
      </w:r>
      <w:r w:rsidRPr="045DBEBA">
        <w:t>The transmission options considered in developing the proposed solution w</w:t>
      </w:r>
      <w:r w:rsidR="56955D04" w:rsidRPr="045DBEBA">
        <w:t>ere</w:t>
      </w:r>
      <w:r w:rsidRPr="045DBEBA">
        <w:t xml:space="preserve"> limited only to “the use of operating guides, </w:t>
      </w:r>
      <w:r w:rsidRPr="045DBEBA">
        <w:lastRenderedPageBreak/>
        <w:t>generation redispatch, and transmission line rebuilds/reconductors to alleviate identified constraints.</w:t>
      </w:r>
      <w:r w:rsidR="5CE012E8" w:rsidRPr="045DBEBA">
        <w:t>"</w:t>
      </w:r>
      <w:r w:rsidRPr="045DBEBA">
        <w:rPr>
          <w:rStyle w:val="FootnoteReference"/>
        </w:rPr>
        <w:footnoteReference w:id="14"/>
      </w:r>
      <w:r>
        <w:t xml:space="preserve"> </w:t>
      </w:r>
    </w:p>
    <w:p w14:paraId="363D3133" w14:textId="4ED679D8" w:rsidR="003D0BFB" w:rsidRPr="00386453" w:rsidRDefault="003D0BFB" w:rsidP="00386453">
      <w:pPr>
        <w:pStyle w:val="Heading1"/>
        <w:ind w:left="720" w:hanging="720"/>
      </w:pPr>
      <w:bookmarkStart w:id="10" w:name="_Toc158741865"/>
      <w:r w:rsidRPr="00386453">
        <w:t>DISCUSSION OF UPDATED TRANSMISSION ANALYSIS AND RESULTS</w:t>
      </w:r>
      <w:bookmarkEnd w:id="10"/>
      <w:r w:rsidRPr="00386453">
        <w:t xml:space="preserve"> </w:t>
      </w:r>
    </w:p>
    <w:p w14:paraId="64954093" w14:textId="77777777" w:rsidR="003D0BFB" w:rsidRPr="00476E90" w:rsidRDefault="003D0BFB" w:rsidP="003D0BFB">
      <w:pPr>
        <w:pStyle w:val="Question"/>
      </w:pPr>
      <w:r w:rsidRPr="007F29D4">
        <w:t>Q.</w:t>
      </w:r>
      <w:r w:rsidRPr="007F29D4">
        <w:tab/>
      </w:r>
      <w:r>
        <w:t>CAN YOU DESCRIBE THE SUPPLEMENTAL ANALYSIS THAT WAS FILED IN JANUARY 2024?</w:t>
      </w:r>
    </w:p>
    <w:p w14:paraId="7D4A207F" w14:textId="575F6570" w:rsidR="003D0BFB" w:rsidRDefault="003D0BFB" w:rsidP="00EC5362">
      <w:pPr>
        <w:pStyle w:val="Answers"/>
      </w:pPr>
      <w:r w:rsidRPr="003D0BFB">
        <w:t>A.</w:t>
      </w:r>
      <w:r w:rsidRPr="003D0BFB">
        <w:tab/>
        <w:t>The Supplemental analysis</w:t>
      </w:r>
      <w:r w:rsidR="00E926C6">
        <w:t>,</w:t>
      </w:r>
      <w:r w:rsidRPr="003D0BFB">
        <w:t xml:space="preserve"> filed on January 12, 2024, </w:t>
      </w:r>
      <w:r w:rsidR="00D9454B">
        <w:t xml:space="preserve">provided </w:t>
      </w:r>
      <w:r w:rsidR="00396BCB">
        <w:t>more power</w:t>
      </w:r>
      <w:r w:rsidR="00A715B7">
        <w:t xml:space="preserve"> </w:t>
      </w:r>
      <w:r w:rsidR="00396BCB">
        <w:t xml:space="preserve">flow analysis on </w:t>
      </w:r>
      <w:r w:rsidR="00D9454B">
        <w:t xml:space="preserve">additional cases to reflect the 2023 </w:t>
      </w:r>
      <w:r w:rsidR="00396BCB">
        <w:t>IRP Update</w:t>
      </w:r>
      <w:r w:rsidR="00D9454B">
        <w:t xml:space="preserve"> load forecast. In addition to the case modeling committed loads, the supplemental analysis added roughly </w:t>
      </w:r>
      <w:r w:rsidR="008764D3" w:rsidRPr="008764D3">
        <w:rPr>
          <w:highlight w:val="black"/>
        </w:rPr>
        <w:t>XXXXX</w:t>
      </w:r>
      <w:r w:rsidR="00D9454B">
        <w:t xml:space="preserve"> additional load </w:t>
      </w:r>
      <w:r w:rsidR="79DBDA04">
        <w:t>for</w:t>
      </w:r>
      <w:r w:rsidR="00D9454B">
        <w:t xml:space="preserve"> a total of nearly </w:t>
      </w:r>
      <w:r w:rsidR="008764D3" w:rsidRPr="008764D3">
        <w:rPr>
          <w:highlight w:val="black"/>
        </w:rPr>
        <w:t>XXXXX</w:t>
      </w:r>
      <w:r w:rsidR="00D9454B">
        <w:t xml:space="preserve"> of load growth</w:t>
      </w:r>
      <w:r w:rsidRPr="003D0BFB">
        <w:t xml:space="preserve">. The supplemental filing evaluated the </w:t>
      </w:r>
      <w:r w:rsidR="002A7F9A">
        <w:t xml:space="preserve">same </w:t>
      </w:r>
      <w:r w:rsidRPr="003D0BFB">
        <w:t>portfolio of generation resources included in the 2023 IRP update</w:t>
      </w:r>
      <w:r w:rsidR="001870BC">
        <w:t>.</w:t>
      </w:r>
      <w:r w:rsidRPr="003D0BFB">
        <w:t xml:space="preserve"> </w:t>
      </w:r>
    </w:p>
    <w:p w14:paraId="1FCDAE56" w14:textId="4829371D" w:rsidR="003D0BFB" w:rsidRDefault="003D0BFB" w:rsidP="00EC5362">
      <w:pPr>
        <w:pStyle w:val="Answers"/>
      </w:pPr>
      <w:r>
        <w:tab/>
      </w:r>
      <w:r w:rsidR="00D9454B" w:rsidRPr="003D0BFB">
        <w:t xml:space="preserve">According to the updated Supplemental Filing as filed on January 12, 2024, the transmission planning analysis was performed for the years 2024 through 2033. The study </w:t>
      </w:r>
      <w:r w:rsidR="00D9454B" w:rsidRPr="005851D7">
        <w:t xml:space="preserve">was performed using 2023 version 2 load flow cases with different </w:t>
      </w:r>
      <w:r w:rsidR="00E54801" w:rsidRPr="005851D7">
        <w:t xml:space="preserve">seasonal </w:t>
      </w:r>
      <w:r w:rsidR="00D9454B" w:rsidRPr="005851D7">
        <w:t>case</w:t>
      </w:r>
      <w:r w:rsidR="00E54801" w:rsidRPr="005851D7">
        <w:t>s</w:t>
      </w:r>
      <w:r w:rsidR="00D9454B" w:rsidRPr="005851D7">
        <w:t>: Summer- Peak, Off-Peak and Daylight Shoulder. The</w:t>
      </w:r>
      <w:r w:rsidR="00D9454B" w:rsidRPr="003D0BFB">
        <w:t xml:space="preserve"> load level included in the 2023 version 2 base cases was </w:t>
      </w:r>
      <w:r w:rsidR="008764D3" w:rsidRPr="008764D3">
        <w:rPr>
          <w:highlight w:val="black"/>
        </w:rPr>
        <w:t>XXXXXX</w:t>
      </w:r>
      <w:r w:rsidR="2B3D451D">
        <w:t xml:space="preserve"> </w:t>
      </w:r>
      <w:r w:rsidR="00D9454B" w:rsidRPr="003D0BFB">
        <w:t xml:space="preserve">and the 2023 IRP Update forecasts </w:t>
      </w:r>
      <w:r w:rsidR="008764D3" w:rsidRPr="008764D3">
        <w:rPr>
          <w:highlight w:val="black"/>
        </w:rPr>
        <w:t>XXXXXX</w:t>
      </w:r>
      <w:r w:rsidR="2699712A" w:rsidRPr="003D0BFB">
        <w:t xml:space="preserve"> </w:t>
      </w:r>
      <w:r w:rsidR="00D9454B" w:rsidRPr="003D0BFB">
        <w:t xml:space="preserve">of load levels including committed and potential customer choice loads. </w:t>
      </w:r>
      <w:r w:rsidRPr="003D0BFB">
        <w:t xml:space="preserve"> </w:t>
      </w:r>
    </w:p>
    <w:p w14:paraId="3A9BE0E8" w14:textId="620F2E27" w:rsidR="005B699E" w:rsidRPr="00476E90" w:rsidRDefault="007F5759" w:rsidP="005B699E">
      <w:pPr>
        <w:pStyle w:val="Question"/>
      </w:pPr>
      <w:r w:rsidRPr="007F29D4">
        <w:lastRenderedPageBreak/>
        <w:t>Q.</w:t>
      </w:r>
      <w:r w:rsidRPr="007F29D4">
        <w:tab/>
      </w:r>
      <w:r w:rsidR="003E1628">
        <w:t>FOR THOSE UNITS ASSUMED TO HAVE LIFE EXTENSIONs, WERE THEY also DISPATCHED IN the january analysis?</w:t>
      </w:r>
    </w:p>
    <w:p w14:paraId="382882BC" w14:textId="0DAB0C51" w:rsidR="007F5759" w:rsidRPr="003D0BFB" w:rsidRDefault="005B699E" w:rsidP="00EC5362">
      <w:pPr>
        <w:pStyle w:val="Answers"/>
      </w:pPr>
      <w:r w:rsidRPr="00C13F40">
        <w:rPr>
          <w:rFonts w:cs="Times New Roman"/>
        </w:rPr>
        <w:t>A.</w:t>
      </w:r>
      <w:r w:rsidRPr="00C13F40">
        <w:rPr>
          <w:rFonts w:cs="Times New Roman"/>
        </w:rPr>
        <w:tab/>
      </w:r>
      <w:r w:rsidR="003E1628">
        <w:rPr>
          <w:rFonts w:cs="Times New Roman"/>
        </w:rPr>
        <w:t xml:space="preserve">Yes, at least some of them were. </w:t>
      </w:r>
      <w:r w:rsidR="00F445D3">
        <w:rPr>
          <w:rFonts w:cs="Times New Roman"/>
        </w:rPr>
        <w:t xml:space="preserve">For example, </w:t>
      </w:r>
      <w:r w:rsidR="008764D3" w:rsidRPr="008764D3">
        <w:rPr>
          <w:rFonts w:cs="Times New Roman"/>
          <w:highlight w:val="black"/>
        </w:rPr>
        <w:t xml:space="preserve">XXXXXXXXXXXXXXXXXXXXXXXX </w:t>
      </w:r>
      <w:r w:rsidR="008764D3" w:rsidRPr="008764D3">
        <w:rPr>
          <w:highlight w:val="black"/>
        </w:rPr>
        <w:t>XXXXXXXXXXXXXXXXXXXXXXXXXXXXXXXXXXXXXXXXXXXXXXXXXXXXXXXXXXXXXXXXXXXXXXXXXXXXXXXXXXXXXXXXXXXXXXXXXXXXXXXXXXXXXXXXXXXXXXXXXXXXXXXXXXXXXXXXXXXXXXXXXXXXXXXXXXXXXXXXXXXXXXXXXXXXXXXXXXXXXXXXXXXXXXXXXXXXXXXXXXXXXXXXXXXXXXXXXXXXXXXXXXXXXX</w:t>
      </w:r>
    </w:p>
    <w:p w14:paraId="30A5D902" w14:textId="77777777" w:rsidR="003D0BFB" w:rsidRPr="00476E90" w:rsidRDefault="003D0BFB" w:rsidP="003D0BFB">
      <w:pPr>
        <w:pStyle w:val="Question"/>
      </w:pPr>
      <w:r w:rsidRPr="045DBEBA">
        <w:t>Q.</w:t>
      </w:r>
      <w:r>
        <w:tab/>
      </w:r>
      <w:r w:rsidRPr="045DBEBA">
        <w:t>PLEASE DESCRIBE THE RESULTS OF THE JANUARY ANALYSIS.</w:t>
      </w:r>
    </w:p>
    <w:p w14:paraId="50E6E132" w14:textId="7C21E4D9" w:rsidR="00D9454B" w:rsidRDefault="003D0BFB" w:rsidP="00EC5362">
      <w:pPr>
        <w:pStyle w:val="Answers"/>
      </w:pPr>
      <w:r w:rsidRPr="003D0BFB">
        <w:t>A.</w:t>
      </w:r>
      <w:r w:rsidRPr="003D0BFB">
        <w:tab/>
      </w:r>
      <w:r w:rsidR="00D9454B">
        <w:t>In t</w:t>
      </w:r>
      <w:r w:rsidRPr="003D0BFB">
        <w:t xml:space="preserve">he Supplemental Filing </w:t>
      </w:r>
      <w:r w:rsidR="00D9454B">
        <w:t>the Company reaffirmed its position that</w:t>
      </w:r>
      <w:r w:rsidRPr="003D0BFB">
        <w:t xml:space="preserve"> the PPAs with Mississippi Power and Santa Rosa Energy Center can be accommodated without any transmission </w:t>
      </w:r>
      <w:r w:rsidRPr="005851D7">
        <w:t xml:space="preserve">upgrades.  A $19,334,000 reduction </w:t>
      </w:r>
      <w:r w:rsidR="076496B0" w:rsidRPr="005851D7">
        <w:rPr>
          <w:rFonts w:ascii="Calibri" w:eastAsia="Calibri" w:hAnsi="Calibri"/>
          <w:sz w:val="22"/>
          <w:szCs w:val="22"/>
        </w:rPr>
        <w:t>from $79,204,000 to $59,870,000</w:t>
      </w:r>
      <w:r w:rsidRPr="005851D7">
        <w:t xml:space="preserve"> in</w:t>
      </w:r>
      <w:r w:rsidRPr="003D0BFB">
        <w:t xml:space="preserve"> the transmission upgrades cost attributable to </w:t>
      </w:r>
      <w:r w:rsidR="487BD63E">
        <w:t xml:space="preserve">the </w:t>
      </w:r>
      <w:r>
        <w:t>Yates</w:t>
      </w:r>
      <w:r w:rsidRPr="003D0BFB">
        <w:t xml:space="preserve"> CTs was noted from </w:t>
      </w:r>
      <w:r w:rsidR="003E1628">
        <w:t xml:space="preserve">Transmission Screening Analysis filed as part of </w:t>
      </w:r>
      <w:r w:rsidRPr="003D0BFB">
        <w:t xml:space="preserve">the 2023 IRP update. </w:t>
      </w:r>
      <w:r w:rsidR="00D9454B">
        <w:t>This change was not the result of any change in solution</w:t>
      </w:r>
      <w:r w:rsidR="00D9454B" w:rsidRPr="003D0BFB">
        <w:t xml:space="preserve">, but rather a correction in the amount of cost attributable to the Yates CT </w:t>
      </w:r>
      <w:r w:rsidR="00D9454B">
        <w:t>generation</w:t>
      </w:r>
      <w:r w:rsidR="00D9454B" w:rsidRPr="003D0BFB">
        <w:t xml:space="preserve">. Some of the Yates Attributable Transmission Projects were previously identified in the Company’s Ten-Year Plan, so the cost of these projects attributable to the Yates CT request is the cost of accelerating the projects </w:t>
      </w:r>
      <w:r w:rsidR="00D9454B">
        <w:t xml:space="preserve">that </w:t>
      </w:r>
      <w:r w:rsidR="17539378">
        <w:t>are</w:t>
      </w:r>
      <w:r w:rsidR="00D9454B">
        <w:t xml:space="preserve"> being proposed by the Company. </w:t>
      </w:r>
    </w:p>
    <w:p w14:paraId="7F18716E" w14:textId="48C2056A" w:rsidR="003D0BFB" w:rsidRPr="003D0BFB" w:rsidRDefault="00D9454B" w:rsidP="00EC5362">
      <w:pPr>
        <w:pStyle w:val="Answers"/>
      </w:pPr>
      <w:r>
        <w:tab/>
      </w:r>
      <w:r w:rsidR="00E926C6">
        <w:tab/>
      </w:r>
      <w:r>
        <w:t>The analysis also determined that the</w:t>
      </w:r>
      <w:r w:rsidR="003D0BFB" w:rsidRPr="003D0BFB">
        <w:t xml:space="preserve"> Yates CTs will be limited to 600 MW of firm output until the required transmission upgrades are in service by the summer of 2028. </w:t>
      </w:r>
      <w:r w:rsidR="003D0BFB" w:rsidRPr="003D0BFB">
        <w:lastRenderedPageBreak/>
        <w:t xml:space="preserve">Additionally, the updated analysis limits the </w:t>
      </w:r>
      <w:r w:rsidR="008764D3" w:rsidRPr="008764D3">
        <w:rPr>
          <w:highlight w:val="black"/>
        </w:rPr>
        <w:t>XXXXXX</w:t>
      </w:r>
      <w:r w:rsidR="003D0BFB" w:rsidRPr="003D0BFB">
        <w:t xml:space="preserve"> BESS &amp; Solar project to 200 MW output until the summer of 2029 when all prior planned transmission projects are in service. </w:t>
      </w:r>
    </w:p>
    <w:p w14:paraId="67C47801" w14:textId="77777777" w:rsidR="003D0BFB" w:rsidRPr="00107267" w:rsidRDefault="003D0BFB" w:rsidP="003D0BFB">
      <w:pPr>
        <w:spacing w:line="480" w:lineRule="auto"/>
        <w:ind w:left="720" w:hanging="720"/>
        <w:rPr>
          <w:rFonts w:ascii="Times New Roman" w:hAnsi="Times New Roman"/>
          <w:sz w:val="24"/>
          <w:szCs w:val="24"/>
        </w:rPr>
      </w:pPr>
    </w:p>
    <w:p w14:paraId="773C9FB1" w14:textId="336CDF11" w:rsidR="003D0BFB" w:rsidRPr="00386453" w:rsidRDefault="003D0BFB" w:rsidP="00386453">
      <w:pPr>
        <w:pStyle w:val="Heading1"/>
        <w:ind w:left="720" w:hanging="720"/>
      </w:pPr>
      <w:bookmarkStart w:id="11" w:name="_Toc158741866"/>
      <w:r w:rsidRPr="00386453">
        <w:t>DISCUSSION OF TRANSMISSION ANALYSIS AND TRANSMISSION UPGRADES FOR PLANT YATES</w:t>
      </w:r>
      <w:bookmarkEnd w:id="11"/>
    </w:p>
    <w:p w14:paraId="341533B6" w14:textId="7B3EA34E" w:rsidR="003D0BFB" w:rsidRDefault="003D0BFB" w:rsidP="003D0BFB">
      <w:pPr>
        <w:pStyle w:val="Question"/>
      </w:pPr>
      <w:r>
        <w:t>Q.</w:t>
      </w:r>
      <w:r>
        <w:tab/>
        <w:t xml:space="preserve">PLEASE LIST THE TRANSMISSION PROJECTS </w:t>
      </w:r>
      <w:r w:rsidR="45B28D24">
        <w:t>ASSOCIATED WITH BRINGING THE THREE COMBUSTION TURBINES ONLINE AT pLANT</w:t>
      </w:r>
      <w:r>
        <w:t xml:space="preserve"> YATES.</w:t>
      </w:r>
    </w:p>
    <w:p w14:paraId="7B5D1CE4" w14:textId="10D1D126" w:rsidR="34ADECF8" w:rsidRDefault="003D0BFB" w:rsidP="00EC5362">
      <w:pPr>
        <w:pStyle w:val="Answers"/>
      </w:pPr>
      <w:r>
        <w:t>A.</w:t>
      </w:r>
      <w:r>
        <w:tab/>
        <w:t xml:space="preserve">As </w:t>
      </w:r>
      <w:r w:rsidR="0018634D">
        <w:t xml:space="preserve">provided </w:t>
      </w:r>
      <w:r>
        <w:t xml:space="preserve">in response to STF-DEA-4-1, the following projects </w:t>
      </w:r>
      <w:r w:rsidR="5C2FAA34">
        <w:t xml:space="preserve">were identified as being required to support the deliverability </w:t>
      </w:r>
      <w:r w:rsidR="5C2FAA34" w:rsidRPr="005851D7">
        <w:t>of the 1</w:t>
      </w:r>
      <w:r w:rsidR="000E44C3" w:rsidRPr="005851D7">
        <w:t>,</w:t>
      </w:r>
      <w:r w:rsidR="5C2FAA34" w:rsidRPr="005851D7">
        <w:t>350 MW of</w:t>
      </w:r>
      <w:r w:rsidR="5C2FAA34">
        <w:t xml:space="preserve"> capacity from the Plant Yates turbines</w:t>
      </w:r>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4590"/>
        <w:gridCol w:w="1590"/>
        <w:gridCol w:w="1110"/>
        <w:gridCol w:w="1095"/>
      </w:tblGrid>
      <w:tr w:rsidR="003D0BFB" w:rsidRPr="00C00D71" w14:paraId="130A561C" w14:textId="77777777" w:rsidTr="008B37B3">
        <w:trPr>
          <w:trHeight w:val="489"/>
        </w:trPr>
        <w:tc>
          <w:tcPr>
            <w:tcW w:w="975" w:type="dxa"/>
            <w:tcBorders>
              <w:top w:val="single" w:sz="4" w:space="0" w:color="auto"/>
              <w:left w:val="single" w:sz="4" w:space="0" w:color="auto"/>
              <w:bottom w:val="single" w:sz="4" w:space="0" w:color="auto"/>
              <w:right w:val="single" w:sz="4" w:space="0" w:color="auto"/>
            </w:tcBorders>
            <w:vAlign w:val="center"/>
          </w:tcPr>
          <w:p w14:paraId="742FB1A8" w14:textId="62719C50" w:rsidR="3D342E8A" w:rsidRPr="00047407" w:rsidRDefault="3D342E8A" w:rsidP="34ADECF8">
            <w:pPr>
              <w:jc w:val="center"/>
              <w:rPr>
                <w:rFonts w:cs="Calibri"/>
                <w:b/>
                <w:sz w:val="20"/>
                <w:szCs w:val="20"/>
              </w:rPr>
            </w:pPr>
            <w:r w:rsidRPr="00047407">
              <w:rPr>
                <w:rFonts w:cs="Calibri"/>
                <w:b/>
                <w:sz w:val="20"/>
                <w:szCs w:val="20"/>
              </w:rPr>
              <w:t>Project #</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47FE421" w14:textId="0834D0B9" w:rsidR="003D0BFB" w:rsidRPr="00C00D71" w:rsidRDefault="003D0BFB" w:rsidP="00E04312">
            <w:pPr>
              <w:jc w:val="center"/>
              <w:rPr>
                <w:rFonts w:cs="Calibri"/>
                <w:b/>
                <w:bCs/>
                <w:sz w:val="20"/>
                <w:szCs w:val="20"/>
                <w:highlight w:val="yellow"/>
              </w:rPr>
            </w:pPr>
            <w:r w:rsidRPr="008764D3">
              <w:rPr>
                <w:rFonts w:cs="Calibri"/>
                <w:b/>
                <w:bCs/>
                <w:sz w:val="20"/>
                <w:szCs w:val="20"/>
              </w:rPr>
              <w:t>Project</w:t>
            </w:r>
            <w:r w:rsidR="431692CC" w:rsidRPr="008764D3">
              <w:rPr>
                <w:rFonts w:cs="Calibri"/>
                <w:b/>
                <w:bCs/>
                <w:sz w:val="20"/>
                <w:szCs w:val="20"/>
              </w:rPr>
              <w:t xml:space="preserve"> Description</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95F7F9C" w14:textId="77777777" w:rsidR="003D0BFB" w:rsidRPr="00047407" w:rsidRDefault="003D0BFB" w:rsidP="00E04312">
            <w:pPr>
              <w:jc w:val="center"/>
              <w:rPr>
                <w:rFonts w:cs="Calibri"/>
                <w:b/>
                <w:sz w:val="20"/>
                <w:szCs w:val="20"/>
              </w:rPr>
            </w:pPr>
            <w:r w:rsidRPr="00047407">
              <w:rPr>
                <w:rFonts w:cs="Calibri"/>
                <w:b/>
                <w:sz w:val="20"/>
                <w:szCs w:val="20"/>
              </w:rPr>
              <w:t>Planning Grade Estimate</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FAF514D" w14:textId="77777777" w:rsidR="003D0BFB" w:rsidRPr="00047407" w:rsidRDefault="003D0BFB" w:rsidP="00E04312">
            <w:pPr>
              <w:jc w:val="center"/>
              <w:rPr>
                <w:rFonts w:cs="Calibri"/>
                <w:b/>
                <w:sz w:val="20"/>
                <w:szCs w:val="20"/>
              </w:rPr>
            </w:pPr>
            <w:r w:rsidRPr="00047407">
              <w:rPr>
                <w:rFonts w:cs="Calibri"/>
                <w:b/>
                <w:sz w:val="20"/>
                <w:szCs w:val="20"/>
              </w:rPr>
              <w:t>Lead – Time</w:t>
            </w:r>
          </w:p>
          <w:p w14:paraId="23CEB158" w14:textId="77777777" w:rsidR="003D0BFB" w:rsidRPr="00047407" w:rsidRDefault="003D0BFB" w:rsidP="00E04312">
            <w:pPr>
              <w:jc w:val="center"/>
              <w:rPr>
                <w:rFonts w:cs="Calibri"/>
                <w:b/>
                <w:sz w:val="20"/>
                <w:szCs w:val="20"/>
              </w:rPr>
            </w:pPr>
            <w:r w:rsidRPr="00047407">
              <w:rPr>
                <w:rFonts w:cs="Calibri"/>
                <w:b/>
                <w:sz w:val="20"/>
                <w:szCs w:val="20"/>
              </w:rPr>
              <w:t>(months)</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B76438D" w14:textId="77777777" w:rsidR="003D0BFB" w:rsidRPr="00047407" w:rsidRDefault="003D0BFB" w:rsidP="00E04312">
            <w:pPr>
              <w:jc w:val="center"/>
              <w:rPr>
                <w:rFonts w:cs="Calibri"/>
                <w:b/>
                <w:sz w:val="20"/>
                <w:szCs w:val="20"/>
              </w:rPr>
            </w:pPr>
            <w:r w:rsidRPr="00047407">
              <w:rPr>
                <w:rFonts w:cs="Calibri"/>
                <w:b/>
                <w:sz w:val="20"/>
                <w:szCs w:val="20"/>
              </w:rPr>
              <w:t>Need Date</w:t>
            </w:r>
          </w:p>
        </w:tc>
      </w:tr>
      <w:tr w:rsidR="003D0BFB" w:rsidRPr="00C00D71" w14:paraId="2E9FCAC4"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vAlign w:val="center"/>
          </w:tcPr>
          <w:p w14:paraId="53E8FEF6" w14:textId="3B205D76" w:rsidR="079EFCB8" w:rsidRPr="00047407" w:rsidRDefault="079EFCB8" w:rsidP="34ADECF8">
            <w:pPr>
              <w:jc w:val="center"/>
              <w:rPr>
                <w:rFonts w:cs="Calibri"/>
                <w:sz w:val="20"/>
                <w:szCs w:val="20"/>
              </w:rPr>
            </w:pPr>
            <w:r w:rsidRPr="00047407">
              <w:rPr>
                <w:rFonts w:cs="Calibri"/>
                <w:sz w:val="20"/>
                <w:szCs w:val="20"/>
              </w:rPr>
              <w:t>P1</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E963A81" w14:textId="442A3586"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44F2188" w14:textId="2F8414EB"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AC640DC" w14:textId="77777777" w:rsidR="003D0BFB" w:rsidRPr="00047407" w:rsidRDefault="003D0BFB" w:rsidP="00E04312">
            <w:pPr>
              <w:jc w:val="center"/>
              <w:rPr>
                <w:rFonts w:cs="Calibri"/>
                <w:sz w:val="20"/>
                <w:szCs w:val="20"/>
              </w:rPr>
            </w:pPr>
            <w:r w:rsidRPr="00047407">
              <w:rPr>
                <w:rFonts w:cs="Calibri"/>
                <w:sz w:val="20"/>
                <w:szCs w:val="20"/>
              </w:rPr>
              <w:t>48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2B32BB1" w14:textId="77777777" w:rsidR="003D0BFB" w:rsidRPr="00047407" w:rsidRDefault="003D0BFB" w:rsidP="00E04312">
            <w:pPr>
              <w:jc w:val="center"/>
              <w:rPr>
                <w:rFonts w:cs="Calibri"/>
                <w:sz w:val="20"/>
                <w:szCs w:val="20"/>
              </w:rPr>
            </w:pPr>
            <w:r w:rsidRPr="00047407">
              <w:rPr>
                <w:rFonts w:cs="Calibri"/>
                <w:sz w:val="20"/>
                <w:szCs w:val="20"/>
              </w:rPr>
              <w:t>11/2026</w:t>
            </w:r>
          </w:p>
        </w:tc>
      </w:tr>
      <w:tr w:rsidR="003D0BFB" w:rsidRPr="00C00D71" w14:paraId="5A9D17FB"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tcPr>
          <w:p w14:paraId="1A94B22D" w14:textId="57213941" w:rsidR="54AE0784" w:rsidRPr="00047407" w:rsidRDefault="54AE0784" w:rsidP="34ADECF8">
            <w:pPr>
              <w:jc w:val="center"/>
              <w:rPr>
                <w:rFonts w:cs="Calibri"/>
                <w:sz w:val="20"/>
                <w:szCs w:val="20"/>
              </w:rPr>
            </w:pPr>
            <w:r w:rsidRPr="00047407">
              <w:rPr>
                <w:rFonts w:cs="Calibri"/>
                <w:sz w:val="20"/>
                <w:szCs w:val="20"/>
              </w:rPr>
              <w:t>P2</w:t>
            </w:r>
          </w:p>
        </w:tc>
        <w:tc>
          <w:tcPr>
            <w:tcW w:w="4590" w:type="dxa"/>
            <w:tcBorders>
              <w:top w:val="single" w:sz="4" w:space="0" w:color="auto"/>
              <w:left w:val="single" w:sz="4" w:space="0" w:color="auto"/>
              <w:bottom w:val="single" w:sz="4" w:space="0" w:color="auto"/>
              <w:right w:val="single" w:sz="4" w:space="0" w:color="auto"/>
            </w:tcBorders>
            <w:hideMark/>
          </w:tcPr>
          <w:p w14:paraId="43329427" w14:textId="71B2E44C"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66A6993" w14:textId="4D26A562"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60D1DE" w14:textId="77777777" w:rsidR="003D0BFB" w:rsidRPr="00047407" w:rsidRDefault="003D0BFB" w:rsidP="00E04312">
            <w:pPr>
              <w:jc w:val="center"/>
              <w:rPr>
                <w:rFonts w:cs="Calibri"/>
                <w:sz w:val="20"/>
                <w:szCs w:val="20"/>
              </w:rPr>
            </w:pPr>
            <w:r w:rsidRPr="00047407">
              <w:rPr>
                <w:rFonts w:cs="Calibri"/>
                <w:sz w:val="20"/>
                <w:szCs w:val="20"/>
              </w:rPr>
              <w:t>48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C600499" w14:textId="77777777" w:rsidR="003D0BFB" w:rsidRPr="00047407" w:rsidRDefault="003D0BFB" w:rsidP="00E04312">
            <w:pPr>
              <w:jc w:val="center"/>
              <w:rPr>
                <w:rFonts w:cs="Calibri"/>
                <w:sz w:val="20"/>
                <w:szCs w:val="20"/>
              </w:rPr>
            </w:pPr>
            <w:r w:rsidRPr="00047407">
              <w:rPr>
                <w:rFonts w:cs="Calibri"/>
                <w:sz w:val="20"/>
                <w:szCs w:val="20"/>
              </w:rPr>
              <w:t>5/2027</w:t>
            </w:r>
          </w:p>
        </w:tc>
      </w:tr>
      <w:tr w:rsidR="003D0BFB" w:rsidRPr="00C00D71" w14:paraId="4305A93E"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tcPr>
          <w:p w14:paraId="22EF32D3" w14:textId="7AFF5E6D" w:rsidR="0328381D" w:rsidRPr="00047407" w:rsidRDefault="0328381D" w:rsidP="34ADECF8">
            <w:pPr>
              <w:jc w:val="center"/>
              <w:rPr>
                <w:rFonts w:cs="Calibri"/>
                <w:sz w:val="20"/>
                <w:szCs w:val="20"/>
              </w:rPr>
            </w:pPr>
            <w:r w:rsidRPr="00047407">
              <w:rPr>
                <w:rFonts w:cs="Calibri"/>
                <w:sz w:val="20"/>
                <w:szCs w:val="20"/>
              </w:rPr>
              <w:t>P3</w:t>
            </w:r>
          </w:p>
        </w:tc>
        <w:tc>
          <w:tcPr>
            <w:tcW w:w="4590" w:type="dxa"/>
            <w:tcBorders>
              <w:top w:val="single" w:sz="4" w:space="0" w:color="auto"/>
              <w:left w:val="single" w:sz="4" w:space="0" w:color="auto"/>
              <w:bottom w:val="single" w:sz="4" w:space="0" w:color="auto"/>
              <w:right w:val="single" w:sz="4" w:space="0" w:color="auto"/>
            </w:tcBorders>
            <w:hideMark/>
          </w:tcPr>
          <w:p w14:paraId="57ADCD14" w14:textId="5C0339D1"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1A14A63" w14:textId="1B2DBA94"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3AF94CD" w14:textId="77777777" w:rsidR="003D0BFB" w:rsidRPr="00047407" w:rsidRDefault="003D0BFB" w:rsidP="00E04312">
            <w:pPr>
              <w:jc w:val="center"/>
              <w:rPr>
                <w:rFonts w:cs="Calibri"/>
                <w:sz w:val="20"/>
                <w:szCs w:val="20"/>
              </w:rPr>
            </w:pPr>
            <w:r w:rsidRPr="00047407">
              <w:rPr>
                <w:rFonts w:cs="Calibri"/>
                <w:sz w:val="20"/>
                <w:szCs w:val="20"/>
              </w:rPr>
              <w:t>24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1EC5855" w14:textId="77777777" w:rsidR="003D0BFB" w:rsidRPr="00047407" w:rsidRDefault="003D0BFB" w:rsidP="00E04312">
            <w:pPr>
              <w:jc w:val="center"/>
              <w:rPr>
                <w:rFonts w:cs="Calibri"/>
                <w:sz w:val="20"/>
                <w:szCs w:val="20"/>
              </w:rPr>
            </w:pPr>
            <w:r w:rsidRPr="00047407">
              <w:rPr>
                <w:rFonts w:cs="Calibri"/>
                <w:sz w:val="20"/>
                <w:szCs w:val="20"/>
              </w:rPr>
              <w:t>5/2027</w:t>
            </w:r>
          </w:p>
        </w:tc>
      </w:tr>
      <w:tr w:rsidR="003D0BFB" w:rsidRPr="00C00D71" w14:paraId="54C8BA3A"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tcPr>
          <w:p w14:paraId="4D7F3813" w14:textId="46B4B0A3" w:rsidR="6A3F4D2C" w:rsidRPr="00047407" w:rsidRDefault="6A3F4D2C" w:rsidP="34ADECF8">
            <w:pPr>
              <w:jc w:val="center"/>
              <w:rPr>
                <w:rFonts w:cs="Calibri"/>
                <w:sz w:val="20"/>
                <w:szCs w:val="20"/>
              </w:rPr>
            </w:pPr>
            <w:r w:rsidRPr="00047407">
              <w:rPr>
                <w:rFonts w:cs="Calibri"/>
                <w:sz w:val="20"/>
                <w:szCs w:val="20"/>
              </w:rPr>
              <w:t>P4</w:t>
            </w:r>
          </w:p>
        </w:tc>
        <w:tc>
          <w:tcPr>
            <w:tcW w:w="4590" w:type="dxa"/>
            <w:tcBorders>
              <w:top w:val="single" w:sz="4" w:space="0" w:color="auto"/>
              <w:left w:val="single" w:sz="4" w:space="0" w:color="auto"/>
              <w:bottom w:val="single" w:sz="4" w:space="0" w:color="auto"/>
              <w:right w:val="single" w:sz="4" w:space="0" w:color="auto"/>
            </w:tcBorders>
            <w:hideMark/>
          </w:tcPr>
          <w:p w14:paraId="4B3A8CBC" w14:textId="4B4FEE7D"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035E0A4" w14:textId="12FDAE64"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DF7ACF9" w14:textId="77777777" w:rsidR="003D0BFB" w:rsidRPr="00047407" w:rsidRDefault="003D0BFB" w:rsidP="00E04312">
            <w:pPr>
              <w:jc w:val="center"/>
              <w:rPr>
                <w:rFonts w:cs="Calibri"/>
                <w:sz w:val="20"/>
                <w:szCs w:val="20"/>
              </w:rPr>
            </w:pPr>
            <w:r w:rsidRPr="00047407">
              <w:rPr>
                <w:rFonts w:cs="Calibri"/>
                <w:sz w:val="20"/>
                <w:szCs w:val="20"/>
              </w:rPr>
              <w:t>48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1B3AB8B" w14:textId="77777777" w:rsidR="003D0BFB" w:rsidRPr="00047407" w:rsidRDefault="003D0BFB" w:rsidP="00E04312">
            <w:pPr>
              <w:jc w:val="center"/>
              <w:rPr>
                <w:rFonts w:cs="Calibri"/>
                <w:sz w:val="20"/>
                <w:szCs w:val="20"/>
              </w:rPr>
            </w:pPr>
            <w:r w:rsidRPr="00047407">
              <w:rPr>
                <w:rFonts w:cs="Calibri"/>
                <w:sz w:val="20"/>
                <w:szCs w:val="20"/>
              </w:rPr>
              <w:t>5/2027</w:t>
            </w:r>
          </w:p>
        </w:tc>
      </w:tr>
      <w:tr w:rsidR="003D0BFB" w:rsidRPr="00C00D71" w14:paraId="36478E55" w14:textId="77777777" w:rsidTr="008B37B3">
        <w:trPr>
          <w:trHeight w:val="738"/>
        </w:trPr>
        <w:tc>
          <w:tcPr>
            <w:tcW w:w="975" w:type="dxa"/>
            <w:tcBorders>
              <w:top w:val="single" w:sz="4" w:space="0" w:color="auto"/>
              <w:left w:val="single" w:sz="4" w:space="0" w:color="auto"/>
              <w:bottom w:val="single" w:sz="4" w:space="0" w:color="auto"/>
              <w:right w:val="single" w:sz="4" w:space="0" w:color="auto"/>
            </w:tcBorders>
          </w:tcPr>
          <w:p w14:paraId="5B8BB651" w14:textId="39953429" w:rsidR="2B30EDD6" w:rsidRPr="00047407" w:rsidRDefault="2B30EDD6" w:rsidP="34ADECF8">
            <w:pPr>
              <w:jc w:val="center"/>
              <w:rPr>
                <w:rFonts w:cs="Calibri"/>
                <w:sz w:val="20"/>
                <w:szCs w:val="20"/>
              </w:rPr>
            </w:pPr>
            <w:r w:rsidRPr="00047407">
              <w:rPr>
                <w:rFonts w:cs="Calibri"/>
                <w:sz w:val="20"/>
                <w:szCs w:val="20"/>
              </w:rPr>
              <w:t>P5</w:t>
            </w:r>
          </w:p>
        </w:tc>
        <w:tc>
          <w:tcPr>
            <w:tcW w:w="4590" w:type="dxa"/>
            <w:tcBorders>
              <w:top w:val="single" w:sz="4" w:space="0" w:color="auto"/>
              <w:left w:val="single" w:sz="4" w:space="0" w:color="auto"/>
              <w:bottom w:val="single" w:sz="4" w:space="0" w:color="auto"/>
              <w:right w:val="single" w:sz="4" w:space="0" w:color="auto"/>
            </w:tcBorders>
            <w:hideMark/>
          </w:tcPr>
          <w:p w14:paraId="67EADF52" w14:textId="77777777" w:rsidR="003D0BFB" w:rsidRDefault="008764D3" w:rsidP="00E04312">
            <w:pPr>
              <w:jc w:val="center"/>
              <w:rPr>
                <w:rFonts w:cs="Calibri"/>
                <w:sz w:val="20"/>
                <w:szCs w:val="20"/>
                <w:highlight w:val="black"/>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p w14:paraId="301CC948" w14:textId="6B00630B" w:rsidR="008764D3"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B628A93" w14:textId="4DB7DB46"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E6B04D0" w14:textId="77777777" w:rsidR="003D0BFB" w:rsidRPr="00047407" w:rsidRDefault="003D0BFB" w:rsidP="00E04312">
            <w:pPr>
              <w:jc w:val="center"/>
              <w:rPr>
                <w:rFonts w:cs="Calibri"/>
                <w:sz w:val="20"/>
                <w:szCs w:val="20"/>
              </w:rPr>
            </w:pPr>
            <w:r w:rsidRPr="00047407">
              <w:rPr>
                <w:rFonts w:cs="Calibri"/>
                <w:sz w:val="20"/>
                <w:szCs w:val="20"/>
              </w:rPr>
              <w:t>48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AA4907B" w14:textId="77777777" w:rsidR="003D0BFB" w:rsidRPr="00047407" w:rsidRDefault="003D0BFB" w:rsidP="00E04312">
            <w:pPr>
              <w:jc w:val="center"/>
              <w:rPr>
                <w:rFonts w:cs="Calibri"/>
                <w:sz w:val="20"/>
                <w:szCs w:val="20"/>
              </w:rPr>
            </w:pPr>
            <w:r w:rsidRPr="00047407">
              <w:rPr>
                <w:rFonts w:cs="Calibri"/>
                <w:sz w:val="20"/>
                <w:szCs w:val="20"/>
              </w:rPr>
              <w:t>5/2027</w:t>
            </w:r>
          </w:p>
        </w:tc>
      </w:tr>
      <w:tr w:rsidR="003D0BFB" w:rsidRPr="00C00D71" w14:paraId="5AAD6FAC"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tcPr>
          <w:p w14:paraId="32CC89F8" w14:textId="573F3A31" w:rsidR="3238B772" w:rsidRPr="00047407" w:rsidRDefault="3238B772" w:rsidP="34ADECF8">
            <w:pPr>
              <w:jc w:val="center"/>
              <w:rPr>
                <w:rFonts w:cs="Calibri"/>
                <w:sz w:val="20"/>
                <w:szCs w:val="20"/>
              </w:rPr>
            </w:pPr>
            <w:r w:rsidRPr="00047407">
              <w:rPr>
                <w:rFonts w:cs="Calibri"/>
                <w:sz w:val="20"/>
                <w:szCs w:val="20"/>
              </w:rPr>
              <w:t>P6</w:t>
            </w:r>
          </w:p>
        </w:tc>
        <w:tc>
          <w:tcPr>
            <w:tcW w:w="4590" w:type="dxa"/>
            <w:tcBorders>
              <w:top w:val="single" w:sz="4" w:space="0" w:color="auto"/>
              <w:left w:val="single" w:sz="4" w:space="0" w:color="auto"/>
              <w:bottom w:val="single" w:sz="4" w:space="0" w:color="auto"/>
              <w:right w:val="single" w:sz="4" w:space="0" w:color="auto"/>
            </w:tcBorders>
            <w:hideMark/>
          </w:tcPr>
          <w:p w14:paraId="722C2FF0" w14:textId="2C89687E"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437FAF5" w14:textId="1A0E74B3"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2A34AB8" w14:textId="77777777" w:rsidR="003D0BFB" w:rsidRPr="00047407" w:rsidRDefault="003D0BFB" w:rsidP="00E04312">
            <w:pPr>
              <w:jc w:val="center"/>
              <w:rPr>
                <w:rFonts w:cs="Calibri"/>
                <w:sz w:val="20"/>
                <w:szCs w:val="20"/>
              </w:rPr>
            </w:pPr>
            <w:r w:rsidRPr="00047407">
              <w:rPr>
                <w:rFonts w:cs="Calibri"/>
                <w:sz w:val="20"/>
                <w:szCs w:val="20"/>
              </w:rPr>
              <w:t>42</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D7633C9" w14:textId="77777777" w:rsidR="003D0BFB" w:rsidRPr="00047407" w:rsidRDefault="003D0BFB" w:rsidP="00E04312">
            <w:pPr>
              <w:jc w:val="center"/>
              <w:rPr>
                <w:rFonts w:cs="Calibri"/>
                <w:sz w:val="20"/>
                <w:szCs w:val="20"/>
              </w:rPr>
            </w:pPr>
            <w:r w:rsidRPr="00047407">
              <w:rPr>
                <w:rFonts w:cs="Calibri"/>
                <w:sz w:val="20"/>
                <w:szCs w:val="20"/>
              </w:rPr>
              <w:t>5/2027</w:t>
            </w:r>
          </w:p>
        </w:tc>
      </w:tr>
      <w:tr w:rsidR="003D0BFB" w:rsidRPr="00C00D71" w14:paraId="6271235E" w14:textId="77777777" w:rsidTr="008B37B3">
        <w:trPr>
          <w:trHeight w:val="738"/>
        </w:trPr>
        <w:tc>
          <w:tcPr>
            <w:tcW w:w="975" w:type="dxa"/>
            <w:tcBorders>
              <w:top w:val="single" w:sz="4" w:space="0" w:color="auto"/>
              <w:left w:val="single" w:sz="4" w:space="0" w:color="auto"/>
              <w:bottom w:val="single" w:sz="4" w:space="0" w:color="auto"/>
              <w:right w:val="single" w:sz="4" w:space="0" w:color="auto"/>
            </w:tcBorders>
          </w:tcPr>
          <w:p w14:paraId="41B08721" w14:textId="4323E49E" w:rsidR="7CF2A7F1" w:rsidRPr="00047407" w:rsidRDefault="7CF2A7F1" w:rsidP="34ADECF8">
            <w:pPr>
              <w:jc w:val="center"/>
              <w:rPr>
                <w:rFonts w:cs="Calibri"/>
                <w:sz w:val="20"/>
                <w:szCs w:val="20"/>
              </w:rPr>
            </w:pPr>
            <w:r w:rsidRPr="00047407">
              <w:rPr>
                <w:rFonts w:cs="Calibri"/>
                <w:sz w:val="20"/>
                <w:szCs w:val="20"/>
              </w:rPr>
              <w:t>P7</w:t>
            </w:r>
          </w:p>
        </w:tc>
        <w:tc>
          <w:tcPr>
            <w:tcW w:w="4590" w:type="dxa"/>
            <w:tcBorders>
              <w:top w:val="single" w:sz="4" w:space="0" w:color="auto"/>
              <w:left w:val="single" w:sz="4" w:space="0" w:color="auto"/>
              <w:bottom w:val="single" w:sz="4" w:space="0" w:color="auto"/>
              <w:right w:val="single" w:sz="4" w:space="0" w:color="auto"/>
            </w:tcBorders>
            <w:hideMark/>
          </w:tcPr>
          <w:p w14:paraId="51AF0D6C" w14:textId="77777777" w:rsidR="003D0BFB" w:rsidRDefault="008764D3" w:rsidP="00E04312">
            <w:pPr>
              <w:jc w:val="center"/>
              <w:rPr>
                <w:rFonts w:cs="Calibri"/>
                <w:sz w:val="20"/>
                <w:szCs w:val="20"/>
                <w:highlight w:val="black"/>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p w14:paraId="452E043A" w14:textId="41538C05" w:rsidR="008764D3"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164EF1A" w14:textId="70BE35D1"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8357D9A" w14:textId="77777777" w:rsidR="003D0BFB" w:rsidRPr="00047407" w:rsidRDefault="003D0BFB" w:rsidP="00E04312">
            <w:pPr>
              <w:jc w:val="center"/>
              <w:rPr>
                <w:rFonts w:cs="Calibri"/>
                <w:sz w:val="20"/>
                <w:szCs w:val="20"/>
              </w:rPr>
            </w:pPr>
            <w:r w:rsidRPr="00047407">
              <w:rPr>
                <w:rFonts w:cs="Calibri"/>
                <w:sz w:val="20"/>
                <w:szCs w:val="20"/>
              </w:rPr>
              <w:t>42</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7206FE2" w14:textId="77777777" w:rsidR="003D0BFB" w:rsidRPr="00047407" w:rsidRDefault="003D0BFB" w:rsidP="00E04312">
            <w:pPr>
              <w:jc w:val="center"/>
              <w:rPr>
                <w:rFonts w:cs="Calibri"/>
                <w:sz w:val="20"/>
                <w:szCs w:val="20"/>
              </w:rPr>
            </w:pPr>
            <w:r w:rsidRPr="00047407">
              <w:rPr>
                <w:rFonts w:cs="Calibri"/>
                <w:sz w:val="20"/>
                <w:szCs w:val="20"/>
              </w:rPr>
              <w:t>5/2030</w:t>
            </w:r>
          </w:p>
        </w:tc>
      </w:tr>
      <w:tr w:rsidR="003D0BFB" w:rsidRPr="00C00D71" w14:paraId="5713459E" w14:textId="77777777" w:rsidTr="008B37B3">
        <w:trPr>
          <w:trHeight w:val="369"/>
        </w:trPr>
        <w:tc>
          <w:tcPr>
            <w:tcW w:w="975" w:type="dxa"/>
            <w:tcBorders>
              <w:top w:val="single" w:sz="4" w:space="0" w:color="auto"/>
              <w:left w:val="single" w:sz="4" w:space="0" w:color="auto"/>
              <w:bottom w:val="single" w:sz="4" w:space="0" w:color="auto"/>
              <w:right w:val="single" w:sz="4" w:space="0" w:color="auto"/>
            </w:tcBorders>
          </w:tcPr>
          <w:p w14:paraId="07FD0819" w14:textId="264A3E89" w:rsidR="684EC693" w:rsidRPr="00047407" w:rsidRDefault="684EC693" w:rsidP="34ADECF8">
            <w:pPr>
              <w:jc w:val="center"/>
              <w:rPr>
                <w:rFonts w:cs="Calibri"/>
                <w:sz w:val="20"/>
                <w:szCs w:val="20"/>
              </w:rPr>
            </w:pPr>
            <w:r w:rsidRPr="00047407">
              <w:rPr>
                <w:rFonts w:cs="Calibri"/>
                <w:sz w:val="20"/>
                <w:szCs w:val="20"/>
              </w:rPr>
              <w:t>P8</w:t>
            </w:r>
          </w:p>
        </w:tc>
        <w:tc>
          <w:tcPr>
            <w:tcW w:w="4590" w:type="dxa"/>
            <w:tcBorders>
              <w:top w:val="single" w:sz="4" w:space="0" w:color="auto"/>
              <w:left w:val="single" w:sz="4" w:space="0" w:color="auto"/>
              <w:bottom w:val="single" w:sz="4" w:space="0" w:color="auto"/>
              <w:right w:val="single" w:sz="4" w:space="0" w:color="auto"/>
            </w:tcBorders>
            <w:hideMark/>
          </w:tcPr>
          <w:p w14:paraId="2966A710" w14:textId="2D24438A" w:rsidR="003D0BFB" w:rsidRPr="00C00D71" w:rsidRDefault="008764D3" w:rsidP="00E04312">
            <w:pPr>
              <w:jc w:val="center"/>
              <w:rPr>
                <w:rFonts w:cs="Calibri"/>
                <w:sz w:val="20"/>
                <w:szCs w:val="20"/>
                <w:highlight w:val="yellow"/>
              </w:rPr>
            </w:pPr>
            <w:r w:rsidRPr="008764D3">
              <w:rPr>
                <w:rFonts w:cs="Calibri"/>
                <w:sz w:val="20"/>
                <w:szCs w:val="20"/>
                <w:highlight w:val="black"/>
              </w:rPr>
              <w:t>XXXXX</w:t>
            </w:r>
            <w:r>
              <w:rPr>
                <w:rFonts w:cs="Calibri"/>
                <w:sz w:val="20"/>
                <w:szCs w:val="20"/>
                <w:highlight w:val="black"/>
              </w:rPr>
              <w:t>XXXXXXXXXXXXXXXXXXXXXXXXXXXXXXXX</w:t>
            </w:r>
            <w:r w:rsidRPr="008764D3">
              <w:rPr>
                <w:rFonts w:cs="Calibri"/>
                <w:sz w:val="20"/>
                <w:szCs w:val="20"/>
                <w:highlight w:val="black"/>
              </w:rPr>
              <w:t>XXX</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223E973" w14:textId="51005D0E" w:rsidR="003D0BFB" w:rsidRPr="00C00D71" w:rsidRDefault="008764D3" w:rsidP="00E04312">
            <w:pPr>
              <w:jc w:val="center"/>
              <w:rPr>
                <w:rFonts w:cs="Calibri"/>
                <w:sz w:val="20"/>
                <w:szCs w:val="20"/>
                <w:highlight w:val="yellow"/>
              </w:rPr>
            </w:pPr>
            <w:r w:rsidRPr="008764D3">
              <w:rPr>
                <w:rFonts w:cs="Calibri"/>
                <w:sz w:val="20"/>
                <w:szCs w:val="20"/>
                <w:highlight w:val="black"/>
              </w:rPr>
              <w:t>XXXXXXXX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6BFDC69" w14:textId="77777777" w:rsidR="003D0BFB" w:rsidRPr="00047407" w:rsidRDefault="003D0BFB" w:rsidP="00E04312">
            <w:pPr>
              <w:jc w:val="center"/>
              <w:rPr>
                <w:rFonts w:cs="Calibri"/>
                <w:sz w:val="20"/>
                <w:szCs w:val="20"/>
              </w:rPr>
            </w:pPr>
            <w:r w:rsidRPr="00047407">
              <w:rPr>
                <w:rFonts w:cs="Calibri"/>
                <w:sz w:val="20"/>
                <w:szCs w:val="20"/>
              </w:rPr>
              <w:t>36</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97776BE" w14:textId="77777777" w:rsidR="003D0BFB" w:rsidRPr="00047407" w:rsidRDefault="003D0BFB" w:rsidP="00E04312">
            <w:pPr>
              <w:jc w:val="center"/>
              <w:rPr>
                <w:rFonts w:cs="Calibri"/>
                <w:sz w:val="20"/>
                <w:szCs w:val="20"/>
              </w:rPr>
            </w:pPr>
            <w:r w:rsidRPr="00047407">
              <w:rPr>
                <w:rFonts w:cs="Calibri"/>
                <w:sz w:val="20"/>
                <w:szCs w:val="20"/>
              </w:rPr>
              <w:t>5/2032</w:t>
            </w:r>
          </w:p>
        </w:tc>
      </w:tr>
      <w:tr w:rsidR="003D0BFB" w:rsidRPr="00C00D71" w14:paraId="3BE1C28F" w14:textId="77777777" w:rsidTr="008B37B3">
        <w:trPr>
          <w:trHeight w:val="356"/>
        </w:trPr>
        <w:tc>
          <w:tcPr>
            <w:tcW w:w="975" w:type="dxa"/>
            <w:tcBorders>
              <w:top w:val="single" w:sz="4" w:space="0" w:color="auto"/>
              <w:left w:val="single" w:sz="4" w:space="0" w:color="auto"/>
              <w:bottom w:val="single" w:sz="4" w:space="0" w:color="auto"/>
              <w:right w:val="single" w:sz="4" w:space="0" w:color="auto"/>
            </w:tcBorders>
          </w:tcPr>
          <w:p w14:paraId="7209EA67" w14:textId="446B59BD" w:rsidR="34ADECF8" w:rsidRPr="00047407" w:rsidRDefault="34ADECF8" w:rsidP="34ADECF8">
            <w:pPr>
              <w:jc w:val="right"/>
              <w:rPr>
                <w:rFonts w:cs="Calibri"/>
                <w:b/>
                <w:sz w:val="20"/>
                <w:szCs w:val="20"/>
              </w:rPr>
            </w:pPr>
          </w:p>
        </w:tc>
        <w:tc>
          <w:tcPr>
            <w:tcW w:w="4590" w:type="dxa"/>
            <w:tcBorders>
              <w:top w:val="single" w:sz="4" w:space="0" w:color="auto"/>
              <w:left w:val="single" w:sz="4" w:space="0" w:color="auto"/>
              <w:bottom w:val="single" w:sz="4" w:space="0" w:color="auto"/>
              <w:right w:val="single" w:sz="4" w:space="0" w:color="auto"/>
            </w:tcBorders>
            <w:hideMark/>
          </w:tcPr>
          <w:p w14:paraId="19629C23" w14:textId="77777777" w:rsidR="003D0BFB" w:rsidRPr="00047407" w:rsidRDefault="003D0BFB" w:rsidP="00E04312">
            <w:pPr>
              <w:jc w:val="right"/>
              <w:rPr>
                <w:rFonts w:cs="Calibri"/>
                <w:b/>
                <w:sz w:val="20"/>
                <w:szCs w:val="20"/>
              </w:rPr>
            </w:pPr>
            <w:r w:rsidRPr="00047407">
              <w:rPr>
                <w:rFonts w:cs="Calibri"/>
                <w:b/>
                <w:sz w:val="20"/>
                <w:szCs w:val="20"/>
              </w:rPr>
              <w:t>Total =</w:t>
            </w:r>
          </w:p>
        </w:tc>
        <w:tc>
          <w:tcPr>
            <w:tcW w:w="1590" w:type="dxa"/>
            <w:tcBorders>
              <w:top w:val="single" w:sz="4" w:space="0" w:color="auto"/>
              <w:left w:val="single" w:sz="4" w:space="0" w:color="auto"/>
              <w:bottom w:val="single" w:sz="4" w:space="0" w:color="auto"/>
              <w:right w:val="single" w:sz="4" w:space="0" w:color="auto"/>
            </w:tcBorders>
            <w:hideMark/>
          </w:tcPr>
          <w:p w14:paraId="770CA71B" w14:textId="77777777" w:rsidR="003D0BFB" w:rsidRPr="00047407" w:rsidRDefault="003D0BFB" w:rsidP="00E04312">
            <w:pPr>
              <w:jc w:val="center"/>
              <w:rPr>
                <w:rFonts w:cs="Calibri"/>
                <w:b/>
                <w:sz w:val="20"/>
                <w:szCs w:val="20"/>
              </w:rPr>
            </w:pPr>
            <w:r w:rsidRPr="005851D7">
              <w:rPr>
                <w:rFonts w:cs="Calibri"/>
                <w:b/>
                <w:sz w:val="20"/>
                <w:szCs w:val="20"/>
              </w:rPr>
              <w:t>$59,870,000</w:t>
            </w:r>
          </w:p>
        </w:tc>
        <w:tc>
          <w:tcPr>
            <w:tcW w:w="1110" w:type="dxa"/>
            <w:tcBorders>
              <w:top w:val="single" w:sz="4" w:space="0" w:color="auto"/>
              <w:left w:val="single" w:sz="4" w:space="0" w:color="auto"/>
              <w:bottom w:val="single" w:sz="4" w:space="0" w:color="auto"/>
              <w:right w:val="single" w:sz="4" w:space="0" w:color="auto"/>
            </w:tcBorders>
          </w:tcPr>
          <w:p w14:paraId="3B73A015" w14:textId="77777777" w:rsidR="003D0BFB" w:rsidRPr="00047407" w:rsidRDefault="003D0BFB" w:rsidP="00E04312">
            <w:pPr>
              <w:rPr>
                <w:rFonts w:cs="Calibri"/>
                <w:sz w:val="20"/>
                <w:szCs w:val="20"/>
              </w:rPr>
            </w:pPr>
          </w:p>
        </w:tc>
        <w:tc>
          <w:tcPr>
            <w:tcW w:w="1095" w:type="dxa"/>
            <w:tcBorders>
              <w:top w:val="single" w:sz="4" w:space="0" w:color="auto"/>
              <w:left w:val="single" w:sz="4" w:space="0" w:color="auto"/>
              <w:bottom w:val="single" w:sz="4" w:space="0" w:color="auto"/>
              <w:right w:val="single" w:sz="4" w:space="0" w:color="auto"/>
            </w:tcBorders>
          </w:tcPr>
          <w:p w14:paraId="5DD12769" w14:textId="77777777" w:rsidR="003D0BFB" w:rsidRPr="00047407" w:rsidRDefault="003D0BFB" w:rsidP="00E04312">
            <w:pPr>
              <w:rPr>
                <w:rFonts w:cs="Calibri"/>
                <w:sz w:val="20"/>
                <w:szCs w:val="20"/>
              </w:rPr>
            </w:pPr>
          </w:p>
        </w:tc>
      </w:tr>
    </w:tbl>
    <w:p w14:paraId="5EF1B280" w14:textId="77777777" w:rsidR="003D0BFB" w:rsidRDefault="003D0BFB" w:rsidP="003D0BFB">
      <w:pPr>
        <w:spacing w:line="480" w:lineRule="auto"/>
        <w:rPr>
          <w:rFonts w:ascii="Times New Roman" w:hAnsi="Times New Roman"/>
          <w:b/>
          <w:sz w:val="24"/>
          <w:szCs w:val="24"/>
        </w:rPr>
      </w:pPr>
    </w:p>
    <w:p w14:paraId="75EF8A6C" w14:textId="77777777" w:rsidR="002A7F9A" w:rsidRPr="00476E90" w:rsidRDefault="002A7F9A" w:rsidP="002A7F9A">
      <w:pPr>
        <w:pStyle w:val="Question"/>
      </w:pPr>
      <w:r w:rsidRPr="007F29D4">
        <w:lastRenderedPageBreak/>
        <w:t>Q.</w:t>
      </w:r>
      <w:r w:rsidRPr="007F29D4">
        <w:tab/>
      </w:r>
      <w:r>
        <w:t>Based on your analysis, do you have any concerns with the Company’s conclusions regarding these projects?</w:t>
      </w:r>
    </w:p>
    <w:p w14:paraId="40133F70" w14:textId="77777777" w:rsidR="00BC53AD" w:rsidRDefault="002A7F9A" w:rsidP="00EC5362">
      <w:pPr>
        <w:pStyle w:val="Answers"/>
      </w:pPr>
      <w:r w:rsidRPr="003D0BFB">
        <w:t>A.</w:t>
      </w:r>
      <w:r w:rsidRPr="003D0BFB">
        <w:tab/>
      </w:r>
      <w:r>
        <w:t xml:space="preserve">Yes, we do.  Given the system assumptions modeled in the Company’s analysis, </w:t>
      </w:r>
      <w:r w:rsidR="00BC53AD">
        <w:t>we have the following concerns and observations:</w:t>
      </w:r>
    </w:p>
    <w:p w14:paraId="33513E6A" w14:textId="0C34AB74" w:rsidR="00413FFA" w:rsidRDefault="00413FFA" w:rsidP="00EC5362">
      <w:pPr>
        <w:pStyle w:val="Answers"/>
        <w:numPr>
          <w:ilvl w:val="2"/>
          <w:numId w:val="1"/>
        </w:numPr>
      </w:pPr>
      <w:r>
        <w:t>Both analyses assume extensions of certain power plants targeted for retirement by the end of 2028. While the Company is saying that it plans to re-evaluate those retirements in the 2025 IRP</w:t>
      </w:r>
      <w:r>
        <w:rPr>
          <w:rStyle w:val="FootnoteReference"/>
        </w:rPr>
        <w:footnoteReference w:id="15"/>
      </w:r>
      <w:r>
        <w:t xml:space="preserve">, the assumption of an extension for each of those units in this analysis biases the results and assumes a result of the 2025 IRP with respect to those units that is unsupported </w:t>
      </w:r>
      <w:r w:rsidR="00881A45">
        <w:t>in the record</w:t>
      </w:r>
      <w:r>
        <w:t>.</w:t>
      </w:r>
    </w:p>
    <w:p w14:paraId="05CEF8CE" w14:textId="66179F90" w:rsidR="00BC53AD" w:rsidRDefault="00BC53AD" w:rsidP="00EC5362">
      <w:pPr>
        <w:pStyle w:val="Answers"/>
        <w:numPr>
          <w:ilvl w:val="2"/>
          <w:numId w:val="1"/>
        </w:numPr>
      </w:pPr>
      <w:r>
        <w:t>Project 7, which is a plan to accelerate a previously approved project by one year, is not clearly shown as necessary in the Transmission Screening Analysis.</w:t>
      </w:r>
    </w:p>
    <w:p w14:paraId="3C4C0EE8" w14:textId="5C515008" w:rsidR="00BC53AD" w:rsidRDefault="00BC53AD" w:rsidP="00EC5362">
      <w:pPr>
        <w:pStyle w:val="Answers"/>
        <w:numPr>
          <w:ilvl w:val="2"/>
          <w:numId w:val="1"/>
        </w:numPr>
      </w:pPr>
      <w:r>
        <w:t xml:space="preserve">Project </w:t>
      </w:r>
      <w:r w:rsidR="00413FFA">
        <w:t>8</w:t>
      </w:r>
      <w:r>
        <w:t>, which is a rebuild of a line near the proposed Yates CTs, is not needed for 8 years and the thermal loadings in the Transmission Screening Analysis d</w:t>
      </w:r>
      <w:r w:rsidR="009E4F00">
        <w:t>o not</w:t>
      </w:r>
      <w:r>
        <w:t xml:space="preserve"> show a clear need for a decision on this project at this time.</w:t>
      </w:r>
    </w:p>
    <w:p w14:paraId="71CE7EAC" w14:textId="37DDF64D" w:rsidR="00BC53AD" w:rsidRDefault="00BC53AD" w:rsidP="00EC5362">
      <w:pPr>
        <w:pStyle w:val="Answers"/>
        <w:numPr>
          <w:ilvl w:val="2"/>
          <w:numId w:val="1"/>
        </w:numPr>
      </w:pPr>
      <w:r>
        <w:t xml:space="preserve">The remaining projects’ needs are </w:t>
      </w:r>
      <w:r w:rsidR="006079BC">
        <w:t>impacted by the assumed</w:t>
      </w:r>
      <w:r>
        <w:t xml:space="preserve"> need for all three CTs to be constructed at Plant Yates. To the extent that the need for capacity can be mitigated, Projects 2-6 may not be necessary, </w:t>
      </w:r>
      <w:r w:rsidR="001410A2">
        <w:t xml:space="preserve">or at least may not be most cost effective. If </w:t>
      </w:r>
      <w:r w:rsidR="00FB3DC1">
        <w:t>it is determined that the need for all three CTs has not been established, then</w:t>
      </w:r>
      <w:r>
        <w:t xml:space="preserve"> additional analysis would be warranted before moving to approval of </w:t>
      </w:r>
      <w:r w:rsidR="00D6207C">
        <w:t xml:space="preserve">the associated transmission </w:t>
      </w:r>
      <w:r>
        <w:t>projects.</w:t>
      </w:r>
    </w:p>
    <w:p w14:paraId="019E58DC" w14:textId="55F9F8E6" w:rsidR="002A7F9A" w:rsidRPr="003D0BFB" w:rsidRDefault="002A7F9A" w:rsidP="00A16D05">
      <w:pPr>
        <w:pStyle w:val="Answers"/>
        <w:ind w:firstLine="90"/>
      </w:pPr>
      <w:r>
        <w:lastRenderedPageBreak/>
        <w:t>We will discuss these in more detail in the following sections.</w:t>
      </w:r>
    </w:p>
    <w:p w14:paraId="593966B8" w14:textId="181CF1F5" w:rsidR="00413FFA" w:rsidRDefault="00413FFA" w:rsidP="00386453">
      <w:pPr>
        <w:pStyle w:val="Heading1"/>
        <w:ind w:left="720" w:hanging="720"/>
      </w:pPr>
      <w:bookmarkStart w:id="12" w:name="_Toc158741867"/>
      <w:r>
        <w:t xml:space="preserve">THE INCLUSION OF </w:t>
      </w:r>
      <w:r w:rsidR="00396BCB">
        <w:t xml:space="preserve">THE </w:t>
      </w:r>
      <w:r>
        <w:t xml:space="preserve">ASSUMED EXTENSION UNITS DESIGNATED FOR RETIREMENT </w:t>
      </w:r>
      <w:r w:rsidR="00836552">
        <w:t xml:space="preserve">IN THE 2022 IRP </w:t>
      </w:r>
      <w:r>
        <w:t>BIASES THE RESULTS</w:t>
      </w:r>
      <w:r w:rsidR="00836552">
        <w:t xml:space="preserve"> OF THESE ANALYSES</w:t>
      </w:r>
      <w:bookmarkEnd w:id="12"/>
    </w:p>
    <w:p w14:paraId="768EE323" w14:textId="64A6894E" w:rsidR="00413FFA" w:rsidRPr="00413FFA" w:rsidRDefault="00413FFA" w:rsidP="00413FFA">
      <w:pPr>
        <w:pStyle w:val="Question"/>
      </w:pPr>
      <w:r w:rsidRPr="00413FFA">
        <w:t>Q.</w:t>
      </w:r>
      <w:r w:rsidRPr="00413FFA">
        <w:tab/>
        <w:t>WHY IS THE INCLUSION OF THESE UNITS IN THE ANALYSIS PROBLEMATIC?</w:t>
      </w:r>
    </w:p>
    <w:p w14:paraId="0AEB0E5D" w14:textId="6BD27212" w:rsidR="006A7315" w:rsidRDefault="00413FFA" w:rsidP="00EC5362">
      <w:pPr>
        <w:pStyle w:val="Answers"/>
      </w:pPr>
      <w:r w:rsidRPr="00413FFA">
        <w:t>A.</w:t>
      </w:r>
      <w:r w:rsidRPr="00413FFA">
        <w:tab/>
      </w:r>
      <w:r>
        <w:t xml:space="preserve">As discussed in Sections III and IV above, there are a few units that were ordered to be retired by the end of 2028 </w:t>
      </w:r>
      <w:r w:rsidR="009A3991">
        <w:t xml:space="preserve">that the Company has indicated </w:t>
      </w:r>
      <w:r w:rsidR="007204EC">
        <w:t>“</w:t>
      </w:r>
      <w:r w:rsidR="007204EC" w:rsidRPr="007204EC">
        <w:t>the Company will likely evaluate extending the operation of certain units, particularly Plant Scherer Unit 3, beyond 2028. This evaluation will include updated unit retirement studies for these units in the 2025 IRP and may recommend extending their operation. In the 2025 IRP, the Company will make a formal recommendation at that time regarding the retirement or extended operation of the units.</w:t>
      </w:r>
      <w:r w:rsidR="007204EC">
        <w:t>”</w:t>
      </w:r>
      <w:r w:rsidR="007204EC">
        <w:rPr>
          <w:rStyle w:val="FootnoteReference"/>
        </w:rPr>
        <w:footnoteReference w:id="16"/>
      </w:r>
      <w:r w:rsidR="007204EC">
        <w:t xml:space="preserve"> </w:t>
      </w:r>
      <w:r w:rsidR="006D1F9C">
        <w:t>F</w:t>
      </w:r>
      <w:r>
        <w:t>or the purposes of the transmission analyses presented in the 2023 IRP Update</w:t>
      </w:r>
      <w:r w:rsidR="006D1F9C">
        <w:t>, these units were assumed extended until 2035</w:t>
      </w:r>
      <w:r>
        <w:t>. This produces a disconnect between the capacity currently being assumed as online and available beginning in 2029 for supply purposes as compared to the capacity available for dispatch in determining transmission need.</w:t>
      </w:r>
      <w:r w:rsidR="006A7315">
        <w:t xml:space="preserve"> </w:t>
      </w:r>
    </w:p>
    <w:p w14:paraId="420F18FB" w14:textId="0159B62F" w:rsidR="006A7315" w:rsidRDefault="006A7315" w:rsidP="00EC5362">
      <w:pPr>
        <w:pStyle w:val="Answers"/>
      </w:pPr>
      <w:r>
        <w:tab/>
      </w:r>
      <w:r>
        <w:tab/>
        <w:t xml:space="preserve">The assumed extension of these units means there is close to 2,000 MW online </w:t>
      </w:r>
      <w:r w:rsidR="00396BCB">
        <w:t xml:space="preserve">in the transmission analysis </w:t>
      </w:r>
      <w:r>
        <w:t xml:space="preserve">that is currently not in the Company’s </w:t>
      </w:r>
      <w:r w:rsidR="00396BCB">
        <w:t xml:space="preserve">long-term resource </w:t>
      </w:r>
      <w:r>
        <w:t xml:space="preserve">plan. The ability to run these units changes the dispatch utilized by transmission planners for their </w:t>
      </w:r>
      <w:r>
        <w:lastRenderedPageBreak/>
        <w:t>base cases and for the testing of new loads and supply. It is impossible to identify how thermal loading would be affected by the exclusion of these units without running all cases with them unavailable starting in 2029. At a minimum this calls into question the transmission needs identified for 2029 and further out.</w:t>
      </w:r>
    </w:p>
    <w:p w14:paraId="4E841842" w14:textId="2D00746D" w:rsidR="00413FFA" w:rsidRPr="00413FFA" w:rsidRDefault="006A7315" w:rsidP="00EC5362">
      <w:pPr>
        <w:pStyle w:val="Answers"/>
      </w:pPr>
      <w:r>
        <w:tab/>
      </w:r>
      <w:r>
        <w:tab/>
        <w:t xml:space="preserve"> </w:t>
      </w:r>
    </w:p>
    <w:p w14:paraId="055174C9" w14:textId="367829B5" w:rsidR="003D0BFB" w:rsidRPr="00386453" w:rsidRDefault="003D0BFB" w:rsidP="00386453">
      <w:pPr>
        <w:pStyle w:val="Heading1"/>
        <w:ind w:left="720" w:hanging="720"/>
      </w:pPr>
      <w:bookmarkStart w:id="13" w:name="_Toc158741868"/>
      <w:r w:rsidRPr="00386453">
        <w:t xml:space="preserve">THE TIMING AND MAGNITUDE OF THE NEED FOR PROJECT 7 SUGGESTS THE REQUESTED EXPENSE TO ADVANCE THE PROJECT ONE YEAR BE </w:t>
      </w:r>
      <w:r w:rsidR="008520AA">
        <w:t>DENIED</w:t>
      </w:r>
      <w:bookmarkEnd w:id="13"/>
    </w:p>
    <w:p w14:paraId="20F9EB42" w14:textId="1A654C2E" w:rsidR="003D0BFB" w:rsidRPr="00476E90" w:rsidRDefault="003D0BFB" w:rsidP="003D0BFB">
      <w:pPr>
        <w:pStyle w:val="Question"/>
      </w:pPr>
      <w:r w:rsidRPr="007F29D4">
        <w:t>Q.</w:t>
      </w:r>
      <w:r w:rsidRPr="007F29D4">
        <w:tab/>
        <w:t>Please</w:t>
      </w:r>
      <w:r>
        <w:t xml:space="preserve"> DESCRIBE THE OVERLOADS IDENTIFIED AND SOLUTIONS PROFFERED </w:t>
      </w:r>
      <w:r w:rsidR="310FE151">
        <w:t xml:space="preserve">BY THE COMPANY </w:t>
      </w:r>
      <w:r>
        <w:t>RELATED TO THE COMPANY’S IDENTIFED PROJECT 7.</w:t>
      </w:r>
    </w:p>
    <w:p w14:paraId="2EC30B35" w14:textId="78280991" w:rsidR="003D0BFB" w:rsidRPr="003D0BFB" w:rsidRDefault="003D0BFB" w:rsidP="00EC5362">
      <w:pPr>
        <w:pStyle w:val="Answers"/>
      </w:pPr>
      <w:r w:rsidRPr="003D0BFB">
        <w:t>A.</w:t>
      </w:r>
      <w:r w:rsidRPr="003D0BFB">
        <w:tab/>
      </w:r>
      <w:r w:rsidR="00E926C6">
        <w:t xml:space="preserve">The Company’s response to </w:t>
      </w:r>
      <w:r w:rsidRPr="003D0BFB">
        <w:t xml:space="preserve">TS STF-DEA-4-1 lists an overload associated with Project 7 as </w:t>
      </w:r>
      <w:r w:rsidR="008764D3" w:rsidRPr="008764D3">
        <w:rPr>
          <w:highlight w:val="black"/>
        </w:rPr>
        <w:t>XXXXXXXXXXXXXXXXXXXXXX</w:t>
      </w:r>
      <w:r w:rsidRPr="003D0BFB">
        <w:t xml:space="preserve"> transmission line, given an outage of the </w:t>
      </w:r>
      <w:r w:rsidR="008764D3" w:rsidRPr="008764D3">
        <w:rPr>
          <w:highlight w:val="black"/>
        </w:rPr>
        <w:t>XXXX</w:t>
      </w:r>
      <w:r w:rsidRPr="008764D3">
        <w:rPr>
          <w:highlight w:val="black"/>
        </w:rPr>
        <w:t xml:space="preserve"> </w:t>
      </w:r>
      <w:r w:rsidR="008764D3" w:rsidRPr="008764D3">
        <w:rPr>
          <w:highlight w:val="black"/>
        </w:rPr>
        <w:t>XXXXXXXXXXXXXXXXXX</w:t>
      </w:r>
      <w:r w:rsidRPr="003D0BFB">
        <w:t xml:space="preserve">. This </w:t>
      </w:r>
      <w:r w:rsidR="008764D3" w:rsidRPr="008764D3">
        <w:rPr>
          <w:highlight w:val="black"/>
        </w:rPr>
        <w:t>XXXXXXXXXXXXXXXXXXXX</w:t>
      </w:r>
      <w:r w:rsidRPr="003D0BFB">
        <w:t xml:space="preserve"> transmission line is a section of the </w:t>
      </w:r>
      <w:r w:rsidR="008764D3" w:rsidRPr="008764D3">
        <w:rPr>
          <w:highlight w:val="black"/>
        </w:rPr>
        <w:t>XXXXXXXXXXXXXXXXXXXXXX</w:t>
      </w:r>
      <w:r w:rsidRPr="003D0BFB">
        <w:t xml:space="preserve"> transmission line. With the observed overload of the line section, the Company is recommending that </w:t>
      </w:r>
      <w:r w:rsidR="008764D3" w:rsidRPr="008764D3">
        <w:rPr>
          <w:highlight w:val="black"/>
        </w:rPr>
        <w:t>XXXXXXXXX</w:t>
      </w:r>
      <w:r w:rsidRPr="006A7315">
        <w:rPr>
          <w:highlight w:val="yellow"/>
        </w:rPr>
        <w:t xml:space="preserve"> </w:t>
      </w:r>
      <w:r w:rsidR="008764D3" w:rsidRPr="008764D3">
        <w:rPr>
          <w:highlight w:val="black"/>
        </w:rPr>
        <w:t>XXXXXXXXXXXXXXX</w:t>
      </w:r>
      <w:r w:rsidRPr="003D0BFB">
        <w:t xml:space="preserve"> transmission line </w:t>
      </w:r>
      <w:r w:rsidR="00B25AFF">
        <w:t>be</w:t>
      </w:r>
      <w:r w:rsidRPr="003D0BFB">
        <w:t xml:space="preserve"> reconductored </w:t>
      </w:r>
      <w:r w:rsidR="002A7F9A">
        <w:t>in 2030. This line was already scheduled to be reconductored in 2031 based on the Company’s existing transmission plan, so the incremental cost attributable to the IRP Update proposal is</w:t>
      </w:r>
      <w:r w:rsidRPr="003D0BFB">
        <w:t xml:space="preserve"> </w:t>
      </w:r>
      <w:r w:rsidR="008764D3" w:rsidRPr="008764D3">
        <w:rPr>
          <w:highlight w:val="black"/>
        </w:rPr>
        <w:t>XXXXXX</w:t>
      </w:r>
      <w:r w:rsidR="002A7F9A">
        <w:t xml:space="preserve">, which is the </w:t>
      </w:r>
      <w:r w:rsidR="00E926C6">
        <w:t>incremental</w:t>
      </w:r>
      <w:r w:rsidRPr="003D0BFB">
        <w:t xml:space="preserve"> cost to advance the project by one year</w:t>
      </w:r>
      <w:r w:rsidR="002A7F9A">
        <w:t>.</w:t>
      </w:r>
      <w:r w:rsidRPr="003D0BFB">
        <w:t xml:space="preserve"> </w:t>
      </w:r>
      <w:r w:rsidR="002A7F9A">
        <w:t xml:space="preserve">The total </w:t>
      </w:r>
      <w:r w:rsidRPr="003D0BFB">
        <w:t xml:space="preserve">project cost </w:t>
      </w:r>
      <w:r w:rsidR="002A7F9A">
        <w:t>is</w:t>
      </w:r>
      <w:r w:rsidR="002A7F9A" w:rsidRPr="003D0BFB">
        <w:t xml:space="preserve"> </w:t>
      </w:r>
      <w:r w:rsidR="008764D3" w:rsidRPr="008764D3">
        <w:rPr>
          <w:highlight w:val="black"/>
        </w:rPr>
        <w:t>XXXXXX</w:t>
      </w:r>
      <w:r w:rsidRPr="003D0BFB">
        <w:t>.</w:t>
      </w:r>
    </w:p>
    <w:p w14:paraId="533138B0" w14:textId="77777777" w:rsidR="003D0BFB" w:rsidRPr="00476E90" w:rsidRDefault="003D0BFB" w:rsidP="003D0BFB">
      <w:pPr>
        <w:pStyle w:val="Question"/>
      </w:pPr>
      <w:r w:rsidRPr="007F29D4">
        <w:lastRenderedPageBreak/>
        <w:t>Q.</w:t>
      </w:r>
      <w:r w:rsidRPr="007F29D4">
        <w:tab/>
      </w:r>
      <w:r>
        <w:t>HAS THE COMPANY ESTABLISHED A CLEAR NEED FOR PROJECT 7 AT THIS TIME?</w:t>
      </w:r>
    </w:p>
    <w:p w14:paraId="67946E0C" w14:textId="2CB65E75" w:rsidR="00D9454B" w:rsidRDefault="003D0BFB" w:rsidP="00EC5362">
      <w:pPr>
        <w:pStyle w:val="Answers"/>
      </w:pPr>
      <w:r w:rsidRPr="003D0BFB">
        <w:t>A.</w:t>
      </w:r>
      <w:r w:rsidRPr="003D0BFB">
        <w:tab/>
        <w:t xml:space="preserve">No. The worst-case overload related to the Project 7 solution occurs in </w:t>
      </w:r>
      <w:r w:rsidR="2F26F7F0">
        <w:t>a</w:t>
      </w:r>
      <w:r w:rsidR="00BC53AD">
        <w:t xml:space="preserve"> </w:t>
      </w:r>
      <w:r w:rsidR="20CFA5E1">
        <w:t xml:space="preserve">scenario </w:t>
      </w:r>
      <w:r w:rsidR="104B62B0">
        <w:t xml:space="preserve">which </w:t>
      </w:r>
      <w:r w:rsidR="20CFA5E1">
        <w:t>represent</w:t>
      </w:r>
      <w:r w:rsidR="44C71396">
        <w:t>s</w:t>
      </w:r>
      <w:r w:rsidRPr="003D0BFB">
        <w:t xml:space="preserve"> a </w:t>
      </w:r>
      <w:r w:rsidR="008764D3" w:rsidRPr="008764D3">
        <w:rPr>
          <w:highlight w:val="black"/>
        </w:rPr>
        <w:t>XXXXXXXXXXXXXXXXXXXXXXXXXXXXXXXXXXXXXXXXXXX</w:t>
      </w:r>
      <w:r w:rsidR="006A7315">
        <w:rPr>
          <w:highlight w:val="yellow"/>
        </w:rPr>
        <w:t xml:space="preserve"> </w:t>
      </w:r>
      <w:r w:rsidR="008764D3" w:rsidRPr="008764D3">
        <w:rPr>
          <w:highlight w:val="black"/>
        </w:rPr>
        <w:t>XXXX</w:t>
      </w:r>
      <w:r w:rsidRPr="003D0BFB">
        <w:t xml:space="preserve">. However, the thermal loading issue in question does not occur until 2030 </w:t>
      </w:r>
      <w:r w:rsidR="00D9454B">
        <w:t xml:space="preserve">and is at </w:t>
      </w:r>
      <w:r w:rsidR="00432B75" w:rsidRPr="00432B75">
        <w:rPr>
          <w:highlight w:val="black"/>
        </w:rPr>
        <w:t>XXXX</w:t>
      </w:r>
      <w:r w:rsidR="00D9454B">
        <w:t xml:space="preserve"> </w:t>
      </w:r>
      <w:r w:rsidR="006A7315">
        <w:t xml:space="preserve">in the Transmission Screening Analysis and only increases </w:t>
      </w:r>
      <w:r w:rsidR="00D9454B">
        <w:t>to</w:t>
      </w:r>
      <w:r w:rsidRPr="003D0BFB">
        <w:t xml:space="preserve"> </w:t>
      </w:r>
      <w:r w:rsidR="00432B75" w:rsidRPr="00432B75">
        <w:rPr>
          <w:highlight w:val="black"/>
        </w:rPr>
        <w:t>XXXX</w:t>
      </w:r>
      <w:r w:rsidRPr="003D0BFB">
        <w:t xml:space="preserve"> of </w:t>
      </w:r>
      <w:r w:rsidR="00D9454B" w:rsidRPr="003D0BFB">
        <w:t>its</w:t>
      </w:r>
      <w:r w:rsidRPr="003D0BFB">
        <w:t xml:space="preserve"> thermal rating</w:t>
      </w:r>
      <w:r w:rsidR="00D9454B">
        <w:t xml:space="preserve"> </w:t>
      </w:r>
      <w:r w:rsidR="006A7315">
        <w:t>in the January update</w:t>
      </w:r>
      <w:r w:rsidRPr="003D0BFB">
        <w:t xml:space="preserve">. </w:t>
      </w:r>
      <w:r w:rsidR="006A7315">
        <w:t>Furthermore, these overloads are occurring in years where the modeled dispatch is in question pending a resolution of the final status of the units targeted for retirement in the 2022 IRP Order.</w:t>
      </w:r>
    </w:p>
    <w:p w14:paraId="2258935A" w14:textId="5AA70B55" w:rsidR="003D0BFB" w:rsidRPr="003D0BFB" w:rsidRDefault="00D9454B" w:rsidP="00EC5362">
      <w:pPr>
        <w:pStyle w:val="Answers"/>
      </w:pPr>
      <w:r>
        <w:tab/>
      </w:r>
      <w:r w:rsidR="00E926C6">
        <w:tab/>
      </w:r>
      <w:r w:rsidR="003D0BFB" w:rsidRPr="00564F94">
        <w:t xml:space="preserve">The project itself is simply a one-year advancement of a previously approved project. Under the circumstances, there appears to be insufficient evidence </w:t>
      </w:r>
      <w:r w:rsidR="2A92B78E" w:rsidRPr="00564F94">
        <w:t>i</w:t>
      </w:r>
      <w:r w:rsidR="003D0BFB" w:rsidRPr="00564F94">
        <w:t xml:space="preserve">n the record of the need to incur additional costs to advance the project one year. </w:t>
      </w:r>
      <w:r w:rsidR="41D1E435" w:rsidRPr="00564F94">
        <w:t>Given that the</w:t>
      </w:r>
      <w:r w:rsidR="003D0BFB" w:rsidRPr="00564F94">
        <w:t xml:space="preserve"> Company identifies the lead time for Project 7 at 42 months</w:t>
      </w:r>
      <w:r w:rsidR="4947ABFC" w:rsidRPr="00564F94">
        <w:t xml:space="preserve">, </w:t>
      </w:r>
      <w:r w:rsidR="56171218" w:rsidRPr="00564F94">
        <w:t>the Commission should defer consideration of this upgrade</w:t>
      </w:r>
      <w:r w:rsidR="1A4C82CF" w:rsidRPr="00564F94">
        <w:t xml:space="preserve"> </w:t>
      </w:r>
      <w:r w:rsidR="3FDB7635" w:rsidRPr="00564F94">
        <w:t xml:space="preserve">until the </w:t>
      </w:r>
      <w:r w:rsidR="002A7F9A" w:rsidRPr="00564F94">
        <w:t>2025 IRP proceeding</w:t>
      </w:r>
      <w:r w:rsidR="3FDB7635" w:rsidRPr="00564F94">
        <w:t>.</w:t>
      </w:r>
    </w:p>
    <w:p w14:paraId="633E9CD2" w14:textId="77777777" w:rsidR="003D0BFB" w:rsidRPr="00476E90" w:rsidRDefault="003D0BFB" w:rsidP="003D0BFB">
      <w:pPr>
        <w:pStyle w:val="Question"/>
      </w:pPr>
      <w:r w:rsidRPr="007F29D4">
        <w:t>Q.</w:t>
      </w:r>
      <w:r w:rsidRPr="007F29D4">
        <w:tab/>
      </w:r>
      <w:r>
        <w:t>WHAT DO YOU RECOMMEND WITH RESPECT TO PROJECT 7?</w:t>
      </w:r>
    </w:p>
    <w:p w14:paraId="741320BE" w14:textId="19E33254" w:rsidR="003D0BFB" w:rsidRPr="003D0BFB" w:rsidRDefault="003D0BFB" w:rsidP="00EC5362">
      <w:pPr>
        <w:pStyle w:val="Answers"/>
      </w:pPr>
      <w:r w:rsidRPr="003D0BFB">
        <w:t>A.</w:t>
      </w:r>
      <w:r w:rsidRPr="003D0BFB">
        <w:tab/>
        <w:t xml:space="preserve">We recommend the requested expense to advance the project one year be </w:t>
      </w:r>
      <w:r w:rsidR="0F9E5C9A">
        <w:t xml:space="preserve">denied </w:t>
      </w:r>
      <w:r w:rsidR="00E926C6">
        <w:t>at this time</w:t>
      </w:r>
      <w:r w:rsidR="3EF63AE2">
        <w:t>. Determ</w:t>
      </w:r>
      <w:r w:rsidR="79C29CEA">
        <w:t>in</w:t>
      </w:r>
      <w:r w:rsidR="3EF63AE2">
        <w:t xml:space="preserve">ation of whether Project 7 remains the optimal solution to any future transmission needs should be </w:t>
      </w:r>
      <w:r w:rsidR="00564F94">
        <w:t xml:space="preserve">considered as </w:t>
      </w:r>
      <w:r w:rsidR="3EF63AE2">
        <w:t>part of the Company’s full 2025 IRP</w:t>
      </w:r>
      <w:r w:rsidRPr="003D0BFB">
        <w:t>.</w:t>
      </w:r>
    </w:p>
    <w:p w14:paraId="7CEC536F" w14:textId="77777777" w:rsidR="003D0BFB" w:rsidRDefault="003D0BFB" w:rsidP="003D0BFB">
      <w:pPr>
        <w:spacing w:line="480" w:lineRule="auto"/>
        <w:ind w:left="720" w:hanging="720"/>
        <w:rPr>
          <w:rFonts w:ascii="Times New Roman" w:hAnsi="Times New Roman"/>
          <w:sz w:val="24"/>
          <w:szCs w:val="24"/>
        </w:rPr>
      </w:pPr>
    </w:p>
    <w:p w14:paraId="1CDC0DEA" w14:textId="304BA394" w:rsidR="003D0BFB" w:rsidRPr="00386453" w:rsidRDefault="003D0BFB" w:rsidP="00386453">
      <w:pPr>
        <w:pStyle w:val="Heading1"/>
        <w:ind w:left="810" w:hanging="810"/>
      </w:pPr>
      <w:bookmarkStart w:id="14" w:name="_Toc158741869"/>
      <w:r w:rsidRPr="00386453">
        <w:lastRenderedPageBreak/>
        <w:t>THE TIMING AND MAGNITUDE OF THE NEED FOR PROJECT 8 SUGGESTS THE REQUESTED EXPENSE BE REJECTED PENDING A MORE COMPLETE ANALYSIS IN THE NEXT IRP</w:t>
      </w:r>
      <w:bookmarkEnd w:id="14"/>
    </w:p>
    <w:p w14:paraId="410E8B45" w14:textId="5CAEB501" w:rsidR="003D0BFB" w:rsidRPr="00476E90" w:rsidRDefault="003D0BFB" w:rsidP="003D0BFB">
      <w:pPr>
        <w:pStyle w:val="Question"/>
      </w:pPr>
      <w:r w:rsidRPr="007F29D4">
        <w:t>Q.</w:t>
      </w:r>
      <w:r w:rsidRPr="007F29D4">
        <w:tab/>
        <w:t>Please</w:t>
      </w:r>
      <w:r>
        <w:t xml:space="preserve"> DESCRIBE THE OVERLOADS IDENTIFIED AND SOLUTIONS PROFFERED </w:t>
      </w:r>
      <w:r w:rsidR="5E78B666">
        <w:t xml:space="preserve">BY THE COMPANY </w:t>
      </w:r>
      <w:r>
        <w:t>RELATED TO THE COMPANY’S IDENTIFED PROJECT 8.</w:t>
      </w:r>
    </w:p>
    <w:p w14:paraId="6601B7EC" w14:textId="08D9EC03" w:rsidR="003D0BFB" w:rsidRPr="003D0BFB" w:rsidRDefault="003D0BFB" w:rsidP="00EC5362">
      <w:pPr>
        <w:pStyle w:val="Answers"/>
      </w:pPr>
      <w:r w:rsidRPr="003D0BFB">
        <w:t>A.</w:t>
      </w:r>
      <w:r w:rsidRPr="003D0BFB">
        <w:tab/>
        <w:t xml:space="preserve">TS STF-DEA-4-1 lists an overload associated with Project 8 as a </w:t>
      </w:r>
      <w:r w:rsidR="00432B75" w:rsidRPr="00432B75">
        <w:rPr>
          <w:highlight w:val="black"/>
        </w:rPr>
        <w:t>XXXXXXXXXXXXX</w:t>
      </w:r>
      <w:r w:rsidRPr="006A7315">
        <w:rPr>
          <w:highlight w:val="yellow"/>
        </w:rPr>
        <w:t xml:space="preserve"> </w:t>
      </w:r>
      <w:r w:rsidR="00432B75" w:rsidRPr="00432B75">
        <w:rPr>
          <w:highlight w:val="black"/>
        </w:rPr>
        <w:t>XXXXXXX</w:t>
      </w:r>
      <w:r w:rsidRPr="003D0BFB">
        <w:t xml:space="preserve"> transmission line, given an outage of the </w:t>
      </w:r>
      <w:r w:rsidR="00432B75" w:rsidRPr="00432B75">
        <w:rPr>
          <w:highlight w:val="black"/>
        </w:rPr>
        <w:t>XXXXXXXXXXXXXXXXXXX</w:t>
      </w:r>
      <w:r w:rsidRPr="003D0BFB">
        <w:t xml:space="preserve"> transmission line. This </w:t>
      </w:r>
      <w:r w:rsidR="00432B75" w:rsidRPr="00432B75">
        <w:rPr>
          <w:highlight w:val="black"/>
        </w:rPr>
        <w:t>XXXXXXXXXXXXXXXXXXXX</w:t>
      </w:r>
      <w:r w:rsidRPr="003D0BFB">
        <w:t xml:space="preserve"> transmission line is a section of the </w:t>
      </w:r>
      <w:r w:rsidR="00432B75" w:rsidRPr="00432B75">
        <w:rPr>
          <w:highlight w:val="black"/>
        </w:rPr>
        <w:t>XXXXXXXXXXXXXXXXXXXXXXXXX</w:t>
      </w:r>
      <w:r w:rsidRPr="003D0BFB">
        <w:t xml:space="preserve"> transmission line. With the observed overload of the line section, the Company is recommending that the </w:t>
      </w:r>
      <w:r w:rsidR="00432B75" w:rsidRPr="00432B75">
        <w:rPr>
          <w:highlight w:val="black"/>
        </w:rPr>
        <w:t>XXXXXXXXXXX</w:t>
      </w:r>
      <w:r w:rsidRPr="006A7315">
        <w:rPr>
          <w:highlight w:val="yellow"/>
        </w:rPr>
        <w:t xml:space="preserve"> </w:t>
      </w:r>
      <w:r w:rsidR="00432B75" w:rsidRPr="00432B75">
        <w:rPr>
          <w:highlight w:val="black"/>
        </w:rPr>
        <w:t>XXXXXXXXXXX</w:t>
      </w:r>
      <w:r w:rsidRPr="003D0BFB">
        <w:t xml:space="preserve"> transmission line </w:t>
      </w:r>
      <w:r w:rsidR="006A7315">
        <w:t>be</w:t>
      </w:r>
      <w:r w:rsidRPr="003D0BFB">
        <w:t xml:space="preserve"> rebuilt with a </w:t>
      </w:r>
      <w:r w:rsidR="00432B75" w:rsidRPr="00432B75">
        <w:rPr>
          <w:highlight w:val="black"/>
        </w:rPr>
        <w:t>XXXXXXX</w:t>
      </w:r>
      <w:r w:rsidRPr="003D0BFB">
        <w:t xml:space="preserve"> cost. </w:t>
      </w:r>
      <w:r w:rsidR="008A267B">
        <w:t xml:space="preserve">The overloads in question begin in 2032 and are approximately </w:t>
      </w:r>
      <w:r w:rsidR="00432B75" w:rsidRPr="00432B75">
        <w:rPr>
          <w:highlight w:val="black"/>
        </w:rPr>
        <w:t>XXX</w:t>
      </w:r>
      <w:r w:rsidR="008A267B">
        <w:t xml:space="preserve"> of its normal thermal rating.</w:t>
      </w:r>
      <w:r w:rsidR="006A7315">
        <w:t xml:space="preserve"> Like the overloads associated with Project 7, these overloads also occur in years implicated by the uncertainty regarding the units designated for retirement in the 2022 IRP Order.</w:t>
      </w:r>
    </w:p>
    <w:p w14:paraId="0BB54797" w14:textId="19F3E498" w:rsidR="003D0BFB" w:rsidRPr="00476E90" w:rsidRDefault="003D0BFB" w:rsidP="003D0BFB">
      <w:pPr>
        <w:pStyle w:val="Question"/>
      </w:pPr>
      <w:r>
        <w:t>Q.</w:t>
      </w:r>
      <w:r w:rsidR="00E926C6">
        <w:tab/>
      </w:r>
      <w:r>
        <w:t>HAS THE COMPANY ESTABLISHED A CLEAR NEED FOR PROJECT 8 AT THIS TIME?</w:t>
      </w:r>
    </w:p>
    <w:p w14:paraId="448825C6" w14:textId="117C9408" w:rsidR="003D0BFB" w:rsidRDefault="003D0BFB" w:rsidP="00EC5362">
      <w:pPr>
        <w:pStyle w:val="Answers"/>
      </w:pPr>
      <w:r w:rsidRPr="003D0BFB">
        <w:t>A.</w:t>
      </w:r>
      <w:r w:rsidRPr="003D0BFB">
        <w:tab/>
        <w:t xml:space="preserve">No. The worst-case overload related to the Project 8 solution occurs in </w:t>
      </w:r>
      <w:r w:rsidR="6D27791A">
        <w:t>a scenario which represents</w:t>
      </w:r>
      <w:r w:rsidRPr="003D0BFB">
        <w:t xml:space="preserve"> a </w:t>
      </w:r>
      <w:r w:rsidR="00432B75" w:rsidRPr="00432B75">
        <w:rPr>
          <w:highlight w:val="black"/>
        </w:rPr>
        <w:t>XXXXXXXXXXXXXXXXXXXXXXXXXXXXXXXXXXXXXXXXXXX</w:t>
      </w:r>
      <w:r w:rsidRPr="006A7315">
        <w:rPr>
          <w:highlight w:val="yellow"/>
        </w:rPr>
        <w:t xml:space="preserve"> </w:t>
      </w:r>
      <w:r w:rsidR="00432B75" w:rsidRPr="00432B75">
        <w:rPr>
          <w:highlight w:val="black"/>
        </w:rPr>
        <w:t>XXXX</w:t>
      </w:r>
      <w:r w:rsidRPr="003D0BFB">
        <w:t xml:space="preserve">. However, the overload in question does not occur until </w:t>
      </w:r>
      <w:r w:rsidR="008A267B">
        <w:t>eight years from now</w:t>
      </w:r>
      <w:r w:rsidRPr="003D0BFB">
        <w:t xml:space="preserve">, and the line in question is </w:t>
      </w:r>
      <w:r w:rsidR="008A267B">
        <w:t xml:space="preserve">only </w:t>
      </w:r>
      <w:r w:rsidRPr="003D0BFB">
        <w:t xml:space="preserve">approximately </w:t>
      </w:r>
      <w:r w:rsidR="00432B75" w:rsidRPr="00432B75">
        <w:rPr>
          <w:highlight w:val="black"/>
        </w:rPr>
        <w:t>XXX</w:t>
      </w:r>
      <w:r w:rsidRPr="003D0BFB">
        <w:t xml:space="preserve"> overloaded. The solution being proposed </w:t>
      </w:r>
      <w:r w:rsidRPr="003D0BFB">
        <w:lastRenderedPageBreak/>
        <w:t xml:space="preserve">has a </w:t>
      </w:r>
      <w:r w:rsidR="006A7315" w:rsidRPr="003D0BFB">
        <w:t>36-month</w:t>
      </w:r>
      <w:r w:rsidRPr="003D0BFB">
        <w:t xml:space="preserve"> lead time, which provides the latitude to delay a final decision until the 2025 IRP </w:t>
      </w:r>
      <w:r w:rsidR="009067DE">
        <w:t>which allows</w:t>
      </w:r>
      <w:r w:rsidR="00EA7AA5">
        <w:t xml:space="preserve"> for</w:t>
      </w:r>
      <w:r w:rsidR="009067DE" w:rsidRPr="003D0BFB">
        <w:t xml:space="preserve"> </w:t>
      </w:r>
      <w:r w:rsidRPr="003D0BFB">
        <w:t>full stud</w:t>
      </w:r>
      <w:r w:rsidR="007D7729">
        <w:t>y of future</w:t>
      </w:r>
      <w:r w:rsidRPr="003D0BFB">
        <w:t xml:space="preserve"> transmission needs. </w:t>
      </w:r>
    </w:p>
    <w:p w14:paraId="5F51162D" w14:textId="01F0A016" w:rsidR="008A267B" w:rsidRPr="00476E90" w:rsidRDefault="008A267B" w:rsidP="008A267B">
      <w:pPr>
        <w:pStyle w:val="Question"/>
      </w:pPr>
      <w:r w:rsidRPr="007F29D4">
        <w:t>Q.</w:t>
      </w:r>
      <w:r w:rsidRPr="007F29D4">
        <w:tab/>
      </w:r>
      <w:r>
        <w:t>WHAT DO YOU RECOMMEND WITH RESPECT TO PROJECT 8?</w:t>
      </w:r>
    </w:p>
    <w:p w14:paraId="44CCAF37" w14:textId="4BD1DC98" w:rsidR="008A267B" w:rsidRPr="003D0BFB" w:rsidRDefault="008A267B" w:rsidP="00EC5362">
      <w:pPr>
        <w:pStyle w:val="Answers"/>
      </w:pPr>
      <w:r w:rsidRPr="003D0BFB">
        <w:t>A.</w:t>
      </w:r>
      <w:r w:rsidRPr="003D0BFB">
        <w:tab/>
      </w:r>
      <w:r w:rsidR="006A7315">
        <w:t xml:space="preserve">Such a small overload so far in the future suggests that the Company has time to incorporate this potential issue in a fuller study of the transmission needs of their system. </w:t>
      </w:r>
      <w:r w:rsidRPr="003D0BFB">
        <w:t xml:space="preserve">We recommend </w:t>
      </w:r>
      <w:r w:rsidR="00323E50">
        <w:t xml:space="preserve">that </w:t>
      </w:r>
      <w:r w:rsidRPr="003D0BFB">
        <w:t xml:space="preserve">the requested </w:t>
      </w:r>
      <w:r>
        <w:t>project</w:t>
      </w:r>
      <w:r w:rsidRPr="003D0BFB">
        <w:t xml:space="preserve"> be </w:t>
      </w:r>
      <w:r w:rsidR="77B29AE0">
        <w:t xml:space="preserve">denied </w:t>
      </w:r>
      <w:r>
        <w:t>and</w:t>
      </w:r>
      <w:r w:rsidRPr="003D0BFB">
        <w:t xml:space="preserve"> that the </w:t>
      </w:r>
      <w:r>
        <w:t>potential need for this or other similar projects be considered in the 2025 IRP</w:t>
      </w:r>
      <w:r w:rsidRPr="003D0BFB">
        <w:t>.</w:t>
      </w:r>
    </w:p>
    <w:p w14:paraId="11009308" w14:textId="77777777" w:rsidR="003D0BFB" w:rsidRPr="003D0BFB" w:rsidRDefault="003D0BFB" w:rsidP="00EC5362">
      <w:pPr>
        <w:pStyle w:val="Answers"/>
      </w:pPr>
    </w:p>
    <w:p w14:paraId="361E066E" w14:textId="42A06FF3" w:rsidR="003D0BFB" w:rsidRPr="00EA23D4" w:rsidRDefault="003D0BFB" w:rsidP="00386453">
      <w:pPr>
        <w:pStyle w:val="Heading1"/>
        <w:ind w:left="720" w:hanging="720"/>
      </w:pPr>
      <w:bookmarkStart w:id="15" w:name="_Toc158741870"/>
      <w:r>
        <w:t>DISCUSSION OF DAYMARK’S ANALYSIS ON TRANSMISSION UPGRADES FOR PLANT YATES</w:t>
      </w:r>
      <w:bookmarkEnd w:id="15"/>
    </w:p>
    <w:p w14:paraId="3A90BF1F" w14:textId="133CC6C1" w:rsidR="007D469D" w:rsidRDefault="007D469D" w:rsidP="007D469D">
      <w:pPr>
        <w:spacing w:line="480" w:lineRule="auto"/>
        <w:ind w:left="720" w:hanging="720"/>
        <w:rPr>
          <w:rFonts w:ascii="Times New Roman" w:hAnsi="Times New Roman"/>
          <w:b/>
          <w:caps/>
          <w:sz w:val="24"/>
          <w:szCs w:val="24"/>
        </w:rPr>
      </w:pPr>
      <w:r w:rsidRPr="007D469D">
        <w:rPr>
          <w:rFonts w:ascii="Times New Roman" w:hAnsi="Times New Roman"/>
          <w:b/>
          <w:caps/>
          <w:sz w:val="24"/>
          <w:szCs w:val="24"/>
        </w:rPr>
        <w:t xml:space="preserve"> </w:t>
      </w:r>
      <w:r w:rsidR="00AC00F8">
        <w:rPr>
          <w:rFonts w:ascii="Times New Roman" w:hAnsi="Times New Roman"/>
          <w:b/>
          <w:caps/>
          <w:sz w:val="24"/>
          <w:szCs w:val="24"/>
        </w:rPr>
        <w:t xml:space="preserve">Q. </w:t>
      </w:r>
      <w:r w:rsidR="00AC00F8">
        <w:rPr>
          <w:rFonts w:ascii="Times New Roman" w:hAnsi="Times New Roman"/>
          <w:b/>
          <w:caps/>
          <w:sz w:val="24"/>
          <w:szCs w:val="24"/>
        </w:rPr>
        <w:tab/>
      </w:r>
      <w:r>
        <w:rPr>
          <w:rFonts w:ascii="Times New Roman" w:hAnsi="Times New Roman"/>
          <w:b/>
          <w:caps/>
          <w:sz w:val="24"/>
          <w:szCs w:val="24"/>
        </w:rPr>
        <w:t xml:space="preserve">did the company provide any data indicating a study of plant yates output </w:t>
      </w:r>
      <w:r w:rsidR="00AC00F8">
        <w:rPr>
          <w:rFonts w:ascii="Times New Roman" w:hAnsi="Times New Roman"/>
          <w:b/>
          <w:caps/>
          <w:sz w:val="24"/>
          <w:szCs w:val="24"/>
        </w:rPr>
        <w:t xml:space="preserve">limited to </w:t>
      </w:r>
      <w:r w:rsidR="00313873">
        <w:rPr>
          <w:rFonts w:ascii="Times New Roman" w:hAnsi="Times New Roman"/>
          <w:b/>
          <w:caps/>
          <w:sz w:val="24"/>
          <w:szCs w:val="24"/>
        </w:rPr>
        <w:t xml:space="preserve">less than the </w:t>
      </w:r>
      <w:r w:rsidR="00880E46">
        <w:rPr>
          <w:rFonts w:ascii="Times New Roman" w:hAnsi="Times New Roman"/>
          <w:b/>
          <w:caps/>
          <w:sz w:val="24"/>
          <w:szCs w:val="24"/>
        </w:rPr>
        <w:t>final company plan of three</w:t>
      </w:r>
      <w:r w:rsidR="00AC00F8">
        <w:rPr>
          <w:rFonts w:ascii="Times New Roman" w:hAnsi="Times New Roman"/>
          <w:b/>
          <w:caps/>
          <w:sz w:val="24"/>
          <w:szCs w:val="24"/>
        </w:rPr>
        <w:t xml:space="preserve"> units</w:t>
      </w:r>
      <w:r w:rsidR="00880E46">
        <w:rPr>
          <w:rFonts w:ascii="Times New Roman" w:hAnsi="Times New Roman"/>
          <w:b/>
          <w:caps/>
          <w:sz w:val="24"/>
          <w:szCs w:val="24"/>
        </w:rPr>
        <w:t>?</w:t>
      </w:r>
      <w:r w:rsidR="00AC00F8">
        <w:rPr>
          <w:rFonts w:ascii="Times New Roman" w:hAnsi="Times New Roman"/>
          <w:b/>
          <w:caps/>
          <w:sz w:val="24"/>
          <w:szCs w:val="24"/>
        </w:rPr>
        <w:t>?</w:t>
      </w:r>
    </w:p>
    <w:p w14:paraId="5E00D2D0" w14:textId="7C5B44BD" w:rsidR="007D469D" w:rsidRPr="005851D7" w:rsidRDefault="007D469D" w:rsidP="007D469D">
      <w:pPr>
        <w:spacing w:line="480" w:lineRule="auto"/>
        <w:ind w:left="720" w:hanging="720"/>
        <w:rPr>
          <w:rStyle w:val="eop"/>
          <w:rFonts w:ascii="Times New Roman" w:hAnsi="Times New Roman"/>
          <w:sz w:val="24"/>
          <w:szCs w:val="24"/>
        </w:rPr>
      </w:pPr>
      <w:r>
        <w:rPr>
          <w:rFonts w:ascii="Times New Roman" w:hAnsi="Times New Roman"/>
          <w:b/>
          <w:caps/>
          <w:sz w:val="24"/>
          <w:szCs w:val="24"/>
        </w:rPr>
        <w:t xml:space="preserve">A.        </w:t>
      </w:r>
      <w:r w:rsidRPr="00047407">
        <w:rPr>
          <w:rStyle w:val="eop"/>
          <w:rFonts w:ascii="Times New Roman" w:hAnsi="Times New Roman"/>
          <w:color w:val="000000" w:themeColor="text1"/>
          <w:sz w:val="24"/>
          <w:szCs w:val="24"/>
        </w:rPr>
        <w:t xml:space="preserve">No. The two rounds of transmission screening analysis results did not </w:t>
      </w:r>
      <w:r w:rsidR="00880E46">
        <w:rPr>
          <w:rStyle w:val="eop"/>
          <w:rFonts w:ascii="Times New Roman" w:hAnsi="Times New Roman"/>
          <w:color w:val="000000" w:themeColor="text1"/>
          <w:sz w:val="24"/>
          <w:szCs w:val="24"/>
        </w:rPr>
        <w:t>produce any</w:t>
      </w:r>
      <w:r w:rsidRPr="00047407">
        <w:rPr>
          <w:rStyle w:val="eop"/>
          <w:rFonts w:ascii="Times New Roman" w:hAnsi="Times New Roman"/>
          <w:color w:val="000000" w:themeColor="text1"/>
          <w:sz w:val="24"/>
          <w:szCs w:val="24"/>
        </w:rPr>
        <w:t xml:space="preserve"> analysis of Plant Yates </w:t>
      </w:r>
      <w:r w:rsidR="008C2E26" w:rsidRPr="00047407">
        <w:rPr>
          <w:rStyle w:val="eop"/>
          <w:rFonts w:ascii="Times New Roman" w:hAnsi="Times New Roman"/>
          <w:color w:val="000000" w:themeColor="text1"/>
          <w:sz w:val="24"/>
          <w:szCs w:val="24"/>
        </w:rPr>
        <w:t>combustion tu</w:t>
      </w:r>
      <w:r w:rsidR="008C2E26" w:rsidRPr="005851D7">
        <w:rPr>
          <w:rStyle w:val="eop"/>
          <w:rFonts w:ascii="Times New Roman" w:hAnsi="Times New Roman"/>
          <w:color w:val="000000" w:themeColor="text1"/>
          <w:sz w:val="24"/>
          <w:szCs w:val="24"/>
        </w:rPr>
        <w:t xml:space="preserve">rbines </w:t>
      </w:r>
      <w:r w:rsidR="00880E46" w:rsidRPr="005851D7">
        <w:rPr>
          <w:rStyle w:val="eop"/>
          <w:rFonts w:ascii="Times New Roman" w:hAnsi="Times New Roman"/>
          <w:color w:val="000000" w:themeColor="text1"/>
          <w:sz w:val="24"/>
          <w:szCs w:val="24"/>
        </w:rPr>
        <w:t>below the full capacity of 1,350</w:t>
      </w:r>
      <w:r w:rsidR="00822581" w:rsidRPr="005851D7">
        <w:rPr>
          <w:rStyle w:val="eop"/>
          <w:rFonts w:ascii="Times New Roman" w:hAnsi="Times New Roman"/>
          <w:color w:val="000000" w:themeColor="text1"/>
          <w:sz w:val="24"/>
          <w:szCs w:val="24"/>
        </w:rPr>
        <w:t>, or three CTs</w:t>
      </w:r>
      <w:r w:rsidR="00AB4CA6" w:rsidRPr="005851D7">
        <w:rPr>
          <w:rStyle w:val="FootnoteReference"/>
          <w:rFonts w:ascii="Times New Roman" w:hAnsi="Times New Roman"/>
          <w:color w:val="000000" w:themeColor="text1"/>
          <w:sz w:val="24"/>
          <w:szCs w:val="24"/>
        </w:rPr>
        <w:footnoteReference w:id="17"/>
      </w:r>
      <w:r w:rsidRPr="005851D7">
        <w:rPr>
          <w:rStyle w:val="eop"/>
          <w:rFonts w:ascii="Times New Roman" w:hAnsi="Times New Roman"/>
          <w:color w:val="000000" w:themeColor="text1"/>
          <w:sz w:val="24"/>
          <w:szCs w:val="24"/>
        </w:rPr>
        <w:t xml:space="preserve">. </w:t>
      </w:r>
    </w:p>
    <w:p w14:paraId="60A46B7F" w14:textId="23A48285" w:rsidR="007D469D" w:rsidRPr="005851D7" w:rsidRDefault="007D469D" w:rsidP="007D469D">
      <w:pPr>
        <w:spacing w:line="480" w:lineRule="auto"/>
        <w:ind w:left="720" w:hanging="720"/>
        <w:rPr>
          <w:rFonts w:ascii="Times New Roman" w:hAnsi="Times New Roman"/>
          <w:b/>
          <w:sz w:val="24"/>
          <w:szCs w:val="24"/>
        </w:rPr>
      </w:pPr>
      <w:r w:rsidRPr="005851D7">
        <w:rPr>
          <w:rFonts w:ascii="Times New Roman" w:hAnsi="Times New Roman"/>
          <w:b/>
          <w:caps/>
          <w:sz w:val="24"/>
          <w:szCs w:val="24"/>
        </w:rPr>
        <w:t>Q.</w:t>
      </w:r>
      <w:r w:rsidRPr="005851D7">
        <w:rPr>
          <w:rFonts w:ascii="Times New Roman" w:hAnsi="Times New Roman"/>
          <w:bCs/>
          <w:sz w:val="24"/>
          <w:szCs w:val="24"/>
        </w:rPr>
        <w:t xml:space="preserve">        </w:t>
      </w:r>
      <w:r w:rsidR="00940DB9" w:rsidRPr="005851D7">
        <w:rPr>
          <w:rFonts w:ascii="Times New Roman" w:hAnsi="Times New Roman"/>
          <w:b/>
          <w:sz w:val="24"/>
          <w:szCs w:val="24"/>
        </w:rPr>
        <w:t>P</w:t>
      </w:r>
      <w:r w:rsidR="00270A05" w:rsidRPr="005851D7">
        <w:rPr>
          <w:rFonts w:ascii="Times New Roman" w:hAnsi="Times New Roman"/>
          <w:b/>
          <w:sz w:val="24"/>
          <w:szCs w:val="24"/>
        </w:rPr>
        <w:t xml:space="preserve">LEASE DESCRIBE THE ANALYSIS THAT WAS CONDUCTED BY </w:t>
      </w:r>
      <w:r w:rsidR="006B6AE7" w:rsidRPr="005851D7">
        <w:rPr>
          <w:rFonts w:ascii="Times New Roman" w:hAnsi="Times New Roman"/>
          <w:b/>
          <w:sz w:val="24"/>
          <w:szCs w:val="24"/>
        </w:rPr>
        <w:t>DAYMARK</w:t>
      </w:r>
      <w:r w:rsidR="009436C3" w:rsidRPr="005851D7">
        <w:rPr>
          <w:rFonts w:ascii="Times New Roman" w:hAnsi="Times New Roman"/>
          <w:b/>
          <w:sz w:val="24"/>
          <w:szCs w:val="24"/>
        </w:rPr>
        <w:t>.</w:t>
      </w:r>
    </w:p>
    <w:p w14:paraId="1EBCE398" w14:textId="6AEB7672" w:rsidR="007D469D" w:rsidRDefault="007D469D" w:rsidP="007D469D">
      <w:pPr>
        <w:spacing w:line="480" w:lineRule="auto"/>
        <w:ind w:left="720" w:hanging="720"/>
        <w:rPr>
          <w:rFonts w:asciiTheme="minorHAnsi" w:eastAsiaTheme="minorEastAsia" w:hAnsiTheme="minorHAnsi" w:cstheme="minorBidi"/>
          <w:sz w:val="24"/>
          <w:szCs w:val="24"/>
        </w:rPr>
      </w:pPr>
      <w:r w:rsidRPr="005851D7">
        <w:rPr>
          <w:rFonts w:ascii="Times New Roman" w:hAnsi="Times New Roman"/>
          <w:b/>
          <w:bCs/>
          <w:sz w:val="24"/>
          <w:szCs w:val="24"/>
        </w:rPr>
        <w:t xml:space="preserve">A.        </w:t>
      </w:r>
      <w:r w:rsidRPr="005851D7">
        <w:rPr>
          <w:rFonts w:ascii="Times New Roman" w:hAnsi="Times New Roman"/>
          <w:color w:val="000000" w:themeColor="text1"/>
          <w:sz w:val="24"/>
          <w:szCs w:val="24"/>
        </w:rPr>
        <w:t>The team used the provided power flow files from the transmission screening analysis</w:t>
      </w:r>
      <w:r w:rsidR="008C2E26" w:rsidRPr="005851D7">
        <w:rPr>
          <w:rFonts w:ascii="Times New Roman" w:hAnsi="Times New Roman"/>
          <w:color w:val="000000" w:themeColor="text1"/>
          <w:sz w:val="24"/>
          <w:szCs w:val="24"/>
        </w:rPr>
        <w:t xml:space="preserve"> and supplemental transmission filing</w:t>
      </w:r>
      <w:r w:rsidRPr="005851D7">
        <w:rPr>
          <w:rFonts w:ascii="Times New Roman" w:hAnsi="Times New Roman"/>
          <w:color w:val="000000" w:themeColor="text1"/>
          <w:sz w:val="24"/>
          <w:szCs w:val="24"/>
        </w:rPr>
        <w:t xml:space="preserve">, reducing the output of the modeled Plant Yates output from 1,350 </w:t>
      </w:r>
      <w:r w:rsidR="141B4C61" w:rsidRPr="005851D7">
        <w:rPr>
          <w:rFonts w:ascii="Times New Roman" w:hAnsi="Times New Roman"/>
          <w:color w:val="000000" w:themeColor="text1"/>
          <w:sz w:val="24"/>
          <w:szCs w:val="24"/>
        </w:rPr>
        <w:t xml:space="preserve">MW </w:t>
      </w:r>
      <w:r w:rsidRPr="005851D7">
        <w:rPr>
          <w:rFonts w:ascii="Times New Roman" w:hAnsi="Times New Roman"/>
          <w:color w:val="000000" w:themeColor="text1"/>
          <w:sz w:val="24"/>
          <w:szCs w:val="24"/>
        </w:rPr>
        <w:t xml:space="preserve">to 900 </w:t>
      </w:r>
      <w:r w:rsidR="1B28C286" w:rsidRPr="005851D7">
        <w:rPr>
          <w:rFonts w:ascii="Times New Roman" w:hAnsi="Times New Roman"/>
          <w:color w:val="000000" w:themeColor="text1"/>
          <w:sz w:val="24"/>
          <w:szCs w:val="24"/>
        </w:rPr>
        <w:t>MW</w:t>
      </w:r>
      <w:r w:rsidRPr="005851D7">
        <w:rPr>
          <w:rFonts w:ascii="Times New Roman" w:hAnsi="Times New Roman"/>
          <w:color w:val="000000" w:themeColor="text1"/>
          <w:sz w:val="24"/>
          <w:szCs w:val="24"/>
        </w:rPr>
        <w:t>. The</w:t>
      </w:r>
      <w:r w:rsidRPr="00047407">
        <w:rPr>
          <w:rFonts w:ascii="Times New Roman" w:hAnsi="Times New Roman"/>
          <w:color w:val="000000" w:themeColor="text1"/>
          <w:sz w:val="24"/>
          <w:szCs w:val="24"/>
        </w:rPr>
        <w:t xml:space="preserve"> team did not alter the modeled generation dispatches in </w:t>
      </w:r>
      <w:r w:rsidRPr="00047407">
        <w:rPr>
          <w:rFonts w:ascii="Times New Roman" w:hAnsi="Times New Roman"/>
          <w:color w:val="000000" w:themeColor="text1"/>
          <w:sz w:val="24"/>
          <w:szCs w:val="24"/>
        </w:rPr>
        <w:lastRenderedPageBreak/>
        <w:t>any other way</w:t>
      </w:r>
      <w:r w:rsidR="002054E3" w:rsidRPr="00047407">
        <w:rPr>
          <w:rFonts w:ascii="Times New Roman" w:hAnsi="Times New Roman"/>
          <w:color w:val="000000" w:themeColor="text1"/>
          <w:sz w:val="24"/>
          <w:szCs w:val="24"/>
        </w:rPr>
        <w:t xml:space="preserve">, using the </w:t>
      </w:r>
      <w:r w:rsidR="00B20DF7" w:rsidRPr="00047407">
        <w:rPr>
          <w:rFonts w:ascii="Times New Roman" w:hAnsi="Times New Roman"/>
          <w:color w:val="000000" w:themeColor="text1"/>
          <w:sz w:val="24"/>
          <w:szCs w:val="24"/>
        </w:rPr>
        <w:t xml:space="preserve">modelled </w:t>
      </w:r>
      <w:r w:rsidR="002054E3" w:rsidRPr="00047407">
        <w:rPr>
          <w:rFonts w:ascii="Times New Roman" w:hAnsi="Times New Roman"/>
          <w:color w:val="000000" w:themeColor="text1"/>
          <w:sz w:val="24"/>
          <w:szCs w:val="24"/>
        </w:rPr>
        <w:t xml:space="preserve">slack bus to account for </w:t>
      </w:r>
      <w:r w:rsidR="00B20DF7" w:rsidRPr="00047407">
        <w:rPr>
          <w:rFonts w:ascii="Times New Roman" w:hAnsi="Times New Roman"/>
          <w:color w:val="000000" w:themeColor="text1"/>
          <w:sz w:val="24"/>
          <w:szCs w:val="24"/>
        </w:rPr>
        <w:t>additional generation</w:t>
      </w:r>
      <w:r w:rsidRPr="00047407">
        <w:rPr>
          <w:rFonts w:ascii="Times New Roman" w:hAnsi="Times New Roman"/>
          <w:color w:val="000000" w:themeColor="text1"/>
          <w:sz w:val="24"/>
          <w:szCs w:val="24"/>
        </w:rPr>
        <w:t xml:space="preserve">. The team analyzed the five scenarios indicated </w:t>
      </w:r>
      <w:r w:rsidRPr="00047407">
        <w:rPr>
          <w:rFonts w:ascii="Times New Roman" w:eastAsiaTheme="minorEastAsia" w:hAnsi="Times New Roman"/>
          <w:color w:val="000000" w:themeColor="text1"/>
          <w:sz w:val="24"/>
          <w:szCs w:val="24"/>
        </w:rPr>
        <w:t xml:space="preserve">in TS STF-DEA-4-1, which were deemed as worst-case </w:t>
      </w:r>
      <w:r w:rsidRPr="005851D7">
        <w:rPr>
          <w:rFonts w:ascii="Times New Roman" w:eastAsiaTheme="minorEastAsia" w:hAnsi="Times New Roman"/>
          <w:color w:val="000000" w:themeColor="text1"/>
          <w:sz w:val="24"/>
          <w:szCs w:val="24"/>
        </w:rPr>
        <w:t xml:space="preserve">scenarios for establishing the transmission upgrades needed to support the Plant Yates output at 1,350 </w:t>
      </w:r>
      <w:r w:rsidR="42F4F1D6" w:rsidRPr="005851D7">
        <w:rPr>
          <w:rFonts w:ascii="Times New Roman" w:eastAsiaTheme="minorEastAsia" w:hAnsi="Times New Roman"/>
          <w:color w:val="000000" w:themeColor="text1"/>
          <w:sz w:val="24"/>
          <w:szCs w:val="24"/>
        </w:rPr>
        <w:t>MW</w:t>
      </w:r>
      <w:r w:rsidRPr="00047407">
        <w:rPr>
          <w:rFonts w:ascii="Times New Roman" w:eastAsiaTheme="minorEastAsia" w:hAnsi="Times New Roman"/>
          <w:color w:val="000000" w:themeColor="text1"/>
          <w:sz w:val="24"/>
          <w:szCs w:val="24"/>
        </w:rPr>
        <w:t>.</w:t>
      </w:r>
      <w:r w:rsidR="00B20DF7" w:rsidRPr="00047407">
        <w:rPr>
          <w:rFonts w:ascii="Times New Roman" w:eastAsiaTheme="minorEastAsia" w:hAnsi="Times New Roman"/>
          <w:color w:val="000000" w:themeColor="text1"/>
          <w:sz w:val="24"/>
          <w:szCs w:val="24"/>
        </w:rPr>
        <w:t xml:space="preserve"> The same scenarios, or </w:t>
      </w:r>
      <w:r w:rsidR="00FF2AE1" w:rsidRPr="00047407">
        <w:rPr>
          <w:rFonts w:ascii="Times New Roman" w:eastAsiaTheme="minorEastAsia" w:hAnsi="Times New Roman"/>
          <w:color w:val="000000" w:themeColor="text1"/>
          <w:sz w:val="24"/>
          <w:szCs w:val="24"/>
        </w:rPr>
        <w:t xml:space="preserve">their </w:t>
      </w:r>
      <w:r w:rsidR="00B20DF7" w:rsidRPr="00047407">
        <w:rPr>
          <w:rFonts w:ascii="Times New Roman" w:eastAsiaTheme="minorEastAsia" w:hAnsi="Times New Roman"/>
          <w:color w:val="000000" w:themeColor="text1"/>
          <w:sz w:val="24"/>
          <w:szCs w:val="24"/>
        </w:rPr>
        <w:t xml:space="preserve">close counterparts, </w:t>
      </w:r>
      <w:r w:rsidR="00FF2AE1" w:rsidRPr="00047407">
        <w:rPr>
          <w:rFonts w:ascii="Times New Roman" w:eastAsiaTheme="minorEastAsia" w:hAnsi="Times New Roman"/>
          <w:color w:val="000000" w:themeColor="text1"/>
          <w:sz w:val="24"/>
          <w:szCs w:val="24"/>
        </w:rPr>
        <w:t xml:space="preserve">from the January analysis were used to </w:t>
      </w:r>
      <w:r w:rsidR="005236A0" w:rsidRPr="00047407">
        <w:rPr>
          <w:rFonts w:ascii="Times New Roman" w:eastAsiaTheme="minorEastAsia" w:hAnsi="Times New Roman"/>
          <w:color w:val="000000" w:themeColor="text1"/>
          <w:sz w:val="24"/>
          <w:szCs w:val="24"/>
        </w:rPr>
        <w:t>investigate the decrease in output.</w:t>
      </w:r>
    </w:p>
    <w:p w14:paraId="42A0848E" w14:textId="77777777" w:rsidR="005236A0" w:rsidRDefault="005236A0" w:rsidP="007D469D">
      <w:pPr>
        <w:spacing w:line="480" w:lineRule="auto"/>
        <w:ind w:left="720" w:hanging="720"/>
        <w:rPr>
          <w:rFonts w:ascii="Times New Roman" w:hAnsi="Times New Roman"/>
          <w:color w:val="FF0000"/>
          <w:sz w:val="24"/>
          <w:szCs w:val="24"/>
        </w:rPr>
      </w:pPr>
    </w:p>
    <w:p w14:paraId="4F740CBE" w14:textId="17C6545A" w:rsidR="007D469D" w:rsidRDefault="007D469D" w:rsidP="007D469D">
      <w:pPr>
        <w:spacing w:line="480" w:lineRule="auto"/>
        <w:ind w:left="720" w:hanging="720"/>
        <w:rPr>
          <w:rFonts w:ascii="Times New Roman" w:hAnsi="Times New Roman"/>
          <w:b/>
          <w:caps/>
          <w:sz w:val="24"/>
          <w:szCs w:val="24"/>
        </w:rPr>
      </w:pPr>
      <w:r>
        <w:rPr>
          <w:rFonts w:ascii="Times New Roman" w:hAnsi="Times New Roman"/>
          <w:b/>
          <w:sz w:val="24"/>
          <w:szCs w:val="24"/>
        </w:rPr>
        <w:t xml:space="preserve">Q.        </w:t>
      </w:r>
      <w:r w:rsidRPr="007F29D4">
        <w:rPr>
          <w:rFonts w:ascii="Times New Roman" w:hAnsi="Times New Roman"/>
          <w:b/>
          <w:caps/>
          <w:sz w:val="24"/>
          <w:szCs w:val="24"/>
        </w:rPr>
        <w:t>Please</w:t>
      </w:r>
      <w:r>
        <w:rPr>
          <w:rFonts w:ascii="Times New Roman" w:hAnsi="Times New Roman"/>
          <w:b/>
          <w:caps/>
          <w:sz w:val="24"/>
          <w:szCs w:val="24"/>
        </w:rPr>
        <w:t xml:space="preserve"> DESCRIBE THE OVERLOADS IDENTIFIED WHEN YATES OUTPUT IS LIMITED TO </w:t>
      </w:r>
      <w:r w:rsidR="00B00353">
        <w:rPr>
          <w:rFonts w:ascii="Times New Roman" w:hAnsi="Times New Roman"/>
          <w:b/>
          <w:caps/>
          <w:sz w:val="24"/>
          <w:szCs w:val="24"/>
        </w:rPr>
        <w:t>the capacity of two cts</w:t>
      </w:r>
      <w:r w:rsidR="004C0C48">
        <w:rPr>
          <w:rFonts w:ascii="Times New Roman" w:hAnsi="Times New Roman"/>
          <w:b/>
          <w:caps/>
          <w:sz w:val="24"/>
          <w:szCs w:val="24"/>
        </w:rPr>
        <w:t xml:space="preserve"> in the daymark analysis</w:t>
      </w:r>
      <w:r>
        <w:rPr>
          <w:rFonts w:ascii="Times New Roman" w:hAnsi="Times New Roman"/>
          <w:b/>
          <w:caps/>
          <w:sz w:val="24"/>
          <w:szCs w:val="24"/>
        </w:rPr>
        <w:t>.</w:t>
      </w:r>
    </w:p>
    <w:p w14:paraId="3219BCA7" w14:textId="40F7310A" w:rsidR="007D469D" w:rsidRDefault="007D469D" w:rsidP="009436C3">
      <w:pPr>
        <w:spacing w:line="480" w:lineRule="auto"/>
        <w:ind w:left="720" w:hanging="720"/>
        <w:rPr>
          <w:rFonts w:ascii="Times New Roman" w:hAnsi="Times New Roman"/>
          <w:sz w:val="24"/>
          <w:szCs w:val="24"/>
        </w:rPr>
      </w:pPr>
      <w:r w:rsidRPr="009B4386">
        <w:rPr>
          <w:rFonts w:ascii="Times New Roman" w:hAnsi="Times New Roman"/>
          <w:b/>
          <w:caps/>
          <w:sz w:val="24"/>
          <w:szCs w:val="24"/>
        </w:rPr>
        <w:t xml:space="preserve">a.       </w:t>
      </w:r>
      <w:r w:rsidRPr="009B4386">
        <w:rPr>
          <w:rFonts w:ascii="Times New Roman" w:hAnsi="Times New Roman"/>
          <w:sz w:val="24"/>
          <w:szCs w:val="24"/>
        </w:rPr>
        <w:t xml:space="preserve">With respect to the project justifications identified in TS STF-DEA-4-1, </w:t>
      </w:r>
      <w:r w:rsidR="004C0C48">
        <w:rPr>
          <w:rFonts w:ascii="Times New Roman" w:hAnsi="Times New Roman"/>
          <w:sz w:val="24"/>
          <w:szCs w:val="24"/>
        </w:rPr>
        <w:t>the Daymark analysis showed</w:t>
      </w:r>
      <w:r w:rsidRPr="009B4386">
        <w:rPr>
          <w:rFonts w:ascii="Times New Roman" w:hAnsi="Times New Roman"/>
          <w:sz w:val="24"/>
          <w:szCs w:val="24"/>
        </w:rPr>
        <w:t xml:space="preserve"> </w:t>
      </w:r>
      <w:r w:rsidR="005D2297">
        <w:rPr>
          <w:rFonts w:ascii="Times New Roman" w:hAnsi="Times New Roman"/>
          <w:sz w:val="24"/>
          <w:szCs w:val="24"/>
        </w:rPr>
        <w:t>line loadings</w:t>
      </w:r>
      <w:r w:rsidR="005D2297" w:rsidRPr="009B4386">
        <w:rPr>
          <w:rFonts w:ascii="Times New Roman" w:hAnsi="Times New Roman"/>
          <w:sz w:val="24"/>
          <w:szCs w:val="24"/>
        </w:rPr>
        <w:t xml:space="preserve"> </w:t>
      </w:r>
      <w:r w:rsidRPr="009B4386">
        <w:rPr>
          <w:rFonts w:ascii="Times New Roman" w:hAnsi="Times New Roman"/>
          <w:sz w:val="24"/>
          <w:szCs w:val="24"/>
        </w:rPr>
        <w:t>are</w:t>
      </w:r>
      <w:r w:rsidR="00A70F54">
        <w:rPr>
          <w:rFonts w:ascii="Times New Roman" w:hAnsi="Times New Roman"/>
          <w:sz w:val="24"/>
          <w:szCs w:val="24"/>
        </w:rPr>
        <w:t xml:space="preserve"> reduced by</w:t>
      </w:r>
      <w:r w:rsidR="004C0C48">
        <w:rPr>
          <w:rFonts w:ascii="Times New Roman" w:hAnsi="Times New Roman"/>
          <w:sz w:val="24"/>
          <w:szCs w:val="24"/>
        </w:rPr>
        <w:t xml:space="preserve"> approximately </w:t>
      </w:r>
      <w:r w:rsidR="00BE4D84">
        <w:rPr>
          <w:rFonts w:ascii="Times New Roman" w:hAnsi="Times New Roman"/>
          <w:sz w:val="24"/>
          <w:szCs w:val="24"/>
        </w:rPr>
        <w:t>3</w:t>
      </w:r>
      <w:r w:rsidR="00360858">
        <w:rPr>
          <w:rFonts w:ascii="Times New Roman" w:hAnsi="Times New Roman"/>
          <w:sz w:val="24"/>
          <w:szCs w:val="24"/>
        </w:rPr>
        <w:t>.5 to 9.5%</w:t>
      </w:r>
      <w:r w:rsidR="004A3DB4">
        <w:rPr>
          <w:rFonts w:ascii="Times New Roman" w:hAnsi="Times New Roman"/>
          <w:sz w:val="24"/>
          <w:szCs w:val="24"/>
        </w:rPr>
        <w:t xml:space="preserve"> </w:t>
      </w:r>
      <w:r w:rsidR="004C0C48">
        <w:rPr>
          <w:rFonts w:ascii="Times New Roman" w:hAnsi="Times New Roman"/>
          <w:sz w:val="24"/>
          <w:szCs w:val="24"/>
        </w:rPr>
        <w:t>as follows</w:t>
      </w:r>
      <w:r w:rsidRPr="009B4386">
        <w:rPr>
          <w:rFonts w:ascii="Times New Roman" w:hAnsi="Times New Roman"/>
          <w:sz w:val="24"/>
          <w:szCs w:val="24"/>
        </w:rPr>
        <w:t>:</w:t>
      </w:r>
    </w:p>
    <w:tbl>
      <w:tblPr>
        <w:tblW w:w="10165" w:type="dxa"/>
        <w:tblLook w:val="04A0" w:firstRow="1" w:lastRow="0" w:firstColumn="1" w:lastColumn="0" w:noHBand="0" w:noVBand="1"/>
      </w:tblPr>
      <w:tblGrid>
        <w:gridCol w:w="747"/>
        <w:gridCol w:w="1264"/>
        <w:gridCol w:w="1347"/>
        <w:gridCol w:w="846"/>
        <w:gridCol w:w="741"/>
        <w:gridCol w:w="17"/>
        <w:gridCol w:w="2413"/>
        <w:gridCol w:w="900"/>
        <w:gridCol w:w="900"/>
        <w:gridCol w:w="990"/>
      </w:tblGrid>
      <w:tr w:rsidR="00BC0821" w:rsidRPr="00416AA4" w14:paraId="0594550E" w14:textId="3ACF3A0E" w:rsidTr="00BC0821">
        <w:trPr>
          <w:trHeight w:val="495"/>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CD48A" w14:textId="77777777" w:rsidR="00416AA4" w:rsidRPr="00676BE8" w:rsidRDefault="00416AA4" w:rsidP="00416AA4">
            <w:pPr>
              <w:jc w:val="center"/>
              <w:rPr>
                <w:rFonts w:cs="Calibri"/>
                <w:b/>
                <w:bCs/>
                <w:sz w:val="18"/>
                <w:szCs w:val="18"/>
              </w:rPr>
            </w:pPr>
            <w:r w:rsidRPr="00676BE8">
              <w:rPr>
                <w:rFonts w:cs="Calibri"/>
                <w:b/>
                <w:bCs/>
                <w:sz w:val="18"/>
                <w:szCs w:val="18"/>
              </w:rPr>
              <w:t>Project</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6A1267C7" w14:textId="77777777" w:rsidR="00416AA4" w:rsidRPr="00676BE8" w:rsidRDefault="00416AA4" w:rsidP="00416AA4">
            <w:pPr>
              <w:jc w:val="center"/>
              <w:rPr>
                <w:rFonts w:cs="Calibri"/>
                <w:b/>
                <w:bCs/>
                <w:sz w:val="18"/>
                <w:szCs w:val="18"/>
              </w:rPr>
            </w:pPr>
            <w:r w:rsidRPr="00676BE8">
              <w:rPr>
                <w:rFonts w:cs="Calibri"/>
                <w:b/>
                <w:bCs/>
                <w:sz w:val="18"/>
                <w:szCs w:val="18"/>
              </w:rPr>
              <w:t>Constraint</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5F243F97" w14:textId="77777777" w:rsidR="00416AA4" w:rsidRPr="00676BE8" w:rsidRDefault="00416AA4" w:rsidP="00416AA4">
            <w:pPr>
              <w:jc w:val="center"/>
              <w:rPr>
                <w:rFonts w:cs="Calibri"/>
                <w:b/>
                <w:bCs/>
                <w:sz w:val="18"/>
                <w:szCs w:val="18"/>
              </w:rPr>
            </w:pPr>
            <w:r w:rsidRPr="00676BE8">
              <w:rPr>
                <w:rFonts w:cs="Calibri"/>
                <w:b/>
                <w:bCs/>
                <w:sz w:val="18"/>
                <w:szCs w:val="18"/>
              </w:rPr>
              <w:t>Contingency</w:t>
            </w:r>
          </w:p>
        </w:tc>
        <w:tc>
          <w:tcPr>
            <w:tcW w:w="1604" w:type="dxa"/>
            <w:gridSpan w:val="3"/>
            <w:tcBorders>
              <w:top w:val="single" w:sz="4" w:space="0" w:color="auto"/>
              <w:left w:val="nil"/>
              <w:bottom w:val="single" w:sz="4" w:space="0" w:color="auto"/>
              <w:right w:val="single" w:sz="4" w:space="0" w:color="auto"/>
            </w:tcBorders>
            <w:shd w:val="clear" w:color="auto" w:fill="auto"/>
            <w:vAlign w:val="center"/>
            <w:hideMark/>
          </w:tcPr>
          <w:p w14:paraId="0CA87F31" w14:textId="77777777" w:rsidR="00416AA4" w:rsidRPr="00676BE8" w:rsidRDefault="00416AA4" w:rsidP="00416AA4">
            <w:pPr>
              <w:jc w:val="center"/>
              <w:rPr>
                <w:rFonts w:cs="Calibri"/>
                <w:b/>
                <w:bCs/>
                <w:sz w:val="18"/>
                <w:szCs w:val="18"/>
              </w:rPr>
            </w:pPr>
            <w:r w:rsidRPr="00676BE8">
              <w:rPr>
                <w:rFonts w:cs="Calibri"/>
                <w:b/>
                <w:bCs/>
                <w:sz w:val="18"/>
                <w:szCs w:val="18"/>
              </w:rPr>
              <w:t>Rating (MVA)</w:t>
            </w:r>
          </w:p>
        </w:tc>
        <w:tc>
          <w:tcPr>
            <w:tcW w:w="2413" w:type="dxa"/>
            <w:tcBorders>
              <w:top w:val="single" w:sz="4" w:space="0" w:color="auto"/>
              <w:left w:val="nil"/>
              <w:bottom w:val="single" w:sz="4" w:space="0" w:color="auto"/>
              <w:right w:val="single" w:sz="4" w:space="0" w:color="auto"/>
            </w:tcBorders>
            <w:shd w:val="clear" w:color="auto" w:fill="auto"/>
            <w:vAlign w:val="center"/>
            <w:hideMark/>
          </w:tcPr>
          <w:p w14:paraId="01F36CC3" w14:textId="77777777" w:rsidR="00416AA4" w:rsidRPr="00676BE8" w:rsidRDefault="00416AA4" w:rsidP="00416AA4">
            <w:pPr>
              <w:jc w:val="center"/>
              <w:rPr>
                <w:rFonts w:cs="Calibri"/>
                <w:b/>
                <w:bCs/>
                <w:sz w:val="18"/>
                <w:szCs w:val="18"/>
              </w:rPr>
            </w:pPr>
            <w:r w:rsidRPr="00676BE8">
              <w:rPr>
                <w:rFonts w:cs="Calibri"/>
                <w:b/>
                <w:bCs/>
                <w:sz w:val="18"/>
                <w:szCs w:val="18"/>
              </w:rPr>
              <w:t>Case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2A02AB6" w14:textId="77777777" w:rsidR="00416AA4" w:rsidRPr="00676BE8" w:rsidRDefault="00416AA4" w:rsidP="00416AA4">
            <w:pPr>
              <w:jc w:val="center"/>
              <w:rPr>
                <w:rFonts w:cs="Calibri"/>
                <w:b/>
                <w:bCs/>
                <w:i/>
                <w:iCs/>
                <w:sz w:val="18"/>
                <w:szCs w:val="18"/>
              </w:rPr>
            </w:pPr>
            <w:r w:rsidRPr="00676BE8">
              <w:rPr>
                <w:rFonts w:cs="Calibri"/>
                <w:b/>
                <w:bCs/>
                <w:i/>
                <w:iCs/>
                <w:sz w:val="18"/>
                <w:szCs w:val="18"/>
              </w:rPr>
              <w:t>Yates 1350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59378F7" w14:textId="77777777" w:rsidR="00416AA4" w:rsidRPr="00676BE8" w:rsidRDefault="00416AA4" w:rsidP="00416AA4">
            <w:pPr>
              <w:jc w:val="center"/>
              <w:rPr>
                <w:rFonts w:cs="Calibri"/>
                <w:b/>
                <w:bCs/>
                <w:i/>
                <w:iCs/>
                <w:sz w:val="18"/>
                <w:szCs w:val="18"/>
              </w:rPr>
            </w:pPr>
            <w:r w:rsidRPr="00676BE8">
              <w:rPr>
                <w:rFonts w:cs="Calibri"/>
                <w:b/>
                <w:bCs/>
                <w:i/>
                <w:iCs/>
                <w:sz w:val="18"/>
                <w:szCs w:val="18"/>
              </w:rPr>
              <w:t>Yates 900</w:t>
            </w:r>
          </w:p>
        </w:tc>
        <w:tc>
          <w:tcPr>
            <w:tcW w:w="990" w:type="dxa"/>
            <w:tcBorders>
              <w:top w:val="single" w:sz="4" w:space="0" w:color="auto"/>
              <w:left w:val="nil"/>
              <w:bottom w:val="single" w:sz="4" w:space="0" w:color="auto"/>
              <w:right w:val="single" w:sz="4" w:space="0" w:color="auto"/>
            </w:tcBorders>
            <w:vAlign w:val="center"/>
          </w:tcPr>
          <w:p w14:paraId="5DDDD4EE" w14:textId="627EE5EE" w:rsidR="00DD5A8B" w:rsidRPr="00676BE8" w:rsidRDefault="00DD5A8B" w:rsidP="00A62CE2">
            <w:pPr>
              <w:jc w:val="center"/>
              <w:rPr>
                <w:rFonts w:cs="Calibri"/>
                <w:b/>
                <w:bCs/>
                <w:i/>
                <w:iCs/>
                <w:sz w:val="18"/>
                <w:szCs w:val="18"/>
              </w:rPr>
            </w:pPr>
            <w:r w:rsidRPr="00676BE8">
              <w:rPr>
                <w:rFonts w:cs="Calibri"/>
                <w:b/>
                <w:bCs/>
                <w:i/>
                <w:iCs/>
                <w:sz w:val="18"/>
                <w:szCs w:val="18"/>
              </w:rPr>
              <w:t>Percent Change</w:t>
            </w:r>
          </w:p>
        </w:tc>
      </w:tr>
      <w:tr w:rsidR="00BC0821" w:rsidRPr="00416AA4" w14:paraId="3FEDB55D" w14:textId="42042D12" w:rsidTr="00BC0821">
        <w:trPr>
          <w:trHeight w:val="300"/>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68FABD7" w14:textId="77777777" w:rsidR="00416AA4" w:rsidRPr="00676BE8" w:rsidRDefault="00416AA4" w:rsidP="00416AA4">
            <w:pPr>
              <w:jc w:val="left"/>
              <w:rPr>
                <w:rFonts w:cs="Calibri"/>
                <w:sz w:val="18"/>
                <w:szCs w:val="18"/>
              </w:rPr>
            </w:pPr>
            <w:r w:rsidRPr="00676BE8">
              <w:rPr>
                <w:rFonts w:cs="Calibri"/>
                <w:sz w:val="18"/>
                <w:szCs w:val="18"/>
              </w:rPr>
              <w:t> </w:t>
            </w:r>
          </w:p>
        </w:tc>
        <w:tc>
          <w:tcPr>
            <w:tcW w:w="1264" w:type="dxa"/>
            <w:tcBorders>
              <w:top w:val="nil"/>
              <w:left w:val="nil"/>
              <w:bottom w:val="single" w:sz="4" w:space="0" w:color="auto"/>
              <w:right w:val="single" w:sz="4" w:space="0" w:color="auto"/>
            </w:tcBorders>
            <w:shd w:val="clear" w:color="auto" w:fill="auto"/>
            <w:vAlign w:val="center"/>
            <w:hideMark/>
          </w:tcPr>
          <w:p w14:paraId="70C021F5" w14:textId="77777777" w:rsidR="00416AA4" w:rsidRPr="00676BE8" w:rsidRDefault="00416AA4" w:rsidP="00416AA4">
            <w:pPr>
              <w:jc w:val="left"/>
              <w:rPr>
                <w:rFonts w:cs="Calibri"/>
                <w:sz w:val="18"/>
                <w:szCs w:val="18"/>
              </w:rPr>
            </w:pPr>
            <w:r w:rsidRPr="00676BE8">
              <w:rPr>
                <w:rFonts w:cs="Calibri"/>
                <w:sz w:val="18"/>
                <w:szCs w:val="18"/>
              </w:rPr>
              <w:t> </w:t>
            </w:r>
          </w:p>
        </w:tc>
        <w:tc>
          <w:tcPr>
            <w:tcW w:w="1347" w:type="dxa"/>
            <w:tcBorders>
              <w:top w:val="nil"/>
              <w:left w:val="nil"/>
              <w:bottom w:val="single" w:sz="4" w:space="0" w:color="auto"/>
              <w:right w:val="single" w:sz="4" w:space="0" w:color="auto"/>
            </w:tcBorders>
            <w:shd w:val="clear" w:color="auto" w:fill="auto"/>
            <w:vAlign w:val="center"/>
            <w:hideMark/>
          </w:tcPr>
          <w:p w14:paraId="15E39F74" w14:textId="77777777" w:rsidR="00416AA4" w:rsidRPr="00676BE8" w:rsidRDefault="00416AA4" w:rsidP="00416AA4">
            <w:pPr>
              <w:jc w:val="left"/>
              <w:rPr>
                <w:rFonts w:cs="Calibri"/>
                <w:sz w:val="18"/>
                <w:szCs w:val="18"/>
              </w:rPr>
            </w:pPr>
            <w:r w:rsidRPr="00676BE8">
              <w:rPr>
                <w:rFonts w:cs="Calibri"/>
                <w:sz w:val="18"/>
                <w:szCs w:val="18"/>
              </w:rPr>
              <w:t> </w:t>
            </w:r>
          </w:p>
        </w:tc>
        <w:tc>
          <w:tcPr>
            <w:tcW w:w="846" w:type="dxa"/>
            <w:tcBorders>
              <w:top w:val="nil"/>
              <w:left w:val="nil"/>
              <w:bottom w:val="single" w:sz="4" w:space="0" w:color="auto"/>
              <w:right w:val="single" w:sz="4" w:space="0" w:color="auto"/>
            </w:tcBorders>
            <w:shd w:val="clear" w:color="auto" w:fill="auto"/>
            <w:noWrap/>
            <w:vAlign w:val="center"/>
            <w:hideMark/>
          </w:tcPr>
          <w:p w14:paraId="5868EAE6" w14:textId="77777777" w:rsidR="00416AA4" w:rsidRPr="00676BE8" w:rsidRDefault="00416AA4" w:rsidP="00416AA4">
            <w:pPr>
              <w:jc w:val="center"/>
              <w:rPr>
                <w:rFonts w:cs="Calibri"/>
                <w:b/>
                <w:bCs/>
                <w:sz w:val="18"/>
                <w:szCs w:val="18"/>
              </w:rPr>
            </w:pPr>
            <w:r w:rsidRPr="00676BE8">
              <w:rPr>
                <w:rFonts w:cs="Calibri"/>
                <w:b/>
                <w:bCs/>
                <w:sz w:val="18"/>
                <w:szCs w:val="18"/>
              </w:rPr>
              <w:t>Summer</w:t>
            </w:r>
          </w:p>
        </w:tc>
        <w:tc>
          <w:tcPr>
            <w:tcW w:w="741" w:type="dxa"/>
            <w:tcBorders>
              <w:top w:val="nil"/>
              <w:left w:val="nil"/>
              <w:bottom w:val="single" w:sz="4" w:space="0" w:color="auto"/>
              <w:right w:val="single" w:sz="4" w:space="0" w:color="auto"/>
            </w:tcBorders>
            <w:shd w:val="clear" w:color="auto" w:fill="auto"/>
            <w:noWrap/>
            <w:vAlign w:val="center"/>
            <w:hideMark/>
          </w:tcPr>
          <w:p w14:paraId="4C085784" w14:textId="77777777" w:rsidR="00416AA4" w:rsidRPr="00676BE8" w:rsidRDefault="00416AA4" w:rsidP="00416AA4">
            <w:pPr>
              <w:jc w:val="center"/>
              <w:rPr>
                <w:rFonts w:cs="Calibri"/>
                <w:b/>
                <w:bCs/>
                <w:sz w:val="18"/>
                <w:szCs w:val="18"/>
              </w:rPr>
            </w:pPr>
            <w:r w:rsidRPr="00676BE8">
              <w:rPr>
                <w:rFonts w:cs="Calibri"/>
                <w:b/>
                <w:bCs/>
                <w:sz w:val="18"/>
                <w:szCs w:val="18"/>
              </w:rPr>
              <w:t>Winter</w:t>
            </w:r>
          </w:p>
        </w:tc>
        <w:tc>
          <w:tcPr>
            <w:tcW w:w="2430" w:type="dxa"/>
            <w:gridSpan w:val="2"/>
            <w:tcBorders>
              <w:top w:val="nil"/>
              <w:left w:val="nil"/>
              <w:bottom w:val="single" w:sz="4" w:space="0" w:color="auto"/>
              <w:right w:val="single" w:sz="4" w:space="0" w:color="auto"/>
            </w:tcBorders>
            <w:shd w:val="clear" w:color="auto" w:fill="auto"/>
            <w:vAlign w:val="center"/>
            <w:hideMark/>
          </w:tcPr>
          <w:p w14:paraId="106B582A" w14:textId="79DA6E5C" w:rsidR="00416AA4" w:rsidRPr="00676BE8" w:rsidRDefault="00416AA4" w:rsidP="00416AA4">
            <w:pPr>
              <w:jc w:val="center"/>
              <w:rPr>
                <w:rFonts w:ascii="Consolas" w:hAnsi="Consolas"/>
                <w:sz w:val="18"/>
                <w:szCs w:val="18"/>
                <w:u w:val="single"/>
              </w:rPr>
            </w:pPr>
          </w:p>
        </w:tc>
        <w:tc>
          <w:tcPr>
            <w:tcW w:w="900" w:type="dxa"/>
            <w:tcBorders>
              <w:top w:val="nil"/>
              <w:left w:val="nil"/>
              <w:bottom w:val="single" w:sz="4" w:space="0" w:color="auto"/>
              <w:right w:val="single" w:sz="4" w:space="0" w:color="auto"/>
            </w:tcBorders>
            <w:shd w:val="clear" w:color="auto" w:fill="auto"/>
            <w:noWrap/>
            <w:vAlign w:val="center"/>
            <w:hideMark/>
          </w:tcPr>
          <w:p w14:paraId="0121FFBB" w14:textId="41078441" w:rsidR="00416AA4" w:rsidRPr="00676BE8" w:rsidRDefault="00416AA4" w:rsidP="00416AA4">
            <w:pPr>
              <w:jc w:val="center"/>
              <w:rPr>
                <w:rFonts w:ascii="Consolas" w:hAnsi="Consolas"/>
                <w:sz w:val="18"/>
                <w:szCs w:val="18"/>
                <w:u w:val="single"/>
              </w:rPr>
            </w:pPr>
          </w:p>
        </w:tc>
        <w:tc>
          <w:tcPr>
            <w:tcW w:w="900" w:type="dxa"/>
            <w:tcBorders>
              <w:top w:val="nil"/>
              <w:left w:val="nil"/>
              <w:bottom w:val="single" w:sz="4" w:space="0" w:color="auto"/>
              <w:right w:val="single" w:sz="4" w:space="0" w:color="auto"/>
            </w:tcBorders>
            <w:shd w:val="clear" w:color="auto" w:fill="auto"/>
            <w:noWrap/>
            <w:vAlign w:val="center"/>
            <w:hideMark/>
          </w:tcPr>
          <w:p w14:paraId="105C4C74" w14:textId="62F15E08" w:rsidR="00416AA4" w:rsidRPr="00676BE8" w:rsidRDefault="00416AA4" w:rsidP="00416AA4">
            <w:pPr>
              <w:jc w:val="center"/>
              <w:rPr>
                <w:rFonts w:ascii="Consolas" w:hAnsi="Consolas"/>
                <w:sz w:val="18"/>
                <w:szCs w:val="18"/>
                <w:u w:val="single"/>
              </w:rPr>
            </w:pPr>
          </w:p>
        </w:tc>
        <w:tc>
          <w:tcPr>
            <w:tcW w:w="990" w:type="dxa"/>
            <w:tcBorders>
              <w:top w:val="nil"/>
              <w:left w:val="nil"/>
              <w:bottom w:val="single" w:sz="4" w:space="0" w:color="auto"/>
              <w:right w:val="single" w:sz="4" w:space="0" w:color="auto"/>
            </w:tcBorders>
          </w:tcPr>
          <w:p w14:paraId="00064F94" w14:textId="77777777" w:rsidR="00F9180E" w:rsidRPr="00676BE8" w:rsidRDefault="00F9180E" w:rsidP="00416AA4">
            <w:pPr>
              <w:jc w:val="center"/>
              <w:rPr>
                <w:rFonts w:ascii="Consolas" w:hAnsi="Consolas"/>
                <w:sz w:val="18"/>
                <w:szCs w:val="18"/>
                <w:u w:val="single"/>
              </w:rPr>
            </w:pPr>
          </w:p>
        </w:tc>
      </w:tr>
      <w:tr w:rsidR="00676BE8" w:rsidRPr="00416AA4" w14:paraId="78AE2906" w14:textId="59BFE1F0"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1D53911C" w14:textId="77777777" w:rsidR="00676BE8" w:rsidRPr="005851D7" w:rsidRDefault="00676BE8" w:rsidP="00676BE8">
            <w:pPr>
              <w:jc w:val="left"/>
              <w:rPr>
                <w:rFonts w:cs="Calibri"/>
                <w:color w:val="000000"/>
                <w:sz w:val="18"/>
                <w:szCs w:val="18"/>
              </w:rPr>
            </w:pPr>
            <w:r w:rsidRPr="005851D7">
              <w:rPr>
                <w:rFonts w:cs="Calibri"/>
                <w:color w:val="000000"/>
                <w:sz w:val="18"/>
                <w:szCs w:val="18"/>
              </w:rPr>
              <w:t>P2</w:t>
            </w:r>
          </w:p>
        </w:tc>
        <w:tc>
          <w:tcPr>
            <w:tcW w:w="1264" w:type="dxa"/>
            <w:tcBorders>
              <w:top w:val="nil"/>
              <w:left w:val="nil"/>
              <w:bottom w:val="single" w:sz="4" w:space="0" w:color="auto"/>
              <w:right w:val="single" w:sz="4" w:space="0" w:color="auto"/>
            </w:tcBorders>
            <w:shd w:val="clear" w:color="000000" w:fill="FFFFFF"/>
            <w:vAlign w:val="center"/>
          </w:tcPr>
          <w:p w14:paraId="2FEDDAA4" w14:textId="77777777" w:rsidR="00676BE8" w:rsidRDefault="00676BE8" w:rsidP="00676BE8">
            <w:pPr>
              <w:jc w:val="left"/>
              <w:rPr>
                <w:rFonts w:cs="Calibri"/>
                <w:sz w:val="18"/>
                <w:szCs w:val="18"/>
              </w:rPr>
            </w:pPr>
            <w:r w:rsidRPr="00676BE8">
              <w:rPr>
                <w:rFonts w:cs="Calibri"/>
                <w:sz w:val="18"/>
                <w:szCs w:val="18"/>
                <w:highlight w:val="black"/>
              </w:rPr>
              <w:t>XXXXXXXXXX</w:t>
            </w:r>
          </w:p>
          <w:p w14:paraId="2B653E19" w14:textId="77777777" w:rsidR="00676BE8" w:rsidRDefault="00676BE8" w:rsidP="00676BE8">
            <w:pPr>
              <w:jc w:val="left"/>
              <w:rPr>
                <w:rFonts w:cs="Calibri"/>
                <w:sz w:val="18"/>
                <w:szCs w:val="18"/>
              </w:rPr>
            </w:pPr>
            <w:r w:rsidRPr="00676BE8">
              <w:rPr>
                <w:rFonts w:cs="Calibri"/>
                <w:sz w:val="18"/>
                <w:szCs w:val="18"/>
                <w:highlight w:val="black"/>
              </w:rPr>
              <w:t>XXXXXXXXXX</w:t>
            </w:r>
          </w:p>
          <w:p w14:paraId="00AA0E10" w14:textId="77777777" w:rsidR="00676BE8" w:rsidRDefault="00676BE8" w:rsidP="00676BE8">
            <w:pPr>
              <w:jc w:val="left"/>
              <w:rPr>
                <w:rFonts w:cs="Calibri"/>
                <w:sz w:val="18"/>
                <w:szCs w:val="18"/>
              </w:rPr>
            </w:pPr>
            <w:r w:rsidRPr="00676BE8">
              <w:rPr>
                <w:rFonts w:cs="Calibri"/>
                <w:sz w:val="18"/>
                <w:szCs w:val="18"/>
                <w:highlight w:val="black"/>
              </w:rPr>
              <w:t>XXXXXXXXXX</w:t>
            </w:r>
          </w:p>
          <w:p w14:paraId="44A6E968" w14:textId="77777777" w:rsidR="00676BE8" w:rsidRDefault="00676BE8" w:rsidP="00676BE8">
            <w:pPr>
              <w:jc w:val="left"/>
              <w:rPr>
                <w:rFonts w:cs="Calibri"/>
                <w:sz w:val="18"/>
                <w:szCs w:val="18"/>
              </w:rPr>
            </w:pPr>
            <w:r w:rsidRPr="00676BE8">
              <w:rPr>
                <w:rFonts w:cs="Calibri"/>
                <w:sz w:val="18"/>
                <w:szCs w:val="18"/>
                <w:highlight w:val="black"/>
              </w:rPr>
              <w:t>XXXXXXXXXX</w:t>
            </w:r>
          </w:p>
          <w:p w14:paraId="29F29293" w14:textId="3461DFD5" w:rsidR="00676BE8" w:rsidRPr="00676BE8" w:rsidRDefault="00676BE8" w:rsidP="00676BE8">
            <w:pPr>
              <w:jc w:val="left"/>
              <w:rPr>
                <w:rFonts w:cs="Calibri"/>
                <w:sz w:val="18"/>
                <w:szCs w:val="18"/>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477BD241" w14:textId="77777777" w:rsidR="00676BE8" w:rsidRDefault="00676BE8" w:rsidP="00676BE8">
            <w:pPr>
              <w:jc w:val="left"/>
              <w:rPr>
                <w:rFonts w:cs="Calibri"/>
                <w:sz w:val="18"/>
                <w:szCs w:val="18"/>
              </w:rPr>
            </w:pPr>
            <w:r w:rsidRPr="00676BE8">
              <w:rPr>
                <w:rFonts w:cs="Calibri"/>
                <w:sz w:val="18"/>
                <w:szCs w:val="18"/>
                <w:highlight w:val="black"/>
              </w:rPr>
              <w:t>XXXXXXXXXX</w:t>
            </w:r>
          </w:p>
          <w:p w14:paraId="190D87B4" w14:textId="77777777" w:rsidR="00676BE8" w:rsidRDefault="00676BE8" w:rsidP="00676BE8">
            <w:pPr>
              <w:jc w:val="left"/>
              <w:rPr>
                <w:rFonts w:cs="Calibri"/>
                <w:sz w:val="18"/>
                <w:szCs w:val="18"/>
              </w:rPr>
            </w:pPr>
            <w:r w:rsidRPr="00676BE8">
              <w:rPr>
                <w:rFonts w:cs="Calibri"/>
                <w:sz w:val="18"/>
                <w:szCs w:val="18"/>
                <w:highlight w:val="black"/>
              </w:rPr>
              <w:t>XXXXXXXXXX</w:t>
            </w:r>
          </w:p>
          <w:p w14:paraId="43CE0C2F" w14:textId="77777777" w:rsidR="00676BE8" w:rsidRDefault="00676BE8" w:rsidP="00676BE8">
            <w:pPr>
              <w:jc w:val="left"/>
              <w:rPr>
                <w:rFonts w:cs="Calibri"/>
                <w:sz w:val="18"/>
                <w:szCs w:val="18"/>
              </w:rPr>
            </w:pPr>
            <w:r w:rsidRPr="00676BE8">
              <w:rPr>
                <w:rFonts w:cs="Calibri"/>
                <w:sz w:val="18"/>
                <w:szCs w:val="18"/>
                <w:highlight w:val="black"/>
              </w:rPr>
              <w:t>XXXXXXXXXX</w:t>
            </w:r>
          </w:p>
          <w:p w14:paraId="7D1E286A" w14:textId="77777777" w:rsidR="00676BE8" w:rsidRDefault="00676BE8" w:rsidP="00676BE8">
            <w:pPr>
              <w:jc w:val="left"/>
              <w:rPr>
                <w:rFonts w:cs="Calibri"/>
                <w:sz w:val="18"/>
                <w:szCs w:val="18"/>
              </w:rPr>
            </w:pPr>
            <w:r w:rsidRPr="00676BE8">
              <w:rPr>
                <w:rFonts w:cs="Calibri"/>
                <w:sz w:val="18"/>
                <w:szCs w:val="18"/>
                <w:highlight w:val="black"/>
              </w:rPr>
              <w:t>XXXXXXXXXX</w:t>
            </w:r>
          </w:p>
          <w:p w14:paraId="59EDDC1B" w14:textId="47A65B0F" w:rsidR="00676BE8" w:rsidRPr="005851D7" w:rsidRDefault="00676BE8" w:rsidP="00676BE8">
            <w:pPr>
              <w:jc w:val="left"/>
              <w:rPr>
                <w:rFonts w:cs="Calibri"/>
                <w:color w:val="000000"/>
                <w:sz w:val="18"/>
                <w:szCs w:val="18"/>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1521D552" w14:textId="1E8A12EA" w:rsidR="00676BE8" w:rsidRPr="005851D7" w:rsidRDefault="00676BE8" w:rsidP="00676BE8">
            <w:pPr>
              <w:jc w:val="right"/>
              <w:rPr>
                <w:rFonts w:cs="Calibri"/>
                <w:color w:val="000000"/>
                <w:sz w:val="18"/>
                <w:szCs w:val="18"/>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4E0178A4" w14:textId="49341747" w:rsidR="00676BE8" w:rsidRPr="005851D7" w:rsidRDefault="00676BE8" w:rsidP="00676BE8">
            <w:pPr>
              <w:jc w:val="right"/>
              <w:rPr>
                <w:rFonts w:cs="Calibri"/>
                <w:color w:val="000000"/>
                <w:sz w:val="18"/>
                <w:szCs w:val="18"/>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0C6520D1" w14:textId="77777777" w:rsidR="00676BE8" w:rsidRDefault="00676BE8" w:rsidP="00676BE8">
            <w:pPr>
              <w:jc w:val="left"/>
              <w:rPr>
                <w:rFonts w:cs="Calibri"/>
                <w:color w:val="000000"/>
                <w:sz w:val="18"/>
                <w:szCs w:val="18"/>
              </w:rPr>
            </w:pPr>
            <w:r w:rsidRPr="00676BE8">
              <w:rPr>
                <w:rFonts w:cs="Calibri"/>
                <w:color w:val="000000"/>
                <w:sz w:val="18"/>
                <w:szCs w:val="18"/>
                <w:highlight w:val="black"/>
              </w:rPr>
              <w:t>XXXXXXXXXXXXXXXXXXXXXXX</w:t>
            </w:r>
          </w:p>
          <w:p w14:paraId="610D5DC7" w14:textId="03A4D1A2" w:rsidR="00676BE8" w:rsidRPr="005851D7" w:rsidRDefault="00676BE8" w:rsidP="00676BE8">
            <w:pPr>
              <w:jc w:val="left"/>
              <w:rPr>
                <w:rFonts w:cs="Calibri"/>
                <w:color w:val="000000"/>
                <w:sz w:val="18"/>
                <w:szCs w:val="18"/>
              </w:rPr>
            </w:pPr>
            <w:r w:rsidRPr="00676BE8">
              <w:rPr>
                <w:rFonts w:cs="Calibri"/>
                <w:color w:val="000000"/>
                <w:sz w:val="18"/>
                <w:szCs w:val="18"/>
                <w:highlight w:val="black"/>
              </w:rPr>
              <w:t>XXXXXXXXXXXXXXXXXXXXXXX</w:t>
            </w:r>
          </w:p>
        </w:tc>
        <w:tc>
          <w:tcPr>
            <w:tcW w:w="900" w:type="dxa"/>
            <w:tcBorders>
              <w:top w:val="nil"/>
              <w:left w:val="nil"/>
              <w:bottom w:val="single" w:sz="4" w:space="0" w:color="auto"/>
              <w:right w:val="single" w:sz="4" w:space="0" w:color="auto"/>
            </w:tcBorders>
            <w:shd w:val="clear" w:color="auto" w:fill="auto"/>
            <w:noWrap/>
            <w:vAlign w:val="center"/>
          </w:tcPr>
          <w:p w14:paraId="58D37A4D" w14:textId="412B42A3" w:rsidR="00676BE8" w:rsidRPr="00676BE8" w:rsidRDefault="00676BE8" w:rsidP="00676BE8">
            <w:pPr>
              <w:jc w:val="center"/>
              <w:rPr>
                <w:rFonts w:cs="Calibri"/>
                <w:color w:val="000000"/>
                <w:sz w:val="18"/>
                <w:szCs w:val="18"/>
              </w:rPr>
            </w:pPr>
            <w:r w:rsidRPr="00676BE8">
              <w:rPr>
                <w:rFonts w:cs="Calibri"/>
                <w:color w:val="000000"/>
                <w:sz w:val="18"/>
                <w:szCs w:val="18"/>
                <w:highlight w:val="black"/>
              </w:rPr>
              <w:t>XXXXX</w:t>
            </w:r>
          </w:p>
        </w:tc>
        <w:tc>
          <w:tcPr>
            <w:tcW w:w="900" w:type="dxa"/>
            <w:tcBorders>
              <w:top w:val="nil"/>
              <w:left w:val="nil"/>
              <w:bottom w:val="single" w:sz="4" w:space="0" w:color="auto"/>
              <w:right w:val="single" w:sz="4" w:space="0" w:color="auto"/>
            </w:tcBorders>
            <w:shd w:val="clear" w:color="auto" w:fill="auto"/>
            <w:noWrap/>
            <w:vAlign w:val="center"/>
          </w:tcPr>
          <w:p w14:paraId="4407C21A" w14:textId="3B5AA136" w:rsidR="00676BE8" w:rsidRPr="00676BE8" w:rsidRDefault="00676BE8" w:rsidP="00676BE8">
            <w:pPr>
              <w:jc w:val="center"/>
              <w:rPr>
                <w:rFonts w:cs="Calibri"/>
                <w:color w:val="000000"/>
                <w:sz w:val="18"/>
                <w:szCs w:val="18"/>
              </w:rPr>
            </w:pPr>
            <w:r w:rsidRPr="00676BE8">
              <w:rPr>
                <w:rFonts w:cs="Calibri"/>
                <w:color w:val="000000"/>
                <w:sz w:val="18"/>
                <w:szCs w:val="18"/>
                <w:highlight w:val="black"/>
              </w:rPr>
              <w:t>XXXXX</w:t>
            </w:r>
          </w:p>
        </w:tc>
        <w:tc>
          <w:tcPr>
            <w:tcW w:w="990" w:type="dxa"/>
            <w:tcBorders>
              <w:top w:val="nil"/>
              <w:left w:val="nil"/>
              <w:bottom w:val="single" w:sz="4" w:space="0" w:color="auto"/>
              <w:right w:val="single" w:sz="4" w:space="0" w:color="auto"/>
            </w:tcBorders>
            <w:vAlign w:val="center"/>
          </w:tcPr>
          <w:p w14:paraId="4B15D410" w14:textId="21F4E852"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4CA793B5" w14:textId="37DC1467"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4C68B341" w14:textId="77777777" w:rsidR="00676BE8" w:rsidRPr="00676BE8" w:rsidRDefault="00676BE8" w:rsidP="00676BE8">
            <w:pPr>
              <w:jc w:val="left"/>
              <w:rPr>
                <w:rFonts w:cs="Calibri"/>
                <w:color w:val="000000"/>
                <w:sz w:val="18"/>
                <w:szCs w:val="18"/>
              </w:rPr>
            </w:pPr>
            <w:r w:rsidRPr="00676BE8">
              <w:rPr>
                <w:rFonts w:cs="Calibri"/>
                <w:color w:val="000000"/>
                <w:sz w:val="18"/>
                <w:szCs w:val="18"/>
              </w:rPr>
              <w:t>P3</w:t>
            </w:r>
          </w:p>
        </w:tc>
        <w:tc>
          <w:tcPr>
            <w:tcW w:w="1264" w:type="dxa"/>
            <w:tcBorders>
              <w:top w:val="nil"/>
              <w:left w:val="nil"/>
              <w:bottom w:val="single" w:sz="4" w:space="0" w:color="auto"/>
              <w:right w:val="single" w:sz="4" w:space="0" w:color="auto"/>
            </w:tcBorders>
            <w:shd w:val="clear" w:color="000000" w:fill="FFFFFF"/>
            <w:vAlign w:val="center"/>
          </w:tcPr>
          <w:p w14:paraId="19D1F91A"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E634B3B"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2923FE9"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7B1A9FD" w14:textId="12EB3BE2"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5F775E41"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2814F08A"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FABDF6A"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25D345E6" w14:textId="1CBA0CE7"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352D4D1D" w14:textId="5F8307D9"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25F43318" w14:textId="03BFB3DF"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3EB24056"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018515FE" w14:textId="6F3556A1"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9595C" w14:textId="156A836B"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5FF15" w14:textId="54E0214C"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EED945" w14:textId="5F72F612"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7C6E17FF" w14:textId="1DE1F545"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53DA60BE" w14:textId="77777777" w:rsidR="00676BE8" w:rsidRPr="00676BE8" w:rsidRDefault="00676BE8" w:rsidP="00676BE8">
            <w:pPr>
              <w:jc w:val="left"/>
              <w:rPr>
                <w:rFonts w:cs="Calibri"/>
                <w:color w:val="000000"/>
                <w:sz w:val="18"/>
                <w:szCs w:val="18"/>
              </w:rPr>
            </w:pPr>
            <w:r w:rsidRPr="00676BE8">
              <w:rPr>
                <w:rFonts w:cs="Calibri"/>
                <w:color w:val="000000"/>
                <w:sz w:val="18"/>
                <w:szCs w:val="18"/>
              </w:rPr>
              <w:t>P3</w:t>
            </w:r>
          </w:p>
        </w:tc>
        <w:tc>
          <w:tcPr>
            <w:tcW w:w="1264" w:type="dxa"/>
            <w:tcBorders>
              <w:top w:val="nil"/>
              <w:left w:val="nil"/>
              <w:bottom w:val="single" w:sz="4" w:space="0" w:color="auto"/>
              <w:right w:val="single" w:sz="4" w:space="0" w:color="auto"/>
            </w:tcBorders>
            <w:shd w:val="clear" w:color="000000" w:fill="FFFFFF"/>
            <w:vAlign w:val="center"/>
          </w:tcPr>
          <w:p w14:paraId="4B24BD14"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21FDBE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7F5904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0D09C6E3"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BBE38A1" w14:textId="24B370A0"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76ADD6CE"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2AF5DDF6"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BB028CF"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CF7351E"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B8F7000" w14:textId="4330B458"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58C87F0C" w14:textId="77363EE2"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1EBEE167" w14:textId="5FCA986F"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329BABDA"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130FC79B" w14:textId="2B094BD8"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93317" w14:textId="4DB355E6"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9D285" w14:textId="4F952C5A"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4D04F2" w14:textId="6C9E28D6"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34AC3EF7" w14:textId="35376CF0"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269B901E" w14:textId="77777777" w:rsidR="00676BE8" w:rsidRPr="00676BE8" w:rsidRDefault="00676BE8" w:rsidP="00676BE8">
            <w:pPr>
              <w:jc w:val="left"/>
              <w:rPr>
                <w:rFonts w:cs="Calibri"/>
                <w:color w:val="000000"/>
                <w:sz w:val="18"/>
                <w:szCs w:val="18"/>
              </w:rPr>
            </w:pPr>
            <w:r w:rsidRPr="00676BE8">
              <w:rPr>
                <w:rFonts w:cs="Calibri"/>
                <w:color w:val="000000"/>
                <w:sz w:val="18"/>
                <w:szCs w:val="18"/>
              </w:rPr>
              <w:t>P4</w:t>
            </w:r>
          </w:p>
        </w:tc>
        <w:tc>
          <w:tcPr>
            <w:tcW w:w="1264" w:type="dxa"/>
            <w:tcBorders>
              <w:top w:val="nil"/>
              <w:left w:val="nil"/>
              <w:bottom w:val="single" w:sz="4" w:space="0" w:color="auto"/>
              <w:right w:val="single" w:sz="4" w:space="0" w:color="auto"/>
            </w:tcBorders>
            <w:shd w:val="clear" w:color="000000" w:fill="FFFFFF"/>
            <w:vAlign w:val="center"/>
          </w:tcPr>
          <w:p w14:paraId="59AC0015"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37A659E"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718BE3B"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8F499C1" w14:textId="30A47C4D"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75C95381"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0384E95E"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E3E296A"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ABB4633" w14:textId="71FA2528" w:rsidR="00676BE8" w:rsidRPr="005851D7" w:rsidRDefault="00676BE8" w:rsidP="00676BE8">
            <w:pPr>
              <w:jc w:val="left"/>
              <w:rPr>
                <w:rFonts w:cs="Calibri"/>
                <w:color w:val="000000"/>
                <w:sz w:val="18"/>
                <w:szCs w:val="18"/>
                <w:highlight w:val="yellow"/>
                <w:lang w:val="pt-BR"/>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1D80D823" w14:textId="3B06BFF8"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72F086BC" w14:textId="27CBF46F"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7BD01BD6"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6158B2C3" w14:textId="6CBE7035"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ED3AF" w14:textId="47C90B09"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nil"/>
              <w:left w:val="nil"/>
              <w:bottom w:val="single" w:sz="4" w:space="0" w:color="auto"/>
              <w:right w:val="single" w:sz="4" w:space="0" w:color="auto"/>
            </w:tcBorders>
            <w:shd w:val="clear" w:color="auto" w:fill="auto"/>
            <w:noWrap/>
            <w:vAlign w:val="center"/>
          </w:tcPr>
          <w:p w14:paraId="739BA92D" w14:textId="1D83B9FA" w:rsidR="00676BE8" w:rsidRPr="00676BE8" w:rsidRDefault="00676BE8" w:rsidP="00676BE8">
            <w:pPr>
              <w:jc w:val="center"/>
              <w:rPr>
                <w:rFonts w:cs="Calibri"/>
                <w:color w:val="000000"/>
                <w:sz w:val="18"/>
                <w:szCs w:val="18"/>
              </w:rPr>
            </w:pPr>
            <w:r w:rsidRPr="00676BE8">
              <w:rPr>
                <w:rFonts w:cs="Calibri"/>
                <w:color w:val="000000"/>
                <w:sz w:val="18"/>
                <w:szCs w:val="18"/>
                <w:highlight w:val="black"/>
              </w:rPr>
              <w:t>XXXXX</w:t>
            </w:r>
          </w:p>
        </w:tc>
        <w:tc>
          <w:tcPr>
            <w:tcW w:w="990" w:type="dxa"/>
            <w:tcBorders>
              <w:top w:val="nil"/>
              <w:left w:val="nil"/>
              <w:bottom w:val="single" w:sz="4" w:space="0" w:color="auto"/>
              <w:right w:val="single" w:sz="4" w:space="0" w:color="auto"/>
            </w:tcBorders>
            <w:shd w:val="clear" w:color="auto" w:fill="auto"/>
            <w:vAlign w:val="center"/>
          </w:tcPr>
          <w:p w14:paraId="5C9F95B2" w14:textId="0D3D2F58"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05752DF6" w14:textId="26F70A74" w:rsidTr="00676BE8">
        <w:trPr>
          <w:trHeight w:val="33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278D0940" w14:textId="77777777" w:rsidR="00676BE8" w:rsidRPr="00676BE8" w:rsidRDefault="00676BE8" w:rsidP="00676BE8">
            <w:pPr>
              <w:jc w:val="left"/>
              <w:rPr>
                <w:rFonts w:cs="Calibri"/>
                <w:color w:val="000000"/>
                <w:sz w:val="18"/>
                <w:szCs w:val="18"/>
              </w:rPr>
            </w:pPr>
            <w:r w:rsidRPr="00676BE8">
              <w:rPr>
                <w:rFonts w:cs="Calibri"/>
                <w:color w:val="000000"/>
                <w:sz w:val="18"/>
                <w:szCs w:val="18"/>
              </w:rPr>
              <w:t>P5</w:t>
            </w:r>
          </w:p>
        </w:tc>
        <w:tc>
          <w:tcPr>
            <w:tcW w:w="1264" w:type="dxa"/>
            <w:tcBorders>
              <w:top w:val="nil"/>
              <w:left w:val="nil"/>
              <w:bottom w:val="single" w:sz="4" w:space="0" w:color="auto"/>
              <w:right w:val="single" w:sz="4" w:space="0" w:color="auto"/>
            </w:tcBorders>
            <w:shd w:val="clear" w:color="000000" w:fill="FFFFFF"/>
            <w:vAlign w:val="center"/>
          </w:tcPr>
          <w:p w14:paraId="2F1F75E4"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D53057A"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2B8A047"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8A8A108" w14:textId="7FA3EA77"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316C7269"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E5E2EF7"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151D249"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2836A65F" w14:textId="76C4B24C" w:rsidR="00676BE8" w:rsidRPr="005851D7" w:rsidRDefault="00676BE8" w:rsidP="00676BE8">
            <w:pPr>
              <w:jc w:val="left"/>
              <w:rPr>
                <w:rFonts w:cs="Calibri"/>
                <w:color w:val="000000"/>
                <w:sz w:val="18"/>
                <w:szCs w:val="18"/>
                <w:highlight w:val="yellow"/>
                <w:lang w:val="pt-BR"/>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539944A8" w14:textId="57E95739"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39EBB913" w14:textId="2433B022"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39CCF82D"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61FE3926"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49A7FB96" w14:textId="1EB0E502"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B9517" w14:textId="06674F84"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nil"/>
              <w:left w:val="nil"/>
              <w:bottom w:val="single" w:sz="4" w:space="0" w:color="auto"/>
              <w:right w:val="single" w:sz="4" w:space="0" w:color="auto"/>
            </w:tcBorders>
            <w:shd w:val="clear" w:color="auto" w:fill="auto"/>
            <w:noWrap/>
            <w:vAlign w:val="center"/>
          </w:tcPr>
          <w:p w14:paraId="564366E6" w14:textId="4DD8A2CF" w:rsidR="00676BE8" w:rsidRPr="00676BE8" w:rsidRDefault="00676BE8" w:rsidP="00676BE8">
            <w:pPr>
              <w:jc w:val="center"/>
              <w:rPr>
                <w:rFonts w:cs="Calibri"/>
                <w:color w:val="000000"/>
                <w:sz w:val="18"/>
                <w:szCs w:val="18"/>
              </w:rPr>
            </w:pPr>
            <w:r w:rsidRPr="00676BE8">
              <w:rPr>
                <w:rFonts w:cs="Calibri"/>
                <w:color w:val="000000"/>
                <w:sz w:val="18"/>
                <w:szCs w:val="18"/>
                <w:highlight w:val="black"/>
              </w:rPr>
              <w:t>XXXXX</w:t>
            </w:r>
          </w:p>
        </w:tc>
        <w:tc>
          <w:tcPr>
            <w:tcW w:w="990" w:type="dxa"/>
            <w:tcBorders>
              <w:top w:val="nil"/>
              <w:left w:val="nil"/>
              <w:bottom w:val="single" w:sz="4" w:space="0" w:color="auto"/>
              <w:right w:val="single" w:sz="4" w:space="0" w:color="auto"/>
            </w:tcBorders>
            <w:shd w:val="clear" w:color="auto" w:fill="auto"/>
            <w:vAlign w:val="center"/>
          </w:tcPr>
          <w:p w14:paraId="6C446D5B" w14:textId="25B47E07"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0254ABA3" w14:textId="7F1AFBEB"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1B967452" w14:textId="77777777" w:rsidR="00676BE8" w:rsidRPr="00676BE8" w:rsidRDefault="00676BE8" w:rsidP="00676BE8">
            <w:pPr>
              <w:jc w:val="left"/>
              <w:rPr>
                <w:rFonts w:cs="Calibri"/>
                <w:color w:val="000000"/>
                <w:sz w:val="18"/>
                <w:szCs w:val="18"/>
              </w:rPr>
            </w:pPr>
            <w:r w:rsidRPr="00676BE8">
              <w:rPr>
                <w:rFonts w:cs="Calibri"/>
                <w:color w:val="000000"/>
                <w:sz w:val="18"/>
                <w:szCs w:val="18"/>
              </w:rPr>
              <w:t>P6</w:t>
            </w:r>
          </w:p>
        </w:tc>
        <w:tc>
          <w:tcPr>
            <w:tcW w:w="1264" w:type="dxa"/>
            <w:tcBorders>
              <w:top w:val="nil"/>
              <w:left w:val="nil"/>
              <w:bottom w:val="single" w:sz="4" w:space="0" w:color="auto"/>
              <w:right w:val="single" w:sz="4" w:space="0" w:color="auto"/>
            </w:tcBorders>
            <w:shd w:val="clear" w:color="000000" w:fill="FFFFFF"/>
            <w:vAlign w:val="center"/>
          </w:tcPr>
          <w:p w14:paraId="04121D14"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D7B951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E8280AC"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5F91C9E" w14:textId="153943E0"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5880D9A7"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E3AADF3"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0CBC764" w14:textId="38E6998E"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r w:rsidRPr="00676BE8">
              <w:rPr>
                <w:rFonts w:cs="Calibri"/>
                <w:sz w:val="18"/>
                <w:szCs w:val="18"/>
                <w:highlight w:val="black"/>
              </w:rPr>
              <w:t xml:space="preserve"> </w:t>
            </w: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54AD3A0B" w14:textId="7A7C692E"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1498956F" w14:textId="4315ACF9"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53295053"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4F27E6A6" w14:textId="1FC10C82"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84E83" w14:textId="12EFE1B2"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8DA1F" w14:textId="32CF5108"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5D3FDA" w14:textId="1B79608F"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6189DCC5" w14:textId="4308E82E"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05492D90" w14:textId="77777777" w:rsidR="00676BE8" w:rsidRPr="00676BE8" w:rsidRDefault="00676BE8" w:rsidP="00676BE8">
            <w:pPr>
              <w:jc w:val="left"/>
              <w:rPr>
                <w:rFonts w:cs="Calibri"/>
                <w:color w:val="000000"/>
                <w:sz w:val="18"/>
                <w:szCs w:val="18"/>
              </w:rPr>
            </w:pPr>
            <w:r w:rsidRPr="00676BE8">
              <w:rPr>
                <w:rFonts w:cs="Calibri"/>
                <w:color w:val="000000"/>
                <w:sz w:val="18"/>
                <w:szCs w:val="18"/>
              </w:rPr>
              <w:lastRenderedPageBreak/>
              <w:t>P6</w:t>
            </w:r>
          </w:p>
        </w:tc>
        <w:tc>
          <w:tcPr>
            <w:tcW w:w="1264" w:type="dxa"/>
            <w:tcBorders>
              <w:top w:val="nil"/>
              <w:left w:val="nil"/>
              <w:bottom w:val="single" w:sz="4" w:space="0" w:color="auto"/>
              <w:right w:val="single" w:sz="4" w:space="0" w:color="auto"/>
            </w:tcBorders>
            <w:shd w:val="clear" w:color="000000" w:fill="FFFFFF"/>
            <w:vAlign w:val="center"/>
          </w:tcPr>
          <w:p w14:paraId="31F2F071"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D168B0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083DCAC9"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3659A45" w14:textId="586FD6A8"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4E1985E2"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50EFDAB3"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7212464"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BDC394D" w14:textId="18F43E1B"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5A8F0D45" w14:textId="47641606"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3CFD0927" w14:textId="4C8ECA8B"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263861F9"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1DE2F870" w14:textId="1FFA5C78"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1B1B0" w14:textId="384CEE55"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A6DF9" w14:textId="43D35ECD"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CAF215" w14:textId="504CB026"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0B3E96CF" w14:textId="4A8B9F63"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00E76051" w14:textId="77777777" w:rsidR="00676BE8" w:rsidRPr="00676BE8" w:rsidRDefault="00676BE8" w:rsidP="00676BE8">
            <w:pPr>
              <w:jc w:val="left"/>
              <w:rPr>
                <w:rFonts w:cs="Calibri"/>
                <w:color w:val="000000"/>
                <w:sz w:val="18"/>
                <w:szCs w:val="18"/>
              </w:rPr>
            </w:pPr>
            <w:r w:rsidRPr="00676BE8">
              <w:rPr>
                <w:rFonts w:cs="Calibri"/>
                <w:color w:val="000000"/>
                <w:sz w:val="18"/>
                <w:szCs w:val="18"/>
              </w:rPr>
              <w:t>P7</w:t>
            </w:r>
          </w:p>
        </w:tc>
        <w:tc>
          <w:tcPr>
            <w:tcW w:w="1264" w:type="dxa"/>
            <w:tcBorders>
              <w:top w:val="nil"/>
              <w:left w:val="nil"/>
              <w:bottom w:val="single" w:sz="4" w:space="0" w:color="auto"/>
              <w:right w:val="single" w:sz="4" w:space="0" w:color="auto"/>
            </w:tcBorders>
            <w:shd w:val="clear" w:color="000000" w:fill="FFFFFF"/>
            <w:vAlign w:val="center"/>
          </w:tcPr>
          <w:p w14:paraId="6656BD41"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A552FC6"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3732F0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087A1F93"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766A25F" w14:textId="3D0F521A"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4F194769"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E7B198C"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3B69AD5F"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29CAB512"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76FF107" w14:textId="76BB2B2D" w:rsidR="00676BE8" w:rsidRPr="005851D7" w:rsidRDefault="00676BE8" w:rsidP="00676BE8">
            <w:pPr>
              <w:jc w:val="left"/>
              <w:rPr>
                <w:rFonts w:cs="Calibri"/>
                <w:color w:val="000000"/>
                <w:sz w:val="18"/>
                <w:szCs w:val="18"/>
                <w:highlight w:val="yellow"/>
                <w:lang w:val="pt-BR"/>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2C7E68AB" w14:textId="420E59F1"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08823AC5" w14:textId="4E34B15C"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356F623B"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58EF3F84" w14:textId="286A599C"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4A1F0" w14:textId="2BF44D25"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55F1C" w14:textId="43D57B77"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DF46D0" w14:textId="784158CF"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r w:rsidR="00676BE8" w:rsidRPr="00416AA4" w14:paraId="36490F7F" w14:textId="5F2791E2" w:rsidTr="00676BE8">
        <w:trPr>
          <w:trHeight w:val="300"/>
        </w:trPr>
        <w:tc>
          <w:tcPr>
            <w:tcW w:w="747" w:type="dxa"/>
            <w:tcBorders>
              <w:top w:val="nil"/>
              <w:left w:val="single" w:sz="4" w:space="0" w:color="auto"/>
              <w:bottom w:val="single" w:sz="4" w:space="0" w:color="auto"/>
              <w:right w:val="single" w:sz="4" w:space="0" w:color="auto"/>
            </w:tcBorders>
            <w:shd w:val="clear" w:color="000000" w:fill="FFFFFF"/>
            <w:noWrap/>
            <w:vAlign w:val="center"/>
            <w:hideMark/>
          </w:tcPr>
          <w:p w14:paraId="7B2C2A4F" w14:textId="77777777" w:rsidR="00676BE8" w:rsidRPr="00676BE8" w:rsidRDefault="00676BE8" w:rsidP="00676BE8">
            <w:pPr>
              <w:jc w:val="left"/>
              <w:rPr>
                <w:rFonts w:cs="Calibri"/>
                <w:color w:val="000000"/>
                <w:sz w:val="18"/>
                <w:szCs w:val="18"/>
              </w:rPr>
            </w:pPr>
            <w:r w:rsidRPr="00676BE8">
              <w:rPr>
                <w:rFonts w:cs="Calibri"/>
                <w:color w:val="000000"/>
                <w:sz w:val="18"/>
                <w:szCs w:val="18"/>
              </w:rPr>
              <w:t>P8</w:t>
            </w:r>
          </w:p>
        </w:tc>
        <w:tc>
          <w:tcPr>
            <w:tcW w:w="1264" w:type="dxa"/>
            <w:tcBorders>
              <w:top w:val="nil"/>
              <w:left w:val="nil"/>
              <w:bottom w:val="single" w:sz="4" w:space="0" w:color="auto"/>
              <w:right w:val="single" w:sz="4" w:space="0" w:color="auto"/>
            </w:tcBorders>
            <w:shd w:val="clear" w:color="000000" w:fill="FFFFFF"/>
            <w:vAlign w:val="center"/>
          </w:tcPr>
          <w:p w14:paraId="5537FBFB"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325EAB4"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70250FA2"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3798186"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686011DB" w14:textId="166359CF"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1347" w:type="dxa"/>
            <w:tcBorders>
              <w:top w:val="nil"/>
              <w:left w:val="nil"/>
              <w:bottom w:val="single" w:sz="4" w:space="0" w:color="auto"/>
              <w:right w:val="single" w:sz="4" w:space="0" w:color="auto"/>
            </w:tcBorders>
            <w:shd w:val="clear" w:color="000000" w:fill="FFFFFF"/>
            <w:vAlign w:val="center"/>
          </w:tcPr>
          <w:p w14:paraId="07B2067B"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C95BE81"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462FCB8"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169D786C" w14:textId="77777777" w:rsidR="00676BE8" w:rsidRDefault="00676BE8" w:rsidP="00676BE8">
            <w:pPr>
              <w:jc w:val="left"/>
              <w:rPr>
                <w:rFonts w:cs="Calibri"/>
                <w:sz w:val="18"/>
                <w:szCs w:val="18"/>
                <w:highlight w:val="black"/>
              </w:rPr>
            </w:pPr>
            <w:r w:rsidRPr="00676BE8">
              <w:rPr>
                <w:rFonts w:cs="Calibri"/>
                <w:sz w:val="18"/>
                <w:szCs w:val="18"/>
                <w:highlight w:val="black"/>
              </w:rPr>
              <w:t>XXXXXXXXXX</w:t>
            </w:r>
          </w:p>
          <w:p w14:paraId="4899F3D2" w14:textId="24B0B24E" w:rsidR="00676BE8" w:rsidRPr="005851D7" w:rsidRDefault="00676BE8" w:rsidP="00676BE8">
            <w:pPr>
              <w:jc w:val="left"/>
              <w:rPr>
                <w:rFonts w:cs="Calibri"/>
                <w:color w:val="000000"/>
                <w:sz w:val="18"/>
                <w:szCs w:val="18"/>
                <w:highlight w:val="yellow"/>
              </w:rPr>
            </w:pPr>
            <w:r w:rsidRPr="00676BE8">
              <w:rPr>
                <w:rFonts w:cs="Calibri"/>
                <w:sz w:val="18"/>
                <w:szCs w:val="18"/>
                <w:highlight w:val="black"/>
              </w:rPr>
              <w:t>XXXXXXXXXX</w:t>
            </w:r>
          </w:p>
        </w:tc>
        <w:tc>
          <w:tcPr>
            <w:tcW w:w="846" w:type="dxa"/>
            <w:tcBorders>
              <w:top w:val="nil"/>
              <w:left w:val="nil"/>
              <w:bottom w:val="single" w:sz="4" w:space="0" w:color="auto"/>
              <w:right w:val="single" w:sz="4" w:space="0" w:color="auto"/>
            </w:tcBorders>
            <w:shd w:val="clear" w:color="000000" w:fill="FFFFFF"/>
            <w:noWrap/>
            <w:vAlign w:val="center"/>
          </w:tcPr>
          <w:p w14:paraId="552BA364" w14:textId="7F4FFFEF"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741" w:type="dxa"/>
            <w:tcBorders>
              <w:top w:val="nil"/>
              <w:left w:val="nil"/>
              <w:bottom w:val="single" w:sz="4" w:space="0" w:color="auto"/>
              <w:right w:val="single" w:sz="4" w:space="0" w:color="auto"/>
            </w:tcBorders>
            <w:shd w:val="clear" w:color="000000" w:fill="FFFFFF"/>
            <w:noWrap/>
            <w:vAlign w:val="center"/>
          </w:tcPr>
          <w:p w14:paraId="062826F2" w14:textId="3214DA6D" w:rsidR="00676BE8" w:rsidRPr="005851D7" w:rsidRDefault="00676BE8" w:rsidP="00676BE8">
            <w:pPr>
              <w:jc w:val="right"/>
              <w:rPr>
                <w:rFonts w:cs="Calibri"/>
                <w:color w:val="000000"/>
                <w:sz w:val="18"/>
                <w:szCs w:val="18"/>
                <w:highlight w:val="yellow"/>
              </w:rPr>
            </w:pPr>
            <w:r w:rsidRPr="00676BE8">
              <w:rPr>
                <w:rFonts w:cs="Calibri"/>
                <w:color w:val="000000"/>
                <w:sz w:val="18"/>
                <w:szCs w:val="18"/>
                <w:highlight w:val="black"/>
              </w:rPr>
              <w:t>XXXXX</w:t>
            </w:r>
          </w:p>
        </w:tc>
        <w:tc>
          <w:tcPr>
            <w:tcW w:w="2430" w:type="dxa"/>
            <w:gridSpan w:val="2"/>
            <w:tcBorders>
              <w:top w:val="nil"/>
              <w:left w:val="nil"/>
              <w:bottom w:val="single" w:sz="4" w:space="0" w:color="auto"/>
              <w:right w:val="single" w:sz="4" w:space="0" w:color="auto"/>
            </w:tcBorders>
            <w:shd w:val="clear" w:color="000000" w:fill="FFFFFF"/>
            <w:vAlign w:val="center"/>
          </w:tcPr>
          <w:p w14:paraId="1E927530" w14:textId="77777777" w:rsidR="00676BE8" w:rsidRDefault="00676BE8" w:rsidP="00676BE8">
            <w:pPr>
              <w:jc w:val="left"/>
              <w:rPr>
                <w:rFonts w:cs="Calibri"/>
                <w:color w:val="000000"/>
                <w:sz w:val="18"/>
                <w:szCs w:val="18"/>
                <w:highlight w:val="black"/>
              </w:rPr>
            </w:pPr>
            <w:r w:rsidRPr="00676BE8">
              <w:rPr>
                <w:rFonts w:cs="Calibri"/>
                <w:color w:val="000000"/>
                <w:sz w:val="18"/>
                <w:szCs w:val="18"/>
                <w:highlight w:val="black"/>
              </w:rPr>
              <w:t>XXXXXXXXXXXXXXXXXXXXXXX</w:t>
            </w:r>
          </w:p>
          <w:p w14:paraId="15B2ED07" w14:textId="3D7BADA9" w:rsidR="00676BE8" w:rsidRPr="005851D7" w:rsidRDefault="00676BE8" w:rsidP="00676BE8">
            <w:pPr>
              <w:jc w:val="left"/>
              <w:rPr>
                <w:rFonts w:cs="Calibri"/>
                <w:color w:val="000000"/>
                <w:sz w:val="18"/>
                <w:szCs w:val="18"/>
                <w:highlight w:val="yellow"/>
              </w:rPr>
            </w:pPr>
            <w:r w:rsidRPr="00676BE8">
              <w:rPr>
                <w:rFonts w:cs="Calibri"/>
                <w:color w:val="000000"/>
                <w:sz w:val="18"/>
                <w:szCs w:val="18"/>
                <w:highlight w:val="black"/>
              </w:rPr>
              <w:t>XXXXXXXXXXXXXXXXXXXXXXX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DB32" w14:textId="5D99B2DA" w:rsidR="00676BE8" w:rsidRPr="00676BE8" w:rsidRDefault="00676BE8" w:rsidP="00676BE8">
            <w:pPr>
              <w:jc w:val="center"/>
              <w:rPr>
                <w:rFonts w:cs="Calibri"/>
                <w:color w:val="9C0006"/>
                <w:sz w:val="18"/>
                <w:szCs w:val="18"/>
              </w:rPr>
            </w:pPr>
            <w:r w:rsidRPr="00676BE8">
              <w:rPr>
                <w:rFonts w:cs="Calibri"/>
                <w:color w:val="000000"/>
                <w:sz w:val="18"/>
                <w:szCs w:val="18"/>
                <w:highlight w:val="black"/>
              </w:rPr>
              <w:t>XXXXX</w:t>
            </w:r>
          </w:p>
        </w:tc>
        <w:tc>
          <w:tcPr>
            <w:tcW w:w="900" w:type="dxa"/>
            <w:tcBorders>
              <w:top w:val="nil"/>
              <w:left w:val="nil"/>
              <w:bottom w:val="single" w:sz="4" w:space="0" w:color="auto"/>
              <w:right w:val="single" w:sz="4" w:space="0" w:color="auto"/>
            </w:tcBorders>
            <w:shd w:val="clear" w:color="auto" w:fill="auto"/>
            <w:noWrap/>
            <w:vAlign w:val="center"/>
          </w:tcPr>
          <w:p w14:paraId="6F54C2BC" w14:textId="2BE7496C" w:rsidR="00676BE8" w:rsidRPr="00676BE8" w:rsidRDefault="00676BE8" w:rsidP="00676BE8">
            <w:pPr>
              <w:jc w:val="center"/>
              <w:rPr>
                <w:rFonts w:cs="Calibri"/>
                <w:color w:val="000000"/>
                <w:sz w:val="18"/>
                <w:szCs w:val="18"/>
              </w:rPr>
            </w:pPr>
            <w:r w:rsidRPr="00676BE8">
              <w:rPr>
                <w:rFonts w:cs="Calibri"/>
                <w:color w:val="000000"/>
                <w:sz w:val="18"/>
                <w:szCs w:val="18"/>
                <w:highlight w:val="black"/>
              </w:rPr>
              <w:t>XXXXX</w:t>
            </w:r>
          </w:p>
        </w:tc>
        <w:tc>
          <w:tcPr>
            <w:tcW w:w="990" w:type="dxa"/>
            <w:tcBorders>
              <w:top w:val="nil"/>
              <w:left w:val="nil"/>
              <w:bottom w:val="single" w:sz="4" w:space="0" w:color="auto"/>
              <w:right w:val="single" w:sz="4" w:space="0" w:color="auto"/>
            </w:tcBorders>
            <w:shd w:val="clear" w:color="auto" w:fill="auto"/>
            <w:vAlign w:val="center"/>
          </w:tcPr>
          <w:p w14:paraId="74556629" w14:textId="31EF57C9" w:rsidR="00676BE8" w:rsidRPr="00676BE8" w:rsidRDefault="00676BE8" w:rsidP="00676BE8">
            <w:pPr>
              <w:jc w:val="center"/>
              <w:rPr>
                <w:rFonts w:ascii="Aptos Narrow" w:hAnsi="Aptos Narrow"/>
                <w:sz w:val="18"/>
                <w:szCs w:val="18"/>
              </w:rPr>
            </w:pPr>
            <w:r w:rsidRPr="00676BE8">
              <w:rPr>
                <w:rFonts w:cs="Calibri"/>
                <w:color w:val="000000"/>
                <w:sz w:val="18"/>
                <w:szCs w:val="18"/>
                <w:highlight w:val="black"/>
              </w:rPr>
              <w:t>XXXXX</w:t>
            </w:r>
          </w:p>
        </w:tc>
      </w:tr>
    </w:tbl>
    <w:p w14:paraId="34D85518" w14:textId="77777777" w:rsidR="00A32270" w:rsidRPr="009B4386" w:rsidRDefault="00A32270" w:rsidP="009436C3">
      <w:pPr>
        <w:spacing w:line="480" w:lineRule="auto"/>
        <w:ind w:left="720" w:hanging="720"/>
        <w:rPr>
          <w:rFonts w:ascii="Times New Roman" w:hAnsi="Times New Roman"/>
          <w:sz w:val="24"/>
          <w:szCs w:val="24"/>
        </w:rPr>
      </w:pPr>
    </w:p>
    <w:p w14:paraId="0E715A2A" w14:textId="5BD56E1C" w:rsidR="004C0C48" w:rsidRPr="009B4386" w:rsidRDefault="004C0C48" w:rsidP="004C0C48">
      <w:pPr>
        <w:spacing w:line="480" w:lineRule="auto"/>
        <w:ind w:left="360"/>
        <w:rPr>
          <w:rFonts w:ascii="Times New Roman" w:hAnsi="Times New Roman"/>
          <w:sz w:val="24"/>
          <w:szCs w:val="24"/>
        </w:rPr>
      </w:pPr>
    </w:p>
    <w:p w14:paraId="5422EB13" w14:textId="66114865" w:rsidR="003D0BFB" w:rsidRDefault="003D0BFB" w:rsidP="003D0BFB">
      <w:pPr>
        <w:pStyle w:val="Question"/>
      </w:pPr>
      <w:r>
        <w:t>Q.</w:t>
      </w:r>
      <w:r>
        <w:tab/>
        <w:t xml:space="preserve"> WHAT </w:t>
      </w:r>
      <w:r w:rsidR="00FD3FA9">
        <w:t xml:space="preserve">did the analysis indicate </w:t>
      </w:r>
      <w:r w:rsidR="004C0C48">
        <w:t xml:space="preserve">regarding </w:t>
      </w:r>
      <w:r w:rsidR="00FD3FA9">
        <w:t>the potential impact of a decision regarding two versus three c</w:t>
      </w:r>
      <w:r w:rsidR="00DB4C2B">
        <w:t>t units</w:t>
      </w:r>
      <w:r>
        <w:t xml:space="preserve"> AT YATES?</w:t>
      </w:r>
    </w:p>
    <w:p w14:paraId="13286E93" w14:textId="2DC39249" w:rsidR="00F84C41" w:rsidRPr="00302ACD" w:rsidRDefault="003D0BFB" w:rsidP="00302ACD">
      <w:pPr>
        <w:pStyle w:val="Answers"/>
      </w:pPr>
      <w:r w:rsidRPr="003D0BFB">
        <w:t>A.</w:t>
      </w:r>
      <w:r w:rsidRPr="003D0BFB">
        <w:tab/>
        <w:t xml:space="preserve">The thermal analysis results when Plant Yates is limited to </w:t>
      </w:r>
      <w:r w:rsidR="0026308D">
        <w:t xml:space="preserve">an </w:t>
      </w:r>
      <w:r w:rsidRPr="005851D7">
        <w:t>output</w:t>
      </w:r>
      <w:r w:rsidR="0026308D" w:rsidRPr="005851D7">
        <w:t xml:space="preserve"> of</w:t>
      </w:r>
      <w:r w:rsidRPr="005851D7">
        <w:t xml:space="preserve"> 900 MW</w:t>
      </w:r>
      <w:r w:rsidRPr="003D0BFB">
        <w:t xml:space="preserve"> </w:t>
      </w:r>
      <w:r w:rsidR="00BC0821" w:rsidRPr="003D0BFB">
        <w:t>show</w:t>
      </w:r>
      <w:r w:rsidRPr="003D0BFB">
        <w:t xml:space="preserve"> a drop in </w:t>
      </w:r>
      <w:r w:rsidR="002F708C">
        <w:t xml:space="preserve">thermal loadings for all impacted elements that drove the </w:t>
      </w:r>
      <w:r w:rsidR="00856DA5">
        <w:t>transmission need.</w:t>
      </w:r>
      <w:r w:rsidR="004C0C48">
        <w:t xml:space="preserve"> While the Daymark analysis is indicative only, it does </w:t>
      </w:r>
      <w:r w:rsidR="00435249">
        <w:t>show</w:t>
      </w:r>
      <w:r w:rsidR="004C0C48">
        <w:t xml:space="preserve"> that the third Yates CT has a material impact on the determination of need from a thermal loading perspective. </w:t>
      </w:r>
      <w:r w:rsidR="00557764">
        <w:t>Most notably, the impacts on the P8 line upgrade</w:t>
      </w:r>
      <w:r w:rsidR="00B3251E">
        <w:t xml:space="preserve"> </w:t>
      </w:r>
      <w:r w:rsidR="0084088D" w:rsidRPr="0084088D">
        <w:rPr>
          <w:highlight w:val="black"/>
        </w:rPr>
        <w:t>XXXXXXXXXXXXXXXXXXXXXXXXX</w:t>
      </w:r>
      <w:r w:rsidR="009C595A">
        <w:t xml:space="preserve"> </w:t>
      </w:r>
      <w:r w:rsidR="00F93CDC">
        <w:t xml:space="preserve">are reduced to </w:t>
      </w:r>
      <w:r w:rsidR="0084088D" w:rsidRPr="0084088D">
        <w:rPr>
          <w:highlight w:val="black"/>
        </w:rPr>
        <w:t>XXX</w:t>
      </w:r>
      <w:r w:rsidR="00CC0312">
        <w:t xml:space="preserve"> </w:t>
      </w:r>
      <w:r w:rsidR="00350B4A">
        <w:t xml:space="preserve">in our </w:t>
      </w:r>
      <w:r w:rsidR="00CA74B6">
        <w:t>a</w:t>
      </w:r>
      <w:r w:rsidR="00350B4A">
        <w:t xml:space="preserve">nalysis with </w:t>
      </w:r>
      <w:r w:rsidR="003B3C50" w:rsidRPr="005851D7">
        <w:t>only 900 MW dispatched</w:t>
      </w:r>
      <w:r w:rsidR="003B3C50">
        <w:t xml:space="preserve"> at Yates. This is a</w:t>
      </w:r>
      <w:r w:rsidR="00DA1C8E">
        <w:t xml:space="preserve"> nearly 5% reduction in thermal loading from </w:t>
      </w:r>
      <w:r w:rsidR="0084088D" w:rsidRPr="0084088D">
        <w:rPr>
          <w:highlight w:val="black"/>
        </w:rPr>
        <w:t>XXXXX</w:t>
      </w:r>
      <w:r w:rsidR="00920E8B">
        <w:t xml:space="preserve"> noted in the Screening Analysis.</w:t>
      </w:r>
      <w:r w:rsidR="009C595A">
        <w:t xml:space="preserve"> </w:t>
      </w:r>
      <w:r w:rsidR="002747A9">
        <w:t xml:space="preserve">This analysis suggests that, should the third CT not be necessary, it is possible that </w:t>
      </w:r>
      <w:r w:rsidR="00046A6E">
        <w:t>some</w:t>
      </w:r>
      <w:r w:rsidR="002747A9">
        <w:t xml:space="preserve"> of the </w:t>
      </w:r>
      <w:r w:rsidR="00046A6E">
        <w:t xml:space="preserve">transmission solutions identified by the Company might </w:t>
      </w:r>
      <w:r w:rsidR="00435249">
        <w:t>also b</w:t>
      </w:r>
      <w:r w:rsidR="00046A6E">
        <w:t xml:space="preserve">e </w:t>
      </w:r>
      <w:r w:rsidR="00435249">
        <w:t>un</w:t>
      </w:r>
      <w:r w:rsidR="00046A6E">
        <w:t>necessary</w:t>
      </w:r>
      <w:r w:rsidR="00435249">
        <w:t xml:space="preserve"> or</w:t>
      </w:r>
      <w:r w:rsidR="00355894">
        <w:t xml:space="preserve"> that other solutions might be more cost effective</w:t>
      </w:r>
      <w:r w:rsidR="00046A6E">
        <w:t>.</w:t>
      </w:r>
    </w:p>
    <w:p w14:paraId="1F1B1E91" w14:textId="056418E6" w:rsidR="002A7F9A" w:rsidRPr="00386453" w:rsidRDefault="00386453" w:rsidP="00386453">
      <w:pPr>
        <w:pStyle w:val="Heading1"/>
        <w:ind w:left="810" w:hanging="810"/>
      </w:pPr>
      <w:bookmarkStart w:id="16" w:name="_Toc158741871"/>
      <w:r w:rsidRPr="00386453">
        <w:lastRenderedPageBreak/>
        <w:t>OTHER OBSERVATIONS REGARDING THE SCOPE AND SCALE OF THE TRANSMISSION ANALYSIS PERFORMED</w:t>
      </w:r>
      <w:bookmarkEnd w:id="16"/>
    </w:p>
    <w:p w14:paraId="65F4E32C" w14:textId="77777777" w:rsidR="00386453" w:rsidRPr="00476E90" w:rsidRDefault="00386453" w:rsidP="00386453">
      <w:pPr>
        <w:pStyle w:val="Question"/>
      </w:pPr>
      <w:r w:rsidRPr="007F29D4">
        <w:t>Q.</w:t>
      </w:r>
      <w:r w:rsidRPr="007F29D4">
        <w:tab/>
        <w:t xml:space="preserve">Please summarize your </w:t>
      </w:r>
      <w:r>
        <w:t>OBSERVATIONS REGARDING THE COMPANY’S TRANSMISSION ANALYSIS AND CONCLUSIONS</w:t>
      </w:r>
      <w:r w:rsidRPr="007F29D4">
        <w:t>.</w:t>
      </w:r>
    </w:p>
    <w:p w14:paraId="7EBBF961" w14:textId="392FA6CD" w:rsidR="00386453" w:rsidRPr="003D0BFB" w:rsidRDefault="00386453" w:rsidP="00EC5362">
      <w:pPr>
        <w:pStyle w:val="Answers"/>
      </w:pPr>
      <w:r w:rsidRPr="003D0BFB">
        <w:t>A.</w:t>
      </w:r>
      <w:r w:rsidRPr="003D0BFB">
        <w:tab/>
        <w:t xml:space="preserve">Given the Company’s characterization of the immediacy of the incoming load and the timing for completing analysis of options to serve that load, transmission analysis was </w:t>
      </w:r>
      <w:r>
        <w:t>necessar</w:t>
      </w:r>
      <w:r w:rsidR="037E3DAC">
        <w:t>il</w:t>
      </w:r>
      <w:r>
        <w:t>y</w:t>
      </w:r>
      <w:r w:rsidRPr="003D0BFB">
        <w:t xml:space="preserve"> limited as compared to a complete </w:t>
      </w:r>
      <w:r>
        <w:t>study</w:t>
      </w:r>
      <w:r w:rsidRPr="003D0BFB">
        <w:t xml:space="preserve"> as would occur in</w:t>
      </w:r>
      <w:r w:rsidR="701F36FE">
        <w:t xml:space="preserve"> a standard planning cycle</w:t>
      </w:r>
      <w:r>
        <w:t>.</w:t>
      </w:r>
      <w:r w:rsidRPr="003D0BFB">
        <w:t xml:space="preserve"> This limitation did not lead to improper transmission planning analysis but did curtail the ability of the planners to fully consider options and to test for the resilience of the plan to uncertainty. Specifically, we observe that:</w:t>
      </w:r>
    </w:p>
    <w:p w14:paraId="0C5AFBBF" w14:textId="301FEB3E" w:rsidR="00386453" w:rsidRDefault="00386453" w:rsidP="00EC5362">
      <w:pPr>
        <w:pStyle w:val="Answers"/>
        <w:numPr>
          <w:ilvl w:val="0"/>
          <w:numId w:val="20"/>
        </w:numPr>
      </w:pPr>
      <w:r>
        <w:t>Transmission solution options considered were limited and did not include</w:t>
      </w:r>
      <w:r w:rsidRPr="00BE7D80">
        <w:t xml:space="preserve"> newer technologies </w:t>
      </w:r>
      <w:r>
        <w:t xml:space="preserve">and approaches </w:t>
      </w:r>
      <w:r w:rsidRPr="00BE7D80">
        <w:t xml:space="preserve">that could provide rapid, </w:t>
      </w:r>
      <w:r w:rsidR="2EF28DF8">
        <w:t xml:space="preserve">more </w:t>
      </w:r>
      <w:r>
        <w:t>cost</w:t>
      </w:r>
      <w:r w:rsidRPr="00BE7D80">
        <w:t>-effective solutions to some needs.</w:t>
      </w:r>
    </w:p>
    <w:p w14:paraId="408ABC67" w14:textId="5E487D7A" w:rsidR="00386453" w:rsidRDefault="00386453" w:rsidP="00EC5362">
      <w:pPr>
        <w:pStyle w:val="Answers"/>
        <w:numPr>
          <w:ilvl w:val="0"/>
          <w:numId w:val="20"/>
        </w:numPr>
      </w:pPr>
      <w:r>
        <w:t>The analysis did not include an evaluation of the voltage and stability impacts of the proposed options to serve the load, nor did it include the cost for any reactive devices</w:t>
      </w:r>
      <w:r w:rsidR="003B5DAF">
        <w:t xml:space="preserve">. </w:t>
      </w:r>
      <w:r w:rsidR="0081518E">
        <w:t>S</w:t>
      </w:r>
      <w:r w:rsidR="001B04E9" w:rsidRPr="001B04E9">
        <w:t xml:space="preserve">tatic synchronous </w:t>
      </w:r>
      <w:r w:rsidR="0081518E">
        <w:t>C</w:t>
      </w:r>
      <w:r w:rsidR="001B04E9" w:rsidRPr="001B04E9">
        <w:t>ompensator</w:t>
      </w:r>
      <w:r w:rsidR="0081518E">
        <w:t>s (“</w:t>
      </w:r>
      <w:r>
        <w:t>STATCOM</w:t>
      </w:r>
      <w:r w:rsidR="00160FEA">
        <w:t>s</w:t>
      </w:r>
      <w:r w:rsidR="0081518E">
        <w:t>”)</w:t>
      </w:r>
      <w:r>
        <w:t xml:space="preserve">, </w:t>
      </w:r>
      <w:r w:rsidR="00211F0C">
        <w:t>Static V</w:t>
      </w:r>
      <w:r w:rsidR="00EE3F25">
        <w:t>AR</w:t>
      </w:r>
      <w:r w:rsidR="00211F0C">
        <w:t xml:space="preserve"> </w:t>
      </w:r>
      <w:r w:rsidR="00ED1259">
        <w:t>Compensat</w:t>
      </w:r>
      <w:r w:rsidR="007F465B">
        <w:t>ors (“</w:t>
      </w:r>
      <w:r>
        <w:t>SVCs</w:t>
      </w:r>
      <w:r w:rsidR="007F465B">
        <w:t>”)</w:t>
      </w:r>
      <w:r>
        <w:t>, or other equipment needed to provide voltage support</w:t>
      </w:r>
      <w:r w:rsidR="00952BF6">
        <w:t xml:space="preserve"> if deemed necessary</w:t>
      </w:r>
      <w:r>
        <w:t>.</w:t>
      </w:r>
    </w:p>
    <w:p w14:paraId="0123A087" w14:textId="1E029427" w:rsidR="004674F4" w:rsidRDefault="004674F4" w:rsidP="00EC5362">
      <w:pPr>
        <w:pStyle w:val="Answers"/>
        <w:numPr>
          <w:ilvl w:val="0"/>
          <w:numId w:val="20"/>
        </w:numPr>
      </w:pPr>
      <w:r>
        <w:t>There was limited modeling of key uncertainties including variations on the timing, location or volume of load or the potential impact of various retirement scenarios on potential future transmission needs.</w:t>
      </w:r>
    </w:p>
    <w:p w14:paraId="54F5A06F" w14:textId="5DE86317" w:rsidR="003D0BFB" w:rsidRDefault="003D0BFB" w:rsidP="003D0BFB">
      <w:pPr>
        <w:pStyle w:val="Question"/>
      </w:pPr>
      <w:r w:rsidRPr="1714BADA">
        <w:lastRenderedPageBreak/>
        <w:t>Q.</w:t>
      </w:r>
      <w:r>
        <w:tab/>
      </w:r>
      <w:r w:rsidRPr="1714BADA">
        <w:t xml:space="preserve">What </w:t>
      </w:r>
      <w:r w:rsidR="4DC17E51">
        <w:t xml:space="preserve">alternative </w:t>
      </w:r>
      <w:r>
        <w:t>solutions</w:t>
      </w:r>
      <w:r w:rsidRPr="1714BADA">
        <w:t xml:space="preserve"> did the company </w:t>
      </w:r>
      <w:r w:rsidR="01401DF9">
        <w:t xml:space="preserve">not </w:t>
      </w:r>
      <w:r>
        <w:t>consider?</w:t>
      </w:r>
    </w:p>
    <w:p w14:paraId="6E18A334" w14:textId="13548663" w:rsidR="003D0BFB" w:rsidRPr="003D0BFB" w:rsidRDefault="003D0BFB" w:rsidP="00EC5362">
      <w:pPr>
        <w:pStyle w:val="Answers"/>
      </w:pPr>
      <w:r w:rsidRPr="003D0BFB">
        <w:t>A.</w:t>
      </w:r>
      <w:r w:rsidRPr="003D0BFB">
        <w:tab/>
        <w:t xml:space="preserve">Based on Daymark’s analysis, the Company did not provide sufficient evidence of considering </w:t>
      </w:r>
      <w:r w:rsidR="4A7BBBF1">
        <w:t xml:space="preserve">alternatives to </w:t>
      </w:r>
      <w:r>
        <w:t xml:space="preserve">traditional </w:t>
      </w:r>
      <w:r w:rsidRPr="003D0BFB">
        <w:t xml:space="preserve">solution options </w:t>
      </w:r>
      <w:r w:rsidR="5EEC12DB">
        <w:t xml:space="preserve">that could be more cost-effective </w:t>
      </w:r>
      <w:r>
        <w:t>to</w:t>
      </w:r>
      <w:r w:rsidRPr="003D0BFB">
        <w:t xml:space="preserve"> the </w:t>
      </w:r>
      <w:r w:rsidR="76B9290C">
        <w:t xml:space="preserve">Company’s </w:t>
      </w:r>
      <w:r w:rsidRPr="003D0BFB">
        <w:t xml:space="preserve">proposed transmission upgrade projects filed in the 2023 IRP Update on January 12, 2024. Potential alternative solutions </w:t>
      </w:r>
      <w:r w:rsidRPr="003D0BFB" w:rsidDel="009E6234">
        <w:t xml:space="preserve">include </w:t>
      </w:r>
      <w:r w:rsidR="00C446A6">
        <w:t>FACTS devices, and other</w:t>
      </w:r>
      <w:r w:rsidRPr="003D0BFB">
        <w:t xml:space="preserve"> non-wires alternatives, such as dynamic line rating capabilities.</w:t>
      </w:r>
    </w:p>
    <w:p w14:paraId="45A30D93" w14:textId="6154CB42" w:rsidR="003D0BFB" w:rsidRDefault="003D0BFB" w:rsidP="003D0BFB">
      <w:pPr>
        <w:pStyle w:val="Question"/>
      </w:pPr>
      <w:r>
        <w:t>Q.</w:t>
      </w:r>
      <w:r>
        <w:tab/>
        <w:t xml:space="preserve">PLEASE DESCRIBE </w:t>
      </w:r>
      <w:r w:rsidR="5EB42A39">
        <w:t xml:space="preserve">potential </w:t>
      </w:r>
      <w:r>
        <w:t xml:space="preserve">ALTERNATIVE SOLUTIONS TO THE TRANSMISSION UPGRADES ASSOCIATED WITH PLANT </w:t>
      </w:r>
      <w:r w:rsidR="1705EB47">
        <w:t>YATES.</w:t>
      </w:r>
      <w:r>
        <w:t xml:space="preserve"> </w:t>
      </w:r>
    </w:p>
    <w:p w14:paraId="4FECD8F9" w14:textId="1829B7F3" w:rsidR="001832B0" w:rsidRDefault="003D0BFB" w:rsidP="00EC5362">
      <w:pPr>
        <w:pStyle w:val="Answers"/>
      </w:pPr>
      <w:r w:rsidRPr="003D0BFB">
        <w:t>A.</w:t>
      </w:r>
      <w:r w:rsidRPr="003D0BFB">
        <w:tab/>
        <w:t xml:space="preserve">Customers who are required to pay for transmission understandably want assurance that the existing cables are being used to their maximum capacity. The state regulators should </w:t>
      </w:r>
      <w:r w:rsidR="00163E98">
        <w:t>ensure</w:t>
      </w:r>
      <w:r w:rsidRPr="003D0BFB">
        <w:t xml:space="preserve"> that efficient, low-cost </w:t>
      </w:r>
      <w:r w:rsidR="00B13833">
        <w:t>options</w:t>
      </w:r>
      <w:r w:rsidR="00B13833" w:rsidRPr="003D0BFB">
        <w:t xml:space="preserve"> </w:t>
      </w:r>
      <w:r w:rsidR="00B13833">
        <w:t>are being</w:t>
      </w:r>
      <w:r w:rsidR="00F06AA0">
        <w:t xml:space="preserve"> </w:t>
      </w:r>
      <w:r w:rsidR="009D6E10">
        <w:t xml:space="preserve">evaluated </w:t>
      </w:r>
      <w:r w:rsidR="008F20CF">
        <w:t>by the Company</w:t>
      </w:r>
      <w:r w:rsidR="009D6E10">
        <w:t xml:space="preserve"> to </w:t>
      </w:r>
      <w:r w:rsidR="00775E2D">
        <w:t>achieve maximum ratepayer benefit from existing transmission assets.</w:t>
      </w:r>
      <w:r w:rsidR="769D488C" w:rsidDel="00775E2D">
        <w:t xml:space="preserve"> </w:t>
      </w:r>
      <w:r w:rsidRPr="003D0BFB">
        <w:t xml:space="preserve">There are a set of technologies that can increase the flexibility, </w:t>
      </w:r>
      <w:r w:rsidR="00744890" w:rsidRPr="003D0BFB">
        <w:t>reliability,</w:t>
      </w:r>
      <w:r w:rsidRPr="003D0BFB">
        <w:t xml:space="preserve"> and utilization of the existing grid. </w:t>
      </w:r>
      <w:r w:rsidR="00A97B41">
        <w:t>While</w:t>
      </w:r>
      <w:r w:rsidR="00E0748C">
        <w:t xml:space="preserve"> the Company’s transmission planners may be aware of these technologies, stakeholders lack evidence of their consideration for this IRP update</w:t>
      </w:r>
      <w:r w:rsidR="00B90665">
        <w:t xml:space="preserve">. </w:t>
      </w:r>
    </w:p>
    <w:p w14:paraId="7ED096F1" w14:textId="18DB7966" w:rsidR="00C1502F" w:rsidRDefault="00C1502F" w:rsidP="00EC5362">
      <w:pPr>
        <w:pStyle w:val="Answers"/>
      </w:pPr>
      <w:r>
        <w:tab/>
      </w:r>
      <w:r w:rsidR="00280D9D">
        <w:tab/>
      </w:r>
      <w:r>
        <w:t>There are a number of emerging t</w:t>
      </w:r>
      <w:r w:rsidR="00797D58">
        <w:t xml:space="preserve">ransmission technologies which may offer cost effective, expedient, and flexible solutions to the transmission </w:t>
      </w:r>
      <w:r w:rsidR="008E063F">
        <w:t>issues that the Company has highlighted in this IRP update.</w:t>
      </w:r>
    </w:p>
    <w:p w14:paraId="40D68754" w14:textId="7891E264" w:rsidR="003D0BFB" w:rsidRDefault="00C1502F" w:rsidP="00EC5362">
      <w:pPr>
        <w:pStyle w:val="Answers"/>
      </w:pPr>
      <w:r>
        <w:lastRenderedPageBreak/>
        <w:tab/>
      </w:r>
      <w:r w:rsidR="00966C32">
        <w:tab/>
      </w:r>
      <w:r w:rsidR="00C434CD">
        <w:t>Dynamic Line Ratings, (“DLR</w:t>
      </w:r>
      <w:r w:rsidR="00372C4D">
        <w:t xml:space="preserve">”) </w:t>
      </w:r>
      <w:r w:rsidR="009E39F7">
        <w:t xml:space="preserve">are designed to allow increases in the </w:t>
      </w:r>
      <w:r w:rsidR="0003790D">
        <w:t xml:space="preserve">thermal limits </w:t>
      </w:r>
      <w:r w:rsidR="00FC1E21">
        <w:t xml:space="preserve">of existing </w:t>
      </w:r>
      <w:r w:rsidR="00A80831">
        <w:t>transmission lines</w:t>
      </w:r>
      <w:r w:rsidR="00A558AD">
        <w:t xml:space="preserve">. </w:t>
      </w:r>
      <w:r w:rsidR="00ED2F26" w:rsidRPr="000B3360">
        <w:t>DLR supports grid resilience by offering condition-based line capabilities when contingencies occur.</w:t>
      </w:r>
      <w:r w:rsidR="00ED2F26">
        <w:rPr>
          <w:rStyle w:val="FootnoteReference"/>
        </w:rPr>
        <w:footnoteReference w:id="18"/>
      </w:r>
      <w:r w:rsidR="00ED2F26">
        <w:t xml:space="preserve"> </w:t>
      </w:r>
    </w:p>
    <w:p w14:paraId="757C83EC" w14:textId="2AB1F622" w:rsidR="00611F7A" w:rsidRDefault="00611F7A" w:rsidP="00EC5362">
      <w:pPr>
        <w:pStyle w:val="Answers"/>
      </w:pPr>
      <w:r>
        <w:tab/>
      </w:r>
      <w:r>
        <w:tab/>
        <w:t xml:space="preserve">Topology optimization software </w:t>
      </w:r>
      <w:r w:rsidR="00C21B11">
        <w:t xml:space="preserve">is a technology that can be </w:t>
      </w:r>
      <w:r w:rsidR="00452639">
        <w:t xml:space="preserve">identify line reconfigurations </w:t>
      </w:r>
      <w:r w:rsidR="00227D52">
        <w:t xml:space="preserve">and </w:t>
      </w:r>
      <w:r w:rsidR="00F61E7D">
        <w:t xml:space="preserve">potential switching scenarios that can lead to a </w:t>
      </w:r>
      <w:r w:rsidR="00C55FD9">
        <w:t xml:space="preserve">more robust operations solution </w:t>
      </w:r>
      <w:r w:rsidR="00383017">
        <w:t>to alleviate thermal loading conditions. While there is evidence that the Company has implemented several operating solutions to thermal loading concerns,</w:t>
      </w:r>
      <w:r w:rsidR="001E3158">
        <w:t xml:space="preserve"> </w:t>
      </w:r>
      <w:r w:rsidR="000919CF">
        <w:t>the framework under which they have been evaluated has not been documented.</w:t>
      </w:r>
    </w:p>
    <w:p w14:paraId="51E79F24" w14:textId="610F9ED6" w:rsidR="006C3AB5" w:rsidRPr="00EC5362" w:rsidRDefault="002B0A9E" w:rsidP="00963620">
      <w:pPr>
        <w:pStyle w:val="Answers"/>
      </w:pPr>
      <w:r>
        <w:tab/>
      </w:r>
      <w:r>
        <w:tab/>
      </w:r>
      <w:r w:rsidRPr="00EC5362">
        <w:t xml:space="preserve">Flexible AC Transmission System Devices </w:t>
      </w:r>
      <w:r w:rsidR="00D93CD6">
        <w:t>(“</w:t>
      </w:r>
      <w:r w:rsidRPr="00EC5362">
        <w:t>FACTS</w:t>
      </w:r>
      <w:r w:rsidR="00D93CD6">
        <w:t>”)</w:t>
      </w:r>
      <w:r w:rsidRPr="00EC5362">
        <w:t xml:space="preserve"> devices</w:t>
      </w:r>
      <w:r w:rsidR="00CC73E3" w:rsidRPr="00EC5362">
        <w:t xml:space="preserve"> </w:t>
      </w:r>
      <w:r w:rsidR="003E0C14" w:rsidRPr="00EC5362">
        <w:t xml:space="preserve">can help push or pull power away from overloaded lines and onto underutilized </w:t>
      </w:r>
      <w:r w:rsidR="00263DD2" w:rsidRPr="00EC5362">
        <w:t xml:space="preserve">lines. FACTS devices such as </w:t>
      </w:r>
      <w:r w:rsidR="002712DB" w:rsidRPr="00EC5362">
        <w:t>p</w:t>
      </w:r>
      <w:r w:rsidR="00263DD2" w:rsidRPr="00EC5362">
        <w:t xml:space="preserve">hase </w:t>
      </w:r>
      <w:r w:rsidR="002712DB" w:rsidRPr="00EC5362">
        <w:t>a</w:t>
      </w:r>
      <w:r w:rsidR="00263DD2" w:rsidRPr="00EC5362">
        <w:t xml:space="preserve">ngle </w:t>
      </w:r>
      <w:r w:rsidR="002712DB" w:rsidRPr="00EC5362">
        <w:t>r</w:t>
      </w:r>
      <w:r w:rsidR="00263DD2" w:rsidRPr="00EC5362">
        <w:t xml:space="preserve">egulating </w:t>
      </w:r>
      <w:r w:rsidR="002712DB" w:rsidRPr="00EC5362">
        <w:t>t</w:t>
      </w:r>
      <w:r w:rsidR="00263DD2" w:rsidRPr="00EC5362">
        <w:t>ransformers</w:t>
      </w:r>
      <w:r w:rsidR="00E755A1">
        <w:t xml:space="preserve"> and</w:t>
      </w:r>
      <w:r w:rsidR="00E755A1" w:rsidRPr="00EC5362">
        <w:t xml:space="preserve"> </w:t>
      </w:r>
      <w:r w:rsidR="00E303FC" w:rsidRPr="00EC5362">
        <w:t xml:space="preserve">thyristor-controlled </w:t>
      </w:r>
      <w:r w:rsidR="00726DE0" w:rsidRPr="00EC5362">
        <w:t xml:space="preserve">series </w:t>
      </w:r>
      <w:r w:rsidR="00E303FC" w:rsidRPr="00EC5362">
        <w:t>capacitors</w:t>
      </w:r>
      <w:r w:rsidR="008A40F0" w:rsidRPr="00EC5362">
        <w:t xml:space="preserve"> are </w:t>
      </w:r>
      <w:r w:rsidR="0050063E" w:rsidRPr="00EC5362">
        <w:t>proven</w:t>
      </w:r>
      <w:r w:rsidR="008A40F0" w:rsidRPr="00EC5362">
        <w:t xml:space="preserve"> technolog</w:t>
      </w:r>
      <w:r w:rsidR="00E755A1">
        <w:t>ies</w:t>
      </w:r>
      <w:r w:rsidR="008A40F0" w:rsidRPr="00EC5362">
        <w:t xml:space="preserve"> that can </w:t>
      </w:r>
      <w:r w:rsidR="001E4CDF" w:rsidRPr="00EC5362">
        <w:t>make the transmission system more flexible</w:t>
      </w:r>
      <w:r w:rsidR="00A24E3D" w:rsidRPr="00EC5362">
        <w:t xml:space="preserve"> and able to react to</w:t>
      </w:r>
      <w:r w:rsidR="008E5C01" w:rsidRPr="00EC5362">
        <w:t xml:space="preserve"> </w:t>
      </w:r>
      <w:r w:rsidR="00A67C9F" w:rsidRPr="00EC5362">
        <w:t xml:space="preserve">shifting load patterns. </w:t>
      </w:r>
      <w:r w:rsidR="0065521B" w:rsidRPr="00EC5362">
        <w:t>By adjusting the voltage, phase angle, or impedance</w:t>
      </w:r>
      <w:r w:rsidR="006D0D76" w:rsidRPr="00EC5362">
        <w:t>, the characteristics of the transmission grid can be changed to optimize the load flow on the grid</w:t>
      </w:r>
      <w:r w:rsidR="00F37CDC" w:rsidRPr="00EC5362">
        <w:t xml:space="preserve">, potentially unlocking capacity </w:t>
      </w:r>
      <w:r w:rsidR="00BC6A8D" w:rsidRPr="00EC5362">
        <w:t xml:space="preserve">on the existing transmission </w:t>
      </w:r>
      <w:r w:rsidR="0058401C" w:rsidRPr="00EC5362">
        <w:t>lines.</w:t>
      </w:r>
      <w:r w:rsidR="00E348C1" w:rsidRPr="00EC5362">
        <w:t xml:space="preserve"> </w:t>
      </w:r>
    </w:p>
    <w:p w14:paraId="3535AA5F" w14:textId="220AD77A" w:rsidR="004674F4" w:rsidRPr="004674F4" w:rsidRDefault="004674F4" w:rsidP="00963620">
      <w:pPr>
        <w:pStyle w:val="BULLETS"/>
        <w:numPr>
          <w:ilvl w:val="0"/>
          <w:numId w:val="0"/>
        </w:numPr>
        <w:spacing w:before="480"/>
        <w:ind w:left="720" w:hanging="720"/>
        <w:rPr>
          <w:b/>
          <w:bCs/>
        </w:rPr>
      </w:pPr>
      <w:r w:rsidRPr="23B1BA4D">
        <w:rPr>
          <w:b/>
          <w:bCs/>
        </w:rPr>
        <w:t>Q.</w:t>
      </w:r>
      <w:r>
        <w:tab/>
      </w:r>
      <w:r w:rsidR="2BF2B359" w:rsidRPr="28664197">
        <w:rPr>
          <w:b/>
          <w:bCs/>
        </w:rPr>
        <w:t>DID</w:t>
      </w:r>
      <w:r w:rsidR="2BF2B359" w:rsidRPr="23B1BA4D">
        <w:rPr>
          <w:b/>
          <w:bCs/>
        </w:rPr>
        <w:t xml:space="preserve"> THE COMPANY PRESENT </w:t>
      </w:r>
      <w:r w:rsidR="2BF2B359" w:rsidRPr="0447D774">
        <w:rPr>
          <w:b/>
          <w:bCs/>
        </w:rPr>
        <w:t xml:space="preserve">INFORMATION RELATED TO RISKS OTHER </w:t>
      </w:r>
      <w:r w:rsidR="2BF2B359" w:rsidRPr="623538E9">
        <w:rPr>
          <w:b/>
          <w:bCs/>
        </w:rPr>
        <w:t xml:space="preserve">THAN THERMAL </w:t>
      </w:r>
      <w:r w:rsidR="2BF2B359" w:rsidRPr="0465925D">
        <w:rPr>
          <w:b/>
          <w:bCs/>
        </w:rPr>
        <w:t xml:space="preserve">LOADS IN THIS </w:t>
      </w:r>
      <w:r w:rsidR="2BF2B359" w:rsidRPr="28664197">
        <w:rPr>
          <w:b/>
          <w:bCs/>
        </w:rPr>
        <w:t>DOCKET?</w:t>
      </w:r>
    </w:p>
    <w:p w14:paraId="66D5D5A7" w14:textId="2F4D6750" w:rsidR="004674F4" w:rsidRDefault="004674F4" w:rsidP="00222ADC">
      <w:pPr>
        <w:pStyle w:val="Answers"/>
      </w:pPr>
      <w:r w:rsidRPr="0092188D">
        <w:t>A.</w:t>
      </w:r>
      <w:r w:rsidRPr="0092188D">
        <w:tab/>
      </w:r>
      <w:r w:rsidR="086B8074" w:rsidRPr="00047407">
        <w:rPr>
          <w:rStyle w:val="AnswersChar"/>
          <w:rFonts w:eastAsia="Calibri"/>
        </w:rPr>
        <w:t>No.</w:t>
      </w:r>
      <w:r w:rsidR="00B45951" w:rsidRPr="00047407">
        <w:rPr>
          <w:rStyle w:val="AnswersChar"/>
          <w:rFonts w:eastAsia="Calibri"/>
        </w:rPr>
        <w:t xml:space="preserve"> From the provided materials, no evidence was shown that the Company performed</w:t>
      </w:r>
      <w:r w:rsidR="00B45951">
        <w:t xml:space="preserve"> </w:t>
      </w:r>
      <w:r w:rsidR="00486526">
        <w:t>any a</w:t>
      </w:r>
      <w:r w:rsidR="007F24A2">
        <w:t xml:space="preserve">nalysis </w:t>
      </w:r>
      <w:r w:rsidR="00950824">
        <w:t>beyond</w:t>
      </w:r>
      <w:r w:rsidR="005D730F">
        <w:t xml:space="preserve"> thermal</w:t>
      </w:r>
      <w:r w:rsidR="00950824">
        <w:t xml:space="preserve"> in their Screenin</w:t>
      </w:r>
      <w:r w:rsidR="005D730F">
        <w:t>g Analysis.</w:t>
      </w:r>
      <w:r w:rsidR="00DB7AFD">
        <w:t xml:space="preserve"> </w:t>
      </w:r>
    </w:p>
    <w:p w14:paraId="1E26AC5A" w14:textId="3196012E" w:rsidR="002D02AA" w:rsidRDefault="002D02AA" w:rsidP="002D02AA">
      <w:pPr>
        <w:pStyle w:val="Question"/>
      </w:pPr>
      <w:r>
        <w:lastRenderedPageBreak/>
        <w:t xml:space="preserve">Q. </w:t>
      </w:r>
      <w:r>
        <w:tab/>
      </w:r>
      <w:r w:rsidR="00A2706B">
        <w:t xml:space="preserve">From a transmission planning perspective, </w:t>
      </w:r>
      <w:r w:rsidR="00F85B19">
        <w:t xml:space="preserve">What other </w:t>
      </w:r>
      <w:r w:rsidR="00002EB1">
        <w:t xml:space="preserve">costs </w:t>
      </w:r>
      <w:r w:rsidR="00876F5F">
        <w:t xml:space="preserve">could have been evaluated in </w:t>
      </w:r>
      <w:r w:rsidR="007405A8">
        <w:t xml:space="preserve">the </w:t>
      </w:r>
      <w:r w:rsidR="000C4400">
        <w:t>Analysis?</w:t>
      </w:r>
    </w:p>
    <w:p w14:paraId="43B1D67B" w14:textId="41B39028" w:rsidR="00127FBF" w:rsidRDefault="001A5F95" w:rsidP="00FF2B3A">
      <w:pPr>
        <w:pStyle w:val="Answers"/>
      </w:pPr>
      <w:r>
        <w:t xml:space="preserve">A. </w:t>
      </w:r>
      <w:r>
        <w:tab/>
      </w:r>
      <w:r w:rsidR="0021521F">
        <w:t xml:space="preserve">Both analyses </w:t>
      </w:r>
      <w:r w:rsidR="00D66620">
        <w:t>were thermal</w:t>
      </w:r>
      <w:r w:rsidR="00614F99">
        <w:t xml:space="preserve"> studies</w:t>
      </w:r>
      <w:r w:rsidR="000F7122">
        <w:t>, meaning they studied the potential for changes in the system to overload individual elements</w:t>
      </w:r>
      <w:r w:rsidR="00F45E43">
        <w:t xml:space="preserve">. </w:t>
      </w:r>
      <w:r w:rsidR="00530251">
        <w:t xml:space="preserve">To </w:t>
      </w:r>
      <w:r w:rsidR="005B774D">
        <w:t xml:space="preserve">determine the </w:t>
      </w:r>
      <w:r w:rsidR="002C59A5">
        <w:t xml:space="preserve">full transmission </w:t>
      </w:r>
      <w:r w:rsidR="005B774D">
        <w:t>impact of</w:t>
      </w:r>
      <w:r w:rsidR="00D57AE8">
        <w:t xml:space="preserve"> new generation plants </w:t>
      </w:r>
      <w:r w:rsidR="00980804">
        <w:t xml:space="preserve">and </w:t>
      </w:r>
      <w:r w:rsidR="00546C16">
        <w:t xml:space="preserve">retirements, </w:t>
      </w:r>
      <w:r w:rsidR="005A2551">
        <w:t>voltage</w:t>
      </w:r>
      <w:r w:rsidR="0072471E">
        <w:t xml:space="preserve"> and </w:t>
      </w:r>
      <w:r w:rsidR="005A2551">
        <w:t xml:space="preserve">stability analysis should be </w:t>
      </w:r>
      <w:r w:rsidR="009A7EF0">
        <w:t>performed as well</w:t>
      </w:r>
      <w:r w:rsidR="00A00A7F">
        <w:t xml:space="preserve">. With </w:t>
      </w:r>
      <w:r w:rsidR="00BA5B6C">
        <w:t xml:space="preserve">the implementation of new </w:t>
      </w:r>
      <w:r w:rsidR="0094314B">
        <w:t>solar</w:t>
      </w:r>
      <w:r w:rsidR="00C04CC1">
        <w:t xml:space="preserve">, </w:t>
      </w:r>
      <w:r w:rsidR="00A37BC9">
        <w:t>BESS</w:t>
      </w:r>
      <w:r w:rsidR="00EB33C9">
        <w:t xml:space="preserve"> plants and </w:t>
      </w:r>
      <w:r w:rsidR="005230AF">
        <w:t xml:space="preserve">plant retirements on the horizon, </w:t>
      </w:r>
      <w:r w:rsidR="00756AA1">
        <w:t xml:space="preserve">there could be </w:t>
      </w:r>
      <w:r w:rsidR="008D035A">
        <w:t xml:space="preserve">a scenario where additional voltage or reactive power support is needed to maintain a reliable and robust transmission system. </w:t>
      </w:r>
      <w:r w:rsidR="00DD3832">
        <w:t>Stability issues are typically resolved by implementi</w:t>
      </w:r>
      <w:r w:rsidR="00E14DB6">
        <w:t>ng</w:t>
      </w:r>
      <w:r w:rsidR="00A431B7">
        <w:t xml:space="preserve"> a dynamic reactive device (</w:t>
      </w:r>
      <w:r w:rsidR="00981BB9">
        <w:t>“</w:t>
      </w:r>
      <w:r w:rsidR="00A431B7">
        <w:t>DRD</w:t>
      </w:r>
      <w:r w:rsidR="00981BB9">
        <w:t>”</w:t>
      </w:r>
      <w:r w:rsidR="00A431B7">
        <w:t xml:space="preserve">) that can react to system changes </w:t>
      </w:r>
      <w:r w:rsidR="00920C36">
        <w:t>within cycles</w:t>
      </w:r>
      <w:r w:rsidR="00A431B7">
        <w:t xml:space="preserve"> and provide the system wit</w:t>
      </w:r>
      <w:r w:rsidR="00DE11D5">
        <w:t>h voltage support under contingency conditions.</w:t>
      </w:r>
    </w:p>
    <w:p w14:paraId="59092B25" w14:textId="69FC431A" w:rsidR="001A5F95" w:rsidRDefault="00127FBF" w:rsidP="001A5F95">
      <w:pPr>
        <w:pStyle w:val="Answers"/>
      </w:pPr>
      <w:r>
        <w:tab/>
      </w:r>
      <w:r w:rsidR="00FD09B7">
        <w:t>The screening process implemented in this IRP update, from the evidence provided, does</w:t>
      </w:r>
      <w:r w:rsidR="00BC0CF8">
        <w:t xml:space="preserve"> not evaluate the</w:t>
      </w:r>
      <w:r w:rsidR="00CB3EEF">
        <w:t xml:space="preserve"> implications of </w:t>
      </w:r>
      <w:r w:rsidR="00DA5D1F">
        <w:t xml:space="preserve">possible upgrades needed to address any voltage, </w:t>
      </w:r>
      <w:r w:rsidR="00FF2B3A">
        <w:t>or stability issues</w:t>
      </w:r>
      <w:r w:rsidR="004B178E">
        <w:t xml:space="preserve"> nor does it delve into if voltage or stability issues were observed. </w:t>
      </w:r>
    </w:p>
    <w:p w14:paraId="1965AFCB" w14:textId="3C54D0E8" w:rsidR="00925D40" w:rsidRDefault="00925D40" w:rsidP="001A5F95">
      <w:pPr>
        <w:pStyle w:val="Answers"/>
      </w:pPr>
      <w:r>
        <w:tab/>
      </w:r>
      <w:r>
        <w:tab/>
        <w:t>It is our understanding that these additional studies are a normal part of the Company’s IRP process</w:t>
      </w:r>
      <w:r w:rsidR="00936A56">
        <w:t xml:space="preserve"> and therefore will be performed for the 2025 IRP. Until that time, there is no guarantee that the proposed set of generation and transmission solutions do not have additional transmission costs beyond those identified by the Company for solving </w:t>
      </w:r>
      <w:r w:rsidR="00801BA3">
        <w:t>thermal</w:t>
      </w:r>
      <w:r w:rsidR="00936A56">
        <w:t xml:space="preserve"> loading issues.</w:t>
      </w:r>
    </w:p>
    <w:p w14:paraId="50460C34" w14:textId="32C3D001" w:rsidR="00222ADC" w:rsidRPr="00F348DA" w:rsidRDefault="00124288" w:rsidP="00757A2E">
      <w:pPr>
        <w:pStyle w:val="Question"/>
      </w:pPr>
      <w:r>
        <w:lastRenderedPageBreak/>
        <w:t xml:space="preserve">Q. </w:t>
      </w:r>
      <w:r w:rsidR="005D031C">
        <w:t xml:space="preserve"> How does the retirement of conventional generation units affect grid stability and voltage?</w:t>
      </w:r>
    </w:p>
    <w:p w14:paraId="62011C22" w14:textId="00CC56AA" w:rsidR="005D031C" w:rsidRPr="00F348DA" w:rsidRDefault="006953A5" w:rsidP="006953A5">
      <w:pPr>
        <w:pStyle w:val="Answers"/>
      </w:pPr>
      <w:r>
        <w:t xml:space="preserve">A. </w:t>
      </w:r>
      <w:r>
        <w:tab/>
      </w:r>
      <w:r w:rsidR="00BD014C">
        <w:t>Conventional units, such as coal, natural gas, and hydroelectric</w:t>
      </w:r>
      <w:r w:rsidR="00A23EC3">
        <w:t xml:space="preserve"> </w:t>
      </w:r>
      <w:r w:rsidR="00D16383">
        <w:t xml:space="preserve">generators provide essential </w:t>
      </w:r>
      <w:r w:rsidR="004B42C0">
        <w:t>inertia</w:t>
      </w:r>
      <w:r w:rsidR="00D16383">
        <w:t xml:space="preserve"> and reactive power to the grid</w:t>
      </w:r>
      <w:r w:rsidR="00F2264C">
        <w:t xml:space="preserve"> largely</w:t>
      </w:r>
      <w:r w:rsidR="00D16383">
        <w:t xml:space="preserve"> due to their</w:t>
      </w:r>
      <w:r w:rsidR="00F2264C">
        <w:t xml:space="preserve"> </w:t>
      </w:r>
      <w:r w:rsidR="0041343B">
        <w:t xml:space="preserve">rotating </w:t>
      </w:r>
      <w:r w:rsidR="008516FD">
        <w:t>m</w:t>
      </w:r>
      <w:r w:rsidR="00804578">
        <w:t xml:space="preserve">ass. </w:t>
      </w:r>
      <w:r w:rsidR="00994DBA">
        <w:t xml:space="preserve">The retirement of these units would lead to a </w:t>
      </w:r>
      <w:r w:rsidR="00713C69">
        <w:t xml:space="preserve">reduction in </w:t>
      </w:r>
      <w:r w:rsidR="00227E60">
        <w:t>system</w:t>
      </w:r>
      <w:r w:rsidR="00713C69">
        <w:t xml:space="preserve"> inertia, making the grid more </w:t>
      </w:r>
      <w:r w:rsidR="00E7632C">
        <w:t>susceptible</w:t>
      </w:r>
      <w:r w:rsidR="00713C69">
        <w:t xml:space="preserve"> to frequency and voltage</w:t>
      </w:r>
      <w:r w:rsidR="00227E60">
        <w:t xml:space="preserve"> </w:t>
      </w:r>
      <w:r w:rsidR="00F5680A">
        <w:t>fluctuation</w:t>
      </w:r>
      <w:r w:rsidR="009A0611">
        <w:t>. In turn, this could lead</w:t>
      </w:r>
      <w:r w:rsidR="00AF6DC3">
        <w:t xml:space="preserve"> to the need for</w:t>
      </w:r>
      <w:r w:rsidR="00804578">
        <w:t xml:space="preserve"> the development of new </w:t>
      </w:r>
      <w:r w:rsidR="00B30CA7">
        <w:t xml:space="preserve">substations, line reconfigurations or </w:t>
      </w:r>
      <w:r w:rsidR="00CF6308">
        <w:t xml:space="preserve">new </w:t>
      </w:r>
      <w:r w:rsidR="00804578">
        <w:t xml:space="preserve">sources of reactive power support, including </w:t>
      </w:r>
      <w:r w:rsidR="00FB0DD5">
        <w:t xml:space="preserve">through dynamic reactive </w:t>
      </w:r>
      <w:r w:rsidR="00135AA2">
        <w:t>devices such as</w:t>
      </w:r>
      <w:r w:rsidR="00FB0DD5">
        <w:t xml:space="preserve"> </w:t>
      </w:r>
      <w:r w:rsidR="00804578">
        <w:t xml:space="preserve">SVCs or </w:t>
      </w:r>
      <w:r w:rsidR="0083037E">
        <w:t>STATCOMs</w:t>
      </w:r>
      <w:r w:rsidR="00A16EE6">
        <w:t xml:space="preserve"> to compensate for the </w:t>
      </w:r>
      <w:r w:rsidR="009A163C">
        <w:t>loss of voltage regulation previously provided by the retired units.</w:t>
      </w:r>
    </w:p>
    <w:p w14:paraId="6BC40F9F" w14:textId="1B85F5E1" w:rsidR="004674F4" w:rsidRPr="004674F4" w:rsidRDefault="004674F4" w:rsidP="23CCCF55">
      <w:pPr>
        <w:pStyle w:val="Question"/>
      </w:pPr>
      <w:r w:rsidRPr="00622DA8">
        <w:t>Q.</w:t>
      </w:r>
      <w:r>
        <w:tab/>
      </w:r>
      <w:r w:rsidR="00413FFA" w:rsidRPr="00622DA8">
        <w:t xml:space="preserve">HOW </w:t>
      </w:r>
      <w:r w:rsidR="00413FFA">
        <w:t>DO</w:t>
      </w:r>
      <w:r w:rsidR="00413FFA" w:rsidRPr="00622DA8">
        <w:t xml:space="preserve"> THE LIMITATIONS ON SCENARIO ANALYSIS IMPACT THE COMPANY’S RECOMMENDATIONS?</w:t>
      </w:r>
    </w:p>
    <w:p w14:paraId="27134C4A" w14:textId="10A8F4AE" w:rsidR="55CE0DA2" w:rsidRDefault="004674F4" w:rsidP="00EC5362">
      <w:pPr>
        <w:pStyle w:val="Answers"/>
      </w:pPr>
      <w:r w:rsidRPr="0092188D">
        <w:t>A.</w:t>
      </w:r>
      <w:r w:rsidRPr="0092188D">
        <w:tab/>
      </w:r>
      <w:r w:rsidR="12FE073A">
        <w:t xml:space="preserve">There are risks related to </w:t>
      </w:r>
      <w:r w:rsidR="5EDBA0EB">
        <w:t xml:space="preserve">either </w:t>
      </w:r>
      <w:r w:rsidR="12FE073A">
        <w:t>overstating or understating the range of inputs</w:t>
      </w:r>
      <w:r w:rsidR="499EE471">
        <w:t xml:space="preserve"> that are key drivers of transmission need</w:t>
      </w:r>
      <w:r w:rsidR="12FE073A">
        <w:t>. For example, load may grow faster or more slowly than forecast. It migh</w:t>
      </w:r>
      <w:r w:rsidR="634073E2">
        <w:t xml:space="preserve">t differ in location or timing. Retirements may occur as currently planned or on a different schedule. </w:t>
      </w:r>
      <w:r w:rsidR="1F10504D">
        <w:t xml:space="preserve">Clean energy can be expanded at faster or slower rates and can occur in different locations within the state. </w:t>
      </w:r>
      <w:r w:rsidR="00E70FB9">
        <w:t>All</w:t>
      </w:r>
      <w:r w:rsidR="1F10504D">
        <w:t xml:space="preserve"> these uncertainties can have </w:t>
      </w:r>
      <w:r w:rsidR="14DC131E">
        <w:t xml:space="preserve">a </w:t>
      </w:r>
      <w:r w:rsidR="1F10504D">
        <w:t>significant impact on power flows and therefore on future transmission ne</w:t>
      </w:r>
      <w:r w:rsidR="7784CDF5">
        <w:t>eds.</w:t>
      </w:r>
    </w:p>
    <w:p w14:paraId="4D97E30E" w14:textId="3A256C6F" w:rsidR="4F935184" w:rsidRDefault="7784CDF5" w:rsidP="00EC5362">
      <w:pPr>
        <w:pStyle w:val="Answers"/>
      </w:pPr>
      <w:r>
        <w:tab/>
      </w:r>
      <w:r w:rsidR="00962E2C">
        <w:tab/>
      </w:r>
      <w:r>
        <w:t xml:space="preserve">This </w:t>
      </w:r>
      <w:r w:rsidR="61833260">
        <w:t xml:space="preserve">can lead to suboptimal project design, building either too little or too much transmission relative to future needs. </w:t>
      </w:r>
      <w:r w:rsidR="6616A762">
        <w:t>The risks of building too much transmission are clear: building transmission upgrades that are not ultimately needed will impose costs on ratep</w:t>
      </w:r>
      <w:r w:rsidR="29B6BA33">
        <w:t xml:space="preserve">ayers without providing value.  </w:t>
      </w:r>
      <w:r w:rsidR="004F1DD5">
        <w:t>T</w:t>
      </w:r>
      <w:r w:rsidR="29B6BA33">
        <w:t xml:space="preserve">here is also risk that the Company could decide to </w:t>
      </w:r>
      <w:r w:rsidR="29B6BA33">
        <w:lastRenderedPageBreak/>
        <w:t xml:space="preserve">pursue a certain set of upgrades based on a limited evaluation of scenarios, </w:t>
      </w:r>
      <w:r w:rsidR="46D13894">
        <w:t xml:space="preserve">and then </w:t>
      </w:r>
      <w:r w:rsidR="29B6BA33">
        <w:t xml:space="preserve">loads </w:t>
      </w:r>
      <w:r w:rsidR="39D4C7D2">
        <w:t>ultimately</w:t>
      </w:r>
      <w:r w:rsidR="29B6BA33">
        <w:t xml:space="preserve"> grow in </w:t>
      </w:r>
      <w:r w:rsidR="0874F5FE">
        <w:t xml:space="preserve">such </w:t>
      </w:r>
      <w:r w:rsidR="725AC68A">
        <w:t>a</w:t>
      </w:r>
      <w:r w:rsidR="61833260">
        <w:t xml:space="preserve"> </w:t>
      </w:r>
      <w:r w:rsidR="725AC68A">
        <w:t>way that</w:t>
      </w:r>
      <w:r w:rsidR="15150DDC">
        <w:t xml:space="preserve"> a larger transmission solution may have been the optimal choice. This also represents a risk to customers of suboptimal deployment of investment dollars.</w:t>
      </w:r>
    </w:p>
    <w:p w14:paraId="7FF8356B" w14:textId="55DE02D4" w:rsidR="4F935184" w:rsidRDefault="00757A2E" w:rsidP="00047407">
      <w:pPr>
        <w:pStyle w:val="Answers"/>
      </w:pPr>
      <w:r>
        <w:tab/>
      </w:r>
      <w:r>
        <w:tab/>
      </w:r>
      <w:r w:rsidR="61833260">
        <w:t xml:space="preserve">This uncertainty is at the heart of all </w:t>
      </w:r>
      <w:r w:rsidR="1F8804F0">
        <w:t>IRP work and is a primary reason why plans that provide optionality</w:t>
      </w:r>
      <w:r w:rsidR="7BBA0D0C">
        <w:t xml:space="preserve"> are preferred over singular solution sets. Allowing for a feedback loop that can learn as trends in key variables unfold can reduce the risk of </w:t>
      </w:r>
      <w:r w:rsidR="1419A8F4">
        <w:t>regretted decisions by delaying decisions until the point at which they need to be made, therefore increasing the amount of information available for each decision.</w:t>
      </w:r>
    </w:p>
    <w:p w14:paraId="1F444DAB" w14:textId="25F70E0B" w:rsidR="1419A8F4" w:rsidRDefault="1419A8F4" w:rsidP="23CCCF55">
      <w:pPr>
        <w:pStyle w:val="Question"/>
      </w:pPr>
      <w:r w:rsidRPr="00622DA8">
        <w:t>Q.</w:t>
      </w:r>
      <w:r>
        <w:tab/>
      </w:r>
      <w:r w:rsidR="2C16405A" w:rsidRPr="00622DA8">
        <w:t xml:space="preserve">GIVEN THE UNCERTAINTY IN THIS DOCKET, WHAT </w:t>
      </w:r>
      <w:r w:rsidR="2C16405A">
        <w:t>DO</w:t>
      </w:r>
      <w:r w:rsidR="006D724C">
        <w:t>es this mean for</w:t>
      </w:r>
      <w:r w:rsidR="5F0455C2">
        <w:t xml:space="preserve"> </w:t>
      </w:r>
      <w:r w:rsidR="0540A52B">
        <w:t>the company’s transmission planning</w:t>
      </w:r>
      <w:r>
        <w:t>?</w:t>
      </w:r>
    </w:p>
    <w:p w14:paraId="7F00A8CC" w14:textId="48BDAC67" w:rsidR="65135461" w:rsidRDefault="1419A8F4" w:rsidP="00EC5362">
      <w:pPr>
        <w:pStyle w:val="Answers"/>
      </w:pPr>
      <w:r>
        <w:t>A.</w:t>
      </w:r>
      <w:r>
        <w:tab/>
      </w:r>
      <w:r w:rsidR="1795E210">
        <w:t>Given the wide range of potential future outcomes</w:t>
      </w:r>
      <w:r w:rsidR="55368BBA">
        <w:t xml:space="preserve">, </w:t>
      </w:r>
      <w:r w:rsidR="2A36FD67">
        <w:t>t</w:t>
      </w:r>
      <w:r w:rsidR="55368BBA">
        <w:t xml:space="preserve">he </w:t>
      </w:r>
      <w:r w:rsidR="02BA87FA">
        <w:t xml:space="preserve">impact </w:t>
      </w:r>
      <w:r w:rsidR="55368BBA">
        <w:t xml:space="preserve">of </w:t>
      </w:r>
      <w:r w:rsidR="23DB1BBF">
        <w:t xml:space="preserve">potentially </w:t>
      </w:r>
      <w:r w:rsidR="55368BBA">
        <w:t xml:space="preserve">doing the wrong thing could exceed the </w:t>
      </w:r>
      <w:r w:rsidR="1613179F">
        <w:t xml:space="preserve">impact </w:t>
      </w:r>
      <w:r w:rsidR="55368BBA">
        <w:t>of doing nothing in this IRP Update proceeding</w:t>
      </w:r>
      <w:r w:rsidR="766C25B8">
        <w:t>, particularly with respect to the transmission related to the Plant Yates CTs</w:t>
      </w:r>
      <w:r w:rsidR="55368BBA">
        <w:t xml:space="preserve">. </w:t>
      </w:r>
      <w:r w:rsidR="0420DF3B">
        <w:t>The Company is likely to learn a great deal with respect to how quickly their counterparties are turning to building the infrastructure these loads represent. The 2025 IRP will be another oppor</w:t>
      </w:r>
      <w:r w:rsidR="3B7906D2">
        <w:t xml:space="preserve">tunity to investigate the needs and costs of serving that load and could provide clarity as to what generators should be assumed available for what timeframe. </w:t>
      </w:r>
      <w:r w:rsidR="00213C2B">
        <w:t xml:space="preserve">Also, </w:t>
      </w:r>
      <w:r w:rsidR="3B7906D2">
        <w:t>a full IRP will provide more opportunity to opt</w:t>
      </w:r>
      <w:r w:rsidR="30EFC29F">
        <w:t>imize transmission solutions, w</w:t>
      </w:r>
      <w:r w:rsidR="00DA1C1C">
        <w:t>h</w:t>
      </w:r>
      <w:r w:rsidR="30EFC29F">
        <w:t>ether larger or smaller.</w:t>
      </w:r>
    </w:p>
    <w:p w14:paraId="235BEEDE" w14:textId="5372D19D" w:rsidR="65135461" w:rsidRDefault="00757A2E" w:rsidP="00047407">
      <w:pPr>
        <w:pStyle w:val="Answers"/>
      </w:pPr>
      <w:r>
        <w:tab/>
      </w:r>
      <w:r>
        <w:tab/>
      </w:r>
      <w:r w:rsidR="30EFC29F">
        <w:t xml:space="preserve">Deciding these matters in this docket means doing so with </w:t>
      </w:r>
      <w:r w:rsidR="77B19246">
        <w:t>only a limited amount of concrete information</w:t>
      </w:r>
      <w:r w:rsidR="4A686400">
        <w:t>,</w:t>
      </w:r>
      <w:r w:rsidR="30402CAB">
        <w:t xml:space="preserve"> </w:t>
      </w:r>
      <w:r w:rsidR="4A686400">
        <w:t>and significant uncertainty</w:t>
      </w:r>
      <w:r w:rsidR="30402CAB">
        <w:t xml:space="preserve"> regarding the location and timing of load </w:t>
      </w:r>
      <w:r w:rsidR="30402CAB">
        <w:lastRenderedPageBreak/>
        <w:t>materialization and the future</w:t>
      </w:r>
      <w:r w:rsidR="1FAB2A26">
        <w:t xml:space="preserve"> operation of existing resources</w:t>
      </w:r>
      <w:r w:rsidR="30EFC29F" w:rsidDel="30EFC29F">
        <w:t>.</w:t>
      </w:r>
      <w:r w:rsidR="30EFC29F">
        <w:t xml:space="preserve"> </w:t>
      </w:r>
      <w:r w:rsidR="1FAB2A26">
        <w:t>All these factors have a significant impact on the outcome of transmission analyses, and the Company has not conducted sufficient s</w:t>
      </w:r>
      <w:r w:rsidR="01D2FF19">
        <w:t xml:space="preserve">cenarios to </w:t>
      </w:r>
      <w:r w:rsidR="2DC8288C">
        <w:t>support a compr</w:t>
      </w:r>
      <w:r w:rsidR="0BE74DDC">
        <w:t>eh</w:t>
      </w:r>
      <w:r w:rsidR="2DC8288C">
        <w:t>ensive assessment of potential future conditions</w:t>
      </w:r>
      <w:r w:rsidR="30EFC29F" w:rsidDel="30EFC29F">
        <w:t>.</w:t>
      </w:r>
      <w:r w:rsidR="30EFC29F">
        <w:t xml:space="preserve"> Deciding on project capital spending should be a l</w:t>
      </w:r>
      <w:r w:rsidR="2C57D51E">
        <w:t xml:space="preserve">ast resort when dealing with this much uncertainty.  </w:t>
      </w:r>
    </w:p>
    <w:p w14:paraId="3B2C24F3" w14:textId="60065C3A" w:rsidR="65135461" w:rsidRDefault="00757A2E" w:rsidP="00047407">
      <w:pPr>
        <w:pStyle w:val="Answers"/>
      </w:pPr>
      <w:r>
        <w:tab/>
      </w:r>
      <w:r>
        <w:tab/>
      </w:r>
      <w:r w:rsidR="6BF49EFD">
        <w:t>Whether the</w:t>
      </w:r>
      <w:r w:rsidR="2C57D51E">
        <w:t xml:space="preserve"> 2025 IRP confirms the transmission solution as optimal</w:t>
      </w:r>
      <w:r w:rsidR="77055E13">
        <w:t xml:space="preserve"> </w:t>
      </w:r>
      <w:r w:rsidR="0A12E21B">
        <w:t>or</w:t>
      </w:r>
      <w:r w:rsidR="4495197D">
        <w:t xml:space="preserve"> produces a different solution set due to additional information</w:t>
      </w:r>
      <w:r w:rsidR="723E4574">
        <w:t>,</w:t>
      </w:r>
      <w:r w:rsidR="4495197D">
        <w:t xml:space="preserve"> </w:t>
      </w:r>
      <w:r w:rsidR="723E4574">
        <w:t>in either case</w:t>
      </w:r>
      <w:r w:rsidR="00800EA2">
        <w:t>,</w:t>
      </w:r>
      <w:r w:rsidR="1CA9DB66">
        <w:t xml:space="preserve"> stakeholders will have more confidence in the results.</w:t>
      </w:r>
    </w:p>
    <w:p w14:paraId="462E3112" w14:textId="77777777" w:rsidR="004674F4" w:rsidRPr="003D0BFB" w:rsidRDefault="004674F4" w:rsidP="004674F4">
      <w:pPr>
        <w:pStyle w:val="BULLETS"/>
        <w:numPr>
          <w:ilvl w:val="0"/>
          <w:numId w:val="0"/>
        </w:numPr>
      </w:pPr>
    </w:p>
    <w:p w14:paraId="492A499D" w14:textId="48BE526B" w:rsidR="003D0BFB" w:rsidRPr="0077543A" w:rsidRDefault="00EE0B94" w:rsidP="00D430DB">
      <w:pPr>
        <w:pStyle w:val="Heading1"/>
        <w:ind w:left="810" w:hanging="810"/>
      </w:pPr>
      <w:r w:rsidRPr="00D430DB">
        <w:t xml:space="preserve"> </w:t>
      </w:r>
      <w:bookmarkStart w:id="17" w:name="_Toc158741872"/>
      <w:r w:rsidRPr="00D430DB">
        <w:t>CONCLUSIONS AND RECOMMENDATIONS</w:t>
      </w:r>
      <w:bookmarkEnd w:id="17"/>
    </w:p>
    <w:p w14:paraId="23A787E0" w14:textId="77777777" w:rsidR="00017358" w:rsidRPr="007F29D4" w:rsidRDefault="00017358" w:rsidP="00017358">
      <w:pPr>
        <w:pStyle w:val="Question"/>
      </w:pPr>
      <w:r w:rsidRPr="44899DC4">
        <w:t>Q.</w:t>
      </w:r>
      <w:r>
        <w:tab/>
      </w:r>
      <w:r w:rsidRPr="44899DC4">
        <w:t>please summarize your recommendations.</w:t>
      </w:r>
    </w:p>
    <w:p w14:paraId="6D147157" w14:textId="77777777" w:rsidR="00017358" w:rsidRDefault="00017358" w:rsidP="00017358">
      <w:pPr>
        <w:pStyle w:val="Answers"/>
      </w:pPr>
      <w:r w:rsidRPr="003D0BFB">
        <w:t>A.</w:t>
      </w:r>
      <w:r w:rsidRPr="003D0BFB">
        <w:tab/>
      </w:r>
      <w:r>
        <w:t>Our recommendations are as follows:</w:t>
      </w:r>
    </w:p>
    <w:p w14:paraId="444D160F" w14:textId="77777777" w:rsidR="00017358" w:rsidRDefault="00017358" w:rsidP="00017358">
      <w:pPr>
        <w:pStyle w:val="Answers"/>
        <w:numPr>
          <w:ilvl w:val="3"/>
          <w:numId w:val="28"/>
        </w:numPr>
        <w:tabs>
          <w:tab w:val="clear" w:pos="1260"/>
          <w:tab w:val="left" w:pos="1440"/>
        </w:tabs>
        <w:ind w:left="1440"/>
      </w:pPr>
      <w:r>
        <w:t>We recommend that, pending resolution of the need for 3 Plant Yates CTs and the resolution of retirement dates of the units the Company has questioned in its 2023 IRP Update, that the question of advancing transmission solutions in support of the Plant Yates CTs be delayed and restudied in the 2025 IRP.</w:t>
      </w:r>
    </w:p>
    <w:p w14:paraId="5C54163D" w14:textId="77777777" w:rsidR="00017358" w:rsidRDefault="00017358" w:rsidP="00017358">
      <w:pPr>
        <w:pStyle w:val="Answers"/>
        <w:numPr>
          <w:ilvl w:val="3"/>
          <w:numId w:val="28"/>
        </w:numPr>
        <w:tabs>
          <w:tab w:val="clear" w:pos="1260"/>
          <w:tab w:val="left" w:pos="1440"/>
        </w:tabs>
        <w:ind w:left="1440"/>
      </w:pPr>
      <w:r>
        <w:t>Should the question of the need for Plant Yates CTs be resolved in the affirmative in this docket, we separately recommend the following:</w:t>
      </w:r>
    </w:p>
    <w:p w14:paraId="20E6055E" w14:textId="77777777" w:rsidR="00017358" w:rsidRDefault="00017358" w:rsidP="00280D9D">
      <w:pPr>
        <w:pStyle w:val="Answers"/>
        <w:numPr>
          <w:ilvl w:val="0"/>
          <w:numId w:val="32"/>
        </w:numPr>
        <w:tabs>
          <w:tab w:val="clear" w:pos="1260"/>
          <w:tab w:val="left" w:pos="1440"/>
        </w:tabs>
      </w:pPr>
      <w:r>
        <w:t>T</w:t>
      </w:r>
      <w:r w:rsidRPr="003261B5">
        <w:t xml:space="preserve">he requested expense to advance </w:t>
      </w:r>
      <w:r>
        <w:t xml:space="preserve">Project 7 by </w:t>
      </w:r>
      <w:r w:rsidRPr="003261B5">
        <w:t xml:space="preserve">one year </w:t>
      </w:r>
      <w:r>
        <w:t xml:space="preserve">should </w:t>
      </w:r>
      <w:r w:rsidRPr="003261B5">
        <w:t xml:space="preserve">be denied. Determination of whether Project 7 remains the optimal solution to any </w:t>
      </w:r>
      <w:r w:rsidRPr="003261B5">
        <w:lastRenderedPageBreak/>
        <w:t>future transmission needs should be considered as part of the Company’s full 2025 IRP.</w:t>
      </w:r>
    </w:p>
    <w:p w14:paraId="3368AD82" w14:textId="77777777" w:rsidR="00017358" w:rsidRDefault="00017358" w:rsidP="00280D9D">
      <w:pPr>
        <w:pStyle w:val="Answers"/>
        <w:numPr>
          <w:ilvl w:val="0"/>
          <w:numId w:val="32"/>
        </w:numPr>
        <w:tabs>
          <w:tab w:val="clear" w:pos="1260"/>
          <w:tab w:val="left" w:pos="1440"/>
        </w:tabs>
      </w:pPr>
      <w:r>
        <w:t>Project 8</w:t>
      </w:r>
      <w:r w:rsidRPr="003D0BFB">
        <w:t xml:space="preserve"> </w:t>
      </w:r>
      <w:r>
        <w:t xml:space="preserve">should </w:t>
      </w:r>
      <w:r w:rsidRPr="003D0BFB">
        <w:t xml:space="preserve">be </w:t>
      </w:r>
      <w:r>
        <w:t>denied and</w:t>
      </w:r>
      <w:r w:rsidRPr="003D0BFB">
        <w:t xml:space="preserve"> the </w:t>
      </w:r>
      <w:r>
        <w:t>potential need for this or other similar projects should be reconsidered as part of the 2025 IRP transmission analysis</w:t>
      </w:r>
      <w:r w:rsidRPr="003D0BFB">
        <w:t>.</w:t>
      </w:r>
    </w:p>
    <w:p w14:paraId="51D51D35" w14:textId="77777777" w:rsidR="00017358" w:rsidRPr="003D0BFB" w:rsidRDefault="00017358" w:rsidP="00017358">
      <w:pPr>
        <w:pStyle w:val="Answers"/>
        <w:numPr>
          <w:ilvl w:val="3"/>
          <w:numId w:val="28"/>
        </w:numPr>
        <w:tabs>
          <w:tab w:val="clear" w:pos="1260"/>
          <w:tab w:val="left" w:pos="1440"/>
        </w:tabs>
        <w:ind w:left="1440"/>
      </w:pPr>
      <w:r>
        <w:t xml:space="preserve">The Company should consider expanding its potential transmission solutions to include non-wires alternatives as well as new substations and/or right of way solutions to ensure a robust test to find the most cost-effective solution. </w:t>
      </w:r>
    </w:p>
    <w:p w14:paraId="35A5862B" w14:textId="4FCCCFDA" w:rsidR="00F348DA" w:rsidRPr="0092188D" w:rsidRDefault="00F348DA" w:rsidP="003D0BFB">
      <w:pPr>
        <w:pStyle w:val="Question"/>
      </w:pPr>
      <w:r w:rsidRPr="0092188D">
        <w:t>Q.</w:t>
      </w:r>
      <w:r w:rsidRPr="0092188D">
        <w:tab/>
        <w:t xml:space="preserve">Does this conclude </w:t>
      </w:r>
      <w:r>
        <w:t>Staff’s</w:t>
      </w:r>
      <w:r w:rsidRPr="0092188D">
        <w:t xml:space="preserve"> testimony?</w:t>
      </w:r>
    </w:p>
    <w:p w14:paraId="2A18F710" w14:textId="77777777" w:rsidR="00F348DA" w:rsidRPr="00F348DA" w:rsidRDefault="00F348DA" w:rsidP="00C210FC">
      <w:pPr>
        <w:tabs>
          <w:tab w:val="left" w:pos="720"/>
          <w:tab w:val="left" w:pos="1725"/>
        </w:tabs>
        <w:spacing w:line="480" w:lineRule="auto"/>
        <w:ind w:left="720" w:hanging="720"/>
        <w:rPr>
          <w:rFonts w:cs="Calibri"/>
        </w:rPr>
      </w:pPr>
      <w:r w:rsidRPr="0092188D">
        <w:rPr>
          <w:rFonts w:ascii="Times New Roman" w:hAnsi="Times New Roman"/>
          <w:sz w:val="24"/>
          <w:szCs w:val="24"/>
        </w:rPr>
        <w:t>A.</w:t>
      </w:r>
      <w:r w:rsidRPr="0092188D">
        <w:rPr>
          <w:rFonts w:ascii="Times New Roman" w:hAnsi="Times New Roman"/>
          <w:sz w:val="24"/>
          <w:szCs w:val="24"/>
        </w:rPr>
        <w:tab/>
        <w:t>Yes.</w:t>
      </w:r>
    </w:p>
    <w:sectPr w:rsidR="00F348DA" w:rsidRPr="00F348DA" w:rsidSect="00A5529C">
      <w:footerReference w:type="default" r:id="rId12"/>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D20D" w14:textId="77777777" w:rsidR="00A5529C" w:rsidRDefault="00A5529C" w:rsidP="009E7506">
      <w:r>
        <w:separator/>
      </w:r>
    </w:p>
  </w:endnote>
  <w:endnote w:type="continuationSeparator" w:id="0">
    <w:p w14:paraId="4F13C02D" w14:textId="77777777" w:rsidR="00A5529C" w:rsidRDefault="00A5529C" w:rsidP="009E7506">
      <w:r>
        <w:continuationSeparator/>
      </w:r>
    </w:p>
  </w:endnote>
  <w:endnote w:type="continuationNotice" w:id="1">
    <w:p w14:paraId="4759E036" w14:textId="77777777" w:rsidR="00A5529C" w:rsidRDefault="00A55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Symbols">
    <w:altName w:val="Calibri"/>
    <w:charset w:val="01"/>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F3D1" w14:textId="77777777" w:rsidR="000E579E" w:rsidRDefault="000E579E" w:rsidP="000672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29EF" w14:textId="77777777" w:rsidR="000E579E" w:rsidRPr="000672E8" w:rsidRDefault="000E579E" w:rsidP="0006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A3FD" w14:textId="77777777" w:rsidR="000E579E" w:rsidRDefault="000E579E" w:rsidP="00525A9B">
    <w:pPr>
      <w:jc w:val="center"/>
      <w:rPr>
        <w:rFonts w:ascii="Times New Roman" w:hAnsi="Times New Roman"/>
        <w:sz w:val="18"/>
        <w:szCs w:val="18"/>
      </w:rPr>
    </w:pPr>
  </w:p>
  <w:p w14:paraId="4324120D" w14:textId="3C9EB2C9" w:rsidR="000E579E" w:rsidRDefault="003049A8" w:rsidP="00525A9B">
    <w:pPr>
      <w:jc w:val="center"/>
      <w:rPr>
        <w:rFonts w:ascii="Times New Roman" w:hAnsi="Times New Roman"/>
        <w:sz w:val="20"/>
        <w:szCs w:val="20"/>
      </w:rPr>
    </w:pPr>
    <w:r>
      <w:rPr>
        <w:rFonts w:ascii="Times New Roman" w:hAnsi="Times New Roman"/>
        <w:sz w:val="20"/>
        <w:szCs w:val="20"/>
      </w:rPr>
      <w:t>Direct Testimony of Douglas A. Smith and Katherine Palacios</w:t>
    </w:r>
  </w:p>
  <w:p w14:paraId="0B0EEC81" w14:textId="0D380F16" w:rsidR="00152CBE" w:rsidRPr="00160EA0" w:rsidRDefault="00451E19" w:rsidP="00525A9B">
    <w:pPr>
      <w:jc w:val="center"/>
      <w:rPr>
        <w:rFonts w:ascii="Times New Roman" w:hAnsi="Times New Roman"/>
        <w:color w:val="385623" w:themeColor="accent6" w:themeShade="80"/>
        <w:sz w:val="20"/>
        <w:szCs w:val="20"/>
      </w:rPr>
    </w:pPr>
    <w:r w:rsidRPr="00160EA0">
      <w:rPr>
        <w:rFonts w:ascii="Times New Roman" w:hAnsi="Times New Roman"/>
        <w:color w:val="385623" w:themeColor="accent6" w:themeShade="80"/>
        <w:sz w:val="20"/>
        <w:szCs w:val="20"/>
      </w:rPr>
      <w:t>Public Disclosure</w:t>
    </w:r>
  </w:p>
  <w:p w14:paraId="59D56133" w14:textId="5A4A8F9D" w:rsidR="000E579E" w:rsidRPr="004E7DE1" w:rsidRDefault="000E579E" w:rsidP="00AE5F1F">
    <w:pPr>
      <w:jc w:val="center"/>
      <w:rPr>
        <w:rFonts w:ascii="Times New Roman" w:hAnsi="Times New Roman"/>
        <w:sz w:val="20"/>
        <w:szCs w:val="20"/>
      </w:rPr>
    </w:pPr>
    <w:r w:rsidRPr="004E7DE1">
      <w:rPr>
        <w:rFonts w:ascii="Times New Roman" w:hAnsi="Times New Roman"/>
        <w:sz w:val="20"/>
        <w:szCs w:val="20"/>
      </w:rPr>
      <w:t>Docket No</w:t>
    </w:r>
    <w:r w:rsidR="00116A3C">
      <w:rPr>
        <w:rFonts w:ascii="Times New Roman" w:hAnsi="Times New Roman"/>
        <w:sz w:val="20"/>
        <w:szCs w:val="20"/>
      </w:rPr>
      <w:t>. 55378</w:t>
    </w:r>
  </w:p>
  <w:p w14:paraId="69FED19E" w14:textId="2306B4B2" w:rsidR="000E579E" w:rsidRPr="004E7DE1" w:rsidRDefault="000E579E" w:rsidP="00AE5F1F">
    <w:pPr>
      <w:jc w:val="center"/>
      <w:rPr>
        <w:rFonts w:ascii="Times New Roman" w:hAnsi="Times New Roman"/>
        <w:sz w:val="20"/>
        <w:szCs w:val="20"/>
      </w:rPr>
    </w:pPr>
    <w:r w:rsidRPr="004E7DE1">
      <w:rPr>
        <w:rFonts w:ascii="Times New Roman" w:hAnsi="Times New Roman"/>
        <w:sz w:val="20"/>
        <w:szCs w:val="20"/>
      </w:rPr>
      <w:t xml:space="preserve">Page </w:t>
    </w:r>
    <w:r w:rsidRPr="004E7DE1">
      <w:rPr>
        <w:rStyle w:val="PageNumber"/>
        <w:rFonts w:ascii="Times New Roman" w:hAnsi="Times New Roman"/>
        <w:sz w:val="20"/>
        <w:szCs w:val="20"/>
      </w:rPr>
      <w:fldChar w:fldCharType="begin"/>
    </w:r>
    <w:r w:rsidRPr="004E7DE1">
      <w:rPr>
        <w:rStyle w:val="PageNumber"/>
        <w:rFonts w:ascii="Times New Roman" w:hAnsi="Times New Roman"/>
        <w:sz w:val="20"/>
        <w:szCs w:val="20"/>
      </w:rPr>
      <w:instrText xml:space="preserve"> PAGE </w:instrText>
    </w:r>
    <w:r w:rsidRPr="004E7DE1">
      <w:rPr>
        <w:rStyle w:val="PageNumber"/>
        <w:rFonts w:ascii="Times New Roman" w:hAnsi="Times New Roman"/>
        <w:sz w:val="20"/>
        <w:szCs w:val="20"/>
      </w:rPr>
      <w:fldChar w:fldCharType="separate"/>
    </w:r>
    <w:r>
      <w:rPr>
        <w:rStyle w:val="PageNumber"/>
        <w:rFonts w:ascii="Times New Roman" w:hAnsi="Times New Roman"/>
        <w:noProof/>
        <w:sz w:val="20"/>
        <w:szCs w:val="20"/>
      </w:rPr>
      <w:t>75</w:t>
    </w:r>
    <w:r w:rsidRPr="004E7DE1">
      <w:rPr>
        <w:rStyle w:val="PageNumber"/>
        <w:rFonts w:ascii="Times New Roman" w:hAnsi="Times New Roman"/>
        <w:sz w:val="20"/>
        <w:szCs w:val="20"/>
      </w:rPr>
      <w:fldChar w:fldCharType="end"/>
    </w:r>
    <w:r w:rsidRPr="004E7DE1">
      <w:rPr>
        <w:rStyle w:val="PageNumber"/>
        <w:rFonts w:ascii="Times New Roman" w:hAnsi="Times New Roman"/>
        <w:sz w:val="20"/>
        <w:szCs w:val="20"/>
      </w:rPr>
      <w:t xml:space="preserve"> of </w:t>
    </w:r>
    <w:r>
      <w:rPr>
        <w:rStyle w:val="PageNumber"/>
        <w:rFonts w:ascii="Times New Roman" w:hAnsi="Times New Roman"/>
        <w:color w:val="000000" w:themeColor="text1"/>
        <w:sz w:val="20"/>
        <w:szCs w:val="20"/>
      </w:rPr>
      <w:fldChar w:fldCharType="begin"/>
    </w:r>
    <w:r>
      <w:rPr>
        <w:rStyle w:val="PageNumber"/>
        <w:rFonts w:ascii="Times New Roman" w:hAnsi="Times New Roman"/>
        <w:color w:val="000000" w:themeColor="text1"/>
        <w:sz w:val="20"/>
        <w:szCs w:val="20"/>
      </w:rPr>
      <w:instrText xml:space="preserve"> =</w:instrText>
    </w:r>
    <w:r w:rsidRPr="00D75A83">
      <w:rPr>
        <w:rStyle w:val="PageNumber"/>
        <w:rFonts w:ascii="Times New Roman" w:hAnsi="Times New Roman"/>
        <w:color w:val="000000" w:themeColor="text1"/>
        <w:sz w:val="20"/>
        <w:szCs w:val="20"/>
      </w:rPr>
      <w:fldChar w:fldCharType="begin"/>
    </w:r>
    <w:r w:rsidRPr="00D75A83">
      <w:rPr>
        <w:rStyle w:val="PageNumber"/>
        <w:rFonts w:ascii="Times New Roman" w:hAnsi="Times New Roman"/>
        <w:color w:val="000000" w:themeColor="text1"/>
        <w:sz w:val="20"/>
        <w:szCs w:val="20"/>
      </w:rPr>
      <w:instrText xml:space="preserve"> NUMPAGES   \* MERGEFORMAT </w:instrText>
    </w:r>
    <w:r w:rsidRPr="00D75A83">
      <w:rPr>
        <w:rStyle w:val="PageNumber"/>
        <w:rFonts w:ascii="Times New Roman" w:hAnsi="Times New Roman"/>
        <w:color w:val="000000" w:themeColor="text1"/>
        <w:sz w:val="20"/>
        <w:szCs w:val="20"/>
      </w:rPr>
      <w:fldChar w:fldCharType="separate"/>
    </w:r>
    <w:r w:rsidR="00676BE8">
      <w:rPr>
        <w:rStyle w:val="PageNumber"/>
        <w:rFonts w:ascii="Times New Roman" w:hAnsi="Times New Roman"/>
        <w:noProof/>
        <w:color w:val="000000" w:themeColor="text1"/>
        <w:sz w:val="20"/>
        <w:szCs w:val="20"/>
      </w:rPr>
      <w:instrText>37</w:instrText>
    </w:r>
    <w:r w:rsidRPr="00D75A83">
      <w:rPr>
        <w:rStyle w:val="PageNumber"/>
        <w:rFonts w:ascii="Times New Roman" w:hAnsi="Times New Roman"/>
        <w:color w:val="000000" w:themeColor="text1"/>
        <w:sz w:val="20"/>
        <w:szCs w:val="20"/>
      </w:rPr>
      <w:fldChar w:fldCharType="end"/>
    </w:r>
    <w:r>
      <w:rPr>
        <w:rStyle w:val="PageNumber"/>
        <w:rFonts w:ascii="Times New Roman" w:hAnsi="Times New Roman"/>
        <w:color w:val="000000" w:themeColor="text1"/>
        <w:sz w:val="20"/>
        <w:szCs w:val="20"/>
      </w:rPr>
      <w:instrText xml:space="preserve">-3 </w:instrText>
    </w:r>
    <w:r>
      <w:rPr>
        <w:rStyle w:val="PageNumber"/>
        <w:rFonts w:ascii="Times New Roman" w:hAnsi="Times New Roman"/>
        <w:color w:val="000000" w:themeColor="text1"/>
        <w:sz w:val="20"/>
        <w:szCs w:val="20"/>
      </w:rPr>
      <w:fldChar w:fldCharType="separate"/>
    </w:r>
    <w:r w:rsidR="00676BE8">
      <w:rPr>
        <w:rStyle w:val="PageNumber"/>
        <w:rFonts w:ascii="Times New Roman" w:hAnsi="Times New Roman"/>
        <w:noProof/>
        <w:color w:val="000000" w:themeColor="text1"/>
        <w:sz w:val="20"/>
        <w:szCs w:val="20"/>
      </w:rPr>
      <w:t>34</w:t>
    </w:r>
    <w:r>
      <w:rPr>
        <w:rStyle w:val="PageNumber"/>
        <w:rFonts w:ascii="Times New Roman" w:hAnsi="Times New Roman"/>
        <w:color w:val="000000" w:themeColor="text1"/>
        <w:sz w:val="20"/>
        <w:szCs w:val="20"/>
      </w:rPr>
      <w:fldChar w:fldCharType="end"/>
    </w:r>
  </w:p>
  <w:p w14:paraId="6FBC9068" w14:textId="77777777" w:rsidR="000E579E" w:rsidRPr="004E7DE1" w:rsidRDefault="000E579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2DA1" w14:textId="77777777" w:rsidR="00A5529C" w:rsidRDefault="00A5529C" w:rsidP="009E7506">
      <w:r>
        <w:separator/>
      </w:r>
    </w:p>
  </w:footnote>
  <w:footnote w:type="continuationSeparator" w:id="0">
    <w:p w14:paraId="01C442B5" w14:textId="77777777" w:rsidR="00A5529C" w:rsidRDefault="00A5529C" w:rsidP="009E7506">
      <w:r>
        <w:continuationSeparator/>
      </w:r>
    </w:p>
  </w:footnote>
  <w:footnote w:type="continuationNotice" w:id="1">
    <w:p w14:paraId="65415E2B" w14:textId="77777777" w:rsidR="00A5529C" w:rsidRDefault="00A5529C"/>
  </w:footnote>
  <w:footnote w:id="2">
    <w:p w14:paraId="2084507E" w14:textId="0D053320" w:rsidR="002F5A5D" w:rsidRDefault="002F5A5D">
      <w:pPr>
        <w:pStyle w:val="FootnoteText"/>
      </w:pPr>
      <w:r>
        <w:rPr>
          <w:rStyle w:val="FootnoteReference"/>
        </w:rPr>
        <w:footnoteRef/>
      </w:r>
      <w:r>
        <w:t xml:space="preserve"> IRP Update, p. 28.</w:t>
      </w:r>
    </w:p>
  </w:footnote>
  <w:footnote w:id="3">
    <w:p w14:paraId="52F9408F" w14:textId="77777777" w:rsidR="006D48B6" w:rsidRDefault="006D48B6" w:rsidP="006D48B6">
      <w:pPr>
        <w:pStyle w:val="FootnoteText"/>
      </w:pPr>
      <w:r>
        <w:rPr>
          <w:rStyle w:val="FootnoteReference"/>
        </w:rPr>
        <w:footnoteRef/>
      </w:r>
      <w:r>
        <w:t xml:space="preserve"> Direct testimony of Jefferey R. Grubb, Francisco Valle, Lee Evans, and Michael A. Bush, page 52, lines 7-8.</w:t>
      </w:r>
    </w:p>
  </w:footnote>
  <w:footnote w:id="4">
    <w:p w14:paraId="66E2D243" w14:textId="2E1983A7" w:rsidR="00A77542" w:rsidRDefault="00A77542">
      <w:pPr>
        <w:pStyle w:val="FootnoteText"/>
      </w:pPr>
      <w:r>
        <w:rPr>
          <w:rStyle w:val="FootnoteReference"/>
        </w:rPr>
        <w:footnoteRef/>
      </w:r>
      <w:r>
        <w:t xml:space="preserve"> In </w:t>
      </w:r>
      <w:r w:rsidR="00DA515C">
        <w:t xml:space="preserve">a </w:t>
      </w:r>
      <w:r>
        <w:t>November 27</w:t>
      </w:r>
      <w:r w:rsidRPr="006B04CC">
        <w:rPr>
          <w:vertAlign w:val="superscript"/>
        </w:rPr>
        <w:t>th</w:t>
      </w:r>
      <w:r>
        <w:t xml:space="preserve"> technical conference, the Company presented the assumptions used in the Screening Analysis, which included approximately </w:t>
      </w:r>
      <w:r w:rsidR="008764D3" w:rsidRPr="008764D3">
        <w:rPr>
          <w:highlight w:val="black"/>
        </w:rPr>
        <w:t>XXXXXX</w:t>
      </w:r>
      <w:r w:rsidRPr="008D56E9">
        <w:t xml:space="preserve"> of committed large loads</w:t>
      </w:r>
      <w:r>
        <w:t>.</w:t>
      </w:r>
    </w:p>
  </w:footnote>
  <w:footnote w:id="5">
    <w:p w14:paraId="5956AE45" w14:textId="18BB7E97" w:rsidR="00E270B2" w:rsidRDefault="00E270B2">
      <w:pPr>
        <w:pStyle w:val="FootnoteText"/>
      </w:pPr>
      <w:r>
        <w:rPr>
          <w:rStyle w:val="FootnoteReference"/>
        </w:rPr>
        <w:footnoteRef/>
      </w:r>
      <w:r>
        <w:t xml:space="preserve"> IRP Update, Technical Appendix, Transmission Screening Analysis Overview, p. 2.</w:t>
      </w:r>
    </w:p>
  </w:footnote>
  <w:footnote w:id="6">
    <w:p w14:paraId="70965C5C" w14:textId="2DE30E13" w:rsidR="2D70B836" w:rsidRDefault="2D70B836">
      <w:r w:rsidRPr="008B37B3">
        <w:rPr>
          <w:rStyle w:val="FootnoteReference"/>
          <w:rFonts w:eastAsia="Calibri"/>
          <w:sz w:val="20"/>
          <w:szCs w:val="20"/>
        </w:rPr>
        <w:footnoteRef/>
      </w:r>
      <w:r w:rsidR="09C9D12F">
        <w:t xml:space="preserve"> </w:t>
      </w:r>
      <w:r w:rsidR="09C9D12F" w:rsidRPr="008B37B3">
        <w:rPr>
          <w:rFonts w:eastAsia="Calibri"/>
          <w:sz w:val="20"/>
          <w:szCs w:val="20"/>
        </w:rPr>
        <w:t xml:space="preserve">The locations of the 1,000 MW include publicly identified, trade secret but identified and more generally targeted locations. </w:t>
      </w:r>
      <w:r w:rsidR="5A3A5521" w:rsidRPr="008B37B3">
        <w:rPr>
          <w:rFonts w:eastAsia="Calibri"/>
          <w:sz w:val="20"/>
          <w:szCs w:val="20"/>
        </w:rPr>
        <w:t xml:space="preserve">The Company’s conclusion was that for all of those known and estimated locations, existing </w:t>
      </w:r>
      <w:r w:rsidR="6736C5E3" w:rsidRPr="008B37B3">
        <w:rPr>
          <w:rFonts w:eastAsia="Calibri"/>
          <w:sz w:val="20"/>
          <w:szCs w:val="20"/>
        </w:rPr>
        <w:t xml:space="preserve">transmission would </w:t>
      </w:r>
      <w:r w:rsidR="5DDD9160" w:rsidRPr="008B37B3">
        <w:rPr>
          <w:rFonts w:eastAsia="Calibri"/>
          <w:sz w:val="20"/>
          <w:szCs w:val="20"/>
        </w:rPr>
        <w:t xml:space="preserve">be </w:t>
      </w:r>
      <w:r w:rsidR="5849B3C0" w:rsidRPr="008B37B3">
        <w:rPr>
          <w:rFonts w:eastAsia="Calibri"/>
          <w:sz w:val="20"/>
          <w:szCs w:val="20"/>
        </w:rPr>
        <w:t>sufficient to bring the new BESS</w:t>
      </w:r>
      <w:r w:rsidR="4B747F04" w:rsidRPr="008B37B3">
        <w:rPr>
          <w:rFonts w:eastAsia="Calibri"/>
          <w:sz w:val="20"/>
          <w:szCs w:val="20"/>
        </w:rPr>
        <w:t xml:space="preserve"> online.</w:t>
      </w:r>
    </w:p>
  </w:footnote>
  <w:footnote w:id="7">
    <w:p w14:paraId="673F92EE" w14:textId="0AC05B7B" w:rsidR="00FB275D" w:rsidRDefault="00FB275D">
      <w:pPr>
        <w:pStyle w:val="FootnoteText"/>
      </w:pPr>
      <w:r>
        <w:rPr>
          <w:rStyle w:val="FootnoteReference"/>
        </w:rPr>
        <w:footnoteRef/>
      </w:r>
      <w:r>
        <w:t xml:space="preserve"> </w:t>
      </w:r>
      <w:r w:rsidR="00D90ED6" w:rsidRPr="00D90ED6">
        <w:t>PSC Informal Transmission Request – GPC Responses</w:t>
      </w:r>
      <w:r w:rsidR="00D90ED6">
        <w:t>, response to question 4.</w:t>
      </w:r>
    </w:p>
  </w:footnote>
  <w:footnote w:id="8">
    <w:p w14:paraId="57E1F59A" w14:textId="050B2910" w:rsidR="006A5606" w:rsidRDefault="006A5606">
      <w:pPr>
        <w:pStyle w:val="FootnoteText"/>
      </w:pPr>
      <w:r>
        <w:rPr>
          <w:rStyle w:val="FootnoteReference"/>
        </w:rPr>
        <w:footnoteRef/>
      </w:r>
      <w:r>
        <w:t xml:space="preserve"> Ibid.</w:t>
      </w:r>
    </w:p>
  </w:footnote>
  <w:footnote w:id="9">
    <w:p w14:paraId="229EE07F" w14:textId="77777777" w:rsidR="003D0BFB" w:rsidRPr="009E4323" w:rsidRDefault="003D0BFB" w:rsidP="003D0BFB">
      <w:pPr>
        <w:pStyle w:val="FootnoteText"/>
      </w:pPr>
      <w:r>
        <w:rPr>
          <w:rStyle w:val="FootnoteReference"/>
        </w:rPr>
        <w:footnoteRef/>
      </w:r>
      <w:r>
        <w:t xml:space="preserve"> </w:t>
      </w:r>
      <w:r w:rsidRPr="00772767">
        <w:t>Georgia Power Company. 2023 Integrated Resource Plan Update. October 2023. Docket 55378, p. 10.</w:t>
      </w:r>
    </w:p>
  </w:footnote>
  <w:footnote w:id="10">
    <w:p w14:paraId="61C056F9" w14:textId="5DE34034" w:rsidR="006B04CC" w:rsidRDefault="006B04CC">
      <w:pPr>
        <w:pStyle w:val="FootnoteText"/>
      </w:pPr>
      <w:r>
        <w:rPr>
          <w:rStyle w:val="FootnoteReference"/>
        </w:rPr>
        <w:footnoteRef/>
      </w:r>
      <w:r>
        <w:t xml:space="preserve"> Georgia Power stated in its responses to </w:t>
      </w:r>
      <w:r w:rsidRPr="006B04CC">
        <w:t>PSC Informal Transmission Request</w:t>
      </w:r>
      <w:r>
        <w:t>s that the generation portfolio wasn’t finalized until October 2023.</w:t>
      </w:r>
      <w:r w:rsidR="00D97602">
        <w:t xml:space="preserve"> The initial transmission analysis was provided</w:t>
      </w:r>
      <w:r w:rsidR="00CE6BE8">
        <w:t xml:space="preserve"> by the end of that month</w:t>
      </w:r>
      <w:r w:rsidR="00115089">
        <w:t>.</w:t>
      </w:r>
    </w:p>
  </w:footnote>
  <w:footnote w:id="11">
    <w:p w14:paraId="61D712C6" w14:textId="03883E00" w:rsidR="001870BC" w:rsidRDefault="001870BC" w:rsidP="001870BC">
      <w:pPr>
        <w:pStyle w:val="FootnoteText"/>
      </w:pPr>
      <w:r>
        <w:rPr>
          <w:rStyle w:val="FootnoteReference"/>
        </w:rPr>
        <w:footnoteRef/>
      </w:r>
      <w:r>
        <w:t xml:space="preserve"> See slide deck entitled “2023 GPC IRP Update: Transmission Planning Analysis Overview” presented by the Company in a Technical Conference on November 27, 2023.</w:t>
      </w:r>
    </w:p>
  </w:footnote>
  <w:footnote w:id="12">
    <w:p w14:paraId="41ED6E41" w14:textId="7BE1C742" w:rsidR="00713C36" w:rsidRDefault="00713C36">
      <w:pPr>
        <w:pStyle w:val="FootnoteText"/>
      </w:pPr>
      <w:r>
        <w:rPr>
          <w:rStyle w:val="FootnoteReference"/>
        </w:rPr>
        <w:footnoteRef/>
      </w:r>
      <w:r>
        <w:t xml:space="preserve"> </w:t>
      </w:r>
      <w:r w:rsidR="00613D20">
        <w:t>November 27</w:t>
      </w:r>
      <w:r w:rsidR="00613D20" w:rsidRPr="00FD6EDB">
        <w:rPr>
          <w:vertAlign w:val="superscript"/>
        </w:rPr>
        <w:t>th</w:t>
      </w:r>
      <w:r w:rsidR="00613D20">
        <w:t xml:space="preserve"> </w:t>
      </w:r>
      <w:r w:rsidR="00FD6EDB">
        <w:t xml:space="preserve">Technical Conference </w:t>
      </w:r>
      <w:r w:rsidR="00613D20">
        <w:t>presentation</w:t>
      </w:r>
      <w:r w:rsidR="00FD6EDB">
        <w:t>, slide 9</w:t>
      </w:r>
      <w:r w:rsidR="00613D20">
        <w:t xml:space="preserve"> </w:t>
      </w:r>
    </w:p>
  </w:footnote>
  <w:footnote w:id="13">
    <w:p w14:paraId="00373AAB" w14:textId="2E3316DF" w:rsidR="000457A8" w:rsidRDefault="000457A8" w:rsidP="000457A8">
      <w:pPr>
        <w:pStyle w:val="FootnoteText"/>
      </w:pPr>
      <w:r>
        <w:rPr>
          <w:rStyle w:val="FootnoteReference"/>
        </w:rPr>
        <w:footnoteRef/>
      </w:r>
      <w:r>
        <w:t xml:space="preserve"> </w:t>
      </w:r>
      <w:r>
        <w:tab/>
      </w:r>
      <w:r w:rsidR="006977EF" w:rsidRPr="00B4503B">
        <w:t xml:space="preserve">Docket No. 44160, </w:t>
      </w:r>
      <w:hyperlink r:id="rId1" w:history="1">
        <w:r w:rsidR="006977EF" w:rsidRPr="00B4503B">
          <w:rPr>
            <w:rStyle w:val="Hyperlink"/>
          </w:rPr>
          <w:t>Order Adopting Stipulation, July 29, 2022</w:t>
        </w:r>
      </w:hyperlink>
      <w:r w:rsidR="006977EF" w:rsidRPr="00B4503B">
        <w:t xml:space="preserve">. </w:t>
      </w:r>
    </w:p>
  </w:footnote>
  <w:footnote w:id="14">
    <w:p w14:paraId="44171AB7" w14:textId="77777777" w:rsidR="003D0BFB" w:rsidRDefault="003D0BFB" w:rsidP="003D0BFB">
      <w:pPr>
        <w:pStyle w:val="FootnoteText"/>
      </w:pPr>
      <w:r>
        <w:rPr>
          <w:rStyle w:val="FootnoteReference"/>
        </w:rPr>
        <w:footnoteRef/>
      </w:r>
      <w:r>
        <w:t xml:space="preserve"> Company response to STF-DEA-4-2.</w:t>
      </w:r>
    </w:p>
  </w:footnote>
  <w:footnote w:id="15">
    <w:p w14:paraId="04C337FF" w14:textId="6CF7546D" w:rsidR="00413FFA" w:rsidRDefault="00413FFA" w:rsidP="00413FFA">
      <w:pPr>
        <w:pStyle w:val="FootnoteText"/>
      </w:pPr>
      <w:r>
        <w:rPr>
          <w:rStyle w:val="FootnoteReference"/>
        </w:rPr>
        <w:footnoteRef/>
      </w:r>
      <w:r>
        <w:t xml:space="preserve"> Witness Grubb during the January 17, 2024 hearings: “In the 2022 IRP, the Commission approved a decertification of Plant Gaston in Alabama by the end of '28 and Scherer 3 by the end of '28. We will re-address those and reevaluate</w:t>
      </w:r>
    </w:p>
    <w:p w14:paraId="0EB2D3B5" w14:textId="2E7FE240" w:rsidR="00413FFA" w:rsidRDefault="00413FFA" w:rsidP="00413FFA">
      <w:pPr>
        <w:pStyle w:val="FootnoteText"/>
      </w:pPr>
      <w:r>
        <w:t>those in the 2025 IRP, but our capacity plan shows those retirements”, page 0561, lines 20-25.</w:t>
      </w:r>
    </w:p>
  </w:footnote>
  <w:footnote w:id="16">
    <w:p w14:paraId="26D41460" w14:textId="757E46A4" w:rsidR="007204EC" w:rsidRDefault="007204EC">
      <w:pPr>
        <w:pStyle w:val="FootnoteText"/>
      </w:pPr>
      <w:r>
        <w:rPr>
          <w:rStyle w:val="FootnoteReference"/>
        </w:rPr>
        <w:footnoteRef/>
      </w:r>
      <w:r>
        <w:t xml:space="preserve"> </w:t>
      </w:r>
      <w:r w:rsidR="00E548DE" w:rsidRPr="00E548DE">
        <w:t>2023 Integrated Resource Plan Update, Page 27</w:t>
      </w:r>
    </w:p>
  </w:footnote>
  <w:footnote w:id="17">
    <w:p w14:paraId="5E2EE785" w14:textId="622C3998" w:rsidR="00AB4CA6" w:rsidRDefault="00AB4CA6">
      <w:pPr>
        <w:pStyle w:val="FootnoteText"/>
      </w:pPr>
      <w:r>
        <w:rPr>
          <w:rStyle w:val="FootnoteReference"/>
        </w:rPr>
        <w:footnoteRef/>
      </w:r>
      <w:r>
        <w:t xml:space="preserve"> </w:t>
      </w:r>
      <w:r w:rsidR="00211962">
        <w:t xml:space="preserve">Per the Company’s technical filing, </w:t>
      </w:r>
      <w:r w:rsidR="00BA3210">
        <w:t xml:space="preserve">each CT has a capacity of </w:t>
      </w:r>
      <w:r w:rsidR="00BA3210" w:rsidRPr="005851D7">
        <w:t>450</w:t>
      </w:r>
      <w:r w:rsidR="00BA3210">
        <w:t xml:space="preserve"> MW while </w:t>
      </w:r>
      <w:r w:rsidR="005A58DC">
        <w:t>burning natural gas. This capacity is what was modeled in the transmission cases.</w:t>
      </w:r>
    </w:p>
  </w:footnote>
  <w:footnote w:id="18">
    <w:p w14:paraId="6446AA80" w14:textId="77777777" w:rsidR="00ED2F26" w:rsidRDefault="00ED2F26" w:rsidP="00ED2F26">
      <w:pPr>
        <w:pStyle w:val="FootnoteText"/>
        <w:jc w:val="left"/>
      </w:pPr>
      <w:r>
        <w:rPr>
          <w:rStyle w:val="FootnoteReference"/>
        </w:rPr>
        <w:footnoteRef/>
      </w:r>
      <w:r>
        <w:t xml:space="preserve"> </w:t>
      </w:r>
      <w:r w:rsidRPr="00EE0B94">
        <w:t xml:space="preserve">Jake Gentle, Warren Parsons, Michael West, Catherine Meibner, Philip Anderson, “Increasing Transmission Capacities By Dynamic Line Rating Based on CFD.” </w:t>
      </w:r>
      <w:hyperlink r:id="rId2" w:history="1">
        <w:r w:rsidRPr="00FC4502">
          <w:rPr>
            <w:rStyle w:val="Hyperlink"/>
          </w:rPr>
          <w:t>https://watttransmission.files.wordpress.com/2017/11/2015_awea_dlr_validation_final.pdf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F09"/>
    <w:multiLevelType w:val="hybridMultilevel"/>
    <w:tmpl w:val="12464468"/>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 w15:restartNumberingAfterBreak="0">
    <w:nsid w:val="03631668"/>
    <w:multiLevelType w:val="hybridMultilevel"/>
    <w:tmpl w:val="3F0E83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939EA2"/>
    <w:multiLevelType w:val="hybridMultilevel"/>
    <w:tmpl w:val="B69293F4"/>
    <w:lvl w:ilvl="0" w:tplc="686A0FB2">
      <w:start w:val="1"/>
      <w:numFmt w:val="decimal"/>
      <w:lvlText w:val="%1."/>
      <w:lvlJc w:val="left"/>
      <w:pPr>
        <w:ind w:left="720" w:hanging="360"/>
      </w:pPr>
    </w:lvl>
    <w:lvl w:ilvl="1" w:tplc="9EEE9E42">
      <w:start w:val="1"/>
      <w:numFmt w:val="lowerLetter"/>
      <w:lvlText w:val="%2."/>
      <w:lvlJc w:val="left"/>
      <w:pPr>
        <w:ind w:left="1440" w:hanging="360"/>
      </w:pPr>
    </w:lvl>
    <w:lvl w:ilvl="2" w:tplc="D214C9D6">
      <w:start w:val="1"/>
      <w:numFmt w:val="lowerRoman"/>
      <w:lvlText w:val="%3."/>
      <w:lvlJc w:val="right"/>
      <w:pPr>
        <w:ind w:left="2160" w:hanging="180"/>
      </w:pPr>
    </w:lvl>
    <w:lvl w:ilvl="3" w:tplc="9AC4CE14">
      <w:start w:val="1"/>
      <w:numFmt w:val="decimal"/>
      <w:lvlText w:val="%4."/>
      <w:lvlJc w:val="left"/>
      <w:pPr>
        <w:ind w:left="2880" w:hanging="360"/>
      </w:pPr>
    </w:lvl>
    <w:lvl w:ilvl="4" w:tplc="4A2835FE">
      <w:start w:val="1"/>
      <w:numFmt w:val="lowerLetter"/>
      <w:lvlText w:val="%5."/>
      <w:lvlJc w:val="left"/>
      <w:pPr>
        <w:ind w:left="3600" w:hanging="360"/>
      </w:pPr>
    </w:lvl>
    <w:lvl w:ilvl="5" w:tplc="BDB08B6E">
      <w:start w:val="1"/>
      <w:numFmt w:val="lowerRoman"/>
      <w:lvlText w:val="%6."/>
      <w:lvlJc w:val="right"/>
      <w:pPr>
        <w:ind w:left="4320" w:hanging="180"/>
      </w:pPr>
    </w:lvl>
    <w:lvl w:ilvl="6" w:tplc="8946DFCE">
      <w:start w:val="1"/>
      <w:numFmt w:val="decimal"/>
      <w:lvlText w:val="%7."/>
      <w:lvlJc w:val="left"/>
      <w:pPr>
        <w:ind w:left="5040" w:hanging="360"/>
      </w:pPr>
    </w:lvl>
    <w:lvl w:ilvl="7" w:tplc="741CCE08">
      <w:start w:val="1"/>
      <w:numFmt w:val="lowerLetter"/>
      <w:lvlText w:val="%8."/>
      <w:lvlJc w:val="left"/>
      <w:pPr>
        <w:ind w:left="5760" w:hanging="360"/>
      </w:pPr>
    </w:lvl>
    <w:lvl w:ilvl="8" w:tplc="C2A23FC6">
      <w:start w:val="1"/>
      <w:numFmt w:val="lowerRoman"/>
      <w:lvlText w:val="%9."/>
      <w:lvlJc w:val="right"/>
      <w:pPr>
        <w:ind w:left="6480" w:hanging="180"/>
      </w:pPr>
    </w:lvl>
  </w:abstractNum>
  <w:abstractNum w:abstractNumId="3" w15:restartNumberingAfterBreak="0">
    <w:nsid w:val="0E230D76"/>
    <w:multiLevelType w:val="hybridMultilevel"/>
    <w:tmpl w:val="3702A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A966F3"/>
    <w:multiLevelType w:val="hybridMultilevel"/>
    <w:tmpl w:val="A68822F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3AA18AC"/>
    <w:multiLevelType w:val="hybridMultilevel"/>
    <w:tmpl w:val="6A1EA01A"/>
    <w:lvl w:ilvl="0" w:tplc="04090011">
      <w:start w:val="1"/>
      <w:numFmt w:val="decimal"/>
      <w:lvlText w:val="%1)"/>
      <w:lvlJc w:val="left"/>
      <w:pPr>
        <w:ind w:left="1377" w:hanging="360"/>
      </w:pPr>
    </w:lvl>
    <w:lvl w:ilvl="1" w:tplc="04090019">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6" w15:restartNumberingAfterBreak="0">
    <w:nsid w:val="1CB20F96"/>
    <w:multiLevelType w:val="hybridMultilevel"/>
    <w:tmpl w:val="419E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681EDA"/>
    <w:multiLevelType w:val="hybridMultilevel"/>
    <w:tmpl w:val="0D26BC1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4F7738"/>
    <w:multiLevelType w:val="hybridMultilevel"/>
    <w:tmpl w:val="D218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F6095"/>
    <w:multiLevelType w:val="multilevel"/>
    <w:tmpl w:val="FFFFFFFF"/>
    <w:lvl w:ilvl="0">
      <w:start w:val="1"/>
      <w:numFmt w:val="upperRoman"/>
      <w:pStyle w:val="Heading1"/>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6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09333C"/>
    <w:multiLevelType w:val="hybridMultilevel"/>
    <w:tmpl w:val="72E2B4A2"/>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1" w15:restartNumberingAfterBreak="0">
    <w:nsid w:val="3F4340EF"/>
    <w:multiLevelType w:val="hybridMultilevel"/>
    <w:tmpl w:val="BE86B444"/>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19A0526"/>
    <w:multiLevelType w:val="hybridMultilevel"/>
    <w:tmpl w:val="84B6B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6F3830"/>
    <w:multiLevelType w:val="hybridMultilevel"/>
    <w:tmpl w:val="8ED89CF4"/>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4" w15:restartNumberingAfterBreak="0">
    <w:nsid w:val="454C4599"/>
    <w:multiLevelType w:val="hybridMultilevel"/>
    <w:tmpl w:val="74D0C6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5D6611A"/>
    <w:multiLevelType w:val="hybridMultilevel"/>
    <w:tmpl w:val="BFB4D884"/>
    <w:lvl w:ilvl="0" w:tplc="48728ED0">
      <w:start w:val="1"/>
      <w:numFmt w:val="bullet"/>
      <w:pStyle w:val="BULLETS"/>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8814CAA"/>
    <w:multiLevelType w:val="hybridMultilevel"/>
    <w:tmpl w:val="54C0D1A6"/>
    <w:lvl w:ilvl="0" w:tplc="3214A07C">
      <w:start w:val="1"/>
      <w:numFmt w:val="upperRoman"/>
      <w:pStyle w:val="TOC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B5EF5"/>
    <w:multiLevelType w:val="hybridMultilevel"/>
    <w:tmpl w:val="3612B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492DCE"/>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B3528A"/>
    <w:multiLevelType w:val="hybridMultilevel"/>
    <w:tmpl w:val="EC5E8D1A"/>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9C444A0"/>
    <w:multiLevelType w:val="multilevel"/>
    <w:tmpl w:val="3092C304"/>
    <w:lvl w:ilvl="0">
      <w:start w:val="1"/>
      <w:numFmt w:val="upperRoman"/>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714D68F8"/>
    <w:multiLevelType w:val="hybridMultilevel"/>
    <w:tmpl w:val="6AD6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A0EA7"/>
    <w:multiLevelType w:val="multilevel"/>
    <w:tmpl w:val="C2EA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94887"/>
    <w:multiLevelType w:val="hybridMultilevel"/>
    <w:tmpl w:val="BE86B444"/>
    <w:lvl w:ilvl="0" w:tplc="B1BE39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CA7680"/>
    <w:multiLevelType w:val="hybridMultilevel"/>
    <w:tmpl w:val="93362D18"/>
    <w:lvl w:ilvl="0" w:tplc="FFFFFFFF">
      <w:start w:val="1"/>
      <w:numFmt w:val="bullet"/>
      <w:lvlText w:val=""/>
      <w:lvlJc w:val="left"/>
      <w:pPr>
        <w:ind w:left="153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7F69E83B"/>
    <w:multiLevelType w:val="multilevel"/>
    <w:tmpl w:val="F55A2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2175153">
    <w:abstractNumId w:val="20"/>
  </w:num>
  <w:num w:numId="2" w16cid:durableId="1192649239">
    <w:abstractNumId w:val="16"/>
  </w:num>
  <w:num w:numId="3" w16cid:durableId="380328827">
    <w:abstractNumId w:val="17"/>
  </w:num>
  <w:num w:numId="4" w16cid:durableId="1390885488">
    <w:abstractNumId w:val="6"/>
  </w:num>
  <w:num w:numId="5" w16cid:durableId="1501044702">
    <w:abstractNumId w:val="13"/>
  </w:num>
  <w:num w:numId="6" w16cid:durableId="1621257291">
    <w:abstractNumId w:val="10"/>
  </w:num>
  <w:num w:numId="7" w16cid:durableId="670835346">
    <w:abstractNumId w:val="0"/>
  </w:num>
  <w:num w:numId="8" w16cid:durableId="1765228291">
    <w:abstractNumId w:val="5"/>
  </w:num>
  <w:num w:numId="9" w16cid:durableId="1153058132">
    <w:abstractNumId w:val="1"/>
  </w:num>
  <w:num w:numId="10" w16cid:durableId="1701082687">
    <w:abstractNumId w:val="8"/>
  </w:num>
  <w:num w:numId="11" w16cid:durableId="1544713385">
    <w:abstractNumId w:val="12"/>
  </w:num>
  <w:num w:numId="12" w16cid:durableId="2034919541">
    <w:abstractNumId w:val="25"/>
  </w:num>
  <w:num w:numId="13" w16cid:durableId="1003246490">
    <w:abstractNumId w:val="2"/>
  </w:num>
  <w:num w:numId="14" w16cid:durableId="649481347">
    <w:abstractNumId w:val="24"/>
  </w:num>
  <w:num w:numId="15" w16cid:durableId="38939006">
    <w:abstractNumId w:val="4"/>
  </w:num>
  <w:num w:numId="16" w16cid:durableId="1049766740">
    <w:abstractNumId w:val="21"/>
  </w:num>
  <w:num w:numId="17" w16cid:durableId="1615939682">
    <w:abstractNumId w:val="7"/>
  </w:num>
  <w:num w:numId="18" w16cid:durableId="623850815">
    <w:abstractNumId w:val="19"/>
  </w:num>
  <w:num w:numId="19" w16cid:durableId="1158418414">
    <w:abstractNumId w:val="15"/>
  </w:num>
  <w:num w:numId="20" w16cid:durableId="1027173404">
    <w:abstractNumId w:val="14"/>
  </w:num>
  <w:num w:numId="21" w16cid:durableId="852695099">
    <w:abstractNumId w:val="22"/>
  </w:num>
  <w:num w:numId="22" w16cid:durableId="1026060907">
    <w:abstractNumId w:val="15"/>
  </w:num>
  <w:num w:numId="23" w16cid:durableId="1748335834">
    <w:abstractNumId w:val="20"/>
  </w:num>
  <w:num w:numId="24" w16cid:durableId="592856758">
    <w:abstractNumId w:val="20"/>
  </w:num>
  <w:num w:numId="25" w16cid:durableId="1783188645">
    <w:abstractNumId w:val="20"/>
  </w:num>
  <w:num w:numId="26" w16cid:durableId="191962373">
    <w:abstractNumId w:val="20"/>
  </w:num>
  <w:num w:numId="27" w16cid:durableId="1524318051">
    <w:abstractNumId w:val="18"/>
  </w:num>
  <w:num w:numId="28" w16cid:durableId="525946696">
    <w:abstractNumId w:val="9"/>
  </w:num>
  <w:num w:numId="29" w16cid:durableId="2055420335">
    <w:abstractNumId w:val="9"/>
  </w:num>
  <w:num w:numId="30" w16cid:durableId="2002538437">
    <w:abstractNumId w:val="3"/>
  </w:num>
  <w:num w:numId="31" w16cid:durableId="188227624">
    <w:abstractNumId w:val="23"/>
  </w:num>
  <w:num w:numId="32" w16cid:durableId="118963652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06"/>
    <w:rsid w:val="00000966"/>
    <w:rsid w:val="00001C2D"/>
    <w:rsid w:val="00001DEA"/>
    <w:rsid w:val="00002EB1"/>
    <w:rsid w:val="00003412"/>
    <w:rsid w:val="000038B7"/>
    <w:rsid w:val="00003B2B"/>
    <w:rsid w:val="000050C5"/>
    <w:rsid w:val="00005472"/>
    <w:rsid w:val="00005BC8"/>
    <w:rsid w:val="00005D45"/>
    <w:rsid w:val="0000625A"/>
    <w:rsid w:val="000070AA"/>
    <w:rsid w:val="000072E5"/>
    <w:rsid w:val="000107B9"/>
    <w:rsid w:val="00010A21"/>
    <w:rsid w:val="0001108B"/>
    <w:rsid w:val="00011928"/>
    <w:rsid w:val="00011B9C"/>
    <w:rsid w:val="0001221F"/>
    <w:rsid w:val="0001289B"/>
    <w:rsid w:val="00013423"/>
    <w:rsid w:val="0001388B"/>
    <w:rsid w:val="00014560"/>
    <w:rsid w:val="00014834"/>
    <w:rsid w:val="000149C0"/>
    <w:rsid w:val="00014AFA"/>
    <w:rsid w:val="00014E66"/>
    <w:rsid w:val="000164C1"/>
    <w:rsid w:val="00016C1E"/>
    <w:rsid w:val="00017358"/>
    <w:rsid w:val="00017787"/>
    <w:rsid w:val="00020DC6"/>
    <w:rsid w:val="00021192"/>
    <w:rsid w:val="00021AD5"/>
    <w:rsid w:val="0002208A"/>
    <w:rsid w:val="00022673"/>
    <w:rsid w:val="00022AE3"/>
    <w:rsid w:val="00022BFA"/>
    <w:rsid w:val="00022C0B"/>
    <w:rsid w:val="00024374"/>
    <w:rsid w:val="00025673"/>
    <w:rsid w:val="00025A30"/>
    <w:rsid w:val="00025CD6"/>
    <w:rsid w:val="00025EC2"/>
    <w:rsid w:val="00025EDF"/>
    <w:rsid w:val="00027DD6"/>
    <w:rsid w:val="00027EEA"/>
    <w:rsid w:val="00027F50"/>
    <w:rsid w:val="00030864"/>
    <w:rsid w:val="00031399"/>
    <w:rsid w:val="000321E4"/>
    <w:rsid w:val="000335FB"/>
    <w:rsid w:val="000337E3"/>
    <w:rsid w:val="000338D2"/>
    <w:rsid w:val="000338F4"/>
    <w:rsid w:val="00033A5F"/>
    <w:rsid w:val="00034036"/>
    <w:rsid w:val="00034363"/>
    <w:rsid w:val="00034F07"/>
    <w:rsid w:val="00034F5F"/>
    <w:rsid w:val="0003592A"/>
    <w:rsid w:val="00035F69"/>
    <w:rsid w:val="00036439"/>
    <w:rsid w:val="00037216"/>
    <w:rsid w:val="000374DC"/>
    <w:rsid w:val="000374F4"/>
    <w:rsid w:val="0003790D"/>
    <w:rsid w:val="0003790E"/>
    <w:rsid w:val="000410FE"/>
    <w:rsid w:val="0004279B"/>
    <w:rsid w:val="00043834"/>
    <w:rsid w:val="00043952"/>
    <w:rsid w:val="00044F56"/>
    <w:rsid w:val="000457A8"/>
    <w:rsid w:val="000462A7"/>
    <w:rsid w:val="00046A6E"/>
    <w:rsid w:val="00047407"/>
    <w:rsid w:val="000476F1"/>
    <w:rsid w:val="000501D4"/>
    <w:rsid w:val="000501D6"/>
    <w:rsid w:val="000502E2"/>
    <w:rsid w:val="00051848"/>
    <w:rsid w:val="00051A48"/>
    <w:rsid w:val="00052C74"/>
    <w:rsid w:val="00053502"/>
    <w:rsid w:val="000539FB"/>
    <w:rsid w:val="00053CAB"/>
    <w:rsid w:val="000544CA"/>
    <w:rsid w:val="000549B0"/>
    <w:rsid w:val="000570FE"/>
    <w:rsid w:val="00057DFD"/>
    <w:rsid w:val="00057F9D"/>
    <w:rsid w:val="00060445"/>
    <w:rsid w:val="00060CB4"/>
    <w:rsid w:val="00060DFB"/>
    <w:rsid w:val="000617A2"/>
    <w:rsid w:val="00061A5D"/>
    <w:rsid w:val="00062340"/>
    <w:rsid w:val="0006277A"/>
    <w:rsid w:val="000639AB"/>
    <w:rsid w:val="00063F65"/>
    <w:rsid w:val="00064368"/>
    <w:rsid w:val="00064E3A"/>
    <w:rsid w:val="00064E5C"/>
    <w:rsid w:val="000658BF"/>
    <w:rsid w:val="00065E1B"/>
    <w:rsid w:val="000663A1"/>
    <w:rsid w:val="00066A2E"/>
    <w:rsid w:val="0006703F"/>
    <w:rsid w:val="000672E8"/>
    <w:rsid w:val="00067CBD"/>
    <w:rsid w:val="00070738"/>
    <w:rsid w:val="00072691"/>
    <w:rsid w:val="00073935"/>
    <w:rsid w:val="00073B46"/>
    <w:rsid w:val="0007462C"/>
    <w:rsid w:val="00074862"/>
    <w:rsid w:val="00075C4B"/>
    <w:rsid w:val="00075D55"/>
    <w:rsid w:val="00077109"/>
    <w:rsid w:val="000776D3"/>
    <w:rsid w:val="000779A1"/>
    <w:rsid w:val="000801E1"/>
    <w:rsid w:val="00080219"/>
    <w:rsid w:val="0008049C"/>
    <w:rsid w:val="00080F59"/>
    <w:rsid w:val="0008105E"/>
    <w:rsid w:val="00081603"/>
    <w:rsid w:val="0008201C"/>
    <w:rsid w:val="00083370"/>
    <w:rsid w:val="00083374"/>
    <w:rsid w:val="00083502"/>
    <w:rsid w:val="0008350F"/>
    <w:rsid w:val="00083B6E"/>
    <w:rsid w:val="00083CBB"/>
    <w:rsid w:val="00084291"/>
    <w:rsid w:val="00085039"/>
    <w:rsid w:val="00085419"/>
    <w:rsid w:val="00085A5B"/>
    <w:rsid w:val="00086081"/>
    <w:rsid w:val="000862D1"/>
    <w:rsid w:val="00086DC4"/>
    <w:rsid w:val="00087409"/>
    <w:rsid w:val="0009043A"/>
    <w:rsid w:val="00091302"/>
    <w:rsid w:val="000919CF"/>
    <w:rsid w:val="00091AB9"/>
    <w:rsid w:val="0009244A"/>
    <w:rsid w:val="000925B3"/>
    <w:rsid w:val="00093609"/>
    <w:rsid w:val="00093763"/>
    <w:rsid w:val="00093A1E"/>
    <w:rsid w:val="00093D7E"/>
    <w:rsid w:val="00093DD6"/>
    <w:rsid w:val="00093FE6"/>
    <w:rsid w:val="00094688"/>
    <w:rsid w:val="00095A7D"/>
    <w:rsid w:val="000A187B"/>
    <w:rsid w:val="000A1D19"/>
    <w:rsid w:val="000A209F"/>
    <w:rsid w:val="000A26E4"/>
    <w:rsid w:val="000A28E9"/>
    <w:rsid w:val="000A2B48"/>
    <w:rsid w:val="000A3346"/>
    <w:rsid w:val="000A35B1"/>
    <w:rsid w:val="000A420E"/>
    <w:rsid w:val="000A4E13"/>
    <w:rsid w:val="000A541B"/>
    <w:rsid w:val="000A571D"/>
    <w:rsid w:val="000A7337"/>
    <w:rsid w:val="000A7953"/>
    <w:rsid w:val="000B1781"/>
    <w:rsid w:val="000B1DB1"/>
    <w:rsid w:val="000B26C7"/>
    <w:rsid w:val="000B2F70"/>
    <w:rsid w:val="000B2FFC"/>
    <w:rsid w:val="000B36C4"/>
    <w:rsid w:val="000B37A4"/>
    <w:rsid w:val="000B49FA"/>
    <w:rsid w:val="000B49FF"/>
    <w:rsid w:val="000B588D"/>
    <w:rsid w:val="000B59DF"/>
    <w:rsid w:val="000B5B6B"/>
    <w:rsid w:val="000B5C47"/>
    <w:rsid w:val="000B6D30"/>
    <w:rsid w:val="000B71D3"/>
    <w:rsid w:val="000B75C1"/>
    <w:rsid w:val="000B763D"/>
    <w:rsid w:val="000B76B0"/>
    <w:rsid w:val="000B784A"/>
    <w:rsid w:val="000C0207"/>
    <w:rsid w:val="000C040E"/>
    <w:rsid w:val="000C0568"/>
    <w:rsid w:val="000C0DB1"/>
    <w:rsid w:val="000C1242"/>
    <w:rsid w:val="000C194A"/>
    <w:rsid w:val="000C1A2B"/>
    <w:rsid w:val="000C1B9E"/>
    <w:rsid w:val="000C1E4C"/>
    <w:rsid w:val="000C2430"/>
    <w:rsid w:val="000C2705"/>
    <w:rsid w:val="000C39F0"/>
    <w:rsid w:val="000C3ADE"/>
    <w:rsid w:val="000C3CC4"/>
    <w:rsid w:val="000C4121"/>
    <w:rsid w:val="000C4394"/>
    <w:rsid w:val="000C4400"/>
    <w:rsid w:val="000C46F1"/>
    <w:rsid w:val="000C4E48"/>
    <w:rsid w:val="000C5B31"/>
    <w:rsid w:val="000C61CC"/>
    <w:rsid w:val="000C68C0"/>
    <w:rsid w:val="000C69B3"/>
    <w:rsid w:val="000C6C0C"/>
    <w:rsid w:val="000C704E"/>
    <w:rsid w:val="000C71AC"/>
    <w:rsid w:val="000C7276"/>
    <w:rsid w:val="000C786F"/>
    <w:rsid w:val="000C79B6"/>
    <w:rsid w:val="000C7F8C"/>
    <w:rsid w:val="000D0826"/>
    <w:rsid w:val="000D12A4"/>
    <w:rsid w:val="000D159E"/>
    <w:rsid w:val="000D1C5C"/>
    <w:rsid w:val="000D2654"/>
    <w:rsid w:val="000D2B0C"/>
    <w:rsid w:val="000D3CEC"/>
    <w:rsid w:val="000D3E6C"/>
    <w:rsid w:val="000D42EC"/>
    <w:rsid w:val="000D4481"/>
    <w:rsid w:val="000D5B2E"/>
    <w:rsid w:val="000D5CE8"/>
    <w:rsid w:val="000D6030"/>
    <w:rsid w:val="000D61C7"/>
    <w:rsid w:val="000D662B"/>
    <w:rsid w:val="000D7AB2"/>
    <w:rsid w:val="000E0509"/>
    <w:rsid w:val="000E0BB7"/>
    <w:rsid w:val="000E0D8B"/>
    <w:rsid w:val="000E1109"/>
    <w:rsid w:val="000E17F2"/>
    <w:rsid w:val="000E188B"/>
    <w:rsid w:val="000E1989"/>
    <w:rsid w:val="000E204F"/>
    <w:rsid w:val="000E2894"/>
    <w:rsid w:val="000E2D2B"/>
    <w:rsid w:val="000E3068"/>
    <w:rsid w:val="000E3444"/>
    <w:rsid w:val="000E391C"/>
    <w:rsid w:val="000E44C3"/>
    <w:rsid w:val="000E4E3A"/>
    <w:rsid w:val="000E50E2"/>
    <w:rsid w:val="000E5461"/>
    <w:rsid w:val="000E579E"/>
    <w:rsid w:val="000E598C"/>
    <w:rsid w:val="000E5E9F"/>
    <w:rsid w:val="000E5FE6"/>
    <w:rsid w:val="000E626E"/>
    <w:rsid w:val="000E62CA"/>
    <w:rsid w:val="000E69E7"/>
    <w:rsid w:val="000E6A1A"/>
    <w:rsid w:val="000E7661"/>
    <w:rsid w:val="000E78DC"/>
    <w:rsid w:val="000E7E4C"/>
    <w:rsid w:val="000F0045"/>
    <w:rsid w:val="000F1A9F"/>
    <w:rsid w:val="000F1DA9"/>
    <w:rsid w:val="000F2049"/>
    <w:rsid w:val="000F20AB"/>
    <w:rsid w:val="000F3C5B"/>
    <w:rsid w:val="000F41C0"/>
    <w:rsid w:val="000F47F5"/>
    <w:rsid w:val="000F48D6"/>
    <w:rsid w:val="000F49A0"/>
    <w:rsid w:val="000F5AB9"/>
    <w:rsid w:val="000F5C76"/>
    <w:rsid w:val="000F5DF2"/>
    <w:rsid w:val="000F70A0"/>
    <w:rsid w:val="000F7122"/>
    <w:rsid w:val="000F7324"/>
    <w:rsid w:val="000F7A88"/>
    <w:rsid w:val="0010014A"/>
    <w:rsid w:val="00100532"/>
    <w:rsid w:val="00100D37"/>
    <w:rsid w:val="001019AC"/>
    <w:rsid w:val="00101D86"/>
    <w:rsid w:val="001022AD"/>
    <w:rsid w:val="00102C97"/>
    <w:rsid w:val="00103493"/>
    <w:rsid w:val="00103D70"/>
    <w:rsid w:val="00104A2B"/>
    <w:rsid w:val="00105584"/>
    <w:rsid w:val="00105A1B"/>
    <w:rsid w:val="0010766C"/>
    <w:rsid w:val="00107ADB"/>
    <w:rsid w:val="001100BF"/>
    <w:rsid w:val="00110508"/>
    <w:rsid w:val="0011076A"/>
    <w:rsid w:val="0011089F"/>
    <w:rsid w:val="00111119"/>
    <w:rsid w:val="001112EF"/>
    <w:rsid w:val="0011197E"/>
    <w:rsid w:val="00111C09"/>
    <w:rsid w:val="00112984"/>
    <w:rsid w:val="00113E8D"/>
    <w:rsid w:val="00114F10"/>
    <w:rsid w:val="00115089"/>
    <w:rsid w:val="001159A3"/>
    <w:rsid w:val="00116A3C"/>
    <w:rsid w:val="00120040"/>
    <w:rsid w:val="00120289"/>
    <w:rsid w:val="00120788"/>
    <w:rsid w:val="00120847"/>
    <w:rsid w:val="0012245A"/>
    <w:rsid w:val="00122E60"/>
    <w:rsid w:val="00123893"/>
    <w:rsid w:val="00123A6A"/>
    <w:rsid w:val="00123D91"/>
    <w:rsid w:val="0012400F"/>
    <w:rsid w:val="00124288"/>
    <w:rsid w:val="00124427"/>
    <w:rsid w:val="00124560"/>
    <w:rsid w:val="0012559B"/>
    <w:rsid w:val="00125658"/>
    <w:rsid w:val="00126210"/>
    <w:rsid w:val="00126BD0"/>
    <w:rsid w:val="00126E01"/>
    <w:rsid w:val="001277FF"/>
    <w:rsid w:val="001278F9"/>
    <w:rsid w:val="00127E93"/>
    <w:rsid w:val="00127FBF"/>
    <w:rsid w:val="0013051C"/>
    <w:rsid w:val="00131B1D"/>
    <w:rsid w:val="00131EF4"/>
    <w:rsid w:val="00132729"/>
    <w:rsid w:val="00132816"/>
    <w:rsid w:val="00132858"/>
    <w:rsid w:val="001331C9"/>
    <w:rsid w:val="00133625"/>
    <w:rsid w:val="00133C74"/>
    <w:rsid w:val="001348AD"/>
    <w:rsid w:val="00134AF3"/>
    <w:rsid w:val="00135384"/>
    <w:rsid w:val="00135AA2"/>
    <w:rsid w:val="00135B4C"/>
    <w:rsid w:val="00136127"/>
    <w:rsid w:val="001366FE"/>
    <w:rsid w:val="001367D1"/>
    <w:rsid w:val="00136BD6"/>
    <w:rsid w:val="00137BB7"/>
    <w:rsid w:val="00140B47"/>
    <w:rsid w:val="001410A2"/>
    <w:rsid w:val="001410A7"/>
    <w:rsid w:val="001412C6"/>
    <w:rsid w:val="001417DA"/>
    <w:rsid w:val="00141D0B"/>
    <w:rsid w:val="00141DEC"/>
    <w:rsid w:val="00141E4F"/>
    <w:rsid w:val="00142299"/>
    <w:rsid w:val="001423D2"/>
    <w:rsid w:val="00142496"/>
    <w:rsid w:val="00142631"/>
    <w:rsid w:val="00142BFC"/>
    <w:rsid w:val="00142D6A"/>
    <w:rsid w:val="00143177"/>
    <w:rsid w:val="001435F0"/>
    <w:rsid w:val="00143D47"/>
    <w:rsid w:val="0014432C"/>
    <w:rsid w:val="001444A2"/>
    <w:rsid w:val="00144A60"/>
    <w:rsid w:val="00144D40"/>
    <w:rsid w:val="00145F4D"/>
    <w:rsid w:val="00146329"/>
    <w:rsid w:val="00146AC0"/>
    <w:rsid w:val="00146F86"/>
    <w:rsid w:val="0014798B"/>
    <w:rsid w:val="00150078"/>
    <w:rsid w:val="001504B4"/>
    <w:rsid w:val="00150964"/>
    <w:rsid w:val="001519D6"/>
    <w:rsid w:val="00152957"/>
    <w:rsid w:val="00152CBE"/>
    <w:rsid w:val="00152D1F"/>
    <w:rsid w:val="00152F61"/>
    <w:rsid w:val="00153C38"/>
    <w:rsid w:val="00154BAF"/>
    <w:rsid w:val="00154EDA"/>
    <w:rsid w:val="00154FDC"/>
    <w:rsid w:val="0015549B"/>
    <w:rsid w:val="00155F3C"/>
    <w:rsid w:val="001560E3"/>
    <w:rsid w:val="0015683C"/>
    <w:rsid w:val="00156E4A"/>
    <w:rsid w:val="0015716D"/>
    <w:rsid w:val="0015720C"/>
    <w:rsid w:val="0015728F"/>
    <w:rsid w:val="00157CA4"/>
    <w:rsid w:val="00160E1C"/>
    <w:rsid w:val="00160EA0"/>
    <w:rsid w:val="00160FEA"/>
    <w:rsid w:val="00161E4B"/>
    <w:rsid w:val="001627CF"/>
    <w:rsid w:val="00163729"/>
    <w:rsid w:val="00163859"/>
    <w:rsid w:val="00163AA4"/>
    <w:rsid w:val="00163E98"/>
    <w:rsid w:val="00163F5C"/>
    <w:rsid w:val="00165470"/>
    <w:rsid w:val="0016550B"/>
    <w:rsid w:val="00166D91"/>
    <w:rsid w:val="00167659"/>
    <w:rsid w:val="00170163"/>
    <w:rsid w:val="00170326"/>
    <w:rsid w:val="0017202B"/>
    <w:rsid w:val="00172FD8"/>
    <w:rsid w:val="001732E6"/>
    <w:rsid w:val="001734A1"/>
    <w:rsid w:val="00173BDB"/>
    <w:rsid w:val="001749EE"/>
    <w:rsid w:val="00174C5F"/>
    <w:rsid w:val="00175B64"/>
    <w:rsid w:val="00176033"/>
    <w:rsid w:val="001765FA"/>
    <w:rsid w:val="0017681D"/>
    <w:rsid w:val="00176BF3"/>
    <w:rsid w:val="001771D8"/>
    <w:rsid w:val="0017758C"/>
    <w:rsid w:val="0017772D"/>
    <w:rsid w:val="0017796B"/>
    <w:rsid w:val="00180452"/>
    <w:rsid w:val="00180650"/>
    <w:rsid w:val="001811B6"/>
    <w:rsid w:val="0018199B"/>
    <w:rsid w:val="00181B34"/>
    <w:rsid w:val="00182E98"/>
    <w:rsid w:val="00182FA2"/>
    <w:rsid w:val="00183131"/>
    <w:rsid w:val="001832B0"/>
    <w:rsid w:val="00183BF0"/>
    <w:rsid w:val="0018418A"/>
    <w:rsid w:val="0018479C"/>
    <w:rsid w:val="00184DB2"/>
    <w:rsid w:val="0018634D"/>
    <w:rsid w:val="00186BEB"/>
    <w:rsid w:val="001870BC"/>
    <w:rsid w:val="00187694"/>
    <w:rsid w:val="00190941"/>
    <w:rsid w:val="001911C2"/>
    <w:rsid w:val="00191799"/>
    <w:rsid w:val="00191C5A"/>
    <w:rsid w:val="001923BE"/>
    <w:rsid w:val="00193046"/>
    <w:rsid w:val="00193355"/>
    <w:rsid w:val="001933CB"/>
    <w:rsid w:val="001935B3"/>
    <w:rsid w:val="001935DB"/>
    <w:rsid w:val="00193FEB"/>
    <w:rsid w:val="001940FE"/>
    <w:rsid w:val="00194298"/>
    <w:rsid w:val="00194770"/>
    <w:rsid w:val="00194B2C"/>
    <w:rsid w:val="00194E52"/>
    <w:rsid w:val="001952D1"/>
    <w:rsid w:val="001963F2"/>
    <w:rsid w:val="00196BC7"/>
    <w:rsid w:val="00196E3B"/>
    <w:rsid w:val="00197622"/>
    <w:rsid w:val="001A0018"/>
    <w:rsid w:val="001A2866"/>
    <w:rsid w:val="001A3B56"/>
    <w:rsid w:val="001A3D97"/>
    <w:rsid w:val="001A40C9"/>
    <w:rsid w:val="001A4310"/>
    <w:rsid w:val="001A4614"/>
    <w:rsid w:val="001A466F"/>
    <w:rsid w:val="001A4CA8"/>
    <w:rsid w:val="001A4E22"/>
    <w:rsid w:val="001A566F"/>
    <w:rsid w:val="001A5F95"/>
    <w:rsid w:val="001A6112"/>
    <w:rsid w:val="001A6C0F"/>
    <w:rsid w:val="001A6C52"/>
    <w:rsid w:val="001A6E1F"/>
    <w:rsid w:val="001A751C"/>
    <w:rsid w:val="001A7521"/>
    <w:rsid w:val="001A771F"/>
    <w:rsid w:val="001A7768"/>
    <w:rsid w:val="001B04E9"/>
    <w:rsid w:val="001B062E"/>
    <w:rsid w:val="001B0F8D"/>
    <w:rsid w:val="001B15A7"/>
    <w:rsid w:val="001B168B"/>
    <w:rsid w:val="001B2727"/>
    <w:rsid w:val="001B352F"/>
    <w:rsid w:val="001B38F6"/>
    <w:rsid w:val="001B44F7"/>
    <w:rsid w:val="001B4A5F"/>
    <w:rsid w:val="001B5076"/>
    <w:rsid w:val="001B68CC"/>
    <w:rsid w:val="001B6B96"/>
    <w:rsid w:val="001B78B2"/>
    <w:rsid w:val="001B78DB"/>
    <w:rsid w:val="001B7BF7"/>
    <w:rsid w:val="001C048D"/>
    <w:rsid w:val="001C1100"/>
    <w:rsid w:val="001C1D57"/>
    <w:rsid w:val="001C2F00"/>
    <w:rsid w:val="001C332B"/>
    <w:rsid w:val="001C3428"/>
    <w:rsid w:val="001C39E2"/>
    <w:rsid w:val="001C4EB9"/>
    <w:rsid w:val="001C538D"/>
    <w:rsid w:val="001C6B25"/>
    <w:rsid w:val="001C6DE3"/>
    <w:rsid w:val="001C6EC2"/>
    <w:rsid w:val="001D04F7"/>
    <w:rsid w:val="001D0C07"/>
    <w:rsid w:val="001D0C3A"/>
    <w:rsid w:val="001D170E"/>
    <w:rsid w:val="001D18D3"/>
    <w:rsid w:val="001D193D"/>
    <w:rsid w:val="001D1977"/>
    <w:rsid w:val="001D1D01"/>
    <w:rsid w:val="001D1F01"/>
    <w:rsid w:val="001D1F89"/>
    <w:rsid w:val="001D233A"/>
    <w:rsid w:val="001D3730"/>
    <w:rsid w:val="001D3F67"/>
    <w:rsid w:val="001D488F"/>
    <w:rsid w:val="001D4A70"/>
    <w:rsid w:val="001D4C43"/>
    <w:rsid w:val="001D4E98"/>
    <w:rsid w:val="001D56EC"/>
    <w:rsid w:val="001D5F7F"/>
    <w:rsid w:val="001D735B"/>
    <w:rsid w:val="001E01EE"/>
    <w:rsid w:val="001E09FB"/>
    <w:rsid w:val="001E1C78"/>
    <w:rsid w:val="001E1F96"/>
    <w:rsid w:val="001E3158"/>
    <w:rsid w:val="001E3AB0"/>
    <w:rsid w:val="001E3EE5"/>
    <w:rsid w:val="001E4248"/>
    <w:rsid w:val="001E44D9"/>
    <w:rsid w:val="001E4AD7"/>
    <w:rsid w:val="001E4B5D"/>
    <w:rsid w:val="001E4CDF"/>
    <w:rsid w:val="001E547C"/>
    <w:rsid w:val="001E566B"/>
    <w:rsid w:val="001E5F58"/>
    <w:rsid w:val="001E70FC"/>
    <w:rsid w:val="001E745F"/>
    <w:rsid w:val="001E7B40"/>
    <w:rsid w:val="001E7C4D"/>
    <w:rsid w:val="001F0BAB"/>
    <w:rsid w:val="001F12EE"/>
    <w:rsid w:val="001F13B3"/>
    <w:rsid w:val="001F15C2"/>
    <w:rsid w:val="001F1621"/>
    <w:rsid w:val="001F2E33"/>
    <w:rsid w:val="001F373F"/>
    <w:rsid w:val="001F3AEE"/>
    <w:rsid w:val="001F4DC1"/>
    <w:rsid w:val="001F5305"/>
    <w:rsid w:val="001F575F"/>
    <w:rsid w:val="001F65E1"/>
    <w:rsid w:val="001F680A"/>
    <w:rsid w:val="001F69C1"/>
    <w:rsid w:val="001F758C"/>
    <w:rsid w:val="001F7C1D"/>
    <w:rsid w:val="002004AF"/>
    <w:rsid w:val="002009D3"/>
    <w:rsid w:val="00200B7C"/>
    <w:rsid w:val="0020158A"/>
    <w:rsid w:val="00201924"/>
    <w:rsid w:val="00201A34"/>
    <w:rsid w:val="00201CD6"/>
    <w:rsid w:val="00201EF2"/>
    <w:rsid w:val="00202973"/>
    <w:rsid w:val="00202F6F"/>
    <w:rsid w:val="00203137"/>
    <w:rsid w:val="00203A63"/>
    <w:rsid w:val="00204D89"/>
    <w:rsid w:val="00204FEF"/>
    <w:rsid w:val="002053F4"/>
    <w:rsid w:val="002054B3"/>
    <w:rsid w:val="002054E3"/>
    <w:rsid w:val="0020559D"/>
    <w:rsid w:val="00205B99"/>
    <w:rsid w:val="002062F0"/>
    <w:rsid w:val="0020664B"/>
    <w:rsid w:val="002073F7"/>
    <w:rsid w:val="0020793D"/>
    <w:rsid w:val="00211200"/>
    <w:rsid w:val="00211962"/>
    <w:rsid w:val="00211F0C"/>
    <w:rsid w:val="002128D5"/>
    <w:rsid w:val="00212B61"/>
    <w:rsid w:val="00212DAB"/>
    <w:rsid w:val="00212F91"/>
    <w:rsid w:val="0021300A"/>
    <w:rsid w:val="00213195"/>
    <w:rsid w:val="00213A49"/>
    <w:rsid w:val="00213B63"/>
    <w:rsid w:val="00213C2B"/>
    <w:rsid w:val="00213EE2"/>
    <w:rsid w:val="00214208"/>
    <w:rsid w:val="0021497C"/>
    <w:rsid w:val="00214DB9"/>
    <w:rsid w:val="0021521F"/>
    <w:rsid w:val="00215706"/>
    <w:rsid w:val="0021597E"/>
    <w:rsid w:val="00215F2F"/>
    <w:rsid w:val="0021747B"/>
    <w:rsid w:val="002176A5"/>
    <w:rsid w:val="00217D0A"/>
    <w:rsid w:val="00217E26"/>
    <w:rsid w:val="00220119"/>
    <w:rsid w:val="002211BB"/>
    <w:rsid w:val="00221E2A"/>
    <w:rsid w:val="00222232"/>
    <w:rsid w:val="002224F7"/>
    <w:rsid w:val="00222608"/>
    <w:rsid w:val="00222ADC"/>
    <w:rsid w:val="00222F1E"/>
    <w:rsid w:val="0022342A"/>
    <w:rsid w:val="00223833"/>
    <w:rsid w:val="00223E0E"/>
    <w:rsid w:val="00224406"/>
    <w:rsid w:val="00224848"/>
    <w:rsid w:val="00224B7C"/>
    <w:rsid w:val="002273F7"/>
    <w:rsid w:val="00227627"/>
    <w:rsid w:val="00227C62"/>
    <w:rsid w:val="00227D52"/>
    <w:rsid w:val="00227E60"/>
    <w:rsid w:val="0023096D"/>
    <w:rsid w:val="00230B23"/>
    <w:rsid w:val="002310BE"/>
    <w:rsid w:val="002312E9"/>
    <w:rsid w:val="00231ACD"/>
    <w:rsid w:val="00232396"/>
    <w:rsid w:val="00232971"/>
    <w:rsid w:val="00232A51"/>
    <w:rsid w:val="00232A8B"/>
    <w:rsid w:val="00232BAC"/>
    <w:rsid w:val="00232D76"/>
    <w:rsid w:val="00234CDF"/>
    <w:rsid w:val="00234F6B"/>
    <w:rsid w:val="002354C6"/>
    <w:rsid w:val="00235702"/>
    <w:rsid w:val="00235BD4"/>
    <w:rsid w:val="00240827"/>
    <w:rsid w:val="00241517"/>
    <w:rsid w:val="002416F5"/>
    <w:rsid w:val="0024171E"/>
    <w:rsid w:val="00241836"/>
    <w:rsid w:val="002419E4"/>
    <w:rsid w:val="002423D0"/>
    <w:rsid w:val="0024258B"/>
    <w:rsid w:val="002428DF"/>
    <w:rsid w:val="00242BE6"/>
    <w:rsid w:val="0024435F"/>
    <w:rsid w:val="002456EE"/>
    <w:rsid w:val="00246958"/>
    <w:rsid w:val="002471A3"/>
    <w:rsid w:val="00247480"/>
    <w:rsid w:val="0024764D"/>
    <w:rsid w:val="00247B4F"/>
    <w:rsid w:val="00247E11"/>
    <w:rsid w:val="002514B0"/>
    <w:rsid w:val="00252C46"/>
    <w:rsid w:val="00254903"/>
    <w:rsid w:val="00254EEF"/>
    <w:rsid w:val="002558B1"/>
    <w:rsid w:val="00255A7C"/>
    <w:rsid w:val="00257561"/>
    <w:rsid w:val="00257721"/>
    <w:rsid w:val="00260D1D"/>
    <w:rsid w:val="002612BF"/>
    <w:rsid w:val="0026142D"/>
    <w:rsid w:val="0026177A"/>
    <w:rsid w:val="00262484"/>
    <w:rsid w:val="00262564"/>
    <w:rsid w:val="00262C44"/>
    <w:rsid w:val="0026308D"/>
    <w:rsid w:val="002639FE"/>
    <w:rsid w:val="00263DD2"/>
    <w:rsid w:val="00264511"/>
    <w:rsid w:val="002649BB"/>
    <w:rsid w:val="00264FD9"/>
    <w:rsid w:val="00265D7C"/>
    <w:rsid w:val="00266C7B"/>
    <w:rsid w:val="0026707E"/>
    <w:rsid w:val="00267555"/>
    <w:rsid w:val="0026782D"/>
    <w:rsid w:val="00270387"/>
    <w:rsid w:val="002709D9"/>
    <w:rsid w:val="00270A05"/>
    <w:rsid w:val="00270E2D"/>
    <w:rsid w:val="002712DB"/>
    <w:rsid w:val="00271BA2"/>
    <w:rsid w:val="00272160"/>
    <w:rsid w:val="00272BD8"/>
    <w:rsid w:val="00272F9C"/>
    <w:rsid w:val="00273E17"/>
    <w:rsid w:val="00273F21"/>
    <w:rsid w:val="00273FB5"/>
    <w:rsid w:val="0027427B"/>
    <w:rsid w:val="002747A9"/>
    <w:rsid w:val="00274D0B"/>
    <w:rsid w:val="00274D6E"/>
    <w:rsid w:val="00275A35"/>
    <w:rsid w:val="00276192"/>
    <w:rsid w:val="002767BC"/>
    <w:rsid w:val="002769ED"/>
    <w:rsid w:val="00276F07"/>
    <w:rsid w:val="00276FB8"/>
    <w:rsid w:val="00277CC8"/>
    <w:rsid w:val="00280377"/>
    <w:rsid w:val="002809AD"/>
    <w:rsid w:val="00280D9D"/>
    <w:rsid w:val="00281724"/>
    <w:rsid w:val="0028186C"/>
    <w:rsid w:val="00281DC3"/>
    <w:rsid w:val="00282551"/>
    <w:rsid w:val="002825D4"/>
    <w:rsid w:val="0028292C"/>
    <w:rsid w:val="00282D5E"/>
    <w:rsid w:val="00282EA3"/>
    <w:rsid w:val="002835F1"/>
    <w:rsid w:val="0028382A"/>
    <w:rsid w:val="00283B32"/>
    <w:rsid w:val="0028415B"/>
    <w:rsid w:val="002848D6"/>
    <w:rsid w:val="00284A90"/>
    <w:rsid w:val="00285ACD"/>
    <w:rsid w:val="0028638C"/>
    <w:rsid w:val="0028692F"/>
    <w:rsid w:val="0028713C"/>
    <w:rsid w:val="00287647"/>
    <w:rsid w:val="0028784B"/>
    <w:rsid w:val="00287B24"/>
    <w:rsid w:val="00290134"/>
    <w:rsid w:val="0029017F"/>
    <w:rsid w:val="00290E79"/>
    <w:rsid w:val="0029154D"/>
    <w:rsid w:val="00291BCB"/>
    <w:rsid w:val="00292271"/>
    <w:rsid w:val="002931B1"/>
    <w:rsid w:val="002935AD"/>
    <w:rsid w:val="00294110"/>
    <w:rsid w:val="00294CB4"/>
    <w:rsid w:val="00294E98"/>
    <w:rsid w:val="00295425"/>
    <w:rsid w:val="00295A53"/>
    <w:rsid w:val="00295C69"/>
    <w:rsid w:val="00295DD5"/>
    <w:rsid w:val="00296C35"/>
    <w:rsid w:val="0029725B"/>
    <w:rsid w:val="00297A6C"/>
    <w:rsid w:val="00297B32"/>
    <w:rsid w:val="002A04A1"/>
    <w:rsid w:val="002A07AE"/>
    <w:rsid w:val="002A0B07"/>
    <w:rsid w:val="002A15A5"/>
    <w:rsid w:val="002A1894"/>
    <w:rsid w:val="002A1BA0"/>
    <w:rsid w:val="002A21F9"/>
    <w:rsid w:val="002A2366"/>
    <w:rsid w:val="002A2371"/>
    <w:rsid w:val="002A24EA"/>
    <w:rsid w:val="002A2631"/>
    <w:rsid w:val="002A2756"/>
    <w:rsid w:val="002A2967"/>
    <w:rsid w:val="002A297A"/>
    <w:rsid w:val="002A2B8F"/>
    <w:rsid w:val="002A2CC6"/>
    <w:rsid w:val="002A40CA"/>
    <w:rsid w:val="002A4AA7"/>
    <w:rsid w:val="002A4BE2"/>
    <w:rsid w:val="002A5E1C"/>
    <w:rsid w:val="002A629E"/>
    <w:rsid w:val="002A6C1D"/>
    <w:rsid w:val="002A7687"/>
    <w:rsid w:val="002A7A9A"/>
    <w:rsid w:val="002A7F9A"/>
    <w:rsid w:val="002B078D"/>
    <w:rsid w:val="002B0A9E"/>
    <w:rsid w:val="002B0D13"/>
    <w:rsid w:val="002B123B"/>
    <w:rsid w:val="002B1A6C"/>
    <w:rsid w:val="002B2A97"/>
    <w:rsid w:val="002B2D52"/>
    <w:rsid w:val="002B3192"/>
    <w:rsid w:val="002B32E2"/>
    <w:rsid w:val="002B3671"/>
    <w:rsid w:val="002B3915"/>
    <w:rsid w:val="002B4215"/>
    <w:rsid w:val="002B4710"/>
    <w:rsid w:val="002B4F10"/>
    <w:rsid w:val="002B5D5B"/>
    <w:rsid w:val="002B666E"/>
    <w:rsid w:val="002B6D35"/>
    <w:rsid w:val="002B7FDD"/>
    <w:rsid w:val="002C0770"/>
    <w:rsid w:val="002C09A7"/>
    <w:rsid w:val="002C12D3"/>
    <w:rsid w:val="002C141D"/>
    <w:rsid w:val="002C1C5D"/>
    <w:rsid w:val="002C1DC2"/>
    <w:rsid w:val="002C1E66"/>
    <w:rsid w:val="002C2AA8"/>
    <w:rsid w:val="002C2DED"/>
    <w:rsid w:val="002C2FF4"/>
    <w:rsid w:val="002C38AA"/>
    <w:rsid w:val="002C4CEE"/>
    <w:rsid w:val="002C4E53"/>
    <w:rsid w:val="002C54EA"/>
    <w:rsid w:val="002C59A5"/>
    <w:rsid w:val="002C59FE"/>
    <w:rsid w:val="002C5C5F"/>
    <w:rsid w:val="002C6480"/>
    <w:rsid w:val="002C652E"/>
    <w:rsid w:val="002C6A60"/>
    <w:rsid w:val="002C72B7"/>
    <w:rsid w:val="002C78E7"/>
    <w:rsid w:val="002C79E8"/>
    <w:rsid w:val="002C7C25"/>
    <w:rsid w:val="002D02AA"/>
    <w:rsid w:val="002D0572"/>
    <w:rsid w:val="002D1186"/>
    <w:rsid w:val="002D1693"/>
    <w:rsid w:val="002D17B6"/>
    <w:rsid w:val="002D24D4"/>
    <w:rsid w:val="002D359A"/>
    <w:rsid w:val="002D3FDB"/>
    <w:rsid w:val="002D45C7"/>
    <w:rsid w:val="002D462E"/>
    <w:rsid w:val="002D4D7E"/>
    <w:rsid w:val="002D4D80"/>
    <w:rsid w:val="002D55CD"/>
    <w:rsid w:val="002D5B5F"/>
    <w:rsid w:val="002D6374"/>
    <w:rsid w:val="002D63C5"/>
    <w:rsid w:val="002D66EC"/>
    <w:rsid w:val="002D74F0"/>
    <w:rsid w:val="002E01D3"/>
    <w:rsid w:val="002E044B"/>
    <w:rsid w:val="002E069A"/>
    <w:rsid w:val="002E0B06"/>
    <w:rsid w:val="002E1116"/>
    <w:rsid w:val="002E14FF"/>
    <w:rsid w:val="002E16A9"/>
    <w:rsid w:val="002E1B9D"/>
    <w:rsid w:val="002E1E66"/>
    <w:rsid w:val="002E2051"/>
    <w:rsid w:val="002E2D9B"/>
    <w:rsid w:val="002E3E48"/>
    <w:rsid w:val="002E41AB"/>
    <w:rsid w:val="002E50C3"/>
    <w:rsid w:val="002E5C63"/>
    <w:rsid w:val="002E5D06"/>
    <w:rsid w:val="002E5FE6"/>
    <w:rsid w:val="002E60B5"/>
    <w:rsid w:val="002E638A"/>
    <w:rsid w:val="002E6C05"/>
    <w:rsid w:val="002E7E03"/>
    <w:rsid w:val="002E7E78"/>
    <w:rsid w:val="002F1B47"/>
    <w:rsid w:val="002F243D"/>
    <w:rsid w:val="002F270D"/>
    <w:rsid w:val="002F2C6B"/>
    <w:rsid w:val="002F2E18"/>
    <w:rsid w:val="002F3331"/>
    <w:rsid w:val="002F40FC"/>
    <w:rsid w:val="002F42F3"/>
    <w:rsid w:val="002F5544"/>
    <w:rsid w:val="002F5A5D"/>
    <w:rsid w:val="002F627B"/>
    <w:rsid w:val="002F68AE"/>
    <w:rsid w:val="002F708C"/>
    <w:rsid w:val="002F741E"/>
    <w:rsid w:val="002F762B"/>
    <w:rsid w:val="002F7DC2"/>
    <w:rsid w:val="00300B9B"/>
    <w:rsid w:val="00300E9B"/>
    <w:rsid w:val="003013A7"/>
    <w:rsid w:val="00301894"/>
    <w:rsid w:val="003021DB"/>
    <w:rsid w:val="0030281B"/>
    <w:rsid w:val="00302ACD"/>
    <w:rsid w:val="003035CC"/>
    <w:rsid w:val="003036D5"/>
    <w:rsid w:val="00304402"/>
    <w:rsid w:val="003049A8"/>
    <w:rsid w:val="003049FF"/>
    <w:rsid w:val="003058F2"/>
    <w:rsid w:val="003060C4"/>
    <w:rsid w:val="003061B7"/>
    <w:rsid w:val="0030640E"/>
    <w:rsid w:val="0030684A"/>
    <w:rsid w:val="003075B9"/>
    <w:rsid w:val="003079A0"/>
    <w:rsid w:val="00307CD4"/>
    <w:rsid w:val="00307D78"/>
    <w:rsid w:val="00311082"/>
    <w:rsid w:val="003118B4"/>
    <w:rsid w:val="003127BA"/>
    <w:rsid w:val="003135B9"/>
    <w:rsid w:val="00313873"/>
    <w:rsid w:val="00313989"/>
    <w:rsid w:val="003141E1"/>
    <w:rsid w:val="00314494"/>
    <w:rsid w:val="003151E9"/>
    <w:rsid w:val="0031544D"/>
    <w:rsid w:val="00315598"/>
    <w:rsid w:val="003156F1"/>
    <w:rsid w:val="003159B7"/>
    <w:rsid w:val="003167C0"/>
    <w:rsid w:val="00316CD0"/>
    <w:rsid w:val="00317B19"/>
    <w:rsid w:val="0032198F"/>
    <w:rsid w:val="00321F3B"/>
    <w:rsid w:val="00322083"/>
    <w:rsid w:val="00322342"/>
    <w:rsid w:val="003230DF"/>
    <w:rsid w:val="00323121"/>
    <w:rsid w:val="00323958"/>
    <w:rsid w:val="00323E50"/>
    <w:rsid w:val="0032425C"/>
    <w:rsid w:val="00324882"/>
    <w:rsid w:val="0032495A"/>
    <w:rsid w:val="00324BB5"/>
    <w:rsid w:val="003260A5"/>
    <w:rsid w:val="003261B5"/>
    <w:rsid w:val="0032677D"/>
    <w:rsid w:val="00326A00"/>
    <w:rsid w:val="00327673"/>
    <w:rsid w:val="003317DE"/>
    <w:rsid w:val="00331F0B"/>
    <w:rsid w:val="00331FD5"/>
    <w:rsid w:val="00332076"/>
    <w:rsid w:val="003320CD"/>
    <w:rsid w:val="00332C74"/>
    <w:rsid w:val="00333438"/>
    <w:rsid w:val="00334DD1"/>
    <w:rsid w:val="00335174"/>
    <w:rsid w:val="0033569B"/>
    <w:rsid w:val="00335811"/>
    <w:rsid w:val="003359EB"/>
    <w:rsid w:val="003364FB"/>
    <w:rsid w:val="00336C05"/>
    <w:rsid w:val="0033754B"/>
    <w:rsid w:val="003375A3"/>
    <w:rsid w:val="0034081E"/>
    <w:rsid w:val="003412D2"/>
    <w:rsid w:val="00341707"/>
    <w:rsid w:val="0034187E"/>
    <w:rsid w:val="00342AC4"/>
    <w:rsid w:val="003435E0"/>
    <w:rsid w:val="003457CB"/>
    <w:rsid w:val="003459D9"/>
    <w:rsid w:val="00345E3A"/>
    <w:rsid w:val="0034629D"/>
    <w:rsid w:val="003462A3"/>
    <w:rsid w:val="00346877"/>
    <w:rsid w:val="003469B7"/>
    <w:rsid w:val="00346ADA"/>
    <w:rsid w:val="003470A4"/>
    <w:rsid w:val="003476F1"/>
    <w:rsid w:val="0035063E"/>
    <w:rsid w:val="00350854"/>
    <w:rsid w:val="00350B4A"/>
    <w:rsid w:val="00351A13"/>
    <w:rsid w:val="00352064"/>
    <w:rsid w:val="00352C6B"/>
    <w:rsid w:val="0035342E"/>
    <w:rsid w:val="00353601"/>
    <w:rsid w:val="00353741"/>
    <w:rsid w:val="00353B13"/>
    <w:rsid w:val="00355894"/>
    <w:rsid w:val="003561A4"/>
    <w:rsid w:val="00356A66"/>
    <w:rsid w:val="0036059C"/>
    <w:rsid w:val="00360858"/>
    <w:rsid w:val="00360919"/>
    <w:rsid w:val="00360AEE"/>
    <w:rsid w:val="003610AB"/>
    <w:rsid w:val="00362396"/>
    <w:rsid w:val="003623D5"/>
    <w:rsid w:val="00362750"/>
    <w:rsid w:val="00362871"/>
    <w:rsid w:val="00362975"/>
    <w:rsid w:val="003629B9"/>
    <w:rsid w:val="00363813"/>
    <w:rsid w:val="003639F7"/>
    <w:rsid w:val="0036437B"/>
    <w:rsid w:val="003646E4"/>
    <w:rsid w:val="003657EF"/>
    <w:rsid w:val="00365865"/>
    <w:rsid w:val="0036659C"/>
    <w:rsid w:val="00366A35"/>
    <w:rsid w:val="003671C2"/>
    <w:rsid w:val="003676A7"/>
    <w:rsid w:val="00370E75"/>
    <w:rsid w:val="0037204D"/>
    <w:rsid w:val="00372235"/>
    <w:rsid w:val="00372AB5"/>
    <w:rsid w:val="00372C4D"/>
    <w:rsid w:val="003731C7"/>
    <w:rsid w:val="00373EA3"/>
    <w:rsid w:val="0037467A"/>
    <w:rsid w:val="00374746"/>
    <w:rsid w:val="00374797"/>
    <w:rsid w:val="00374882"/>
    <w:rsid w:val="00374B2A"/>
    <w:rsid w:val="00375A51"/>
    <w:rsid w:val="00375EBD"/>
    <w:rsid w:val="00375EC3"/>
    <w:rsid w:val="00376478"/>
    <w:rsid w:val="003775C7"/>
    <w:rsid w:val="00377FD8"/>
    <w:rsid w:val="0038059F"/>
    <w:rsid w:val="003808B6"/>
    <w:rsid w:val="00381417"/>
    <w:rsid w:val="003815CD"/>
    <w:rsid w:val="0038179F"/>
    <w:rsid w:val="00381A41"/>
    <w:rsid w:val="00381B80"/>
    <w:rsid w:val="00381D00"/>
    <w:rsid w:val="00383017"/>
    <w:rsid w:val="003833D2"/>
    <w:rsid w:val="0038344D"/>
    <w:rsid w:val="00383ECF"/>
    <w:rsid w:val="00383F73"/>
    <w:rsid w:val="003843DE"/>
    <w:rsid w:val="00384A2B"/>
    <w:rsid w:val="00384C16"/>
    <w:rsid w:val="00384D6A"/>
    <w:rsid w:val="0038504C"/>
    <w:rsid w:val="00385349"/>
    <w:rsid w:val="003853B0"/>
    <w:rsid w:val="00385AE7"/>
    <w:rsid w:val="00386128"/>
    <w:rsid w:val="00386453"/>
    <w:rsid w:val="00387871"/>
    <w:rsid w:val="00391035"/>
    <w:rsid w:val="003912C2"/>
    <w:rsid w:val="00391D52"/>
    <w:rsid w:val="003922EB"/>
    <w:rsid w:val="0039242A"/>
    <w:rsid w:val="0039316E"/>
    <w:rsid w:val="00393DE8"/>
    <w:rsid w:val="003945CE"/>
    <w:rsid w:val="00394C6D"/>
    <w:rsid w:val="00394CD8"/>
    <w:rsid w:val="00395095"/>
    <w:rsid w:val="00395209"/>
    <w:rsid w:val="00395458"/>
    <w:rsid w:val="003955DA"/>
    <w:rsid w:val="003959A6"/>
    <w:rsid w:val="00395F20"/>
    <w:rsid w:val="003961BE"/>
    <w:rsid w:val="00396571"/>
    <w:rsid w:val="00396BCB"/>
    <w:rsid w:val="003A016B"/>
    <w:rsid w:val="003A0191"/>
    <w:rsid w:val="003A0354"/>
    <w:rsid w:val="003A05EB"/>
    <w:rsid w:val="003A0AF9"/>
    <w:rsid w:val="003A1AF5"/>
    <w:rsid w:val="003A28E6"/>
    <w:rsid w:val="003A2F66"/>
    <w:rsid w:val="003A3415"/>
    <w:rsid w:val="003A4068"/>
    <w:rsid w:val="003A47F3"/>
    <w:rsid w:val="003A522F"/>
    <w:rsid w:val="003A5273"/>
    <w:rsid w:val="003A58BB"/>
    <w:rsid w:val="003A6354"/>
    <w:rsid w:val="003A7116"/>
    <w:rsid w:val="003A7767"/>
    <w:rsid w:val="003B05CE"/>
    <w:rsid w:val="003B0FB4"/>
    <w:rsid w:val="003B119B"/>
    <w:rsid w:val="003B1FD3"/>
    <w:rsid w:val="003B2A50"/>
    <w:rsid w:val="003B2A8D"/>
    <w:rsid w:val="003B2DBA"/>
    <w:rsid w:val="003B31C8"/>
    <w:rsid w:val="003B3C50"/>
    <w:rsid w:val="003B4CC9"/>
    <w:rsid w:val="003B5194"/>
    <w:rsid w:val="003B53D2"/>
    <w:rsid w:val="003B5DAF"/>
    <w:rsid w:val="003B6150"/>
    <w:rsid w:val="003B621B"/>
    <w:rsid w:val="003B78D6"/>
    <w:rsid w:val="003B7D7B"/>
    <w:rsid w:val="003B7DFC"/>
    <w:rsid w:val="003C0195"/>
    <w:rsid w:val="003C04AE"/>
    <w:rsid w:val="003C071B"/>
    <w:rsid w:val="003C1031"/>
    <w:rsid w:val="003C1BF4"/>
    <w:rsid w:val="003C2531"/>
    <w:rsid w:val="003C28C6"/>
    <w:rsid w:val="003C2BBF"/>
    <w:rsid w:val="003C3293"/>
    <w:rsid w:val="003C3602"/>
    <w:rsid w:val="003C3B07"/>
    <w:rsid w:val="003C4F45"/>
    <w:rsid w:val="003C50E6"/>
    <w:rsid w:val="003C5FFF"/>
    <w:rsid w:val="003C6392"/>
    <w:rsid w:val="003C761C"/>
    <w:rsid w:val="003C7985"/>
    <w:rsid w:val="003C79B7"/>
    <w:rsid w:val="003C7E0D"/>
    <w:rsid w:val="003D0624"/>
    <w:rsid w:val="003D0BFB"/>
    <w:rsid w:val="003D1425"/>
    <w:rsid w:val="003D1ABB"/>
    <w:rsid w:val="003D1F03"/>
    <w:rsid w:val="003D2764"/>
    <w:rsid w:val="003D297E"/>
    <w:rsid w:val="003D2A33"/>
    <w:rsid w:val="003D32FB"/>
    <w:rsid w:val="003D3905"/>
    <w:rsid w:val="003D4A31"/>
    <w:rsid w:val="003D4A68"/>
    <w:rsid w:val="003D5641"/>
    <w:rsid w:val="003D5864"/>
    <w:rsid w:val="003D588C"/>
    <w:rsid w:val="003D58A3"/>
    <w:rsid w:val="003D5A39"/>
    <w:rsid w:val="003D5EC5"/>
    <w:rsid w:val="003D6853"/>
    <w:rsid w:val="003D704E"/>
    <w:rsid w:val="003D70D1"/>
    <w:rsid w:val="003E0098"/>
    <w:rsid w:val="003E0C14"/>
    <w:rsid w:val="003E1628"/>
    <w:rsid w:val="003E30E9"/>
    <w:rsid w:val="003E32B7"/>
    <w:rsid w:val="003E38E9"/>
    <w:rsid w:val="003E3C77"/>
    <w:rsid w:val="003E3E06"/>
    <w:rsid w:val="003E3F60"/>
    <w:rsid w:val="003E45E4"/>
    <w:rsid w:val="003E4DF6"/>
    <w:rsid w:val="003E52E8"/>
    <w:rsid w:val="003E62C2"/>
    <w:rsid w:val="003E664F"/>
    <w:rsid w:val="003E6B96"/>
    <w:rsid w:val="003E6FCD"/>
    <w:rsid w:val="003E70EF"/>
    <w:rsid w:val="003F00BE"/>
    <w:rsid w:val="003F01DD"/>
    <w:rsid w:val="003F02EE"/>
    <w:rsid w:val="003F0DD0"/>
    <w:rsid w:val="003F0FFF"/>
    <w:rsid w:val="003F218D"/>
    <w:rsid w:val="003F2240"/>
    <w:rsid w:val="003F292C"/>
    <w:rsid w:val="003F3BFF"/>
    <w:rsid w:val="003F45F0"/>
    <w:rsid w:val="003F48AF"/>
    <w:rsid w:val="003F55A0"/>
    <w:rsid w:val="003F6828"/>
    <w:rsid w:val="003F7818"/>
    <w:rsid w:val="0040022C"/>
    <w:rsid w:val="004008C4"/>
    <w:rsid w:val="00400E0E"/>
    <w:rsid w:val="00401A5A"/>
    <w:rsid w:val="00401BD6"/>
    <w:rsid w:val="00402CC0"/>
    <w:rsid w:val="00403971"/>
    <w:rsid w:val="0040427D"/>
    <w:rsid w:val="00404CC0"/>
    <w:rsid w:val="00405070"/>
    <w:rsid w:val="00405125"/>
    <w:rsid w:val="00405D4C"/>
    <w:rsid w:val="00405E48"/>
    <w:rsid w:val="00406459"/>
    <w:rsid w:val="00406A6E"/>
    <w:rsid w:val="00406B3C"/>
    <w:rsid w:val="00406C67"/>
    <w:rsid w:val="00406D60"/>
    <w:rsid w:val="00406E1D"/>
    <w:rsid w:val="00406EBC"/>
    <w:rsid w:val="00406FF6"/>
    <w:rsid w:val="00407863"/>
    <w:rsid w:val="0040791A"/>
    <w:rsid w:val="00407BD0"/>
    <w:rsid w:val="00407C62"/>
    <w:rsid w:val="004103CA"/>
    <w:rsid w:val="00410817"/>
    <w:rsid w:val="00410D04"/>
    <w:rsid w:val="00410D1A"/>
    <w:rsid w:val="004110A4"/>
    <w:rsid w:val="0041121F"/>
    <w:rsid w:val="004129A0"/>
    <w:rsid w:val="0041343B"/>
    <w:rsid w:val="00413704"/>
    <w:rsid w:val="00413D28"/>
    <w:rsid w:val="00413FAA"/>
    <w:rsid w:val="00413FFA"/>
    <w:rsid w:val="00414079"/>
    <w:rsid w:val="00414600"/>
    <w:rsid w:val="00415336"/>
    <w:rsid w:val="0041624F"/>
    <w:rsid w:val="0041625E"/>
    <w:rsid w:val="004169AA"/>
    <w:rsid w:val="00416AA4"/>
    <w:rsid w:val="00416B71"/>
    <w:rsid w:val="00416CED"/>
    <w:rsid w:val="00417173"/>
    <w:rsid w:val="004172E9"/>
    <w:rsid w:val="004175D6"/>
    <w:rsid w:val="0041769D"/>
    <w:rsid w:val="004178D4"/>
    <w:rsid w:val="00420CF6"/>
    <w:rsid w:val="00420D92"/>
    <w:rsid w:val="00420FC6"/>
    <w:rsid w:val="004214A0"/>
    <w:rsid w:val="0042207C"/>
    <w:rsid w:val="00422FAD"/>
    <w:rsid w:val="00424497"/>
    <w:rsid w:val="004246CB"/>
    <w:rsid w:val="00425306"/>
    <w:rsid w:val="0042745C"/>
    <w:rsid w:val="00430C2B"/>
    <w:rsid w:val="00431214"/>
    <w:rsid w:val="004316D5"/>
    <w:rsid w:val="00431764"/>
    <w:rsid w:val="00432B75"/>
    <w:rsid w:val="00432BB0"/>
    <w:rsid w:val="00434177"/>
    <w:rsid w:val="00434437"/>
    <w:rsid w:val="00434524"/>
    <w:rsid w:val="00435249"/>
    <w:rsid w:val="00435A92"/>
    <w:rsid w:val="00435BC6"/>
    <w:rsid w:val="00436601"/>
    <w:rsid w:val="0043685A"/>
    <w:rsid w:val="00437030"/>
    <w:rsid w:val="00437435"/>
    <w:rsid w:val="004376C5"/>
    <w:rsid w:val="004376D1"/>
    <w:rsid w:val="00437CA6"/>
    <w:rsid w:val="00440535"/>
    <w:rsid w:val="0044177C"/>
    <w:rsid w:val="0044198F"/>
    <w:rsid w:val="00443675"/>
    <w:rsid w:val="004451FB"/>
    <w:rsid w:val="00445894"/>
    <w:rsid w:val="00445D59"/>
    <w:rsid w:val="00445F12"/>
    <w:rsid w:val="00445F8E"/>
    <w:rsid w:val="00446014"/>
    <w:rsid w:val="00446369"/>
    <w:rsid w:val="00446622"/>
    <w:rsid w:val="0045110D"/>
    <w:rsid w:val="00451564"/>
    <w:rsid w:val="00451959"/>
    <w:rsid w:val="00451E19"/>
    <w:rsid w:val="004520D2"/>
    <w:rsid w:val="00452639"/>
    <w:rsid w:val="00453074"/>
    <w:rsid w:val="00453BD1"/>
    <w:rsid w:val="00455CDE"/>
    <w:rsid w:val="00456204"/>
    <w:rsid w:val="0045656B"/>
    <w:rsid w:val="00456DC0"/>
    <w:rsid w:val="00456E5A"/>
    <w:rsid w:val="0045770B"/>
    <w:rsid w:val="0046089B"/>
    <w:rsid w:val="00460925"/>
    <w:rsid w:val="00461403"/>
    <w:rsid w:val="00461A85"/>
    <w:rsid w:val="00462370"/>
    <w:rsid w:val="004637E0"/>
    <w:rsid w:val="004647C2"/>
    <w:rsid w:val="004649C1"/>
    <w:rsid w:val="004651BA"/>
    <w:rsid w:val="00465BEB"/>
    <w:rsid w:val="00466CD5"/>
    <w:rsid w:val="00466F8D"/>
    <w:rsid w:val="004674F4"/>
    <w:rsid w:val="0047005D"/>
    <w:rsid w:val="004701D9"/>
    <w:rsid w:val="0047030B"/>
    <w:rsid w:val="0047075F"/>
    <w:rsid w:val="00471B3F"/>
    <w:rsid w:val="004728CE"/>
    <w:rsid w:val="00473BEB"/>
    <w:rsid w:val="00473C16"/>
    <w:rsid w:val="0047408F"/>
    <w:rsid w:val="00474CD6"/>
    <w:rsid w:val="00475684"/>
    <w:rsid w:val="004758A1"/>
    <w:rsid w:val="00475905"/>
    <w:rsid w:val="00475F89"/>
    <w:rsid w:val="004771A5"/>
    <w:rsid w:val="0047798A"/>
    <w:rsid w:val="004803B5"/>
    <w:rsid w:val="00480833"/>
    <w:rsid w:val="004810F8"/>
    <w:rsid w:val="004822B2"/>
    <w:rsid w:val="0048252D"/>
    <w:rsid w:val="00482636"/>
    <w:rsid w:val="00482D2C"/>
    <w:rsid w:val="00484046"/>
    <w:rsid w:val="0048407B"/>
    <w:rsid w:val="0048467E"/>
    <w:rsid w:val="00484779"/>
    <w:rsid w:val="00484E00"/>
    <w:rsid w:val="00484E03"/>
    <w:rsid w:val="00484EFA"/>
    <w:rsid w:val="00486409"/>
    <w:rsid w:val="00486526"/>
    <w:rsid w:val="00486600"/>
    <w:rsid w:val="004867A4"/>
    <w:rsid w:val="00486862"/>
    <w:rsid w:val="0048778A"/>
    <w:rsid w:val="00487885"/>
    <w:rsid w:val="00487A8A"/>
    <w:rsid w:val="00487E19"/>
    <w:rsid w:val="00487EC3"/>
    <w:rsid w:val="00490709"/>
    <w:rsid w:val="00490C02"/>
    <w:rsid w:val="00491462"/>
    <w:rsid w:val="00491684"/>
    <w:rsid w:val="00491D67"/>
    <w:rsid w:val="004920F1"/>
    <w:rsid w:val="00492292"/>
    <w:rsid w:val="00492C8F"/>
    <w:rsid w:val="00493006"/>
    <w:rsid w:val="00493DD0"/>
    <w:rsid w:val="004949CC"/>
    <w:rsid w:val="00494B63"/>
    <w:rsid w:val="004954FE"/>
    <w:rsid w:val="00495A5F"/>
    <w:rsid w:val="00495BE8"/>
    <w:rsid w:val="00496B45"/>
    <w:rsid w:val="0049736F"/>
    <w:rsid w:val="00497C73"/>
    <w:rsid w:val="00497C99"/>
    <w:rsid w:val="00497D9B"/>
    <w:rsid w:val="004A0221"/>
    <w:rsid w:val="004A04BE"/>
    <w:rsid w:val="004A07E7"/>
    <w:rsid w:val="004A0E8D"/>
    <w:rsid w:val="004A0F16"/>
    <w:rsid w:val="004A117D"/>
    <w:rsid w:val="004A18E7"/>
    <w:rsid w:val="004A19FA"/>
    <w:rsid w:val="004A230C"/>
    <w:rsid w:val="004A372A"/>
    <w:rsid w:val="004A3DB4"/>
    <w:rsid w:val="004A433B"/>
    <w:rsid w:val="004A4C9D"/>
    <w:rsid w:val="004A4CC0"/>
    <w:rsid w:val="004A6159"/>
    <w:rsid w:val="004A6353"/>
    <w:rsid w:val="004A6849"/>
    <w:rsid w:val="004A6C6F"/>
    <w:rsid w:val="004A740E"/>
    <w:rsid w:val="004A792C"/>
    <w:rsid w:val="004B00F2"/>
    <w:rsid w:val="004B0D81"/>
    <w:rsid w:val="004B0F48"/>
    <w:rsid w:val="004B10DC"/>
    <w:rsid w:val="004B178E"/>
    <w:rsid w:val="004B1B3E"/>
    <w:rsid w:val="004B1C03"/>
    <w:rsid w:val="004B1F82"/>
    <w:rsid w:val="004B2EC9"/>
    <w:rsid w:val="004B3122"/>
    <w:rsid w:val="004B3576"/>
    <w:rsid w:val="004B42C0"/>
    <w:rsid w:val="004B4E7F"/>
    <w:rsid w:val="004B69D5"/>
    <w:rsid w:val="004B69F0"/>
    <w:rsid w:val="004B6A4D"/>
    <w:rsid w:val="004C0878"/>
    <w:rsid w:val="004C0C48"/>
    <w:rsid w:val="004C1DAD"/>
    <w:rsid w:val="004C2211"/>
    <w:rsid w:val="004C2383"/>
    <w:rsid w:val="004C2B72"/>
    <w:rsid w:val="004C30E8"/>
    <w:rsid w:val="004C31B6"/>
    <w:rsid w:val="004C3901"/>
    <w:rsid w:val="004C3E1D"/>
    <w:rsid w:val="004C430D"/>
    <w:rsid w:val="004C5031"/>
    <w:rsid w:val="004C5941"/>
    <w:rsid w:val="004C605B"/>
    <w:rsid w:val="004C6068"/>
    <w:rsid w:val="004C7E25"/>
    <w:rsid w:val="004D0E87"/>
    <w:rsid w:val="004D20F9"/>
    <w:rsid w:val="004D2C63"/>
    <w:rsid w:val="004D2E4A"/>
    <w:rsid w:val="004D489E"/>
    <w:rsid w:val="004D625A"/>
    <w:rsid w:val="004D6611"/>
    <w:rsid w:val="004D69E3"/>
    <w:rsid w:val="004D7010"/>
    <w:rsid w:val="004E0319"/>
    <w:rsid w:val="004E0E47"/>
    <w:rsid w:val="004E1B4A"/>
    <w:rsid w:val="004E261D"/>
    <w:rsid w:val="004E2DB1"/>
    <w:rsid w:val="004E32ED"/>
    <w:rsid w:val="004E3BE2"/>
    <w:rsid w:val="004E47E2"/>
    <w:rsid w:val="004E5B0D"/>
    <w:rsid w:val="004E6AB9"/>
    <w:rsid w:val="004E6AEC"/>
    <w:rsid w:val="004E6D6F"/>
    <w:rsid w:val="004E7128"/>
    <w:rsid w:val="004E7DE1"/>
    <w:rsid w:val="004F039F"/>
    <w:rsid w:val="004F0778"/>
    <w:rsid w:val="004F1B21"/>
    <w:rsid w:val="004F1DD5"/>
    <w:rsid w:val="004F2541"/>
    <w:rsid w:val="004F2AC9"/>
    <w:rsid w:val="004F3538"/>
    <w:rsid w:val="004F371E"/>
    <w:rsid w:val="004F3847"/>
    <w:rsid w:val="004F3C60"/>
    <w:rsid w:val="004F444D"/>
    <w:rsid w:val="004F44ED"/>
    <w:rsid w:val="004F47AD"/>
    <w:rsid w:val="004F4CC9"/>
    <w:rsid w:val="004F5B3A"/>
    <w:rsid w:val="004F5C9E"/>
    <w:rsid w:val="004F603F"/>
    <w:rsid w:val="004F6122"/>
    <w:rsid w:val="004F6899"/>
    <w:rsid w:val="004F7220"/>
    <w:rsid w:val="00500599"/>
    <w:rsid w:val="0050063E"/>
    <w:rsid w:val="00500AD9"/>
    <w:rsid w:val="00501117"/>
    <w:rsid w:val="00501A2A"/>
    <w:rsid w:val="00501A58"/>
    <w:rsid w:val="00501A63"/>
    <w:rsid w:val="00502ABB"/>
    <w:rsid w:val="00502BB9"/>
    <w:rsid w:val="0050343F"/>
    <w:rsid w:val="00503E90"/>
    <w:rsid w:val="00504D97"/>
    <w:rsid w:val="0050533F"/>
    <w:rsid w:val="0050581E"/>
    <w:rsid w:val="00506F55"/>
    <w:rsid w:val="005076BB"/>
    <w:rsid w:val="00507E7D"/>
    <w:rsid w:val="00510415"/>
    <w:rsid w:val="00510A81"/>
    <w:rsid w:val="00511385"/>
    <w:rsid w:val="00511964"/>
    <w:rsid w:val="00511A78"/>
    <w:rsid w:val="00511B43"/>
    <w:rsid w:val="00512164"/>
    <w:rsid w:val="00512AE0"/>
    <w:rsid w:val="00513C70"/>
    <w:rsid w:val="00513C9E"/>
    <w:rsid w:val="0051485D"/>
    <w:rsid w:val="00514BB7"/>
    <w:rsid w:val="00514C57"/>
    <w:rsid w:val="00514C82"/>
    <w:rsid w:val="00515488"/>
    <w:rsid w:val="00515EC9"/>
    <w:rsid w:val="00515FE4"/>
    <w:rsid w:val="00516540"/>
    <w:rsid w:val="00516D82"/>
    <w:rsid w:val="00517B2D"/>
    <w:rsid w:val="00517B54"/>
    <w:rsid w:val="00517BFF"/>
    <w:rsid w:val="005212D3"/>
    <w:rsid w:val="005216B1"/>
    <w:rsid w:val="005216EF"/>
    <w:rsid w:val="00522470"/>
    <w:rsid w:val="005224D1"/>
    <w:rsid w:val="00522558"/>
    <w:rsid w:val="00522871"/>
    <w:rsid w:val="00522E3A"/>
    <w:rsid w:val="0052303A"/>
    <w:rsid w:val="005230AF"/>
    <w:rsid w:val="005236A0"/>
    <w:rsid w:val="00524328"/>
    <w:rsid w:val="0052436B"/>
    <w:rsid w:val="005251F8"/>
    <w:rsid w:val="00525390"/>
    <w:rsid w:val="00525A9B"/>
    <w:rsid w:val="00526385"/>
    <w:rsid w:val="00527015"/>
    <w:rsid w:val="0052773F"/>
    <w:rsid w:val="00527C69"/>
    <w:rsid w:val="00530073"/>
    <w:rsid w:val="00530251"/>
    <w:rsid w:val="005306A0"/>
    <w:rsid w:val="0053107A"/>
    <w:rsid w:val="005312AA"/>
    <w:rsid w:val="00531BB8"/>
    <w:rsid w:val="005322D5"/>
    <w:rsid w:val="0053244B"/>
    <w:rsid w:val="0053298E"/>
    <w:rsid w:val="00532ACC"/>
    <w:rsid w:val="005332D9"/>
    <w:rsid w:val="005341EF"/>
    <w:rsid w:val="005342AC"/>
    <w:rsid w:val="005343BD"/>
    <w:rsid w:val="00534DC7"/>
    <w:rsid w:val="00535303"/>
    <w:rsid w:val="00535A93"/>
    <w:rsid w:val="00535B7E"/>
    <w:rsid w:val="00535C76"/>
    <w:rsid w:val="005361BA"/>
    <w:rsid w:val="00536408"/>
    <w:rsid w:val="00536E64"/>
    <w:rsid w:val="0053737E"/>
    <w:rsid w:val="00537B2B"/>
    <w:rsid w:val="00537BAE"/>
    <w:rsid w:val="00537C4D"/>
    <w:rsid w:val="00539AE9"/>
    <w:rsid w:val="005401AF"/>
    <w:rsid w:val="00540630"/>
    <w:rsid w:val="0054157F"/>
    <w:rsid w:val="00541B9C"/>
    <w:rsid w:val="0054255A"/>
    <w:rsid w:val="00542E2E"/>
    <w:rsid w:val="00543CEB"/>
    <w:rsid w:val="00544959"/>
    <w:rsid w:val="00544B5B"/>
    <w:rsid w:val="00544B7C"/>
    <w:rsid w:val="00544C3D"/>
    <w:rsid w:val="005466C1"/>
    <w:rsid w:val="00546B8F"/>
    <w:rsid w:val="00546C16"/>
    <w:rsid w:val="00546CBF"/>
    <w:rsid w:val="005473B3"/>
    <w:rsid w:val="0054773F"/>
    <w:rsid w:val="00547A74"/>
    <w:rsid w:val="0055046B"/>
    <w:rsid w:val="005509A7"/>
    <w:rsid w:val="00551162"/>
    <w:rsid w:val="005518F1"/>
    <w:rsid w:val="00551987"/>
    <w:rsid w:val="00551BC3"/>
    <w:rsid w:val="005523DE"/>
    <w:rsid w:val="0055246E"/>
    <w:rsid w:val="0055434C"/>
    <w:rsid w:val="0055606E"/>
    <w:rsid w:val="005564D2"/>
    <w:rsid w:val="0055685F"/>
    <w:rsid w:val="00556FB3"/>
    <w:rsid w:val="005570AC"/>
    <w:rsid w:val="005574AA"/>
    <w:rsid w:val="00557764"/>
    <w:rsid w:val="00557E1E"/>
    <w:rsid w:val="00557FBF"/>
    <w:rsid w:val="0056030C"/>
    <w:rsid w:val="00560311"/>
    <w:rsid w:val="005613E1"/>
    <w:rsid w:val="00561758"/>
    <w:rsid w:val="005627CB"/>
    <w:rsid w:val="00562B99"/>
    <w:rsid w:val="005633DB"/>
    <w:rsid w:val="0056347F"/>
    <w:rsid w:val="00563485"/>
    <w:rsid w:val="005648FE"/>
    <w:rsid w:val="00564F94"/>
    <w:rsid w:val="00565BDE"/>
    <w:rsid w:val="0056603A"/>
    <w:rsid w:val="00566587"/>
    <w:rsid w:val="00566822"/>
    <w:rsid w:val="00566B82"/>
    <w:rsid w:val="005678DC"/>
    <w:rsid w:val="00570987"/>
    <w:rsid w:val="00571044"/>
    <w:rsid w:val="0057107F"/>
    <w:rsid w:val="00571D60"/>
    <w:rsid w:val="0057205F"/>
    <w:rsid w:val="00572187"/>
    <w:rsid w:val="00572395"/>
    <w:rsid w:val="00572C3F"/>
    <w:rsid w:val="005739CE"/>
    <w:rsid w:val="00573BDC"/>
    <w:rsid w:val="00573DBA"/>
    <w:rsid w:val="00574326"/>
    <w:rsid w:val="00574944"/>
    <w:rsid w:val="00574DA0"/>
    <w:rsid w:val="00577177"/>
    <w:rsid w:val="00577BD9"/>
    <w:rsid w:val="00577E80"/>
    <w:rsid w:val="00580A80"/>
    <w:rsid w:val="00580C09"/>
    <w:rsid w:val="00580C8E"/>
    <w:rsid w:val="0058133B"/>
    <w:rsid w:val="00582309"/>
    <w:rsid w:val="00582715"/>
    <w:rsid w:val="00582927"/>
    <w:rsid w:val="00582CF9"/>
    <w:rsid w:val="005834B5"/>
    <w:rsid w:val="0058401C"/>
    <w:rsid w:val="005851D7"/>
    <w:rsid w:val="00585BF7"/>
    <w:rsid w:val="00586476"/>
    <w:rsid w:val="00586817"/>
    <w:rsid w:val="00586BF2"/>
    <w:rsid w:val="0058706C"/>
    <w:rsid w:val="0058780E"/>
    <w:rsid w:val="00587DA9"/>
    <w:rsid w:val="005900C3"/>
    <w:rsid w:val="005902B8"/>
    <w:rsid w:val="0059034C"/>
    <w:rsid w:val="005904B3"/>
    <w:rsid w:val="00590503"/>
    <w:rsid w:val="00590ABD"/>
    <w:rsid w:val="00590F74"/>
    <w:rsid w:val="005915CE"/>
    <w:rsid w:val="00591E7C"/>
    <w:rsid w:val="005920AF"/>
    <w:rsid w:val="005922CB"/>
    <w:rsid w:val="00592333"/>
    <w:rsid w:val="00592A2B"/>
    <w:rsid w:val="00592D4E"/>
    <w:rsid w:val="00593B17"/>
    <w:rsid w:val="00593F22"/>
    <w:rsid w:val="00594206"/>
    <w:rsid w:val="00594872"/>
    <w:rsid w:val="00594F46"/>
    <w:rsid w:val="00595F50"/>
    <w:rsid w:val="00596500"/>
    <w:rsid w:val="00596C74"/>
    <w:rsid w:val="005A1275"/>
    <w:rsid w:val="005A2551"/>
    <w:rsid w:val="005A282C"/>
    <w:rsid w:val="005A28A2"/>
    <w:rsid w:val="005A3667"/>
    <w:rsid w:val="005A3E5C"/>
    <w:rsid w:val="005A4D5E"/>
    <w:rsid w:val="005A5256"/>
    <w:rsid w:val="005A5467"/>
    <w:rsid w:val="005A56CF"/>
    <w:rsid w:val="005A58DC"/>
    <w:rsid w:val="005A5D9F"/>
    <w:rsid w:val="005A6169"/>
    <w:rsid w:val="005A6816"/>
    <w:rsid w:val="005A6B6C"/>
    <w:rsid w:val="005A7175"/>
    <w:rsid w:val="005A7651"/>
    <w:rsid w:val="005A792F"/>
    <w:rsid w:val="005A7A74"/>
    <w:rsid w:val="005B0371"/>
    <w:rsid w:val="005B0437"/>
    <w:rsid w:val="005B15C0"/>
    <w:rsid w:val="005B16C1"/>
    <w:rsid w:val="005B18A7"/>
    <w:rsid w:val="005B1C0D"/>
    <w:rsid w:val="005B25F2"/>
    <w:rsid w:val="005B3692"/>
    <w:rsid w:val="005B4ED3"/>
    <w:rsid w:val="005B529E"/>
    <w:rsid w:val="005B56B9"/>
    <w:rsid w:val="005B5B28"/>
    <w:rsid w:val="005B699E"/>
    <w:rsid w:val="005B69EA"/>
    <w:rsid w:val="005B6DAF"/>
    <w:rsid w:val="005B6F4A"/>
    <w:rsid w:val="005B774D"/>
    <w:rsid w:val="005B7EB9"/>
    <w:rsid w:val="005C06AD"/>
    <w:rsid w:val="005C0905"/>
    <w:rsid w:val="005C0AE1"/>
    <w:rsid w:val="005C16DD"/>
    <w:rsid w:val="005C1F69"/>
    <w:rsid w:val="005C245F"/>
    <w:rsid w:val="005C24C5"/>
    <w:rsid w:val="005C2BD7"/>
    <w:rsid w:val="005C3DB6"/>
    <w:rsid w:val="005C4452"/>
    <w:rsid w:val="005C544A"/>
    <w:rsid w:val="005C5ADD"/>
    <w:rsid w:val="005C5CD0"/>
    <w:rsid w:val="005C601C"/>
    <w:rsid w:val="005C6357"/>
    <w:rsid w:val="005C63F5"/>
    <w:rsid w:val="005C662D"/>
    <w:rsid w:val="005C68A7"/>
    <w:rsid w:val="005D031C"/>
    <w:rsid w:val="005D087C"/>
    <w:rsid w:val="005D09FE"/>
    <w:rsid w:val="005D0F28"/>
    <w:rsid w:val="005D133A"/>
    <w:rsid w:val="005D135F"/>
    <w:rsid w:val="005D186A"/>
    <w:rsid w:val="005D1A2E"/>
    <w:rsid w:val="005D2297"/>
    <w:rsid w:val="005D2F98"/>
    <w:rsid w:val="005D3EC4"/>
    <w:rsid w:val="005D3F77"/>
    <w:rsid w:val="005D4E45"/>
    <w:rsid w:val="005D55B8"/>
    <w:rsid w:val="005D5648"/>
    <w:rsid w:val="005D56DF"/>
    <w:rsid w:val="005D58F7"/>
    <w:rsid w:val="005D61D8"/>
    <w:rsid w:val="005D6262"/>
    <w:rsid w:val="005D70E7"/>
    <w:rsid w:val="005D730F"/>
    <w:rsid w:val="005D7859"/>
    <w:rsid w:val="005E0144"/>
    <w:rsid w:val="005E074E"/>
    <w:rsid w:val="005E1618"/>
    <w:rsid w:val="005E1778"/>
    <w:rsid w:val="005E195A"/>
    <w:rsid w:val="005E2616"/>
    <w:rsid w:val="005E2703"/>
    <w:rsid w:val="005E2B98"/>
    <w:rsid w:val="005E3D08"/>
    <w:rsid w:val="005E3E9C"/>
    <w:rsid w:val="005E4FC0"/>
    <w:rsid w:val="005E624D"/>
    <w:rsid w:val="005E6E67"/>
    <w:rsid w:val="005E7317"/>
    <w:rsid w:val="005E744B"/>
    <w:rsid w:val="005E774F"/>
    <w:rsid w:val="005F050C"/>
    <w:rsid w:val="005F08AF"/>
    <w:rsid w:val="005F0D63"/>
    <w:rsid w:val="005F121A"/>
    <w:rsid w:val="005F17E8"/>
    <w:rsid w:val="005F1A5C"/>
    <w:rsid w:val="005F1CED"/>
    <w:rsid w:val="005F1E28"/>
    <w:rsid w:val="005F1E3B"/>
    <w:rsid w:val="005F2004"/>
    <w:rsid w:val="005F26A7"/>
    <w:rsid w:val="005F3497"/>
    <w:rsid w:val="005F3BCB"/>
    <w:rsid w:val="005F3DE0"/>
    <w:rsid w:val="005F499F"/>
    <w:rsid w:val="005F49A8"/>
    <w:rsid w:val="005F4E07"/>
    <w:rsid w:val="005F4EEB"/>
    <w:rsid w:val="005F56E2"/>
    <w:rsid w:val="005F572C"/>
    <w:rsid w:val="005F5EEC"/>
    <w:rsid w:val="005F68E4"/>
    <w:rsid w:val="005F6C71"/>
    <w:rsid w:val="005F6D1B"/>
    <w:rsid w:val="005F7201"/>
    <w:rsid w:val="005F75DB"/>
    <w:rsid w:val="00600DBD"/>
    <w:rsid w:val="00601392"/>
    <w:rsid w:val="0060156B"/>
    <w:rsid w:val="00601EDF"/>
    <w:rsid w:val="006025D4"/>
    <w:rsid w:val="0060320D"/>
    <w:rsid w:val="00603A46"/>
    <w:rsid w:val="00603D77"/>
    <w:rsid w:val="00603FA2"/>
    <w:rsid w:val="00604915"/>
    <w:rsid w:val="00604CDC"/>
    <w:rsid w:val="0060599C"/>
    <w:rsid w:val="0060708A"/>
    <w:rsid w:val="006079BC"/>
    <w:rsid w:val="00610006"/>
    <w:rsid w:val="00610300"/>
    <w:rsid w:val="00611212"/>
    <w:rsid w:val="006116A6"/>
    <w:rsid w:val="0061178E"/>
    <w:rsid w:val="006117C3"/>
    <w:rsid w:val="00611F7A"/>
    <w:rsid w:val="00612B1D"/>
    <w:rsid w:val="00613677"/>
    <w:rsid w:val="00613D20"/>
    <w:rsid w:val="00613EEE"/>
    <w:rsid w:val="0061405A"/>
    <w:rsid w:val="00614436"/>
    <w:rsid w:val="00614537"/>
    <w:rsid w:val="00614604"/>
    <w:rsid w:val="006147D3"/>
    <w:rsid w:val="00614F99"/>
    <w:rsid w:val="0061648F"/>
    <w:rsid w:val="00616503"/>
    <w:rsid w:val="006167C3"/>
    <w:rsid w:val="0061691C"/>
    <w:rsid w:val="00616AA9"/>
    <w:rsid w:val="00616ED2"/>
    <w:rsid w:val="006173AF"/>
    <w:rsid w:val="006174EF"/>
    <w:rsid w:val="006178B0"/>
    <w:rsid w:val="00617A6F"/>
    <w:rsid w:val="00621C02"/>
    <w:rsid w:val="00621D8C"/>
    <w:rsid w:val="00622DA8"/>
    <w:rsid w:val="00622E8B"/>
    <w:rsid w:val="006231B4"/>
    <w:rsid w:val="0062421B"/>
    <w:rsid w:val="006245C4"/>
    <w:rsid w:val="006245F3"/>
    <w:rsid w:val="00624C16"/>
    <w:rsid w:val="00624EAF"/>
    <w:rsid w:val="0062511C"/>
    <w:rsid w:val="0062518F"/>
    <w:rsid w:val="00625AF3"/>
    <w:rsid w:val="006260CE"/>
    <w:rsid w:val="006264A7"/>
    <w:rsid w:val="00626A19"/>
    <w:rsid w:val="00626A69"/>
    <w:rsid w:val="00626BBA"/>
    <w:rsid w:val="0062714F"/>
    <w:rsid w:val="006275D0"/>
    <w:rsid w:val="00627C8B"/>
    <w:rsid w:val="006301EE"/>
    <w:rsid w:val="006306E5"/>
    <w:rsid w:val="00630A77"/>
    <w:rsid w:val="00630B44"/>
    <w:rsid w:val="00630E7A"/>
    <w:rsid w:val="0063131A"/>
    <w:rsid w:val="0063139F"/>
    <w:rsid w:val="00631FD8"/>
    <w:rsid w:val="006326DC"/>
    <w:rsid w:val="00632A13"/>
    <w:rsid w:val="006334AF"/>
    <w:rsid w:val="006342F4"/>
    <w:rsid w:val="00634414"/>
    <w:rsid w:val="00634665"/>
    <w:rsid w:val="006348BB"/>
    <w:rsid w:val="00635727"/>
    <w:rsid w:val="006359DB"/>
    <w:rsid w:val="00635A0D"/>
    <w:rsid w:val="006365D7"/>
    <w:rsid w:val="00637B19"/>
    <w:rsid w:val="00637C1F"/>
    <w:rsid w:val="00637D15"/>
    <w:rsid w:val="006406C5"/>
    <w:rsid w:val="00640D2B"/>
    <w:rsid w:val="006419BE"/>
    <w:rsid w:val="00642DB2"/>
    <w:rsid w:val="00643446"/>
    <w:rsid w:val="006436B3"/>
    <w:rsid w:val="00643ABA"/>
    <w:rsid w:val="00643CD5"/>
    <w:rsid w:val="00644D63"/>
    <w:rsid w:val="006476A7"/>
    <w:rsid w:val="00647C13"/>
    <w:rsid w:val="00647EB9"/>
    <w:rsid w:val="00650A5B"/>
    <w:rsid w:val="00650BB0"/>
    <w:rsid w:val="00650C3A"/>
    <w:rsid w:val="00650D42"/>
    <w:rsid w:val="006511D7"/>
    <w:rsid w:val="006513A4"/>
    <w:rsid w:val="00651414"/>
    <w:rsid w:val="00651610"/>
    <w:rsid w:val="0065276E"/>
    <w:rsid w:val="00652CCB"/>
    <w:rsid w:val="00652D9F"/>
    <w:rsid w:val="00652DF0"/>
    <w:rsid w:val="00652E8D"/>
    <w:rsid w:val="006532F8"/>
    <w:rsid w:val="0065395A"/>
    <w:rsid w:val="00654218"/>
    <w:rsid w:val="0065452C"/>
    <w:rsid w:val="0065521B"/>
    <w:rsid w:val="00656269"/>
    <w:rsid w:val="00656F83"/>
    <w:rsid w:val="00656F97"/>
    <w:rsid w:val="00657D3F"/>
    <w:rsid w:val="00657E6F"/>
    <w:rsid w:val="006603B2"/>
    <w:rsid w:val="00662461"/>
    <w:rsid w:val="00662D4F"/>
    <w:rsid w:val="00662F9A"/>
    <w:rsid w:val="0066369B"/>
    <w:rsid w:val="00663A9D"/>
    <w:rsid w:val="00663F6C"/>
    <w:rsid w:val="0066491C"/>
    <w:rsid w:val="00664983"/>
    <w:rsid w:val="00664A1B"/>
    <w:rsid w:val="00665327"/>
    <w:rsid w:val="006656CF"/>
    <w:rsid w:val="00665DDD"/>
    <w:rsid w:val="0066757C"/>
    <w:rsid w:val="00670546"/>
    <w:rsid w:val="006710A1"/>
    <w:rsid w:val="006719B7"/>
    <w:rsid w:val="00671BA8"/>
    <w:rsid w:val="00671E93"/>
    <w:rsid w:val="00672988"/>
    <w:rsid w:val="006730BA"/>
    <w:rsid w:val="00674228"/>
    <w:rsid w:val="00675370"/>
    <w:rsid w:val="00675F41"/>
    <w:rsid w:val="00676BE8"/>
    <w:rsid w:val="00677845"/>
    <w:rsid w:val="006806E3"/>
    <w:rsid w:val="006808A0"/>
    <w:rsid w:val="00680B6D"/>
    <w:rsid w:val="00680BEA"/>
    <w:rsid w:val="00680E6B"/>
    <w:rsid w:val="00681C91"/>
    <w:rsid w:val="00681FC4"/>
    <w:rsid w:val="00682149"/>
    <w:rsid w:val="00682A7D"/>
    <w:rsid w:val="00682F9C"/>
    <w:rsid w:val="006831A2"/>
    <w:rsid w:val="00683240"/>
    <w:rsid w:val="00685779"/>
    <w:rsid w:val="006865A0"/>
    <w:rsid w:val="00686895"/>
    <w:rsid w:val="0068689A"/>
    <w:rsid w:val="006873B2"/>
    <w:rsid w:val="00687E4A"/>
    <w:rsid w:val="00691593"/>
    <w:rsid w:val="006917D6"/>
    <w:rsid w:val="00691C46"/>
    <w:rsid w:val="00692452"/>
    <w:rsid w:val="006927D9"/>
    <w:rsid w:val="00692D45"/>
    <w:rsid w:val="0069413A"/>
    <w:rsid w:val="006945C8"/>
    <w:rsid w:val="00694F5B"/>
    <w:rsid w:val="00695014"/>
    <w:rsid w:val="006953A5"/>
    <w:rsid w:val="00695D91"/>
    <w:rsid w:val="006962A0"/>
    <w:rsid w:val="006962AF"/>
    <w:rsid w:val="00696395"/>
    <w:rsid w:val="00696CD1"/>
    <w:rsid w:val="00696D9D"/>
    <w:rsid w:val="00696E08"/>
    <w:rsid w:val="00696EA8"/>
    <w:rsid w:val="0069770B"/>
    <w:rsid w:val="006977EF"/>
    <w:rsid w:val="006A0654"/>
    <w:rsid w:val="006A1732"/>
    <w:rsid w:val="006A1BDB"/>
    <w:rsid w:val="006A1F59"/>
    <w:rsid w:val="006A1FD7"/>
    <w:rsid w:val="006A22D3"/>
    <w:rsid w:val="006A2F85"/>
    <w:rsid w:val="006A305A"/>
    <w:rsid w:val="006A3B04"/>
    <w:rsid w:val="006A3EFA"/>
    <w:rsid w:val="006A469A"/>
    <w:rsid w:val="006A4EB4"/>
    <w:rsid w:val="006A50DD"/>
    <w:rsid w:val="006A5606"/>
    <w:rsid w:val="006A6C8A"/>
    <w:rsid w:val="006A6E58"/>
    <w:rsid w:val="006A6F7D"/>
    <w:rsid w:val="006A7315"/>
    <w:rsid w:val="006A7863"/>
    <w:rsid w:val="006A7889"/>
    <w:rsid w:val="006A7AD7"/>
    <w:rsid w:val="006A7B81"/>
    <w:rsid w:val="006A7DDB"/>
    <w:rsid w:val="006B0161"/>
    <w:rsid w:val="006B04CC"/>
    <w:rsid w:val="006B085F"/>
    <w:rsid w:val="006B24C5"/>
    <w:rsid w:val="006B3098"/>
    <w:rsid w:val="006B3BCC"/>
    <w:rsid w:val="006B3C6D"/>
    <w:rsid w:val="006B3D92"/>
    <w:rsid w:val="006B51DE"/>
    <w:rsid w:val="006B5840"/>
    <w:rsid w:val="006B5A84"/>
    <w:rsid w:val="006B63D3"/>
    <w:rsid w:val="006B6AE7"/>
    <w:rsid w:val="006B729C"/>
    <w:rsid w:val="006B78AE"/>
    <w:rsid w:val="006B798D"/>
    <w:rsid w:val="006C01C2"/>
    <w:rsid w:val="006C023D"/>
    <w:rsid w:val="006C0288"/>
    <w:rsid w:val="006C121D"/>
    <w:rsid w:val="006C1757"/>
    <w:rsid w:val="006C1CC1"/>
    <w:rsid w:val="006C2FF4"/>
    <w:rsid w:val="006C3AB5"/>
    <w:rsid w:val="006C4721"/>
    <w:rsid w:val="006C51A3"/>
    <w:rsid w:val="006C5632"/>
    <w:rsid w:val="006C618E"/>
    <w:rsid w:val="006C62F7"/>
    <w:rsid w:val="006C6300"/>
    <w:rsid w:val="006C678F"/>
    <w:rsid w:val="006C6EDE"/>
    <w:rsid w:val="006C7B9F"/>
    <w:rsid w:val="006C7D69"/>
    <w:rsid w:val="006D0288"/>
    <w:rsid w:val="006D0D75"/>
    <w:rsid w:val="006D0D76"/>
    <w:rsid w:val="006D1B71"/>
    <w:rsid w:val="006D1F9C"/>
    <w:rsid w:val="006D2FE9"/>
    <w:rsid w:val="006D345C"/>
    <w:rsid w:val="006D346B"/>
    <w:rsid w:val="006D3628"/>
    <w:rsid w:val="006D3832"/>
    <w:rsid w:val="006D3A31"/>
    <w:rsid w:val="006D48B6"/>
    <w:rsid w:val="006D4D36"/>
    <w:rsid w:val="006D532F"/>
    <w:rsid w:val="006D575A"/>
    <w:rsid w:val="006D5C7D"/>
    <w:rsid w:val="006D5FE8"/>
    <w:rsid w:val="006D6066"/>
    <w:rsid w:val="006D699A"/>
    <w:rsid w:val="006D7033"/>
    <w:rsid w:val="006D724C"/>
    <w:rsid w:val="006D7B23"/>
    <w:rsid w:val="006E05E9"/>
    <w:rsid w:val="006E08B7"/>
    <w:rsid w:val="006E0AA1"/>
    <w:rsid w:val="006E0BA1"/>
    <w:rsid w:val="006E0DCB"/>
    <w:rsid w:val="006E2271"/>
    <w:rsid w:val="006E2304"/>
    <w:rsid w:val="006E2860"/>
    <w:rsid w:val="006E2FC4"/>
    <w:rsid w:val="006E3672"/>
    <w:rsid w:val="006E4241"/>
    <w:rsid w:val="006E47E3"/>
    <w:rsid w:val="006E591F"/>
    <w:rsid w:val="006E593A"/>
    <w:rsid w:val="006E5AC2"/>
    <w:rsid w:val="006E6326"/>
    <w:rsid w:val="006E66F2"/>
    <w:rsid w:val="006E6C47"/>
    <w:rsid w:val="006E6EEF"/>
    <w:rsid w:val="006E7289"/>
    <w:rsid w:val="006E786A"/>
    <w:rsid w:val="006E7F71"/>
    <w:rsid w:val="006EDC47"/>
    <w:rsid w:val="006F03B1"/>
    <w:rsid w:val="006F1029"/>
    <w:rsid w:val="006F1063"/>
    <w:rsid w:val="006F12A5"/>
    <w:rsid w:val="006F1554"/>
    <w:rsid w:val="006F1731"/>
    <w:rsid w:val="006F1958"/>
    <w:rsid w:val="006F21F4"/>
    <w:rsid w:val="006F28CC"/>
    <w:rsid w:val="006F300F"/>
    <w:rsid w:val="006F3100"/>
    <w:rsid w:val="006F32BD"/>
    <w:rsid w:val="006F338A"/>
    <w:rsid w:val="006F3A29"/>
    <w:rsid w:val="006F3E49"/>
    <w:rsid w:val="006F408B"/>
    <w:rsid w:val="006F4A84"/>
    <w:rsid w:val="006F54E9"/>
    <w:rsid w:val="006F56A1"/>
    <w:rsid w:val="006F5759"/>
    <w:rsid w:val="006F5800"/>
    <w:rsid w:val="006F5C21"/>
    <w:rsid w:val="006F5E88"/>
    <w:rsid w:val="006F642C"/>
    <w:rsid w:val="006F7D8F"/>
    <w:rsid w:val="00701100"/>
    <w:rsid w:val="007012DC"/>
    <w:rsid w:val="00701517"/>
    <w:rsid w:val="00702427"/>
    <w:rsid w:val="007027FB"/>
    <w:rsid w:val="00702C03"/>
    <w:rsid w:val="00703E39"/>
    <w:rsid w:val="007042D2"/>
    <w:rsid w:val="007054EA"/>
    <w:rsid w:val="00705944"/>
    <w:rsid w:val="007059BD"/>
    <w:rsid w:val="00705BD9"/>
    <w:rsid w:val="00706618"/>
    <w:rsid w:val="007072C9"/>
    <w:rsid w:val="0070746B"/>
    <w:rsid w:val="00710552"/>
    <w:rsid w:val="00710ACD"/>
    <w:rsid w:val="00710B62"/>
    <w:rsid w:val="00710ED7"/>
    <w:rsid w:val="007126E2"/>
    <w:rsid w:val="007127F8"/>
    <w:rsid w:val="007130B6"/>
    <w:rsid w:val="00713C36"/>
    <w:rsid w:val="00713C69"/>
    <w:rsid w:val="00714216"/>
    <w:rsid w:val="00714797"/>
    <w:rsid w:val="00714F14"/>
    <w:rsid w:val="00714FCB"/>
    <w:rsid w:val="00715329"/>
    <w:rsid w:val="007153B0"/>
    <w:rsid w:val="00717005"/>
    <w:rsid w:val="0071703D"/>
    <w:rsid w:val="007179F9"/>
    <w:rsid w:val="00717CB7"/>
    <w:rsid w:val="00720202"/>
    <w:rsid w:val="007204EC"/>
    <w:rsid w:val="00720942"/>
    <w:rsid w:val="00720D3D"/>
    <w:rsid w:val="00721312"/>
    <w:rsid w:val="007215AB"/>
    <w:rsid w:val="007220B8"/>
    <w:rsid w:val="007228F9"/>
    <w:rsid w:val="00722A72"/>
    <w:rsid w:val="00722C5B"/>
    <w:rsid w:val="007233F4"/>
    <w:rsid w:val="00724223"/>
    <w:rsid w:val="0072471E"/>
    <w:rsid w:val="00724824"/>
    <w:rsid w:val="007249FA"/>
    <w:rsid w:val="0072645E"/>
    <w:rsid w:val="00726DE0"/>
    <w:rsid w:val="00727475"/>
    <w:rsid w:val="00730348"/>
    <w:rsid w:val="00730371"/>
    <w:rsid w:val="007305E4"/>
    <w:rsid w:val="00730785"/>
    <w:rsid w:val="007307B1"/>
    <w:rsid w:val="007326B5"/>
    <w:rsid w:val="00732C12"/>
    <w:rsid w:val="00732EAC"/>
    <w:rsid w:val="00734B7A"/>
    <w:rsid w:val="00734CF0"/>
    <w:rsid w:val="00734F6A"/>
    <w:rsid w:val="00735506"/>
    <w:rsid w:val="00736701"/>
    <w:rsid w:val="00736DAC"/>
    <w:rsid w:val="00736F15"/>
    <w:rsid w:val="007375C3"/>
    <w:rsid w:val="00737D16"/>
    <w:rsid w:val="0074047A"/>
    <w:rsid w:val="00740528"/>
    <w:rsid w:val="007405A8"/>
    <w:rsid w:val="00740829"/>
    <w:rsid w:val="007415A6"/>
    <w:rsid w:val="00741725"/>
    <w:rsid w:val="00741F4F"/>
    <w:rsid w:val="00741F57"/>
    <w:rsid w:val="00742518"/>
    <w:rsid w:val="00743521"/>
    <w:rsid w:val="00743F45"/>
    <w:rsid w:val="007446B0"/>
    <w:rsid w:val="00744890"/>
    <w:rsid w:val="00744AD0"/>
    <w:rsid w:val="00745C4F"/>
    <w:rsid w:val="00746262"/>
    <w:rsid w:val="007464ED"/>
    <w:rsid w:val="0074748C"/>
    <w:rsid w:val="007476C0"/>
    <w:rsid w:val="00747A8E"/>
    <w:rsid w:val="007501E5"/>
    <w:rsid w:val="00750746"/>
    <w:rsid w:val="007508A1"/>
    <w:rsid w:val="007509E7"/>
    <w:rsid w:val="00750AF5"/>
    <w:rsid w:val="007519EC"/>
    <w:rsid w:val="00752135"/>
    <w:rsid w:val="0075282B"/>
    <w:rsid w:val="00752C4D"/>
    <w:rsid w:val="00752CE3"/>
    <w:rsid w:val="007533D4"/>
    <w:rsid w:val="007538C3"/>
    <w:rsid w:val="007538E2"/>
    <w:rsid w:val="00753EE1"/>
    <w:rsid w:val="00754002"/>
    <w:rsid w:val="00755222"/>
    <w:rsid w:val="00756AA1"/>
    <w:rsid w:val="00756BCA"/>
    <w:rsid w:val="00756BFD"/>
    <w:rsid w:val="0075757B"/>
    <w:rsid w:val="00757701"/>
    <w:rsid w:val="00757A2E"/>
    <w:rsid w:val="00757B3A"/>
    <w:rsid w:val="00757F30"/>
    <w:rsid w:val="0075FA88"/>
    <w:rsid w:val="0076029F"/>
    <w:rsid w:val="0076040C"/>
    <w:rsid w:val="00760E97"/>
    <w:rsid w:val="00760FBD"/>
    <w:rsid w:val="0076183C"/>
    <w:rsid w:val="00761AF9"/>
    <w:rsid w:val="00761B17"/>
    <w:rsid w:val="007627D1"/>
    <w:rsid w:val="00762A84"/>
    <w:rsid w:val="00762E9A"/>
    <w:rsid w:val="00763428"/>
    <w:rsid w:val="0076347F"/>
    <w:rsid w:val="0076378B"/>
    <w:rsid w:val="00764274"/>
    <w:rsid w:val="00765752"/>
    <w:rsid w:val="00766A66"/>
    <w:rsid w:val="00770D5B"/>
    <w:rsid w:val="00770E62"/>
    <w:rsid w:val="00771719"/>
    <w:rsid w:val="00771F07"/>
    <w:rsid w:val="0077278F"/>
    <w:rsid w:val="007730E8"/>
    <w:rsid w:val="0077360C"/>
    <w:rsid w:val="00773AB9"/>
    <w:rsid w:val="00774DF9"/>
    <w:rsid w:val="007753CC"/>
    <w:rsid w:val="0077543A"/>
    <w:rsid w:val="00775706"/>
    <w:rsid w:val="00775E24"/>
    <w:rsid w:val="00775E2D"/>
    <w:rsid w:val="00777194"/>
    <w:rsid w:val="0077751F"/>
    <w:rsid w:val="007776AA"/>
    <w:rsid w:val="007779D5"/>
    <w:rsid w:val="0078011B"/>
    <w:rsid w:val="00781225"/>
    <w:rsid w:val="007815C2"/>
    <w:rsid w:val="00781AAF"/>
    <w:rsid w:val="00781B1A"/>
    <w:rsid w:val="00781DAF"/>
    <w:rsid w:val="00782302"/>
    <w:rsid w:val="007825D3"/>
    <w:rsid w:val="00782901"/>
    <w:rsid w:val="0078322A"/>
    <w:rsid w:val="007839E0"/>
    <w:rsid w:val="0078461A"/>
    <w:rsid w:val="0078491A"/>
    <w:rsid w:val="0078584B"/>
    <w:rsid w:val="00785958"/>
    <w:rsid w:val="0078601A"/>
    <w:rsid w:val="00786393"/>
    <w:rsid w:val="007869B7"/>
    <w:rsid w:val="007878D6"/>
    <w:rsid w:val="0079012F"/>
    <w:rsid w:val="007901E4"/>
    <w:rsid w:val="00790515"/>
    <w:rsid w:val="007905E5"/>
    <w:rsid w:val="0079079C"/>
    <w:rsid w:val="0079210F"/>
    <w:rsid w:val="00792165"/>
    <w:rsid w:val="00793930"/>
    <w:rsid w:val="00793A30"/>
    <w:rsid w:val="00793E45"/>
    <w:rsid w:val="00793EA9"/>
    <w:rsid w:val="00793EE0"/>
    <w:rsid w:val="00793FBC"/>
    <w:rsid w:val="007940CC"/>
    <w:rsid w:val="0079410C"/>
    <w:rsid w:val="007943A1"/>
    <w:rsid w:val="00795110"/>
    <w:rsid w:val="00795412"/>
    <w:rsid w:val="00795BC8"/>
    <w:rsid w:val="00795DA1"/>
    <w:rsid w:val="00795DB4"/>
    <w:rsid w:val="0079639B"/>
    <w:rsid w:val="00796E0C"/>
    <w:rsid w:val="00797934"/>
    <w:rsid w:val="00797D58"/>
    <w:rsid w:val="007A0011"/>
    <w:rsid w:val="007A0564"/>
    <w:rsid w:val="007A0856"/>
    <w:rsid w:val="007A0C1C"/>
    <w:rsid w:val="007A1119"/>
    <w:rsid w:val="007A1309"/>
    <w:rsid w:val="007A1498"/>
    <w:rsid w:val="007A1A26"/>
    <w:rsid w:val="007A1AA5"/>
    <w:rsid w:val="007A1C30"/>
    <w:rsid w:val="007A22AD"/>
    <w:rsid w:val="007A26EA"/>
    <w:rsid w:val="007A2DBA"/>
    <w:rsid w:val="007A2DFE"/>
    <w:rsid w:val="007A2F37"/>
    <w:rsid w:val="007A3F30"/>
    <w:rsid w:val="007A434F"/>
    <w:rsid w:val="007A50E1"/>
    <w:rsid w:val="007A58CD"/>
    <w:rsid w:val="007A5C42"/>
    <w:rsid w:val="007A6053"/>
    <w:rsid w:val="007A6BE2"/>
    <w:rsid w:val="007A6D6A"/>
    <w:rsid w:val="007A6E03"/>
    <w:rsid w:val="007A7582"/>
    <w:rsid w:val="007A760C"/>
    <w:rsid w:val="007B0732"/>
    <w:rsid w:val="007B2770"/>
    <w:rsid w:val="007B2CFF"/>
    <w:rsid w:val="007B2E78"/>
    <w:rsid w:val="007B3728"/>
    <w:rsid w:val="007B38D1"/>
    <w:rsid w:val="007B3CB0"/>
    <w:rsid w:val="007B3D9E"/>
    <w:rsid w:val="007B47A7"/>
    <w:rsid w:val="007B48F2"/>
    <w:rsid w:val="007B4E8B"/>
    <w:rsid w:val="007B57E5"/>
    <w:rsid w:val="007B5D13"/>
    <w:rsid w:val="007B6207"/>
    <w:rsid w:val="007B7BE3"/>
    <w:rsid w:val="007C0CA5"/>
    <w:rsid w:val="007C0D10"/>
    <w:rsid w:val="007C0F4B"/>
    <w:rsid w:val="007C1513"/>
    <w:rsid w:val="007C1AA8"/>
    <w:rsid w:val="007C2585"/>
    <w:rsid w:val="007C2FFA"/>
    <w:rsid w:val="007C3040"/>
    <w:rsid w:val="007C366C"/>
    <w:rsid w:val="007C36FE"/>
    <w:rsid w:val="007C3705"/>
    <w:rsid w:val="007C3B83"/>
    <w:rsid w:val="007C43B8"/>
    <w:rsid w:val="007C44C0"/>
    <w:rsid w:val="007C4E87"/>
    <w:rsid w:val="007C52DC"/>
    <w:rsid w:val="007C592C"/>
    <w:rsid w:val="007C593D"/>
    <w:rsid w:val="007C5FC6"/>
    <w:rsid w:val="007C69C0"/>
    <w:rsid w:val="007C723E"/>
    <w:rsid w:val="007C7726"/>
    <w:rsid w:val="007C7B92"/>
    <w:rsid w:val="007D06F5"/>
    <w:rsid w:val="007D0B2E"/>
    <w:rsid w:val="007D238D"/>
    <w:rsid w:val="007D25EB"/>
    <w:rsid w:val="007D397A"/>
    <w:rsid w:val="007D3EFB"/>
    <w:rsid w:val="007D469D"/>
    <w:rsid w:val="007D4B8A"/>
    <w:rsid w:val="007D59D2"/>
    <w:rsid w:val="007D61C9"/>
    <w:rsid w:val="007D6457"/>
    <w:rsid w:val="007D6987"/>
    <w:rsid w:val="007D6A05"/>
    <w:rsid w:val="007D6DF5"/>
    <w:rsid w:val="007D7283"/>
    <w:rsid w:val="007D7729"/>
    <w:rsid w:val="007D79BA"/>
    <w:rsid w:val="007E05BD"/>
    <w:rsid w:val="007E129A"/>
    <w:rsid w:val="007E266C"/>
    <w:rsid w:val="007E28C2"/>
    <w:rsid w:val="007E2DF8"/>
    <w:rsid w:val="007E32A7"/>
    <w:rsid w:val="007E377B"/>
    <w:rsid w:val="007E3A96"/>
    <w:rsid w:val="007E4B57"/>
    <w:rsid w:val="007E502C"/>
    <w:rsid w:val="007E5869"/>
    <w:rsid w:val="007E59D0"/>
    <w:rsid w:val="007E5B78"/>
    <w:rsid w:val="007E69CE"/>
    <w:rsid w:val="007E72A5"/>
    <w:rsid w:val="007E7494"/>
    <w:rsid w:val="007F0D9F"/>
    <w:rsid w:val="007F1BD3"/>
    <w:rsid w:val="007F2439"/>
    <w:rsid w:val="007F24A2"/>
    <w:rsid w:val="007F292D"/>
    <w:rsid w:val="007F3144"/>
    <w:rsid w:val="007F34AA"/>
    <w:rsid w:val="007F389C"/>
    <w:rsid w:val="007F437E"/>
    <w:rsid w:val="007F465B"/>
    <w:rsid w:val="007F4847"/>
    <w:rsid w:val="007F4DBD"/>
    <w:rsid w:val="007F5759"/>
    <w:rsid w:val="007F6689"/>
    <w:rsid w:val="007F73D7"/>
    <w:rsid w:val="00800EA2"/>
    <w:rsid w:val="0080117A"/>
    <w:rsid w:val="008016A3"/>
    <w:rsid w:val="00801BA3"/>
    <w:rsid w:val="00802270"/>
    <w:rsid w:val="00802399"/>
    <w:rsid w:val="00802460"/>
    <w:rsid w:val="00803724"/>
    <w:rsid w:val="00803949"/>
    <w:rsid w:val="00804276"/>
    <w:rsid w:val="00804578"/>
    <w:rsid w:val="008059C0"/>
    <w:rsid w:val="00805CC2"/>
    <w:rsid w:val="00806264"/>
    <w:rsid w:val="00806298"/>
    <w:rsid w:val="008062AE"/>
    <w:rsid w:val="008062D2"/>
    <w:rsid w:val="00806568"/>
    <w:rsid w:val="008065F2"/>
    <w:rsid w:val="00806706"/>
    <w:rsid w:val="00806E91"/>
    <w:rsid w:val="00807C2A"/>
    <w:rsid w:val="00807DA5"/>
    <w:rsid w:val="00810007"/>
    <w:rsid w:val="0081021B"/>
    <w:rsid w:val="0081132B"/>
    <w:rsid w:val="00811B9E"/>
    <w:rsid w:val="00811BE3"/>
    <w:rsid w:val="00811FA4"/>
    <w:rsid w:val="008125DC"/>
    <w:rsid w:val="00813191"/>
    <w:rsid w:val="00814136"/>
    <w:rsid w:val="008142EA"/>
    <w:rsid w:val="00814800"/>
    <w:rsid w:val="0081518E"/>
    <w:rsid w:val="00815B54"/>
    <w:rsid w:val="00815DF9"/>
    <w:rsid w:val="0081640F"/>
    <w:rsid w:val="008174A8"/>
    <w:rsid w:val="00817507"/>
    <w:rsid w:val="00817BE9"/>
    <w:rsid w:val="008202C9"/>
    <w:rsid w:val="0082054B"/>
    <w:rsid w:val="0082090B"/>
    <w:rsid w:val="00820B77"/>
    <w:rsid w:val="008210E4"/>
    <w:rsid w:val="00821191"/>
    <w:rsid w:val="00821426"/>
    <w:rsid w:val="00821D24"/>
    <w:rsid w:val="008220AF"/>
    <w:rsid w:val="00822581"/>
    <w:rsid w:val="00822F75"/>
    <w:rsid w:val="0082304A"/>
    <w:rsid w:val="008238D2"/>
    <w:rsid w:val="008239BC"/>
    <w:rsid w:val="0082412A"/>
    <w:rsid w:val="008251A9"/>
    <w:rsid w:val="00825369"/>
    <w:rsid w:val="008258BB"/>
    <w:rsid w:val="0082611D"/>
    <w:rsid w:val="00826589"/>
    <w:rsid w:val="008269DD"/>
    <w:rsid w:val="0082723B"/>
    <w:rsid w:val="0082781A"/>
    <w:rsid w:val="00827BFF"/>
    <w:rsid w:val="00827DD6"/>
    <w:rsid w:val="008300D8"/>
    <w:rsid w:val="0083021E"/>
    <w:rsid w:val="0083037E"/>
    <w:rsid w:val="008303F6"/>
    <w:rsid w:val="0083048E"/>
    <w:rsid w:val="008305C6"/>
    <w:rsid w:val="008305E0"/>
    <w:rsid w:val="00830604"/>
    <w:rsid w:val="008309C1"/>
    <w:rsid w:val="008314B2"/>
    <w:rsid w:val="00832147"/>
    <w:rsid w:val="008324D6"/>
    <w:rsid w:val="008326AA"/>
    <w:rsid w:val="00833992"/>
    <w:rsid w:val="008342C0"/>
    <w:rsid w:val="008354E6"/>
    <w:rsid w:val="008364D1"/>
    <w:rsid w:val="00836552"/>
    <w:rsid w:val="00837178"/>
    <w:rsid w:val="00837CCC"/>
    <w:rsid w:val="00837D4B"/>
    <w:rsid w:val="00837D8D"/>
    <w:rsid w:val="0084088D"/>
    <w:rsid w:val="00841374"/>
    <w:rsid w:val="00841EFB"/>
    <w:rsid w:val="00841F08"/>
    <w:rsid w:val="00842443"/>
    <w:rsid w:val="00842511"/>
    <w:rsid w:val="008429BB"/>
    <w:rsid w:val="00843DA1"/>
    <w:rsid w:val="00844F9F"/>
    <w:rsid w:val="00845B56"/>
    <w:rsid w:val="00845B5B"/>
    <w:rsid w:val="00845C13"/>
    <w:rsid w:val="00845DC0"/>
    <w:rsid w:val="00846920"/>
    <w:rsid w:val="00846ABF"/>
    <w:rsid w:val="008475BE"/>
    <w:rsid w:val="0084763B"/>
    <w:rsid w:val="008478A4"/>
    <w:rsid w:val="00850295"/>
    <w:rsid w:val="00850433"/>
    <w:rsid w:val="00850EF9"/>
    <w:rsid w:val="008516FD"/>
    <w:rsid w:val="008518FB"/>
    <w:rsid w:val="00851CD9"/>
    <w:rsid w:val="00851E46"/>
    <w:rsid w:val="00851E48"/>
    <w:rsid w:val="00851ED0"/>
    <w:rsid w:val="008520AA"/>
    <w:rsid w:val="008522F7"/>
    <w:rsid w:val="00853766"/>
    <w:rsid w:val="008537A7"/>
    <w:rsid w:val="00854772"/>
    <w:rsid w:val="0085482B"/>
    <w:rsid w:val="008569CA"/>
    <w:rsid w:val="00856DA5"/>
    <w:rsid w:val="00857037"/>
    <w:rsid w:val="0085786E"/>
    <w:rsid w:val="00860294"/>
    <w:rsid w:val="008604D3"/>
    <w:rsid w:val="00860901"/>
    <w:rsid w:val="00860A14"/>
    <w:rsid w:val="00860E6B"/>
    <w:rsid w:val="00861B4A"/>
    <w:rsid w:val="0086275A"/>
    <w:rsid w:val="008642FB"/>
    <w:rsid w:val="00866F0A"/>
    <w:rsid w:val="00867698"/>
    <w:rsid w:val="00867E27"/>
    <w:rsid w:val="008705D7"/>
    <w:rsid w:val="00871409"/>
    <w:rsid w:val="00871937"/>
    <w:rsid w:val="008728EC"/>
    <w:rsid w:val="00872AEA"/>
    <w:rsid w:val="00872D6B"/>
    <w:rsid w:val="008735BE"/>
    <w:rsid w:val="00873902"/>
    <w:rsid w:val="008740BC"/>
    <w:rsid w:val="008745F9"/>
    <w:rsid w:val="00874CDF"/>
    <w:rsid w:val="00875A67"/>
    <w:rsid w:val="00875E34"/>
    <w:rsid w:val="008764D3"/>
    <w:rsid w:val="0087687A"/>
    <w:rsid w:val="00876926"/>
    <w:rsid w:val="00876970"/>
    <w:rsid w:val="00876F5F"/>
    <w:rsid w:val="00877680"/>
    <w:rsid w:val="008803CB"/>
    <w:rsid w:val="00880E46"/>
    <w:rsid w:val="00881A45"/>
    <w:rsid w:val="00882C14"/>
    <w:rsid w:val="008831B1"/>
    <w:rsid w:val="00883270"/>
    <w:rsid w:val="008837DC"/>
    <w:rsid w:val="00883FEE"/>
    <w:rsid w:val="00884559"/>
    <w:rsid w:val="008845AC"/>
    <w:rsid w:val="008848A4"/>
    <w:rsid w:val="0088497D"/>
    <w:rsid w:val="00886158"/>
    <w:rsid w:val="0088727C"/>
    <w:rsid w:val="008878F9"/>
    <w:rsid w:val="008879C0"/>
    <w:rsid w:val="00891F52"/>
    <w:rsid w:val="008921B9"/>
    <w:rsid w:val="00892460"/>
    <w:rsid w:val="00892AC5"/>
    <w:rsid w:val="00892B12"/>
    <w:rsid w:val="00892DB9"/>
    <w:rsid w:val="0089319B"/>
    <w:rsid w:val="00893922"/>
    <w:rsid w:val="00893A5E"/>
    <w:rsid w:val="00895307"/>
    <w:rsid w:val="008954E4"/>
    <w:rsid w:val="00895E9A"/>
    <w:rsid w:val="00896859"/>
    <w:rsid w:val="008969A4"/>
    <w:rsid w:val="00896C1D"/>
    <w:rsid w:val="00897009"/>
    <w:rsid w:val="00897D0E"/>
    <w:rsid w:val="008A031B"/>
    <w:rsid w:val="008A06F8"/>
    <w:rsid w:val="008A193B"/>
    <w:rsid w:val="008A1D57"/>
    <w:rsid w:val="008A267B"/>
    <w:rsid w:val="008A2998"/>
    <w:rsid w:val="008A2E29"/>
    <w:rsid w:val="008A3552"/>
    <w:rsid w:val="008A40F0"/>
    <w:rsid w:val="008A458D"/>
    <w:rsid w:val="008A45E4"/>
    <w:rsid w:val="008A5911"/>
    <w:rsid w:val="008A5E24"/>
    <w:rsid w:val="008A633F"/>
    <w:rsid w:val="008A63E8"/>
    <w:rsid w:val="008A764F"/>
    <w:rsid w:val="008A793C"/>
    <w:rsid w:val="008A7943"/>
    <w:rsid w:val="008A798F"/>
    <w:rsid w:val="008A7AA5"/>
    <w:rsid w:val="008B15A8"/>
    <w:rsid w:val="008B1C43"/>
    <w:rsid w:val="008B1E11"/>
    <w:rsid w:val="008B200A"/>
    <w:rsid w:val="008B227F"/>
    <w:rsid w:val="008B3349"/>
    <w:rsid w:val="008B37B3"/>
    <w:rsid w:val="008B3B0B"/>
    <w:rsid w:val="008B3B1B"/>
    <w:rsid w:val="008B3E6D"/>
    <w:rsid w:val="008B41D9"/>
    <w:rsid w:val="008B4774"/>
    <w:rsid w:val="008B4F40"/>
    <w:rsid w:val="008B552C"/>
    <w:rsid w:val="008B558D"/>
    <w:rsid w:val="008B5C4E"/>
    <w:rsid w:val="008B5F7C"/>
    <w:rsid w:val="008B6166"/>
    <w:rsid w:val="008B73BF"/>
    <w:rsid w:val="008B7969"/>
    <w:rsid w:val="008C0D26"/>
    <w:rsid w:val="008C0FD0"/>
    <w:rsid w:val="008C1CF1"/>
    <w:rsid w:val="008C20D3"/>
    <w:rsid w:val="008C21A5"/>
    <w:rsid w:val="008C2491"/>
    <w:rsid w:val="008C2E26"/>
    <w:rsid w:val="008C2EC9"/>
    <w:rsid w:val="008C314A"/>
    <w:rsid w:val="008C35B2"/>
    <w:rsid w:val="008C3CA0"/>
    <w:rsid w:val="008C3E43"/>
    <w:rsid w:val="008C4042"/>
    <w:rsid w:val="008C5108"/>
    <w:rsid w:val="008C560F"/>
    <w:rsid w:val="008C6397"/>
    <w:rsid w:val="008C6578"/>
    <w:rsid w:val="008C6E46"/>
    <w:rsid w:val="008C730E"/>
    <w:rsid w:val="008C76A0"/>
    <w:rsid w:val="008D02A5"/>
    <w:rsid w:val="008D035A"/>
    <w:rsid w:val="008D0985"/>
    <w:rsid w:val="008D1247"/>
    <w:rsid w:val="008D147A"/>
    <w:rsid w:val="008D155A"/>
    <w:rsid w:val="008D2144"/>
    <w:rsid w:val="008D21AD"/>
    <w:rsid w:val="008D2C97"/>
    <w:rsid w:val="008D2D31"/>
    <w:rsid w:val="008D3363"/>
    <w:rsid w:val="008D41A2"/>
    <w:rsid w:val="008D4516"/>
    <w:rsid w:val="008D477F"/>
    <w:rsid w:val="008D56E9"/>
    <w:rsid w:val="008D5BA3"/>
    <w:rsid w:val="008D5C9D"/>
    <w:rsid w:val="008D62AB"/>
    <w:rsid w:val="008D6C51"/>
    <w:rsid w:val="008D7636"/>
    <w:rsid w:val="008D7704"/>
    <w:rsid w:val="008D7A8A"/>
    <w:rsid w:val="008E0152"/>
    <w:rsid w:val="008E01DD"/>
    <w:rsid w:val="008E063F"/>
    <w:rsid w:val="008E06F2"/>
    <w:rsid w:val="008E15B8"/>
    <w:rsid w:val="008E179D"/>
    <w:rsid w:val="008E2DCA"/>
    <w:rsid w:val="008E2FA3"/>
    <w:rsid w:val="008E42A6"/>
    <w:rsid w:val="008E4D18"/>
    <w:rsid w:val="008E5226"/>
    <w:rsid w:val="008E5C01"/>
    <w:rsid w:val="008E6875"/>
    <w:rsid w:val="008E6D10"/>
    <w:rsid w:val="008E6F6E"/>
    <w:rsid w:val="008E77E6"/>
    <w:rsid w:val="008F0653"/>
    <w:rsid w:val="008F0699"/>
    <w:rsid w:val="008F1CD2"/>
    <w:rsid w:val="008F20C7"/>
    <w:rsid w:val="008F20CF"/>
    <w:rsid w:val="008F24D5"/>
    <w:rsid w:val="008F258D"/>
    <w:rsid w:val="008F3086"/>
    <w:rsid w:val="008F4747"/>
    <w:rsid w:val="008F5089"/>
    <w:rsid w:val="008F5CF8"/>
    <w:rsid w:val="008F5DF7"/>
    <w:rsid w:val="008F7BE1"/>
    <w:rsid w:val="0090031A"/>
    <w:rsid w:val="00900BC2"/>
    <w:rsid w:val="00900FF4"/>
    <w:rsid w:val="009019C5"/>
    <w:rsid w:val="009030CB"/>
    <w:rsid w:val="009032E3"/>
    <w:rsid w:val="00903DC7"/>
    <w:rsid w:val="00903FFD"/>
    <w:rsid w:val="0090453C"/>
    <w:rsid w:val="00904743"/>
    <w:rsid w:val="00904DC0"/>
    <w:rsid w:val="0090573D"/>
    <w:rsid w:val="00905CDA"/>
    <w:rsid w:val="009062C7"/>
    <w:rsid w:val="009067DE"/>
    <w:rsid w:val="00906923"/>
    <w:rsid w:val="00907013"/>
    <w:rsid w:val="0090776C"/>
    <w:rsid w:val="0091028D"/>
    <w:rsid w:val="009105D1"/>
    <w:rsid w:val="009114DA"/>
    <w:rsid w:val="00911566"/>
    <w:rsid w:val="00911CE6"/>
    <w:rsid w:val="0091254E"/>
    <w:rsid w:val="0091314A"/>
    <w:rsid w:val="009140A6"/>
    <w:rsid w:val="0091425C"/>
    <w:rsid w:val="00914414"/>
    <w:rsid w:val="009158C4"/>
    <w:rsid w:val="00916003"/>
    <w:rsid w:val="009166C1"/>
    <w:rsid w:val="00916A6F"/>
    <w:rsid w:val="009173A2"/>
    <w:rsid w:val="009174CF"/>
    <w:rsid w:val="00917D37"/>
    <w:rsid w:val="009204CB"/>
    <w:rsid w:val="00920C36"/>
    <w:rsid w:val="00920E8B"/>
    <w:rsid w:val="009212D9"/>
    <w:rsid w:val="009221F7"/>
    <w:rsid w:val="009222DA"/>
    <w:rsid w:val="00924318"/>
    <w:rsid w:val="00924810"/>
    <w:rsid w:val="00924CA2"/>
    <w:rsid w:val="00925192"/>
    <w:rsid w:val="00925D40"/>
    <w:rsid w:val="00926128"/>
    <w:rsid w:val="00926C23"/>
    <w:rsid w:val="00927DAB"/>
    <w:rsid w:val="009301C3"/>
    <w:rsid w:val="009302C4"/>
    <w:rsid w:val="009302D8"/>
    <w:rsid w:val="00930962"/>
    <w:rsid w:val="009312F9"/>
    <w:rsid w:val="00932984"/>
    <w:rsid w:val="00932F12"/>
    <w:rsid w:val="009332A2"/>
    <w:rsid w:val="00933381"/>
    <w:rsid w:val="00933C7D"/>
    <w:rsid w:val="00934E1A"/>
    <w:rsid w:val="0093500E"/>
    <w:rsid w:val="0093529E"/>
    <w:rsid w:val="009352B6"/>
    <w:rsid w:val="009359B1"/>
    <w:rsid w:val="00935CB6"/>
    <w:rsid w:val="00936361"/>
    <w:rsid w:val="00936536"/>
    <w:rsid w:val="00936A56"/>
    <w:rsid w:val="00936FC4"/>
    <w:rsid w:val="009374B5"/>
    <w:rsid w:val="0093751D"/>
    <w:rsid w:val="00940DB9"/>
    <w:rsid w:val="009411D9"/>
    <w:rsid w:val="0094166B"/>
    <w:rsid w:val="00941D0E"/>
    <w:rsid w:val="00941EE4"/>
    <w:rsid w:val="00942803"/>
    <w:rsid w:val="0094314B"/>
    <w:rsid w:val="009436C3"/>
    <w:rsid w:val="00943FAB"/>
    <w:rsid w:val="00944668"/>
    <w:rsid w:val="0094611F"/>
    <w:rsid w:val="00946B6F"/>
    <w:rsid w:val="00946B89"/>
    <w:rsid w:val="00947194"/>
    <w:rsid w:val="00947B03"/>
    <w:rsid w:val="00950037"/>
    <w:rsid w:val="0095069D"/>
    <w:rsid w:val="009506B5"/>
    <w:rsid w:val="00950824"/>
    <w:rsid w:val="00950A07"/>
    <w:rsid w:val="00950E7C"/>
    <w:rsid w:val="00951203"/>
    <w:rsid w:val="0095183F"/>
    <w:rsid w:val="00951A28"/>
    <w:rsid w:val="00952662"/>
    <w:rsid w:val="009528E7"/>
    <w:rsid w:val="00952A3E"/>
    <w:rsid w:val="00952BF6"/>
    <w:rsid w:val="00952DDF"/>
    <w:rsid w:val="00953205"/>
    <w:rsid w:val="00953D84"/>
    <w:rsid w:val="00954150"/>
    <w:rsid w:val="00954A15"/>
    <w:rsid w:val="00955E96"/>
    <w:rsid w:val="0095608E"/>
    <w:rsid w:val="00956100"/>
    <w:rsid w:val="009561A4"/>
    <w:rsid w:val="00956694"/>
    <w:rsid w:val="00957655"/>
    <w:rsid w:val="009608DF"/>
    <w:rsid w:val="00960C65"/>
    <w:rsid w:val="009611A9"/>
    <w:rsid w:val="00961254"/>
    <w:rsid w:val="00961503"/>
    <w:rsid w:val="009623CE"/>
    <w:rsid w:val="00962E2C"/>
    <w:rsid w:val="00963055"/>
    <w:rsid w:val="00963408"/>
    <w:rsid w:val="00963620"/>
    <w:rsid w:val="0096364B"/>
    <w:rsid w:val="00963BDA"/>
    <w:rsid w:val="009641BB"/>
    <w:rsid w:val="009646E8"/>
    <w:rsid w:val="00964BEF"/>
    <w:rsid w:val="00964E50"/>
    <w:rsid w:val="0096513C"/>
    <w:rsid w:val="00965227"/>
    <w:rsid w:val="009655F4"/>
    <w:rsid w:val="00965A37"/>
    <w:rsid w:val="00966608"/>
    <w:rsid w:val="00966987"/>
    <w:rsid w:val="00966C32"/>
    <w:rsid w:val="00966DEA"/>
    <w:rsid w:val="00967106"/>
    <w:rsid w:val="00967125"/>
    <w:rsid w:val="00967242"/>
    <w:rsid w:val="00967DE6"/>
    <w:rsid w:val="0097071D"/>
    <w:rsid w:val="009707AA"/>
    <w:rsid w:val="00970AAD"/>
    <w:rsid w:val="00970F4B"/>
    <w:rsid w:val="009722D0"/>
    <w:rsid w:val="00972BAB"/>
    <w:rsid w:val="00972C91"/>
    <w:rsid w:val="00973BBC"/>
    <w:rsid w:val="009745A4"/>
    <w:rsid w:val="009746F3"/>
    <w:rsid w:val="00974BD0"/>
    <w:rsid w:val="00975220"/>
    <w:rsid w:val="00975538"/>
    <w:rsid w:val="00975539"/>
    <w:rsid w:val="009760D8"/>
    <w:rsid w:val="00977926"/>
    <w:rsid w:val="00977B80"/>
    <w:rsid w:val="0098010E"/>
    <w:rsid w:val="00980804"/>
    <w:rsid w:val="009809BE"/>
    <w:rsid w:val="009809FD"/>
    <w:rsid w:val="0098161A"/>
    <w:rsid w:val="009818FA"/>
    <w:rsid w:val="00981BB9"/>
    <w:rsid w:val="00982675"/>
    <w:rsid w:val="009827FB"/>
    <w:rsid w:val="00982DF8"/>
    <w:rsid w:val="00982E01"/>
    <w:rsid w:val="00983346"/>
    <w:rsid w:val="00983505"/>
    <w:rsid w:val="00983664"/>
    <w:rsid w:val="00983C77"/>
    <w:rsid w:val="00983FF3"/>
    <w:rsid w:val="0098452C"/>
    <w:rsid w:val="0098490C"/>
    <w:rsid w:val="00985395"/>
    <w:rsid w:val="00985594"/>
    <w:rsid w:val="0098644D"/>
    <w:rsid w:val="00986760"/>
    <w:rsid w:val="009867D5"/>
    <w:rsid w:val="00986895"/>
    <w:rsid w:val="00987057"/>
    <w:rsid w:val="009870D2"/>
    <w:rsid w:val="00987612"/>
    <w:rsid w:val="00987630"/>
    <w:rsid w:val="009879DB"/>
    <w:rsid w:val="009904BA"/>
    <w:rsid w:val="00990615"/>
    <w:rsid w:val="00990C30"/>
    <w:rsid w:val="009910A8"/>
    <w:rsid w:val="00991449"/>
    <w:rsid w:val="009917FA"/>
    <w:rsid w:val="00991D96"/>
    <w:rsid w:val="00991EDD"/>
    <w:rsid w:val="0099261F"/>
    <w:rsid w:val="00992821"/>
    <w:rsid w:val="009942E8"/>
    <w:rsid w:val="00994DBA"/>
    <w:rsid w:val="00995287"/>
    <w:rsid w:val="009953BD"/>
    <w:rsid w:val="009959C2"/>
    <w:rsid w:val="00995CA9"/>
    <w:rsid w:val="00996BE7"/>
    <w:rsid w:val="00997415"/>
    <w:rsid w:val="009977C2"/>
    <w:rsid w:val="009A0460"/>
    <w:rsid w:val="009A0611"/>
    <w:rsid w:val="009A163C"/>
    <w:rsid w:val="009A1C08"/>
    <w:rsid w:val="009A26B2"/>
    <w:rsid w:val="009A3991"/>
    <w:rsid w:val="009A3A3F"/>
    <w:rsid w:val="009A4039"/>
    <w:rsid w:val="009A4BF7"/>
    <w:rsid w:val="009A5580"/>
    <w:rsid w:val="009A5B42"/>
    <w:rsid w:val="009A5FB1"/>
    <w:rsid w:val="009A7415"/>
    <w:rsid w:val="009A7852"/>
    <w:rsid w:val="009A7CDD"/>
    <w:rsid w:val="009A7D63"/>
    <w:rsid w:val="009A7DF7"/>
    <w:rsid w:val="009A7EF0"/>
    <w:rsid w:val="009B00BA"/>
    <w:rsid w:val="009B01B9"/>
    <w:rsid w:val="009B0846"/>
    <w:rsid w:val="009B09CE"/>
    <w:rsid w:val="009B0C36"/>
    <w:rsid w:val="009B0F56"/>
    <w:rsid w:val="009B12A5"/>
    <w:rsid w:val="009B1F27"/>
    <w:rsid w:val="009B2A03"/>
    <w:rsid w:val="009B2EE5"/>
    <w:rsid w:val="009B357E"/>
    <w:rsid w:val="009B383B"/>
    <w:rsid w:val="009B44E8"/>
    <w:rsid w:val="009B4E14"/>
    <w:rsid w:val="009B4F04"/>
    <w:rsid w:val="009B55B7"/>
    <w:rsid w:val="009B60D8"/>
    <w:rsid w:val="009B7226"/>
    <w:rsid w:val="009C0416"/>
    <w:rsid w:val="009C1BB3"/>
    <w:rsid w:val="009C1DBD"/>
    <w:rsid w:val="009C2C1F"/>
    <w:rsid w:val="009C31F0"/>
    <w:rsid w:val="009C3346"/>
    <w:rsid w:val="009C344B"/>
    <w:rsid w:val="009C3A27"/>
    <w:rsid w:val="009C5400"/>
    <w:rsid w:val="009C595A"/>
    <w:rsid w:val="009C6172"/>
    <w:rsid w:val="009C62C5"/>
    <w:rsid w:val="009C655A"/>
    <w:rsid w:val="009C6D7F"/>
    <w:rsid w:val="009C6E6D"/>
    <w:rsid w:val="009C6FB2"/>
    <w:rsid w:val="009C762B"/>
    <w:rsid w:val="009D014A"/>
    <w:rsid w:val="009D01E5"/>
    <w:rsid w:val="009D0377"/>
    <w:rsid w:val="009D0733"/>
    <w:rsid w:val="009D17B1"/>
    <w:rsid w:val="009D1DB6"/>
    <w:rsid w:val="009D2AC0"/>
    <w:rsid w:val="009D2DD6"/>
    <w:rsid w:val="009D3982"/>
    <w:rsid w:val="009D3F74"/>
    <w:rsid w:val="009D416E"/>
    <w:rsid w:val="009D47FF"/>
    <w:rsid w:val="009D55E8"/>
    <w:rsid w:val="009D5AF9"/>
    <w:rsid w:val="009D5ED9"/>
    <w:rsid w:val="009D6E10"/>
    <w:rsid w:val="009D73B2"/>
    <w:rsid w:val="009D7F92"/>
    <w:rsid w:val="009E27F0"/>
    <w:rsid w:val="009E39F7"/>
    <w:rsid w:val="009E3F2B"/>
    <w:rsid w:val="009E47A0"/>
    <w:rsid w:val="009E4F00"/>
    <w:rsid w:val="009E54B0"/>
    <w:rsid w:val="009E5701"/>
    <w:rsid w:val="009E6234"/>
    <w:rsid w:val="009E7113"/>
    <w:rsid w:val="009E72E3"/>
    <w:rsid w:val="009E745B"/>
    <w:rsid w:val="009E7506"/>
    <w:rsid w:val="009E7639"/>
    <w:rsid w:val="009E77E8"/>
    <w:rsid w:val="009F0C6E"/>
    <w:rsid w:val="009F1373"/>
    <w:rsid w:val="009F2068"/>
    <w:rsid w:val="009F28C1"/>
    <w:rsid w:val="009F2905"/>
    <w:rsid w:val="009F31D5"/>
    <w:rsid w:val="009F32BC"/>
    <w:rsid w:val="009F4395"/>
    <w:rsid w:val="009F44B8"/>
    <w:rsid w:val="009F557F"/>
    <w:rsid w:val="009F5A2E"/>
    <w:rsid w:val="009F7239"/>
    <w:rsid w:val="009F73EE"/>
    <w:rsid w:val="009F74FB"/>
    <w:rsid w:val="009F7957"/>
    <w:rsid w:val="009F7A20"/>
    <w:rsid w:val="00A0054D"/>
    <w:rsid w:val="00A00A7F"/>
    <w:rsid w:val="00A01936"/>
    <w:rsid w:val="00A0281F"/>
    <w:rsid w:val="00A02ECC"/>
    <w:rsid w:val="00A02F47"/>
    <w:rsid w:val="00A02F4A"/>
    <w:rsid w:val="00A036DF"/>
    <w:rsid w:val="00A05445"/>
    <w:rsid w:val="00A05A86"/>
    <w:rsid w:val="00A05D72"/>
    <w:rsid w:val="00A0622E"/>
    <w:rsid w:val="00A065F2"/>
    <w:rsid w:val="00A074B8"/>
    <w:rsid w:val="00A07658"/>
    <w:rsid w:val="00A07839"/>
    <w:rsid w:val="00A07E4E"/>
    <w:rsid w:val="00A07FCA"/>
    <w:rsid w:val="00A10334"/>
    <w:rsid w:val="00A1102A"/>
    <w:rsid w:val="00A11122"/>
    <w:rsid w:val="00A11ABD"/>
    <w:rsid w:val="00A11C81"/>
    <w:rsid w:val="00A11CA4"/>
    <w:rsid w:val="00A12D1B"/>
    <w:rsid w:val="00A13123"/>
    <w:rsid w:val="00A13133"/>
    <w:rsid w:val="00A1348E"/>
    <w:rsid w:val="00A1457C"/>
    <w:rsid w:val="00A1469A"/>
    <w:rsid w:val="00A1473C"/>
    <w:rsid w:val="00A148C2"/>
    <w:rsid w:val="00A15BD0"/>
    <w:rsid w:val="00A15D44"/>
    <w:rsid w:val="00A163D8"/>
    <w:rsid w:val="00A165CF"/>
    <w:rsid w:val="00A16782"/>
    <w:rsid w:val="00A16D05"/>
    <w:rsid w:val="00A16EE6"/>
    <w:rsid w:val="00A174FB"/>
    <w:rsid w:val="00A1775C"/>
    <w:rsid w:val="00A177F9"/>
    <w:rsid w:val="00A17E7D"/>
    <w:rsid w:val="00A201F2"/>
    <w:rsid w:val="00A207C2"/>
    <w:rsid w:val="00A21BCA"/>
    <w:rsid w:val="00A21E43"/>
    <w:rsid w:val="00A22632"/>
    <w:rsid w:val="00A23CB7"/>
    <w:rsid w:val="00A23EC3"/>
    <w:rsid w:val="00A245CE"/>
    <w:rsid w:val="00A2470E"/>
    <w:rsid w:val="00A24D9A"/>
    <w:rsid w:val="00A24E3D"/>
    <w:rsid w:val="00A2548B"/>
    <w:rsid w:val="00A25B0A"/>
    <w:rsid w:val="00A2706B"/>
    <w:rsid w:val="00A272FA"/>
    <w:rsid w:val="00A27457"/>
    <w:rsid w:val="00A274B1"/>
    <w:rsid w:val="00A27569"/>
    <w:rsid w:val="00A3099F"/>
    <w:rsid w:val="00A30EB3"/>
    <w:rsid w:val="00A3131A"/>
    <w:rsid w:val="00A31C6B"/>
    <w:rsid w:val="00A3201D"/>
    <w:rsid w:val="00A32270"/>
    <w:rsid w:val="00A323A8"/>
    <w:rsid w:val="00A3243F"/>
    <w:rsid w:val="00A3265F"/>
    <w:rsid w:val="00A328FB"/>
    <w:rsid w:val="00A329FF"/>
    <w:rsid w:val="00A338A5"/>
    <w:rsid w:val="00A33AAC"/>
    <w:rsid w:val="00A341EB"/>
    <w:rsid w:val="00A34698"/>
    <w:rsid w:val="00A3494F"/>
    <w:rsid w:val="00A34D5B"/>
    <w:rsid w:val="00A35389"/>
    <w:rsid w:val="00A36575"/>
    <w:rsid w:val="00A37479"/>
    <w:rsid w:val="00A37BC9"/>
    <w:rsid w:val="00A37FD5"/>
    <w:rsid w:val="00A4080F"/>
    <w:rsid w:val="00A419E3"/>
    <w:rsid w:val="00A428B0"/>
    <w:rsid w:val="00A42BB3"/>
    <w:rsid w:val="00A42EF3"/>
    <w:rsid w:val="00A431B7"/>
    <w:rsid w:val="00A43953"/>
    <w:rsid w:val="00A4395F"/>
    <w:rsid w:val="00A44574"/>
    <w:rsid w:val="00A44A45"/>
    <w:rsid w:val="00A44A55"/>
    <w:rsid w:val="00A44A7B"/>
    <w:rsid w:val="00A52047"/>
    <w:rsid w:val="00A521B2"/>
    <w:rsid w:val="00A526F9"/>
    <w:rsid w:val="00A5299D"/>
    <w:rsid w:val="00A53100"/>
    <w:rsid w:val="00A53A2B"/>
    <w:rsid w:val="00A53A81"/>
    <w:rsid w:val="00A53E9B"/>
    <w:rsid w:val="00A54389"/>
    <w:rsid w:val="00A54399"/>
    <w:rsid w:val="00A54807"/>
    <w:rsid w:val="00A54B0B"/>
    <w:rsid w:val="00A5529C"/>
    <w:rsid w:val="00A558AD"/>
    <w:rsid w:val="00A55937"/>
    <w:rsid w:val="00A559D3"/>
    <w:rsid w:val="00A55C40"/>
    <w:rsid w:val="00A56B1D"/>
    <w:rsid w:val="00A57192"/>
    <w:rsid w:val="00A57232"/>
    <w:rsid w:val="00A57AD8"/>
    <w:rsid w:val="00A57B33"/>
    <w:rsid w:val="00A57F41"/>
    <w:rsid w:val="00A60545"/>
    <w:rsid w:val="00A61112"/>
    <w:rsid w:val="00A62518"/>
    <w:rsid w:val="00A627B8"/>
    <w:rsid w:val="00A62CE2"/>
    <w:rsid w:val="00A62EEE"/>
    <w:rsid w:val="00A63122"/>
    <w:rsid w:val="00A63587"/>
    <w:rsid w:val="00A638EB"/>
    <w:rsid w:val="00A63FB3"/>
    <w:rsid w:val="00A6514E"/>
    <w:rsid w:val="00A65DE7"/>
    <w:rsid w:val="00A65FE2"/>
    <w:rsid w:val="00A662A8"/>
    <w:rsid w:val="00A672BC"/>
    <w:rsid w:val="00A676B2"/>
    <w:rsid w:val="00A67C1B"/>
    <w:rsid w:val="00A67C9F"/>
    <w:rsid w:val="00A700E5"/>
    <w:rsid w:val="00A70F54"/>
    <w:rsid w:val="00A71248"/>
    <w:rsid w:val="00A715B7"/>
    <w:rsid w:val="00A72474"/>
    <w:rsid w:val="00A724D1"/>
    <w:rsid w:val="00A75D66"/>
    <w:rsid w:val="00A76C67"/>
    <w:rsid w:val="00A77496"/>
    <w:rsid w:val="00A77542"/>
    <w:rsid w:val="00A776A8"/>
    <w:rsid w:val="00A777EA"/>
    <w:rsid w:val="00A779A9"/>
    <w:rsid w:val="00A77C18"/>
    <w:rsid w:val="00A77DC0"/>
    <w:rsid w:val="00A80615"/>
    <w:rsid w:val="00A80831"/>
    <w:rsid w:val="00A80EE0"/>
    <w:rsid w:val="00A82A5D"/>
    <w:rsid w:val="00A83356"/>
    <w:rsid w:val="00A8378D"/>
    <w:rsid w:val="00A83DA4"/>
    <w:rsid w:val="00A84173"/>
    <w:rsid w:val="00A84424"/>
    <w:rsid w:val="00A8450F"/>
    <w:rsid w:val="00A84732"/>
    <w:rsid w:val="00A84953"/>
    <w:rsid w:val="00A849CE"/>
    <w:rsid w:val="00A84A8B"/>
    <w:rsid w:val="00A856E0"/>
    <w:rsid w:val="00A857DC"/>
    <w:rsid w:val="00A85C14"/>
    <w:rsid w:val="00A8679F"/>
    <w:rsid w:val="00A86A09"/>
    <w:rsid w:val="00A874DB"/>
    <w:rsid w:val="00A8763F"/>
    <w:rsid w:val="00A876DE"/>
    <w:rsid w:val="00A878D0"/>
    <w:rsid w:val="00A8791D"/>
    <w:rsid w:val="00A90198"/>
    <w:rsid w:val="00A90C58"/>
    <w:rsid w:val="00A90FE6"/>
    <w:rsid w:val="00A91A65"/>
    <w:rsid w:val="00A92474"/>
    <w:rsid w:val="00A92AB2"/>
    <w:rsid w:val="00A92B49"/>
    <w:rsid w:val="00A92B82"/>
    <w:rsid w:val="00A93178"/>
    <w:rsid w:val="00A93640"/>
    <w:rsid w:val="00A93870"/>
    <w:rsid w:val="00A93B67"/>
    <w:rsid w:val="00A93D3F"/>
    <w:rsid w:val="00A941E3"/>
    <w:rsid w:val="00A9477D"/>
    <w:rsid w:val="00A94A91"/>
    <w:rsid w:val="00A95295"/>
    <w:rsid w:val="00A954D2"/>
    <w:rsid w:val="00A95619"/>
    <w:rsid w:val="00A95BD4"/>
    <w:rsid w:val="00A96591"/>
    <w:rsid w:val="00A96692"/>
    <w:rsid w:val="00A96D2B"/>
    <w:rsid w:val="00A9709E"/>
    <w:rsid w:val="00A974EF"/>
    <w:rsid w:val="00A97AB9"/>
    <w:rsid w:val="00A97B41"/>
    <w:rsid w:val="00AA089D"/>
    <w:rsid w:val="00AA0FCB"/>
    <w:rsid w:val="00AA138B"/>
    <w:rsid w:val="00AA186E"/>
    <w:rsid w:val="00AA188D"/>
    <w:rsid w:val="00AA1BCF"/>
    <w:rsid w:val="00AA26B3"/>
    <w:rsid w:val="00AA2D0D"/>
    <w:rsid w:val="00AA318F"/>
    <w:rsid w:val="00AA3300"/>
    <w:rsid w:val="00AA3771"/>
    <w:rsid w:val="00AA4D96"/>
    <w:rsid w:val="00AA62E7"/>
    <w:rsid w:val="00AA7399"/>
    <w:rsid w:val="00AB1535"/>
    <w:rsid w:val="00AB1779"/>
    <w:rsid w:val="00AB25D1"/>
    <w:rsid w:val="00AB2AA5"/>
    <w:rsid w:val="00AB2E31"/>
    <w:rsid w:val="00AB32A1"/>
    <w:rsid w:val="00AB35A3"/>
    <w:rsid w:val="00AB3707"/>
    <w:rsid w:val="00AB37D6"/>
    <w:rsid w:val="00AB3DDD"/>
    <w:rsid w:val="00AB492F"/>
    <w:rsid w:val="00AB4CA6"/>
    <w:rsid w:val="00AB4F42"/>
    <w:rsid w:val="00AB5360"/>
    <w:rsid w:val="00AB58CD"/>
    <w:rsid w:val="00AB5E2C"/>
    <w:rsid w:val="00AB5EB8"/>
    <w:rsid w:val="00AB62AC"/>
    <w:rsid w:val="00AB6944"/>
    <w:rsid w:val="00AB6C90"/>
    <w:rsid w:val="00AB700E"/>
    <w:rsid w:val="00AB7C25"/>
    <w:rsid w:val="00AB7DFE"/>
    <w:rsid w:val="00AC00F8"/>
    <w:rsid w:val="00AC0B44"/>
    <w:rsid w:val="00AC2390"/>
    <w:rsid w:val="00AC2572"/>
    <w:rsid w:val="00AC3204"/>
    <w:rsid w:val="00AC396D"/>
    <w:rsid w:val="00AC4DEC"/>
    <w:rsid w:val="00AC53EE"/>
    <w:rsid w:val="00AC5B8F"/>
    <w:rsid w:val="00AC5E45"/>
    <w:rsid w:val="00AC6800"/>
    <w:rsid w:val="00AC6B07"/>
    <w:rsid w:val="00AC6B73"/>
    <w:rsid w:val="00AC6D26"/>
    <w:rsid w:val="00AC6FA8"/>
    <w:rsid w:val="00AC7A21"/>
    <w:rsid w:val="00AC7B8C"/>
    <w:rsid w:val="00AC7D31"/>
    <w:rsid w:val="00AD0849"/>
    <w:rsid w:val="00AD1018"/>
    <w:rsid w:val="00AD1046"/>
    <w:rsid w:val="00AD16B9"/>
    <w:rsid w:val="00AD1EDF"/>
    <w:rsid w:val="00AD27AE"/>
    <w:rsid w:val="00AD308B"/>
    <w:rsid w:val="00AD35E5"/>
    <w:rsid w:val="00AD3AFD"/>
    <w:rsid w:val="00AD3CE3"/>
    <w:rsid w:val="00AD4092"/>
    <w:rsid w:val="00AD41F7"/>
    <w:rsid w:val="00AD6381"/>
    <w:rsid w:val="00AD6733"/>
    <w:rsid w:val="00AD7194"/>
    <w:rsid w:val="00AD73B0"/>
    <w:rsid w:val="00AD763C"/>
    <w:rsid w:val="00AD772C"/>
    <w:rsid w:val="00AD7D09"/>
    <w:rsid w:val="00AE0B4E"/>
    <w:rsid w:val="00AE25F8"/>
    <w:rsid w:val="00AE317A"/>
    <w:rsid w:val="00AE3192"/>
    <w:rsid w:val="00AE3847"/>
    <w:rsid w:val="00AE431A"/>
    <w:rsid w:val="00AE4746"/>
    <w:rsid w:val="00AE4AEE"/>
    <w:rsid w:val="00AE4E03"/>
    <w:rsid w:val="00AE5584"/>
    <w:rsid w:val="00AE57EA"/>
    <w:rsid w:val="00AE5F1F"/>
    <w:rsid w:val="00AE641D"/>
    <w:rsid w:val="00AE64D7"/>
    <w:rsid w:val="00AE67BA"/>
    <w:rsid w:val="00AE6C29"/>
    <w:rsid w:val="00AE6F7B"/>
    <w:rsid w:val="00AE6FBB"/>
    <w:rsid w:val="00AE7356"/>
    <w:rsid w:val="00AE7A72"/>
    <w:rsid w:val="00AF12BB"/>
    <w:rsid w:val="00AF15B3"/>
    <w:rsid w:val="00AF1A50"/>
    <w:rsid w:val="00AF1F8C"/>
    <w:rsid w:val="00AF1FDA"/>
    <w:rsid w:val="00AF2A31"/>
    <w:rsid w:val="00AF2C64"/>
    <w:rsid w:val="00AF2EFA"/>
    <w:rsid w:val="00AF3D2A"/>
    <w:rsid w:val="00AF3DBE"/>
    <w:rsid w:val="00AF3EC6"/>
    <w:rsid w:val="00AF4DAB"/>
    <w:rsid w:val="00AF5752"/>
    <w:rsid w:val="00AF5F41"/>
    <w:rsid w:val="00AF62B1"/>
    <w:rsid w:val="00AF6812"/>
    <w:rsid w:val="00AF6DC3"/>
    <w:rsid w:val="00AF793D"/>
    <w:rsid w:val="00B00208"/>
    <w:rsid w:val="00B00353"/>
    <w:rsid w:val="00B006A8"/>
    <w:rsid w:val="00B01819"/>
    <w:rsid w:val="00B01D06"/>
    <w:rsid w:val="00B01EC8"/>
    <w:rsid w:val="00B033DB"/>
    <w:rsid w:val="00B035A4"/>
    <w:rsid w:val="00B03728"/>
    <w:rsid w:val="00B0372A"/>
    <w:rsid w:val="00B03CD8"/>
    <w:rsid w:val="00B046C3"/>
    <w:rsid w:val="00B04717"/>
    <w:rsid w:val="00B047BD"/>
    <w:rsid w:val="00B04996"/>
    <w:rsid w:val="00B04DB1"/>
    <w:rsid w:val="00B05337"/>
    <w:rsid w:val="00B055C5"/>
    <w:rsid w:val="00B057E7"/>
    <w:rsid w:val="00B06153"/>
    <w:rsid w:val="00B068DB"/>
    <w:rsid w:val="00B10E6C"/>
    <w:rsid w:val="00B1122D"/>
    <w:rsid w:val="00B11730"/>
    <w:rsid w:val="00B12019"/>
    <w:rsid w:val="00B12432"/>
    <w:rsid w:val="00B12D82"/>
    <w:rsid w:val="00B13182"/>
    <w:rsid w:val="00B13575"/>
    <w:rsid w:val="00B13833"/>
    <w:rsid w:val="00B13FCD"/>
    <w:rsid w:val="00B142DC"/>
    <w:rsid w:val="00B1460B"/>
    <w:rsid w:val="00B14727"/>
    <w:rsid w:val="00B15659"/>
    <w:rsid w:val="00B162F1"/>
    <w:rsid w:val="00B17138"/>
    <w:rsid w:val="00B176C3"/>
    <w:rsid w:val="00B17DDD"/>
    <w:rsid w:val="00B2094D"/>
    <w:rsid w:val="00B20ACD"/>
    <w:rsid w:val="00B20DF7"/>
    <w:rsid w:val="00B215B0"/>
    <w:rsid w:val="00B21D94"/>
    <w:rsid w:val="00B22538"/>
    <w:rsid w:val="00B2267A"/>
    <w:rsid w:val="00B22EED"/>
    <w:rsid w:val="00B23F3B"/>
    <w:rsid w:val="00B243DD"/>
    <w:rsid w:val="00B247D2"/>
    <w:rsid w:val="00B24AB5"/>
    <w:rsid w:val="00B24E0E"/>
    <w:rsid w:val="00B25AD6"/>
    <w:rsid w:val="00B25AFF"/>
    <w:rsid w:val="00B26C1F"/>
    <w:rsid w:val="00B26C6E"/>
    <w:rsid w:val="00B26EF7"/>
    <w:rsid w:val="00B27044"/>
    <w:rsid w:val="00B2716A"/>
    <w:rsid w:val="00B27732"/>
    <w:rsid w:val="00B301E6"/>
    <w:rsid w:val="00B30CA7"/>
    <w:rsid w:val="00B30DAA"/>
    <w:rsid w:val="00B30FB5"/>
    <w:rsid w:val="00B3251E"/>
    <w:rsid w:val="00B32622"/>
    <w:rsid w:val="00B326A2"/>
    <w:rsid w:val="00B33905"/>
    <w:rsid w:val="00B33947"/>
    <w:rsid w:val="00B33E4B"/>
    <w:rsid w:val="00B343E7"/>
    <w:rsid w:val="00B34A15"/>
    <w:rsid w:val="00B34C73"/>
    <w:rsid w:val="00B34F17"/>
    <w:rsid w:val="00B352A5"/>
    <w:rsid w:val="00B35F13"/>
    <w:rsid w:val="00B3717C"/>
    <w:rsid w:val="00B4031E"/>
    <w:rsid w:val="00B407C3"/>
    <w:rsid w:val="00B41FA3"/>
    <w:rsid w:val="00B4212B"/>
    <w:rsid w:val="00B42EA2"/>
    <w:rsid w:val="00B4447D"/>
    <w:rsid w:val="00B4503B"/>
    <w:rsid w:val="00B45631"/>
    <w:rsid w:val="00B45951"/>
    <w:rsid w:val="00B45BCE"/>
    <w:rsid w:val="00B463C2"/>
    <w:rsid w:val="00B479D9"/>
    <w:rsid w:val="00B501C1"/>
    <w:rsid w:val="00B5034B"/>
    <w:rsid w:val="00B506C3"/>
    <w:rsid w:val="00B507E4"/>
    <w:rsid w:val="00B50CF8"/>
    <w:rsid w:val="00B50D0E"/>
    <w:rsid w:val="00B50F68"/>
    <w:rsid w:val="00B51663"/>
    <w:rsid w:val="00B51716"/>
    <w:rsid w:val="00B51AAB"/>
    <w:rsid w:val="00B51BE6"/>
    <w:rsid w:val="00B52897"/>
    <w:rsid w:val="00B531E2"/>
    <w:rsid w:val="00B53854"/>
    <w:rsid w:val="00B563C5"/>
    <w:rsid w:val="00B56A09"/>
    <w:rsid w:val="00B56A84"/>
    <w:rsid w:val="00B56DB8"/>
    <w:rsid w:val="00B57100"/>
    <w:rsid w:val="00B57532"/>
    <w:rsid w:val="00B57BE5"/>
    <w:rsid w:val="00B60A53"/>
    <w:rsid w:val="00B60BED"/>
    <w:rsid w:val="00B612D9"/>
    <w:rsid w:val="00B613C6"/>
    <w:rsid w:val="00B6183A"/>
    <w:rsid w:val="00B62AFC"/>
    <w:rsid w:val="00B630A3"/>
    <w:rsid w:val="00B631C6"/>
    <w:rsid w:val="00B6419C"/>
    <w:rsid w:val="00B644E7"/>
    <w:rsid w:val="00B645C0"/>
    <w:rsid w:val="00B647D5"/>
    <w:rsid w:val="00B6487A"/>
    <w:rsid w:val="00B64F26"/>
    <w:rsid w:val="00B64F51"/>
    <w:rsid w:val="00B660B6"/>
    <w:rsid w:val="00B665BC"/>
    <w:rsid w:val="00B66CC0"/>
    <w:rsid w:val="00B66FDC"/>
    <w:rsid w:val="00B67153"/>
    <w:rsid w:val="00B6749D"/>
    <w:rsid w:val="00B67D93"/>
    <w:rsid w:val="00B7056C"/>
    <w:rsid w:val="00B71B46"/>
    <w:rsid w:val="00B720E1"/>
    <w:rsid w:val="00B727D5"/>
    <w:rsid w:val="00B72E0A"/>
    <w:rsid w:val="00B733FC"/>
    <w:rsid w:val="00B73E5F"/>
    <w:rsid w:val="00B73F12"/>
    <w:rsid w:val="00B74171"/>
    <w:rsid w:val="00B7486C"/>
    <w:rsid w:val="00B74E48"/>
    <w:rsid w:val="00B7505F"/>
    <w:rsid w:val="00B751C2"/>
    <w:rsid w:val="00B75B37"/>
    <w:rsid w:val="00B765CF"/>
    <w:rsid w:val="00B76E94"/>
    <w:rsid w:val="00B76FA2"/>
    <w:rsid w:val="00B77237"/>
    <w:rsid w:val="00B77D2A"/>
    <w:rsid w:val="00B8095D"/>
    <w:rsid w:val="00B82655"/>
    <w:rsid w:val="00B83B07"/>
    <w:rsid w:val="00B83EC7"/>
    <w:rsid w:val="00B84168"/>
    <w:rsid w:val="00B841C2"/>
    <w:rsid w:val="00B84CB9"/>
    <w:rsid w:val="00B85146"/>
    <w:rsid w:val="00B85687"/>
    <w:rsid w:val="00B858A1"/>
    <w:rsid w:val="00B86F99"/>
    <w:rsid w:val="00B87734"/>
    <w:rsid w:val="00B87C75"/>
    <w:rsid w:val="00B87D15"/>
    <w:rsid w:val="00B87DF6"/>
    <w:rsid w:val="00B9038D"/>
    <w:rsid w:val="00B9046F"/>
    <w:rsid w:val="00B90665"/>
    <w:rsid w:val="00B9131F"/>
    <w:rsid w:val="00B91336"/>
    <w:rsid w:val="00B914D8"/>
    <w:rsid w:val="00B91A2E"/>
    <w:rsid w:val="00B91D69"/>
    <w:rsid w:val="00B92056"/>
    <w:rsid w:val="00B922B7"/>
    <w:rsid w:val="00B9282F"/>
    <w:rsid w:val="00B92F86"/>
    <w:rsid w:val="00B9386B"/>
    <w:rsid w:val="00B94470"/>
    <w:rsid w:val="00B9497E"/>
    <w:rsid w:val="00B94BCA"/>
    <w:rsid w:val="00B94CA8"/>
    <w:rsid w:val="00B94D05"/>
    <w:rsid w:val="00B96275"/>
    <w:rsid w:val="00B969BE"/>
    <w:rsid w:val="00BA0276"/>
    <w:rsid w:val="00BA03A5"/>
    <w:rsid w:val="00BA1122"/>
    <w:rsid w:val="00BA1592"/>
    <w:rsid w:val="00BA2241"/>
    <w:rsid w:val="00BA2E75"/>
    <w:rsid w:val="00BA3210"/>
    <w:rsid w:val="00BA388A"/>
    <w:rsid w:val="00BA3D1D"/>
    <w:rsid w:val="00BA4307"/>
    <w:rsid w:val="00BA4579"/>
    <w:rsid w:val="00BA48C3"/>
    <w:rsid w:val="00BA533A"/>
    <w:rsid w:val="00BA5ADE"/>
    <w:rsid w:val="00BA5B6C"/>
    <w:rsid w:val="00BA5F9C"/>
    <w:rsid w:val="00BB096F"/>
    <w:rsid w:val="00BB12BA"/>
    <w:rsid w:val="00BB1A7A"/>
    <w:rsid w:val="00BB1B20"/>
    <w:rsid w:val="00BB1B99"/>
    <w:rsid w:val="00BB2382"/>
    <w:rsid w:val="00BB2587"/>
    <w:rsid w:val="00BB25B2"/>
    <w:rsid w:val="00BB2786"/>
    <w:rsid w:val="00BB34DE"/>
    <w:rsid w:val="00BB3975"/>
    <w:rsid w:val="00BB428F"/>
    <w:rsid w:val="00BB5A06"/>
    <w:rsid w:val="00BB7CEE"/>
    <w:rsid w:val="00BC005B"/>
    <w:rsid w:val="00BC0352"/>
    <w:rsid w:val="00BC0547"/>
    <w:rsid w:val="00BC0821"/>
    <w:rsid w:val="00BC0B83"/>
    <w:rsid w:val="00BC0CBF"/>
    <w:rsid w:val="00BC0CF8"/>
    <w:rsid w:val="00BC13FF"/>
    <w:rsid w:val="00BC198E"/>
    <w:rsid w:val="00BC2BC5"/>
    <w:rsid w:val="00BC320E"/>
    <w:rsid w:val="00BC39F6"/>
    <w:rsid w:val="00BC42DA"/>
    <w:rsid w:val="00BC481D"/>
    <w:rsid w:val="00BC53AD"/>
    <w:rsid w:val="00BC59A4"/>
    <w:rsid w:val="00BC5EED"/>
    <w:rsid w:val="00BC5F42"/>
    <w:rsid w:val="00BC6A8D"/>
    <w:rsid w:val="00BD014C"/>
    <w:rsid w:val="00BD0797"/>
    <w:rsid w:val="00BD1490"/>
    <w:rsid w:val="00BD1649"/>
    <w:rsid w:val="00BD1A48"/>
    <w:rsid w:val="00BD1E1A"/>
    <w:rsid w:val="00BD2040"/>
    <w:rsid w:val="00BD2724"/>
    <w:rsid w:val="00BD2DA9"/>
    <w:rsid w:val="00BD402F"/>
    <w:rsid w:val="00BD4447"/>
    <w:rsid w:val="00BD4700"/>
    <w:rsid w:val="00BD4947"/>
    <w:rsid w:val="00BD54AE"/>
    <w:rsid w:val="00BD5B89"/>
    <w:rsid w:val="00BD6B36"/>
    <w:rsid w:val="00BD6E0B"/>
    <w:rsid w:val="00BD7A83"/>
    <w:rsid w:val="00BD7C23"/>
    <w:rsid w:val="00BD7DF2"/>
    <w:rsid w:val="00BE0D3A"/>
    <w:rsid w:val="00BE0DD5"/>
    <w:rsid w:val="00BE24B4"/>
    <w:rsid w:val="00BE3943"/>
    <w:rsid w:val="00BE3A8D"/>
    <w:rsid w:val="00BE4102"/>
    <w:rsid w:val="00BE4625"/>
    <w:rsid w:val="00BE4656"/>
    <w:rsid w:val="00BE4BD8"/>
    <w:rsid w:val="00BE4D84"/>
    <w:rsid w:val="00BE509E"/>
    <w:rsid w:val="00BE5573"/>
    <w:rsid w:val="00BE5686"/>
    <w:rsid w:val="00BE56B2"/>
    <w:rsid w:val="00BE7ED4"/>
    <w:rsid w:val="00BF0712"/>
    <w:rsid w:val="00BF1E81"/>
    <w:rsid w:val="00BF2C9E"/>
    <w:rsid w:val="00BF3056"/>
    <w:rsid w:val="00BF3119"/>
    <w:rsid w:val="00BF35A2"/>
    <w:rsid w:val="00BF3C18"/>
    <w:rsid w:val="00BF439D"/>
    <w:rsid w:val="00BF4A7B"/>
    <w:rsid w:val="00BF5552"/>
    <w:rsid w:val="00BF6183"/>
    <w:rsid w:val="00BF643A"/>
    <w:rsid w:val="00BF7AB2"/>
    <w:rsid w:val="00C000BB"/>
    <w:rsid w:val="00C00D71"/>
    <w:rsid w:val="00C012E5"/>
    <w:rsid w:val="00C01F46"/>
    <w:rsid w:val="00C0256B"/>
    <w:rsid w:val="00C0277B"/>
    <w:rsid w:val="00C02956"/>
    <w:rsid w:val="00C02DB7"/>
    <w:rsid w:val="00C02DD2"/>
    <w:rsid w:val="00C04CC1"/>
    <w:rsid w:val="00C04E59"/>
    <w:rsid w:val="00C05A23"/>
    <w:rsid w:val="00C05A80"/>
    <w:rsid w:val="00C05FAB"/>
    <w:rsid w:val="00C0638C"/>
    <w:rsid w:val="00C0641D"/>
    <w:rsid w:val="00C06B6E"/>
    <w:rsid w:val="00C072FE"/>
    <w:rsid w:val="00C0773B"/>
    <w:rsid w:val="00C07B1D"/>
    <w:rsid w:val="00C07D15"/>
    <w:rsid w:val="00C10067"/>
    <w:rsid w:val="00C10CF2"/>
    <w:rsid w:val="00C10FDB"/>
    <w:rsid w:val="00C113FA"/>
    <w:rsid w:val="00C11C5E"/>
    <w:rsid w:val="00C122DF"/>
    <w:rsid w:val="00C12F41"/>
    <w:rsid w:val="00C12F93"/>
    <w:rsid w:val="00C1304E"/>
    <w:rsid w:val="00C132DA"/>
    <w:rsid w:val="00C137FB"/>
    <w:rsid w:val="00C13D49"/>
    <w:rsid w:val="00C13F40"/>
    <w:rsid w:val="00C13FD4"/>
    <w:rsid w:val="00C14D48"/>
    <w:rsid w:val="00C1502F"/>
    <w:rsid w:val="00C156B1"/>
    <w:rsid w:val="00C164D0"/>
    <w:rsid w:val="00C17242"/>
    <w:rsid w:val="00C20F0A"/>
    <w:rsid w:val="00C210E1"/>
    <w:rsid w:val="00C210FC"/>
    <w:rsid w:val="00C21160"/>
    <w:rsid w:val="00C21166"/>
    <w:rsid w:val="00C21429"/>
    <w:rsid w:val="00C21576"/>
    <w:rsid w:val="00C21701"/>
    <w:rsid w:val="00C21AE6"/>
    <w:rsid w:val="00C21B07"/>
    <w:rsid w:val="00C21B11"/>
    <w:rsid w:val="00C2248D"/>
    <w:rsid w:val="00C22C27"/>
    <w:rsid w:val="00C2467A"/>
    <w:rsid w:val="00C2586F"/>
    <w:rsid w:val="00C25C67"/>
    <w:rsid w:val="00C25E76"/>
    <w:rsid w:val="00C26DEF"/>
    <w:rsid w:val="00C26DF3"/>
    <w:rsid w:val="00C27333"/>
    <w:rsid w:val="00C2797D"/>
    <w:rsid w:val="00C305A6"/>
    <w:rsid w:val="00C30A16"/>
    <w:rsid w:val="00C30E83"/>
    <w:rsid w:val="00C31067"/>
    <w:rsid w:val="00C3166E"/>
    <w:rsid w:val="00C31AF7"/>
    <w:rsid w:val="00C33048"/>
    <w:rsid w:val="00C33446"/>
    <w:rsid w:val="00C34CFB"/>
    <w:rsid w:val="00C350CE"/>
    <w:rsid w:val="00C354A4"/>
    <w:rsid w:val="00C35DB9"/>
    <w:rsid w:val="00C36F22"/>
    <w:rsid w:val="00C37ED0"/>
    <w:rsid w:val="00C40084"/>
    <w:rsid w:val="00C40CD7"/>
    <w:rsid w:val="00C410FA"/>
    <w:rsid w:val="00C42735"/>
    <w:rsid w:val="00C42790"/>
    <w:rsid w:val="00C43182"/>
    <w:rsid w:val="00C434CD"/>
    <w:rsid w:val="00C434D9"/>
    <w:rsid w:val="00C4385C"/>
    <w:rsid w:val="00C43CB5"/>
    <w:rsid w:val="00C446A6"/>
    <w:rsid w:val="00C451DE"/>
    <w:rsid w:val="00C45372"/>
    <w:rsid w:val="00C454A8"/>
    <w:rsid w:val="00C456A6"/>
    <w:rsid w:val="00C45A39"/>
    <w:rsid w:val="00C46F89"/>
    <w:rsid w:val="00C4716E"/>
    <w:rsid w:val="00C4717E"/>
    <w:rsid w:val="00C5018B"/>
    <w:rsid w:val="00C5034D"/>
    <w:rsid w:val="00C5119C"/>
    <w:rsid w:val="00C51407"/>
    <w:rsid w:val="00C51AFC"/>
    <w:rsid w:val="00C51BCB"/>
    <w:rsid w:val="00C52303"/>
    <w:rsid w:val="00C52CF4"/>
    <w:rsid w:val="00C53866"/>
    <w:rsid w:val="00C53C07"/>
    <w:rsid w:val="00C53DAB"/>
    <w:rsid w:val="00C5423D"/>
    <w:rsid w:val="00C5430F"/>
    <w:rsid w:val="00C5434A"/>
    <w:rsid w:val="00C55B11"/>
    <w:rsid w:val="00C55BCB"/>
    <w:rsid w:val="00C55FD9"/>
    <w:rsid w:val="00C56A7F"/>
    <w:rsid w:val="00C56F59"/>
    <w:rsid w:val="00C57210"/>
    <w:rsid w:val="00C57AFD"/>
    <w:rsid w:val="00C616A5"/>
    <w:rsid w:val="00C61AF0"/>
    <w:rsid w:val="00C61AF7"/>
    <w:rsid w:val="00C61DCF"/>
    <w:rsid w:val="00C620AF"/>
    <w:rsid w:val="00C625C4"/>
    <w:rsid w:val="00C626B8"/>
    <w:rsid w:val="00C62B63"/>
    <w:rsid w:val="00C62BAC"/>
    <w:rsid w:val="00C62D72"/>
    <w:rsid w:val="00C632A0"/>
    <w:rsid w:val="00C63582"/>
    <w:rsid w:val="00C63751"/>
    <w:rsid w:val="00C645BC"/>
    <w:rsid w:val="00C64F76"/>
    <w:rsid w:val="00C651C8"/>
    <w:rsid w:val="00C65B4C"/>
    <w:rsid w:val="00C664BE"/>
    <w:rsid w:val="00C6696D"/>
    <w:rsid w:val="00C66D34"/>
    <w:rsid w:val="00C67C07"/>
    <w:rsid w:val="00C70296"/>
    <w:rsid w:val="00C70D69"/>
    <w:rsid w:val="00C70F0C"/>
    <w:rsid w:val="00C71364"/>
    <w:rsid w:val="00C72813"/>
    <w:rsid w:val="00C72EA7"/>
    <w:rsid w:val="00C73AC4"/>
    <w:rsid w:val="00C73CF5"/>
    <w:rsid w:val="00C73F7E"/>
    <w:rsid w:val="00C7450E"/>
    <w:rsid w:val="00C745C9"/>
    <w:rsid w:val="00C74740"/>
    <w:rsid w:val="00C74B08"/>
    <w:rsid w:val="00C751EB"/>
    <w:rsid w:val="00C75457"/>
    <w:rsid w:val="00C754D7"/>
    <w:rsid w:val="00C760B9"/>
    <w:rsid w:val="00C76CAA"/>
    <w:rsid w:val="00C76D99"/>
    <w:rsid w:val="00C771B7"/>
    <w:rsid w:val="00C771F2"/>
    <w:rsid w:val="00C77284"/>
    <w:rsid w:val="00C778B4"/>
    <w:rsid w:val="00C80139"/>
    <w:rsid w:val="00C806F4"/>
    <w:rsid w:val="00C80863"/>
    <w:rsid w:val="00C80A90"/>
    <w:rsid w:val="00C80D66"/>
    <w:rsid w:val="00C8103F"/>
    <w:rsid w:val="00C8150D"/>
    <w:rsid w:val="00C81823"/>
    <w:rsid w:val="00C81EB1"/>
    <w:rsid w:val="00C829DE"/>
    <w:rsid w:val="00C83075"/>
    <w:rsid w:val="00C84178"/>
    <w:rsid w:val="00C84F10"/>
    <w:rsid w:val="00C84F8F"/>
    <w:rsid w:val="00C85F3F"/>
    <w:rsid w:val="00C860BB"/>
    <w:rsid w:val="00C86D65"/>
    <w:rsid w:val="00C90141"/>
    <w:rsid w:val="00C9018B"/>
    <w:rsid w:val="00C917E4"/>
    <w:rsid w:val="00C92131"/>
    <w:rsid w:val="00C9272E"/>
    <w:rsid w:val="00C9352B"/>
    <w:rsid w:val="00C939B9"/>
    <w:rsid w:val="00C9521D"/>
    <w:rsid w:val="00C95808"/>
    <w:rsid w:val="00C963B3"/>
    <w:rsid w:val="00C9694C"/>
    <w:rsid w:val="00C9702D"/>
    <w:rsid w:val="00C975B9"/>
    <w:rsid w:val="00C978E3"/>
    <w:rsid w:val="00C97FFA"/>
    <w:rsid w:val="00CA09D8"/>
    <w:rsid w:val="00CA0A2E"/>
    <w:rsid w:val="00CA10A7"/>
    <w:rsid w:val="00CA1C92"/>
    <w:rsid w:val="00CA1CC8"/>
    <w:rsid w:val="00CA1FF4"/>
    <w:rsid w:val="00CA28DF"/>
    <w:rsid w:val="00CA2DD5"/>
    <w:rsid w:val="00CA311C"/>
    <w:rsid w:val="00CA3190"/>
    <w:rsid w:val="00CA480E"/>
    <w:rsid w:val="00CA4A09"/>
    <w:rsid w:val="00CA50FE"/>
    <w:rsid w:val="00CA585B"/>
    <w:rsid w:val="00CA5A91"/>
    <w:rsid w:val="00CA5C2E"/>
    <w:rsid w:val="00CA61ED"/>
    <w:rsid w:val="00CA6F1A"/>
    <w:rsid w:val="00CA74B6"/>
    <w:rsid w:val="00CA79A3"/>
    <w:rsid w:val="00CA7AC7"/>
    <w:rsid w:val="00CB0B2F"/>
    <w:rsid w:val="00CB0BB4"/>
    <w:rsid w:val="00CB12D1"/>
    <w:rsid w:val="00CB1C0A"/>
    <w:rsid w:val="00CB1E2D"/>
    <w:rsid w:val="00CB3707"/>
    <w:rsid w:val="00CB3D3C"/>
    <w:rsid w:val="00CB3EEF"/>
    <w:rsid w:val="00CB40C2"/>
    <w:rsid w:val="00CB41BD"/>
    <w:rsid w:val="00CB4A12"/>
    <w:rsid w:val="00CB5C56"/>
    <w:rsid w:val="00CB5C94"/>
    <w:rsid w:val="00CB5D82"/>
    <w:rsid w:val="00CB6D9C"/>
    <w:rsid w:val="00CB6FB4"/>
    <w:rsid w:val="00CB7642"/>
    <w:rsid w:val="00CC0239"/>
    <w:rsid w:val="00CC0312"/>
    <w:rsid w:val="00CC0C96"/>
    <w:rsid w:val="00CC180D"/>
    <w:rsid w:val="00CC1E6B"/>
    <w:rsid w:val="00CC293F"/>
    <w:rsid w:val="00CC31F9"/>
    <w:rsid w:val="00CC42E6"/>
    <w:rsid w:val="00CC5A20"/>
    <w:rsid w:val="00CC5E19"/>
    <w:rsid w:val="00CC63FE"/>
    <w:rsid w:val="00CC65DB"/>
    <w:rsid w:val="00CC6A2F"/>
    <w:rsid w:val="00CC6B1B"/>
    <w:rsid w:val="00CC6FDB"/>
    <w:rsid w:val="00CC730E"/>
    <w:rsid w:val="00CC73E3"/>
    <w:rsid w:val="00CC79D7"/>
    <w:rsid w:val="00CC7A05"/>
    <w:rsid w:val="00CC7D64"/>
    <w:rsid w:val="00CD0457"/>
    <w:rsid w:val="00CD04D0"/>
    <w:rsid w:val="00CD1549"/>
    <w:rsid w:val="00CD19B5"/>
    <w:rsid w:val="00CD2207"/>
    <w:rsid w:val="00CD245F"/>
    <w:rsid w:val="00CD3E0A"/>
    <w:rsid w:val="00CD49F0"/>
    <w:rsid w:val="00CD4AF8"/>
    <w:rsid w:val="00CD4B87"/>
    <w:rsid w:val="00CD5125"/>
    <w:rsid w:val="00CD5136"/>
    <w:rsid w:val="00CD565A"/>
    <w:rsid w:val="00CD61D0"/>
    <w:rsid w:val="00CD6954"/>
    <w:rsid w:val="00CD7011"/>
    <w:rsid w:val="00CD751D"/>
    <w:rsid w:val="00CD7B52"/>
    <w:rsid w:val="00CD7F36"/>
    <w:rsid w:val="00CE04E6"/>
    <w:rsid w:val="00CE0A05"/>
    <w:rsid w:val="00CE160F"/>
    <w:rsid w:val="00CE22DF"/>
    <w:rsid w:val="00CE2C89"/>
    <w:rsid w:val="00CE2E6C"/>
    <w:rsid w:val="00CE2FC6"/>
    <w:rsid w:val="00CE31C4"/>
    <w:rsid w:val="00CE36BC"/>
    <w:rsid w:val="00CE408A"/>
    <w:rsid w:val="00CE4509"/>
    <w:rsid w:val="00CE4521"/>
    <w:rsid w:val="00CE519D"/>
    <w:rsid w:val="00CE57B5"/>
    <w:rsid w:val="00CE5FA3"/>
    <w:rsid w:val="00CE63C9"/>
    <w:rsid w:val="00CE66B3"/>
    <w:rsid w:val="00CE6BE8"/>
    <w:rsid w:val="00CE7741"/>
    <w:rsid w:val="00CE77D3"/>
    <w:rsid w:val="00CF018E"/>
    <w:rsid w:val="00CF0315"/>
    <w:rsid w:val="00CF0DC4"/>
    <w:rsid w:val="00CF102B"/>
    <w:rsid w:val="00CF1880"/>
    <w:rsid w:val="00CF1BBD"/>
    <w:rsid w:val="00CF25BA"/>
    <w:rsid w:val="00CF308B"/>
    <w:rsid w:val="00CF3F2F"/>
    <w:rsid w:val="00CF4090"/>
    <w:rsid w:val="00CF4145"/>
    <w:rsid w:val="00CF490D"/>
    <w:rsid w:val="00CF4C72"/>
    <w:rsid w:val="00CF627D"/>
    <w:rsid w:val="00CF62F4"/>
    <w:rsid w:val="00CF6308"/>
    <w:rsid w:val="00CF7E86"/>
    <w:rsid w:val="00D00A7C"/>
    <w:rsid w:val="00D00D22"/>
    <w:rsid w:val="00D00FCD"/>
    <w:rsid w:val="00D01337"/>
    <w:rsid w:val="00D014F7"/>
    <w:rsid w:val="00D0171A"/>
    <w:rsid w:val="00D02166"/>
    <w:rsid w:val="00D02D4A"/>
    <w:rsid w:val="00D02FC1"/>
    <w:rsid w:val="00D03274"/>
    <w:rsid w:val="00D0337F"/>
    <w:rsid w:val="00D03FAC"/>
    <w:rsid w:val="00D04880"/>
    <w:rsid w:val="00D055ED"/>
    <w:rsid w:val="00D05AAD"/>
    <w:rsid w:val="00D05F54"/>
    <w:rsid w:val="00D10215"/>
    <w:rsid w:val="00D10C88"/>
    <w:rsid w:val="00D117D2"/>
    <w:rsid w:val="00D11EBF"/>
    <w:rsid w:val="00D12237"/>
    <w:rsid w:val="00D1234B"/>
    <w:rsid w:val="00D12580"/>
    <w:rsid w:val="00D12904"/>
    <w:rsid w:val="00D12E31"/>
    <w:rsid w:val="00D13122"/>
    <w:rsid w:val="00D13840"/>
    <w:rsid w:val="00D1461B"/>
    <w:rsid w:val="00D14F33"/>
    <w:rsid w:val="00D15545"/>
    <w:rsid w:val="00D15EC9"/>
    <w:rsid w:val="00D161FA"/>
    <w:rsid w:val="00D16383"/>
    <w:rsid w:val="00D16BCF"/>
    <w:rsid w:val="00D16EC7"/>
    <w:rsid w:val="00D170FA"/>
    <w:rsid w:val="00D1714B"/>
    <w:rsid w:val="00D17396"/>
    <w:rsid w:val="00D17841"/>
    <w:rsid w:val="00D1796A"/>
    <w:rsid w:val="00D20481"/>
    <w:rsid w:val="00D204E8"/>
    <w:rsid w:val="00D20B47"/>
    <w:rsid w:val="00D20D41"/>
    <w:rsid w:val="00D20E8F"/>
    <w:rsid w:val="00D2260B"/>
    <w:rsid w:val="00D22E8C"/>
    <w:rsid w:val="00D24B5E"/>
    <w:rsid w:val="00D262A8"/>
    <w:rsid w:val="00D2631E"/>
    <w:rsid w:val="00D26A6A"/>
    <w:rsid w:val="00D26FE1"/>
    <w:rsid w:val="00D27E9F"/>
    <w:rsid w:val="00D30411"/>
    <w:rsid w:val="00D30614"/>
    <w:rsid w:val="00D30933"/>
    <w:rsid w:val="00D30E21"/>
    <w:rsid w:val="00D30E9F"/>
    <w:rsid w:val="00D31457"/>
    <w:rsid w:val="00D3154E"/>
    <w:rsid w:val="00D3163A"/>
    <w:rsid w:val="00D319E3"/>
    <w:rsid w:val="00D31DDF"/>
    <w:rsid w:val="00D3235E"/>
    <w:rsid w:val="00D32B39"/>
    <w:rsid w:val="00D32EF8"/>
    <w:rsid w:val="00D341FB"/>
    <w:rsid w:val="00D343D8"/>
    <w:rsid w:val="00D355EA"/>
    <w:rsid w:val="00D3618B"/>
    <w:rsid w:val="00D36EBF"/>
    <w:rsid w:val="00D36F3E"/>
    <w:rsid w:val="00D40BC7"/>
    <w:rsid w:val="00D40DA2"/>
    <w:rsid w:val="00D413E9"/>
    <w:rsid w:val="00D4150F"/>
    <w:rsid w:val="00D41A63"/>
    <w:rsid w:val="00D41F32"/>
    <w:rsid w:val="00D42362"/>
    <w:rsid w:val="00D42771"/>
    <w:rsid w:val="00D42853"/>
    <w:rsid w:val="00D428D9"/>
    <w:rsid w:val="00D42907"/>
    <w:rsid w:val="00D43066"/>
    <w:rsid w:val="00D430DB"/>
    <w:rsid w:val="00D4332B"/>
    <w:rsid w:val="00D44062"/>
    <w:rsid w:val="00D444FE"/>
    <w:rsid w:val="00D44947"/>
    <w:rsid w:val="00D45A1C"/>
    <w:rsid w:val="00D4623A"/>
    <w:rsid w:val="00D4658A"/>
    <w:rsid w:val="00D46EBF"/>
    <w:rsid w:val="00D475EA"/>
    <w:rsid w:val="00D476F8"/>
    <w:rsid w:val="00D5004A"/>
    <w:rsid w:val="00D50A67"/>
    <w:rsid w:val="00D50D53"/>
    <w:rsid w:val="00D51107"/>
    <w:rsid w:val="00D51B56"/>
    <w:rsid w:val="00D51DB9"/>
    <w:rsid w:val="00D51ED7"/>
    <w:rsid w:val="00D527F4"/>
    <w:rsid w:val="00D52967"/>
    <w:rsid w:val="00D52D9D"/>
    <w:rsid w:val="00D52F14"/>
    <w:rsid w:val="00D535CD"/>
    <w:rsid w:val="00D541D2"/>
    <w:rsid w:val="00D549EC"/>
    <w:rsid w:val="00D54C09"/>
    <w:rsid w:val="00D54C78"/>
    <w:rsid w:val="00D55576"/>
    <w:rsid w:val="00D5566E"/>
    <w:rsid w:val="00D556A8"/>
    <w:rsid w:val="00D55AEB"/>
    <w:rsid w:val="00D55B57"/>
    <w:rsid w:val="00D55BB2"/>
    <w:rsid w:val="00D565AC"/>
    <w:rsid w:val="00D57264"/>
    <w:rsid w:val="00D57AE8"/>
    <w:rsid w:val="00D609D1"/>
    <w:rsid w:val="00D60A70"/>
    <w:rsid w:val="00D60E3F"/>
    <w:rsid w:val="00D61339"/>
    <w:rsid w:val="00D61AF2"/>
    <w:rsid w:val="00D61C1F"/>
    <w:rsid w:val="00D6207C"/>
    <w:rsid w:val="00D62D46"/>
    <w:rsid w:val="00D638B9"/>
    <w:rsid w:val="00D63E01"/>
    <w:rsid w:val="00D64156"/>
    <w:rsid w:val="00D644CE"/>
    <w:rsid w:val="00D650CB"/>
    <w:rsid w:val="00D653F1"/>
    <w:rsid w:val="00D66620"/>
    <w:rsid w:val="00D666B7"/>
    <w:rsid w:val="00D6672C"/>
    <w:rsid w:val="00D6687B"/>
    <w:rsid w:val="00D66BC8"/>
    <w:rsid w:val="00D66FBA"/>
    <w:rsid w:val="00D7015A"/>
    <w:rsid w:val="00D7094F"/>
    <w:rsid w:val="00D70FEA"/>
    <w:rsid w:val="00D71862"/>
    <w:rsid w:val="00D71947"/>
    <w:rsid w:val="00D71D5D"/>
    <w:rsid w:val="00D724D2"/>
    <w:rsid w:val="00D7292D"/>
    <w:rsid w:val="00D72CFE"/>
    <w:rsid w:val="00D739F0"/>
    <w:rsid w:val="00D73A4F"/>
    <w:rsid w:val="00D74BDA"/>
    <w:rsid w:val="00D75A83"/>
    <w:rsid w:val="00D75CA1"/>
    <w:rsid w:val="00D77838"/>
    <w:rsid w:val="00D77CB5"/>
    <w:rsid w:val="00D80151"/>
    <w:rsid w:val="00D8051D"/>
    <w:rsid w:val="00D80CE3"/>
    <w:rsid w:val="00D822F6"/>
    <w:rsid w:val="00D83907"/>
    <w:rsid w:val="00D83C2C"/>
    <w:rsid w:val="00D842C6"/>
    <w:rsid w:val="00D8469A"/>
    <w:rsid w:val="00D84911"/>
    <w:rsid w:val="00D85820"/>
    <w:rsid w:val="00D86112"/>
    <w:rsid w:val="00D87134"/>
    <w:rsid w:val="00D87758"/>
    <w:rsid w:val="00D87A5A"/>
    <w:rsid w:val="00D9040B"/>
    <w:rsid w:val="00D90530"/>
    <w:rsid w:val="00D90DD9"/>
    <w:rsid w:val="00D90ED6"/>
    <w:rsid w:val="00D916D5"/>
    <w:rsid w:val="00D91CB1"/>
    <w:rsid w:val="00D92D1F"/>
    <w:rsid w:val="00D92EC1"/>
    <w:rsid w:val="00D93CD6"/>
    <w:rsid w:val="00D93E95"/>
    <w:rsid w:val="00D94381"/>
    <w:rsid w:val="00D9454B"/>
    <w:rsid w:val="00D945CC"/>
    <w:rsid w:val="00D950B6"/>
    <w:rsid w:val="00D950CC"/>
    <w:rsid w:val="00D952DC"/>
    <w:rsid w:val="00D9530B"/>
    <w:rsid w:val="00D956A1"/>
    <w:rsid w:val="00D95A0D"/>
    <w:rsid w:val="00D95B27"/>
    <w:rsid w:val="00D96130"/>
    <w:rsid w:val="00D966E0"/>
    <w:rsid w:val="00D96984"/>
    <w:rsid w:val="00D97602"/>
    <w:rsid w:val="00D97A8B"/>
    <w:rsid w:val="00DA059A"/>
    <w:rsid w:val="00DA05C4"/>
    <w:rsid w:val="00DA0C8A"/>
    <w:rsid w:val="00DA11B8"/>
    <w:rsid w:val="00DA1BD2"/>
    <w:rsid w:val="00DA1C1C"/>
    <w:rsid w:val="00DA1C8E"/>
    <w:rsid w:val="00DA1F4D"/>
    <w:rsid w:val="00DA3283"/>
    <w:rsid w:val="00DA3984"/>
    <w:rsid w:val="00DA41F6"/>
    <w:rsid w:val="00DA4FA6"/>
    <w:rsid w:val="00DA501A"/>
    <w:rsid w:val="00DA515C"/>
    <w:rsid w:val="00DA5D1F"/>
    <w:rsid w:val="00DA628D"/>
    <w:rsid w:val="00DA6468"/>
    <w:rsid w:val="00DA65C0"/>
    <w:rsid w:val="00DA6F4C"/>
    <w:rsid w:val="00DA78AF"/>
    <w:rsid w:val="00DA79C9"/>
    <w:rsid w:val="00DB0009"/>
    <w:rsid w:val="00DB0936"/>
    <w:rsid w:val="00DB0B90"/>
    <w:rsid w:val="00DB26AB"/>
    <w:rsid w:val="00DB27A0"/>
    <w:rsid w:val="00DB42B8"/>
    <w:rsid w:val="00DB44E0"/>
    <w:rsid w:val="00DB4724"/>
    <w:rsid w:val="00DB472B"/>
    <w:rsid w:val="00DB4C2B"/>
    <w:rsid w:val="00DB6751"/>
    <w:rsid w:val="00DB6872"/>
    <w:rsid w:val="00DB6FCB"/>
    <w:rsid w:val="00DB7144"/>
    <w:rsid w:val="00DB77F9"/>
    <w:rsid w:val="00DB7A79"/>
    <w:rsid w:val="00DB7AFD"/>
    <w:rsid w:val="00DB7EAE"/>
    <w:rsid w:val="00DC051B"/>
    <w:rsid w:val="00DC086B"/>
    <w:rsid w:val="00DC1467"/>
    <w:rsid w:val="00DC1E3D"/>
    <w:rsid w:val="00DC23A8"/>
    <w:rsid w:val="00DC2F85"/>
    <w:rsid w:val="00DC3AF2"/>
    <w:rsid w:val="00DC483F"/>
    <w:rsid w:val="00DC51B3"/>
    <w:rsid w:val="00DC57A8"/>
    <w:rsid w:val="00DC5EA9"/>
    <w:rsid w:val="00DC73B3"/>
    <w:rsid w:val="00DD007E"/>
    <w:rsid w:val="00DD041B"/>
    <w:rsid w:val="00DD0709"/>
    <w:rsid w:val="00DD154C"/>
    <w:rsid w:val="00DD15A7"/>
    <w:rsid w:val="00DD1751"/>
    <w:rsid w:val="00DD175F"/>
    <w:rsid w:val="00DD1896"/>
    <w:rsid w:val="00DD1DD1"/>
    <w:rsid w:val="00DD2EAC"/>
    <w:rsid w:val="00DD34FD"/>
    <w:rsid w:val="00DD3673"/>
    <w:rsid w:val="00DD369F"/>
    <w:rsid w:val="00DD3832"/>
    <w:rsid w:val="00DD3D7D"/>
    <w:rsid w:val="00DD405E"/>
    <w:rsid w:val="00DD47FE"/>
    <w:rsid w:val="00DD5593"/>
    <w:rsid w:val="00DD5A5C"/>
    <w:rsid w:val="00DD5A8B"/>
    <w:rsid w:val="00DD6BB5"/>
    <w:rsid w:val="00DD7AD1"/>
    <w:rsid w:val="00DE0CAB"/>
    <w:rsid w:val="00DE11D5"/>
    <w:rsid w:val="00DE13B5"/>
    <w:rsid w:val="00DE16AB"/>
    <w:rsid w:val="00DE3090"/>
    <w:rsid w:val="00DE4194"/>
    <w:rsid w:val="00DE43D6"/>
    <w:rsid w:val="00DE44DE"/>
    <w:rsid w:val="00DE4686"/>
    <w:rsid w:val="00DE47D9"/>
    <w:rsid w:val="00DE4945"/>
    <w:rsid w:val="00DE499F"/>
    <w:rsid w:val="00DE4DA7"/>
    <w:rsid w:val="00DE50C8"/>
    <w:rsid w:val="00DE51E2"/>
    <w:rsid w:val="00DE66DA"/>
    <w:rsid w:val="00DE67FF"/>
    <w:rsid w:val="00DE6A0F"/>
    <w:rsid w:val="00DE7BC8"/>
    <w:rsid w:val="00DE7DD1"/>
    <w:rsid w:val="00DF12CA"/>
    <w:rsid w:val="00DF1B98"/>
    <w:rsid w:val="00DF2506"/>
    <w:rsid w:val="00DF31B3"/>
    <w:rsid w:val="00DF3281"/>
    <w:rsid w:val="00DF3B2C"/>
    <w:rsid w:val="00DF4350"/>
    <w:rsid w:val="00DF449C"/>
    <w:rsid w:val="00DF4B18"/>
    <w:rsid w:val="00DF5AF2"/>
    <w:rsid w:val="00DF608E"/>
    <w:rsid w:val="00DF641E"/>
    <w:rsid w:val="00DF6583"/>
    <w:rsid w:val="00DF65D0"/>
    <w:rsid w:val="00DF675A"/>
    <w:rsid w:val="00DF6893"/>
    <w:rsid w:val="00DF73C3"/>
    <w:rsid w:val="00DF75A8"/>
    <w:rsid w:val="00DF763D"/>
    <w:rsid w:val="00DF76E5"/>
    <w:rsid w:val="00DF799B"/>
    <w:rsid w:val="00DF7AFC"/>
    <w:rsid w:val="00DF7C53"/>
    <w:rsid w:val="00E000EF"/>
    <w:rsid w:val="00E00AAB"/>
    <w:rsid w:val="00E00AC1"/>
    <w:rsid w:val="00E00D68"/>
    <w:rsid w:val="00E0229F"/>
    <w:rsid w:val="00E02901"/>
    <w:rsid w:val="00E02928"/>
    <w:rsid w:val="00E02FFF"/>
    <w:rsid w:val="00E03054"/>
    <w:rsid w:val="00E0305E"/>
    <w:rsid w:val="00E03142"/>
    <w:rsid w:val="00E03495"/>
    <w:rsid w:val="00E035D3"/>
    <w:rsid w:val="00E03A18"/>
    <w:rsid w:val="00E03E5A"/>
    <w:rsid w:val="00E04312"/>
    <w:rsid w:val="00E05967"/>
    <w:rsid w:val="00E05BBE"/>
    <w:rsid w:val="00E05E8F"/>
    <w:rsid w:val="00E05FF2"/>
    <w:rsid w:val="00E06094"/>
    <w:rsid w:val="00E066E4"/>
    <w:rsid w:val="00E068C8"/>
    <w:rsid w:val="00E0748C"/>
    <w:rsid w:val="00E078DB"/>
    <w:rsid w:val="00E079F6"/>
    <w:rsid w:val="00E07CB6"/>
    <w:rsid w:val="00E07E81"/>
    <w:rsid w:val="00E112B4"/>
    <w:rsid w:val="00E112BA"/>
    <w:rsid w:val="00E11335"/>
    <w:rsid w:val="00E11547"/>
    <w:rsid w:val="00E123F5"/>
    <w:rsid w:val="00E12766"/>
    <w:rsid w:val="00E135F0"/>
    <w:rsid w:val="00E13FB6"/>
    <w:rsid w:val="00E14045"/>
    <w:rsid w:val="00E14DB6"/>
    <w:rsid w:val="00E14FF9"/>
    <w:rsid w:val="00E15164"/>
    <w:rsid w:val="00E153E4"/>
    <w:rsid w:val="00E20EFC"/>
    <w:rsid w:val="00E212BF"/>
    <w:rsid w:val="00E21E40"/>
    <w:rsid w:val="00E223D9"/>
    <w:rsid w:val="00E22A41"/>
    <w:rsid w:val="00E239AC"/>
    <w:rsid w:val="00E23BBA"/>
    <w:rsid w:val="00E251D1"/>
    <w:rsid w:val="00E25559"/>
    <w:rsid w:val="00E25B2C"/>
    <w:rsid w:val="00E270B2"/>
    <w:rsid w:val="00E2745F"/>
    <w:rsid w:val="00E3036D"/>
    <w:rsid w:val="00E303FC"/>
    <w:rsid w:val="00E31448"/>
    <w:rsid w:val="00E3197C"/>
    <w:rsid w:val="00E31B03"/>
    <w:rsid w:val="00E3209D"/>
    <w:rsid w:val="00E325CA"/>
    <w:rsid w:val="00E32A4F"/>
    <w:rsid w:val="00E3425E"/>
    <w:rsid w:val="00E34843"/>
    <w:rsid w:val="00E348C1"/>
    <w:rsid w:val="00E34927"/>
    <w:rsid w:val="00E34ABB"/>
    <w:rsid w:val="00E34C3B"/>
    <w:rsid w:val="00E35937"/>
    <w:rsid w:val="00E35B15"/>
    <w:rsid w:val="00E36488"/>
    <w:rsid w:val="00E3648D"/>
    <w:rsid w:val="00E36796"/>
    <w:rsid w:val="00E371D1"/>
    <w:rsid w:val="00E37E9F"/>
    <w:rsid w:val="00E40016"/>
    <w:rsid w:val="00E4004E"/>
    <w:rsid w:val="00E403F5"/>
    <w:rsid w:val="00E406F3"/>
    <w:rsid w:val="00E40951"/>
    <w:rsid w:val="00E40AC2"/>
    <w:rsid w:val="00E40DB1"/>
    <w:rsid w:val="00E42035"/>
    <w:rsid w:val="00E4205B"/>
    <w:rsid w:val="00E43A54"/>
    <w:rsid w:val="00E43E9B"/>
    <w:rsid w:val="00E444EF"/>
    <w:rsid w:val="00E44EE2"/>
    <w:rsid w:val="00E4546E"/>
    <w:rsid w:val="00E45B7D"/>
    <w:rsid w:val="00E467ED"/>
    <w:rsid w:val="00E46A77"/>
    <w:rsid w:val="00E47BB5"/>
    <w:rsid w:val="00E47D26"/>
    <w:rsid w:val="00E50BED"/>
    <w:rsid w:val="00E51439"/>
    <w:rsid w:val="00E514A9"/>
    <w:rsid w:val="00E51A51"/>
    <w:rsid w:val="00E51ECA"/>
    <w:rsid w:val="00E535F1"/>
    <w:rsid w:val="00E53A05"/>
    <w:rsid w:val="00E53BE3"/>
    <w:rsid w:val="00E53EF5"/>
    <w:rsid w:val="00E5418B"/>
    <w:rsid w:val="00E54516"/>
    <w:rsid w:val="00E54801"/>
    <w:rsid w:val="00E548DE"/>
    <w:rsid w:val="00E55133"/>
    <w:rsid w:val="00E5517C"/>
    <w:rsid w:val="00E55643"/>
    <w:rsid w:val="00E56A33"/>
    <w:rsid w:val="00E5721D"/>
    <w:rsid w:val="00E57241"/>
    <w:rsid w:val="00E576FD"/>
    <w:rsid w:val="00E57989"/>
    <w:rsid w:val="00E57E46"/>
    <w:rsid w:val="00E57E65"/>
    <w:rsid w:val="00E57EA3"/>
    <w:rsid w:val="00E6160D"/>
    <w:rsid w:val="00E61BC0"/>
    <w:rsid w:val="00E61FEF"/>
    <w:rsid w:val="00E620A7"/>
    <w:rsid w:val="00E6247D"/>
    <w:rsid w:val="00E62745"/>
    <w:rsid w:val="00E6296E"/>
    <w:rsid w:val="00E62E1C"/>
    <w:rsid w:val="00E63283"/>
    <w:rsid w:val="00E6382A"/>
    <w:rsid w:val="00E63BA4"/>
    <w:rsid w:val="00E6420F"/>
    <w:rsid w:val="00E6457E"/>
    <w:rsid w:val="00E64A4C"/>
    <w:rsid w:val="00E64B80"/>
    <w:rsid w:val="00E65853"/>
    <w:rsid w:val="00E6663F"/>
    <w:rsid w:val="00E66851"/>
    <w:rsid w:val="00E6744B"/>
    <w:rsid w:val="00E6746B"/>
    <w:rsid w:val="00E675A7"/>
    <w:rsid w:val="00E7014F"/>
    <w:rsid w:val="00E703C5"/>
    <w:rsid w:val="00E70FB9"/>
    <w:rsid w:val="00E71517"/>
    <w:rsid w:val="00E72E23"/>
    <w:rsid w:val="00E73095"/>
    <w:rsid w:val="00E7332C"/>
    <w:rsid w:val="00E73623"/>
    <w:rsid w:val="00E73A3C"/>
    <w:rsid w:val="00E73E7A"/>
    <w:rsid w:val="00E73FF9"/>
    <w:rsid w:val="00E741D4"/>
    <w:rsid w:val="00E74291"/>
    <w:rsid w:val="00E74534"/>
    <w:rsid w:val="00E74AF0"/>
    <w:rsid w:val="00E75125"/>
    <w:rsid w:val="00E7518F"/>
    <w:rsid w:val="00E755A1"/>
    <w:rsid w:val="00E75AF4"/>
    <w:rsid w:val="00E7632C"/>
    <w:rsid w:val="00E763C7"/>
    <w:rsid w:val="00E766FF"/>
    <w:rsid w:val="00E76A71"/>
    <w:rsid w:val="00E76BD7"/>
    <w:rsid w:val="00E76DAE"/>
    <w:rsid w:val="00E7708D"/>
    <w:rsid w:val="00E77377"/>
    <w:rsid w:val="00E77C26"/>
    <w:rsid w:val="00E77DC1"/>
    <w:rsid w:val="00E80709"/>
    <w:rsid w:val="00E80EAE"/>
    <w:rsid w:val="00E81EFD"/>
    <w:rsid w:val="00E82B1F"/>
    <w:rsid w:val="00E832D6"/>
    <w:rsid w:val="00E83364"/>
    <w:rsid w:val="00E83792"/>
    <w:rsid w:val="00E83C37"/>
    <w:rsid w:val="00E83E6E"/>
    <w:rsid w:val="00E848C5"/>
    <w:rsid w:val="00E856DD"/>
    <w:rsid w:val="00E86591"/>
    <w:rsid w:val="00E876F2"/>
    <w:rsid w:val="00E87C15"/>
    <w:rsid w:val="00E87D51"/>
    <w:rsid w:val="00E87F39"/>
    <w:rsid w:val="00E90787"/>
    <w:rsid w:val="00E92516"/>
    <w:rsid w:val="00E926C6"/>
    <w:rsid w:val="00E92F0C"/>
    <w:rsid w:val="00E9306B"/>
    <w:rsid w:val="00E93C3C"/>
    <w:rsid w:val="00E94A38"/>
    <w:rsid w:val="00E9560B"/>
    <w:rsid w:val="00E95F13"/>
    <w:rsid w:val="00E961CE"/>
    <w:rsid w:val="00E96EC6"/>
    <w:rsid w:val="00EA002B"/>
    <w:rsid w:val="00EA0154"/>
    <w:rsid w:val="00EA12D8"/>
    <w:rsid w:val="00EA14AA"/>
    <w:rsid w:val="00EA176D"/>
    <w:rsid w:val="00EA1CA2"/>
    <w:rsid w:val="00EA26C4"/>
    <w:rsid w:val="00EA3069"/>
    <w:rsid w:val="00EA3A96"/>
    <w:rsid w:val="00EA4180"/>
    <w:rsid w:val="00EA41F2"/>
    <w:rsid w:val="00EA45CC"/>
    <w:rsid w:val="00EA464F"/>
    <w:rsid w:val="00EA48FD"/>
    <w:rsid w:val="00EA5634"/>
    <w:rsid w:val="00EA5806"/>
    <w:rsid w:val="00EA5D51"/>
    <w:rsid w:val="00EA6021"/>
    <w:rsid w:val="00EA6BC2"/>
    <w:rsid w:val="00EA6C4C"/>
    <w:rsid w:val="00EA6D9C"/>
    <w:rsid w:val="00EA7304"/>
    <w:rsid w:val="00EA74E3"/>
    <w:rsid w:val="00EA7AA5"/>
    <w:rsid w:val="00EA7F11"/>
    <w:rsid w:val="00EB129C"/>
    <w:rsid w:val="00EB12F5"/>
    <w:rsid w:val="00EB1495"/>
    <w:rsid w:val="00EB1881"/>
    <w:rsid w:val="00EB1C9C"/>
    <w:rsid w:val="00EB1DBC"/>
    <w:rsid w:val="00EB1F4F"/>
    <w:rsid w:val="00EB283F"/>
    <w:rsid w:val="00EB302A"/>
    <w:rsid w:val="00EB33C9"/>
    <w:rsid w:val="00EB4936"/>
    <w:rsid w:val="00EB4985"/>
    <w:rsid w:val="00EB49CE"/>
    <w:rsid w:val="00EB68E6"/>
    <w:rsid w:val="00EB6BB2"/>
    <w:rsid w:val="00EB7CA1"/>
    <w:rsid w:val="00EC0A04"/>
    <w:rsid w:val="00EC0A7F"/>
    <w:rsid w:val="00EC1E04"/>
    <w:rsid w:val="00EC3449"/>
    <w:rsid w:val="00EC37E2"/>
    <w:rsid w:val="00EC3C8E"/>
    <w:rsid w:val="00EC3FAC"/>
    <w:rsid w:val="00EC4727"/>
    <w:rsid w:val="00EC5362"/>
    <w:rsid w:val="00EC70B0"/>
    <w:rsid w:val="00EC75B5"/>
    <w:rsid w:val="00EC7935"/>
    <w:rsid w:val="00EC7D2F"/>
    <w:rsid w:val="00EC7D48"/>
    <w:rsid w:val="00ED0032"/>
    <w:rsid w:val="00ED0CCC"/>
    <w:rsid w:val="00ED1042"/>
    <w:rsid w:val="00ED1259"/>
    <w:rsid w:val="00ED21E1"/>
    <w:rsid w:val="00ED2310"/>
    <w:rsid w:val="00ED2579"/>
    <w:rsid w:val="00ED264D"/>
    <w:rsid w:val="00ED2F26"/>
    <w:rsid w:val="00ED316F"/>
    <w:rsid w:val="00ED3178"/>
    <w:rsid w:val="00ED3CDD"/>
    <w:rsid w:val="00ED3FEB"/>
    <w:rsid w:val="00ED5162"/>
    <w:rsid w:val="00ED5166"/>
    <w:rsid w:val="00EE05BF"/>
    <w:rsid w:val="00EE0B94"/>
    <w:rsid w:val="00EE0FF4"/>
    <w:rsid w:val="00EE1515"/>
    <w:rsid w:val="00EE1690"/>
    <w:rsid w:val="00EE1B47"/>
    <w:rsid w:val="00EE1EF0"/>
    <w:rsid w:val="00EE1FE5"/>
    <w:rsid w:val="00EE244C"/>
    <w:rsid w:val="00EE3F25"/>
    <w:rsid w:val="00EE478A"/>
    <w:rsid w:val="00EE4B2A"/>
    <w:rsid w:val="00EE4BA1"/>
    <w:rsid w:val="00EE4F26"/>
    <w:rsid w:val="00EE716C"/>
    <w:rsid w:val="00EE76D0"/>
    <w:rsid w:val="00EE7D0C"/>
    <w:rsid w:val="00EE7F85"/>
    <w:rsid w:val="00EF1250"/>
    <w:rsid w:val="00EF17C6"/>
    <w:rsid w:val="00EF1875"/>
    <w:rsid w:val="00EF1D0C"/>
    <w:rsid w:val="00EF1F20"/>
    <w:rsid w:val="00EF2431"/>
    <w:rsid w:val="00EF2883"/>
    <w:rsid w:val="00EF3D71"/>
    <w:rsid w:val="00EF4017"/>
    <w:rsid w:val="00EF41A6"/>
    <w:rsid w:val="00EF424A"/>
    <w:rsid w:val="00EF4B73"/>
    <w:rsid w:val="00EF4CF6"/>
    <w:rsid w:val="00EF5A36"/>
    <w:rsid w:val="00EF5A3F"/>
    <w:rsid w:val="00EF5D0E"/>
    <w:rsid w:val="00EF5D7C"/>
    <w:rsid w:val="00EF65A7"/>
    <w:rsid w:val="00EF6F2D"/>
    <w:rsid w:val="00EF7667"/>
    <w:rsid w:val="00EF790C"/>
    <w:rsid w:val="00F01553"/>
    <w:rsid w:val="00F02023"/>
    <w:rsid w:val="00F029BB"/>
    <w:rsid w:val="00F03F1D"/>
    <w:rsid w:val="00F040AF"/>
    <w:rsid w:val="00F046C0"/>
    <w:rsid w:val="00F04E13"/>
    <w:rsid w:val="00F04FFE"/>
    <w:rsid w:val="00F06A20"/>
    <w:rsid w:val="00F06AA0"/>
    <w:rsid w:val="00F06C52"/>
    <w:rsid w:val="00F074CF"/>
    <w:rsid w:val="00F0758F"/>
    <w:rsid w:val="00F0798C"/>
    <w:rsid w:val="00F117D0"/>
    <w:rsid w:val="00F118F7"/>
    <w:rsid w:val="00F11D0F"/>
    <w:rsid w:val="00F11D39"/>
    <w:rsid w:val="00F1325B"/>
    <w:rsid w:val="00F14AE8"/>
    <w:rsid w:val="00F14E97"/>
    <w:rsid w:val="00F15C28"/>
    <w:rsid w:val="00F160E1"/>
    <w:rsid w:val="00F16AAD"/>
    <w:rsid w:val="00F171A6"/>
    <w:rsid w:val="00F17D1D"/>
    <w:rsid w:val="00F17D2F"/>
    <w:rsid w:val="00F20A75"/>
    <w:rsid w:val="00F20EF1"/>
    <w:rsid w:val="00F20F84"/>
    <w:rsid w:val="00F21419"/>
    <w:rsid w:val="00F2264C"/>
    <w:rsid w:val="00F228C1"/>
    <w:rsid w:val="00F22B71"/>
    <w:rsid w:val="00F23030"/>
    <w:rsid w:val="00F2407A"/>
    <w:rsid w:val="00F243AC"/>
    <w:rsid w:val="00F248D4"/>
    <w:rsid w:val="00F25610"/>
    <w:rsid w:val="00F26A88"/>
    <w:rsid w:val="00F26EE2"/>
    <w:rsid w:val="00F27036"/>
    <w:rsid w:val="00F2741D"/>
    <w:rsid w:val="00F276B4"/>
    <w:rsid w:val="00F27912"/>
    <w:rsid w:val="00F30350"/>
    <w:rsid w:val="00F308A4"/>
    <w:rsid w:val="00F3123F"/>
    <w:rsid w:val="00F3163F"/>
    <w:rsid w:val="00F31D00"/>
    <w:rsid w:val="00F32CCD"/>
    <w:rsid w:val="00F331BB"/>
    <w:rsid w:val="00F348DA"/>
    <w:rsid w:val="00F34E90"/>
    <w:rsid w:val="00F354C2"/>
    <w:rsid w:val="00F356AF"/>
    <w:rsid w:val="00F35F46"/>
    <w:rsid w:val="00F36465"/>
    <w:rsid w:val="00F374B2"/>
    <w:rsid w:val="00F37CDC"/>
    <w:rsid w:val="00F37D63"/>
    <w:rsid w:val="00F401F4"/>
    <w:rsid w:val="00F40ED0"/>
    <w:rsid w:val="00F41E0E"/>
    <w:rsid w:val="00F41EF1"/>
    <w:rsid w:val="00F42989"/>
    <w:rsid w:val="00F42AE1"/>
    <w:rsid w:val="00F43FD7"/>
    <w:rsid w:val="00F445D3"/>
    <w:rsid w:val="00F44616"/>
    <w:rsid w:val="00F44875"/>
    <w:rsid w:val="00F44B93"/>
    <w:rsid w:val="00F44FD8"/>
    <w:rsid w:val="00F45384"/>
    <w:rsid w:val="00F4547E"/>
    <w:rsid w:val="00F45DFF"/>
    <w:rsid w:val="00F45E43"/>
    <w:rsid w:val="00F45F26"/>
    <w:rsid w:val="00F4641C"/>
    <w:rsid w:val="00F472F0"/>
    <w:rsid w:val="00F47D13"/>
    <w:rsid w:val="00F505C5"/>
    <w:rsid w:val="00F505EB"/>
    <w:rsid w:val="00F516E0"/>
    <w:rsid w:val="00F5382B"/>
    <w:rsid w:val="00F54243"/>
    <w:rsid w:val="00F54A8C"/>
    <w:rsid w:val="00F5500D"/>
    <w:rsid w:val="00F5619D"/>
    <w:rsid w:val="00F5680A"/>
    <w:rsid w:val="00F56E8F"/>
    <w:rsid w:val="00F57CFE"/>
    <w:rsid w:val="00F57ECF"/>
    <w:rsid w:val="00F6081C"/>
    <w:rsid w:val="00F6185F"/>
    <w:rsid w:val="00F618E4"/>
    <w:rsid w:val="00F6193A"/>
    <w:rsid w:val="00F61C1E"/>
    <w:rsid w:val="00F61E7D"/>
    <w:rsid w:val="00F64346"/>
    <w:rsid w:val="00F65966"/>
    <w:rsid w:val="00F65A41"/>
    <w:rsid w:val="00F663E2"/>
    <w:rsid w:val="00F66D8D"/>
    <w:rsid w:val="00F67246"/>
    <w:rsid w:val="00F672C4"/>
    <w:rsid w:val="00F672FA"/>
    <w:rsid w:val="00F6799F"/>
    <w:rsid w:val="00F71FE9"/>
    <w:rsid w:val="00F72E08"/>
    <w:rsid w:val="00F73744"/>
    <w:rsid w:val="00F73E3D"/>
    <w:rsid w:val="00F74451"/>
    <w:rsid w:val="00F745C8"/>
    <w:rsid w:val="00F74781"/>
    <w:rsid w:val="00F754C0"/>
    <w:rsid w:val="00F755B2"/>
    <w:rsid w:val="00F75B63"/>
    <w:rsid w:val="00F75FCC"/>
    <w:rsid w:val="00F76266"/>
    <w:rsid w:val="00F763E4"/>
    <w:rsid w:val="00F76882"/>
    <w:rsid w:val="00F76C48"/>
    <w:rsid w:val="00F76F4B"/>
    <w:rsid w:val="00F77DBF"/>
    <w:rsid w:val="00F805C9"/>
    <w:rsid w:val="00F8143B"/>
    <w:rsid w:val="00F8181E"/>
    <w:rsid w:val="00F81B1B"/>
    <w:rsid w:val="00F81DAA"/>
    <w:rsid w:val="00F82045"/>
    <w:rsid w:val="00F822A5"/>
    <w:rsid w:val="00F824D4"/>
    <w:rsid w:val="00F8253B"/>
    <w:rsid w:val="00F8255A"/>
    <w:rsid w:val="00F82721"/>
    <w:rsid w:val="00F83A70"/>
    <w:rsid w:val="00F83D9C"/>
    <w:rsid w:val="00F8457D"/>
    <w:rsid w:val="00F848DA"/>
    <w:rsid w:val="00F84998"/>
    <w:rsid w:val="00F84C41"/>
    <w:rsid w:val="00F84CC2"/>
    <w:rsid w:val="00F85366"/>
    <w:rsid w:val="00F85B19"/>
    <w:rsid w:val="00F85EC6"/>
    <w:rsid w:val="00F86387"/>
    <w:rsid w:val="00F86889"/>
    <w:rsid w:val="00F86E0A"/>
    <w:rsid w:val="00F8770B"/>
    <w:rsid w:val="00F8798F"/>
    <w:rsid w:val="00F90982"/>
    <w:rsid w:val="00F90D97"/>
    <w:rsid w:val="00F912C1"/>
    <w:rsid w:val="00F9180E"/>
    <w:rsid w:val="00F92139"/>
    <w:rsid w:val="00F9245F"/>
    <w:rsid w:val="00F93094"/>
    <w:rsid w:val="00F93CDC"/>
    <w:rsid w:val="00F94248"/>
    <w:rsid w:val="00F946BA"/>
    <w:rsid w:val="00F94FE6"/>
    <w:rsid w:val="00F952D6"/>
    <w:rsid w:val="00F96022"/>
    <w:rsid w:val="00F96B11"/>
    <w:rsid w:val="00F9723C"/>
    <w:rsid w:val="00F97AE0"/>
    <w:rsid w:val="00F97B11"/>
    <w:rsid w:val="00F97BB7"/>
    <w:rsid w:val="00FA0D9B"/>
    <w:rsid w:val="00FA1E9C"/>
    <w:rsid w:val="00FA2242"/>
    <w:rsid w:val="00FA2636"/>
    <w:rsid w:val="00FA26AE"/>
    <w:rsid w:val="00FA270F"/>
    <w:rsid w:val="00FA2A25"/>
    <w:rsid w:val="00FA2EF1"/>
    <w:rsid w:val="00FA2F05"/>
    <w:rsid w:val="00FA2F17"/>
    <w:rsid w:val="00FA30E9"/>
    <w:rsid w:val="00FA3665"/>
    <w:rsid w:val="00FA4080"/>
    <w:rsid w:val="00FA53D9"/>
    <w:rsid w:val="00FA5658"/>
    <w:rsid w:val="00FA696E"/>
    <w:rsid w:val="00FA6F57"/>
    <w:rsid w:val="00FA7544"/>
    <w:rsid w:val="00FA7807"/>
    <w:rsid w:val="00FA7B36"/>
    <w:rsid w:val="00FB0234"/>
    <w:rsid w:val="00FB0668"/>
    <w:rsid w:val="00FB0DD5"/>
    <w:rsid w:val="00FB1129"/>
    <w:rsid w:val="00FB169D"/>
    <w:rsid w:val="00FB198A"/>
    <w:rsid w:val="00FB227D"/>
    <w:rsid w:val="00FB26F3"/>
    <w:rsid w:val="00FB275D"/>
    <w:rsid w:val="00FB2F57"/>
    <w:rsid w:val="00FB3344"/>
    <w:rsid w:val="00FB3DC1"/>
    <w:rsid w:val="00FB412B"/>
    <w:rsid w:val="00FB424E"/>
    <w:rsid w:val="00FB4B28"/>
    <w:rsid w:val="00FB52A7"/>
    <w:rsid w:val="00FB5AE9"/>
    <w:rsid w:val="00FB5BD6"/>
    <w:rsid w:val="00FB6B0A"/>
    <w:rsid w:val="00FB70AD"/>
    <w:rsid w:val="00FB768E"/>
    <w:rsid w:val="00FB7A26"/>
    <w:rsid w:val="00FC0673"/>
    <w:rsid w:val="00FC18FE"/>
    <w:rsid w:val="00FC1B77"/>
    <w:rsid w:val="00FC1E21"/>
    <w:rsid w:val="00FC27B4"/>
    <w:rsid w:val="00FC2F6A"/>
    <w:rsid w:val="00FC2F9B"/>
    <w:rsid w:val="00FC37E3"/>
    <w:rsid w:val="00FC3E72"/>
    <w:rsid w:val="00FC4709"/>
    <w:rsid w:val="00FC494F"/>
    <w:rsid w:val="00FC4BA0"/>
    <w:rsid w:val="00FC55B2"/>
    <w:rsid w:val="00FC57C7"/>
    <w:rsid w:val="00FC5EFD"/>
    <w:rsid w:val="00FC6544"/>
    <w:rsid w:val="00FC6885"/>
    <w:rsid w:val="00FC68DF"/>
    <w:rsid w:val="00FC712D"/>
    <w:rsid w:val="00FC7234"/>
    <w:rsid w:val="00FC789C"/>
    <w:rsid w:val="00FC7BCC"/>
    <w:rsid w:val="00FC7BD2"/>
    <w:rsid w:val="00FC7FBF"/>
    <w:rsid w:val="00FD014A"/>
    <w:rsid w:val="00FD09B7"/>
    <w:rsid w:val="00FD10A4"/>
    <w:rsid w:val="00FD14BE"/>
    <w:rsid w:val="00FD199B"/>
    <w:rsid w:val="00FD1AF4"/>
    <w:rsid w:val="00FD21B8"/>
    <w:rsid w:val="00FD242F"/>
    <w:rsid w:val="00FD27EC"/>
    <w:rsid w:val="00FD3925"/>
    <w:rsid w:val="00FD398D"/>
    <w:rsid w:val="00FD3A00"/>
    <w:rsid w:val="00FD3DA6"/>
    <w:rsid w:val="00FD3E4D"/>
    <w:rsid w:val="00FD3FA9"/>
    <w:rsid w:val="00FD5235"/>
    <w:rsid w:val="00FD6623"/>
    <w:rsid w:val="00FD6663"/>
    <w:rsid w:val="00FD6998"/>
    <w:rsid w:val="00FD6EDB"/>
    <w:rsid w:val="00FD6F7B"/>
    <w:rsid w:val="00FE0DF3"/>
    <w:rsid w:val="00FE2520"/>
    <w:rsid w:val="00FE2707"/>
    <w:rsid w:val="00FE371F"/>
    <w:rsid w:val="00FE397F"/>
    <w:rsid w:val="00FE3B8C"/>
    <w:rsid w:val="00FE41B1"/>
    <w:rsid w:val="00FE43E4"/>
    <w:rsid w:val="00FE4FE4"/>
    <w:rsid w:val="00FE5049"/>
    <w:rsid w:val="00FE5698"/>
    <w:rsid w:val="00FE6F60"/>
    <w:rsid w:val="00FE7B96"/>
    <w:rsid w:val="00FE7D46"/>
    <w:rsid w:val="00FF0264"/>
    <w:rsid w:val="00FF120C"/>
    <w:rsid w:val="00FF18C9"/>
    <w:rsid w:val="00FF19B7"/>
    <w:rsid w:val="00FF1B80"/>
    <w:rsid w:val="00FF21D3"/>
    <w:rsid w:val="00FF24F4"/>
    <w:rsid w:val="00FF2AE1"/>
    <w:rsid w:val="00FF2B3A"/>
    <w:rsid w:val="00FF2C86"/>
    <w:rsid w:val="00FF34F4"/>
    <w:rsid w:val="00FF3576"/>
    <w:rsid w:val="00FF3E2D"/>
    <w:rsid w:val="00FF4215"/>
    <w:rsid w:val="00FF4842"/>
    <w:rsid w:val="00FF48CA"/>
    <w:rsid w:val="00FF4BDA"/>
    <w:rsid w:val="00FF5A10"/>
    <w:rsid w:val="00FF5EAA"/>
    <w:rsid w:val="00FF683D"/>
    <w:rsid w:val="00FF6E45"/>
    <w:rsid w:val="00FF79EF"/>
    <w:rsid w:val="00FF7CA3"/>
    <w:rsid w:val="010C02C2"/>
    <w:rsid w:val="013E0117"/>
    <w:rsid w:val="01401DF9"/>
    <w:rsid w:val="01472B0B"/>
    <w:rsid w:val="017AF74B"/>
    <w:rsid w:val="0187AF36"/>
    <w:rsid w:val="018A71BD"/>
    <w:rsid w:val="01915D21"/>
    <w:rsid w:val="01D2FF19"/>
    <w:rsid w:val="01F586F6"/>
    <w:rsid w:val="025032CA"/>
    <w:rsid w:val="0252B49A"/>
    <w:rsid w:val="02580132"/>
    <w:rsid w:val="02685027"/>
    <w:rsid w:val="02B80C53"/>
    <w:rsid w:val="02BA87FA"/>
    <w:rsid w:val="02C35D75"/>
    <w:rsid w:val="02C57259"/>
    <w:rsid w:val="02E49DB8"/>
    <w:rsid w:val="0328381D"/>
    <w:rsid w:val="032D9229"/>
    <w:rsid w:val="03475B23"/>
    <w:rsid w:val="0353FE56"/>
    <w:rsid w:val="03730F6D"/>
    <w:rsid w:val="037E3DAC"/>
    <w:rsid w:val="03A483D0"/>
    <w:rsid w:val="03A5D9FE"/>
    <w:rsid w:val="03BA643C"/>
    <w:rsid w:val="03BC1896"/>
    <w:rsid w:val="03C19CA9"/>
    <w:rsid w:val="03C6B17D"/>
    <w:rsid w:val="03D81F25"/>
    <w:rsid w:val="03ED233A"/>
    <w:rsid w:val="0420DF3B"/>
    <w:rsid w:val="0422E8B3"/>
    <w:rsid w:val="0445E9CE"/>
    <w:rsid w:val="0447D774"/>
    <w:rsid w:val="0465925D"/>
    <w:rsid w:val="046FA5DA"/>
    <w:rsid w:val="0513F8BF"/>
    <w:rsid w:val="0540A52B"/>
    <w:rsid w:val="05610F0A"/>
    <w:rsid w:val="05871C20"/>
    <w:rsid w:val="05A7AB9E"/>
    <w:rsid w:val="05AE9C0A"/>
    <w:rsid w:val="05B56FD0"/>
    <w:rsid w:val="05D4DAF6"/>
    <w:rsid w:val="05DF73E5"/>
    <w:rsid w:val="05E3B8E8"/>
    <w:rsid w:val="06001DA3"/>
    <w:rsid w:val="060C9DB5"/>
    <w:rsid w:val="065DCCB5"/>
    <w:rsid w:val="066A8A30"/>
    <w:rsid w:val="067A8B7F"/>
    <w:rsid w:val="068946C8"/>
    <w:rsid w:val="06D87A5C"/>
    <w:rsid w:val="06F44BC0"/>
    <w:rsid w:val="06FA8901"/>
    <w:rsid w:val="07203170"/>
    <w:rsid w:val="07493D7B"/>
    <w:rsid w:val="0752A1F2"/>
    <w:rsid w:val="0757E89C"/>
    <w:rsid w:val="075AE1F8"/>
    <w:rsid w:val="076496B0"/>
    <w:rsid w:val="07678FDC"/>
    <w:rsid w:val="077142CF"/>
    <w:rsid w:val="0792EF2F"/>
    <w:rsid w:val="079EFCB8"/>
    <w:rsid w:val="07BA78C6"/>
    <w:rsid w:val="0835AA60"/>
    <w:rsid w:val="086B8074"/>
    <w:rsid w:val="0874F5FE"/>
    <w:rsid w:val="087CFF2F"/>
    <w:rsid w:val="08EE5C28"/>
    <w:rsid w:val="0915CA04"/>
    <w:rsid w:val="093BAE51"/>
    <w:rsid w:val="094E3848"/>
    <w:rsid w:val="09680B4E"/>
    <w:rsid w:val="09858253"/>
    <w:rsid w:val="09C9D12F"/>
    <w:rsid w:val="0A00EC4E"/>
    <w:rsid w:val="0A12E21B"/>
    <w:rsid w:val="0A3E125D"/>
    <w:rsid w:val="0A4406AA"/>
    <w:rsid w:val="0A6B0568"/>
    <w:rsid w:val="0AAC7061"/>
    <w:rsid w:val="0AF36A26"/>
    <w:rsid w:val="0B044056"/>
    <w:rsid w:val="0B774224"/>
    <w:rsid w:val="0B7C7CA8"/>
    <w:rsid w:val="0B7DEF7C"/>
    <w:rsid w:val="0BAF431C"/>
    <w:rsid w:val="0BB05FFE"/>
    <w:rsid w:val="0BB32285"/>
    <w:rsid w:val="0BD0629C"/>
    <w:rsid w:val="0BE74DDC"/>
    <w:rsid w:val="0BED16CE"/>
    <w:rsid w:val="0BFAF7A6"/>
    <w:rsid w:val="0C48ED6A"/>
    <w:rsid w:val="0C56546B"/>
    <w:rsid w:val="0C6F64B7"/>
    <w:rsid w:val="0C95122E"/>
    <w:rsid w:val="0CB4F31E"/>
    <w:rsid w:val="0CBA4A63"/>
    <w:rsid w:val="0CD3FEA5"/>
    <w:rsid w:val="0CE3EEE1"/>
    <w:rsid w:val="0D038CD8"/>
    <w:rsid w:val="0D104A53"/>
    <w:rsid w:val="0D2998F3"/>
    <w:rsid w:val="0D3615DC"/>
    <w:rsid w:val="0D75B31F"/>
    <w:rsid w:val="0D922E05"/>
    <w:rsid w:val="0DB01BBF"/>
    <w:rsid w:val="0DDAC2D7"/>
    <w:rsid w:val="0E55E8EE"/>
    <w:rsid w:val="0E631D1E"/>
    <w:rsid w:val="0E7130C7"/>
    <w:rsid w:val="0E8C9963"/>
    <w:rsid w:val="0E9CF3E7"/>
    <w:rsid w:val="0EA55916"/>
    <w:rsid w:val="0ED709CD"/>
    <w:rsid w:val="0EEDB7A4"/>
    <w:rsid w:val="0F8FFBC2"/>
    <w:rsid w:val="0F96AC01"/>
    <w:rsid w:val="0F9E5C9A"/>
    <w:rsid w:val="0FA3D8BB"/>
    <w:rsid w:val="0FBE4BD4"/>
    <w:rsid w:val="0FEFF2E7"/>
    <w:rsid w:val="10122B2C"/>
    <w:rsid w:val="1047DF82"/>
    <w:rsid w:val="104B62B0"/>
    <w:rsid w:val="105B5B93"/>
    <w:rsid w:val="107017A7"/>
    <w:rsid w:val="107A191E"/>
    <w:rsid w:val="10DEBDAC"/>
    <w:rsid w:val="111986D6"/>
    <w:rsid w:val="1159B40C"/>
    <w:rsid w:val="115B23C6"/>
    <w:rsid w:val="11D5CF0B"/>
    <w:rsid w:val="1203B799"/>
    <w:rsid w:val="1229A2F1"/>
    <w:rsid w:val="12417FB8"/>
    <w:rsid w:val="12615080"/>
    <w:rsid w:val="12B73D67"/>
    <w:rsid w:val="12D9D0B6"/>
    <w:rsid w:val="12ED8935"/>
    <w:rsid w:val="12FE073A"/>
    <w:rsid w:val="133CCEAC"/>
    <w:rsid w:val="137C6F41"/>
    <w:rsid w:val="138F3DAF"/>
    <w:rsid w:val="13B4CFF3"/>
    <w:rsid w:val="13F5662C"/>
    <w:rsid w:val="14083F32"/>
    <w:rsid w:val="14087203"/>
    <w:rsid w:val="140BE132"/>
    <w:rsid w:val="1419A8F4"/>
    <w:rsid w:val="141B4C61"/>
    <w:rsid w:val="142263AE"/>
    <w:rsid w:val="144586FF"/>
    <w:rsid w:val="14751437"/>
    <w:rsid w:val="148252FF"/>
    <w:rsid w:val="14B96916"/>
    <w:rsid w:val="14CBD2DD"/>
    <w:rsid w:val="14DC131E"/>
    <w:rsid w:val="15150DDC"/>
    <w:rsid w:val="15166EA2"/>
    <w:rsid w:val="15511B26"/>
    <w:rsid w:val="1560AC3B"/>
    <w:rsid w:val="159BFBCA"/>
    <w:rsid w:val="1602C657"/>
    <w:rsid w:val="1613179F"/>
    <w:rsid w:val="16134D10"/>
    <w:rsid w:val="161DFC22"/>
    <w:rsid w:val="163F2DD1"/>
    <w:rsid w:val="164BD921"/>
    <w:rsid w:val="169242E0"/>
    <w:rsid w:val="169DD266"/>
    <w:rsid w:val="16AE4884"/>
    <w:rsid w:val="17008ED6"/>
    <w:rsid w:val="1705EB47"/>
    <w:rsid w:val="172B8982"/>
    <w:rsid w:val="17539378"/>
    <w:rsid w:val="177A0B2B"/>
    <w:rsid w:val="1795E210"/>
    <w:rsid w:val="17ACF262"/>
    <w:rsid w:val="17C53A4B"/>
    <w:rsid w:val="17F109D8"/>
    <w:rsid w:val="182755A6"/>
    <w:rsid w:val="1854B7CF"/>
    <w:rsid w:val="18910E15"/>
    <w:rsid w:val="1892D382"/>
    <w:rsid w:val="18AEB2D3"/>
    <w:rsid w:val="18D65380"/>
    <w:rsid w:val="18F3451B"/>
    <w:rsid w:val="18F5A200"/>
    <w:rsid w:val="19230EB2"/>
    <w:rsid w:val="19308155"/>
    <w:rsid w:val="1966FEF9"/>
    <w:rsid w:val="1981A3D7"/>
    <w:rsid w:val="1999FC5B"/>
    <w:rsid w:val="19B36221"/>
    <w:rsid w:val="19EB2B5B"/>
    <w:rsid w:val="19FC018B"/>
    <w:rsid w:val="19FC918D"/>
    <w:rsid w:val="1A30F630"/>
    <w:rsid w:val="1A383A30"/>
    <w:rsid w:val="1A3B736C"/>
    <w:rsid w:val="1A4C82CF"/>
    <w:rsid w:val="1A6F44B4"/>
    <w:rsid w:val="1A8B2F98"/>
    <w:rsid w:val="1A8E9EC7"/>
    <w:rsid w:val="1A9D7126"/>
    <w:rsid w:val="1AB238CD"/>
    <w:rsid w:val="1AF9C502"/>
    <w:rsid w:val="1B1E9205"/>
    <w:rsid w:val="1B28C286"/>
    <w:rsid w:val="1B4B0932"/>
    <w:rsid w:val="1B70DDE7"/>
    <w:rsid w:val="1B89960A"/>
    <w:rsid w:val="1BCE5A28"/>
    <w:rsid w:val="1BD2FDD7"/>
    <w:rsid w:val="1BD30408"/>
    <w:rsid w:val="1BEFA1E1"/>
    <w:rsid w:val="1C04A5F6"/>
    <w:rsid w:val="1C2AB886"/>
    <w:rsid w:val="1C4472E1"/>
    <w:rsid w:val="1C5665F3"/>
    <w:rsid w:val="1C88080F"/>
    <w:rsid w:val="1C9B788D"/>
    <w:rsid w:val="1CA2DD48"/>
    <w:rsid w:val="1CA5747C"/>
    <w:rsid w:val="1CA9DB66"/>
    <w:rsid w:val="1CAA7742"/>
    <w:rsid w:val="1CC3B0B2"/>
    <w:rsid w:val="1CE7F760"/>
    <w:rsid w:val="1CEB1E8E"/>
    <w:rsid w:val="1CF241CB"/>
    <w:rsid w:val="1D01B735"/>
    <w:rsid w:val="1D0A781E"/>
    <w:rsid w:val="1D44339E"/>
    <w:rsid w:val="1D620B2D"/>
    <w:rsid w:val="1DB26969"/>
    <w:rsid w:val="1DBDCC99"/>
    <w:rsid w:val="1DDE6451"/>
    <w:rsid w:val="1E08971A"/>
    <w:rsid w:val="1E19715F"/>
    <w:rsid w:val="1E4455E0"/>
    <w:rsid w:val="1E542FF1"/>
    <w:rsid w:val="1E69AED8"/>
    <w:rsid w:val="1E9BD759"/>
    <w:rsid w:val="1F10504D"/>
    <w:rsid w:val="1F1E0A82"/>
    <w:rsid w:val="1F214E56"/>
    <w:rsid w:val="1F7824B4"/>
    <w:rsid w:val="1F7B7C2B"/>
    <w:rsid w:val="1F8804F0"/>
    <w:rsid w:val="1FA28560"/>
    <w:rsid w:val="1FAB2A26"/>
    <w:rsid w:val="1FBE480B"/>
    <w:rsid w:val="1FE238C4"/>
    <w:rsid w:val="201778C6"/>
    <w:rsid w:val="203B8306"/>
    <w:rsid w:val="203DAD3B"/>
    <w:rsid w:val="2077148B"/>
    <w:rsid w:val="20ADCA10"/>
    <w:rsid w:val="20B2A17B"/>
    <w:rsid w:val="20CFA5E1"/>
    <w:rsid w:val="20DA4228"/>
    <w:rsid w:val="20F29A63"/>
    <w:rsid w:val="2106A832"/>
    <w:rsid w:val="2114EEAC"/>
    <w:rsid w:val="21226ADD"/>
    <w:rsid w:val="217B5F2A"/>
    <w:rsid w:val="21BB5AC6"/>
    <w:rsid w:val="21ED539B"/>
    <w:rsid w:val="2205E480"/>
    <w:rsid w:val="22382231"/>
    <w:rsid w:val="22474E9F"/>
    <w:rsid w:val="22717887"/>
    <w:rsid w:val="2275F5E3"/>
    <w:rsid w:val="2293CD72"/>
    <w:rsid w:val="2296E38D"/>
    <w:rsid w:val="22A90458"/>
    <w:rsid w:val="22B3E63B"/>
    <w:rsid w:val="22E1AE06"/>
    <w:rsid w:val="2311996A"/>
    <w:rsid w:val="2311F379"/>
    <w:rsid w:val="2326BFB5"/>
    <w:rsid w:val="23371F3E"/>
    <w:rsid w:val="235ED1EB"/>
    <w:rsid w:val="237CAE82"/>
    <w:rsid w:val="23B1BA4D"/>
    <w:rsid w:val="23BD778C"/>
    <w:rsid w:val="23CCCF55"/>
    <w:rsid w:val="23D36D49"/>
    <w:rsid w:val="23DB1BBF"/>
    <w:rsid w:val="23F073F3"/>
    <w:rsid w:val="24268258"/>
    <w:rsid w:val="2432270E"/>
    <w:rsid w:val="2491B92E"/>
    <w:rsid w:val="24DC87C4"/>
    <w:rsid w:val="2514C138"/>
    <w:rsid w:val="251F0AA8"/>
    <w:rsid w:val="2550EB49"/>
    <w:rsid w:val="2571895B"/>
    <w:rsid w:val="25AB9E67"/>
    <w:rsid w:val="25AF150C"/>
    <w:rsid w:val="25B5D2A7"/>
    <w:rsid w:val="25DA4C26"/>
    <w:rsid w:val="25E98EBF"/>
    <w:rsid w:val="26083558"/>
    <w:rsid w:val="260A0C2F"/>
    <w:rsid w:val="2620228E"/>
    <w:rsid w:val="2699712A"/>
    <w:rsid w:val="26B100D8"/>
    <w:rsid w:val="26D43637"/>
    <w:rsid w:val="2726BE87"/>
    <w:rsid w:val="27450C04"/>
    <w:rsid w:val="2757AD80"/>
    <w:rsid w:val="27C44FB4"/>
    <w:rsid w:val="27C82B00"/>
    <w:rsid w:val="27CE1F4D"/>
    <w:rsid w:val="27D87FE3"/>
    <w:rsid w:val="27DEF57D"/>
    <w:rsid w:val="28135E3D"/>
    <w:rsid w:val="2820A898"/>
    <w:rsid w:val="283DF442"/>
    <w:rsid w:val="2850E9EE"/>
    <w:rsid w:val="28664197"/>
    <w:rsid w:val="288960CB"/>
    <w:rsid w:val="288A2A3A"/>
    <w:rsid w:val="2891D2C0"/>
    <w:rsid w:val="289C4FFC"/>
    <w:rsid w:val="28AD6395"/>
    <w:rsid w:val="28B7A8F0"/>
    <w:rsid w:val="28EC4479"/>
    <w:rsid w:val="28F1C30C"/>
    <w:rsid w:val="2904EB89"/>
    <w:rsid w:val="29259829"/>
    <w:rsid w:val="2932E52A"/>
    <w:rsid w:val="299D0BB6"/>
    <w:rsid w:val="29B6BA33"/>
    <w:rsid w:val="2A36FD67"/>
    <w:rsid w:val="2A43FE5F"/>
    <w:rsid w:val="2A4D7E81"/>
    <w:rsid w:val="2A6F684A"/>
    <w:rsid w:val="2A82862F"/>
    <w:rsid w:val="2A92B78E"/>
    <w:rsid w:val="2B14512F"/>
    <w:rsid w:val="2B29FC25"/>
    <w:rsid w:val="2B30EDD6"/>
    <w:rsid w:val="2B3D451D"/>
    <w:rsid w:val="2B56622F"/>
    <w:rsid w:val="2B6218F3"/>
    <w:rsid w:val="2B636F42"/>
    <w:rsid w:val="2BBB9D42"/>
    <w:rsid w:val="2BC61A7E"/>
    <w:rsid w:val="2BF2B359"/>
    <w:rsid w:val="2BF3D6B6"/>
    <w:rsid w:val="2C16405A"/>
    <w:rsid w:val="2C411FD2"/>
    <w:rsid w:val="2C57D51E"/>
    <w:rsid w:val="2CB1D9C0"/>
    <w:rsid w:val="2CB8BF94"/>
    <w:rsid w:val="2CD35EE2"/>
    <w:rsid w:val="2CE6875F"/>
    <w:rsid w:val="2D366031"/>
    <w:rsid w:val="2D43A991"/>
    <w:rsid w:val="2D65D0C3"/>
    <w:rsid w:val="2D70B836"/>
    <w:rsid w:val="2D9B3D18"/>
    <w:rsid w:val="2DA6C10B"/>
    <w:rsid w:val="2DA81E0A"/>
    <w:rsid w:val="2DC1FC66"/>
    <w:rsid w:val="2DC8288C"/>
    <w:rsid w:val="2DCE60BD"/>
    <w:rsid w:val="2E10E3A9"/>
    <w:rsid w:val="2E2FC7FA"/>
    <w:rsid w:val="2E43D957"/>
    <w:rsid w:val="2E5F3F07"/>
    <w:rsid w:val="2E7CFAEB"/>
    <w:rsid w:val="2E7EF329"/>
    <w:rsid w:val="2E948EB6"/>
    <w:rsid w:val="2EF28DF8"/>
    <w:rsid w:val="2F26F7F0"/>
    <w:rsid w:val="2F421AB7"/>
    <w:rsid w:val="2F516E63"/>
    <w:rsid w:val="2F9B0371"/>
    <w:rsid w:val="2FBA4759"/>
    <w:rsid w:val="2FEA3A33"/>
    <w:rsid w:val="2FFA08D2"/>
    <w:rsid w:val="3014E568"/>
    <w:rsid w:val="30163024"/>
    <w:rsid w:val="30402CAB"/>
    <w:rsid w:val="3058E4BA"/>
    <w:rsid w:val="30EFC29F"/>
    <w:rsid w:val="30FC0010"/>
    <w:rsid w:val="310FE151"/>
    <w:rsid w:val="31683722"/>
    <w:rsid w:val="316F0D46"/>
    <w:rsid w:val="317F7ECF"/>
    <w:rsid w:val="3185D7C3"/>
    <w:rsid w:val="3199DE4D"/>
    <w:rsid w:val="31BFE8A8"/>
    <w:rsid w:val="31D4322E"/>
    <w:rsid w:val="31FBEFA2"/>
    <w:rsid w:val="321570F2"/>
    <w:rsid w:val="322CABCA"/>
    <w:rsid w:val="3230F63C"/>
    <w:rsid w:val="3238B772"/>
    <w:rsid w:val="3246DABD"/>
    <w:rsid w:val="32525EB0"/>
    <w:rsid w:val="3269A3FF"/>
    <w:rsid w:val="32740B10"/>
    <w:rsid w:val="32A0B91B"/>
    <w:rsid w:val="32E59ADA"/>
    <w:rsid w:val="32E63157"/>
    <w:rsid w:val="3301C22C"/>
    <w:rsid w:val="3326BDA2"/>
    <w:rsid w:val="33644133"/>
    <w:rsid w:val="33ADC111"/>
    <w:rsid w:val="33B05B5F"/>
    <w:rsid w:val="33B52C4F"/>
    <w:rsid w:val="33E25CA2"/>
    <w:rsid w:val="33F0A221"/>
    <w:rsid w:val="33F8797C"/>
    <w:rsid w:val="342A3C5B"/>
    <w:rsid w:val="3432E21C"/>
    <w:rsid w:val="34AB1EE6"/>
    <w:rsid w:val="34ADECF8"/>
    <w:rsid w:val="34C36CD2"/>
    <w:rsid w:val="34DDC324"/>
    <w:rsid w:val="3507ED0C"/>
    <w:rsid w:val="351BAD01"/>
    <w:rsid w:val="3563B514"/>
    <w:rsid w:val="356C5AB4"/>
    <w:rsid w:val="3592519F"/>
    <w:rsid w:val="35A83025"/>
    <w:rsid w:val="35CD72F2"/>
    <w:rsid w:val="35D0BCC9"/>
    <w:rsid w:val="35D3E3F7"/>
    <w:rsid w:val="35EFD878"/>
    <w:rsid w:val="35F9BE3C"/>
    <w:rsid w:val="3632A458"/>
    <w:rsid w:val="363CEEC3"/>
    <w:rsid w:val="365C262D"/>
    <w:rsid w:val="365F3D33"/>
    <w:rsid w:val="368E287C"/>
    <w:rsid w:val="36DA3C0C"/>
    <w:rsid w:val="36E73D6B"/>
    <w:rsid w:val="37155E4A"/>
    <w:rsid w:val="371AE358"/>
    <w:rsid w:val="377B4D7B"/>
    <w:rsid w:val="3788EB6A"/>
    <w:rsid w:val="37B2C839"/>
    <w:rsid w:val="37C66B88"/>
    <w:rsid w:val="381D01F5"/>
    <w:rsid w:val="381E6E4E"/>
    <w:rsid w:val="38E7FE63"/>
    <w:rsid w:val="39005D8D"/>
    <w:rsid w:val="39197BBC"/>
    <w:rsid w:val="393736A5"/>
    <w:rsid w:val="397A06A2"/>
    <w:rsid w:val="39915CF0"/>
    <w:rsid w:val="39B969CE"/>
    <w:rsid w:val="39C268A3"/>
    <w:rsid w:val="39D4C7D2"/>
    <w:rsid w:val="39F78FB8"/>
    <w:rsid w:val="3A87BCAB"/>
    <w:rsid w:val="3A8B9D07"/>
    <w:rsid w:val="3A9A2B82"/>
    <w:rsid w:val="3B0E7DD3"/>
    <w:rsid w:val="3B175052"/>
    <w:rsid w:val="3B4AD999"/>
    <w:rsid w:val="3B4CD2D2"/>
    <w:rsid w:val="3B6FEA90"/>
    <w:rsid w:val="3B7906D2"/>
    <w:rsid w:val="3B7B2873"/>
    <w:rsid w:val="3BAE55BA"/>
    <w:rsid w:val="3BB44CAE"/>
    <w:rsid w:val="3BC30A54"/>
    <w:rsid w:val="3C211474"/>
    <w:rsid w:val="3C374779"/>
    <w:rsid w:val="3C6B18C1"/>
    <w:rsid w:val="3CD220B7"/>
    <w:rsid w:val="3D07D8D8"/>
    <w:rsid w:val="3D342E8A"/>
    <w:rsid w:val="3D47FB0C"/>
    <w:rsid w:val="3D73A8E3"/>
    <w:rsid w:val="3D941538"/>
    <w:rsid w:val="3D9A19AD"/>
    <w:rsid w:val="3DA078A4"/>
    <w:rsid w:val="3DFF3A00"/>
    <w:rsid w:val="3E577612"/>
    <w:rsid w:val="3EBA6FEB"/>
    <w:rsid w:val="3EF63AE2"/>
    <w:rsid w:val="3F15A477"/>
    <w:rsid w:val="3F164DFD"/>
    <w:rsid w:val="3F1E6D59"/>
    <w:rsid w:val="3F30AEE7"/>
    <w:rsid w:val="3F46609F"/>
    <w:rsid w:val="3F5EA983"/>
    <w:rsid w:val="3F776C3E"/>
    <w:rsid w:val="3FC4EB4D"/>
    <w:rsid w:val="3FDB7635"/>
    <w:rsid w:val="4035480A"/>
    <w:rsid w:val="40435BB3"/>
    <w:rsid w:val="408C4419"/>
    <w:rsid w:val="40933485"/>
    <w:rsid w:val="40BC4090"/>
    <w:rsid w:val="40D2364D"/>
    <w:rsid w:val="40F5C9B7"/>
    <w:rsid w:val="411C3B74"/>
    <w:rsid w:val="412A4F1D"/>
    <w:rsid w:val="412BBB76"/>
    <w:rsid w:val="413AF80C"/>
    <w:rsid w:val="414DE923"/>
    <w:rsid w:val="414F1813"/>
    <w:rsid w:val="41702CFB"/>
    <w:rsid w:val="41C49859"/>
    <w:rsid w:val="41D1E435"/>
    <w:rsid w:val="41F37173"/>
    <w:rsid w:val="41F85471"/>
    <w:rsid w:val="41FE7A94"/>
    <w:rsid w:val="421008FF"/>
    <w:rsid w:val="4224392E"/>
    <w:rsid w:val="424B9C72"/>
    <w:rsid w:val="427347B7"/>
    <w:rsid w:val="42A1A5FF"/>
    <w:rsid w:val="42C90943"/>
    <w:rsid w:val="42CC9613"/>
    <w:rsid w:val="42D5C6BE"/>
    <w:rsid w:val="42EEEF1B"/>
    <w:rsid w:val="42F4F1D6"/>
    <w:rsid w:val="431692CC"/>
    <w:rsid w:val="431ED662"/>
    <w:rsid w:val="43314029"/>
    <w:rsid w:val="43339693"/>
    <w:rsid w:val="433C914B"/>
    <w:rsid w:val="4350AF6C"/>
    <w:rsid w:val="43657713"/>
    <w:rsid w:val="43C99DB0"/>
    <w:rsid w:val="43FBC8AA"/>
    <w:rsid w:val="4408A8F9"/>
    <w:rsid w:val="442FA020"/>
    <w:rsid w:val="4458BE39"/>
    <w:rsid w:val="4483CF10"/>
    <w:rsid w:val="4495197D"/>
    <w:rsid w:val="449E367D"/>
    <w:rsid w:val="44C71396"/>
    <w:rsid w:val="44CD5DA3"/>
    <w:rsid w:val="44DA3E3F"/>
    <w:rsid w:val="44E40DD8"/>
    <w:rsid w:val="44FD9366"/>
    <w:rsid w:val="45001CA9"/>
    <w:rsid w:val="45051B4A"/>
    <w:rsid w:val="4565926B"/>
    <w:rsid w:val="45713199"/>
    <w:rsid w:val="458347CC"/>
    <w:rsid w:val="4585FEC0"/>
    <w:rsid w:val="45A37D3B"/>
    <w:rsid w:val="45B28D24"/>
    <w:rsid w:val="45CA3C89"/>
    <w:rsid w:val="45E6164A"/>
    <w:rsid w:val="461EA7E7"/>
    <w:rsid w:val="4674320D"/>
    <w:rsid w:val="46757728"/>
    <w:rsid w:val="46983C4D"/>
    <w:rsid w:val="46B5F736"/>
    <w:rsid w:val="46B9C074"/>
    <w:rsid w:val="46BDF9EC"/>
    <w:rsid w:val="46D13894"/>
    <w:rsid w:val="46E604D0"/>
    <w:rsid w:val="47061809"/>
    <w:rsid w:val="472EDC13"/>
    <w:rsid w:val="476A0786"/>
    <w:rsid w:val="4777E53C"/>
    <w:rsid w:val="47CE32AD"/>
    <w:rsid w:val="47D2F905"/>
    <w:rsid w:val="47D5D73F"/>
    <w:rsid w:val="47D62033"/>
    <w:rsid w:val="48087A8A"/>
    <w:rsid w:val="482F0272"/>
    <w:rsid w:val="4835565E"/>
    <w:rsid w:val="484ED23F"/>
    <w:rsid w:val="4854F95D"/>
    <w:rsid w:val="4873F961"/>
    <w:rsid w:val="487BD63E"/>
    <w:rsid w:val="48892485"/>
    <w:rsid w:val="4890F594"/>
    <w:rsid w:val="48934A17"/>
    <w:rsid w:val="489A17AB"/>
    <w:rsid w:val="489C8DF5"/>
    <w:rsid w:val="48AD398C"/>
    <w:rsid w:val="48C39F62"/>
    <w:rsid w:val="48E1A9C2"/>
    <w:rsid w:val="4947ABFC"/>
    <w:rsid w:val="4973721D"/>
    <w:rsid w:val="49834C2E"/>
    <w:rsid w:val="4998F9C9"/>
    <w:rsid w:val="499EE471"/>
    <w:rsid w:val="49CC503F"/>
    <w:rsid w:val="49F0DFE9"/>
    <w:rsid w:val="4A0FE668"/>
    <w:rsid w:val="4A5B149D"/>
    <w:rsid w:val="4A617394"/>
    <w:rsid w:val="4A67146E"/>
    <w:rsid w:val="4A686400"/>
    <w:rsid w:val="4A6CD5C9"/>
    <w:rsid w:val="4A7BBBF1"/>
    <w:rsid w:val="4A864627"/>
    <w:rsid w:val="4A8D3C23"/>
    <w:rsid w:val="4A99A175"/>
    <w:rsid w:val="4AA7824D"/>
    <w:rsid w:val="4ABF1713"/>
    <w:rsid w:val="4AC68DE4"/>
    <w:rsid w:val="4B203554"/>
    <w:rsid w:val="4B36C748"/>
    <w:rsid w:val="4B4A4911"/>
    <w:rsid w:val="4B5C429E"/>
    <w:rsid w:val="4B747F04"/>
    <w:rsid w:val="4BA5C27C"/>
    <w:rsid w:val="4C86C199"/>
    <w:rsid w:val="4C945A70"/>
    <w:rsid w:val="4C988855"/>
    <w:rsid w:val="4CA0430A"/>
    <w:rsid w:val="4D0B78E5"/>
    <w:rsid w:val="4D3EB3B0"/>
    <w:rsid w:val="4D4CE3FF"/>
    <w:rsid w:val="4D4E3A4E"/>
    <w:rsid w:val="4D8785EB"/>
    <w:rsid w:val="4DB42970"/>
    <w:rsid w:val="4DC17E51"/>
    <w:rsid w:val="4DD3E818"/>
    <w:rsid w:val="4DE13178"/>
    <w:rsid w:val="4E4BED7C"/>
    <w:rsid w:val="4E6FF6E2"/>
    <w:rsid w:val="4EAFCE44"/>
    <w:rsid w:val="4EB42EFA"/>
    <w:rsid w:val="4EEA218C"/>
    <w:rsid w:val="4F2ADE30"/>
    <w:rsid w:val="4F3A1DDF"/>
    <w:rsid w:val="4F50EB46"/>
    <w:rsid w:val="4F79DAAB"/>
    <w:rsid w:val="4F8EBEF8"/>
    <w:rsid w:val="4F935184"/>
    <w:rsid w:val="4FAE4049"/>
    <w:rsid w:val="4FB0F0C2"/>
    <w:rsid w:val="4FBAF231"/>
    <w:rsid w:val="4FCC6A71"/>
    <w:rsid w:val="50242FCE"/>
    <w:rsid w:val="5058E805"/>
    <w:rsid w:val="505D48BB"/>
    <w:rsid w:val="50618233"/>
    <w:rsid w:val="50658694"/>
    <w:rsid w:val="506F1B0A"/>
    <w:rsid w:val="506F4DDB"/>
    <w:rsid w:val="50B81F23"/>
    <w:rsid w:val="50F24DDD"/>
    <w:rsid w:val="50F93BB9"/>
    <w:rsid w:val="510F6EBE"/>
    <w:rsid w:val="51149E52"/>
    <w:rsid w:val="516927DD"/>
    <w:rsid w:val="516EDCC2"/>
    <w:rsid w:val="51A7002C"/>
    <w:rsid w:val="51E6A4BD"/>
    <w:rsid w:val="51EBB89E"/>
    <w:rsid w:val="5222638B"/>
    <w:rsid w:val="525CF9E4"/>
    <w:rsid w:val="526053E3"/>
    <w:rsid w:val="527DAA25"/>
    <w:rsid w:val="528B9690"/>
    <w:rsid w:val="533D89C2"/>
    <w:rsid w:val="5360FB8F"/>
    <w:rsid w:val="53796FCE"/>
    <w:rsid w:val="53C66FEE"/>
    <w:rsid w:val="53C947A5"/>
    <w:rsid w:val="53D455DE"/>
    <w:rsid w:val="53FD7C63"/>
    <w:rsid w:val="540C4CD9"/>
    <w:rsid w:val="541BA595"/>
    <w:rsid w:val="543077D4"/>
    <w:rsid w:val="54807F7B"/>
    <w:rsid w:val="54AE0784"/>
    <w:rsid w:val="54B65192"/>
    <w:rsid w:val="54BE4C36"/>
    <w:rsid w:val="54C8E89A"/>
    <w:rsid w:val="54FEF76C"/>
    <w:rsid w:val="55368BBA"/>
    <w:rsid w:val="553E7CBF"/>
    <w:rsid w:val="554ADE5A"/>
    <w:rsid w:val="5573ADF7"/>
    <w:rsid w:val="558546FA"/>
    <w:rsid w:val="55CE0DA2"/>
    <w:rsid w:val="55F4958A"/>
    <w:rsid w:val="56171218"/>
    <w:rsid w:val="5637B0E1"/>
    <w:rsid w:val="56955D04"/>
    <w:rsid w:val="569E9C31"/>
    <w:rsid w:val="56A21C73"/>
    <w:rsid w:val="56A29EBB"/>
    <w:rsid w:val="56ACCC80"/>
    <w:rsid w:val="56AD4752"/>
    <w:rsid w:val="56E4F976"/>
    <w:rsid w:val="56FE8B82"/>
    <w:rsid w:val="57415762"/>
    <w:rsid w:val="5743ED9B"/>
    <w:rsid w:val="57D96A1D"/>
    <w:rsid w:val="58017AE3"/>
    <w:rsid w:val="5805A8C8"/>
    <w:rsid w:val="5849B3C0"/>
    <w:rsid w:val="58554EC9"/>
    <w:rsid w:val="58896F88"/>
    <w:rsid w:val="58978331"/>
    <w:rsid w:val="58BEAE24"/>
    <w:rsid w:val="58F60724"/>
    <w:rsid w:val="590A41EB"/>
    <w:rsid w:val="59272178"/>
    <w:rsid w:val="594A0DDB"/>
    <w:rsid w:val="5974C4A3"/>
    <w:rsid w:val="597C038B"/>
    <w:rsid w:val="599B73C9"/>
    <w:rsid w:val="59A64A19"/>
    <w:rsid w:val="59C7F679"/>
    <w:rsid w:val="59FD8E29"/>
    <w:rsid w:val="5A3A5521"/>
    <w:rsid w:val="5A567C73"/>
    <w:rsid w:val="5A677451"/>
    <w:rsid w:val="5A86DE8C"/>
    <w:rsid w:val="5B38B897"/>
    <w:rsid w:val="5B62E687"/>
    <w:rsid w:val="5B7F8985"/>
    <w:rsid w:val="5BD7DAC7"/>
    <w:rsid w:val="5C0141DC"/>
    <w:rsid w:val="5C2FAA34"/>
    <w:rsid w:val="5C5FF7C6"/>
    <w:rsid w:val="5C6B91C3"/>
    <w:rsid w:val="5C75BF88"/>
    <w:rsid w:val="5CD2297F"/>
    <w:rsid w:val="5CE012E8"/>
    <w:rsid w:val="5D0184E1"/>
    <w:rsid w:val="5D0F7BE4"/>
    <w:rsid w:val="5D223427"/>
    <w:rsid w:val="5D266307"/>
    <w:rsid w:val="5D282874"/>
    <w:rsid w:val="5D365248"/>
    <w:rsid w:val="5D6F9E06"/>
    <w:rsid w:val="5D735CAC"/>
    <w:rsid w:val="5D737952"/>
    <w:rsid w:val="5D760908"/>
    <w:rsid w:val="5D9DCA78"/>
    <w:rsid w:val="5DAA29C7"/>
    <w:rsid w:val="5DB3A8D6"/>
    <w:rsid w:val="5DD62B2A"/>
    <w:rsid w:val="5DDD9160"/>
    <w:rsid w:val="5DEC4189"/>
    <w:rsid w:val="5E0B265A"/>
    <w:rsid w:val="5E141507"/>
    <w:rsid w:val="5E4DF471"/>
    <w:rsid w:val="5E5EC2DA"/>
    <w:rsid w:val="5E663F2B"/>
    <w:rsid w:val="5E78B666"/>
    <w:rsid w:val="5E8B2E74"/>
    <w:rsid w:val="5EA6EB8F"/>
    <w:rsid w:val="5EB42A39"/>
    <w:rsid w:val="5EDBA0EB"/>
    <w:rsid w:val="5EEC12DB"/>
    <w:rsid w:val="5F0455C2"/>
    <w:rsid w:val="5F4F15A3"/>
    <w:rsid w:val="5F60142D"/>
    <w:rsid w:val="5F833662"/>
    <w:rsid w:val="5FDFD747"/>
    <w:rsid w:val="5FF61E41"/>
    <w:rsid w:val="6012BE7E"/>
    <w:rsid w:val="6040160F"/>
    <w:rsid w:val="606558DC"/>
    <w:rsid w:val="60C5BDF7"/>
    <w:rsid w:val="60C78967"/>
    <w:rsid w:val="60EC2A24"/>
    <w:rsid w:val="60F33831"/>
    <w:rsid w:val="60F8F9AD"/>
    <w:rsid w:val="6130C1FC"/>
    <w:rsid w:val="613D5924"/>
    <w:rsid w:val="61568181"/>
    <w:rsid w:val="616BD2AF"/>
    <w:rsid w:val="61833260"/>
    <w:rsid w:val="61A50EBD"/>
    <w:rsid w:val="61C4847B"/>
    <w:rsid w:val="61DBB39F"/>
    <w:rsid w:val="61FC63E0"/>
    <w:rsid w:val="622612F6"/>
    <w:rsid w:val="622BBF42"/>
    <w:rsid w:val="623538E9"/>
    <w:rsid w:val="624781ED"/>
    <w:rsid w:val="6270F29F"/>
    <w:rsid w:val="62747F6F"/>
    <w:rsid w:val="62A0E579"/>
    <w:rsid w:val="62C8345E"/>
    <w:rsid w:val="62D040DB"/>
    <w:rsid w:val="630CFBC8"/>
    <w:rsid w:val="632A5CA2"/>
    <w:rsid w:val="632F1767"/>
    <w:rsid w:val="634073E2"/>
    <w:rsid w:val="635CFFF5"/>
    <w:rsid w:val="63693E81"/>
    <w:rsid w:val="6379F58D"/>
    <w:rsid w:val="63C9A8A4"/>
    <w:rsid w:val="63E4639D"/>
    <w:rsid w:val="63EEAE08"/>
    <w:rsid w:val="63F4A7E5"/>
    <w:rsid w:val="63F839BD"/>
    <w:rsid w:val="63FC7109"/>
    <w:rsid w:val="641579D4"/>
    <w:rsid w:val="6462D91B"/>
    <w:rsid w:val="6483ED08"/>
    <w:rsid w:val="64A12E1A"/>
    <w:rsid w:val="64A1DAC2"/>
    <w:rsid w:val="64B00B11"/>
    <w:rsid w:val="64E39458"/>
    <w:rsid w:val="64F534D1"/>
    <w:rsid w:val="65097FC0"/>
    <w:rsid w:val="65135461"/>
    <w:rsid w:val="651CEBE5"/>
    <w:rsid w:val="654EBFBC"/>
    <w:rsid w:val="65731C74"/>
    <w:rsid w:val="65753CE2"/>
    <w:rsid w:val="658A19C2"/>
    <w:rsid w:val="659DB279"/>
    <w:rsid w:val="65D6E732"/>
    <w:rsid w:val="65D9010D"/>
    <w:rsid w:val="65E16EE5"/>
    <w:rsid w:val="6616A762"/>
    <w:rsid w:val="664206D1"/>
    <w:rsid w:val="6654C517"/>
    <w:rsid w:val="6664F1C1"/>
    <w:rsid w:val="666D6B2C"/>
    <w:rsid w:val="666FC90C"/>
    <w:rsid w:val="66A014FA"/>
    <w:rsid w:val="66DD8A0B"/>
    <w:rsid w:val="66F13D7F"/>
    <w:rsid w:val="66F3CD35"/>
    <w:rsid w:val="66F41BB1"/>
    <w:rsid w:val="671C6F89"/>
    <w:rsid w:val="6736C5E3"/>
    <w:rsid w:val="67424446"/>
    <w:rsid w:val="6744127B"/>
    <w:rsid w:val="6752B5CF"/>
    <w:rsid w:val="67594629"/>
    <w:rsid w:val="676C2BCE"/>
    <w:rsid w:val="679602FC"/>
    <w:rsid w:val="67A7BE35"/>
    <w:rsid w:val="67C02151"/>
    <w:rsid w:val="67C0D56F"/>
    <w:rsid w:val="67CC3224"/>
    <w:rsid w:val="67D68727"/>
    <w:rsid w:val="680D8713"/>
    <w:rsid w:val="68106962"/>
    <w:rsid w:val="68248366"/>
    <w:rsid w:val="6832C9E0"/>
    <w:rsid w:val="6832FCB1"/>
    <w:rsid w:val="6840DD89"/>
    <w:rsid w:val="684EC693"/>
    <w:rsid w:val="6871FE58"/>
    <w:rsid w:val="689537D4"/>
    <w:rsid w:val="68955F12"/>
    <w:rsid w:val="68ABD61C"/>
    <w:rsid w:val="68BE4B55"/>
    <w:rsid w:val="68C84934"/>
    <w:rsid w:val="68D547A8"/>
    <w:rsid w:val="691D4EAF"/>
    <w:rsid w:val="696B29B3"/>
    <w:rsid w:val="696EFD89"/>
    <w:rsid w:val="69B33C3D"/>
    <w:rsid w:val="69BF3B02"/>
    <w:rsid w:val="69ECCFFC"/>
    <w:rsid w:val="6A239D17"/>
    <w:rsid w:val="6A3F4D2C"/>
    <w:rsid w:val="6A5806D2"/>
    <w:rsid w:val="6A7C0484"/>
    <w:rsid w:val="6AC8F921"/>
    <w:rsid w:val="6AD4DC2B"/>
    <w:rsid w:val="6B3506AE"/>
    <w:rsid w:val="6B3A835B"/>
    <w:rsid w:val="6B5A9091"/>
    <w:rsid w:val="6B910F30"/>
    <w:rsid w:val="6BBE7159"/>
    <w:rsid w:val="6BF49EFD"/>
    <w:rsid w:val="6C0303A1"/>
    <w:rsid w:val="6C0747B1"/>
    <w:rsid w:val="6C0ABD5B"/>
    <w:rsid w:val="6C276B12"/>
    <w:rsid w:val="6C5FC12C"/>
    <w:rsid w:val="6C63632C"/>
    <w:rsid w:val="6CEBEF49"/>
    <w:rsid w:val="6D0CBA96"/>
    <w:rsid w:val="6D10CDE4"/>
    <w:rsid w:val="6D180D52"/>
    <w:rsid w:val="6D27791A"/>
    <w:rsid w:val="6D5A0EE9"/>
    <w:rsid w:val="6D73CEBE"/>
    <w:rsid w:val="6DC04D91"/>
    <w:rsid w:val="6DE9BF3E"/>
    <w:rsid w:val="6E0B38CD"/>
    <w:rsid w:val="6E27601F"/>
    <w:rsid w:val="6E2D2D2E"/>
    <w:rsid w:val="6E43AFAA"/>
    <w:rsid w:val="6E7FA04E"/>
    <w:rsid w:val="6ECA4389"/>
    <w:rsid w:val="6ECBA44F"/>
    <w:rsid w:val="6ECF1F11"/>
    <w:rsid w:val="6EE4A473"/>
    <w:rsid w:val="6EF0CB71"/>
    <w:rsid w:val="6F0E3D5E"/>
    <w:rsid w:val="6F1B718E"/>
    <w:rsid w:val="6F4213FA"/>
    <w:rsid w:val="6F9DD10D"/>
    <w:rsid w:val="6FB71515"/>
    <w:rsid w:val="6FC9B0D3"/>
    <w:rsid w:val="6FCE770A"/>
    <w:rsid w:val="6FD1A8D0"/>
    <w:rsid w:val="7007C2C8"/>
    <w:rsid w:val="700E8063"/>
    <w:rsid w:val="70145302"/>
    <w:rsid w:val="701F36FE"/>
    <w:rsid w:val="7039913A"/>
    <w:rsid w:val="70812277"/>
    <w:rsid w:val="708C3630"/>
    <w:rsid w:val="70AF1180"/>
    <w:rsid w:val="70DC89D4"/>
    <w:rsid w:val="70F6BF63"/>
    <w:rsid w:val="71531847"/>
    <w:rsid w:val="717D422F"/>
    <w:rsid w:val="71DF6DA2"/>
    <w:rsid w:val="721EA315"/>
    <w:rsid w:val="723DBEC4"/>
    <w:rsid w:val="723E4574"/>
    <w:rsid w:val="725AC68A"/>
    <w:rsid w:val="725F1CA8"/>
    <w:rsid w:val="726C6608"/>
    <w:rsid w:val="727A9657"/>
    <w:rsid w:val="729AE117"/>
    <w:rsid w:val="72CE9D0E"/>
    <w:rsid w:val="72CF7044"/>
    <w:rsid w:val="72DADFD8"/>
    <w:rsid w:val="72E2732E"/>
    <w:rsid w:val="7303236F"/>
    <w:rsid w:val="73058054"/>
    <w:rsid w:val="7305B325"/>
    <w:rsid w:val="735D616C"/>
    <w:rsid w:val="735E3645"/>
    <w:rsid w:val="7369611C"/>
    <w:rsid w:val="73C13111"/>
    <w:rsid w:val="73DC3A96"/>
    <w:rsid w:val="73E4BE99"/>
    <w:rsid w:val="73F027CC"/>
    <w:rsid w:val="74059088"/>
    <w:rsid w:val="740BB0F3"/>
    <w:rsid w:val="745A77B3"/>
    <w:rsid w:val="74A32D48"/>
    <w:rsid w:val="74C5DB52"/>
    <w:rsid w:val="7538BAC4"/>
    <w:rsid w:val="753F795A"/>
    <w:rsid w:val="755460C9"/>
    <w:rsid w:val="756A9F61"/>
    <w:rsid w:val="7578C61F"/>
    <w:rsid w:val="7596DA10"/>
    <w:rsid w:val="759C3BCA"/>
    <w:rsid w:val="759D492F"/>
    <w:rsid w:val="75B23719"/>
    <w:rsid w:val="75B269EA"/>
    <w:rsid w:val="75EA96E0"/>
    <w:rsid w:val="76266CC4"/>
    <w:rsid w:val="765F7B19"/>
    <w:rsid w:val="766C25B8"/>
    <w:rsid w:val="76708DB7"/>
    <w:rsid w:val="7675B8B6"/>
    <w:rsid w:val="767C2E50"/>
    <w:rsid w:val="769D488C"/>
    <w:rsid w:val="76A83B46"/>
    <w:rsid w:val="76B9290C"/>
    <w:rsid w:val="76D5229D"/>
    <w:rsid w:val="77055E13"/>
    <w:rsid w:val="7718B8C6"/>
    <w:rsid w:val="77373CFD"/>
    <w:rsid w:val="774AC3A6"/>
    <w:rsid w:val="775DAC15"/>
    <w:rsid w:val="77732E9C"/>
    <w:rsid w:val="777B7FCE"/>
    <w:rsid w:val="7784CDF5"/>
    <w:rsid w:val="77B19246"/>
    <w:rsid w:val="77B29AE0"/>
    <w:rsid w:val="77CA1480"/>
    <w:rsid w:val="781CEC47"/>
    <w:rsid w:val="78341B6B"/>
    <w:rsid w:val="784BB031"/>
    <w:rsid w:val="7864A4E3"/>
    <w:rsid w:val="786F10EB"/>
    <w:rsid w:val="78910BC7"/>
    <w:rsid w:val="7895B47E"/>
    <w:rsid w:val="78A38026"/>
    <w:rsid w:val="78AA0BEB"/>
    <w:rsid w:val="78C0E170"/>
    <w:rsid w:val="78DFD66C"/>
    <w:rsid w:val="791BABDD"/>
    <w:rsid w:val="79425573"/>
    <w:rsid w:val="796D8785"/>
    <w:rsid w:val="79A224FC"/>
    <w:rsid w:val="79C29CEA"/>
    <w:rsid w:val="79DBDA04"/>
    <w:rsid w:val="7A1A7261"/>
    <w:rsid w:val="7A724DE9"/>
    <w:rsid w:val="7A7665A3"/>
    <w:rsid w:val="7A7ADC84"/>
    <w:rsid w:val="7B078B1D"/>
    <w:rsid w:val="7B09B7F8"/>
    <w:rsid w:val="7B0AB6F3"/>
    <w:rsid w:val="7B41C6B5"/>
    <w:rsid w:val="7B532C43"/>
    <w:rsid w:val="7B78CE5F"/>
    <w:rsid w:val="7B8CE740"/>
    <w:rsid w:val="7B8E9102"/>
    <w:rsid w:val="7BBA0D0C"/>
    <w:rsid w:val="7BE00E7E"/>
    <w:rsid w:val="7C5DB8B8"/>
    <w:rsid w:val="7C947F58"/>
    <w:rsid w:val="7CA4433E"/>
    <w:rsid w:val="7CC64DCA"/>
    <w:rsid w:val="7CE09F0C"/>
    <w:rsid w:val="7CF2A7F1"/>
    <w:rsid w:val="7CF6033B"/>
    <w:rsid w:val="7D4B37E7"/>
    <w:rsid w:val="7D55BAB3"/>
    <w:rsid w:val="7D6F4ADE"/>
    <w:rsid w:val="7D706584"/>
    <w:rsid w:val="7E39068D"/>
    <w:rsid w:val="7E4F5638"/>
    <w:rsid w:val="7E984936"/>
    <w:rsid w:val="7EB71669"/>
    <w:rsid w:val="7EC331D4"/>
    <w:rsid w:val="7EEB485C"/>
    <w:rsid w:val="7F0F0E97"/>
    <w:rsid w:val="7F5BECC6"/>
    <w:rsid w:val="7F6F1A8E"/>
    <w:rsid w:val="7F7C96BF"/>
    <w:rsid w:val="7F8663FA"/>
    <w:rsid w:val="7F8F7B58"/>
    <w:rsid w:val="7F91EE68"/>
    <w:rsid w:val="7FB8ED05"/>
    <w:rsid w:val="7FBF72C7"/>
    <w:rsid w:val="7FC819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5B15"/>
  <w15:docId w15:val="{BFF46B13-4A91-4914-BD0B-C543C399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7A"/>
    <w:pPr>
      <w:spacing w:after="0" w:line="240" w:lineRule="auto"/>
      <w:jc w:val="both"/>
    </w:pPr>
    <w:rPr>
      <w:rFonts w:ascii="Calibri" w:eastAsia="Times New Roman" w:hAnsi="Calibri" w:cs="Times New Roman"/>
    </w:rPr>
  </w:style>
  <w:style w:type="paragraph" w:styleId="Heading1">
    <w:name w:val="heading 1"/>
    <w:basedOn w:val="Normal"/>
    <w:next w:val="Normal"/>
    <w:link w:val="Heading1Char"/>
    <w:uiPriority w:val="9"/>
    <w:qFormat/>
    <w:rsid w:val="003049A8"/>
    <w:pPr>
      <w:keepNext/>
      <w:numPr>
        <w:numId w:val="28"/>
      </w:numPr>
      <w:spacing w:before="480" w:line="480" w:lineRule="auto"/>
      <w:outlineLvl w:val="0"/>
    </w:pPr>
    <w:rPr>
      <w:rFonts w:ascii="Times New Roman" w:eastAsia="Calibri" w:hAnsi="Times New Roman"/>
      <w:b/>
      <w:bCs/>
      <w:kern w:val="32"/>
      <w:sz w:val="24"/>
      <w:szCs w:val="32"/>
    </w:rPr>
  </w:style>
  <w:style w:type="paragraph" w:styleId="Heading2">
    <w:name w:val="heading 2"/>
    <w:basedOn w:val="Normal"/>
    <w:next w:val="Normal"/>
    <w:link w:val="Heading2Char"/>
    <w:uiPriority w:val="9"/>
    <w:unhideWhenUsed/>
    <w:qFormat/>
    <w:rsid w:val="009E7506"/>
    <w:pPr>
      <w:keepNext/>
      <w:spacing w:before="240" w:after="60"/>
      <w:ind w:left="1890"/>
      <w:jc w:val="left"/>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E7506"/>
    <w:pPr>
      <w:keepNext/>
      <w:spacing w:before="240" w:after="60"/>
      <w:ind w:left="2880"/>
      <w:jc w:val="left"/>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E7506"/>
    <w:pPr>
      <w:keepNext/>
      <w:spacing w:before="240" w:after="60"/>
      <w:ind w:left="3600"/>
      <w:jc w:val="left"/>
      <w:outlineLvl w:val="3"/>
    </w:pPr>
    <w:rPr>
      <w:b/>
      <w:bCs/>
      <w:sz w:val="28"/>
      <w:szCs w:val="28"/>
    </w:rPr>
  </w:style>
  <w:style w:type="paragraph" w:styleId="Heading5">
    <w:name w:val="heading 5"/>
    <w:basedOn w:val="Normal"/>
    <w:next w:val="Normal"/>
    <w:link w:val="Heading5Char"/>
    <w:uiPriority w:val="9"/>
    <w:semiHidden/>
    <w:unhideWhenUsed/>
    <w:qFormat/>
    <w:rsid w:val="009E7506"/>
    <w:pPr>
      <w:spacing w:before="240" w:after="60"/>
      <w:ind w:left="4320"/>
      <w:jc w:val="left"/>
      <w:outlineLvl w:val="4"/>
    </w:pPr>
    <w:rPr>
      <w:b/>
      <w:bCs/>
      <w:i/>
      <w:iCs/>
      <w:sz w:val="26"/>
      <w:szCs w:val="26"/>
    </w:rPr>
  </w:style>
  <w:style w:type="paragraph" w:styleId="Heading6">
    <w:name w:val="heading 6"/>
    <w:basedOn w:val="Normal"/>
    <w:link w:val="Heading6Char"/>
    <w:uiPriority w:val="9"/>
    <w:qFormat/>
    <w:rsid w:val="009E7506"/>
    <w:pPr>
      <w:widowControl w:val="0"/>
      <w:ind w:left="5040"/>
      <w:jc w:val="left"/>
      <w:outlineLvl w:val="5"/>
    </w:pPr>
    <w:rPr>
      <w:rFonts w:ascii="Times New Roman" w:hAnsi="Times New Roman"/>
      <w:b/>
      <w:bCs/>
      <w:sz w:val="23"/>
      <w:szCs w:val="23"/>
    </w:rPr>
  </w:style>
  <w:style w:type="paragraph" w:styleId="Heading7">
    <w:name w:val="heading 7"/>
    <w:basedOn w:val="Normal"/>
    <w:next w:val="Normal"/>
    <w:link w:val="Heading7Char"/>
    <w:uiPriority w:val="9"/>
    <w:semiHidden/>
    <w:unhideWhenUsed/>
    <w:qFormat/>
    <w:rsid w:val="009E7506"/>
    <w:pPr>
      <w:spacing w:before="240" w:after="60"/>
      <w:ind w:left="5760"/>
      <w:jc w:val="left"/>
      <w:outlineLvl w:val="6"/>
    </w:pPr>
    <w:rPr>
      <w:sz w:val="24"/>
      <w:szCs w:val="24"/>
    </w:rPr>
  </w:style>
  <w:style w:type="paragraph" w:styleId="Heading8">
    <w:name w:val="heading 8"/>
    <w:basedOn w:val="Normal"/>
    <w:next w:val="Normal"/>
    <w:link w:val="Heading8Char"/>
    <w:uiPriority w:val="9"/>
    <w:semiHidden/>
    <w:unhideWhenUsed/>
    <w:qFormat/>
    <w:rsid w:val="009E7506"/>
    <w:pPr>
      <w:spacing w:before="240" w:after="60"/>
      <w:ind w:left="6480"/>
      <w:jc w:val="left"/>
      <w:outlineLvl w:val="7"/>
    </w:pPr>
    <w:rPr>
      <w:i/>
      <w:iCs/>
      <w:sz w:val="24"/>
      <w:szCs w:val="24"/>
    </w:rPr>
  </w:style>
  <w:style w:type="paragraph" w:styleId="Heading9">
    <w:name w:val="heading 9"/>
    <w:basedOn w:val="Normal"/>
    <w:next w:val="Normal"/>
    <w:link w:val="Heading9Char"/>
    <w:uiPriority w:val="9"/>
    <w:semiHidden/>
    <w:unhideWhenUsed/>
    <w:qFormat/>
    <w:rsid w:val="009E7506"/>
    <w:pPr>
      <w:spacing w:before="240" w:after="60"/>
      <w:ind w:left="7200"/>
      <w:jc w:val="left"/>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049A8"/>
    <w:rPr>
      <w:rFonts w:ascii="Times New Roman" w:eastAsia="Calibri" w:hAnsi="Times New Roman" w:cs="Times New Roman"/>
      <w:b/>
      <w:bCs/>
      <w:kern w:val="32"/>
      <w:sz w:val="24"/>
      <w:szCs w:val="32"/>
    </w:rPr>
  </w:style>
  <w:style w:type="character" w:customStyle="1" w:styleId="Heading2Char">
    <w:name w:val="Heading 2 Char"/>
    <w:basedOn w:val="DefaultParagraphFont"/>
    <w:link w:val="Heading2"/>
    <w:uiPriority w:val="9"/>
    <w:qFormat/>
    <w:rsid w:val="009E750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qFormat/>
    <w:rsid w:val="009E750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qFormat/>
    <w:rsid w:val="009E750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9E750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qFormat/>
    <w:rsid w:val="009E7506"/>
    <w:rPr>
      <w:rFonts w:ascii="Times New Roman" w:eastAsia="Times New Roman" w:hAnsi="Times New Roman" w:cs="Times New Roman"/>
      <w:b/>
      <w:bCs/>
      <w:sz w:val="23"/>
      <w:szCs w:val="23"/>
    </w:rPr>
  </w:style>
  <w:style w:type="character" w:customStyle="1" w:styleId="Heading7Char">
    <w:name w:val="Heading 7 Char"/>
    <w:basedOn w:val="DefaultParagraphFont"/>
    <w:link w:val="Heading7"/>
    <w:uiPriority w:val="9"/>
    <w:semiHidden/>
    <w:qFormat/>
    <w:rsid w:val="009E750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9E750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9E7506"/>
    <w:rPr>
      <w:rFonts w:ascii="Calibri Light" w:eastAsia="Times New Roman" w:hAnsi="Calibri Light" w:cs="Times New Roman"/>
    </w:rPr>
  </w:style>
  <w:style w:type="paragraph" w:styleId="BalloonText">
    <w:name w:val="Balloon Text"/>
    <w:basedOn w:val="Normal"/>
    <w:link w:val="BalloonTextChar"/>
    <w:semiHidden/>
    <w:qFormat/>
    <w:rsid w:val="009E7506"/>
    <w:rPr>
      <w:rFonts w:ascii="Tahoma" w:eastAsia="Calibri" w:hAnsi="Tahoma"/>
      <w:sz w:val="16"/>
      <w:szCs w:val="16"/>
    </w:rPr>
  </w:style>
  <w:style w:type="character" w:customStyle="1" w:styleId="BalloonTextChar">
    <w:name w:val="Balloon Text Char"/>
    <w:basedOn w:val="DefaultParagraphFont"/>
    <w:link w:val="BalloonText"/>
    <w:semiHidden/>
    <w:qFormat/>
    <w:rsid w:val="009E7506"/>
    <w:rPr>
      <w:rFonts w:ascii="Tahoma" w:eastAsia="Calibri" w:hAnsi="Tahoma" w:cs="Times New Roman"/>
      <w:sz w:val="16"/>
      <w:szCs w:val="16"/>
    </w:rPr>
  </w:style>
  <w:style w:type="paragraph" w:styleId="Header">
    <w:name w:val="header"/>
    <w:basedOn w:val="Normal"/>
    <w:link w:val="HeaderChar"/>
    <w:uiPriority w:val="99"/>
    <w:rsid w:val="009E7506"/>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qFormat/>
    <w:rsid w:val="009E7506"/>
    <w:rPr>
      <w:rFonts w:ascii="Calibri" w:eastAsia="Calibri" w:hAnsi="Calibri" w:cs="Times New Roman"/>
      <w:sz w:val="20"/>
      <w:szCs w:val="20"/>
    </w:rPr>
  </w:style>
  <w:style w:type="paragraph" w:styleId="Footer">
    <w:name w:val="footer"/>
    <w:basedOn w:val="Normal"/>
    <w:link w:val="FooterChar"/>
    <w:uiPriority w:val="99"/>
    <w:rsid w:val="009E7506"/>
    <w:pPr>
      <w:tabs>
        <w:tab w:val="center" w:pos="4680"/>
        <w:tab w:val="right" w:pos="9360"/>
      </w:tabs>
    </w:pPr>
    <w:rPr>
      <w:rFonts w:eastAsia="Calibri"/>
      <w:sz w:val="20"/>
      <w:szCs w:val="20"/>
    </w:rPr>
  </w:style>
  <w:style w:type="character" w:customStyle="1" w:styleId="FooterChar">
    <w:name w:val="Footer Char"/>
    <w:basedOn w:val="DefaultParagraphFont"/>
    <w:link w:val="Footer"/>
    <w:uiPriority w:val="99"/>
    <w:qFormat/>
    <w:rsid w:val="009E7506"/>
    <w:rPr>
      <w:rFonts w:ascii="Calibri" w:eastAsia="Calibri" w:hAnsi="Calibri" w:cs="Times New Roman"/>
      <w:sz w:val="20"/>
      <w:szCs w:val="20"/>
    </w:rPr>
  </w:style>
  <w:style w:type="paragraph" w:styleId="ListParagraph">
    <w:name w:val="List Paragraph"/>
    <w:basedOn w:val="Normal"/>
    <w:link w:val="ListParagraphChar"/>
    <w:uiPriority w:val="34"/>
    <w:qFormat/>
    <w:rsid w:val="009E7506"/>
    <w:pPr>
      <w:spacing w:after="200" w:line="276" w:lineRule="auto"/>
      <w:ind w:left="720"/>
      <w:jc w:val="left"/>
    </w:pPr>
  </w:style>
  <w:style w:type="character" w:styleId="CommentReference">
    <w:name w:val="annotation reference"/>
    <w:uiPriority w:val="99"/>
    <w:qFormat/>
    <w:rsid w:val="009E7506"/>
    <w:rPr>
      <w:rFonts w:cs="Times New Roman"/>
      <w:sz w:val="16"/>
      <w:szCs w:val="16"/>
    </w:rPr>
  </w:style>
  <w:style w:type="paragraph" w:styleId="CommentText">
    <w:name w:val="annotation text"/>
    <w:basedOn w:val="Normal"/>
    <w:link w:val="CommentTextChar"/>
    <w:uiPriority w:val="99"/>
    <w:qFormat/>
    <w:rsid w:val="009E7506"/>
    <w:rPr>
      <w:rFonts w:eastAsia="Calibri"/>
      <w:sz w:val="20"/>
      <w:szCs w:val="20"/>
    </w:rPr>
  </w:style>
  <w:style w:type="character" w:customStyle="1" w:styleId="CommentTextChar">
    <w:name w:val="Comment Text Char"/>
    <w:basedOn w:val="DefaultParagraphFont"/>
    <w:link w:val="CommentText"/>
    <w:uiPriority w:val="99"/>
    <w:qFormat/>
    <w:rsid w:val="009E75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qFormat/>
    <w:rsid w:val="009E7506"/>
    <w:rPr>
      <w:b/>
      <w:bCs/>
    </w:rPr>
  </w:style>
  <w:style w:type="character" w:customStyle="1" w:styleId="CommentSubjectChar">
    <w:name w:val="Comment Subject Char"/>
    <w:basedOn w:val="CommentTextChar"/>
    <w:link w:val="CommentSubject"/>
    <w:uiPriority w:val="99"/>
    <w:semiHidden/>
    <w:qFormat/>
    <w:rsid w:val="009E7506"/>
    <w:rPr>
      <w:rFonts w:ascii="Calibri" w:eastAsia="Calibri" w:hAnsi="Calibri" w:cs="Times New Roman"/>
      <w:b/>
      <w:bCs/>
      <w:sz w:val="20"/>
      <w:szCs w:val="20"/>
    </w:rPr>
  </w:style>
  <w:style w:type="paragraph" w:styleId="FootnoteText">
    <w:name w:val="footnote text"/>
    <w:aliases w:val="EMI Footnote Text"/>
    <w:basedOn w:val="Normal"/>
    <w:link w:val="FootnoteTextChar2"/>
    <w:uiPriority w:val="99"/>
    <w:qFormat/>
    <w:rsid w:val="009E7506"/>
    <w:rPr>
      <w:rFonts w:eastAsia="Calibri"/>
      <w:sz w:val="20"/>
      <w:szCs w:val="20"/>
    </w:rPr>
  </w:style>
  <w:style w:type="character" w:customStyle="1" w:styleId="FootnoteTextChar">
    <w:name w:val="Footnote Text Char"/>
    <w:aliases w:val="EMI Footnote Text Char"/>
    <w:basedOn w:val="DefaultParagraphFont"/>
    <w:uiPriority w:val="99"/>
    <w:qFormat/>
    <w:rsid w:val="009E7506"/>
    <w:rPr>
      <w:rFonts w:ascii="Calibri" w:eastAsia="Times New Roman" w:hAnsi="Calibri" w:cs="Times New Roman"/>
      <w:sz w:val="20"/>
      <w:szCs w:val="20"/>
    </w:rPr>
  </w:style>
  <w:style w:type="character" w:customStyle="1" w:styleId="FootnoteTextChar2">
    <w:name w:val="Footnote Text Char2"/>
    <w:aliases w:val="EMI Footnote Text Char1"/>
    <w:link w:val="FootnoteText"/>
    <w:uiPriority w:val="99"/>
    <w:qFormat/>
    <w:locked/>
    <w:rsid w:val="009E7506"/>
    <w:rPr>
      <w:rFonts w:ascii="Calibri" w:eastAsia="Calibri" w:hAnsi="Calibri" w:cs="Times New Roman"/>
      <w:sz w:val="20"/>
      <w:szCs w:val="20"/>
    </w:rPr>
  </w:style>
  <w:style w:type="character" w:styleId="FootnoteReference">
    <w:name w:val="footnote reference"/>
    <w:aliases w:val="o"/>
    <w:uiPriority w:val="99"/>
    <w:qFormat/>
    <w:rsid w:val="009E7506"/>
    <w:rPr>
      <w:rFonts w:cs="Times New Roman"/>
      <w:vertAlign w:val="superscript"/>
    </w:rPr>
  </w:style>
  <w:style w:type="character" w:customStyle="1" w:styleId="72">
    <w:name w:val="72"/>
    <w:qFormat/>
    <w:rsid w:val="009E7506"/>
    <w:rPr>
      <w:rFonts w:cs="Times New Roman"/>
    </w:rPr>
  </w:style>
  <w:style w:type="paragraph" w:customStyle="1" w:styleId="Default">
    <w:name w:val="Default"/>
    <w:link w:val="DefaultChar"/>
    <w:qFormat/>
    <w:rsid w:val="009E75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9E7506"/>
    <w:rPr>
      <w:rFonts w:cs="Times New Roman"/>
      <w:color w:val="0000FF"/>
      <w:u w:val="single"/>
    </w:rPr>
  </w:style>
  <w:style w:type="paragraph" w:styleId="PlainText">
    <w:name w:val="Plain Text"/>
    <w:aliases w:val=" Char"/>
    <w:basedOn w:val="Normal"/>
    <w:link w:val="PlainTextChar"/>
    <w:semiHidden/>
    <w:qFormat/>
    <w:rsid w:val="009E7506"/>
    <w:pPr>
      <w:jc w:val="left"/>
    </w:pPr>
    <w:rPr>
      <w:rFonts w:ascii="Times New Roman" w:eastAsia="Calibri" w:hAnsi="Times New Roman"/>
      <w:sz w:val="24"/>
      <w:szCs w:val="24"/>
    </w:rPr>
  </w:style>
  <w:style w:type="character" w:customStyle="1" w:styleId="PlainTextChar">
    <w:name w:val="Plain Text Char"/>
    <w:aliases w:val=" Char Char"/>
    <w:basedOn w:val="DefaultParagraphFont"/>
    <w:link w:val="PlainText"/>
    <w:semiHidden/>
    <w:qFormat/>
    <w:rsid w:val="009E7506"/>
    <w:rPr>
      <w:rFonts w:ascii="Times New Roman" w:eastAsia="Calibri" w:hAnsi="Times New Roman" w:cs="Times New Roman"/>
      <w:sz w:val="24"/>
      <w:szCs w:val="24"/>
    </w:rPr>
  </w:style>
  <w:style w:type="paragraph" w:styleId="Caption">
    <w:name w:val="caption"/>
    <w:basedOn w:val="Normal"/>
    <w:next w:val="Normal"/>
    <w:uiPriority w:val="35"/>
    <w:qFormat/>
    <w:rsid w:val="009E7506"/>
    <w:pPr>
      <w:keepNext/>
      <w:spacing w:before="120" w:after="120"/>
      <w:jc w:val="center"/>
    </w:pPr>
    <w:rPr>
      <w:rFonts w:eastAsia="Calibri"/>
      <w:b/>
      <w:bCs/>
      <w:sz w:val="20"/>
      <w:szCs w:val="20"/>
    </w:rPr>
  </w:style>
  <w:style w:type="paragraph" w:customStyle="1" w:styleId="Question">
    <w:name w:val="Question"/>
    <w:basedOn w:val="Normal"/>
    <w:qFormat/>
    <w:rsid w:val="003D0BFB"/>
    <w:pPr>
      <w:keepNext/>
      <w:autoSpaceDE w:val="0"/>
      <w:autoSpaceDN w:val="0"/>
      <w:adjustRightInd w:val="0"/>
      <w:spacing w:before="480" w:line="480" w:lineRule="auto"/>
      <w:ind w:left="720" w:hanging="720"/>
    </w:pPr>
    <w:rPr>
      <w:rFonts w:ascii="Times New Roman" w:hAnsi="Times New Roman"/>
      <w:b/>
      <w:bCs/>
      <w:caps/>
      <w:sz w:val="24"/>
      <w:szCs w:val="24"/>
    </w:rPr>
  </w:style>
  <w:style w:type="character" w:styleId="LineNumber">
    <w:name w:val="line number"/>
    <w:semiHidden/>
    <w:qFormat/>
    <w:rsid w:val="009E7506"/>
    <w:rPr>
      <w:rFonts w:cs="Times New Roman"/>
    </w:rPr>
  </w:style>
  <w:style w:type="character" w:customStyle="1" w:styleId="CharChar">
    <w:name w:val="Char Char"/>
    <w:rsid w:val="009E7506"/>
    <w:rPr>
      <w:rFonts w:cs="Times New Roman"/>
      <w:lang w:val="en-US" w:eastAsia="en-US" w:bidi="ar-SA"/>
    </w:rPr>
  </w:style>
  <w:style w:type="character" w:styleId="FollowedHyperlink">
    <w:name w:val="FollowedHyperlink"/>
    <w:uiPriority w:val="99"/>
    <w:semiHidden/>
    <w:qFormat/>
    <w:rsid w:val="009E7506"/>
    <w:rPr>
      <w:rFonts w:cs="Times New Roman"/>
      <w:color w:val="800080"/>
      <w:u w:val="single"/>
    </w:rPr>
  </w:style>
  <w:style w:type="character" w:styleId="PageNumber">
    <w:name w:val="page number"/>
    <w:qFormat/>
    <w:rsid w:val="009E7506"/>
    <w:rPr>
      <w:rFonts w:cs="Times New Roman"/>
    </w:rPr>
  </w:style>
  <w:style w:type="paragraph" w:styleId="TOC1">
    <w:name w:val="toc 1"/>
    <w:basedOn w:val="Normal"/>
    <w:next w:val="Normal"/>
    <w:autoRedefine/>
    <w:uiPriority w:val="39"/>
    <w:rsid w:val="00BC0821"/>
    <w:pPr>
      <w:tabs>
        <w:tab w:val="left" w:pos="450"/>
        <w:tab w:val="right" w:leader="dot" w:pos="9350"/>
      </w:tabs>
      <w:spacing w:line="480" w:lineRule="auto"/>
      <w:ind w:left="446" w:right="1080" w:hanging="446"/>
      <w:jc w:val="left"/>
    </w:pPr>
  </w:style>
  <w:style w:type="character" w:customStyle="1" w:styleId="FootnoteTextChar1">
    <w:name w:val="Footnote Text Char1"/>
    <w:semiHidden/>
    <w:qFormat/>
    <w:rsid w:val="009E7506"/>
    <w:rPr>
      <w:rFonts w:ascii="Calibri" w:hAnsi="Calibri"/>
      <w:sz w:val="20"/>
    </w:rPr>
  </w:style>
  <w:style w:type="paragraph" w:customStyle="1" w:styleId="msonormalcxspmiddle">
    <w:name w:val="msonormalcxspmiddle"/>
    <w:basedOn w:val="Normal"/>
    <w:rsid w:val="009E7506"/>
    <w:pPr>
      <w:spacing w:before="100" w:beforeAutospacing="1" w:after="100" w:afterAutospacing="1"/>
      <w:jc w:val="left"/>
    </w:pPr>
    <w:rPr>
      <w:rFonts w:ascii="Times New Roman" w:hAnsi="Times New Roman"/>
      <w:sz w:val="24"/>
      <w:szCs w:val="24"/>
    </w:rPr>
  </w:style>
  <w:style w:type="character" w:styleId="Emphasis">
    <w:name w:val="Emphasis"/>
    <w:qFormat/>
    <w:rsid w:val="009E7506"/>
    <w:rPr>
      <w:b/>
      <w:bCs/>
      <w:i w:val="0"/>
      <w:iCs w:val="0"/>
    </w:rPr>
  </w:style>
  <w:style w:type="character" w:customStyle="1" w:styleId="st1">
    <w:name w:val="st1"/>
    <w:basedOn w:val="DefaultParagraphFont"/>
    <w:rsid w:val="009E7506"/>
  </w:style>
  <w:style w:type="numbering" w:customStyle="1" w:styleId="NoList1">
    <w:name w:val="No List1"/>
    <w:next w:val="NoList"/>
    <w:uiPriority w:val="99"/>
    <w:semiHidden/>
    <w:unhideWhenUsed/>
    <w:rsid w:val="009E7506"/>
  </w:style>
  <w:style w:type="paragraph" w:customStyle="1" w:styleId="Style0">
    <w:name w:val="Style0"/>
    <w:rsid w:val="009E7506"/>
    <w:pPr>
      <w:snapToGrid w:val="0"/>
      <w:spacing w:after="0" w:line="240" w:lineRule="auto"/>
    </w:pPr>
    <w:rPr>
      <w:rFonts w:ascii="Arial" w:eastAsia="Times New Roman" w:hAnsi="Arial" w:cs="Times New Roman"/>
      <w:sz w:val="24"/>
      <w:szCs w:val="20"/>
    </w:rPr>
  </w:style>
  <w:style w:type="paragraph" w:styleId="BodyTextIndent">
    <w:name w:val="Body Text Indent"/>
    <w:basedOn w:val="Normal"/>
    <w:link w:val="BodyTextIndentChar"/>
    <w:semiHidden/>
    <w:rsid w:val="009E7506"/>
    <w:pPr>
      <w:spacing w:line="480" w:lineRule="auto"/>
      <w:ind w:left="720" w:hanging="720"/>
    </w:pPr>
    <w:rPr>
      <w:rFonts w:ascii="Times New Roman" w:hAnsi="Times New Roman"/>
      <w:b/>
      <w:bCs/>
      <w:sz w:val="24"/>
      <w:szCs w:val="20"/>
    </w:rPr>
  </w:style>
  <w:style w:type="character" w:customStyle="1" w:styleId="BodyTextIndentChar">
    <w:name w:val="Body Text Indent Char"/>
    <w:basedOn w:val="DefaultParagraphFont"/>
    <w:link w:val="BodyTextIndent"/>
    <w:semiHidden/>
    <w:qFormat/>
    <w:rsid w:val="009E7506"/>
    <w:rPr>
      <w:rFonts w:ascii="Times New Roman" w:eastAsia="Times New Roman" w:hAnsi="Times New Roman" w:cs="Times New Roman"/>
      <w:b/>
      <w:bCs/>
      <w:sz w:val="24"/>
      <w:szCs w:val="20"/>
    </w:rPr>
  </w:style>
  <w:style w:type="paragraph" w:customStyle="1" w:styleId="PleaseNote">
    <w:name w:val="Please Note"/>
    <w:rsid w:val="009E7506"/>
    <w:pPr>
      <w:spacing w:before="60" w:after="60" w:line="240" w:lineRule="auto"/>
      <w:ind w:left="1440" w:hanging="720"/>
    </w:pPr>
    <w:rPr>
      <w:rFonts w:ascii="Tahoma" w:eastAsia="Times New Roman" w:hAnsi="Tahoma" w:cs="Times New Roman"/>
      <w:b/>
      <w:smallCaps/>
      <w:sz w:val="20"/>
      <w:szCs w:val="18"/>
    </w:rPr>
  </w:style>
  <w:style w:type="paragraph" w:styleId="BodyText">
    <w:name w:val="Body Text"/>
    <w:basedOn w:val="Normal"/>
    <w:link w:val="BodyTextChar"/>
    <w:uiPriority w:val="99"/>
    <w:unhideWhenUsed/>
    <w:rsid w:val="009E7506"/>
    <w:pPr>
      <w:spacing w:after="120"/>
      <w:jc w:val="left"/>
    </w:pPr>
    <w:rPr>
      <w:rFonts w:ascii="Arial" w:hAnsi="Arial"/>
      <w:sz w:val="23"/>
      <w:szCs w:val="20"/>
    </w:rPr>
  </w:style>
  <w:style w:type="character" w:customStyle="1" w:styleId="BodyTextChar">
    <w:name w:val="Body Text Char"/>
    <w:basedOn w:val="DefaultParagraphFont"/>
    <w:link w:val="BodyText"/>
    <w:uiPriority w:val="99"/>
    <w:qFormat/>
    <w:rsid w:val="009E7506"/>
    <w:rPr>
      <w:rFonts w:ascii="Arial" w:eastAsia="Times New Roman" w:hAnsi="Arial" w:cs="Times New Roman"/>
      <w:sz w:val="23"/>
      <w:szCs w:val="20"/>
    </w:rPr>
  </w:style>
  <w:style w:type="paragraph" w:customStyle="1" w:styleId="Footnote">
    <w:name w:val="Footnote"/>
    <w:basedOn w:val="FootnoteText"/>
    <w:link w:val="FootnoteChar"/>
    <w:rsid w:val="009E7506"/>
    <w:pPr>
      <w:spacing w:after="240"/>
      <w:jc w:val="left"/>
    </w:pPr>
    <w:rPr>
      <w:rFonts w:ascii="Arial" w:eastAsia="Times New Roman" w:hAnsi="Arial"/>
      <w:sz w:val="18"/>
      <w:szCs w:val="18"/>
    </w:rPr>
  </w:style>
  <w:style w:type="character" w:customStyle="1" w:styleId="FootnoteChar">
    <w:name w:val="Footnote Char"/>
    <w:link w:val="Footnote"/>
    <w:qFormat/>
    <w:rsid w:val="009E7506"/>
    <w:rPr>
      <w:rFonts w:ascii="Arial" w:eastAsia="Times New Roman" w:hAnsi="Arial" w:cs="Times New Roman"/>
      <w:sz w:val="18"/>
      <w:szCs w:val="18"/>
    </w:rPr>
  </w:style>
  <w:style w:type="paragraph" w:styleId="TOCHeading">
    <w:name w:val="TOC Heading"/>
    <w:basedOn w:val="Heading1"/>
    <w:next w:val="Normal"/>
    <w:uiPriority w:val="39"/>
    <w:unhideWhenUsed/>
    <w:qFormat/>
    <w:rsid w:val="009E7506"/>
    <w:pPr>
      <w:keepLines/>
      <w:numPr>
        <w:numId w:val="2"/>
      </w:numPr>
      <w:spacing w:before="240" w:line="259" w:lineRule="auto"/>
      <w:jc w:val="left"/>
      <w:outlineLvl w:val="9"/>
    </w:pPr>
    <w:rPr>
      <w:rFonts w:ascii="Calibri Light" w:eastAsia="Times New Roman" w:hAnsi="Calibri Light"/>
      <w:b w:val="0"/>
      <w:bCs w:val="0"/>
      <w:color w:val="2E74B5"/>
      <w:kern w:val="0"/>
      <w:sz w:val="32"/>
    </w:rPr>
  </w:style>
  <w:style w:type="paragraph" w:styleId="TOC2">
    <w:name w:val="toc 2"/>
    <w:basedOn w:val="Normal"/>
    <w:next w:val="Normal"/>
    <w:autoRedefine/>
    <w:uiPriority w:val="39"/>
    <w:unhideWhenUsed/>
    <w:rsid w:val="009E7506"/>
    <w:pPr>
      <w:tabs>
        <w:tab w:val="left" w:pos="880"/>
        <w:tab w:val="right" w:leader="dot" w:pos="9350"/>
      </w:tabs>
      <w:spacing w:before="120" w:after="240"/>
      <w:ind w:left="230"/>
      <w:jc w:val="left"/>
    </w:pPr>
    <w:rPr>
      <w:rFonts w:ascii="Arial" w:hAnsi="Arial"/>
      <w:sz w:val="23"/>
      <w:szCs w:val="20"/>
    </w:rPr>
  </w:style>
  <w:style w:type="table" w:styleId="TableGrid">
    <w:name w:val="Table Grid"/>
    <w:basedOn w:val="TableNormal"/>
    <w:uiPriority w:val="39"/>
    <w:rsid w:val="009E7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9E7506"/>
    <w:pPr>
      <w:spacing w:after="0" w:line="240" w:lineRule="auto"/>
    </w:pPr>
    <w:rPr>
      <w:rFonts w:ascii="Arial" w:eastAsia="Times New Roman" w:hAnsi="Arial" w:cs="Times New Roman"/>
      <w:sz w:val="23"/>
      <w:szCs w:val="20"/>
    </w:rPr>
  </w:style>
  <w:style w:type="paragraph" w:styleId="TOC3">
    <w:name w:val="toc 3"/>
    <w:basedOn w:val="Normal"/>
    <w:next w:val="Normal"/>
    <w:autoRedefine/>
    <w:uiPriority w:val="39"/>
    <w:unhideWhenUsed/>
    <w:rsid w:val="009E7506"/>
    <w:pPr>
      <w:ind w:left="460"/>
      <w:jc w:val="left"/>
    </w:pPr>
    <w:rPr>
      <w:rFonts w:ascii="Arial" w:hAnsi="Arial"/>
      <w:sz w:val="23"/>
      <w:szCs w:val="20"/>
    </w:rPr>
  </w:style>
  <w:style w:type="paragraph" w:customStyle="1" w:styleId="TestimonyQ">
    <w:name w:val="Testimony Q"/>
    <w:basedOn w:val="Default"/>
    <w:link w:val="TestimonyQChar"/>
    <w:qFormat/>
    <w:rsid w:val="009E7506"/>
    <w:pPr>
      <w:spacing w:before="480"/>
    </w:pPr>
    <w:rPr>
      <w:b/>
      <w:bCs/>
      <w:caps/>
    </w:rPr>
  </w:style>
  <w:style w:type="character" w:customStyle="1" w:styleId="DefaultChar">
    <w:name w:val="Default Char"/>
    <w:basedOn w:val="DefaultParagraphFont"/>
    <w:link w:val="Default"/>
    <w:rsid w:val="009E7506"/>
    <w:rPr>
      <w:rFonts w:ascii="Times New Roman" w:eastAsia="Times New Roman" w:hAnsi="Times New Roman" w:cs="Times New Roman"/>
      <w:color w:val="000000"/>
      <w:sz w:val="24"/>
      <w:szCs w:val="24"/>
    </w:rPr>
  </w:style>
  <w:style w:type="character" w:customStyle="1" w:styleId="TestimonyQChar">
    <w:name w:val="Testimony Q Char"/>
    <w:basedOn w:val="DefaultChar"/>
    <w:link w:val="TestimonyQ"/>
    <w:rsid w:val="009E7506"/>
    <w:rPr>
      <w:rFonts w:ascii="Times New Roman" w:eastAsia="Times New Roman" w:hAnsi="Times New Roman" w:cs="Times New Roman"/>
      <w:b/>
      <w:bCs/>
      <w:caps/>
      <w:color w:val="000000"/>
      <w:sz w:val="24"/>
      <w:szCs w:val="24"/>
    </w:rPr>
  </w:style>
  <w:style w:type="paragraph" w:customStyle="1" w:styleId="Answers">
    <w:name w:val="Answers"/>
    <w:basedOn w:val="Normal"/>
    <w:link w:val="AnswersChar"/>
    <w:qFormat/>
    <w:rsid w:val="00EC5362"/>
    <w:pPr>
      <w:tabs>
        <w:tab w:val="left" w:pos="1260"/>
      </w:tabs>
      <w:spacing w:line="480" w:lineRule="auto"/>
      <w:ind w:left="720" w:hanging="720"/>
    </w:pPr>
    <w:rPr>
      <w:rFonts w:ascii="Times New Roman" w:hAnsi="Times New Roman" w:cs="Calibri"/>
      <w:sz w:val="24"/>
      <w:szCs w:val="24"/>
    </w:rPr>
  </w:style>
  <w:style w:type="paragraph" w:customStyle="1" w:styleId="UnderlinedSectionTitle">
    <w:name w:val="Underlined Section Title"/>
    <w:basedOn w:val="ListParagraph"/>
    <w:link w:val="UnderlinedSectionTitleChar"/>
    <w:qFormat/>
    <w:rsid w:val="00212DAB"/>
    <w:pPr>
      <w:spacing w:before="480" w:after="0" w:line="480" w:lineRule="auto"/>
    </w:pPr>
    <w:rPr>
      <w:rFonts w:ascii="Times New Roman Bold" w:hAnsi="Times New Roman Bold"/>
      <w:b/>
      <w:caps/>
      <w:sz w:val="24"/>
      <w:szCs w:val="24"/>
      <w:u w:val="single"/>
    </w:rPr>
  </w:style>
  <w:style w:type="character" w:customStyle="1" w:styleId="AnswersChar">
    <w:name w:val="Answers Char"/>
    <w:basedOn w:val="DefaultParagraphFont"/>
    <w:link w:val="Answers"/>
    <w:rsid w:val="00EC5362"/>
    <w:rPr>
      <w:rFonts w:ascii="Times New Roman" w:eastAsia="Times New Roman" w:hAnsi="Times New Roman" w:cs="Calibri"/>
      <w:sz w:val="24"/>
      <w:szCs w:val="24"/>
    </w:rPr>
  </w:style>
  <w:style w:type="character" w:customStyle="1" w:styleId="UnderlinedSectionTitleChar">
    <w:name w:val="Underlined Section Title Char"/>
    <w:basedOn w:val="DefaultParagraphFont"/>
    <w:link w:val="UnderlinedSectionTitle"/>
    <w:rsid w:val="00212DAB"/>
    <w:rPr>
      <w:rFonts w:ascii="Times New Roman Bold" w:eastAsia="Times New Roman" w:hAnsi="Times New Roman Bold" w:cs="Times New Roman"/>
      <w:b/>
      <w:caps/>
      <w:sz w:val="24"/>
      <w:szCs w:val="24"/>
      <w:u w:val="single"/>
    </w:rPr>
  </w:style>
  <w:style w:type="numbering" w:customStyle="1" w:styleId="NoList2">
    <w:name w:val="No List2"/>
    <w:next w:val="NoList"/>
    <w:uiPriority w:val="99"/>
    <w:semiHidden/>
    <w:unhideWhenUsed/>
    <w:rsid w:val="009E7506"/>
  </w:style>
  <w:style w:type="character" w:customStyle="1" w:styleId="FootnoteCharacters">
    <w:name w:val="Footnote Characters"/>
    <w:uiPriority w:val="99"/>
    <w:qFormat/>
    <w:rsid w:val="009E7506"/>
    <w:rPr>
      <w:rFonts w:cs="Times New Roman"/>
      <w:vertAlign w:val="superscript"/>
    </w:rPr>
  </w:style>
  <w:style w:type="character" w:customStyle="1" w:styleId="FootnoteAnchor">
    <w:name w:val="Footnote Anchor"/>
    <w:rsid w:val="009E7506"/>
    <w:rPr>
      <w:rFonts w:cs="Times New Roman"/>
      <w:vertAlign w:val="superscript"/>
    </w:rPr>
  </w:style>
  <w:style w:type="character" w:customStyle="1" w:styleId="InternetLink">
    <w:name w:val="Internet Link"/>
    <w:uiPriority w:val="99"/>
    <w:rsid w:val="009E7506"/>
    <w:rPr>
      <w:rFonts w:cs="Times New Roman"/>
      <w:color w:val="0000FF"/>
      <w:u w:val="single"/>
    </w:rPr>
  </w:style>
  <w:style w:type="character" w:customStyle="1" w:styleId="SubtitleChar">
    <w:name w:val="Subtitle Char"/>
    <w:basedOn w:val="DefaultParagraphFont"/>
    <w:link w:val="Subtitle"/>
    <w:uiPriority w:val="4"/>
    <w:qFormat/>
    <w:rsid w:val="009E7506"/>
    <w:rPr>
      <w:rFonts w:asciiTheme="majorHAnsi" w:eastAsiaTheme="minorEastAsia" w:hAnsiTheme="majorHAnsi"/>
      <w:color w:val="7F7F7F" w:themeColor="text1" w:themeTint="80"/>
      <w:spacing w:val="15"/>
      <w:sz w:val="32"/>
    </w:rPr>
  </w:style>
  <w:style w:type="character" w:customStyle="1" w:styleId="ListLabel1">
    <w:name w:val="ListLabel 1"/>
    <w:rsid w:val="009E7506"/>
    <w:rPr>
      <w:rFonts w:eastAsia="Noto Sans Symbols" w:cs="Noto Sans Symbols"/>
      <w:b w:val="0"/>
      <w:sz w:val="24"/>
    </w:rPr>
  </w:style>
  <w:style w:type="character" w:customStyle="1" w:styleId="ListLabel2">
    <w:name w:val="ListLabel 2"/>
    <w:rsid w:val="009E7506"/>
    <w:rPr>
      <w:rFonts w:eastAsia="Courier New" w:cs="Courier New"/>
    </w:rPr>
  </w:style>
  <w:style w:type="character" w:customStyle="1" w:styleId="ListLabel3">
    <w:name w:val="ListLabel 3"/>
    <w:rsid w:val="009E7506"/>
    <w:rPr>
      <w:rFonts w:eastAsia="Noto Sans Symbols" w:cs="Noto Sans Symbols"/>
    </w:rPr>
  </w:style>
  <w:style w:type="character" w:customStyle="1" w:styleId="ListLabel4">
    <w:name w:val="ListLabel 4"/>
    <w:rsid w:val="009E7506"/>
    <w:rPr>
      <w:rFonts w:eastAsia="Noto Sans Symbols" w:cs="Noto Sans Symbols"/>
    </w:rPr>
  </w:style>
  <w:style w:type="character" w:customStyle="1" w:styleId="ListLabel5">
    <w:name w:val="ListLabel 5"/>
    <w:rsid w:val="009E7506"/>
    <w:rPr>
      <w:rFonts w:eastAsia="Courier New" w:cs="Courier New"/>
    </w:rPr>
  </w:style>
  <w:style w:type="character" w:customStyle="1" w:styleId="ListLabel6">
    <w:name w:val="ListLabel 6"/>
    <w:rsid w:val="009E7506"/>
    <w:rPr>
      <w:rFonts w:eastAsia="Noto Sans Symbols" w:cs="Noto Sans Symbols"/>
    </w:rPr>
  </w:style>
  <w:style w:type="character" w:customStyle="1" w:styleId="ListLabel7">
    <w:name w:val="ListLabel 7"/>
    <w:rsid w:val="009E7506"/>
    <w:rPr>
      <w:rFonts w:eastAsia="Noto Sans Symbols" w:cs="Noto Sans Symbols"/>
    </w:rPr>
  </w:style>
  <w:style w:type="character" w:customStyle="1" w:styleId="ListLabel8">
    <w:name w:val="ListLabel 8"/>
    <w:rsid w:val="009E7506"/>
    <w:rPr>
      <w:rFonts w:eastAsia="Courier New" w:cs="Courier New"/>
    </w:rPr>
  </w:style>
  <w:style w:type="character" w:customStyle="1" w:styleId="ListLabel9">
    <w:name w:val="ListLabel 9"/>
    <w:rsid w:val="009E7506"/>
    <w:rPr>
      <w:rFonts w:eastAsia="Noto Sans Symbols" w:cs="Noto Sans Symbols"/>
    </w:rPr>
  </w:style>
  <w:style w:type="character" w:customStyle="1" w:styleId="ListLabel10">
    <w:name w:val="ListLabel 10"/>
    <w:rsid w:val="009E7506"/>
    <w:rPr>
      <w:rFonts w:eastAsia="Noto Sans Symbols" w:cs="Noto Sans Symbols"/>
      <w:b w:val="0"/>
      <w:sz w:val="24"/>
    </w:rPr>
  </w:style>
  <w:style w:type="character" w:customStyle="1" w:styleId="ListLabel11">
    <w:name w:val="ListLabel 11"/>
    <w:rsid w:val="009E7506"/>
    <w:rPr>
      <w:rFonts w:eastAsia="Courier New" w:cs="Courier New"/>
    </w:rPr>
  </w:style>
  <w:style w:type="character" w:customStyle="1" w:styleId="ListLabel12">
    <w:name w:val="ListLabel 12"/>
    <w:rsid w:val="009E7506"/>
    <w:rPr>
      <w:rFonts w:eastAsia="Noto Sans Symbols" w:cs="Noto Sans Symbols"/>
    </w:rPr>
  </w:style>
  <w:style w:type="character" w:customStyle="1" w:styleId="ListLabel13">
    <w:name w:val="ListLabel 13"/>
    <w:rsid w:val="009E7506"/>
    <w:rPr>
      <w:rFonts w:eastAsia="Noto Sans Symbols" w:cs="Noto Sans Symbols"/>
    </w:rPr>
  </w:style>
  <w:style w:type="character" w:customStyle="1" w:styleId="ListLabel14">
    <w:name w:val="ListLabel 14"/>
    <w:rsid w:val="009E7506"/>
    <w:rPr>
      <w:rFonts w:eastAsia="Courier New" w:cs="Courier New"/>
    </w:rPr>
  </w:style>
  <w:style w:type="character" w:customStyle="1" w:styleId="ListLabel15">
    <w:name w:val="ListLabel 15"/>
    <w:rsid w:val="009E7506"/>
    <w:rPr>
      <w:rFonts w:eastAsia="Noto Sans Symbols" w:cs="Noto Sans Symbols"/>
    </w:rPr>
  </w:style>
  <w:style w:type="character" w:customStyle="1" w:styleId="ListLabel16">
    <w:name w:val="ListLabel 16"/>
    <w:rsid w:val="009E7506"/>
    <w:rPr>
      <w:rFonts w:eastAsia="Noto Sans Symbols" w:cs="Noto Sans Symbols"/>
    </w:rPr>
  </w:style>
  <w:style w:type="character" w:customStyle="1" w:styleId="ListLabel17">
    <w:name w:val="ListLabel 17"/>
    <w:rsid w:val="009E7506"/>
    <w:rPr>
      <w:rFonts w:eastAsia="Courier New" w:cs="Courier New"/>
    </w:rPr>
  </w:style>
  <w:style w:type="character" w:customStyle="1" w:styleId="ListLabel18">
    <w:name w:val="ListLabel 18"/>
    <w:rsid w:val="009E7506"/>
    <w:rPr>
      <w:rFonts w:eastAsia="Noto Sans Symbols" w:cs="Noto Sans Symbols"/>
    </w:rPr>
  </w:style>
  <w:style w:type="character" w:customStyle="1" w:styleId="ListLabel19">
    <w:name w:val="ListLabel 19"/>
    <w:rsid w:val="009E7506"/>
    <w:rPr>
      <w:rFonts w:eastAsia="Noto Sans Symbols" w:cs="Noto Sans Symbols"/>
      <w:b w:val="0"/>
      <w:sz w:val="24"/>
    </w:rPr>
  </w:style>
  <w:style w:type="character" w:customStyle="1" w:styleId="ListLabel20">
    <w:name w:val="ListLabel 20"/>
    <w:rsid w:val="009E7506"/>
    <w:rPr>
      <w:rFonts w:eastAsia="Courier New" w:cs="Courier New"/>
    </w:rPr>
  </w:style>
  <w:style w:type="character" w:customStyle="1" w:styleId="ListLabel21">
    <w:name w:val="ListLabel 21"/>
    <w:rsid w:val="009E7506"/>
    <w:rPr>
      <w:rFonts w:eastAsia="Noto Sans Symbols" w:cs="Noto Sans Symbols"/>
    </w:rPr>
  </w:style>
  <w:style w:type="character" w:customStyle="1" w:styleId="ListLabel22">
    <w:name w:val="ListLabel 22"/>
    <w:rsid w:val="009E7506"/>
    <w:rPr>
      <w:rFonts w:eastAsia="Noto Sans Symbols" w:cs="Noto Sans Symbols"/>
    </w:rPr>
  </w:style>
  <w:style w:type="character" w:customStyle="1" w:styleId="ListLabel23">
    <w:name w:val="ListLabel 23"/>
    <w:rsid w:val="009E7506"/>
    <w:rPr>
      <w:rFonts w:eastAsia="Courier New" w:cs="Courier New"/>
    </w:rPr>
  </w:style>
  <w:style w:type="character" w:customStyle="1" w:styleId="ListLabel24">
    <w:name w:val="ListLabel 24"/>
    <w:rsid w:val="009E7506"/>
    <w:rPr>
      <w:rFonts w:eastAsia="Noto Sans Symbols" w:cs="Noto Sans Symbols"/>
    </w:rPr>
  </w:style>
  <w:style w:type="character" w:customStyle="1" w:styleId="ListLabel25">
    <w:name w:val="ListLabel 25"/>
    <w:rsid w:val="009E7506"/>
    <w:rPr>
      <w:rFonts w:eastAsia="Noto Sans Symbols" w:cs="Noto Sans Symbols"/>
    </w:rPr>
  </w:style>
  <w:style w:type="character" w:customStyle="1" w:styleId="ListLabel26">
    <w:name w:val="ListLabel 26"/>
    <w:rsid w:val="009E7506"/>
    <w:rPr>
      <w:rFonts w:eastAsia="Courier New" w:cs="Courier New"/>
    </w:rPr>
  </w:style>
  <w:style w:type="character" w:customStyle="1" w:styleId="ListLabel27">
    <w:name w:val="ListLabel 27"/>
    <w:rsid w:val="009E7506"/>
    <w:rPr>
      <w:rFonts w:eastAsia="Noto Sans Symbols" w:cs="Noto Sans Symbols"/>
    </w:rPr>
  </w:style>
  <w:style w:type="character" w:customStyle="1" w:styleId="IndexLink">
    <w:name w:val="Index Link"/>
    <w:rsid w:val="009E7506"/>
  </w:style>
  <w:style w:type="character" w:customStyle="1" w:styleId="EndnoteAnchor">
    <w:name w:val="Endnote Anchor"/>
    <w:rsid w:val="009E7506"/>
    <w:rPr>
      <w:vertAlign w:val="superscript"/>
    </w:rPr>
  </w:style>
  <w:style w:type="character" w:customStyle="1" w:styleId="EndnoteCharacters">
    <w:name w:val="Endnote Characters"/>
    <w:qFormat/>
    <w:rsid w:val="009E7506"/>
  </w:style>
  <w:style w:type="paragraph" w:customStyle="1" w:styleId="Heading">
    <w:name w:val="Heading"/>
    <w:basedOn w:val="Normal"/>
    <w:next w:val="BodyText"/>
    <w:qFormat/>
    <w:rsid w:val="009E7506"/>
    <w:pPr>
      <w:keepNext/>
      <w:spacing w:before="240" w:after="120"/>
    </w:pPr>
    <w:rPr>
      <w:rFonts w:ascii="Liberation Sans" w:eastAsia="Microsoft YaHei" w:hAnsi="Liberation Sans" w:cs="Lucida Sans"/>
      <w:sz w:val="28"/>
      <w:szCs w:val="28"/>
      <w:lang w:eastAsia="zh-CN" w:bidi="hi-IN"/>
    </w:rPr>
  </w:style>
  <w:style w:type="character" w:customStyle="1" w:styleId="BodyTextChar1">
    <w:name w:val="Body Text Char1"/>
    <w:basedOn w:val="DefaultParagraphFont"/>
    <w:uiPriority w:val="99"/>
    <w:semiHidden/>
    <w:rsid w:val="009E7506"/>
    <w:rPr>
      <w:rFonts w:eastAsia="Times New Roman" w:cs="Mangal"/>
      <w:sz w:val="22"/>
      <w:szCs w:val="20"/>
    </w:rPr>
  </w:style>
  <w:style w:type="paragraph" w:styleId="List">
    <w:name w:val="List"/>
    <w:basedOn w:val="BodyText"/>
    <w:rsid w:val="009E7506"/>
    <w:rPr>
      <w:rFonts w:cs="Lucida Sans"/>
      <w:szCs w:val="22"/>
      <w:lang w:eastAsia="zh-CN" w:bidi="hi-IN"/>
    </w:rPr>
  </w:style>
  <w:style w:type="paragraph" w:customStyle="1" w:styleId="Index">
    <w:name w:val="Index"/>
    <w:basedOn w:val="Normal"/>
    <w:qFormat/>
    <w:rsid w:val="009E7506"/>
    <w:pPr>
      <w:suppressLineNumbers/>
    </w:pPr>
    <w:rPr>
      <w:rFonts w:cs="Lucida Sans"/>
      <w:lang w:eastAsia="zh-CN" w:bidi="hi-IN"/>
    </w:rPr>
  </w:style>
  <w:style w:type="paragraph" w:customStyle="1" w:styleId="LO-normal">
    <w:name w:val="LO-normal"/>
    <w:rsid w:val="009E7506"/>
    <w:pPr>
      <w:spacing w:after="0" w:line="240" w:lineRule="auto"/>
      <w:jc w:val="both"/>
    </w:pPr>
    <w:rPr>
      <w:rFonts w:ascii="Calibri" w:eastAsia="Calibri" w:hAnsi="Calibri" w:cs="Calibri"/>
      <w:lang w:eastAsia="zh-CN" w:bidi="hi-IN"/>
    </w:rPr>
  </w:style>
  <w:style w:type="paragraph" w:styleId="Title">
    <w:name w:val="Title"/>
    <w:basedOn w:val="LO-normal"/>
    <w:next w:val="LO-normal"/>
    <w:link w:val="TitleChar"/>
    <w:uiPriority w:val="10"/>
    <w:qFormat/>
    <w:rsid w:val="009E7506"/>
    <w:pPr>
      <w:keepNext/>
      <w:keepLines/>
      <w:spacing w:before="480" w:after="120"/>
    </w:pPr>
    <w:rPr>
      <w:b/>
      <w:sz w:val="72"/>
      <w:szCs w:val="72"/>
    </w:rPr>
  </w:style>
  <w:style w:type="character" w:customStyle="1" w:styleId="TitleChar">
    <w:name w:val="Title Char"/>
    <w:basedOn w:val="DefaultParagraphFont"/>
    <w:link w:val="Title"/>
    <w:uiPriority w:val="10"/>
    <w:rsid w:val="009E7506"/>
    <w:rPr>
      <w:rFonts w:ascii="Calibri" w:eastAsia="Calibri" w:hAnsi="Calibri" w:cs="Calibri"/>
      <w:b/>
      <w:sz w:val="72"/>
      <w:szCs w:val="72"/>
      <w:lang w:eastAsia="zh-CN" w:bidi="hi-IN"/>
    </w:rPr>
  </w:style>
  <w:style w:type="character" w:customStyle="1" w:styleId="BalloonTextChar1">
    <w:name w:val="Balloon Text Char1"/>
    <w:basedOn w:val="DefaultParagraphFont"/>
    <w:uiPriority w:val="99"/>
    <w:semiHidden/>
    <w:rsid w:val="009E7506"/>
    <w:rPr>
      <w:rFonts w:ascii="Tahoma" w:eastAsia="Times New Roman" w:hAnsi="Tahoma" w:cs="Mangal"/>
      <w:sz w:val="16"/>
      <w:szCs w:val="14"/>
    </w:rPr>
  </w:style>
  <w:style w:type="character" w:customStyle="1" w:styleId="HeaderChar1">
    <w:name w:val="Header Char1"/>
    <w:basedOn w:val="DefaultParagraphFont"/>
    <w:uiPriority w:val="99"/>
    <w:semiHidden/>
    <w:rsid w:val="009E7506"/>
    <w:rPr>
      <w:rFonts w:eastAsia="Times New Roman" w:cs="Mangal"/>
      <w:sz w:val="22"/>
      <w:szCs w:val="20"/>
    </w:rPr>
  </w:style>
  <w:style w:type="character" w:customStyle="1" w:styleId="FooterChar1">
    <w:name w:val="Footer Char1"/>
    <w:basedOn w:val="DefaultParagraphFont"/>
    <w:uiPriority w:val="99"/>
    <w:semiHidden/>
    <w:rsid w:val="009E7506"/>
    <w:rPr>
      <w:rFonts w:eastAsia="Times New Roman" w:cs="Mangal"/>
      <w:sz w:val="22"/>
      <w:szCs w:val="20"/>
    </w:rPr>
  </w:style>
  <w:style w:type="character" w:customStyle="1" w:styleId="CommentTextChar1">
    <w:name w:val="Comment Text Char1"/>
    <w:basedOn w:val="DefaultParagraphFont"/>
    <w:uiPriority w:val="99"/>
    <w:semiHidden/>
    <w:rsid w:val="009E7506"/>
    <w:rPr>
      <w:rFonts w:eastAsia="Times New Roman" w:cs="Mangal"/>
      <w:szCs w:val="18"/>
    </w:rPr>
  </w:style>
  <w:style w:type="character" w:customStyle="1" w:styleId="CommentSubjectChar1">
    <w:name w:val="Comment Subject Char1"/>
    <w:basedOn w:val="CommentTextChar1"/>
    <w:uiPriority w:val="99"/>
    <w:semiHidden/>
    <w:rsid w:val="009E7506"/>
    <w:rPr>
      <w:rFonts w:eastAsia="Times New Roman" w:cs="Mangal"/>
      <w:b/>
      <w:bCs/>
      <w:szCs w:val="18"/>
    </w:rPr>
  </w:style>
  <w:style w:type="paragraph" w:customStyle="1" w:styleId="FootnoteText1">
    <w:name w:val="Footnote Text1"/>
    <w:basedOn w:val="LO-normal"/>
    <w:rsid w:val="009E7506"/>
    <w:pPr>
      <w:spacing w:after="240"/>
      <w:jc w:val="left"/>
    </w:pPr>
    <w:rPr>
      <w:rFonts w:ascii="Arial" w:eastAsia="Times New Roman" w:hAnsi="Arial"/>
      <w:sz w:val="18"/>
      <w:szCs w:val="18"/>
    </w:rPr>
  </w:style>
  <w:style w:type="character" w:customStyle="1" w:styleId="PlainTextChar1">
    <w:name w:val="Plain Text Char1"/>
    <w:basedOn w:val="DefaultParagraphFont"/>
    <w:uiPriority w:val="99"/>
    <w:semiHidden/>
    <w:rsid w:val="009E7506"/>
    <w:rPr>
      <w:rFonts w:ascii="Consolas" w:eastAsia="Times New Roman" w:hAnsi="Consolas" w:cs="Mangal"/>
      <w:sz w:val="21"/>
      <w:szCs w:val="19"/>
    </w:rPr>
  </w:style>
  <w:style w:type="character" w:customStyle="1" w:styleId="BodyTextIndentChar1">
    <w:name w:val="Body Text Indent Char1"/>
    <w:basedOn w:val="DefaultParagraphFont"/>
    <w:uiPriority w:val="99"/>
    <w:semiHidden/>
    <w:rsid w:val="009E7506"/>
    <w:rPr>
      <w:rFonts w:eastAsia="Times New Roman" w:cs="Mangal"/>
      <w:sz w:val="22"/>
      <w:szCs w:val="20"/>
    </w:rPr>
  </w:style>
  <w:style w:type="paragraph" w:styleId="Subtitle">
    <w:name w:val="Subtitle"/>
    <w:basedOn w:val="LO-normal"/>
    <w:next w:val="LO-normal"/>
    <w:link w:val="SubtitleChar"/>
    <w:uiPriority w:val="4"/>
    <w:qFormat/>
    <w:rsid w:val="009E7506"/>
    <w:pPr>
      <w:spacing w:after="240" w:line="259" w:lineRule="auto"/>
    </w:pPr>
    <w:rPr>
      <w:rFonts w:asciiTheme="majorHAnsi" w:eastAsiaTheme="minorEastAsia" w:hAnsiTheme="majorHAnsi" w:cstheme="minorBidi"/>
      <w:color w:val="7F7F7F" w:themeColor="text1" w:themeTint="80"/>
      <w:spacing w:val="15"/>
      <w:sz w:val="32"/>
      <w:lang w:eastAsia="en-US" w:bidi="ar-SA"/>
    </w:rPr>
  </w:style>
  <w:style w:type="character" w:customStyle="1" w:styleId="SubtitleChar1">
    <w:name w:val="Subtitle Char1"/>
    <w:basedOn w:val="DefaultParagraphFont"/>
    <w:uiPriority w:val="11"/>
    <w:rsid w:val="009E7506"/>
    <w:rPr>
      <w:rFonts w:eastAsiaTheme="minorEastAsia"/>
      <w:color w:val="5A5A5A" w:themeColor="text1" w:themeTint="A5"/>
      <w:spacing w:val="15"/>
    </w:rPr>
  </w:style>
  <w:style w:type="paragraph" w:customStyle="1" w:styleId="BULLETS">
    <w:name w:val="BULLETS"/>
    <w:basedOn w:val="ListParagraph"/>
    <w:qFormat/>
    <w:rsid w:val="003D0BFB"/>
    <w:pPr>
      <w:numPr>
        <w:numId w:val="19"/>
      </w:numPr>
      <w:tabs>
        <w:tab w:val="left" w:pos="990"/>
        <w:tab w:val="left" w:pos="1725"/>
      </w:tabs>
      <w:spacing w:after="0" w:line="480" w:lineRule="auto"/>
    </w:pPr>
    <w:rPr>
      <w:rFonts w:ascii="Times New Roman" w:eastAsia="Calibri" w:hAnsi="Times New Roman" w:cs="Calibri"/>
      <w:sz w:val="24"/>
      <w:szCs w:val="24"/>
      <w:lang w:eastAsia="zh-CN" w:bidi="hi-IN"/>
    </w:rPr>
  </w:style>
  <w:style w:type="numbering" w:customStyle="1" w:styleId="NoList11">
    <w:name w:val="No List11"/>
    <w:uiPriority w:val="99"/>
    <w:semiHidden/>
    <w:unhideWhenUsed/>
    <w:qFormat/>
    <w:rsid w:val="009E7506"/>
  </w:style>
  <w:style w:type="table" w:customStyle="1" w:styleId="TableGrid1">
    <w:name w:val="Table Grid1"/>
    <w:basedOn w:val="TableNormal"/>
    <w:next w:val="TableGrid"/>
    <w:uiPriority w:val="39"/>
    <w:rsid w:val="009E7506"/>
    <w:pPr>
      <w:spacing w:after="0" w:line="240" w:lineRule="auto"/>
    </w:pPr>
    <w:rPr>
      <w:rFonts w:ascii="Calibri" w:eastAsia="Calibri" w:hAnsi="Calibri" w:cs="Calibri"/>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3">
    <w:name w:val="Footnote Text Char3"/>
    <w:basedOn w:val="DefaultParagraphFont"/>
    <w:uiPriority w:val="99"/>
    <w:semiHidden/>
    <w:rsid w:val="009E7506"/>
    <w:rPr>
      <w:rFonts w:eastAsia="Times New Roman" w:cs="Mangal"/>
      <w:szCs w:val="18"/>
    </w:rPr>
  </w:style>
  <w:style w:type="character" w:customStyle="1" w:styleId="UnresolvedMention1">
    <w:name w:val="Unresolved Mention1"/>
    <w:basedOn w:val="DefaultParagraphFont"/>
    <w:uiPriority w:val="99"/>
    <w:semiHidden/>
    <w:unhideWhenUsed/>
    <w:rsid w:val="009E7113"/>
    <w:rPr>
      <w:color w:val="605E5C"/>
      <w:shd w:val="clear" w:color="auto" w:fill="E1DFDD"/>
    </w:rPr>
  </w:style>
  <w:style w:type="character" w:customStyle="1" w:styleId="ListParagraphChar">
    <w:name w:val="List Paragraph Char"/>
    <w:link w:val="ListParagraph"/>
    <w:uiPriority w:val="34"/>
    <w:rsid w:val="00C43CB5"/>
    <w:rPr>
      <w:rFonts w:ascii="Calibri" w:eastAsia="Times New Roman" w:hAnsi="Calibri" w:cs="Times New Roman"/>
    </w:rPr>
  </w:style>
  <w:style w:type="table" w:customStyle="1" w:styleId="TableGrid2">
    <w:name w:val="Table Grid2"/>
    <w:basedOn w:val="TableNormal"/>
    <w:next w:val="TableGrid"/>
    <w:uiPriority w:val="39"/>
    <w:rsid w:val="006E59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59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59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3F1D"/>
    <w:rPr>
      <w:color w:val="605E5C"/>
      <w:shd w:val="clear" w:color="auto" w:fill="E1DFDD"/>
    </w:rPr>
  </w:style>
  <w:style w:type="paragraph" w:styleId="Quote">
    <w:name w:val="Quote"/>
    <w:basedOn w:val="Normal"/>
    <w:next w:val="Normal"/>
    <w:link w:val="QuoteChar"/>
    <w:uiPriority w:val="29"/>
    <w:qFormat/>
    <w:rsid w:val="00E83E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3E6E"/>
    <w:rPr>
      <w:rFonts w:ascii="Calibri" w:eastAsia="Times New Roman" w:hAnsi="Calibri" w:cs="Times New Roman"/>
      <w:i/>
      <w:iCs/>
      <w:color w:val="404040" w:themeColor="text1" w:themeTint="BF"/>
    </w:rPr>
  </w:style>
  <w:style w:type="paragraph" w:customStyle="1" w:styleId="xquestion">
    <w:name w:val="x_question"/>
    <w:basedOn w:val="Normal"/>
    <w:rsid w:val="00C4385C"/>
    <w:pPr>
      <w:spacing w:before="100" w:beforeAutospacing="1" w:after="100" w:afterAutospacing="1"/>
      <w:jc w:val="left"/>
    </w:pPr>
    <w:rPr>
      <w:rFonts w:ascii="Times New Roman" w:hAnsi="Times New Roman"/>
      <w:sz w:val="24"/>
      <w:szCs w:val="24"/>
    </w:rPr>
  </w:style>
  <w:style w:type="character" w:styleId="Mention">
    <w:name w:val="Mention"/>
    <w:basedOn w:val="DefaultParagraphFont"/>
    <w:uiPriority w:val="99"/>
    <w:unhideWhenUsed/>
    <w:rsid w:val="003D0BFB"/>
    <w:rPr>
      <w:color w:val="2B579A"/>
      <w:shd w:val="clear" w:color="auto" w:fill="E6E6E6"/>
    </w:rPr>
  </w:style>
  <w:style w:type="paragraph" w:customStyle="1" w:styleId="paragraph">
    <w:name w:val="paragraph"/>
    <w:basedOn w:val="Normal"/>
    <w:rsid w:val="003D0BFB"/>
    <w:pPr>
      <w:spacing w:before="100" w:beforeAutospacing="1" w:after="100" w:afterAutospacing="1"/>
      <w:jc w:val="left"/>
    </w:pPr>
    <w:rPr>
      <w:rFonts w:ascii="Times New Roman" w:hAnsi="Times New Roman"/>
      <w:sz w:val="24"/>
      <w:szCs w:val="24"/>
    </w:rPr>
  </w:style>
  <w:style w:type="character" w:customStyle="1" w:styleId="eop">
    <w:name w:val="eop"/>
    <w:basedOn w:val="DefaultParagraphFont"/>
    <w:rsid w:val="003D0BFB"/>
  </w:style>
  <w:style w:type="character" w:customStyle="1" w:styleId="normaltextrun">
    <w:name w:val="normaltextrun"/>
    <w:basedOn w:val="DefaultParagraphFont"/>
    <w:rsid w:val="0018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346">
      <w:bodyDiv w:val="1"/>
      <w:marLeft w:val="0"/>
      <w:marRight w:val="0"/>
      <w:marTop w:val="0"/>
      <w:marBottom w:val="0"/>
      <w:divBdr>
        <w:top w:val="none" w:sz="0" w:space="0" w:color="auto"/>
        <w:left w:val="none" w:sz="0" w:space="0" w:color="auto"/>
        <w:bottom w:val="none" w:sz="0" w:space="0" w:color="auto"/>
        <w:right w:val="none" w:sz="0" w:space="0" w:color="auto"/>
      </w:divBdr>
    </w:div>
    <w:div w:id="42220796">
      <w:bodyDiv w:val="1"/>
      <w:marLeft w:val="0"/>
      <w:marRight w:val="0"/>
      <w:marTop w:val="0"/>
      <w:marBottom w:val="0"/>
      <w:divBdr>
        <w:top w:val="none" w:sz="0" w:space="0" w:color="auto"/>
        <w:left w:val="none" w:sz="0" w:space="0" w:color="auto"/>
        <w:bottom w:val="none" w:sz="0" w:space="0" w:color="auto"/>
        <w:right w:val="none" w:sz="0" w:space="0" w:color="auto"/>
      </w:divBdr>
    </w:div>
    <w:div w:id="138772052">
      <w:bodyDiv w:val="1"/>
      <w:marLeft w:val="0"/>
      <w:marRight w:val="0"/>
      <w:marTop w:val="0"/>
      <w:marBottom w:val="0"/>
      <w:divBdr>
        <w:top w:val="none" w:sz="0" w:space="0" w:color="auto"/>
        <w:left w:val="none" w:sz="0" w:space="0" w:color="auto"/>
        <w:bottom w:val="none" w:sz="0" w:space="0" w:color="auto"/>
        <w:right w:val="none" w:sz="0" w:space="0" w:color="auto"/>
      </w:divBdr>
    </w:div>
    <w:div w:id="273565268">
      <w:bodyDiv w:val="1"/>
      <w:marLeft w:val="0"/>
      <w:marRight w:val="0"/>
      <w:marTop w:val="0"/>
      <w:marBottom w:val="0"/>
      <w:divBdr>
        <w:top w:val="none" w:sz="0" w:space="0" w:color="auto"/>
        <w:left w:val="none" w:sz="0" w:space="0" w:color="auto"/>
        <w:bottom w:val="none" w:sz="0" w:space="0" w:color="auto"/>
        <w:right w:val="none" w:sz="0" w:space="0" w:color="auto"/>
      </w:divBdr>
    </w:div>
    <w:div w:id="323969012">
      <w:bodyDiv w:val="1"/>
      <w:marLeft w:val="0"/>
      <w:marRight w:val="0"/>
      <w:marTop w:val="0"/>
      <w:marBottom w:val="0"/>
      <w:divBdr>
        <w:top w:val="none" w:sz="0" w:space="0" w:color="auto"/>
        <w:left w:val="none" w:sz="0" w:space="0" w:color="auto"/>
        <w:bottom w:val="none" w:sz="0" w:space="0" w:color="auto"/>
        <w:right w:val="none" w:sz="0" w:space="0" w:color="auto"/>
      </w:divBdr>
    </w:div>
    <w:div w:id="361125994">
      <w:bodyDiv w:val="1"/>
      <w:marLeft w:val="0"/>
      <w:marRight w:val="0"/>
      <w:marTop w:val="0"/>
      <w:marBottom w:val="0"/>
      <w:divBdr>
        <w:top w:val="none" w:sz="0" w:space="0" w:color="auto"/>
        <w:left w:val="none" w:sz="0" w:space="0" w:color="auto"/>
        <w:bottom w:val="none" w:sz="0" w:space="0" w:color="auto"/>
        <w:right w:val="none" w:sz="0" w:space="0" w:color="auto"/>
      </w:divBdr>
    </w:div>
    <w:div w:id="420296776">
      <w:bodyDiv w:val="1"/>
      <w:marLeft w:val="0"/>
      <w:marRight w:val="0"/>
      <w:marTop w:val="0"/>
      <w:marBottom w:val="0"/>
      <w:divBdr>
        <w:top w:val="none" w:sz="0" w:space="0" w:color="auto"/>
        <w:left w:val="none" w:sz="0" w:space="0" w:color="auto"/>
        <w:bottom w:val="none" w:sz="0" w:space="0" w:color="auto"/>
        <w:right w:val="none" w:sz="0" w:space="0" w:color="auto"/>
      </w:divBdr>
    </w:div>
    <w:div w:id="471412532">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98300266">
      <w:bodyDiv w:val="1"/>
      <w:marLeft w:val="0"/>
      <w:marRight w:val="0"/>
      <w:marTop w:val="0"/>
      <w:marBottom w:val="0"/>
      <w:divBdr>
        <w:top w:val="none" w:sz="0" w:space="0" w:color="auto"/>
        <w:left w:val="none" w:sz="0" w:space="0" w:color="auto"/>
        <w:bottom w:val="none" w:sz="0" w:space="0" w:color="auto"/>
        <w:right w:val="none" w:sz="0" w:space="0" w:color="auto"/>
      </w:divBdr>
    </w:div>
    <w:div w:id="699670126">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74791240">
      <w:bodyDiv w:val="1"/>
      <w:marLeft w:val="0"/>
      <w:marRight w:val="0"/>
      <w:marTop w:val="0"/>
      <w:marBottom w:val="0"/>
      <w:divBdr>
        <w:top w:val="none" w:sz="0" w:space="0" w:color="auto"/>
        <w:left w:val="none" w:sz="0" w:space="0" w:color="auto"/>
        <w:bottom w:val="none" w:sz="0" w:space="0" w:color="auto"/>
        <w:right w:val="none" w:sz="0" w:space="0" w:color="auto"/>
      </w:divBdr>
    </w:div>
    <w:div w:id="922681492">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2567274">
      <w:bodyDiv w:val="1"/>
      <w:marLeft w:val="0"/>
      <w:marRight w:val="0"/>
      <w:marTop w:val="0"/>
      <w:marBottom w:val="0"/>
      <w:divBdr>
        <w:top w:val="none" w:sz="0" w:space="0" w:color="auto"/>
        <w:left w:val="none" w:sz="0" w:space="0" w:color="auto"/>
        <w:bottom w:val="none" w:sz="0" w:space="0" w:color="auto"/>
        <w:right w:val="none" w:sz="0" w:space="0" w:color="auto"/>
      </w:divBdr>
    </w:div>
    <w:div w:id="1045133790">
      <w:bodyDiv w:val="1"/>
      <w:marLeft w:val="0"/>
      <w:marRight w:val="0"/>
      <w:marTop w:val="0"/>
      <w:marBottom w:val="0"/>
      <w:divBdr>
        <w:top w:val="none" w:sz="0" w:space="0" w:color="auto"/>
        <w:left w:val="none" w:sz="0" w:space="0" w:color="auto"/>
        <w:bottom w:val="none" w:sz="0" w:space="0" w:color="auto"/>
        <w:right w:val="none" w:sz="0" w:space="0" w:color="auto"/>
      </w:divBdr>
    </w:div>
    <w:div w:id="1046874926">
      <w:bodyDiv w:val="1"/>
      <w:marLeft w:val="0"/>
      <w:marRight w:val="0"/>
      <w:marTop w:val="0"/>
      <w:marBottom w:val="0"/>
      <w:divBdr>
        <w:top w:val="none" w:sz="0" w:space="0" w:color="auto"/>
        <w:left w:val="none" w:sz="0" w:space="0" w:color="auto"/>
        <w:bottom w:val="none" w:sz="0" w:space="0" w:color="auto"/>
        <w:right w:val="none" w:sz="0" w:space="0" w:color="auto"/>
      </w:divBdr>
    </w:div>
    <w:div w:id="1141844877">
      <w:bodyDiv w:val="1"/>
      <w:marLeft w:val="0"/>
      <w:marRight w:val="0"/>
      <w:marTop w:val="0"/>
      <w:marBottom w:val="0"/>
      <w:divBdr>
        <w:top w:val="none" w:sz="0" w:space="0" w:color="auto"/>
        <w:left w:val="none" w:sz="0" w:space="0" w:color="auto"/>
        <w:bottom w:val="none" w:sz="0" w:space="0" w:color="auto"/>
        <w:right w:val="none" w:sz="0" w:space="0" w:color="auto"/>
      </w:divBdr>
    </w:div>
    <w:div w:id="1145971698">
      <w:bodyDiv w:val="1"/>
      <w:marLeft w:val="0"/>
      <w:marRight w:val="0"/>
      <w:marTop w:val="0"/>
      <w:marBottom w:val="0"/>
      <w:divBdr>
        <w:top w:val="none" w:sz="0" w:space="0" w:color="auto"/>
        <w:left w:val="none" w:sz="0" w:space="0" w:color="auto"/>
        <w:bottom w:val="none" w:sz="0" w:space="0" w:color="auto"/>
        <w:right w:val="none" w:sz="0" w:space="0" w:color="auto"/>
      </w:divBdr>
    </w:div>
    <w:div w:id="1148785533">
      <w:bodyDiv w:val="1"/>
      <w:marLeft w:val="0"/>
      <w:marRight w:val="0"/>
      <w:marTop w:val="0"/>
      <w:marBottom w:val="0"/>
      <w:divBdr>
        <w:top w:val="none" w:sz="0" w:space="0" w:color="auto"/>
        <w:left w:val="none" w:sz="0" w:space="0" w:color="auto"/>
        <w:bottom w:val="none" w:sz="0" w:space="0" w:color="auto"/>
        <w:right w:val="none" w:sz="0" w:space="0" w:color="auto"/>
      </w:divBdr>
    </w:div>
    <w:div w:id="1217350079">
      <w:bodyDiv w:val="1"/>
      <w:marLeft w:val="0"/>
      <w:marRight w:val="0"/>
      <w:marTop w:val="0"/>
      <w:marBottom w:val="0"/>
      <w:divBdr>
        <w:top w:val="none" w:sz="0" w:space="0" w:color="auto"/>
        <w:left w:val="none" w:sz="0" w:space="0" w:color="auto"/>
        <w:bottom w:val="none" w:sz="0" w:space="0" w:color="auto"/>
        <w:right w:val="none" w:sz="0" w:space="0" w:color="auto"/>
      </w:divBdr>
    </w:div>
    <w:div w:id="1265918339">
      <w:bodyDiv w:val="1"/>
      <w:marLeft w:val="0"/>
      <w:marRight w:val="0"/>
      <w:marTop w:val="0"/>
      <w:marBottom w:val="0"/>
      <w:divBdr>
        <w:top w:val="none" w:sz="0" w:space="0" w:color="auto"/>
        <w:left w:val="none" w:sz="0" w:space="0" w:color="auto"/>
        <w:bottom w:val="none" w:sz="0" w:space="0" w:color="auto"/>
        <w:right w:val="none" w:sz="0" w:space="0" w:color="auto"/>
      </w:divBdr>
    </w:div>
    <w:div w:id="1289361415">
      <w:bodyDiv w:val="1"/>
      <w:marLeft w:val="0"/>
      <w:marRight w:val="0"/>
      <w:marTop w:val="0"/>
      <w:marBottom w:val="0"/>
      <w:divBdr>
        <w:top w:val="none" w:sz="0" w:space="0" w:color="auto"/>
        <w:left w:val="none" w:sz="0" w:space="0" w:color="auto"/>
        <w:bottom w:val="none" w:sz="0" w:space="0" w:color="auto"/>
        <w:right w:val="none" w:sz="0" w:space="0" w:color="auto"/>
      </w:divBdr>
    </w:div>
    <w:div w:id="1353188679">
      <w:bodyDiv w:val="1"/>
      <w:marLeft w:val="0"/>
      <w:marRight w:val="0"/>
      <w:marTop w:val="0"/>
      <w:marBottom w:val="0"/>
      <w:divBdr>
        <w:top w:val="none" w:sz="0" w:space="0" w:color="auto"/>
        <w:left w:val="none" w:sz="0" w:space="0" w:color="auto"/>
        <w:bottom w:val="none" w:sz="0" w:space="0" w:color="auto"/>
        <w:right w:val="none" w:sz="0" w:space="0" w:color="auto"/>
      </w:divBdr>
    </w:div>
    <w:div w:id="1425227189">
      <w:bodyDiv w:val="1"/>
      <w:marLeft w:val="0"/>
      <w:marRight w:val="0"/>
      <w:marTop w:val="0"/>
      <w:marBottom w:val="0"/>
      <w:divBdr>
        <w:top w:val="none" w:sz="0" w:space="0" w:color="auto"/>
        <w:left w:val="none" w:sz="0" w:space="0" w:color="auto"/>
        <w:bottom w:val="none" w:sz="0" w:space="0" w:color="auto"/>
        <w:right w:val="none" w:sz="0" w:space="0" w:color="auto"/>
      </w:divBdr>
    </w:div>
    <w:div w:id="1448498947">
      <w:bodyDiv w:val="1"/>
      <w:marLeft w:val="0"/>
      <w:marRight w:val="0"/>
      <w:marTop w:val="0"/>
      <w:marBottom w:val="0"/>
      <w:divBdr>
        <w:top w:val="none" w:sz="0" w:space="0" w:color="auto"/>
        <w:left w:val="none" w:sz="0" w:space="0" w:color="auto"/>
        <w:bottom w:val="none" w:sz="0" w:space="0" w:color="auto"/>
        <w:right w:val="none" w:sz="0" w:space="0" w:color="auto"/>
      </w:divBdr>
    </w:div>
    <w:div w:id="1538394601">
      <w:bodyDiv w:val="1"/>
      <w:marLeft w:val="0"/>
      <w:marRight w:val="0"/>
      <w:marTop w:val="0"/>
      <w:marBottom w:val="0"/>
      <w:divBdr>
        <w:top w:val="none" w:sz="0" w:space="0" w:color="auto"/>
        <w:left w:val="none" w:sz="0" w:space="0" w:color="auto"/>
        <w:bottom w:val="none" w:sz="0" w:space="0" w:color="auto"/>
        <w:right w:val="none" w:sz="0" w:space="0" w:color="auto"/>
      </w:divBdr>
      <w:divsChild>
        <w:div w:id="1955361542">
          <w:marLeft w:val="0"/>
          <w:marRight w:val="0"/>
          <w:marTop w:val="0"/>
          <w:marBottom w:val="0"/>
          <w:divBdr>
            <w:top w:val="none" w:sz="0" w:space="0" w:color="auto"/>
            <w:left w:val="none" w:sz="0" w:space="0" w:color="auto"/>
            <w:bottom w:val="none" w:sz="0" w:space="0" w:color="auto"/>
            <w:right w:val="none" w:sz="0" w:space="0" w:color="auto"/>
          </w:divBdr>
        </w:div>
      </w:divsChild>
    </w:div>
    <w:div w:id="1548688131">
      <w:bodyDiv w:val="1"/>
      <w:marLeft w:val="0"/>
      <w:marRight w:val="0"/>
      <w:marTop w:val="0"/>
      <w:marBottom w:val="0"/>
      <w:divBdr>
        <w:top w:val="none" w:sz="0" w:space="0" w:color="auto"/>
        <w:left w:val="none" w:sz="0" w:space="0" w:color="auto"/>
        <w:bottom w:val="none" w:sz="0" w:space="0" w:color="auto"/>
        <w:right w:val="none" w:sz="0" w:space="0" w:color="auto"/>
      </w:divBdr>
    </w:div>
    <w:div w:id="1607611455">
      <w:bodyDiv w:val="1"/>
      <w:marLeft w:val="0"/>
      <w:marRight w:val="0"/>
      <w:marTop w:val="0"/>
      <w:marBottom w:val="0"/>
      <w:divBdr>
        <w:top w:val="none" w:sz="0" w:space="0" w:color="auto"/>
        <w:left w:val="none" w:sz="0" w:space="0" w:color="auto"/>
        <w:bottom w:val="none" w:sz="0" w:space="0" w:color="auto"/>
        <w:right w:val="none" w:sz="0" w:space="0" w:color="auto"/>
      </w:divBdr>
    </w:div>
    <w:div w:id="1684209761">
      <w:bodyDiv w:val="1"/>
      <w:marLeft w:val="0"/>
      <w:marRight w:val="0"/>
      <w:marTop w:val="0"/>
      <w:marBottom w:val="0"/>
      <w:divBdr>
        <w:top w:val="none" w:sz="0" w:space="0" w:color="auto"/>
        <w:left w:val="none" w:sz="0" w:space="0" w:color="auto"/>
        <w:bottom w:val="none" w:sz="0" w:space="0" w:color="auto"/>
        <w:right w:val="none" w:sz="0" w:space="0" w:color="auto"/>
      </w:divBdr>
    </w:div>
    <w:div w:id="1690519199">
      <w:bodyDiv w:val="1"/>
      <w:marLeft w:val="0"/>
      <w:marRight w:val="0"/>
      <w:marTop w:val="0"/>
      <w:marBottom w:val="0"/>
      <w:divBdr>
        <w:top w:val="none" w:sz="0" w:space="0" w:color="auto"/>
        <w:left w:val="none" w:sz="0" w:space="0" w:color="auto"/>
        <w:bottom w:val="none" w:sz="0" w:space="0" w:color="auto"/>
        <w:right w:val="none" w:sz="0" w:space="0" w:color="auto"/>
      </w:divBdr>
    </w:div>
    <w:div w:id="1719694962">
      <w:bodyDiv w:val="1"/>
      <w:marLeft w:val="0"/>
      <w:marRight w:val="0"/>
      <w:marTop w:val="0"/>
      <w:marBottom w:val="0"/>
      <w:divBdr>
        <w:top w:val="none" w:sz="0" w:space="0" w:color="auto"/>
        <w:left w:val="none" w:sz="0" w:space="0" w:color="auto"/>
        <w:bottom w:val="none" w:sz="0" w:space="0" w:color="auto"/>
        <w:right w:val="none" w:sz="0" w:space="0" w:color="auto"/>
      </w:divBdr>
    </w:div>
    <w:div w:id="1842622774">
      <w:bodyDiv w:val="1"/>
      <w:marLeft w:val="0"/>
      <w:marRight w:val="0"/>
      <w:marTop w:val="0"/>
      <w:marBottom w:val="0"/>
      <w:divBdr>
        <w:top w:val="none" w:sz="0" w:space="0" w:color="auto"/>
        <w:left w:val="none" w:sz="0" w:space="0" w:color="auto"/>
        <w:bottom w:val="none" w:sz="0" w:space="0" w:color="auto"/>
        <w:right w:val="none" w:sz="0" w:space="0" w:color="auto"/>
      </w:divBdr>
    </w:div>
    <w:div w:id="1895698460">
      <w:bodyDiv w:val="1"/>
      <w:marLeft w:val="0"/>
      <w:marRight w:val="0"/>
      <w:marTop w:val="0"/>
      <w:marBottom w:val="0"/>
      <w:divBdr>
        <w:top w:val="none" w:sz="0" w:space="0" w:color="auto"/>
        <w:left w:val="none" w:sz="0" w:space="0" w:color="auto"/>
        <w:bottom w:val="none" w:sz="0" w:space="0" w:color="auto"/>
        <w:right w:val="none" w:sz="0" w:space="0" w:color="auto"/>
      </w:divBdr>
    </w:div>
    <w:div w:id="1938557441">
      <w:bodyDiv w:val="1"/>
      <w:marLeft w:val="0"/>
      <w:marRight w:val="0"/>
      <w:marTop w:val="0"/>
      <w:marBottom w:val="0"/>
      <w:divBdr>
        <w:top w:val="none" w:sz="0" w:space="0" w:color="auto"/>
        <w:left w:val="none" w:sz="0" w:space="0" w:color="auto"/>
        <w:bottom w:val="none" w:sz="0" w:space="0" w:color="auto"/>
        <w:right w:val="none" w:sz="0" w:space="0" w:color="auto"/>
      </w:divBdr>
      <w:divsChild>
        <w:div w:id="714693221">
          <w:marLeft w:val="0"/>
          <w:marRight w:val="0"/>
          <w:marTop w:val="0"/>
          <w:marBottom w:val="0"/>
          <w:divBdr>
            <w:top w:val="none" w:sz="0" w:space="0" w:color="auto"/>
            <w:left w:val="none" w:sz="0" w:space="0" w:color="auto"/>
            <w:bottom w:val="none" w:sz="0" w:space="0" w:color="auto"/>
            <w:right w:val="none" w:sz="0" w:space="0" w:color="auto"/>
          </w:divBdr>
          <w:divsChild>
            <w:div w:id="1374692706">
              <w:marLeft w:val="0"/>
              <w:marRight w:val="0"/>
              <w:marTop w:val="0"/>
              <w:marBottom w:val="0"/>
              <w:divBdr>
                <w:top w:val="none" w:sz="0" w:space="0" w:color="auto"/>
                <w:left w:val="none" w:sz="0" w:space="0" w:color="auto"/>
                <w:bottom w:val="none" w:sz="0" w:space="0" w:color="auto"/>
                <w:right w:val="none" w:sz="0" w:space="0" w:color="auto"/>
              </w:divBdr>
              <w:divsChild>
                <w:div w:id="1154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81680">
      <w:bodyDiv w:val="1"/>
      <w:marLeft w:val="0"/>
      <w:marRight w:val="0"/>
      <w:marTop w:val="0"/>
      <w:marBottom w:val="0"/>
      <w:divBdr>
        <w:top w:val="none" w:sz="0" w:space="0" w:color="auto"/>
        <w:left w:val="none" w:sz="0" w:space="0" w:color="auto"/>
        <w:bottom w:val="none" w:sz="0" w:space="0" w:color="auto"/>
        <w:right w:val="none" w:sz="0" w:space="0" w:color="auto"/>
      </w:divBdr>
    </w:div>
    <w:div w:id="1960523581">
      <w:bodyDiv w:val="1"/>
      <w:marLeft w:val="0"/>
      <w:marRight w:val="0"/>
      <w:marTop w:val="0"/>
      <w:marBottom w:val="0"/>
      <w:divBdr>
        <w:top w:val="none" w:sz="0" w:space="0" w:color="auto"/>
        <w:left w:val="none" w:sz="0" w:space="0" w:color="auto"/>
        <w:bottom w:val="none" w:sz="0" w:space="0" w:color="auto"/>
        <w:right w:val="none" w:sz="0" w:space="0" w:color="auto"/>
      </w:divBdr>
    </w:div>
    <w:div w:id="2039623717">
      <w:bodyDiv w:val="1"/>
      <w:marLeft w:val="0"/>
      <w:marRight w:val="0"/>
      <w:marTop w:val="0"/>
      <w:marBottom w:val="0"/>
      <w:divBdr>
        <w:top w:val="none" w:sz="0" w:space="0" w:color="auto"/>
        <w:left w:val="none" w:sz="0" w:space="0" w:color="auto"/>
        <w:bottom w:val="none" w:sz="0" w:space="0" w:color="auto"/>
        <w:right w:val="none" w:sz="0" w:space="0" w:color="auto"/>
      </w:divBdr>
    </w:div>
    <w:div w:id="2056464933">
      <w:bodyDiv w:val="1"/>
      <w:marLeft w:val="0"/>
      <w:marRight w:val="0"/>
      <w:marTop w:val="0"/>
      <w:marBottom w:val="0"/>
      <w:divBdr>
        <w:top w:val="none" w:sz="0" w:space="0" w:color="auto"/>
        <w:left w:val="none" w:sz="0" w:space="0" w:color="auto"/>
        <w:bottom w:val="none" w:sz="0" w:space="0" w:color="auto"/>
        <w:right w:val="none" w:sz="0" w:space="0" w:color="auto"/>
      </w:divBdr>
    </w:div>
    <w:div w:id="2113934230">
      <w:bodyDiv w:val="1"/>
      <w:marLeft w:val="0"/>
      <w:marRight w:val="0"/>
      <w:marTop w:val="0"/>
      <w:marBottom w:val="0"/>
      <w:divBdr>
        <w:top w:val="none" w:sz="0" w:space="0" w:color="auto"/>
        <w:left w:val="none" w:sz="0" w:space="0" w:color="auto"/>
        <w:bottom w:val="none" w:sz="0" w:space="0" w:color="auto"/>
        <w:right w:val="none" w:sz="0" w:space="0" w:color="auto"/>
      </w:divBdr>
    </w:div>
    <w:div w:id="213301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atttransmission.files.wordpress.com/2017/11/2015_awea_dlr_validation_final.pdf" TargetMode="External"/><Relationship Id="rId1" Type="http://schemas.openxmlformats.org/officeDocument/2006/relationships/hyperlink" Target="https://psc.ga.gov/search/facts-document/?documentId=19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456C0-9D8C-48F8-879E-1F667F180FDD}">
  <ds:schemaRefs>
    <ds:schemaRef ds:uri="http://schemas.microsoft.com/sharepoint/v3/contenttype/forms"/>
  </ds:schemaRefs>
</ds:datastoreItem>
</file>

<file path=customXml/itemProps2.xml><?xml version="1.0" encoding="utf-8"?>
<ds:datastoreItem xmlns:ds="http://schemas.openxmlformats.org/officeDocument/2006/customXml" ds:itemID="{0990D171-C529-41E6-B9F0-E4A7DDDDD9F6}">
  <ds:schemaRefs>
    <ds:schemaRef ds:uri="http://schemas.openxmlformats.org/officeDocument/2006/bibliography"/>
  </ds:schemaRefs>
</ds:datastoreItem>
</file>

<file path=customXml/itemProps3.xml><?xml version="1.0" encoding="utf-8"?>
<ds:datastoreItem xmlns:ds="http://schemas.openxmlformats.org/officeDocument/2006/customXml" ds:itemID="{276D2A1F-D940-4E2F-8256-8CE2DD65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Links>
    <vt:vector size="6" baseType="variant">
      <vt:variant>
        <vt:i4>2883638</vt:i4>
      </vt:variant>
      <vt:variant>
        <vt:i4>0</vt:i4>
      </vt:variant>
      <vt:variant>
        <vt:i4>0</vt:i4>
      </vt:variant>
      <vt:variant>
        <vt:i4>5</vt:i4>
      </vt:variant>
      <vt:variant>
        <vt:lpwstr>https://watttransmission.files.wordpress.com/2017/11/2015_awea_dlr_validation_final.pdf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Bower</dc:creator>
  <cp:keywords/>
  <dc:description/>
  <cp:lastModifiedBy>Doug A. Smith</cp:lastModifiedBy>
  <cp:revision>7</cp:revision>
  <cp:lastPrinted>2022-05-06T17:34:00Z</cp:lastPrinted>
  <dcterms:created xsi:type="dcterms:W3CDTF">2024-02-14T22:53:00Z</dcterms:created>
  <dcterms:modified xsi:type="dcterms:W3CDTF">2024-02-14T23:38:00Z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2024-02-14T14:49:41Z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a8852299-5f3b-4e20-bc81-5d28024f23ce</vt:lpwstr>
  </property>
  <property fmtid="{D5CDD505-2E9C-101B-9397-08002B2CF9AE}" pid="8" name="MSIP_Label_ed3826ce-7c18-471d-9596-93de5bae332e_ContentBits">
    <vt:lpwstr>0</vt:lpwstr>
  </property>
</Properties>
</file>