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3F9CAB" w14:textId="5E1486C9" w:rsidR="009E7506" w:rsidRPr="00A65AF6" w:rsidRDefault="009E7506" w:rsidP="009E7506">
      <w:pPr>
        <w:jc w:val="center"/>
        <w:rPr>
          <w:b/>
          <w:sz w:val="32"/>
          <w:szCs w:val="32"/>
        </w:rPr>
      </w:pPr>
      <w:r w:rsidRPr="00A65AF6">
        <w:rPr>
          <w:b/>
          <w:sz w:val="32"/>
          <w:szCs w:val="32"/>
        </w:rPr>
        <w:t>BEFORE THE</w:t>
      </w:r>
    </w:p>
    <w:p w14:paraId="1B6A339A" w14:textId="77777777" w:rsidR="009E7506" w:rsidRPr="00A65AF6" w:rsidRDefault="009E7506" w:rsidP="009E7506">
      <w:pPr>
        <w:jc w:val="center"/>
        <w:rPr>
          <w:b/>
          <w:sz w:val="32"/>
          <w:szCs w:val="32"/>
        </w:rPr>
      </w:pPr>
    </w:p>
    <w:p w14:paraId="544A4880" w14:textId="5112E31D" w:rsidR="009E7506" w:rsidRDefault="09FA8868" w:rsidP="6506DB8F">
      <w:pPr>
        <w:jc w:val="center"/>
        <w:rPr>
          <w:b/>
          <w:bCs/>
          <w:sz w:val="32"/>
          <w:szCs w:val="32"/>
        </w:rPr>
      </w:pPr>
      <w:r w:rsidRPr="6506DB8F">
        <w:rPr>
          <w:b/>
          <w:bCs/>
          <w:sz w:val="32"/>
          <w:szCs w:val="32"/>
        </w:rPr>
        <w:t>GEORGIA PUBLIC SERVICE COMMISSION</w:t>
      </w:r>
    </w:p>
    <w:p w14:paraId="40CC4120" w14:textId="77777777" w:rsidR="005B5B28" w:rsidRPr="00A65AF6" w:rsidRDefault="005B5B28" w:rsidP="009E7506">
      <w:pPr>
        <w:jc w:val="center"/>
        <w:rPr>
          <w:b/>
          <w:sz w:val="32"/>
          <w:szCs w:val="32"/>
        </w:rPr>
      </w:pPr>
    </w:p>
    <w:p w14:paraId="76EB2E4E" w14:textId="77777777" w:rsidR="009E7506" w:rsidRPr="00A65AF6" w:rsidRDefault="009E7506" w:rsidP="009E7506">
      <w:pPr>
        <w:jc w:val="center"/>
        <w:rPr>
          <w:b/>
          <w:sz w:val="32"/>
          <w:szCs w:val="32"/>
        </w:rPr>
      </w:pPr>
    </w:p>
    <w:p w14:paraId="375C63B1" w14:textId="77777777" w:rsidR="009E7506" w:rsidRDefault="009E7506" w:rsidP="009E7506">
      <w:pPr>
        <w:rPr>
          <w:b/>
          <w:sz w:val="24"/>
          <w:szCs w:val="24"/>
        </w:rPr>
      </w:pPr>
      <w:r w:rsidRPr="00F31F50">
        <w:rPr>
          <w:b/>
          <w:sz w:val="24"/>
          <w:szCs w:val="24"/>
        </w:rPr>
        <w:t>In the Matter of:</w:t>
      </w:r>
    </w:p>
    <w:p w14:paraId="6E6952CB" w14:textId="77777777" w:rsidR="009E7506" w:rsidRPr="00F31F50" w:rsidRDefault="009E7506" w:rsidP="009E7506">
      <w:pPr>
        <w:rPr>
          <w:b/>
          <w:sz w:val="24"/>
          <w:szCs w:val="24"/>
        </w:rPr>
      </w:pPr>
      <w:r w:rsidRPr="00F31F50">
        <w:rPr>
          <w:b/>
          <w:sz w:val="24"/>
          <w:szCs w:val="24"/>
        </w:rPr>
        <w:tab/>
      </w:r>
      <w:r w:rsidRPr="00F31F50">
        <w:rPr>
          <w:b/>
          <w:sz w:val="24"/>
          <w:szCs w:val="24"/>
        </w:rPr>
        <w:tab/>
      </w:r>
      <w:r w:rsidRPr="00F31F50">
        <w:rPr>
          <w:b/>
          <w:sz w:val="24"/>
          <w:szCs w:val="24"/>
        </w:rPr>
        <w:tab/>
      </w:r>
      <w:r w:rsidRPr="00F31F50">
        <w:rPr>
          <w:b/>
          <w:sz w:val="24"/>
          <w:szCs w:val="24"/>
        </w:rPr>
        <w:tab/>
      </w:r>
      <w:r w:rsidRPr="00F31F50">
        <w:rPr>
          <w:b/>
          <w:sz w:val="24"/>
          <w:szCs w:val="24"/>
        </w:rPr>
        <w:tab/>
      </w:r>
    </w:p>
    <w:p w14:paraId="599A1940" w14:textId="4E95B7E6" w:rsidR="009E7506" w:rsidRPr="00143177" w:rsidRDefault="009E7506" w:rsidP="009E7506">
      <w:pPr>
        <w:spacing w:line="360" w:lineRule="auto"/>
        <w:rPr>
          <w:b/>
          <w:sz w:val="24"/>
          <w:szCs w:val="24"/>
        </w:rPr>
      </w:pPr>
      <w:r w:rsidRPr="00143177">
        <w:rPr>
          <w:b/>
          <w:sz w:val="24"/>
          <w:szCs w:val="24"/>
        </w:rPr>
        <w:t>GEORGIA POWER COMPANY’S</w:t>
      </w:r>
      <w:r w:rsidRPr="00143177">
        <w:rPr>
          <w:b/>
          <w:sz w:val="24"/>
          <w:szCs w:val="24"/>
        </w:rPr>
        <w:tab/>
      </w:r>
      <w:r w:rsidRPr="00143177">
        <w:rPr>
          <w:b/>
          <w:sz w:val="24"/>
          <w:szCs w:val="24"/>
        </w:rPr>
        <w:tab/>
        <w:t>)</w:t>
      </w:r>
      <w:r w:rsidRPr="00143177">
        <w:rPr>
          <w:b/>
          <w:sz w:val="24"/>
          <w:szCs w:val="24"/>
        </w:rPr>
        <w:tab/>
        <w:t xml:space="preserve">DOCKET NO. </w:t>
      </w:r>
      <w:r w:rsidR="00143177" w:rsidRPr="00143177">
        <w:rPr>
          <w:b/>
          <w:sz w:val="24"/>
          <w:szCs w:val="24"/>
        </w:rPr>
        <w:t>55378</w:t>
      </w:r>
    </w:p>
    <w:p w14:paraId="093993AA" w14:textId="35FF7127" w:rsidR="00143177" w:rsidRPr="00143177" w:rsidRDefault="009E7506" w:rsidP="009E7506">
      <w:pPr>
        <w:spacing w:line="360" w:lineRule="auto"/>
        <w:rPr>
          <w:b/>
          <w:sz w:val="24"/>
          <w:szCs w:val="24"/>
        </w:rPr>
      </w:pPr>
      <w:r w:rsidRPr="00143177">
        <w:rPr>
          <w:b/>
          <w:sz w:val="24"/>
          <w:szCs w:val="24"/>
        </w:rPr>
        <w:t>202</w:t>
      </w:r>
      <w:r w:rsidR="00143177" w:rsidRPr="00143177">
        <w:rPr>
          <w:b/>
          <w:sz w:val="24"/>
          <w:szCs w:val="24"/>
        </w:rPr>
        <w:t>3</w:t>
      </w:r>
      <w:r w:rsidRPr="00143177">
        <w:rPr>
          <w:b/>
          <w:sz w:val="24"/>
          <w:szCs w:val="24"/>
        </w:rPr>
        <w:t xml:space="preserve"> INTEGRATED RESOURCE PLAN</w:t>
      </w:r>
      <w:r w:rsidRPr="00143177">
        <w:rPr>
          <w:b/>
          <w:sz w:val="24"/>
          <w:szCs w:val="24"/>
        </w:rPr>
        <w:tab/>
      </w:r>
      <w:r w:rsidR="00143177" w:rsidRPr="00143177">
        <w:rPr>
          <w:b/>
          <w:sz w:val="24"/>
          <w:szCs w:val="24"/>
        </w:rPr>
        <w:tab/>
        <w:t>)</w:t>
      </w:r>
    </w:p>
    <w:p w14:paraId="07C78E7C" w14:textId="4B471F27" w:rsidR="00394C6D" w:rsidRPr="00143177" w:rsidRDefault="00143177" w:rsidP="009E7506">
      <w:pPr>
        <w:spacing w:line="360" w:lineRule="auto"/>
        <w:rPr>
          <w:b/>
          <w:sz w:val="24"/>
          <w:szCs w:val="24"/>
        </w:rPr>
      </w:pPr>
      <w:r w:rsidRPr="00143177">
        <w:rPr>
          <w:b/>
          <w:sz w:val="24"/>
          <w:szCs w:val="24"/>
        </w:rPr>
        <w:t>UPDATE</w:t>
      </w:r>
      <w:r w:rsidRPr="00143177">
        <w:rPr>
          <w:b/>
          <w:sz w:val="24"/>
          <w:szCs w:val="24"/>
        </w:rPr>
        <w:tab/>
      </w:r>
      <w:r w:rsidRPr="00143177">
        <w:rPr>
          <w:b/>
          <w:sz w:val="24"/>
          <w:szCs w:val="24"/>
        </w:rPr>
        <w:tab/>
      </w:r>
      <w:r w:rsidRPr="00143177">
        <w:rPr>
          <w:b/>
          <w:sz w:val="24"/>
          <w:szCs w:val="24"/>
        </w:rPr>
        <w:tab/>
      </w:r>
      <w:r w:rsidRPr="00143177">
        <w:rPr>
          <w:b/>
          <w:sz w:val="24"/>
          <w:szCs w:val="24"/>
        </w:rPr>
        <w:tab/>
      </w:r>
      <w:r w:rsidRPr="00143177">
        <w:rPr>
          <w:b/>
          <w:sz w:val="24"/>
          <w:szCs w:val="24"/>
        </w:rPr>
        <w:tab/>
      </w:r>
      <w:r w:rsidRPr="00143177">
        <w:rPr>
          <w:b/>
          <w:sz w:val="24"/>
          <w:szCs w:val="24"/>
        </w:rPr>
        <w:tab/>
      </w:r>
      <w:r w:rsidR="009E7506" w:rsidRPr="00143177">
        <w:rPr>
          <w:b/>
          <w:sz w:val="24"/>
          <w:szCs w:val="24"/>
        </w:rPr>
        <w:t>)</w:t>
      </w:r>
    </w:p>
    <w:p w14:paraId="0DB1E38C" w14:textId="77777777" w:rsidR="00394C6D" w:rsidRPr="00EC70B0" w:rsidRDefault="00394C6D" w:rsidP="009E7506">
      <w:pPr>
        <w:spacing w:line="360" w:lineRule="auto"/>
        <w:rPr>
          <w:b/>
          <w:sz w:val="24"/>
          <w:szCs w:val="24"/>
          <w:highlight w:val="yellow"/>
        </w:rPr>
      </w:pPr>
    </w:p>
    <w:p w14:paraId="3B4D0A3F" w14:textId="77777777" w:rsidR="009E7506" w:rsidRPr="00F31F50" w:rsidRDefault="009E7506" w:rsidP="009E7506">
      <w:pPr>
        <w:spacing w:line="360" w:lineRule="auto"/>
        <w:jc w:val="center"/>
        <w:rPr>
          <w:b/>
          <w:sz w:val="24"/>
          <w:szCs w:val="24"/>
        </w:rPr>
      </w:pPr>
    </w:p>
    <w:tbl>
      <w:tblPr>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5622"/>
      </w:tblGrid>
      <w:tr w:rsidR="009E7506" w:rsidRPr="00A65AF6" w14:paraId="6D836370" w14:textId="77777777" w:rsidTr="00AE5F1F">
        <w:trPr>
          <w:jc w:val="center"/>
        </w:trPr>
        <w:tc>
          <w:tcPr>
            <w:tcW w:w="5622" w:type="dxa"/>
          </w:tcPr>
          <w:p w14:paraId="158EEB28" w14:textId="77777777" w:rsidR="009E7506" w:rsidRPr="00A65AF6" w:rsidRDefault="009E7506" w:rsidP="00AE5F1F">
            <w:pPr>
              <w:jc w:val="center"/>
              <w:rPr>
                <w:b/>
                <w:sz w:val="28"/>
                <w:szCs w:val="28"/>
              </w:rPr>
            </w:pPr>
          </w:p>
          <w:p w14:paraId="26E00FF6" w14:textId="77777777" w:rsidR="009E7506" w:rsidRPr="00A65AF6" w:rsidRDefault="009E7506" w:rsidP="00AE5F1F">
            <w:pPr>
              <w:jc w:val="center"/>
              <w:rPr>
                <w:b/>
                <w:sz w:val="28"/>
                <w:szCs w:val="28"/>
              </w:rPr>
            </w:pPr>
          </w:p>
          <w:p w14:paraId="14D425CD" w14:textId="2EA78634" w:rsidR="0004758C" w:rsidRDefault="001F2A5F" w:rsidP="00AE5F1F">
            <w:pPr>
              <w:jc w:val="center"/>
              <w:rPr>
                <w:b/>
                <w:sz w:val="28"/>
                <w:szCs w:val="28"/>
              </w:rPr>
            </w:pPr>
            <w:r>
              <w:rPr>
                <w:b/>
                <w:sz w:val="28"/>
                <w:szCs w:val="28"/>
              </w:rPr>
              <w:t>PUBLIC DISCLOSURE</w:t>
            </w:r>
          </w:p>
          <w:p w14:paraId="609BF020" w14:textId="77777777" w:rsidR="0004758C" w:rsidRDefault="0004758C" w:rsidP="00AE5F1F">
            <w:pPr>
              <w:jc w:val="center"/>
              <w:rPr>
                <w:b/>
                <w:sz w:val="28"/>
                <w:szCs w:val="28"/>
              </w:rPr>
            </w:pPr>
          </w:p>
          <w:p w14:paraId="7CD10D35" w14:textId="7C424168" w:rsidR="009E7506" w:rsidRPr="00A65AF6" w:rsidRDefault="009E7506" w:rsidP="00AE5F1F">
            <w:pPr>
              <w:jc w:val="center"/>
              <w:rPr>
                <w:b/>
                <w:sz w:val="28"/>
                <w:szCs w:val="28"/>
              </w:rPr>
            </w:pPr>
            <w:r w:rsidRPr="00A65AF6">
              <w:rPr>
                <w:b/>
                <w:sz w:val="28"/>
                <w:szCs w:val="28"/>
              </w:rPr>
              <w:t>DIRECT TESTIMONY</w:t>
            </w:r>
            <w:r>
              <w:rPr>
                <w:b/>
                <w:sz w:val="28"/>
                <w:szCs w:val="28"/>
              </w:rPr>
              <w:t xml:space="preserve"> AND EXHIBITS</w:t>
            </w:r>
          </w:p>
          <w:p w14:paraId="7AF496F9" w14:textId="77777777" w:rsidR="009E7506" w:rsidRPr="00A65AF6" w:rsidRDefault="009E7506" w:rsidP="00AE5F1F">
            <w:pPr>
              <w:jc w:val="center"/>
              <w:rPr>
                <w:b/>
                <w:sz w:val="28"/>
                <w:szCs w:val="28"/>
              </w:rPr>
            </w:pPr>
          </w:p>
          <w:p w14:paraId="1450BDE1" w14:textId="77777777" w:rsidR="009E7506" w:rsidRPr="00A65AF6" w:rsidRDefault="009E7506" w:rsidP="00AE5F1F">
            <w:pPr>
              <w:jc w:val="center"/>
              <w:rPr>
                <w:b/>
                <w:sz w:val="28"/>
                <w:szCs w:val="28"/>
              </w:rPr>
            </w:pPr>
            <w:r w:rsidRPr="00A65AF6">
              <w:rPr>
                <w:b/>
                <w:sz w:val="28"/>
                <w:szCs w:val="28"/>
              </w:rPr>
              <w:t>OF</w:t>
            </w:r>
          </w:p>
          <w:p w14:paraId="7891181B" w14:textId="77777777" w:rsidR="009E7506" w:rsidRPr="00A65AF6" w:rsidRDefault="009E7506" w:rsidP="00AE5F1F">
            <w:pPr>
              <w:jc w:val="center"/>
              <w:rPr>
                <w:b/>
                <w:sz w:val="28"/>
                <w:szCs w:val="28"/>
              </w:rPr>
            </w:pPr>
          </w:p>
          <w:p w14:paraId="15BFE80C" w14:textId="2AF1E8B8" w:rsidR="00F36023" w:rsidRPr="00044B31" w:rsidRDefault="00F36023" w:rsidP="00AE5F1F">
            <w:pPr>
              <w:jc w:val="center"/>
              <w:rPr>
                <w:b/>
                <w:sz w:val="28"/>
                <w:szCs w:val="28"/>
              </w:rPr>
            </w:pPr>
            <w:r w:rsidRPr="00044B31">
              <w:rPr>
                <w:b/>
                <w:sz w:val="28"/>
                <w:szCs w:val="28"/>
              </w:rPr>
              <w:t xml:space="preserve">ROBERT </w:t>
            </w:r>
            <w:r w:rsidR="001B1C52" w:rsidRPr="00044B31">
              <w:rPr>
                <w:b/>
                <w:sz w:val="28"/>
                <w:szCs w:val="28"/>
              </w:rPr>
              <w:t xml:space="preserve">L. </w:t>
            </w:r>
            <w:r w:rsidRPr="00044B31">
              <w:rPr>
                <w:b/>
                <w:sz w:val="28"/>
                <w:szCs w:val="28"/>
              </w:rPr>
              <w:t>TROKEY</w:t>
            </w:r>
          </w:p>
          <w:p w14:paraId="1B6750E4" w14:textId="77777777" w:rsidR="007C6054" w:rsidRPr="00044B31" w:rsidRDefault="007C6054" w:rsidP="00AE5F1F">
            <w:pPr>
              <w:jc w:val="center"/>
              <w:rPr>
                <w:b/>
                <w:sz w:val="28"/>
                <w:szCs w:val="28"/>
              </w:rPr>
            </w:pPr>
          </w:p>
          <w:p w14:paraId="486DDC0F" w14:textId="2A212BE8" w:rsidR="00B90D82" w:rsidRPr="00044B31" w:rsidRDefault="00F36023" w:rsidP="00AE5F1F">
            <w:pPr>
              <w:jc w:val="center"/>
              <w:rPr>
                <w:b/>
                <w:sz w:val="28"/>
                <w:szCs w:val="28"/>
              </w:rPr>
            </w:pPr>
            <w:r w:rsidRPr="00044B31">
              <w:rPr>
                <w:b/>
                <w:sz w:val="28"/>
                <w:szCs w:val="28"/>
              </w:rPr>
              <w:t>KATH</w:t>
            </w:r>
            <w:r w:rsidR="007C6054" w:rsidRPr="00044B31">
              <w:rPr>
                <w:b/>
                <w:sz w:val="28"/>
                <w:szCs w:val="28"/>
              </w:rPr>
              <w:t>LEEN A.</w:t>
            </w:r>
            <w:r w:rsidRPr="00044B31">
              <w:rPr>
                <w:b/>
                <w:sz w:val="28"/>
                <w:szCs w:val="28"/>
              </w:rPr>
              <w:t xml:space="preserve"> KELLY</w:t>
            </w:r>
          </w:p>
          <w:p w14:paraId="25737560" w14:textId="77777777" w:rsidR="007C6054" w:rsidRPr="00044B31" w:rsidRDefault="007C6054" w:rsidP="00AE5F1F">
            <w:pPr>
              <w:jc w:val="center"/>
              <w:rPr>
                <w:b/>
                <w:sz w:val="28"/>
                <w:szCs w:val="28"/>
              </w:rPr>
            </w:pPr>
          </w:p>
          <w:p w14:paraId="5B99A646" w14:textId="77777777" w:rsidR="00B90D82" w:rsidRPr="00044B31" w:rsidRDefault="00B90D82" w:rsidP="00AE5F1F">
            <w:pPr>
              <w:jc w:val="center"/>
              <w:rPr>
                <w:b/>
                <w:sz w:val="28"/>
                <w:szCs w:val="28"/>
              </w:rPr>
            </w:pPr>
            <w:r w:rsidRPr="00044B31">
              <w:rPr>
                <w:b/>
                <w:sz w:val="28"/>
                <w:szCs w:val="28"/>
              </w:rPr>
              <w:t>AND</w:t>
            </w:r>
          </w:p>
          <w:p w14:paraId="6E3AB6AD" w14:textId="77777777" w:rsidR="007C6054" w:rsidRPr="00044B31" w:rsidRDefault="007C6054" w:rsidP="00AE5F1F">
            <w:pPr>
              <w:jc w:val="center"/>
              <w:rPr>
                <w:b/>
                <w:sz w:val="28"/>
                <w:szCs w:val="28"/>
              </w:rPr>
            </w:pPr>
          </w:p>
          <w:p w14:paraId="6B8640AD" w14:textId="284A769B" w:rsidR="00B90D82" w:rsidRPr="00044B31" w:rsidRDefault="00B90D82" w:rsidP="00AE5F1F">
            <w:pPr>
              <w:jc w:val="center"/>
              <w:rPr>
                <w:b/>
                <w:sz w:val="28"/>
                <w:szCs w:val="28"/>
              </w:rPr>
            </w:pPr>
            <w:r w:rsidRPr="00044B31">
              <w:rPr>
                <w:b/>
                <w:sz w:val="28"/>
                <w:szCs w:val="28"/>
              </w:rPr>
              <w:t>KARAN</w:t>
            </w:r>
            <w:r w:rsidR="00071755" w:rsidRPr="00044B31">
              <w:rPr>
                <w:b/>
                <w:sz w:val="28"/>
                <w:szCs w:val="28"/>
              </w:rPr>
              <w:t xml:space="preserve"> </w:t>
            </w:r>
            <w:r w:rsidRPr="00044B31">
              <w:rPr>
                <w:b/>
                <w:sz w:val="28"/>
                <w:szCs w:val="28"/>
              </w:rPr>
              <w:t>A</w:t>
            </w:r>
            <w:r w:rsidR="00071755" w:rsidRPr="00044B31">
              <w:rPr>
                <w:b/>
                <w:sz w:val="28"/>
                <w:szCs w:val="28"/>
              </w:rPr>
              <w:t>.</w:t>
            </w:r>
            <w:r w:rsidRPr="00044B31">
              <w:rPr>
                <w:b/>
                <w:sz w:val="28"/>
                <w:szCs w:val="28"/>
              </w:rPr>
              <w:t xml:space="preserve"> POL</w:t>
            </w:r>
          </w:p>
          <w:p w14:paraId="2A008986" w14:textId="77777777" w:rsidR="009E7506" w:rsidRPr="00A65AF6" w:rsidRDefault="009E7506" w:rsidP="00AE5F1F">
            <w:pPr>
              <w:jc w:val="center"/>
              <w:rPr>
                <w:b/>
                <w:sz w:val="28"/>
                <w:szCs w:val="28"/>
              </w:rPr>
            </w:pPr>
          </w:p>
          <w:p w14:paraId="71A8A308" w14:textId="77777777" w:rsidR="009E7506" w:rsidRPr="00A65AF6" w:rsidRDefault="009E7506" w:rsidP="00AE5F1F">
            <w:pPr>
              <w:jc w:val="center"/>
              <w:rPr>
                <w:b/>
                <w:sz w:val="28"/>
                <w:szCs w:val="28"/>
              </w:rPr>
            </w:pPr>
          </w:p>
        </w:tc>
      </w:tr>
    </w:tbl>
    <w:p w14:paraId="648AB180" w14:textId="77777777" w:rsidR="009E7506" w:rsidRPr="00A65AF6" w:rsidRDefault="009E7506" w:rsidP="009E7506">
      <w:pPr>
        <w:jc w:val="center"/>
        <w:rPr>
          <w:b/>
          <w:sz w:val="28"/>
          <w:szCs w:val="28"/>
        </w:rPr>
      </w:pPr>
    </w:p>
    <w:p w14:paraId="20BFFFC1" w14:textId="77777777" w:rsidR="00691593" w:rsidRDefault="00691593" w:rsidP="009E7506">
      <w:pPr>
        <w:jc w:val="center"/>
        <w:rPr>
          <w:b/>
          <w:sz w:val="28"/>
          <w:szCs w:val="28"/>
        </w:rPr>
      </w:pPr>
    </w:p>
    <w:p w14:paraId="00C35E04" w14:textId="77777777" w:rsidR="009E7506" w:rsidRPr="00A65AF6" w:rsidRDefault="009E7506" w:rsidP="009E7506">
      <w:pPr>
        <w:jc w:val="center"/>
        <w:rPr>
          <w:b/>
          <w:sz w:val="28"/>
          <w:szCs w:val="28"/>
        </w:rPr>
      </w:pPr>
      <w:r w:rsidRPr="00A65AF6">
        <w:rPr>
          <w:b/>
          <w:sz w:val="28"/>
          <w:szCs w:val="28"/>
        </w:rPr>
        <w:t xml:space="preserve">ON BEHALF OF THE </w:t>
      </w:r>
    </w:p>
    <w:p w14:paraId="61FA7D31" w14:textId="77777777" w:rsidR="009E7506" w:rsidRPr="00A65AF6" w:rsidRDefault="009E7506" w:rsidP="009E7506">
      <w:pPr>
        <w:jc w:val="center"/>
        <w:rPr>
          <w:b/>
          <w:sz w:val="28"/>
          <w:szCs w:val="28"/>
        </w:rPr>
      </w:pPr>
    </w:p>
    <w:p w14:paraId="61A1B46A" w14:textId="77777777" w:rsidR="009E7506" w:rsidRPr="00A65AF6" w:rsidRDefault="009E7506" w:rsidP="009E7506">
      <w:pPr>
        <w:jc w:val="center"/>
        <w:rPr>
          <w:b/>
          <w:sz w:val="28"/>
          <w:szCs w:val="28"/>
        </w:rPr>
      </w:pPr>
      <w:r w:rsidRPr="00A65AF6">
        <w:rPr>
          <w:b/>
          <w:sz w:val="28"/>
          <w:szCs w:val="28"/>
        </w:rPr>
        <w:t>GEORGIA PUBLIC SERVICE COMMISSION</w:t>
      </w:r>
    </w:p>
    <w:p w14:paraId="1393363B" w14:textId="77777777" w:rsidR="009E7506" w:rsidRDefault="009E7506" w:rsidP="009E7506">
      <w:pPr>
        <w:jc w:val="center"/>
        <w:rPr>
          <w:b/>
          <w:sz w:val="28"/>
          <w:szCs w:val="28"/>
        </w:rPr>
      </w:pPr>
      <w:r w:rsidRPr="00A65AF6">
        <w:rPr>
          <w:b/>
          <w:sz w:val="28"/>
          <w:szCs w:val="28"/>
        </w:rPr>
        <w:t>PUBLIC INTEREST ADVOCACY STAFF</w:t>
      </w:r>
    </w:p>
    <w:p w14:paraId="1194223E" w14:textId="77777777" w:rsidR="00691593" w:rsidRPr="00A65AF6" w:rsidRDefault="00691593" w:rsidP="009E7506">
      <w:pPr>
        <w:jc w:val="center"/>
        <w:rPr>
          <w:b/>
          <w:sz w:val="28"/>
          <w:szCs w:val="28"/>
        </w:rPr>
      </w:pPr>
    </w:p>
    <w:p w14:paraId="7AF26FD3" w14:textId="239D4CA5" w:rsidR="009E7506" w:rsidRDefault="005A3A84" w:rsidP="581770A5">
      <w:pPr>
        <w:jc w:val="center"/>
        <w:rPr>
          <w:b/>
          <w:bCs/>
          <w:sz w:val="28"/>
          <w:szCs w:val="28"/>
        </w:rPr>
      </w:pPr>
      <w:r w:rsidRPr="00071755">
        <w:rPr>
          <w:b/>
          <w:bCs/>
          <w:sz w:val="28"/>
          <w:szCs w:val="28"/>
        </w:rPr>
        <w:t>February</w:t>
      </w:r>
      <w:r w:rsidR="3A31FC38" w:rsidRPr="00071755">
        <w:rPr>
          <w:b/>
          <w:bCs/>
          <w:sz w:val="28"/>
          <w:szCs w:val="28"/>
        </w:rPr>
        <w:t xml:space="preserve"> 15</w:t>
      </w:r>
      <w:r w:rsidR="009E7506" w:rsidRPr="00071755">
        <w:rPr>
          <w:b/>
          <w:bCs/>
          <w:sz w:val="28"/>
          <w:szCs w:val="28"/>
        </w:rPr>
        <w:t>,</w:t>
      </w:r>
      <w:r w:rsidR="009E7506" w:rsidRPr="581770A5">
        <w:rPr>
          <w:b/>
          <w:bCs/>
          <w:sz w:val="28"/>
          <w:szCs w:val="28"/>
        </w:rPr>
        <w:t xml:space="preserve"> 20</w:t>
      </w:r>
      <w:r w:rsidR="00272160" w:rsidRPr="581770A5">
        <w:rPr>
          <w:b/>
          <w:bCs/>
          <w:sz w:val="28"/>
          <w:szCs w:val="28"/>
        </w:rPr>
        <w:t>2</w:t>
      </w:r>
      <w:r w:rsidR="00EC70B0" w:rsidRPr="581770A5">
        <w:rPr>
          <w:b/>
          <w:bCs/>
          <w:sz w:val="28"/>
          <w:szCs w:val="28"/>
        </w:rPr>
        <w:t>4</w:t>
      </w:r>
    </w:p>
    <w:p w14:paraId="7ACD75B7" w14:textId="77777777" w:rsidR="002A5D2D" w:rsidRDefault="002A5D2D" w:rsidP="009E7506">
      <w:pPr>
        <w:spacing w:line="480" w:lineRule="auto"/>
        <w:jc w:val="center"/>
        <w:rPr>
          <w:b/>
          <w:sz w:val="28"/>
          <w:szCs w:val="28"/>
          <w:u w:val="single"/>
        </w:rPr>
      </w:pPr>
    </w:p>
    <w:p w14:paraId="0BD4F579" w14:textId="56C895C8" w:rsidR="00143177" w:rsidRDefault="00143177">
      <w:pPr>
        <w:spacing w:after="160" w:line="259" w:lineRule="auto"/>
        <w:jc w:val="left"/>
        <w:rPr>
          <w:b/>
          <w:sz w:val="28"/>
          <w:szCs w:val="28"/>
          <w:u w:val="single"/>
        </w:rPr>
      </w:pPr>
    </w:p>
    <w:p w14:paraId="41B8E08C" w14:textId="3FA72F78" w:rsidR="009E7506" w:rsidRPr="007C1513" w:rsidRDefault="09FA8868" w:rsidP="6506DB8F">
      <w:pPr>
        <w:spacing w:line="480" w:lineRule="auto"/>
        <w:jc w:val="center"/>
        <w:rPr>
          <w:b/>
          <w:bCs/>
          <w:sz w:val="28"/>
          <w:szCs w:val="28"/>
          <w:u w:val="single"/>
        </w:rPr>
      </w:pPr>
      <w:r w:rsidRPr="6506DB8F">
        <w:rPr>
          <w:b/>
          <w:bCs/>
          <w:sz w:val="28"/>
          <w:szCs w:val="28"/>
          <w:u w:val="single"/>
        </w:rPr>
        <w:t>TABLE OF CONTENTS</w:t>
      </w:r>
    </w:p>
    <w:p w14:paraId="6C8B2E1A" w14:textId="77777777" w:rsidR="009E7506" w:rsidRPr="00152957" w:rsidRDefault="009E7506" w:rsidP="009352B6">
      <w:pPr>
        <w:spacing w:line="480" w:lineRule="auto"/>
        <w:ind w:right="2340"/>
        <w:jc w:val="center"/>
        <w:rPr>
          <w:b/>
          <w:sz w:val="24"/>
          <w:szCs w:val="24"/>
        </w:rPr>
      </w:pPr>
    </w:p>
    <w:p w14:paraId="2542064E" w14:textId="4777AC78" w:rsidR="00F415B1" w:rsidRDefault="009E7506">
      <w:pPr>
        <w:pStyle w:val="TOC1"/>
        <w:rPr>
          <w:rFonts w:asciiTheme="minorHAnsi" w:eastAsiaTheme="minorEastAsia" w:hAnsiTheme="minorHAnsi" w:cstheme="minorBidi"/>
          <w:noProof/>
          <w:kern w:val="2"/>
          <w:sz w:val="24"/>
          <w:szCs w:val="24"/>
          <w14:ligatures w14:val="standardContextual"/>
        </w:rPr>
      </w:pPr>
      <w:r w:rsidRPr="00F415B1">
        <w:rPr>
          <w:b/>
          <w:sz w:val="24"/>
          <w:szCs w:val="24"/>
        </w:rPr>
        <w:fldChar w:fldCharType="begin"/>
      </w:r>
      <w:r w:rsidRPr="00F415B1">
        <w:rPr>
          <w:b/>
          <w:sz w:val="24"/>
          <w:szCs w:val="24"/>
        </w:rPr>
        <w:instrText xml:space="preserve"> TOC \o "1-3" \u </w:instrText>
      </w:r>
      <w:r w:rsidRPr="00F415B1">
        <w:rPr>
          <w:b/>
          <w:sz w:val="24"/>
          <w:szCs w:val="24"/>
        </w:rPr>
        <w:fldChar w:fldCharType="separate"/>
      </w:r>
      <w:r w:rsidR="00F415B1">
        <w:rPr>
          <w:noProof/>
        </w:rPr>
        <w:t>I.</w:t>
      </w:r>
      <w:r w:rsidR="00F415B1">
        <w:rPr>
          <w:rFonts w:asciiTheme="minorHAnsi" w:eastAsiaTheme="minorEastAsia" w:hAnsiTheme="minorHAnsi" w:cstheme="minorBidi"/>
          <w:noProof/>
          <w:kern w:val="2"/>
          <w:sz w:val="24"/>
          <w:szCs w:val="24"/>
          <w14:ligatures w14:val="standardContextual"/>
        </w:rPr>
        <w:tab/>
      </w:r>
      <w:r w:rsidR="00F415B1">
        <w:rPr>
          <w:noProof/>
        </w:rPr>
        <w:t>Qualifications</w:t>
      </w:r>
      <w:r w:rsidR="00F415B1">
        <w:rPr>
          <w:noProof/>
        </w:rPr>
        <w:tab/>
      </w:r>
      <w:r w:rsidR="00F415B1">
        <w:rPr>
          <w:noProof/>
        </w:rPr>
        <w:fldChar w:fldCharType="begin"/>
      </w:r>
      <w:r w:rsidR="00F415B1">
        <w:rPr>
          <w:noProof/>
        </w:rPr>
        <w:instrText xml:space="preserve"> PAGEREF _Toc158797843 \h </w:instrText>
      </w:r>
      <w:r w:rsidR="00F415B1">
        <w:rPr>
          <w:noProof/>
        </w:rPr>
      </w:r>
      <w:r w:rsidR="00F415B1">
        <w:rPr>
          <w:noProof/>
        </w:rPr>
        <w:fldChar w:fldCharType="separate"/>
      </w:r>
      <w:r w:rsidR="00D01697">
        <w:rPr>
          <w:noProof/>
        </w:rPr>
        <w:t>1</w:t>
      </w:r>
      <w:r w:rsidR="00F415B1">
        <w:rPr>
          <w:noProof/>
        </w:rPr>
        <w:fldChar w:fldCharType="end"/>
      </w:r>
    </w:p>
    <w:p w14:paraId="70F8B64D" w14:textId="533A287F" w:rsidR="00F415B1" w:rsidRDefault="00F415B1">
      <w:pPr>
        <w:pStyle w:val="TOC1"/>
        <w:rPr>
          <w:rFonts w:asciiTheme="minorHAnsi" w:eastAsiaTheme="minorEastAsia" w:hAnsiTheme="minorHAnsi" w:cstheme="minorBidi"/>
          <w:noProof/>
          <w:kern w:val="2"/>
          <w:sz w:val="24"/>
          <w:szCs w:val="24"/>
          <w14:ligatures w14:val="standardContextual"/>
        </w:rPr>
      </w:pPr>
      <w:r>
        <w:rPr>
          <w:noProof/>
        </w:rPr>
        <w:t>II.</w:t>
      </w:r>
      <w:r>
        <w:rPr>
          <w:rFonts w:asciiTheme="minorHAnsi" w:eastAsiaTheme="minorEastAsia" w:hAnsiTheme="minorHAnsi" w:cstheme="minorBidi"/>
          <w:noProof/>
          <w:kern w:val="2"/>
          <w:sz w:val="24"/>
          <w:szCs w:val="24"/>
          <w14:ligatures w14:val="standardContextual"/>
        </w:rPr>
        <w:tab/>
      </w:r>
      <w:r>
        <w:rPr>
          <w:noProof/>
        </w:rPr>
        <w:t>Summary of Conclusions, Observations, and Recommendations</w:t>
      </w:r>
      <w:r>
        <w:rPr>
          <w:noProof/>
        </w:rPr>
        <w:tab/>
      </w:r>
      <w:r>
        <w:rPr>
          <w:noProof/>
        </w:rPr>
        <w:fldChar w:fldCharType="begin"/>
      </w:r>
      <w:r>
        <w:rPr>
          <w:noProof/>
        </w:rPr>
        <w:instrText xml:space="preserve"> PAGEREF _Toc158797844 \h </w:instrText>
      </w:r>
      <w:r>
        <w:rPr>
          <w:noProof/>
        </w:rPr>
      </w:r>
      <w:r>
        <w:rPr>
          <w:noProof/>
        </w:rPr>
        <w:fldChar w:fldCharType="separate"/>
      </w:r>
      <w:r w:rsidR="00D01697">
        <w:rPr>
          <w:noProof/>
        </w:rPr>
        <w:t>3</w:t>
      </w:r>
      <w:r>
        <w:rPr>
          <w:noProof/>
        </w:rPr>
        <w:fldChar w:fldCharType="end"/>
      </w:r>
    </w:p>
    <w:p w14:paraId="10768B42" w14:textId="52A05F02" w:rsidR="00F415B1" w:rsidRDefault="00F415B1">
      <w:pPr>
        <w:pStyle w:val="TOC1"/>
        <w:rPr>
          <w:rFonts w:asciiTheme="minorHAnsi" w:eastAsiaTheme="minorEastAsia" w:hAnsiTheme="minorHAnsi" w:cstheme="minorBidi"/>
          <w:noProof/>
          <w:kern w:val="2"/>
          <w:sz w:val="24"/>
          <w:szCs w:val="24"/>
          <w14:ligatures w14:val="standardContextual"/>
        </w:rPr>
      </w:pPr>
      <w:r>
        <w:rPr>
          <w:noProof/>
        </w:rPr>
        <w:t>III.</w:t>
      </w:r>
      <w:r>
        <w:rPr>
          <w:rFonts w:asciiTheme="minorHAnsi" w:eastAsiaTheme="minorEastAsia" w:hAnsiTheme="minorHAnsi" w:cstheme="minorBidi"/>
          <w:noProof/>
          <w:kern w:val="2"/>
          <w:sz w:val="24"/>
          <w:szCs w:val="24"/>
          <w14:ligatures w14:val="standardContextual"/>
        </w:rPr>
        <w:tab/>
      </w:r>
      <w:r>
        <w:rPr>
          <w:noProof/>
        </w:rPr>
        <w:t>Rules and Regulations of the State of Georgia</w:t>
      </w:r>
      <w:r>
        <w:rPr>
          <w:noProof/>
        </w:rPr>
        <w:tab/>
      </w:r>
      <w:r>
        <w:rPr>
          <w:noProof/>
        </w:rPr>
        <w:fldChar w:fldCharType="begin"/>
      </w:r>
      <w:r>
        <w:rPr>
          <w:noProof/>
        </w:rPr>
        <w:instrText xml:space="preserve"> PAGEREF _Toc158797845 \h </w:instrText>
      </w:r>
      <w:r>
        <w:rPr>
          <w:noProof/>
        </w:rPr>
      </w:r>
      <w:r>
        <w:rPr>
          <w:noProof/>
        </w:rPr>
        <w:fldChar w:fldCharType="separate"/>
      </w:r>
      <w:r w:rsidR="00D01697">
        <w:rPr>
          <w:noProof/>
        </w:rPr>
        <w:t>8</w:t>
      </w:r>
      <w:r>
        <w:rPr>
          <w:noProof/>
        </w:rPr>
        <w:fldChar w:fldCharType="end"/>
      </w:r>
    </w:p>
    <w:p w14:paraId="2EC90A04" w14:textId="096173F0" w:rsidR="00F415B1" w:rsidRDefault="00F415B1">
      <w:pPr>
        <w:pStyle w:val="TOC1"/>
        <w:rPr>
          <w:rFonts w:asciiTheme="minorHAnsi" w:eastAsiaTheme="minorEastAsia" w:hAnsiTheme="minorHAnsi" w:cstheme="minorBidi"/>
          <w:noProof/>
          <w:kern w:val="2"/>
          <w:sz w:val="24"/>
          <w:szCs w:val="24"/>
          <w14:ligatures w14:val="standardContextual"/>
        </w:rPr>
      </w:pPr>
      <w:r>
        <w:rPr>
          <w:noProof/>
        </w:rPr>
        <w:t>IV.</w:t>
      </w:r>
      <w:r>
        <w:rPr>
          <w:rFonts w:asciiTheme="minorHAnsi" w:eastAsiaTheme="minorEastAsia" w:hAnsiTheme="minorHAnsi" w:cstheme="minorBidi"/>
          <w:noProof/>
          <w:kern w:val="2"/>
          <w:sz w:val="24"/>
          <w:szCs w:val="24"/>
          <w14:ligatures w14:val="standardContextual"/>
        </w:rPr>
        <w:tab/>
      </w:r>
      <w:r>
        <w:rPr>
          <w:noProof/>
        </w:rPr>
        <w:t>Company’s Load Forecast Update</w:t>
      </w:r>
      <w:r>
        <w:rPr>
          <w:noProof/>
        </w:rPr>
        <w:tab/>
      </w:r>
      <w:r>
        <w:rPr>
          <w:noProof/>
        </w:rPr>
        <w:fldChar w:fldCharType="begin"/>
      </w:r>
      <w:r>
        <w:rPr>
          <w:noProof/>
        </w:rPr>
        <w:instrText xml:space="preserve"> PAGEREF _Toc158797846 \h </w:instrText>
      </w:r>
      <w:r>
        <w:rPr>
          <w:noProof/>
        </w:rPr>
      </w:r>
      <w:r>
        <w:rPr>
          <w:noProof/>
        </w:rPr>
        <w:fldChar w:fldCharType="separate"/>
      </w:r>
      <w:r w:rsidR="00D01697">
        <w:rPr>
          <w:noProof/>
        </w:rPr>
        <w:t>13</w:t>
      </w:r>
      <w:r>
        <w:rPr>
          <w:noProof/>
        </w:rPr>
        <w:fldChar w:fldCharType="end"/>
      </w:r>
    </w:p>
    <w:p w14:paraId="71920747" w14:textId="52494F1E" w:rsidR="00F415B1" w:rsidRDefault="00F415B1">
      <w:pPr>
        <w:pStyle w:val="TOC1"/>
        <w:rPr>
          <w:rFonts w:asciiTheme="minorHAnsi" w:eastAsiaTheme="minorEastAsia" w:hAnsiTheme="minorHAnsi" w:cstheme="minorBidi"/>
          <w:noProof/>
          <w:kern w:val="2"/>
          <w:sz w:val="24"/>
          <w:szCs w:val="24"/>
          <w14:ligatures w14:val="standardContextual"/>
        </w:rPr>
      </w:pPr>
      <w:r>
        <w:rPr>
          <w:noProof/>
        </w:rPr>
        <w:t>V.</w:t>
      </w:r>
      <w:r>
        <w:rPr>
          <w:rFonts w:asciiTheme="minorHAnsi" w:eastAsiaTheme="minorEastAsia" w:hAnsiTheme="minorHAnsi" w:cstheme="minorBidi"/>
          <w:noProof/>
          <w:kern w:val="2"/>
          <w:sz w:val="24"/>
          <w:szCs w:val="24"/>
          <w14:ligatures w14:val="standardContextual"/>
        </w:rPr>
        <w:tab/>
      </w:r>
      <w:r>
        <w:rPr>
          <w:noProof/>
        </w:rPr>
        <w:t>Large Load Forecast – Load Realization Model Detailed Review</w:t>
      </w:r>
      <w:r>
        <w:rPr>
          <w:noProof/>
        </w:rPr>
        <w:tab/>
      </w:r>
      <w:r>
        <w:rPr>
          <w:noProof/>
        </w:rPr>
        <w:fldChar w:fldCharType="begin"/>
      </w:r>
      <w:r>
        <w:rPr>
          <w:noProof/>
        </w:rPr>
        <w:instrText xml:space="preserve"> PAGEREF _Toc158797847 \h </w:instrText>
      </w:r>
      <w:r>
        <w:rPr>
          <w:noProof/>
        </w:rPr>
      </w:r>
      <w:r>
        <w:rPr>
          <w:noProof/>
        </w:rPr>
        <w:fldChar w:fldCharType="separate"/>
      </w:r>
      <w:r w:rsidR="00D01697">
        <w:rPr>
          <w:noProof/>
        </w:rPr>
        <w:t>19</w:t>
      </w:r>
      <w:r>
        <w:rPr>
          <w:noProof/>
        </w:rPr>
        <w:fldChar w:fldCharType="end"/>
      </w:r>
    </w:p>
    <w:p w14:paraId="0A2E281B" w14:textId="30E39243" w:rsidR="00F415B1" w:rsidRDefault="00F415B1">
      <w:pPr>
        <w:pStyle w:val="TOC1"/>
        <w:rPr>
          <w:rFonts w:asciiTheme="minorHAnsi" w:eastAsiaTheme="minorEastAsia" w:hAnsiTheme="minorHAnsi" w:cstheme="minorBidi"/>
          <w:noProof/>
          <w:kern w:val="2"/>
          <w:sz w:val="24"/>
          <w:szCs w:val="24"/>
          <w14:ligatures w14:val="standardContextual"/>
        </w:rPr>
      </w:pPr>
      <w:r>
        <w:rPr>
          <w:noProof/>
        </w:rPr>
        <w:t>VI.</w:t>
      </w:r>
      <w:r>
        <w:rPr>
          <w:rFonts w:asciiTheme="minorHAnsi" w:eastAsiaTheme="minorEastAsia" w:hAnsiTheme="minorHAnsi" w:cstheme="minorBidi"/>
          <w:noProof/>
          <w:kern w:val="2"/>
          <w:sz w:val="24"/>
          <w:szCs w:val="24"/>
          <w14:ligatures w14:val="standardContextual"/>
        </w:rPr>
        <w:tab/>
      </w:r>
      <w:r>
        <w:rPr>
          <w:noProof/>
        </w:rPr>
        <w:t>Incorporating Scenarios in the LRM forecast</w:t>
      </w:r>
      <w:r>
        <w:rPr>
          <w:noProof/>
        </w:rPr>
        <w:tab/>
      </w:r>
      <w:r>
        <w:rPr>
          <w:noProof/>
        </w:rPr>
        <w:fldChar w:fldCharType="begin"/>
      </w:r>
      <w:r>
        <w:rPr>
          <w:noProof/>
        </w:rPr>
        <w:instrText xml:space="preserve"> PAGEREF _Toc158797848 \h </w:instrText>
      </w:r>
      <w:r>
        <w:rPr>
          <w:noProof/>
        </w:rPr>
      </w:r>
      <w:r>
        <w:rPr>
          <w:noProof/>
        </w:rPr>
        <w:fldChar w:fldCharType="separate"/>
      </w:r>
      <w:r w:rsidR="00D01697">
        <w:rPr>
          <w:noProof/>
        </w:rPr>
        <w:t>36</w:t>
      </w:r>
      <w:r>
        <w:rPr>
          <w:noProof/>
        </w:rPr>
        <w:fldChar w:fldCharType="end"/>
      </w:r>
    </w:p>
    <w:p w14:paraId="27C54A49" w14:textId="2A9A790F" w:rsidR="00F415B1" w:rsidRDefault="00F415B1">
      <w:pPr>
        <w:pStyle w:val="TOC1"/>
        <w:rPr>
          <w:rFonts w:asciiTheme="minorHAnsi" w:eastAsiaTheme="minorEastAsia" w:hAnsiTheme="minorHAnsi" w:cstheme="minorBidi"/>
          <w:noProof/>
          <w:kern w:val="2"/>
          <w:sz w:val="24"/>
          <w:szCs w:val="24"/>
          <w14:ligatures w14:val="standardContextual"/>
        </w:rPr>
      </w:pPr>
      <w:r>
        <w:rPr>
          <w:noProof/>
        </w:rPr>
        <w:t>VII.</w:t>
      </w:r>
      <w:r>
        <w:rPr>
          <w:rFonts w:asciiTheme="minorHAnsi" w:eastAsiaTheme="minorEastAsia" w:hAnsiTheme="minorHAnsi" w:cstheme="minorBidi"/>
          <w:noProof/>
          <w:kern w:val="2"/>
          <w:sz w:val="24"/>
          <w:szCs w:val="24"/>
          <w14:ligatures w14:val="standardContextual"/>
        </w:rPr>
        <w:tab/>
      </w:r>
      <w:r>
        <w:rPr>
          <w:noProof/>
        </w:rPr>
        <w:t>Forecast Transparency, Tracking and Documentation</w:t>
      </w:r>
      <w:r>
        <w:rPr>
          <w:noProof/>
        </w:rPr>
        <w:tab/>
      </w:r>
      <w:r>
        <w:rPr>
          <w:noProof/>
        </w:rPr>
        <w:fldChar w:fldCharType="begin"/>
      </w:r>
      <w:r>
        <w:rPr>
          <w:noProof/>
        </w:rPr>
        <w:instrText xml:space="preserve"> PAGEREF _Toc158797849 \h </w:instrText>
      </w:r>
      <w:r>
        <w:rPr>
          <w:noProof/>
        </w:rPr>
      </w:r>
      <w:r>
        <w:rPr>
          <w:noProof/>
        </w:rPr>
        <w:fldChar w:fldCharType="separate"/>
      </w:r>
      <w:r w:rsidR="00D01697">
        <w:rPr>
          <w:noProof/>
        </w:rPr>
        <w:t>42</w:t>
      </w:r>
      <w:r>
        <w:rPr>
          <w:noProof/>
        </w:rPr>
        <w:fldChar w:fldCharType="end"/>
      </w:r>
    </w:p>
    <w:p w14:paraId="3FE2945B" w14:textId="56BF8804" w:rsidR="009E7506" w:rsidRPr="00BA5ADE" w:rsidRDefault="009E7506" w:rsidP="009352B6">
      <w:pPr>
        <w:spacing w:line="480" w:lineRule="auto"/>
        <w:ind w:right="2340"/>
        <w:jc w:val="left"/>
        <w:rPr>
          <w:b/>
          <w:sz w:val="24"/>
          <w:szCs w:val="24"/>
        </w:rPr>
        <w:sectPr w:rsidR="009E7506" w:rsidRPr="00BA5ADE" w:rsidSect="000414CF">
          <w:headerReference w:type="default" r:id="rId11"/>
          <w:footerReference w:type="default" r:id="rId12"/>
          <w:pgSz w:w="12240" w:h="15840"/>
          <w:pgMar w:top="1440" w:right="1440" w:bottom="1440" w:left="1440" w:header="720" w:footer="720" w:gutter="0"/>
          <w:cols w:space="720"/>
          <w:docGrid w:linePitch="360"/>
        </w:sectPr>
      </w:pPr>
      <w:r w:rsidRPr="00F415B1">
        <w:rPr>
          <w:b/>
          <w:sz w:val="24"/>
          <w:szCs w:val="24"/>
        </w:rPr>
        <w:fldChar w:fldCharType="end"/>
      </w:r>
    </w:p>
    <w:p w14:paraId="72622BEA" w14:textId="77777777" w:rsidR="009E7506" w:rsidRPr="00F35F4C" w:rsidRDefault="009E7506" w:rsidP="009E7506">
      <w:pPr>
        <w:tabs>
          <w:tab w:val="left" w:pos="2160"/>
          <w:tab w:val="center" w:pos="4680"/>
          <w:tab w:val="right" w:pos="9360"/>
        </w:tabs>
        <w:spacing w:line="480" w:lineRule="auto"/>
        <w:jc w:val="left"/>
        <w:rPr>
          <w:rFonts w:eastAsia="Calibri"/>
          <w:b/>
          <w:sz w:val="24"/>
          <w:szCs w:val="24"/>
          <w:u w:val="single"/>
        </w:rPr>
      </w:pPr>
      <w:r w:rsidRPr="00F35F4C">
        <w:rPr>
          <w:rFonts w:eastAsia="Calibri"/>
          <w:b/>
          <w:sz w:val="24"/>
          <w:szCs w:val="24"/>
          <w:u w:val="single"/>
        </w:rPr>
        <w:lastRenderedPageBreak/>
        <w:t>Staff Exhibit #</w:t>
      </w:r>
      <w:r w:rsidRPr="00F35F4C">
        <w:rPr>
          <w:rFonts w:eastAsia="Calibri"/>
          <w:b/>
          <w:sz w:val="24"/>
          <w:szCs w:val="24"/>
        </w:rPr>
        <w:tab/>
      </w:r>
      <w:r w:rsidRPr="00F35F4C">
        <w:rPr>
          <w:rFonts w:eastAsia="Calibri"/>
          <w:b/>
          <w:sz w:val="24"/>
          <w:szCs w:val="24"/>
          <w:u w:val="single"/>
        </w:rPr>
        <w:t>Description</w:t>
      </w:r>
    </w:p>
    <w:p w14:paraId="3B3BAD70" w14:textId="41BB97FE" w:rsidR="009E7506" w:rsidRDefault="00333438" w:rsidP="009E7506">
      <w:pPr>
        <w:tabs>
          <w:tab w:val="left" w:pos="2160"/>
          <w:tab w:val="center" w:pos="4680"/>
          <w:tab w:val="right" w:pos="9360"/>
        </w:tabs>
        <w:spacing w:line="480" w:lineRule="auto"/>
        <w:jc w:val="left"/>
        <w:rPr>
          <w:rFonts w:eastAsia="Calibri"/>
          <w:sz w:val="24"/>
          <w:szCs w:val="24"/>
        </w:rPr>
      </w:pPr>
      <w:r>
        <w:rPr>
          <w:rFonts w:eastAsia="Calibri"/>
          <w:sz w:val="24"/>
          <w:szCs w:val="24"/>
        </w:rPr>
        <w:t>R</w:t>
      </w:r>
      <w:r w:rsidR="001B1C52">
        <w:rPr>
          <w:rFonts w:eastAsia="Calibri"/>
          <w:sz w:val="24"/>
          <w:szCs w:val="24"/>
        </w:rPr>
        <w:t>L</w:t>
      </w:r>
      <w:r w:rsidR="00FD1AF4">
        <w:rPr>
          <w:rFonts w:eastAsia="Calibri"/>
          <w:sz w:val="24"/>
          <w:szCs w:val="24"/>
        </w:rPr>
        <w:t>T</w:t>
      </w:r>
      <w:r w:rsidR="009E7506" w:rsidRPr="00F35F4C">
        <w:rPr>
          <w:rFonts w:eastAsia="Calibri"/>
          <w:sz w:val="24"/>
          <w:szCs w:val="24"/>
        </w:rPr>
        <w:t>-1</w:t>
      </w:r>
      <w:r w:rsidR="009E7506" w:rsidRPr="00F35F4C">
        <w:rPr>
          <w:rFonts w:eastAsia="Calibri"/>
          <w:sz w:val="24"/>
          <w:szCs w:val="24"/>
        </w:rPr>
        <w:tab/>
        <w:t xml:space="preserve">Resume of </w:t>
      </w:r>
      <w:r w:rsidR="00FD1AF4">
        <w:rPr>
          <w:rFonts w:eastAsia="Calibri"/>
          <w:sz w:val="24"/>
          <w:szCs w:val="24"/>
        </w:rPr>
        <w:t xml:space="preserve">Robert </w:t>
      </w:r>
      <w:r w:rsidR="006B6B6D">
        <w:rPr>
          <w:rFonts w:eastAsia="Calibri"/>
          <w:sz w:val="24"/>
          <w:szCs w:val="24"/>
        </w:rPr>
        <w:t xml:space="preserve">L. </w:t>
      </w:r>
      <w:r w:rsidR="00FD1AF4">
        <w:rPr>
          <w:rFonts w:eastAsia="Calibri"/>
          <w:sz w:val="24"/>
          <w:szCs w:val="24"/>
        </w:rPr>
        <w:t>Trokey</w:t>
      </w:r>
    </w:p>
    <w:p w14:paraId="3BE54438" w14:textId="7183D1B4" w:rsidR="00FD1AF4" w:rsidRDefault="00FD1AF4" w:rsidP="009E7506">
      <w:pPr>
        <w:tabs>
          <w:tab w:val="left" w:pos="2160"/>
          <w:tab w:val="center" w:pos="4680"/>
          <w:tab w:val="right" w:pos="9360"/>
        </w:tabs>
        <w:spacing w:line="480" w:lineRule="auto"/>
        <w:jc w:val="left"/>
        <w:rPr>
          <w:rFonts w:eastAsia="Calibri"/>
          <w:sz w:val="24"/>
          <w:szCs w:val="24"/>
        </w:rPr>
      </w:pPr>
      <w:r>
        <w:rPr>
          <w:rFonts w:eastAsia="Calibri"/>
          <w:sz w:val="24"/>
          <w:szCs w:val="24"/>
        </w:rPr>
        <w:t>KAK</w:t>
      </w:r>
      <w:r w:rsidR="00E6457E">
        <w:rPr>
          <w:rFonts w:eastAsia="Calibri"/>
          <w:sz w:val="24"/>
          <w:szCs w:val="24"/>
        </w:rPr>
        <w:t>-1</w:t>
      </w:r>
      <w:r w:rsidR="00E6457E">
        <w:rPr>
          <w:rFonts w:eastAsia="Calibri"/>
          <w:sz w:val="24"/>
          <w:szCs w:val="24"/>
        </w:rPr>
        <w:tab/>
        <w:t>Resume of Kathleen A. Kelly</w:t>
      </w:r>
    </w:p>
    <w:p w14:paraId="28EF602A" w14:textId="26735AA3" w:rsidR="00DD3D7D" w:rsidRDefault="00E6457E" w:rsidP="00594F46">
      <w:pPr>
        <w:tabs>
          <w:tab w:val="left" w:pos="2160"/>
          <w:tab w:val="center" w:pos="4680"/>
          <w:tab w:val="right" w:pos="9360"/>
        </w:tabs>
        <w:spacing w:line="480" w:lineRule="auto"/>
        <w:jc w:val="left"/>
        <w:rPr>
          <w:rFonts w:eastAsia="Calibri"/>
          <w:sz w:val="24"/>
          <w:szCs w:val="24"/>
        </w:rPr>
      </w:pPr>
      <w:r>
        <w:rPr>
          <w:rFonts w:eastAsia="Calibri"/>
          <w:sz w:val="24"/>
          <w:szCs w:val="24"/>
        </w:rPr>
        <w:t>K</w:t>
      </w:r>
      <w:r w:rsidR="00071755">
        <w:rPr>
          <w:rFonts w:eastAsia="Calibri"/>
          <w:sz w:val="24"/>
          <w:szCs w:val="24"/>
        </w:rPr>
        <w:t>A</w:t>
      </w:r>
      <w:r>
        <w:rPr>
          <w:rFonts w:eastAsia="Calibri"/>
          <w:sz w:val="24"/>
          <w:szCs w:val="24"/>
        </w:rPr>
        <w:t>P-1</w:t>
      </w:r>
      <w:r>
        <w:rPr>
          <w:rFonts w:eastAsia="Calibri"/>
          <w:sz w:val="24"/>
          <w:szCs w:val="24"/>
        </w:rPr>
        <w:tab/>
        <w:t xml:space="preserve">Resume of Karan </w:t>
      </w:r>
      <w:r w:rsidR="00071755">
        <w:rPr>
          <w:rFonts w:eastAsia="Calibri"/>
          <w:sz w:val="24"/>
          <w:szCs w:val="24"/>
        </w:rPr>
        <w:t xml:space="preserve">A. </w:t>
      </w:r>
      <w:r>
        <w:rPr>
          <w:rFonts w:eastAsia="Calibri"/>
          <w:sz w:val="24"/>
          <w:szCs w:val="24"/>
        </w:rPr>
        <w:t>Pol</w:t>
      </w:r>
    </w:p>
    <w:p w14:paraId="2924E6D8" w14:textId="7E8C7D0E" w:rsidR="003443C9" w:rsidRDefault="003443C9" w:rsidP="00594F46">
      <w:pPr>
        <w:tabs>
          <w:tab w:val="left" w:pos="2160"/>
          <w:tab w:val="center" w:pos="4680"/>
          <w:tab w:val="right" w:pos="9360"/>
        </w:tabs>
        <w:spacing w:line="480" w:lineRule="auto"/>
        <w:jc w:val="left"/>
      </w:pPr>
      <w:r>
        <w:rPr>
          <w:rFonts w:eastAsia="Calibri"/>
          <w:sz w:val="24"/>
          <w:szCs w:val="24"/>
        </w:rPr>
        <w:t>TKP-1</w:t>
      </w:r>
      <w:r>
        <w:rPr>
          <w:rFonts w:eastAsia="Calibri"/>
          <w:sz w:val="24"/>
          <w:szCs w:val="24"/>
        </w:rPr>
        <w:tab/>
        <w:t xml:space="preserve">Winter Peak Demand Forecast </w:t>
      </w:r>
      <w:r w:rsidR="00637B26">
        <w:rPr>
          <w:rFonts w:eastAsia="Calibri"/>
          <w:sz w:val="24"/>
          <w:szCs w:val="24"/>
        </w:rPr>
        <w:t>Sensitivities</w:t>
      </w:r>
    </w:p>
    <w:p w14:paraId="4314245A" w14:textId="01296195" w:rsidR="00973FCB" w:rsidRPr="00DD3D7D" w:rsidRDefault="00973FCB" w:rsidP="00C01F46">
      <w:pPr>
        <w:tabs>
          <w:tab w:val="left" w:pos="2160"/>
          <w:tab w:val="center" w:pos="4680"/>
          <w:tab w:val="right" w:pos="9360"/>
        </w:tabs>
        <w:spacing w:line="480" w:lineRule="auto"/>
        <w:jc w:val="left"/>
        <w:rPr>
          <w:b/>
          <w:bCs/>
        </w:rPr>
        <w:sectPr w:rsidR="00973FCB" w:rsidRPr="00DD3D7D" w:rsidSect="000414CF">
          <w:headerReference w:type="default" r:id="rId13"/>
          <w:footerReference w:type="default" r:id="rId14"/>
          <w:pgSz w:w="12240" w:h="15840"/>
          <w:pgMar w:top="1440" w:right="1440" w:bottom="1440" w:left="1440" w:header="720" w:footer="720" w:gutter="0"/>
          <w:lnNumType w:countBy="1"/>
          <w:pgNumType w:start="1"/>
          <w:cols w:space="720"/>
          <w:docGrid w:linePitch="360"/>
        </w:sectPr>
      </w:pPr>
      <w:r w:rsidRPr="003F52A9">
        <w:rPr>
          <w:rFonts w:eastAsia="Calibri"/>
          <w:sz w:val="24"/>
          <w:szCs w:val="24"/>
        </w:rPr>
        <w:t>TKP-</w:t>
      </w:r>
      <w:r w:rsidR="001F2A5F">
        <w:rPr>
          <w:rFonts w:eastAsia="Calibri"/>
          <w:sz w:val="24"/>
          <w:szCs w:val="24"/>
        </w:rPr>
        <w:t>2</w:t>
      </w:r>
      <w:r>
        <w:rPr>
          <w:rFonts w:eastAsia="Calibri"/>
          <w:sz w:val="24"/>
          <w:szCs w:val="24"/>
        </w:rPr>
        <w:tab/>
      </w:r>
      <w:r w:rsidR="004A458E">
        <w:rPr>
          <w:rFonts w:eastAsia="Calibri"/>
          <w:sz w:val="24"/>
          <w:szCs w:val="24"/>
        </w:rPr>
        <w:t>Proposed Large Load Tracking System</w:t>
      </w:r>
      <w:r>
        <w:rPr>
          <w:b/>
          <w:bCs/>
        </w:rPr>
        <w:tab/>
      </w:r>
    </w:p>
    <w:p w14:paraId="76C375D8" w14:textId="19723F4A" w:rsidR="006E593A" w:rsidRDefault="009E7506" w:rsidP="00FD3E4D">
      <w:pPr>
        <w:pStyle w:val="Heading1"/>
        <w:numPr>
          <w:ilvl w:val="0"/>
          <w:numId w:val="1"/>
        </w:numPr>
        <w:ind w:left="720" w:hanging="720"/>
        <w:rPr>
          <w:szCs w:val="24"/>
        </w:rPr>
      </w:pPr>
      <w:bookmarkStart w:id="0" w:name="_Toc158797843"/>
      <w:r w:rsidRPr="008F4796">
        <w:rPr>
          <w:szCs w:val="24"/>
        </w:rPr>
        <w:lastRenderedPageBreak/>
        <w:t>Q</w:t>
      </w:r>
      <w:r w:rsidR="00F415B1">
        <w:rPr>
          <w:szCs w:val="24"/>
        </w:rPr>
        <w:t>ualifications</w:t>
      </w:r>
      <w:bookmarkEnd w:id="0"/>
    </w:p>
    <w:p w14:paraId="0FA9CD02" w14:textId="77777777" w:rsidR="00E43A54" w:rsidRDefault="00E43A54" w:rsidP="00804276">
      <w:pPr>
        <w:pStyle w:val="Question"/>
      </w:pPr>
      <w:r>
        <w:t>Q.</w:t>
      </w:r>
      <w:r>
        <w:tab/>
      </w:r>
      <w:bookmarkStart w:id="1" w:name="_Hlk102466917"/>
      <w:r>
        <w:t>S</w:t>
      </w:r>
      <w:bookmarkEnd w:id="1"/>
      <w:r>
        <w:t>TAFF</w:t>
      </w:r>
      <w:r w:rsidRPr="00042132">
        <w:t>, please state your name, TITLE, and business</w:t>
      </w:r>
      <w:r>
        <w:t xml:space="preserve"> </w:t>
      </w:r>
      <w:r w:rsidRPr="00042132">
        <w:t>address.</w:t>
      </w:r>
    </w:p>
    <w:p w14:paraId="7A80DA27" w14:textId="07F8DAD4" w:rsidR="00E43A54" w:rsidRDefault="00E43A54" w:rsidP="003462A3">
      <w:pPr>
        <w:autoSpaceDE w:val="0"/>
        <w:autoSpaceDN w:val="0"/>
        <w:adjustRightInd w:val="0"/>
        <w:spacing w:line="480" w:lineRule="auto"/>
        <w:ind w:left="720" w:hanging="720"/>
        <w:rPr>
          <w:sz w:val="24"/>
          <w:szCs w:val="24"/>
        </w:rPr>
      </w:pPr>
      <w:r w:rsidRPr="00636B83">
        <w:rPr>
          <w:sz w:val="24"/>
          <w:szCs w:val="24"/>
        </w:rPr>
        <w:t>A.</w:t>
      </w:r>
      <w:r>
        <w:rPr>
          <w:sz w:val="24"/>
          <w:szCs w:val="24"/>
        </w:rPr>
        <w:tab/>
      </w:r>
      <w:r w:rsidR="00E25040">
        <w:rPr>
          <w:sz w:val="24"/>
          <w:szCs w:val="24"/>
        </w:rPr>
        <w:t xml:space="preserve">My name is Robert </w:t>
      </w:r>
      <w:r w:rsidR="00344BBB">
        <w:rPr>
          <w:sz w:val="24"/>
          <w:szCs w:val="24"/>
        </w:rPr>
        <w:t xml:space="preserve">L. </w:t>
      </w:r>
      <w:r w:rsidR="00E25040">
        <w:rPr>
          <w:sz w:val="24"/>
          <w:szCs w:val="24"/>
        </w:rPr>
        <w:t>Trokey. I</w:t>
      </w:r>
      <w:r w:rsidR="00E01138">
        <w:rPr>
          <w:sz w:val="24"/>
          <w:szCs w:val="24"/>
        </w:rPr>
        <w:t xml:space="preserve"> a</w:t>
      </w:r>
      <w:r w:rsidR="00E25040">
        <w:rPr>
          <w:sz w:val="24"/>
          <w:szCs w:val="24"/>
        </w:rPr>
        <w:t>m the Uni</w:t>
      </w:r>
      <w:r w:rsidR="002D13BE">
        <w:rPr>
          <w:sz w:val="24"/>
          <w:szCs w:val="24"/>
        </w:rPr>
        <w:t xml:space="preserve">t Director </w:t>
      </w:r>
      <w:r w:rsidR="00344BBB">
        <w:rPr>
          <w:sz w:val="24"/>
          <w:szCs w:val="24"/>
        </w:rPr>
        <w:t>of</w:t>
      </w:r>
      <w:r w:rsidR="002D13BE">
        <w:rPr>
          <w:sz w:val="24"/>
          <w:szCs w:val="24"/>
        </w:rPr>
        <w:t xml:space="preserve"> the Electric Section at the Georgia Public Service Commission</w:t>
      </w:r>
      <w:r w:rsidR="00777DDD">
        <w:rPr>
          <w:sz w:val="24"/>
          <w:szCs w:val="24"/>
        </w:rPr>
        <w:t xml:space="preserve"> (Commission or GPSC)</w:t>
      </w:r>
      <w:r w:rsidR="002D13BE">
        <w:rPr>
          <w:sz w:val="24"/>
          <w:szCs w:val="24"/>
        </w:rPr>
        <w:t xml:space="preserve">. </w:t>
      </w:r>
      <w:r w:rsidR="0043705A">
        <w:rPr>
          <w:sz w:val="24"/>
          <w:szCs w:val="24"/>
        </w:rPr>
        <w:t xml:space="preserve">My business address is 244 Washington St. SW, Atlanta, GA 30334. </w:t>
      </w:r>
    </w:p>
    <w:p w14:paraId="3C3DF8EA" w14:textId="09A5DEBD" w:rsidR="00E43A54" w:rsidRPr="0051212A" w:rsidRDefault="00E43A54" w:rsidP="00804276">
      <w:pPr>
        <w:pStyle w:val="Question"/>
      </w:pPr>
      <w:proofErr w:type="gramStart"/>
      <w:r w:rsidRPr="00042132">
        <w:t>Q.</w:t>
      </w:r>
      <w:proofErr w:type="gramEnd"/>
      <w:r>
        <w:tab/>
      </w:r>
      <w:r w:rsidRPr="00042132">
        <w:t>Please state your educational background and work experience.</w:t>
      </w:r>
    </w:p>
    <w:p w14:paraId="3082FCB4" w14:textId="751A139D" w:rsidR="00E43A54" w:rsidRDefault="00E43A54" w:rsidP="00E43A54">
      <w:pPr>
        <w:autoSpaceDE w:val="0"/>
        <w:autoSpaceDN w:val="0"/>
        <w:adjustRightInd w:val="0"/>
        <w:spacing w:line="480" w:lineRule="auto"/>
        <w:ind w:left="720" w:hanging="720"/>
        <w:rPr>
          <w:sz w:val="24"/>
          <w:szCs w:val="24"/>
        </w:rPr>
      </w:pPr>
      <w:r w:rsidRPr="00861E12">
        <w:rPr>
          <w:sz w:val="24"/>
          <w:szCs w:val="24"/>
        </w:rPr>
        <w:t>A.</w:t>
      </w:r>
      <w:r w:rsidRPr="00861E12">
        <w:rPr>
          <w:sz w:val="24"/>
          <w:szCs w:val="24"/>
        </w:rPr>
        <w:tab/>
      </w:r>
      <w:r w:rsidR="009008FB">
        <w:rPr>
          <w:sz w:val="24"/>
          <w:szCs w:val="24"/>
        </w:rPr>
        <w:t>My background and experience are provided in Exhibit RLT-1.</w:t>
      </w:r>
    </w:p>
    <w:p w14:paraId="30251338" w14:textId="77777777" w:rsidR="00E43A54" w:rsidRDefault="00E43A54" w:rsidP="003462A3">
      <w:pPr>
        <w:pStyle w:val="Question"/>
      </w:pPr>
      <w:r>
        <w:t>Q.</w:t>
      </w:r>
      <w:r>
        <w:tab/>
      </w:r>
      <w:r w:rsidRPr="00076025">
        <w:t>HAVE YOU EVER TESTIFIED BEFORE THIS COMMISSION?</w:t>
      </w:r>
    </w:p>
    <w:p w14:paraId="7189F499" w14:textId="77E9FD14" w:rsidR="00E43A54" w:rsidRDefault="00E43A54" w:rsidP="003462A3">
      <w:pPr>
        <w:spacing w:line="480" w:lineRule="auto"/>
        <w:ind w:left="720" w:hanging="720"/>
        <w:rPr>
          <w:sz w:val="24"/>
          <w:szCs w:val="24"/>
        </w:rPr>
      </w:pPr>
      <w:r w:rsidRPr="00720FC5">
        <w:rPr>
          <w:sz w:val="24"/>
          <w:szCs w:val="24"/>
        </w:rPr>
        <w:t>A.</w:t>
      </w:r>
      <w:r w:rsidRPr="00720FC5">
        <w:rPr>
          <w:sz w:val="24"/>
          <w:szCs w:val="24"/>
        </w:rPr>
        <w:tab/>
      </w:r>
      <w:r w:rsidR="002C070D">
        <w:rPr>
          <w:sz w:val="24"/>
          <w:szCs w:val="24"/>
        </w:rPr>
        <w:t xml:space="preserve">Yes. </w:t>
      </w:r>
      <w:r w:rsidR="000D26EA">
        <w:rPr>
          <w:sz w:val="24"/>
          <w:szCs w:val="24"/>
        </w:rPr>
        <w:t>I have testified in prior Integrated Resource Planning</w:t>
      </w:r>
      <w:r w:rsidR="0017534F">
        <w:rPr>
          <w:sz w:val="24"/>
          <w:szCs w:val="24"/>
        </w:rPr>
        <w:t xml:space="preserve"> dockets and Rate Cases, including Docket Nos. 44160 and 44280 in 2022. </w:t>
      </w:r>
    </w:p>
    <w:p w14:paraId="54798592" w14:textId="664EFD75" w:rsidR="00E43A54" w:rsidRDefault="00E43A54" w:rsidP="003462A3">
      <w:pPr>
        <w:pStyle w:val="Question"/>
      </w:pPr>
      <w:r>
        <w:t>Q.</w:t>
      </w:r>
      <w:r>
        <w:tab/>
      </w:r>
      <w:r w:rsidR="00E6457E">
        <w:t>Ms. Kelly</w:t>
      </w:r>
      <w:r w:rsidR="000A2B48">
        <w:t>,</w:t>
      </w:r>
      <w:r w:rsidR="00EC70B0">
        <w:t xml:space="preserve"> </w:t>
      </w:r>
      <w:r w:rsidRPr="00042132">
        <w:t>please state your name, TITLE, and business</w:t>
      </w:r>
      <w:r>
        <w:t xml:space="preserve"> </w:t>
      </w:r>
      <w:r w:rsidRPr="00042132">
        <w:t>address.</w:t>
      </w:r>
    </w:p>
    <w:p w14:paraId="650AFC83" w14:textId="59BBD08D" w:rsidR="00E43A54" w:rsidRDefault="00E43A54" w:rsidP="003462A3">
      <w:pPr>
        <w:autoSpaceDE w:val="0"/>
        <w:autoSpaceDN w:val="0"/>
        <w:adjustRightInd w:val="0"/>
        <w:spacing w:line="480" w:lineRule="auto"/>
        <w:ind w:left="720" w:hanging="720"/>
        <w:rPr>
          <w:sz w:val="24"/>
          <w:szCs w:val="24"/>
        </w:rPr>
      </w:pPr>
      <w:r w:rsidRPr="00636B83">
        <w:rPr>
          <w:sz w:val="24"/>
          <w:szCs w:val="24"/>
        </w:rPr>
        <w:t>A.</w:t>
      </w:r>
      <w:r>
        <w:rPr>
          <w:sz w:val="24"/>
          <w:szCs w:val="24"/>
        </w:rPr>
        <w:tab/>
      </w:r>
      <w:r w:rsidR="000A2B48">
        <w:rPr>
          <w:sz w:val="24"/>
          <w:szCs w:val="24"/>
        </w:rPr>
        <w:t xml:space="preserve">My name is Kathleen A. Kelly. I am a Vice President and Principal Consultant </w:t>
      </w:r>
      <w:r w:rsidR="00E51439">
        <w:rPr>
          <w:sz w:val="24"/>
          <w:szCs w:val="24"/>
        </w:rPr>
        <w:t>with</w:t>
      </w:r>
      <w:r w:rsidR="000A2B48">
        <w:rPr>
          <w:sz w:val="24"/>
          <w:szCs w:val="24"/>
        </w:rPr>
        <w:t xml:space="preserve"> Daymark Energy Advisors, </w:t>
      </w:r>
      <w:r w:rsidR="00E51439">
        <w:rPr>
          <w:sz w:val="24"/>
          <w:szCs w:val="24"/>
        </w:rPr>
        <w:t>Inc.</w:t>
      </w:r>
      <w:r w:rsidR="00E961CE">
        <w:rPr>
          <w:sz w:val="24"/>
          <w:szCs w:val="24"/>
        </w:rPr>
        <w:t xml:space="preserve"> My business address is 370 Main Street, Suite 325, Worcester, Massachusetts, 01608.</w:t>
      </w:r>
    </w:p>
    <w:p w14:paraId="71860B79" w14:textId="77777777" w:rsidR="00E43A54" w:rsidRPr="0051212A" w:rsidRDefault="00E43A54" w:rsidP="003462A3">
      <w:pPr>
        <w:pStyle w:val="Question"/>
      </w:pPr>
      <w:proofErr w:type="gramStart"/>
      <w:r w:rsidRPr="00042132">
        <w:t>Q.</w:t>
      </w:r>
      <w:proofErr w:type="gramEnd"/>
      <w:r>
        <w:tab/>
      </w:r>
      <w:r w:rsidRPr="00042132">
        <w:t>Please state your educational background and work experience.</w:t>
      </w:r>
    </w:p>
    <w:p w14:paraId="5F78EE56" w14:textId="613190FF" w:rsidR="00E43A54" w:rsidRDefault="00E43A54" w:rsidP="003462A3">
      <w:pPr>
        <w:autoSpaceDE w:val="0"/>
        <w:autoSpaceDN w:val="0"/>
        <w:adjustRightInd w:val="0"/>
        <w:spacing w:line="480" w:lineRule="auto"/>
        <w:ind w:left="720" w:hanging="720"/>
        <w:rPr>
          <w:sz w:val="24"/>
          <w:szCs w:val="24"/>
        </w:rPr>
      </w:pPr>
      <w:r w:rsidRPr="00861E12">
        <w:rPr>
          <w:sz w:val="24"/>
          <w:szCs w:val="24"/>
        </w:rPr>
        <w:t>A.</w:t>
      </w:r>
      <w:r w:rsidRPr="00861E12">
        <w:rPr>
          <w:sz w:val="24"/>
          <w:szCs w:val="24"/>
        </w:rPr>
        <w:tab/>
      </w:r>
      <w:r w:rsidR="00A54B0B">
        <w:rPr>
          <w:sz w:val="24"/>
          <w:szCs w:val="24"/>
        </w:rPr>
        <w:t xml:space="preserve">My background and experience </w:t>
      </w:r>
      <w:r w:rsidR="00030864">
        <w:rPr>
          <w:sz w:val="24"/>
          <w:szCs w:val="24"/>
        </w:rPr>
        <w:t>are</w:t>
      </w:r>
      <w:r w:rsidR="00A54B0B">
        <w:rPr>
          <w:sz w:val="24"/>
          <w:szCs w:val="24"/>
        </w:rPr>
        <w:t xml:space="preserve"> provided in Exhibit KAK-1.</w:t>
      </w:r>
    </w:p>
    <w:p w14:paraId="3D5C3BB3" w14:textId="77777777" w:rsidR="00E43A54" w:rsidRDefault="00E43A54" w:rsidP="003462A3">
      <w:pPr>
        <w:pStyle w:val="Question"/>
      </w:pPr>
      <w:r>
        <w:lastRenderedPageBreak/>
        <w:t>Q.</w:t>
      </w:r>
      <w:r>
        <w:tab/>
      </w:r>
      <w:r w:rsidRPr="00076025">
        <w:t>HAVE YOU EVER TESTIFIED BEFORE THIS COMMISSION?</w:t>
      </w:r>
    </w:p>
    <w:p w14:paraId="243BBACA" w14:textId="0756A798" w:rsidR="00E43A54" w:rsidRDefault="00E43A54" w:rsidP="003462A3">
      <w:pPr>
        <w:spacing w:line="480" w:lineRule="auto"/>
        <w:ind w:left="720" w:hanging="720"/>
        <w:rPr>
          <w:sz w:val="24"/>
          <w:szCs w:val="24"/>
        </w:rPr>
      </w:pPr>
      <w:r w:rsidRPr="00720FC5">
        <w:rPr>
          <w:sz w:val="24"/>
          <w:szCs w:val="24"/>
        </w:rPr>
        <w:t>A.</w:t>
      </w:r>
      <w:r w:rsidRPr="00720FC5">
        <w:rPr>
          <w:sz w:val="24"/>
          <w:szCs w:val="24"/>
        </w:rPr>
        <w:tab/>
      </w:r>
      <w:r w:rsidR="00A54B0B">
        <w:rPr>
          <w:sz w:val="24"/>
          <w:szCs w:val="24"/>
        </w:rPr>
        <w:t>No. I have testified in other jurisdictions</w:t>
      </w:r>
      <w:r w:rsidR="00C75457">
        <w:rPr>
          <w:sz w:val="24"/>
          <w:szCs w:val="24"/>
        </w:rPr>
        <w:t>. A list of my testimony is provided in Exhibit KAK-1.</w:t>
      </w:r>
    </w:p>
    <w:p w14:paraId="2279AA55" w14:textId="706DC916" w:rsidR="00E43A54" w:rsidRPr="008F3DEB" w:rsidRDefault="00E43A54" w:rsidP="003462A3">
      <w:pPr>
        <w:pStyle w:val="Question"/>
      </w:pPr>
      <w:r w:rsidRPr="008F3DEB">
        <w:t>Q.</w:t>
      </w:r>
      <w:r w:rsidRPr="008F3DEB">
        <w:tab/>
      </w:r>
      <w:r w:rsidR="00C75457">
        <w:t>Mr. Pol</w:t>
      </w:r>
      <w:r>
        <w:t xml:space="preserve">, </w:t>
      </w:r>
      <w:r w:rsidRPr="008F3DEB">
        <w:t xml:space="preserve">Please state your name, </w:t>
      </w:r>
      <w:r>
        <w:t>TITLE</w:t>
      </w:r>
      <w:r w:rsidRPr="008F3DEB">
        <w:t>, and business address.</w:t>
      </w:r>
    </w:p>
    <w:p w14:paraId="7470B9AF" w14:textId="05321C44" w:rsidR="00E43A54" w:rsidRPr="009A018B" w:rsidRDefault="058BBF10" w:rsidP="00CB1C0A">
      <w:pPr>
        <w:autoSpaceDE w:val="0"/>
        <w:autoSpaceDN w:val="0"/>
        <w:adjustRightInd w:val="0"/>
        <w:spacing w:line="480" w:lineRule="auto"/>
        <w:ind w:left="720" w:hanging="720"/>
        <w:rPr>
          <w:sz w:val="24"/>
          <w:szCs w:val="24"/>
        </w:rPr>
      </w:pPr>
      <w:r w:rsidRPr="6506DB8F">
        <w:rPr>
          <w:sz w:val="24"/>
          <w:szCs w:val="24"/>
        </w:rPr>
        <w:t>A.</w:t>
      </w:r>
      <w:r w:rsidR="00E43A54">
        <w:tab/>
      </w:r>
      <w:r w:rsidR="5D16E70F" w:rsidRPr="6506DB8F">
        <w:rPr>
          <w:sz w:val="24"/>
          <w:szCs w:val="24"/>
        </w:rPr>
        <w:t>My name is Karan</w:t>
      </w:r>
      <w:r w:rsidR="00071755">
        <w:rPr>
          <w:sz w:val="24"/>
          <w:szCs w:val="24"/>
        </w:rPr>
        <w:t xml:space="preserve"> A.</w:t>
      </w:r>
      <w:r w:rsidR="5D16E70F" w:rsidRPr="6506DB8F">
        <w:rPr>
          <w:sz w:val="24"/>
          <w:szCs w:val="24"/>
        </w:rPr>
        <w:t xml:space="preserve"> Pol. I am a </w:t>
      </w:r>
      <w:r w:rsidR="7CAA9FE0" w:rsidRPr="6506DB8F">
        <w:rPr>
          <w:sz w:val="24"/>
          <w:szCs w:val="24"/>
        </w:rPr>
        <w:t xml:space="preserve">Senior Energy Analyst with Daymark Energy Advisors, </w:t>
      </w:r>
      <w:r w:rsidR="5524E328" w:rsidRPr="6506DB8F">
        <w:rPr>
          <w:sz w:val="24"/>
          <w:szCs w:val="24"/>
        </w:rPr>
        <w:t>Inc.</w:t>
      </w:r>
      <w:r w:rsidR="7CAA9FE0" w:rsidRPr="6506DB8F">
        <w:rPr>
          <w:sz w:val="24"/>
          <w:szCs w:val="24"/>
        </w:rPr>
        <w:t xml:space="preserve"> My business address is 370 Main Street, Suite 325, Worcester, Massachusetts, 01608.</w:t>
      </w:r>
    </w:p>
    <w:p w14:paraId="23906710" w14:textId="5EFDEB39" w:rsidR="00E43A54" w:rsidRDefault="00E43A54" w:rsidP="003462A3">
      <w:pPr>
        <w:pStyle w:val="Question"/>
      </w:pPr>
      <w:proofErr w:type="gramStart"/>
      <w:r>
        <w:t>Q</w:t>
      </w:r>
      <w:r w:rsidR="003462A3">
        <w:t>.</w:t>
      </w:r>
      <w:proofErr w:type="gramEnd"/>
      <w:r>
        <w:tab/>
        <w:t>Please state your educational background and work experience.</w:t>
      </w:r>
    </w:p>
    <w:p w14:paraId="0F28D763" w14:textId="143DA3E1" w:rsidR="00E43A54" w:rsidRDefault="00E43A54" w:rsidP="00C2467A">
      <w:pPr>
        <w:spacing w:line="480" w:lineRule="auto"/>
        <w:ind w:left="720" w:hanging="720"/>
        <w:rPr>
          <w:sz w:val="24"/>
          <w:szCs w:val="24"/>
        </w:rPr>
      </w:pPr>
      <w:r>
        <w:rPr>
          <w:sz w:val="24"/>
          <w:szCs w:val="24"/>
        </w:rPr>
        <w:t>A.</w:t>
      </w:r>
      <w:r>
        <w:rPr>
          <w:sz w:val="24"/>
          <w:szCs w:val="24"/>
        </w:rPr>
        <w:tab/>
      </w:r>
      <w:r w:rsidR="00C2467A">
        <w:rPr>
          <w:sz w:val="24"/>
          <w:szCs w:val="24"/>
        </w:rPr>
        <w:t xml:space="preserve">My education and experience </w:t>
      </w:r>
      <w:r w:rsidR="00030864">
        <w:rPr>
          <w:sz w:val="24"/>
          <w:szCs w:val="24"/>
        </w:rPr>
        <w:t>are</w:t>
      </w:r>
      <w:r w:rsidR="00E51439">
        <w:rPr>
          <w:sz w:val="24"/>
          <w:szCs w:val="24"/>
        </w:rPr>
        <w:t xml:space="preserve"> provided in Exhibit K</w:t>
      </w:r>
      <w:r w:rsidR="00071755">
        <w:rPr>
          <w:sz w:val="24"/>
          <w:szCs w:val="24"/>
        </w:rPr>
        <w:t>A</w:t>
      </w:r>
      <w:r w:rsidR="00C2467A">
        <w:rPr>
          <w:sz w:val="24"/>
          <w:szCs w:val="24"/>
        </w:rPr>
        <w:t>P</w:t>
      </w:r>
      <w:r w:rsidR="00E51439">
        <w:rPr>
          <w:sz w:val="24"/>
          <w:szCs w:val="24"/>
        </w:rPr>
        <w:t>-1.</w:t>
      </w:r>
    </w:p>
    <w:p w14:paraId="2CDB98C1" w14:textId="77777777" w:rsidR="00E43A54" w:rsidRPr="008F3DEB" w:rsidRDefault="00E43A54" w:rsidP="003462A3">
      <w:pPr>
        <w:pStyle w:val="Question"/>
      </w:pPr>
      <w:r w:rsidRPr="008F3DEB">
        <w:t>Q.</w:t>
      </w:r>
      <w:r w:rsidRPr="008F3DEB">
        <w:tab/>
      </w:r>
      <w:r w:rsidRPr="00950314">
        <w:t>HAVE YOU EVER T</w:t>
      </w:r>
      <w:r>
        <w:t xml:space="preserve">ESTIFIED BEFORE THIS COMMISSION </w:t>
      </w:r>
      <w:r w:rsidRPr="008F3DEB">
        <w:t>or other Commissions?</w:t>
      </w:r>
    </w:p>
    <w:p w14:paraId="69168FA7" w14:textId="772F2019" w:rsidR="00E43A54" w:rsidRDefault="00E43A54" w:rsidP="00C2467A">
      <w:pPr>
        <w:spacing w:line="480" w:lineRule="auto"/>
        <w:ind w:left="720" w:hanging="720"/>
        <w:rPr>
          <w:sz w:val="24"/>
          <w:szCs w:val="24"/>
        </w:rPr>
      </w:pPr>
      <w:r w:rsidRPr="008F3DEB">
        <w:rPr>
          <w:sz w:val="24"/>
          <w:szCs w:val="24"/>
        </w:rPr>
        <w:t>A.</w:t>
      </w:r>
      <w:r w:rsidRPr="008F3DEB">
        <w:rPr>
          <w:sz w:val="24"/>
          <w:szCs w:val="24"/>
        </w:rPr>
        <w:tab/>
      </w:r>
      <w:r w:rsidR="00C2467A">
        <w:rPr>
          <w:sz w:val="24"/>
          <w:szCs w:val="24"/>
        </w:rPr>
        <w:t>No.</w:t>
      </w:r>
    </w:p>
    <w:p w14:paraId="2191DA41" w14:textId="77777777" w:rsidR="00E43A54" w:rsidRDefault="00E43A54" w:rsidP="007179F9">
      <w:pPr>
        <w:pStyle w:val="Question"/>
      </w:pPr>
      <w:r>
        <w:t>Q.</w:t>
      </w:r>
      <w:r>
        <w:tab/>
        <w:t>ON WHOSE BEHALF ARE YOU TESTIFYING?</w:t>
      </w:r>
    </w:p>
    <w:p w14:paraId="7739D21A" w14:textId="21971D75" w:rsidR="00E43A54" w:rsidRDefault="00E43A54" w:rsidP="003462A3">
      <w:pPr>
        <w:spacing w:line="480" w:lineRule="auto"/>
        <w:ind w:left="720" w:hanging="720"/>
        <w:rPr>
          <w:sz w:val="24"/>
          <w:szCs w:val="24"/>
        </w:rPr>
      </w:pPr>
      <w:r>
        <w:rPr>
          <w:sz w:val="24"/>
          <w:szCs w:val="24"/>
        </w:rPr>
        <w:t>A.</w:t>
      </w:r>
      <w:r>
        <w:rPr>
          <w:sz w:val="24"/>
          <w:szCs w:val="24"/>
        </w:rPr>
        <w:tab/>
      </w:r>
      <w:r w:rsidR="002D13BE">
        <w:rPr>
          <w:sz w:val="24"/>
          <w:szCs w:val="24"/>
        </w:rPr>
        <w:t xml:space="preserve">We are testifying on behalf of the </w:t>
      </w:r>
      <w:r w:rsidR="00013DDC">
        <w:rPr>
          <w:sz w:val="24"/>
          <w:szCs w:val="24"/>
        </w:rPr>
        <w:t xml:space="preserve">GPSC </w:t>
      </w:r>
      <w:r w:rsidR="002D13BE">
        <w:rPr>
          <w:sz w:val="24"/>
          <w:szCs w:val="24"/>
        </w:rPr>
        <w:t>Public Interest Advocacy Staff</w:t>
      </w:r>
      <w:r w:rsidR="009602FF">
        <w:rPr>
          <w:sz w:val="24"/>
          <w:szCs w:val="24"/>
        </w:rPr>
        <w:t xml:space="preserve"> (Staff</w:t>
      </w:r>
      <w:r w:rsidR="00013DDC">
        <w:rPr>
          <w:sz w:val="24"/>
          <w:szCs w:val="24"/>
        </w:rPr>
        <w:t>)</w:t>
      </w:r>
      <w:r w:rsidR="002D13BE">
        <w:rPr>
          <w:sz w:val="24"/>
          <w:szCs w:val="24"/>
        </w:rPr>
        <w:t xml:space="preserve">. </w:t>
      </w:r>
    </w:p>
    <w:p w14:paraId="5D1D1B15" w14:textId="77777777" w:rsidR="00E01138" w:rsidRDefault="00E01138">
      <w:pPr>
        <w:spacing w:after="160" w:line="259" w:lineRule="auto"/>
        <w:jc w:val="left"/>
        <w:rPr>
          <w:rFonts w:eastAsia="Calibri"/>
          <w:b/>
          <w:bCs/>
          <w:kern w:val="32"/>
          <w:sz w:val="24"/>
          <w:szCs w:val="32"/>
        </w:rPr>
      </w:pPr>
      <w:r>
        <w:br w:type="page"/>
      </w:r>
    </w:p>
    <w:p w14:paraId="74F0910E" w14:textId="727712E7" w:rsidR="007E129A" w:rsidRDefault="007E129A" w:rsidP="007E129A">
      <w:pPr>
        <w:pStyle w:val="Heading1"/>
      </w:pPr>
      <w:bookmarkStart w:id="2" w:name="_Toc158797844"/>
      <w:r>
        <w:lastRenderedPageBreak/>
        <w:t>II.</w:t>
      </w:r>
      <w:r>
        <w:tab/>
        <w:t>Summary of Conclusions, Observations, and Recommendations</w:t>
      </w:r>
      <w:bookmarkEnd w:id="2"/>
    </w:p>
    <w:p w14:paraId="4BF9C90F" w14:textId="4469A722" w:rsidR="007E129A" w:rsidRDefault="007E129A" w:rsidP="00756BFD">
      <w:pPr>
        <w:pStyle w:val="Question"/>
      </w:pPr>
      <w:proofErr w:type="gramStart"/>
      <w:r>
        <w:t>Q.</w:t>
      </w:r>
      <w:proofErr w:type="gramEnd"/>
      <w:r>
        <w:tab/>
      </w:r>
      <w:r w:rsidR="00756BFD">
        <w:t>please summarize your conclusions.</w:t>
      </w:r>
    </w:p>
    <w:p w14:paraId="48A331C5" w14:textId="3C213D15" w:rsidR="007E129A" w:rsidRPr="00C01F46" w:rsidRDefault="007E129A" w:rsidP="00C01F46">
      <w:pPr>
        <w:spacing w:line="480" w:lineRule="auto"/>
        <w:ind w:left="720" w:hanging="720"/>
        <w:rPr>
          <w:b/>
          <w:bCs/>
          <w:szCs w:val="24"/>
        </w:rPr>
      </w:pPr>
      <w:r w:rsidRPr="00C01F46">
        <w:rPr>
          <w:sz w:val="24"/>
          <w:szCs w:val="24"/>
        </w:rPr>
        <w:t>A.</w:t>
      </w:r>
      <w:r w:rsidRPr="00C01F46">
        <w:rPr>
          <w:sz w:val="24"/>
          <w:szCs w:val="24"/>
        </w:rPr>
        <w:tab/>
      </w:r>
      <w:r w:rsidR="00756BFD" w:rsidRPr="00C01F46">
        <w:rPr>
          <w:sz w:val="24"/>
          <w:szCs w:val="24"/>
        </w:rPr>
        <w:t>Our conclusions are as follows:</w:t>
      </w:r>
    </w:p>
    <w:p w14:paraId="7BBE7E81" w14:textId="3471B48D" w:rsidR="00756BFD" w:rsidRPr="002E3E48" w:rsidRDefault="00F02583" w:rsidP="00967AD0">
      <w:pPr>
        <w:pStyle w:val="ListParagraph"/>
        <w:numPr>
          <w:ilvl w:val="0"/>
          <w:numId w:val="3"/>
        </w:numPr>
        <w:spacing w:line="480" w:lineRule="auto"/>
        <w:jc w:val="both"/>
        <w:rPr>
          <w:sz w:val="24"/>
          <w:szCs w:val="24"/>
        </w:rPr>
      </w:pPr>
      <w:r>
        <w:rPr>
          <w:sz w:val="24"/>
          <w:szCs w:val="24"/>
        </w:rPr>
        <w:t xml:space="preserve">Georgia Power </w:t>
      </w:r>
      <w:r w:rsidR="00756BFD" w:rsidRPr="7D1D1BD1">
        <w:rPr>
          <w:sz w:val="24"/>
          <w:szCs w:val="24"/>
        </w:rPr>
        <w:t xml:space="preserve">Company </w:t>
      </w:r>
      <w:r>
        <w:rPr>
          <w:sz w:val="24"/>
          <w:szCs w:val="24"/>
        </w:rPr>
        <w:t>(GPC or Company)</w:t>
      </w:r>
      <w:r w:rsidR="00756BFD" w:rsidRPr="7D1D1BD1">
        <w:rPr>
          <w:sz w:val="24"/>
          <w:szCs w:val="24"/>
        </w:rPr>
        <w:t xml:space="preserve"> </w:t>
      </w:r>
      <w:r w:rsidR="000B1BF5">
        <w:rPr>
          <w:sz w:val="24"/>
          <w:szCs w:val="24"/>
        </w:rPr>
        <w:t xml:space="preserve">filed a new </w:t>
      </w:r>
      <w:r w:rsidR="00756BFD" w:rsidRPr="7D1D1BD1">
        <w:rPr>
          <w:sz w:val="24"/>
          <w:szCs w:val="24"/>
        </w:rPr>
        <w:t xml:space="preserve">load forecast </w:t>
      </w:r>
      <w:r w:rsidR="000B1BF5">
        <w:rPr>
          <w:sz w:val="24"/>
          <w:szCs w:val="24"/>
        </w:rPr>
        <w:t>in this docket</w:t>
      </w:r>
      <w:r w:rsidR="00D04717">
        <w:rPr>
          <w:sz w:val="24"/>
          <w:szCs w:val="24"/>
        </w:rPr>
        <w:t>, which is</w:t>
      </w:r>
      <w:r w:rsidR="00756BFD" w:rsidRPr="7D1D1BD1">
        <w:rPr>
          <w:sz w:val="24"/>
          <w:szCs w:val="24"/>
        </w:rPr>
        <w:t xml:space="preserve"> significantly </w:t>
      </w:r>
      <w:r w:rsidR="00654FE9">
        <w:rPr>
          <w:sz w:val="24"/>
          <w:szCs w:val="24"/>
        </w:rPr>
        <w:t>higher than</w:t>
      </w:r>
      <w:r w:rsidR="00CA796A">
        <w:rPr>
          <w:sz w:val="24"/>
          <w:szCs w:val="24"/>
        </w:rPr>
        <w:t xml:space="preserve"> the forecast provided in the </w:t>
      </w:r>
      <w:r w:rsidR="00756BFD" w:rsidRPr="7D1D1BD1">
        <w:rPr>
          <w:sz w:val="24"/>
          <w:szCs w:val="24"/>
        </w:rPr>
        <w:t>2022 IRP</w:t>
      </w:r>
      <w:r w:rsidR="00CA796A">
        <w:rPr>
          <w:sz w:val="24"/>
          <w:szCs w:val="24"/>
        </w:rPr>
        <w:t xml:space="preserve">. The new load forecast includes </w:t>
      </w:r>
      <w:r w:rsidR="00756BFD" w:rsidRPr="7D1D1BD1">
        <w:rPr>
          <w:sz w:val="24"/>
          <w:szCs w:val="24"/>
        </w:rPr>
        <w:t>organic growth</w:t>
      </w:r>
      <w:r w:rsidR="00071755">
        <w:rPr>
          <w:rStyle w:val="FootnoteReference"/>
          <w:sz w:val="24"/>
          <w:szCs w:val="24"/>
        </w:rPr>
        <w:footnoteReference w:id="2"/>
      </w:r>
      <w:r w:rsidR="00232E47">
        <w:rPr>
          <w:sz w:val="24"/>
          <w:szCs w:val="24"/>
        </w:rPr>
        <w:t xml:space="preserve">, but is driven primarily by </w:t>
      </w:r>
      <w:r w:rsidR="00AE2E20">
        <w:rPr>
          <w:sz w:val="24"/>
          <w:szCs w:val="24"/>
        </w:rPr>
        <w:t>GPC being selected, in 2022</w:t>
      </w:r>
      <w:r w:rsidR="003851D2">
        <w:rPr>
          <w:sz w:val="24"/>
          <w:szCs w:val="24"/>
        </w:rPr>
        <w:t xml:space="preserve">, to serve </w:t>
      </w:r>
      <w:proofErr w:type="gramStart"/>
      <w:r w:rsidR="00F2576F">
        <w:rPr>
          <w:sz w:val="24"/>
          <w:szCs w:val="24"/>
        </w:rPr>
        <w:t xml:space="preserve">new </w:t>
      </w:r>
      <w:r w:rsidR="00F2576F" w:rsidRPr="7D1D1BD1">
        <w:rPr>
          <w:sz w:val="24"/>
          <w:szCs w:val="24"/>
        </w:rPr>
        <w:t>large</w:t>
      </w:r>
      <w:proofErr w:type="gramEnd"/>
      <w:r w:rsidR="00756BFD" w:rsidRPr="7D1D1BD1">
        <w:rPr>
          <w:sz w:val="24"/>
          <w:szCs w:val="24"/>
        </w:rPr>
        <w:t xml:space="preserve"> </w:t>
      </w:r>
      <w:r w:rsidR="00232E47">
        <w:rPr>
          <w:sz w:val="24"/>
          <w:szCs w:val="24"/>
        </w:rPr>
        <w:t xml:space="preserve">load </w:t>
      </w:r>
      <w:r w:rsidR="00756BFD" w:rsidRPr="7D1D1BD1">
        <w:rPr>
          <w:sz w:val="24"/>
          <w:szCs w:val="24"/>
        </w:rPr>
        <w:t>customer</w:t>
      </w:r>
      <w:r w:rsidR="003851D2">
        <w:rPr>
          <w:sz w:val="24"/>
          <w:szCs w:val="24"/>
        </w:rPr>
        <w:t xml:space="preserve">s. </w:t>
      </w:r>
      <w:r w:rsidR="00DB7370">
        <w:rPr>
          <w:sz w:val="24"/>
          <w:szCs w:val="24"/>
        </w:rPr>
        <w:t>T</w:t>
      </w:r>
      <w:r w:rsidR="003851D2">
        <w:rPr>
          <w:sz w:val="24"/>
          <w:szCs w:val="24"/>
        </w:rPr>
        <w:t>he Company</w:t>
      </w:r>
      <w:r w:rsidR="00DB7370">
        <w:rPr>
          <w:sz w:val="24"/>
          <w:szCs w:val="24"/>
        </w:rPr>
        <w:t xml:space="preserve"> identified</w:t>
      </w:r>
      <w:r w:rsidR="003851D2">
        <w:rPr>
          <w:sz w:val="24"/>
          <w:szCs w:val="24"/>
        </w:rPr>
        <w:t xml:space="preserve"> a significan</w:t>
      </w:r>
      <w:r w:rsidR="006A1DD1">
        <w:rPr>
          <w:sz w:val="24"/>
          <w:szCs w:val="24"/>
        </w:rPr>
        <w:t xml:space="preserve">t </w:t>
      </w:r>
      <w:r w:rsidR="0003743F">
        <w:rPr>
          <w:sz w:val="24"/>
          <w:szCs w:val="24"/>
        </w:rPr>
        <w:t>amount of future</w:t>
      </w:r>
      <w:r w:rsidR="006A1DD1">
        <w:rPr>
          <w:sz w:val="24"/>
          <w:szCs w:val="24"/>
        </w:rPr>
        <w:t xml:space="preserve"> </w:t>
      </w:r>
      <w:r w:rsidR="0003743F">
        <w:rPr>
          <w:sz w:val="24"/>
          <w:szCs w:val="24"/>
        </w:rPr>
        <w:t xml:space="preserve">large </w:t>
      </w:r>
      <w:r w:rsidR="006A1DD1">
        <w:rPr>
          <w:sz w:val="24"/>
          <w:szCs w:val="24"/>
        </w:rPr>
        <w:t xml:space="preserve">load </w:t>
      </w:r>
      <w:r w:rsidR="00756BFD" w:rsidRPr="7D1D1BD1">
        <w:rPr>
          <w:sz w:val="24"/>
          <w:szCs w:val="24"/>
        </w:rPr>
        <w:t xml:space="preserve">customer </w:t>
      </w:r>
      <w:r w:rsidR="0003743F">
        <w:rPr>
          <w:sz w:val="24"/>
          <w:szCs w:val="24"/>
        </w:rPr>
        <w:t>additions</w:t>
      </w:r>
      <w:r w:rsidR="00EC16C6">
        <w:rPr>
          <w:sz w:val="24"/>
          <w:szCs w:val="24"/>
        </w:rPr>
        <w:t xml:space="preserve"> </w:t>
      </w:r>
      <w:r w:rsidR="00044B31">
        <w:rPr>
          <w:sz w:val="24"/>
          <w:szCs w:val="24"/>
        </w:rPr>
        <w:t>because of</w:t>
      </w:r>
      <w:r w:rsidR="00EC16C6">
        <w:rPr>
          <w:sz w:val="24"/>
          <w:szCs w:val="24"/>
        </w:rPr>
        <w:t xml:space="preserve"> activities in 2023.</w:t>
      </w:r>
      <w:r w:rsidR="006A1DD1">
        <w:rPr>
          <w:sz w:val="24"/>
          <w:szCs w:val="24"/>
        </w:rPr>
        <w:t xml:space="preserve"> </w:t>
      </w:r>
    </w:p>
    <w:p w14:paraId="0E1D62DB" w14:textId="7822B11D" w:rsidR="00756BFD" w:rsidRPr="002E3E48" w:rsidRDefault="00756BFD" w:rsidP="00967AD0">
      <w:pPr>
        <w:pStyle w:val="ListParagraph"/>
        <w:numPr>
          <w:ilvl w:val="0"/>
          <w:numId w:val="3"/>
        </w:numPr>
        <w:spacing w:line="480" w:lineRule="auto"/>
        <w:jc w:val="both"/>
        <w:rPr>
          <w:sz w:val="24"/>
          <w:szCs w:val="24"/>
        </w:rPr>
      </w:pPr>
      <w:r w:rsidRPr="7D1D1BD1">
        <w:rPr>
          <w:sz w:val="24"/>
          <w:szCs w:val="24"/>
        </w:rPr>
        <w:t>The Company’s tools and</w:t>
      </w:r>
      <w:r w:rsidR="070B2869" w:rsidRPr="7D1D1BD1">
        <w:rPr>
          <w:sz w:val="24"/>
          <w:szCs w:val="24"/>
        </w:rPr>
        <w:t xml:space="preserve"> </w:t>
      </w:r>
      <w:r w:rsidRPr="7D1D1BD1">
        <w:rPr>
          <w:sz w:val="24"/>
          <w:szCs w:val="24"/>
        </w:rPr>
        <w:t>methods for the organic load forecast a</w:t>
      </w:r>
      <w:r w:rsidR="005D306C">
        <w:rPr>
          <w:sz w:val="24"/>
          <w:szCs w:val="24"/>
        </w:rPr>
        <w:t xml:space="preserve">ppear </w:t>
      </w:r>
      <w:r w:rsidRPr="7D1D1BD1">
        <w:rPr>
          <w:sz w:val="24"/>
          <w:szCs w:val="24"/>
        </w:rPr>
        <w:t>consistent with typical utility practice. Based on our review of the Company’s analysis, we conclude</w:t>
      </w:r>
      <w:r w:rsidR="0C624E3A" w:rsidRPr="7D1D1BD1">
        <w:rPr>
          <w:sz w:val="24"/>
          <w:szCs w:val="24"/>
        </w:rPr>
        <w:t xml:space="preserve"> that</w:t>
      </w:r>
      <w:r w:rsidRPr="7D1D1BD1">
        <w:rPr>
          <w:sz w:val="24"/>
          <w:szCs w:val="24"/>
        </w:rPr>
        <w:t xml:space="preserve"> </w:t>
      </w:r>
      <w:r w:rsidR="00071755">
        <w:rPr>
          <w:sz w:val="24"/>
          <w:szCs w:val="24"/>
        </w:rPr>
        <w:t>it has</w:t>
      </w:r>
      <w:r w:rsidRPr="7D1D1BD1">
        <w:rPr>
          <w:sz w:val="24"/>
          <w:szCs w:val="24"/>
        </w:rPr>
        <w:t xml:space="preserve"> developed a reasonable organic load forecast. However,</w:t>
      </w:r>
      <w:r w:rsidR="00071755">
        <w:rPr>
          <w:sz w:val="24"/>
          <w:szCs w:val="24"/>
        </w:rPr>
        <w:t xml:space="preserve"> the Company should provide model results, variables, </w:t>
      </w:r>
      <w:r w:rsidR="004A458E">
        <w:rPr>
          <w:sz w:val="24"/>
          <w:szCs w:val="24"/>
        </w:rPr>
        <w:t xml:space="preserve">model documentation describing model structure(s), variable relationships and key formulae, and interactions between models, </w:t>
      </w:r>
      <w:r w:rsidR="00071755">
        <w:rPr>
          <w:sz w:val="24"/>
          <w:szCs w:val="24"/>
        </w:rPr>
        <w:t>and regression statistics</w:t>
      </w:r>
      <w:r w:rsidR="00071755">
        <w:rPr>
          <w:rStyle w:val="FootnoteReference"/>
          <w:sz w:val="24"/>
          <w:szCs w:val="24"/>
        </w:rPr>
        <w:footnoteReference w:id="3"/>
      </w:r>
      <w:r w:rsidR="00071755">
        <w:rPr>
          <w:sz w:val="24"/>
          <w:szCs w:val="24"/>
        </w:rPr>
        <w:t xml:space="preserve"> in each future load forecast filing to ensure that Staff and its consultants can </w:t>
      </w:r>
      <w:r w:rsidR="004A458E">
        <w:rPr>
          <w:sz w:val="24"/>
          <w:szCs w:val="24"/>
        </w:rPr>
        <w:t xml:space="preserve">perform a timely </w:t>
      </w:r>
      <w:r w:rsidR="00071755">
        <w:rPr>
          <w:sz w:val="24"/>
          <w:szCs w:val="24"/>
        </w:rPr>
        <w:t xml:space="preserve">review </w:t>
      </w:r>
      <w:r w:rsidR="004A458E">
        <w:rPr>
          <w:sz w:val="24"/>
          <w:szCs w:val="24"/>
        </w:rPr>
        <w:t xml:space="preserve">of </w:t>
      </w:r>
      <w:r w:rsidR="00071755">
        <w:rPr>
          <w:sz w:val="24"/>
          <w:szCs w:val="24"/>
        </w:rPr>
        <w:t>model results without purchasing software to do so.</w:t>
      </w:r>
    </w:p>
    <w:p w14:paraId="23A9EC73" w14:textId="3C8676B0" w:rsidR="00756BFD" w:rsidRPr="002E3E48" w:rsidRDefault="3B678569" w:rsidP="00967AD0">
      <w:pPr>
        <w:pStyle w:val="ListParagraph"/>
        <w:numPr>
          <w:ilvl w:val="0"/>
          <w:numId w:val="3"/>
        </w:numPr>
        <w:spacing w:line="480" w:lineRule="auto"/>
        <w:jc w:val="both"/>
        <w:rPr>
          <w:sz w:val="24"/>
          <w:szCs w:val="24"/>
        </w:rPr>
      </w:pPr>
      <w:r w:rsidRPr="6506DB8F">
        <w:rPr>
          <w:sz w:val="24"/>
          <w:szCs w:val="24"/>
        </w:rPr>
        <w:lastRenderedPageBreak/>
        <w:t>The largest portion of the change in the load forecast is</w:t>
      </w:r>
      <w:r w:rsidR="35A2EF35" w:rsidRPr="6506DB8F">
        <w:rPr>
          <w:sz w:val="24"/>
          <w:szCs w:val="24"/>
        </w:rPr>
        <w:t xml:space="preserve"> from</w:t>
      </w:r>
      <w:r w:rsidRPr="6506DB8F">
        <w:rPr>
          <w:sz w:val="24"/>
          <w:szCs w:val="24"/>
        </w:rPr>
        <w:t xml:space="preserve"> the large customer choice loads. The growth in customer choice loads </w:t>
      </w:r>
      <w:r w:rsidR="5336FA5E" w:rsidRPr="6506DB8F">
        <w:rPr>
          <w:sz w:val="24"/>
          <w:szCs w:val="24"/>
        </w:rPr>
        <w:t>increased</w:t>
      </w:r>
      <w:r w:rsidRPr="6506DB8F">
        <w:rPr>
          <w:sz w:val="24"/>
          <w:szCs w:val="24"/>
        </w:rPr>
        <w:t xml:space="preserve"> </w:t>
      </w:r>
      <w:r w:rsidR="00BE1731">
        <w:rPr>
          <w:sz w:val="24"/>
          <w:szCs w:val="24"/>
        </w:rPr>
        <w:t>noticeably</w:t>
      </w:r>
      <w:r w:rsidR="1EFA230F" w:rsidRPr="6506DB8F">
        <w:rPr>
          <w:sz w:val="24"/>
          <w:szCs w:val="24"/>
        </w:rPr>
        <w:t xml:space="preserve"> in 2021</w:t>
      </w:r>
      <w:r w:rsidR="219275CC" w:rsidRPr="6506DB8F">
        <w:rPr>
          <w:sz w:val="24"/>
          <w:szCs w:val="24"/>
        </w:rPr>
        <w:t>. This trend</w:t>
      </w:r>
      <w:r w:rsidR="2A925F30" w:rsidRPr="6506DB8F">
        <w:rPr>
          <w:sz w:val="24"/>
          <w:szCs w:val="24"/>
        </w:rPr>
        <w:t xml:space="preserve"> </w:t>
      </w:r>
      <w:r w:rsidR="219275CC" w:rsidRPr="6506DB8F">
        <w:rPr>
          <w:sz w:val="24"/>
          <w:szCs w:val="24"/>
        </w:rPr>
        <w:t xml:space="preserve">continued </w:t>
      </w:r>
      <w:r w:rsidR="009A7A2C">
        <w:rPr>
          <w:sz w:val="24"/>
          <w:szCs w:val="24"/>
        </w:rPr>
        <w:t>with dramatic increases</w:t>
      </w:r>
      <w:r w:rsidR="0047255C">
        <w:rPr>
          <w:sz w:val="24"/>
          <w:szCs w:val="24"/>
        </w:rPr>
        <w:t xml:space="preserve"> in</w:t>
      </w:r>
      <w:r w:rsidR="219275CC" w:rsidRPr="6506DB8F">
        <w:rPr>
          <w:sz w:val="24"/>
          <w:szCs w:val="24"/>
        </w:rPr>
        <w:t xml:space="preserve"> 2022 and </w:t>
      </w:r>
      <w:r w:rsidR="0047255C">
        <w:rPr>
          <w:sz w:val="24"/>
          <w:szCs w:val="24"/>
        </w:rPr>
        <w:t>additional significant increases in</w:t>
      </w:r>
      <w:r w:rsidR="219275CC" w:rsidRPr="6506DB8F">
        <w:rPr>
          <w:sz w:val="24"/>
          <w:szCs w:val="24"/>
        </w:rPr>
        <w:t xml:space="preserve"> 2023</w:t>
      </w:r>
      <w:r w:rsidR="634BF0E4" w:rsidRPr="6506DB8F">
        <w:rPr>
          <w:sz w:val="24"/>
          <w:szCs w:val="24"/>
        </w:rPr>
        <w:t xml:space="preserve">. </w:t>
      </w:r>
      <w:r w:rsidR="22CA02B9" w:rsidRPr="6506DB8F">
        <w:rPr>
          <w:sz w:val="24"/>
          <w:szCs w:val="24"/>
        </w:rPr>
        <w:t>Georgia Power</w:t>
      </w:r>
      <w:r w:rsidRPr="6506DB8F">
        <w:rPr>
          <w:sz w:val="24"/>
          <w:szCs w:val="24"/>
        </w:rPr>
        <w:t xml:space="preserve"> develop</w:t>
      </w:r>
      <w:r w:rsidR="5CB6AF36" w:rsidRPr="6506DB8F">
        <w:rPr>
          <w:sz w:val="24"/>
          <w:szCs w:val="24"/>
        </w:rPr>
        <w:t>ed</w:t>
      </w:r>
      <w:r w:rsidRPr="6506DB8F">
        <w:rPr>
          <w:sz w:val="24"/>
          <w:szCs w:val="24"/>
        </w:rPr>
        <w:t xml:space="preserve"> </w:t>
      </w:r>
      <w:r w:rsidR="00DF61B1">
        <w:rPr>
          <w:sz w:val="24"/>
          <w:szCs w:val="24"/>
        </w:rPr>
        <w:t xml:space="preserve">a </w:t>
      </w:r>
      <w:r w:rsidRPr="6506DB8F">
        <w:rPr>
          <w:sz w:val="24"/>
          <w:szCs w:val="24"/>
        </w:rPr>
        <w:t xml:space="preserve">new tool to forecast the probability and timing of realization of this load. The Company’s tool </w:t>
      </w:r>
      <w:r w:rsidR="00813CE9">
        <w:rPr>
          <w:sz w:val="24"/>
          <w:szCs w:val="24"/>
        </w:rPr>
        <w:t xml:space="preserve">(Load Realization Model) </w:t>
      </w:r>
      <w:r w:rsidRPr="6506DB8F">
        <w:rPr>
          <w:sz w:val="24"/>
          <w:szCs w:val="24"/>
        </w:rPr>
        <w:t xml:space="preserve">for developing this forecast </w:t>
      </w:r>
      <w:r w:rsidR="0063435B">
        <w:rPr>
          <w:sz w:val="24"/>
          <w:szCs w:val="24"/>
        </w:rPr>
        <w:t>is</w:t>
      </w:r>
      <w:r w:rsidRPr="6506DB8F">
        <w:rPr>
          <w:sz w:val="24"/>
          <w:szCs w:val="24"/>
        </w:rPr>
        <w:t xml:space="preserve"> highly sensitive to certain input assumptions, and the Company has not conducted sufficient analysis to justify those assumptions.</w:t>
      </w:r>
    </w:p>
    <w:p w14:paraId="6F0B034A" w14:textId="49805E9A" w:rsidR="00756BFD" w:rsidRPr="002E3E48" w:rsidRDefault="00756BFD" w:rsidP="00967AD0">
      <w:pPr>
        <w:pStyle w:val="ListParagraph"/>
        <w:numPr>
          <w:ilvl w:val="0"/>
          <w:numId w:val="3"/>
        </w:numPr>
        <w:spacing w:line="480" w:lineRule="auto"/>
        <w:jc w:val="both"/>
        <w:rPr>
          <w:sz w:val="24"/>
          <w:szCs w:val="24"/>
        </w:rPr>
      </w:pPr>
      <w:r w:rsidRPr="562B5B37">
        <w:rPr>
          <w:sz w:val="24"/>
          <w:szCs w:val="24"/>
        </w:rPr>
        <w:t>The Company only tested one scenario</w:t>
      </w:r>
      <w:r w:rsidR="00B7152E">
        <w:rPr>
          <w:sz w:val="24"/>
          <w:szCs w:val="24"/>
        </w:rPr>
        <w:t xml:space="preserve">, with </w:t>
      </w:r>
      <w:r w:rsidRPr="562B5B37">
        <w:rPr>
          <w:sz w:val="24"/>
          <w:szCs w:val="24"/>
        </w:rPr>
        <w:t>one set of assumptions</w:t>
      </w:r>
      <w:r w:rsidR="00B7152E">
        <w:rPr>
          <w:sz w:val="24"/>
          <w:szCs w:val="24"/>
        </w:rPr>
        <w:t>,</w:t>
      </w:r>
      <w:r w:rsidRPr="562B5B37">
        <w:rPr>
          <w:sz w:val="24"/>
          <w:szCs w:val="24"/>
        </w:rPr>
        <w:t xml:space="preserve"> in its large</w:t>
      </w:r>
      <w:r w:rsidR="00B7604F">
        <w:rPr>
          <w:sz w:val="24"/>
          <w:szCs w:val="24"/>
        </w:rPr>
        <w:t xml:space="preserve"> customer</w:t>
      </w:r>
      <w:r w:rsidRPr="562B5B37">
        <w:rPr>
          <w:sz w:val="24"/>
          <w:szCs w:val="24"/>
        </w:rPr>
        <w:t xml:space="preserve"> load forecast, indicating that it has not </w:t>
      </w:r>
      <w:r w:rsidR="2B4D677F" w:rsidRPr="562B5B37">
        <w:rPr>
          <w:sz w:val="24"/>
          <w:szCs w:val="24"/>
        </w:rPr>
        <w:t>tho</w:t>
      </w:r>
      <w:r w:rsidR="44C90D0D" w:rsidRPr="562B5B37">
        <w:rPr>
          <w:sz w:val="24"/>
          <w:szCs w:val="24"/>
        </w:rPr>
        <w:t>r</w:t>
      </w:r>
      <w:r w:rsidR="2B4D677F" w:rsidRPr="562B5B37">
        <w:rPr>
          <w:sz w:val="24"/>
          <w:szCs w:val="24"/>
        </w:rPr>
        <w:t xml:space="preserve">oughly and comprehensively </w:t>
      </w:r>
      <w:r w:rsidRPr="562B5B37">
        <w:rPr>
          <w:sz w:val="24"/>
          <w:szCs w:val="24"/>
        </w:rPr>
        <w:t xml:space="preserve">examined the possible outcomes throughout the </w:t>
      </w:r>
      <w:r w:rsidR="004A458E">
        <w:rPr>
          <w:sz w:val="24"/>
          <w:szCs w:val="24"/>
        </w:rPr>
        <w:t>forecast time frame</w:t>
      </w:r>
      <w:r w:rsidR="00A72C70">
        <w:rPr>
          <w:sz w:val="24"/>
          <w:szCs w:val="24"/>
        </w:rPr>
        <w:t>.</w:t>
      </w:r>
    </w:p>
    <w:p w14:paraId="1344FD42" w14:textId="13748D6B" w:rsidR="00756BFD" w:rsidRPr="002E3E48" w:rsidRDefault="00756BFD" w:rsidP="00967AD0">
      <w:pPr>
        <w:pStyle w:val="ListParagraph"/>
        <w:numPr>
          <w:ilvl w:val="0"/>
          <w:numId w:val="3"/>
        </w:numPr>
        <w:spacing w:line="480" w:lineRule="auto"/>
        <w:jc w:val="both"/>
        <w:rPr>
          <w:sz w:val="24"/>
          <w:szCs w:val="24"/>
        </w:rPr>
      </w:pPr>
      <w:r w:rsidRPr="562B5B37">
        <w:rPr>
          <w:sz w:val="24"/>
          <w:szCs w:val="24"/>
        </w:rPr>
        <w:t xml:space="preserve">The Company’s overall methodology of forecasting new, large, customer choice loads is a reasonable approach, but based on our review, we believe the resulting forecast </w:t>
      </w:r>
      <w:r w:rsidR="00EB4DC0">
        <w:rPr>
          <w:sz w:val="24"/>
          <w:szCs w:val="24"/>
        </w:rPr>
        <w:t>is</w:t>
      </w:r>
      <w:r w:rsidRPr="562B5B37">
        <w:rPr>
          <w:sz w:val="24"/>
          <w:szCs w:val="24"/>
        </w:rPr>
        <w:t xml:space="preserve"> skewed to </w:t>
      </w:r>
      <w:r w:rsidR="00071755">
        <w:rPr>
          <w:sz w:val="24"/>
          <w:szCs w:val="24"/>
        </w:rPr>
        <w:t>show</w:t>
      </w:r>
      <w:r w:rsidR="00071755" w:rsidRPr="562B5B37">
        <w:rPr>
          <w:sz w:val="24"/>
          <w:szCs w:val="24"/>
        </w:rPr>
        <w:t xml:space="preserve"> </w:t>
      </w:r>
      <w:r w:rsidRPr="562B5B37">
        <w:rPr>
          <w:sz w:val="24"/>
          <w:szCs w:val="24"/>
        </w:rPr>
        <w:t>load realization sooner</w:t>
      </w:r>
      <w:r w:rsidR="00697D44">
        <w:rPr>
          <w:sz w:val="24"/>
          <w:szCs w:val="24"/>
        </w:rPr>
        <w:t xml:space="preserve"> and in greater quantity</w:t>
      </w:r>
      <w:r w:rsidR="00071755">
        <w:rPr>
          <w:sz w:val="24"/>
          <w:szCs w:val="24"/>
        </w:rPr>
        <w:t xml:space="preserve"> than i</w:t>
      </w:r>
      <w:r w:rsidR="00E01138">
        <w:rPr>
          <w:sz w:val="24"/>
          <w:szCs w:val="24"/>
        </w:rPr>
        <w:t>t</w:t>
      </w:r>
      <w:r w:rsidR="00071755">
        <w:rPr>
          <w:sz w:val="24"/>
          <w:szCs w:val="24"/>
        </w:rPr>
        <w:t xml:space="preserve"> is likely to</w:t>
      </w:r>
      <w:r w:rsidRPr="562B5B37">
        <w:rPr>
          <w:sz w:val="24"/>
          <w:szCs w:val="24"/>
        </w:rPr>
        <w:t xml:space="preserve"> materialize.</w:t>
      </w:r>
      <w:r w:rsidR="00C452E9">
        <w:rPr>
          <w:sz w:val="24"/>
          <w:szCs w:val="24"/>
        </w:rPr>
        <w:t xml:space="preserve">  The Company has not performed sensitivity analyses nor alternative forecasts that </w:t>
      </w:r>
      <w:r w:rsidR="00071755">
        <w:rPr>
          <w:sz w:val="24"/>
          <w:szCs w:val="24"/>
        </w:rPr>
        <w:t>sh</w:t>
      </w:r>
      <w:r w:rsidR="00C452E9">
        <w:rPr>
          <w:sz w:val="24"/>
          <w:szCs w:val="24"/>
        </w:rPr>
        <w:t xml:space="preserve">ould inform </w:t>
      </w:r>
      <w:r w:rsidR="00071755">
        <w:rPr>
          <w:sz w:val="24"/>
          <w:szCs w:val="24"/>
        </w:rPr>
        <w:t xml:space="preserve">capacity expansion planning or rate impact analysis. </w:t>
      </w:r>
    </w:p>
    <w:p w14:paraId="3FD933A5" w14:textId="7805FDA8" w:rsidR="000E78DC" w:rsidRDefault="04F13AEB" w:rsidP="00967AD0">
      <w:pPr>
        <w:pStyle w:val="ListParagraph"/>
        <w:numPr>
          <w:ilvl w:val="0"/>
          <w:numId w:val="3"/>
        </w:numPr>
        <w:spacing w:line="480" w:lineRule="auto"/>
        <w:jc w:val="both"/>
        <w:rPr>
          <w:sz w:val="24"/>
          <w:szCs w:val="24"/>
        </w:rPr>
      </w:pPr>
      <w:r w:rsidRPr="30E754EA">
        <w:rPr>
          <w:sz w:val="24"/>
          <w:szCs w:val="24"/>
        </w:rPr>
        <w:t xml:space="preserve">The Company </w:t>
      </w:r>
      <w:r w:rsidR="2B3C213F" w:rsidRPr="30E754EA">
        <w:rPr>
          <w:sz w:val="24"/>
          <w:szCs w:val="24"/>
        </w:rPr>
        <w:t>estimated the incremental net cost to customers based on the load and capacity situation file</w:t>
      </w:r>
      <w:r w:rsidR="00DF61B1">
        <w:rPr>
          <w:sz w:val="24"/>
          <w:szCs w:val="24"/>
        </w:rPr>
        <w:t>d</w:t>
      </w:r>
      <w:r w:rsidR="2B3C213F" w:rsidRPr="30E754EA">
        <w:rPr>
          <w:sz w:val="24"/>
          <w:szCs w:val="24"/>
        </w:rPr>
        <w:t xml:space="preserve"> in October 2023. T</w:t>
      </w:r>
      <w:r w:rsidRPr="30E754EA">
        <w:rPr>
          <w:sz w:val="24"/>
          <w:szCs w:val="24"/>
        </w:rPr>
        <w:t xml:space="preserve">he Company’s </w:t>
      </w:r>
      <w:r w:rsidR="005B5FDB" w:rsidRPr="30E754EA">
        <w:rPr>
          <w:sz w:val="24"/>
          <w:szCs w:val="24"/>
        </w:rPr>
        <w:t>assertion</w:t>
      </w:r>
      <w:r w:rsidR="0422FAD0" w:rsidRPr="30E754EA">
        <w:rPr>
          <w:sz w:val="24"/>
          <w:szCs w:val="24"/>
        </w:rPr>
        <w:t xml:space="preserve"> </w:t>
      </w:r>
      <w:r w:rsidRPr="30E754EA">
        <w:rPr>
          <w:sz w:val="24"/>
          <w:szCs w:val="24"/>
        </w:rPr>
        <w:t xml:space="preserve">that the new loads will result in “downward pressure” on rates, </w:t>
      </w:r>
      <w:r w:rsidR="2451600A" w:rsidRPr="30E754EA">
        <w:rPr>
          <w:sz w:val="24"/>
          <w:szCs w:val="24"/>
        </w:rPr>
        <w:t xml:space="preserve">lacks context and </w:t>
      </w:r>
      <w:r w:rsidR="00071755">
        <w:rPr>
          <w:sz w:val="24"/>
          <w:szCs w:val="24"/>
        </w:rPr>
        <w:t>may</w:t>
      </w:r>
      <w:r w:rsidR="2451600A" w:rsidRPr="30E754EA">
        <w:rPr>
          <w:sz w:val="24"/>
          <w:szCs w:val="24"/>
        </w:rPr>
        <w:t xml:space="preserve"> not apply to </w:t>
      </w:r>
      <w:r w:rsidR="00B7604F">
        <w:rPr>
          <w:sz w:val="24"/>
          <w:szCs w:val="24"/>
        </w:rPr>
        <w:t xml:space="preserve">all </w:t>
      </w:r>
      <w:r w:rsidR="2451600A" w:rsidRPr="30E754EA">
        <w:rPr>
          <w:sz w:val="24"/>
          <w:szCs w:val="24"/>
        </w:rPr>
        <w:t>customers</w:t>
      </w:r>
      <w:r w:rsidRPr="30E754EA">
        <w:rPr>
          <w:sz w:val="24"/>
          <w:szCs w:val="24"/>
        </w:rPr>
        <w:t xml:space="preserve">. </w:t>
      </w:r>
      <w:r w:rsidR="4F1E3DEB" w:rsidRPr="30E754EA">
        <w:rPr>
          <w:sz w:val="24"/>
          <w:szCs w:val="24"/>
        </w:rPr>
        <w:t>The testimony of Newsome</w:t>
      </w:r>
      <w:r w:rsidR="00203D02">
        <w:rPr>
          <w:sz w:val="24"/>
          <w:szCs w:val="24"/>
        </w:rPr>
        <w:t>,</w:t>
      </w:r>
      <w:r w:rsidR="4F1E3DEB" w:rsidRPr="30E754EA">
        <w:rPr>
          <w:sz w:val="24"/>
          <w:szCs w:val="24"/>
        </w:rPr>
        <w:t xml:space="preserve"> Hayet and Wellborn discuss</w:t>
      </w:r>
      <w:r w:rsidR="000208AA">
        <w:rPr>
          <w:sz w:val="24"/>
          <w:szCs w:val="24"/>
        </w:rPr>
        <w:t>es</w:t>
      </w:r>
      <w:r w:rsidR="4F1E3DEB" w:rsidRPr="30E754EA">
        <w:rPr>
          <w:sz w:val="24"/>
          <w:szCs w:val="24"/>
        </w:rPr>
        <w:t xml:space="preserve"> this issue </w:t>
      </w:r>
      <w:r w:rsidR="004A458E">
        <w:rPr>
          <w:sz w:val="24"/>
          <w:szCs w:val="24"/>
        </w:rPr>
        <w:t>of rate impact</w:t>
      </w:r>
      <w:r w:rsidR="4F1E3DEB" w:rsidRPr="30E754EA">
        <w:rPr>
          <w:sz w:val="24"/>
          <w:szCs w:val="24"/>
        </w:rPr>
        <w:t xml:space="preserve">. </w:t>
      </w:r>
      <w:r w:rsidRPr="30E754EA">
        <w:rPr>
          <w:sz w:val="24"/>
          <w:szCs w:val="24"/>
        </w:rPr>
        <w:t xml:space="preserve">The </w:t>
      </w:r>
      <w:r w:rsidR="000208AA">
        <w:rPr>
          <w:sz w:val="24"/>
          <w:szCs w:val="24"/>
        </w:rPr>
        <w:t>Company’s</w:t>
      </w:r>
      <w:r w:rsidR="004A458E">
        <w:rPr>
          <w:sz w:val="24"/>
          <w:szCs w:val="24"/>
        </w:rPr>
        <w:t xml:space="preserve"> economic</w:t>
      </w:r>
      <w:r w:rsidR="000208AA">
        <w:rPr>
          <w:sz w:val="24"/>
          <w:szCs w:val="24"/>
        </w:rPr>
        <w:t xml:space="preserve"> </w:t>
      </w:r>
      <w:r w:rsidRPr="30E754EA">
        <w:rPr>
          <w:sz w:val="24"/>
          <w:szCs w:val="24"/>
        </w:rPr>
        <w:t xml:space="preserve">analysis is not sufficient </w:t>
      </w:r>
      <w:r w:rsidR="006E7C42" w:rsidRPr="30E754EA">
        <w:rPr>
          <w:sz w:val="24"/>
          <w:szCs w:val="24"/>
        </w:rPr>
        <w:t>because</w:t>
      </w:r>
      <w:r w:rsidR="25711786" w:rsidRPr="30E754EA">
        <w:rPr>
          <w:sz w:val="24"/>
          <w:szCs w:val="24"/>
        </w:rPr>
        <w:t xml:space="preserve"> the</w:t>
      </w:r>
      <w:r w:rsidRPr="30E754EA">
        <w:rPr>
          <w:sz w:val="24"/>
          <w:szCs w:val="24"/>
        </w:rPr>
        <w:t xml:space="preserve"> </w:t>
      </w:r>
      <w:r w:rsidR="383C7DC2" w:rsidRPr="30E754EA">
        <w:rPr>
          <w:sz w:val="24"/>
          <w:szCs w:val="24"/>
        </w:rPr>
        <w:t>impact on rate</w:t>
      </w:r>
      <w:r w:rsidR="102F5826" w:rsidRPr="30E754EA">
        <w:rPr>
          <w:sz w:val="24"/>
          <w:szCs w:val="24"/>
        </w:rPr>
        <w:t>s</w:t>
      </w:r>
      <w:r w:rsidR="383C7DC2" w:rsidRPr="30E754EA">
        <w:rPr>
          <w:sz w:val="24"/>
          <w:szCs w:val="24"/>
        </w:rPr>
        <w:t xml:space="preserve"> and bills for </w:t>
      </w:r>
      <w:r w:rsidR="004A458E">
        <w:rPr>
          <w:sz w:val="24"/>
          <w:szCs w:val="24"/>
        </w:rPr>
        <w:t xml:space="preserve">each </w:t>
      </w:r>
      <w:r w:rsidR="383C7DC2" w:rsidRPr="30E754EA">
        <w:rPr>
          <w:sz w:val="24"/>
          <w:szCs w:val="24"/>
        </w:rPr>
        <w:t>customer</w:t>
      </w:r>
      <w:r w:rsidR="4E161709" w:rsidRPr="30E754EA">
        <w:rPr>
          <w:sz w:val="24"/>
          <w:szCs w:val="24"/>
        </w:rPr>
        <w:t xml:space="preserve"> class</w:t>
      </w:r>
      <w:r w:rsidR="383C7DC2" w:rsidRPr="30E754EA">
        <w:rPr>
          <w:sz w:val="24"/>
          <w:szCs w:val="24"/>
        </w:rPr>
        <w:t xml:space="preserve"> was </w:t>
      </w:r>
      <w:r w:rsidR="2B33FDB7" w:rsidRPr="30E754EA">
        <w:rPr>
          <w:sz w:val="24"/>
          <w:szCs w:val="24"/>
        </w:rPr>
        <w:t>not</w:t>
      </w:r>
      <w:r w:rsidR="383C7DC2" w:rsidRPr="30E754EA">
        <w:rPr>
          <w:sz w:val="24"/>
          <w:szCs w:val="24"/>
        </w:rPr>
        <w:t xml:space="preserve"> provide</w:t>
      </w:r>
      <w:r w:rsidR="5A6CF887" w:rsidRPr="30E754EA">
        <w:rPr>
          <w:sz w:val="24"/>
          <w:szCs w:val="24"/>
        </w:rPr>
        <w:t>d</w:t>
      </w:r>
      <w:r w:rsidRPr="30E754EA">
        <w:rPr>
          <w:sz w:val="24"/>
          <w:szCs w:val="24"/>
        </w:rPr>
        <w:t>.</w:t>
      </w:r>
    </w:p>
    <w:p w14:paraId="619F4C14" w14:textId="3B4E7AE1" w:rsidR="00DF61B1" w:rsidRPr="009A5B42" w:rsidRDefault="00DF61B1" w:rsidP="00967AD0">
      <w:pPr>
        <w:pStyle w:val="ListParagraph"/>
        <w:numPr>
          <w:ilvl w:val="0"/>
          <w:numId w:val="3"/>
        </w:numPr>
        <w:spacing w:line="480" w:lineRule="auto"/>
        <w:jc w:val="both"/>
        <w:rPr>
          <w:sz w:val="24"/>
          <w:szCs w:val="24"/>
        </w:rPr>
      </w:pPr>
      <w:r>
        <w:rPr>
          <w:sz w:val="24"/>
          <w:szCs w:val="24"/>
        </w:rPr>
        <w:lastRenderedPageBreak/>
        <w:t>We prepared an alternative forecast using uniform probabilities in the load realization assumption</w:t>
      </w:r>
      <w:r w:rsidR="00B7604F">
        <w:rPr>
          <w:rStyle w:val="FootnoteReference"/>
          <w:sz w:val="24"/>
          <w:szCs w:val="24"/>
        </w:rPr>
        <w:footnoteReference w:id="4"/>
      </w:r>
      <w:r>
        <w:rPr>
          <w:sz w:val="24"/>
          <w:szCs w:val="24"/>
        </w:rPr>
        <w:t xml:space="preserve"> and by extending the assumed length of potential project delays </w:t>
      </w:r>
      <w:r w:rsidR="00071755">
        <w:rPr>
          <w:sz w:val="24"/>
          <w:szCs w:val="24"/>
        </w:rPr>
        <w:t xml:space="preserve">for Datacenters </w:t>
      </w:r>
      <w:r>
        <w:rPr>
          <w:sz w:val="24"/>
          <w:szCs w:val="24"/>
        </w:rPr>
        <w:t xml:space="preserve">from a </w:t>
      </w:r>
      <w:r w:rsidR="00725FBA" w:rsidRPr="006F0063">
        <w:rPr>
          <w:sz w:val="24"/>
          <w:szCs w:val="24"/>
          <w:highlight w:val="black"/>
          <w:shd w:val="clear" w:color="auto" w:fill="FFFFFF" w:themeFill="background1"/>
        </w:rPr>
        <w:t>**********</w:t>
      </w:r>
      <w:r>
        <w:rPr>
          <w:sz w:val="24"/>
          <w:szCs w:val="24"/>
        </w:rPr>
        <w:t xml:space="preserve"> approach to a </w:t>
      </w:r>
      <w:r w:rsidR="00725FBA" w:rsidRPr="006F0063">
        <w:rPr>
          <w:sz w:val="24"/>
          <w:szCs w:val="24"/>
          <w:highlight w:val="black"/>
        </w:rPr>
        <w:t>************</w:t>
      </w:r>
      <w:r>
        <w:rPr>
          <w:sz w:val="24"/>
          <w:szCs w:val="24"/>
        </w:rPr>
        <w:t xml:space="preserve"> distribution.  These changes </w:t>
      </w:r>
      <w:r w:rsidR="004A458E">
        <w:rPr>
          <w:sz w:val="24"/>
          <w:szCs w:val="24"/>
        </w:rPr>
        <w:t xml:space="preserve">are reasonable and </w:t>
      </w:r>
      <w:r>
        <w:rPr>
          <w:sz w:val="24"/>
          <w:szCs w:val="24"/>
        </w:rPr>
        <w:t xml:space="preserve">lower the forecasted peak demand in the </w:t>
      </w:r>
      <w:r w:rsidR="00B7604F">
        <w:rPr>
          <w:sz w:val="24"/>
          <w:szCs w:val="24"/>
        </w:rPr>
        <w:t xml:space="preserve">winter of </w:t>
      </w:r>
      <w:r>
        <w:rPr>
          <w:sz w:val="24"/>
          <w:szCs w:val="24"/>
        </w:rPr>
        <w:t xml:space="preserve">2028/2029 </w:t>
      </w:r>
      <w:r w:rsidR="00C452E9">
        <w:rPr>
          <w:sz w:val="24"/>
          <w:szCs w:val="24"/>
        </w:rPr>
        <w:t xml:space="preserve">and throughout the forecast period </w:t>
      </w:r>
      <w:r>
        <w:rPr>
          <w:sz w:val="24"/>
          <w:szCs w:val="24"/>
        </w:rPr>
        <w:t>by</w:t>
      </w:r>
      <w:r w:rsidR="00C452E9">
        <w:rPr>
          <w:sz w:val="24"/>
          <w:szCs w:val="24"/>
        </w:rPr>
        <w:t xml:space="preserve"> nearly</w:t>
      </w:r>
      <w:r>
        <w:rPr>
          <w:sz w:val="24"/>
          <w:szCs w:val="24"/>
        </w:rPr>
        <w:t xml:space="preserve"> 1,</w:t>
      </w:r>
      <w:r w:rsidR="00C452E9">
        <w:rPr>
          <w:sz w:val="24"/>
          <w:szCs w:val="24"/>
        </w:rPr>
        <w:t>500</w:t>
      </w:r>
      <w:r>
        <w:rPr>
          <w:sz w:val="24"/>
          <w:szCs w:val="24"/>
        </w:rPr>
        <w:t xml:space="preserve"> MW</w:t>
      </w:r>
      <w:r w:rsidR="00C452E9">
        <w:rPr>
          <w:sz w:val="24"/>
          <w:szCs w:val="24"/>
        </w:rPr>
        <w:t xml:space="preserve">. </w:t>
      </w:r>
      <w:r>
        <w:rPr>
          <w:sz w:val="24"/>
          <w:szCs w:val="24"/>
        </w:rPr>
        <w:t xml:space="preserve"> </w:t>
      </w:r>
    </w:p>
    <w:p w14:paraId="632C6500" w14:textId="45449DFE" w:rsidR="009A5B42" w:rsidRDefault="6673B566" w:rsidP="009A5B42">
      <w:pPr>
        <w:pStyle w:val="Question"/>
      </w:pPr>
      <w:proofErr w:type="gramStart"/>
      <w:r>
        <w:t>Q.</w:t>
      </w:r>
      <w:proofErr w:type="gramEnd"/>
      <w:r>
        <w:t xml:space="preserve"> </w:t>
      </w:r>
      <w:r w:rsidR="009A5B42">
        <w:tab/>
      </w:r>
      <w:r>
        <w:t xml:space="preserve">PLEASE PROVIDE </w:t>
      </w:r>
      <w:r w:rsidR="1CE8582F">
        <w:t>STAFF’S</w:t>
      </w:r>
      <w:r>
        <w:t xml:space="preserve"> RECOMMENDATIONS </w:t>
      </w:r>
      <w:r w:rsidR="505CE140">
        <w:t>TO</w:t>
      </w:r>
      <w:r w:rsidR="000208AA">
        <w:t xml:space="preserve"> </w:t>
      </w:r>
      <w:r>
        <w:t>THE COMMISSION</w:t>
      </w:r>
      <w:r w:rsidR="0E259CD3">
        <w:t>.</w:t>
      </w:r>
    </w:p>
    <w:p w14:paraId="2908A45B" w14:textId="77777777" w:rsidR="00C01F46" w:rsidRDefault="009A5B42" w:rsidP="00143177">
      <w:pPr>
        <w:autoSpaceDE w:val="0"/>
        <w:autoSpaceDN w:val="0"/>
        <w:adjustRightInd w:val="0"/>
        <w:spacing w:line="480" w:lineRule="auto"/>
        <w:ind w:left="720" w:hanging="720"/>
        <w:rPr>
          <w:sz w:val="24"/>
          <w:szCs w:val="24"/>
        </w:rPr>
      </w:pPr>
      <w:r w:rsidRPr="009B2362">
        <w:rPr>
          <w:sz w:val="24"/>
          <w:szCs w:val="24"/>
        </w:rPr>
        <w:t>A.</w:t>
      </w:r>
      <w:r w:rsidRPr="009B2362">
        <w:rPr>
          <w:sz w:val="24"/>
          <w:szCs w:val="24"/>
        </w:rPr>
        <w:tab/>
      </w:r>
      <w:r w:rsidR="00C01F46">
        <w:rPr>
          <w:sz w:val="24"/>
          <w:szCs w:val="24"/>
        </w:rPr>
        <w:t>Based on the conclusions of our review, Staff is making the following recommendations:</w:t>
      </w:r>
    </w:p>
    <w:p w14:paraId="5006DDDF" w14:textId="2B0F2A18" w:rsidR="00143177" w:rsidRPr="005A1275" w:rsidRDefault="000208AA" w:rsidP="004E6ED5">
      <w:pPr>
        <w:pStyle w:val="ListParagraph"/>
        <w:numPr>
          <w:ilvl w:val="0"/>
          <w:numId w:val="10"/>
        </w:numPr>
        <w:autoSpaceDE w:val="0"/>
        <w:autoSpaceDN w:val="0"/>
        <w:adjustRightInd w:val="0"/>
        <w:spacing w:line="480" w:lineRule="auto"/>
        <w:jc w:val="both"/>
        <w:rPr>
          <w:sz w:val="24"/>
          <w:szCs w:val="24"/>
        </w:rPr>
      </w:pPr>
      <w:r>
        <w:rPr>
          <w:sz w:val="24"/>
          <w:szCs w:val="24"/>
        </w:rPr>
        <w:t>Multiple modifications to the Load Realization Model</w:t>
      </w:r>
      <w:r w:rsidR="00B7604F">
        <w:rPr>
          <w:sz w:val="24"/>
          <w:szCs w:val="24"/>
        </w:rPr>
        <w:t xml:space="preserve"> (“LRM”)</w:t>
      </w:r>
      <w:r>
        <w:rPr>
          <w:sz w:val="24"/>
          <w:szCs w:val="24"/>
        </w:rPr>
        <w:t>.</w:t>
      </w:r>
      <w:r w:rsidR="00E01138">
        <w:rPr>
          <w:rStyle w:val="FootnoteReference"/>
          <w:sz w:val="24"/>
          <w:szCs w:val="24"/>
        </w:rPr>
        <w:footnoteReference w:id="5"/>
      </w:r>
      <w:r>
        <w:rPr>
          <w:sz w:val="24"/>
          <w:szCs w:val="24"/>
        </w:rPr>
        <w:t xml:space="preserve"> </w:t>
      </w:r>
      <w:r w:rsidR="00E01138">
        <w:rPr>
          <w:sz w:val="24"/>
          <w:szCs w:val="24"/>
        </w:rPr>
        <w:t xml:space="preserve">The Company’s current LRM is skewed to materialize load earlier and in greater quantity due to its assumptions. </w:t>
      </w:r>
      <w:r w:rsidR="00143177" w:rsidRPr="562B5B37">
        <w:rPr>
          <w:sz w:val="24"/>
          <w:szCs w:val="24"/>
        </w:rPr>
        <w:t xml:space="preserve">We recommend that the </w:t>
      </w:r>
      <w:r w:rsidR="00236004">
        <w:rPr>
          <w:sz w:val="24"/>
          <w:szCs w:val="24"/>
        </w:rPr>
        <w:t xml:space="preserve">Commission require </w:t>
      </w:r>
      <w:r w:rsidR="00393E5B">
        <w:rPr>
          <w:sz w:val="24"/>
          <w:szCs w:val="24"/>
        </w:rPr>
        <w:t xml:space="preserve">the </w:t>
      </w:r>
      <w:r w:rsidR="00143177" w:rsidRPr="562B5B37">
        <w:rPr>
          <w:sz w:val="24"/>
          <w:szCs w:val="24"/>
        </w:rPr>
        <w:t>Company</w:t>
      </w:r>
      <w:r w:rsidR="00393E5B">
        <w:rPr>
          <w:sz w:val="24"/>
          <w:szCs w:val="24"/>
        </w:rPr>
        <w:t xml:space="preserve"> to</w:t>
      </w:r>
      <w:r w:rsidR="00143177" w:rsidRPr="562B5B37">
        <w:rPr>
          <w:sz w:val="24"/>
          <w:szCs w:val="24"/>
        </w:rPr>
        <w:t xml:space="preserve"> modify </w:t>
      </w:r>
      <w:r w:rsidR="00393E5B">
        <w:rPr>
          <w:sz w:val="24"/>
          <w:szCs w:val="24"/>
        </w:rPr>
        <w:t>its</w:t>
      </w:r>
      <w:r w:rsidR="00393E5B" w:rsidRPr="562B5B37">
        <w:rPr>
          <w:sz w:val="24"/>
          <w:szCs w:val="24"/>
        </w:rPr>
        <w:t xml:space="preserve"> </w:t>
      </w:r>
      <w:r w:rsidR="00143177" w:rsidRPr="562B5B37">
        <w:rPr>
          <w:sz w:val="24"/>
          <w:szCs w:val="24"/>
        </w:rPr>
        <w:t>assumptions</w:t>
      </w:r>
      <w:r w:rsidR="00E01138">
        <w:rPr>
          <w:sz w:val="24"/>
          <w:szCs w:val="24"/>
        </w:rPr>
        <w:t xml:space="preserve"> in the LRM and use the results as inputs to the Peak model to produce a new forecast</w:t>
      </w:r>
      <w:r w:rsidR="00393E5B">
        <w:rPr>
          <w:sz w:val="24"/>
          <w:szCs w:val="24"/>
        </w:rPr>
        <w:t>,</w:t>
      </w:r>
      <w:r w:rsidR="00B7604F">
        <w:rPr>
          <w:sz w:val="24"/>
          <w:szCs w:val="24"/>
        </w:rPr>
        <w:t xml:space="preserve"> as Staff did</w:t>
      </w:r>
      <w:r w:rsidR="00393E5B">
        <w:rPr>
          <w:sz w:val="24"/>
          <w:szCs w:val="24"/>
        </w:rPr>
        <w:t>,</w:t>
      </w:r>
      <w:r w:rsidR="00B7604F">
        <w:rPr>
          <w:sz w:val="24"/>
          <w:szCs w:val="24"/>
        </w:rPr>
        <w:t xml:space="preserve"> in developing its forecast</w:t>
      </w:r>
      <w:r w:rsidR="00143177" w:rsidRPr="562B5B37">
        <w:rPr>
          <w:sz w:val="24"/>
          <w:szCs w:val="24"/>
        </w:rPr>
        <w:t xml:space="preserve"> in the following manner:</w:t>
      </w:r>
    </w:p>
    <w:p w14:paraId="327A97E4" w14:textId="5E6A99CD" w:rsidR="00143177" w:rsidRPr="00143177" w:rsidRDefault="00626BBA" w:rsidP="00FD3E4D">
      <w:pPr>
        <w:numPr>
          <w:ilvl w:val="1"/>
          <w:numId w:val="9"/>
        </w:numPr>
        <w:autoSpaceDE w:val="0"/>
        <w:autoSpaceDN w:val="0"/>
        <w:adjustRightInd w:val="0"/>
        <w:spacing w:line="480" w:lineRule="auto"/>
        <w:rPr>
          <w:sz w:val="24"/>
          <w:szCs w:val="24"/>
        </w:rPr>
      </w:pPr>
      <w:r w:rsidRPr="562B5B37">
        <w:rPr>
          <w:sz w:val="24"/>
          <w:szCs w:val="24"/>
        </w:rPr>
        <w:t xml:space="preserve">For the current </w:t>
      </w:r>
      <w:r w:rsidR="004A458E">
        <w:rPr>
          <w:sz w:val="24"/>
          <w:szCs w:val="24"/>
        </w:rPr>
        <w:t xml:space="preserve">LRM </w:t>
      </w:r>
      <w:r w:rsidRPr="562B5B37">
        <w:rPr>
          <w:sz w:val="24"/>
          <w:szCs w:val="24"/>
        </w:rPr>
        <w:t>analysis, the Company should u</w:t>
      </w:r>
      <w:r w:rsidR="00143177" w:rsidRPr="562B5B37">
        <w:rPr>
          <w:sz w:val="24"/>
          <w:szCs w:val="24"/>
        </w:rPr>
        <w:t>tilize uniform probabilities for all customer types</w:t>
      </w:r>
      <w:r w:rsidR="000208AA">
        <w:rPr>
          <w:sz w:val="24"/>
          <w:szCs w:val="24"/>
        </w:rPr>
        <w:t xml:space="preserve"> in its Load Realization assumptions</w:t>
      </w:r>
      <w:r w:rsidRPr="562B5B37">
        <w:rPr>
          <w:sz w:val="24"/>
          <w:szCs w:val="24"/>
        </w:rPr>
        <w:t>.</w:t>
      </w:r>
      <w:r w:rsidR="00143177" w:rsidRPr="562B5B37">
        <w:rPr>
          <w:sz w:val="24"/>
          <w:szCs w:val="24"/>
        </w:rPr>
        <w:t xml:space="preserve"> </w:t>
      </w:r>
      <w:r w:rsidRPr="562B5B37">
        <w:rPr>
          <w:sz w:val="24"/>
          <w:szCs w:val="24"/>
        </w:rPr>
        <w:t>T</w:t>
      </w:r>
      <w:r w:rsidR="00143177" w:rsidRPr="562B5B37">
        <w:rPr>
          <w:sz w:val="24"/>
          <w:szCs w:val="24"/>
        </w:rPr>
        <w:t xml:space="preserve">he Company indicated that </w:t>
      </w:r>
      <w:r w:rsidR="000208AA">
        <w:rPr>
          <w:sz w:val="24"/>
          <w:szCs w:val="24"/>
        </w:rPr>
        <w:t>it</w:t>
      </w:r>
      <w:r w:rsidR="000208AA" w:rsidRPr="562B5B37">
        <w:rPr>
          <w:sz w:val="24"/>
          <w:szCs w:val="24"/>
        </w:rPr>
        <w:t xml:space="preserve"> </w:t>
      </w:r>
      <w:r w:rsidR="00143177" w:rsidRPr="562B5B37">
        <w:rPr>
          <w:sz w:val="24"/>
          <w:szCs w:val="24"/>
        </w:rPr>
        <w:t xml:space="preserve">relied on the “informed </w:t>
      </w:r>
      <w:r w:rsidR="000208AA">
        <w:rPr>
          <w:sz w:val="24"/>
          <w:szCs w:val="24"/>
        </w:rPr>
        <w:t>judgement</w:t>
      </w:r>
      <w:r w:rsidR="00143177" w:rsidRPr="562B5B37">
        <w:rPr>
          <w:sz w:val="24"/>
          <w:szCs w:val="24"/>
        </w:rPr>
        <w:t xml:space="preserve">” of its </w:t>
      </w:r>
      <w:r w:rsidR="44CE32E4" w:rsidRPr="562B5B37">
        <w:rPr>
          <w:sz w:val="24"/>
          <w:szCs w:val="24"/>
        </w:rPr>
        <w:t xml:space="preserve">management </w:t>
      </w:r>
      <w:r w:rsidR="00143177" w:rsidRPr="562B5B37">
        <w:rPr>
          <w:sz w:val="24"/>
          <w:szCs w:val="24"/>
        </w:rPr>
        <w:t xml:space="preserve">as their rationale for the ranges </w:t>
      </w:r>
      <w:r w:rsidR="000208AA">
        <w:rPr>
          <w:sz w:val="24"/>
          <w:szCs w:val="24"/>
        </w:rPr>
        <w:t xml:space="preserve">and values </w:t>
      </w:r>
      <w:r w:rsidR="00143177" w:rsidRPr="562B5B37">
        <w:rPr>
          <w:sz w:val="24"/>
          <w:szCs w:val="24"/>
        </w:rPr>
        <w:t xml:space="preserve">utilized in the Model </w:t>
      </w:r>
      <w:r w:rsidR="000208AA">
        <w:rPr>
          <w:sz w:val="24"/>
          <w:szCs w:val="24"/>
        </w:rPr>
        <w:t xml:space="preserve">as well as for </w:t>
      </w:r>
      <w:r w:rsidR="00143177" w:rsidRPr="562B5B37">
        <w:rPr>
          <w:sz w:val="24"/>
          <w:szCs w:val="24"/>
        </w:rPr>
        <w:t xml:space="preserve">the </w:t>
      </w:r>
      <w:r w:rsidR="000208AA">
        <w:rPr>
          <w:sz w:val="24"/>
          <w:szCs w:val="24"/>
        </w:rPr>
        <w:t xml:space="preserve">higher </w:t>
      </w:r>
      <w:r w:rsidR="00143177" w:rsidRPr="562B5B37">
        <w:rPr>
          <w:sz w:val="24"/>
          <w:szCs w:val="24"/>
        </w:rPr>
        <w:t>datacenter</w:t>
      </w:r>
      <w:r w:rsidR="000208AA">
        <w:rPr>
          <w:sz w:val="24"/>
          <w:szCs w:val="24"/>
        </w:rPr>
        <w:t xml:space="preserve"> values. However, the Company</w:t>
      </w:r>
      <w:r w:rsidR="005A1275" w:rsidRPr="562B5B37">
        <w:rPr>
          <w:sz w:val="24"/>
          <w:szCs w:val="24"/>
        </w:rPr>
        <w:t xml:space="preserve"> </w:t>
      </w:r>
      <w:r w:rsidRPr="562B5B37">
        <w:rPr>
          <w:sz w:val="24"/>
          <w:szCs w:val="24"/>
        </w:rPr>
        <w:t>has not provided support for this differentiation</w:t>
      </w:r>
      <w:r w:rsidR="00143177" w:rsidRPr="562B5B37">
        <w:rPr>
          <w:sz w:val="24"/>
          <w:szCs w:val="24"/>
        </w:rPr>
        <w:t xml:space="preserve">. </w:t>
      </w:r>
      <w:r w:rsidR="000208AA">
        <w:rPr>
          <w:sz w:val="24"/>
          <w:szCs w:val="24"/>
        </w:rPr>
        <w:t xml:space="preserve">Due to a lack of empirical evidence, the Company should not make any </w:t>
      </w:r>
      <w:r w:rsidR="000208AA">
        <w:rPr>
          <w:sz w:val="24"/>
          <w:szCs w:val="24"/>
        </w:rPr>
        <w:lastRenderedPageBreak/>
        <w:t>assumptions regarding how one industry may materialize differently from another. If empirical evidence is available to support its assumptions, the Company should provide it.</w:t>
      </w:r>
    </w:p>
    <w:p w14:paraId="2421E48A" w14:textId="201EC058" w:rsidR="00143177" w:rsidRPr="00143177" w:rsidRDefault="6A6262C1" w:rsidP="00FD3E4D">
      <w:pPr>
        <w:numPr>
          <w:ilvl w:val="1"/>
          <w:numId w:val="9"/>
        </w:numPr>
        <w:autoSpaceDE w:val="0"/>
        <w:autoSpaceDN w:val="0"/>
        <w:adjustRightInd w:val="0"/>
        <w:spacing w:line="480" w:lineRule="auto"/>
        <w:rPr>
          <w:sz w:val="24"/>
          <w:szCs w:val="24"/>
        </w:rPr>
      </w:pPr>
      <w:r w:rsidRPr="6506DB8F">
        <w:rPr>
          <w:sz w:val="24"/>
          <w:szCs w:val="24"/>
        </w:rPr>
        <w:t>Modify the assumptions for “</w:t>
      </w:r>
      <w:r w:rsidR="000208AA">
        <w:rPr>
          <w:sz w:val="24"/>
          <w:szCs w:val="24"/>
        </w:rPr>
        <w:t>Ramp-Up Delays</w:t>
      </w:r>
      <w:r w:rsidRPr="6506DB8F">
        <w:rPr>
          <w:sz w:val="24"/>
          <w:szCs w:val="24"/>
        </w:rPr>
        <w:t>”</w:t>
      </w:r>
      <w:r w:rsidR="000208AA">
        <w:rPr>
          <w:sz w:val="24"/>
          <w:szCs w:val="24"/>
        </w:rPr>
        <w:t xml:space="preserve"> associated with datacenters</w:t>
      </w:r>
      <w:r w:rsidRPr="6506DB8F">
        <w:rPr>
          <w:sz w:val="24"/>
          <w:szCs w:val="24"/>
        </w:rPr>
        <w:t xml:space="preserve"> from a </w:t>
      </w:r>
      <w:r w:rsidR="000208AA">
        <w:rPr>
          <w:sz w:val="24"/>
          <w:szCs w:val="24"/>
        </w:rPr>
        <w:t xml:space="preserve">most likely </w:t>
      </w:r>
      <w:r w:rsidR="00725FBA" w:rsidRPr="006F0063">
        <w:rPr>
          <w:sz w:val="24"/>
          <w:szCs w:val="24"/>
          <w:highlight w:val="black"/>
        </w:rPr>
        <w:t>******</w:t>
      </w:r>
      <w:r w:rsidR="000208AA">
        <w:rPr>
          <w:sz w:val="24"/>
          <w:szCs w:val="24"/>
        </w:rPr>
        <w:t xml:space="preserve"> delay and </w:t>
      </w:r>
      <w:r w:rsidRPr="6506DB8F">
        <w:rPr>
          <w:sz w:val="24"/>
          <w:szCs w:val="24"/>
        </w:rPr>
        <w:t xml:space="preserve">maximum </w:t>
      </w:r>
      <w:r w:rsidR="00725FBA" w:rsidRPr="006F0063">
        <w:rPr>
          <w:sz w:val="24"/>
          <w:szCs w:val="24"/>
          <w:highlight w:val="black"/>
        </w:rPr>
        <w:t>*******</w:t>
      </w:r>
      <w:r w:rsidRPr="6506DB8F">
        <w:rPr>
          <w:sz w:val="24"/>
          <w:szCs w:val="24"/>
        </w:rPr>
        <w:t xml:space="preserve"> delay to a </w:t>
      </w:r>
      <w:r w:rsidR="000208AA">
        <w:rPr>
          <w:sz w:val="24"/>
          <w:szCs w:val="24"/>
        </w:rPr>
        <w:t xml:space="preserve">most likely </w:t>
      </w:r>
      <w:r w:rsidR="00725FBA" w:rsidRPr="006F0063">
        <w:rPr>
          <w:sz w:val="24"/>
          <w:szCs w:val="24"/>
          <w:highlight w:val="black"/>
        </w:rPr>
        <w:t>*******</w:t>
      </w:r>
      <w:r w:rsidR="006F0063" w:rsidRPr="006F0063">
        <w:rPr>
          <w:sz w:val="24"/>
          <w:szCs w:val="24"/>
          <w:highlight w:val="black"/>
        </w:rPr>
        <w:t>*</w:t>
      </w:r>
      <w:r w:rsidR="000208AA">
        <w:rPr>
          <w:sz w:val="24"/>
          <w:szCs w:val="24"/>
        </w:rPr>
        <w:t xml:space="preserve"> delay and maximum </w:t>
      </w:r>
      <w:r w:rsidR="00725FBA" w:rsidRPr="006F0063">
        <w:rPr>
          <w:sz w:val="24"/>
          <w:szCs w:val="24"/>
          <w:highlight w:val="black"/>
        </w:rPr>
        <w:t>*******</w:t>
      </w:r>
      <w:r w:rsidRPr="6506DB8F">
        <w:rPr>
          <w:sz w:val="24"/>
          <w:szCs w:val="24"/>
        </w:rPr>
        <w:t xml:space="preserve"> delay</w:t>
      </w:r>
      <w:r w:rsidR="0023BF33" w:rsidRPr="6506DB8F">
        <w:rPr>
          <w:sz w:val="24"/>
          <w:szCs w:val="24"/>
        </w:rPr>
        <w:t xml:space="preserve">. We </w:t>
      </w:r>
      <w:r w:rsidRPr="6506DB8F">
        <w:rPr>
          <w:sz w:val="24"/>
          <w:szCs w:val="24"/>
        </w:rPr>
        <w:t>base</w:t>
      </w:r>
      <w:r w:rsidR="0023BF33" w:rsidRPr="6506DB8F">
        <w:rPr>
          <w:sz w:val="24"/>
          <w:szCs w:val="24"/>
        </w:rPr>
        <w:t xml:space="preserve"> this recommendation</w:t>
      </w:r>
      <w:r w:rsidRPr="6506DB8F">
        <w:rPr>
          <w:sz w:val="24"/>
          <w:szCs w:val="24"/>
        </w:rPr>
        <w:t xml:space="preserve"> on the </w:t>
      </w:r>
      <w:r w:rsidR="451AB392" w:rsidRPr="6506DB8F">
        <w:rPr>
          <w:sz w:val="24"/>
          <w:szCs w:val="24"/>
        </w:rPr>
        <w:t xml:space="preserve">public </w:t>
      </w:r>
      <w:r w:rsidRPr="6506DB8F">
        <w:rPr>
          <w:sz w:val="24"/>
          <w:szCs w:val="24"/>
        </w:rPr>
        <w:t xml:space="preserve">information available in the market </w:t>
      </w:r>
      <w:r w:rsidR="451AB392" w:rsidRPr="6506DB8F">
        <w:rPr>
          <w:sz w:val="24"/>
          <w:szCs w:val="24"/>
        </w:rPr>
        <w:t xml:space="preserve">related </w:t>
      </w:r>
      <w:r w:rsidRPr="6506DB8F">
        <w:rPr>
          <w:sz w:val="24"/>
          <w:szCs w:val="24"/>
        </w:rPr>
        <w:t>to delays and the time it takes to complete such projects</w:t>
      </w:r>
      <w:r w:rsidR="79585865" w:rsidRPr="6506DB8F">
        <w:rPr>
          <w:sz w:val="24"/>
          <w:szCs w:val="24"/>
        </w:rPr>
        <w:t>,</w:t>
      </w:r>
      <w:r w:rsidRPr="6506DB8F">
        <w:rPr>
          <w:sz w:val="24"/>
          <w:szCs w:val="24"/>
        </w:rPr>
        <w:t xml:space="preserve"> such as each facility owner working through the potential incentives offered to the facility, potential implications of supply chain interruptions</w:t>
      </w:r>
      <w:r w:rsidR="000208AA">
        <w:rPr>
          <w:sz w:val="24"/>
          <w:szCs w:val="24"/>
        </w:rPr>
        <w:t>, political uncertainty</w:t>
      </w:r>
      <w:r w:rsidR="004A458E">
        <w:rPr>
          <w:sz w:val="24"/>
          <w:szCs w:val="24"/>
        </w:rPr>
        <w:t xml:space="preserve"> impacts</w:t>
      </w:r>
      <w:r w:rsidR="000208AA">
        <w:rPr>
          <w:sz w:val="24"/>
          <w:szCs w:val="24"/>
        </w:rPr>
        <w:t>,</w:t>
      </w:r>
      <w:r w:rsidRPr="6506DB8F">
        <w:rPr>
          <w:sz w:val="24"/>
          <w:szCs w:val="24"/>
        </w:rPr>
        <w:t xml:space="preserve"> and </w:t>
      </w:r>
      <w:r w:rsidR="2ECD3C51" w:rsidRPr="6506DB8F">
        <w:rPr>
          <w:sz w:val="24"/>
          <w:szCs w:val="24"/>
        </w:rPr>
        <w:t xml:space="preserve">construction </w:t>
      </w:r>
      <w:r w:rsidRPr="6506DB8F">
        <w:rPr>
          <w:sz w:val="24"/>
          <w:szCs w:val="24"/>
        </w:rPr>
        <w:t>delays.</w:t>
      </w:r>
    </w:p>
    <w:p w14:paraId="43494C63" w14:textId="68F0DD0D" w:rsidR="00143177" w:rsidRPr="00143177" w:rsidRDefault="00143177" w:rsidP="00FD3E4D">
      <w:pPr>
        <w:numPr>
          <w:ilvl w:val="1"/>
          <w:numId w:val="9"/>
        </w:numPr>
        <w:autoSpaceDE w:val="0"/>
        <w:autoSpaceDN w:val="0"/>
        <w:adjustRightInd w:val="0"/>
        <w:spacing w:line="480" w:lineRule="auto"/>
        <w:rPr>
          <w:sz w:val="24"/>
          <w:szCs w:val="24"/>
        </w:rPr>
      </w:pPr>
      <w:r w:rsidRPr="00143177">
        <w:rPr>
          <w:sz w:val="24"/>
          <w:szCs w:val="24"/>
        </w:rPr>
        <w:t xml:space="preserve">Increase the </w:t>
      </w:r>
      <w:r w:rsidR="00626BBA">
        <w:rPr>
          <w:sz w:val="24"/>
          <w:szCs w:val="24"/>
        </w:rPr>
        <w:t xml:space="preserve">range of </w:t>
      </w:r>
      <w:r w:rsidRPr="00143177">
        <w:rPr>
          <w:sz w:val="24"/>
          <w:szCs w:val="24"/>
        </w:rPr>
        <w:t xml:space="preserve">alternative futures considered by varying the key assumptions to produce a range of potential load additions along with </w:t>
      </w:r>
      <w:r w:rsidR="004A458E">
        <w:rPr>
          <w:sz w:val="24"/>
          <w:szCs w:val="24"/>
        </w:rPr>
        <w:t xml:space="preserve">a range of </w:t>
      </w:r>
      <w:r w:rsidRPr="00143177">
        <w:rPr>
          <w:sz w:val="24"/>
          <w:szCs w:val="24"/>
        </w:rPr>
        <w:t xml:space="preserve">timing of those additions </w:t>
      </w:r>
      <w:r w:rsidR="000208AA" w:rsidRPr="00143177">
        <w:rPr>
          <w:sz w:val="24"/>
          <w:szCs w:val="24"/>
        </w:rPr>
        <w:t>to</w:t>
      </w:r>
      <w:r w:rsidRPr="00143177">
        <w:rPr>
          <w:sz w:val="24"/>
          <w:szCs w:val="24"/>
        </w:rPr>
        <w:t xml:space="preserve"> assess risks for the Company and customers</w:t>
      </w:r>
      <w:r w:rsidR="00071755">
        <w:rPr>
          <w:sz w:val="24"/>
          <w:szCs w:val="24"/>
        </w:rPr>
        <w:t>.</w:t>
      </w:r>
    </w:p>
    <w:p w14:paraId="6E044C07" w14:textId="7B161732" w:rsidR="00143177" w:rsidRPr="00143177" w:rsidRDefault="00626BBA" w:rsidP="00FD3E4D">
      <w:pPr>
        <w:numPr>
          <w:ilvl w:val="0"/>
          <w:numId w:val="9"/>
        </w:numPr>
        <w:autoSpaceDE w:val="0"/>
        <w:autoSpaceDN w:val="0"/>
        <w:adjustRightInd w:val="0"/>
        <w:spacing w:line="480" w:lineRule="auto"/>
        <w:rPr>
          <w:sz w:val="24"/>
          <w:szCs w:val="24"/>
        </w:rPr>
      </w:pPr>
      <w:r>
        <w:rPr>
          <w:sz w:val="24"/>
          <w:szCs w:val="24"/>
        </w:rPr>
        <w:t>Staff r</w:t>
      </w:r>
      <w:r w:rsidR="00143177" w:rsidRPr="00143177">
        <w:rPr>
          <w:sz w:val="24"/>
          <w:szCs w:val="24"/>
        </w:rPr>
        <w:t>ecommend</w:t>
      </w:r>
      <w:r>
        <w:rPr>
          <w:sz w:val="24"/>
          <w:szCs w:val="24"/>
        </w:rPr>
        <w:t>s</w:t>
      </w:r>
      <w:r w:rsidR="00143177" w:rsidRPr="00143177">
        <w:rPr>
          <w:sz w:val="24"/>
          <w:szCs w:val="24"/>
        </w:rPr>
        <w:t xml:space="preserve"> that the Company focus on the next ten-year period in its load realization model analysis to demonstrate the peak demand needs of the facilities and use the same time frame for the RIM analysis </w:t>
      </w:r>
      <w:r w:rsidR="000208AA">
        <w:rPr>
          <w:sz w:val="24"/>
          <w:szCs w:val="24"/>
        </w:rPr>
        <w:t xml:space="preserve">and the Estimated Net Impact to Customers analysis </w:t>
      </w:r>
      <w:r w:rsidR="00143177" w:rsidRPr="00143177">
        <w:rPr>
          <w:sz w:val="24"/>
          <w:szCs w:val="24"/>
        </w:rPr>
        <w:t xml:space="preserve">to inform an enhanced analysis of the potential short term rate impacts of </w:t>
      </w:r>
      <w:r w:rsidR="00B7604F">
        <w:rPr>
          <w:sz w:val="24"/>
          <w:szCs w:val="24"/>
        </w:rPr>
        <w:t xml:space="preserve">the </w:t>
      </w:r>
      <w:r w:rsidR="00143177" w:rsidRPr="00143177">
        <w:rPr>
          <w:sz w:val="24"/>
          <w:szCs w:val="24"/>
        </w:rPr>
        <w:t>required investment</w:t>
      </w:r>
      <w:r w:rsidR="00B7604F">
        <w:rPr>
          <w:sz w:val="24"/>
          <w:szCs w:val="24"/>
        </w:rPr>
        <w:t xml:space="preserve"> in generation and transmission assets</w:t>
      </w:r>
      <w:r w:rsidR="00143177" w:rsidRPr="00143177">
        <w:rPr>
          <w:sz w:val="24"/>
          <w:szCs w:val="24"/>
        </w:rPr>
        <w:t>.</w:t>
      </w:r>
    </w:p>
    <w:p w14:paraId="42B0655D" w14:textId="4BAE0532" w:rsidR="00143177" w:rsidRPr="00143177" w:rsidRDefault="00626BBA" w:rsidP="00FD3E4D">
      <w:pPr>
        <w:numPr>
          <w:ilvl w:val="0"/>
          <w:numId w:val="9"/>
        </w:numPr>
        <w:autoSpaceDE w:val="0"/>
        <w:autoSpaceDN w:val="0"/>
        <w:adjustRightInd w:val="0"/>
        <w:spacing w:line="480" w:lineRule="auto"/>
        <w:rPr>
          <w:sz w:val="24"/>
          <w:szCs w:val="24"/>
        </w:rPr>
      </w:pPr>
      <w:r>
        <w:rPr>
          <w:sz w:val="24"/>
          <w:szCs w:val="24"/>
        </w:rPr>
        <w:t>Given the uncertainty regarding the materialization of large load customers, Staff r</w:t>
      </w:r>
      <w:r w:rsidR="00143177" w:rsidRPr="00143177">
        <w:rPr>
          <w:sz w:val="24"/>
          <w:szCs w:val="24"/>
        </w:rPr>
        <w:t>ecommend</w:t>
      </w:r>
      <w:r>
        <w:rPr>
          <w:sz w:val="24"/>
          <w:szCs w:val="24"/>
        </w:rPr>
        <w:t>s</w:t>
      </w:r>
      <w:r w:rsidR="00143177" w:rsidRPr="00143177">
        <w:rPr>
          <w:sz w:val="24"/>
          <w:szCs w:val="24"/>
        </w:rPr>
        <w:t xml:space="preserve"> that the Company update the Commission quarterly during this period of extraordinary load growth by documenting its interactions with potential new large loads, implications of changes since the previous update, and actions taken or actions requiring </w:t>
      </w:r>
      <w:r w:rsidR="00143177" w:rsidRPr="00143177">
        <w:rPr>
          <w:sz w:val="24"/>
          <w:szCs w:val="24"/>
        </w:rPr>
        <w:lastRenderedPageBreak/>
        <w:t>modification to address changes in need.</w:t>
      </w:r>
      <w:r>
        <w:rPr>
          <w:sz w:val="24"/>
          <w:szCs w:val="24"/>
        </w:rPr>
        <w:t xml:space="preserve"> This will provide the Commission, Staff, and stakeholders with key information relevant to the investments proposed in this IRP Update.</w:t>
      </w:r>
    </w:p>
    <w:p w14:paraId="042D771B" w14:textId="0A02398D" w:rsidR="00143177" w:rsidRPr="00143177" w:rsidRDefault="00143177" w:rsidP="00FD3E4D">
      <w:pPr>
        <w:numPr>
          <w:ilvl w:val="0"/>
          <w:numId w:val="9"/>
        </w:numPr>
        <w:autoSpaceDE w:val="0"/>
        <w:autoSpaceDN w:val="0"/>
        <w:adjustRightInd w:val="0"/>
        <w:spacing w:line="480" w:lineRule="auto"/>
        <w:rPr>
          <w:sz w:val="24"/>
          <w:szCs w:val="24"/>
        </w:rPr>
      </w:pPr>
      <w:r w:rsidRPr="6506DB8F">
        <w:rPr>
          <w:sz w:val="24"/>
          <w:szCs w:val="24"/>
        </w:rPr>
        <w:t>T</w:t>
      </w:r>
      <w:r w:rsidR="6A6262C1" w:rsidRPr="6506DB8F">
        <w:rPr>
          <w:sz w:val="24"/>
          <w:szCs w:val="24"/>
        </w:rPr>
        <w:t xml:space="preserve">o facilitate </w:t>
      </w:r>
      <w:r w:rsidR="006F7925">
        <w:rPr>
          <w:sz w:val="24"/>
          <w:szCs w:val="24"/>
        </w:rPr>
        <w:t>the r</w:t>
      </w:r>
      <w:r w:rsidR="6A6262C1" w:rsidRPr="6506DB8F">
        <w:rPr>
          <w:sz w:val="24"/>
          <w:szCs w:val="24"/>
        </w:rPr>
        <w:t xml:space="preserve">ecommendation </w:t>
      </w:r>
      <w:r w:rsidR="006F7925">
        <w:rPr>
          <w:sz w:val="24"/>
          <w:szCs w:val="24"/>
        </w:rPr>
        <w:t>in the preceding paragraph,</w:t>
      </w:r>
      <w:r w:rsidR="6A6262C1" w:rsidRPr="6506DB8F">
        <w:rPr>
          <w:sz w:val="24"/>
          <w:szCs w:val="24"/>
        </w:rPr>
        <w:t xml:space="preserve"> and to support future load forecasts of </w:t>
      </w:r>
      <w:r w:rsidR="00C07EF2">
        <w:rPr>
          <w:sz w:val="24"/>
          <w:szCs w:val="24"/>
        </w:rPr>
        <w:t>new</w:t>
      </w:r>
      <w:r w:rsidR="6A6262C1" w:rsidRPr="6506DB8F">
        <w:rPr>
          <w:sz w:val="24"/>
          <w:szCs w:val="24"/>
        </w:rPr>
        <w:t xml:space="preserve"> load, </w:t>
      </w:r>
      <w:r w:rsidR="0023BF33" w:rsidRPr="6506DB8F">
        <w:rPr>
          <w:sz w:val="24"/>
          <w:szCs w:val="24"/>
        </w:rPr>
        <w:t xml:space="preserve">Staff </w:t>
      </w:r>
      <w:r w:rsidR="6A6262C1" w:rsidRPr="6506DB8F">
        <w:rPr>
          <w:sz w:val="24"/>
          <w:szCs w:val="24"/>
        </w:rPr>
        <w:t>recommend</w:t>
      </w:r>
      <w:r w:rsidR="0023BF33" w:rsidRPr="6506DB8F">
        <w:rPr>
          <w:sz w:val="24"/>
          <w:szCs w:val="24"/>
        </w:rPr>
        <w:t>s</w:t>
      </w:r>
      <w:r w:rsidR="6A6262C1" w:rsidRPr="6506DB8F">
        <w:rPr>
          <w:sz w:val="24"/>
          <w:szCs w:val="24"/>
        </w:rPr>
        <w:t xml:space="preserve"> the Company </w:t>
      </w:r>
      <w:r w:rsidR="00C07EF2">
        <w:rPr>
          <w:sz w:val="24"/>
          <w:szCs w:val="24"/>
        </w:rPr>
        <w:t xml:space="preserve">be required to </w:t>
      </w:r>
      <w:r w:rsidR="6A6262C1" w:rsidRPr="6506DB8F">
        <w:rPr>
          <w:sz w:val="24"/>
          <w:szCs w:val="24"/>
        </w:rPr>
        <w:t>adopt a tracking system to monitor the market’s activities</w:t>
      </w:r>
      <w:r w:rsidR="004A458E">
        <w:rPr>
          <w:sz w:val="24"/>
          <w:szCs w:val="24"/>
        </w:rPr>
        <w:t xml:space="preserve"> and</w:t>
      </w:r>
      <w:r w:rsidR="6A6262C1" w:rsidRPr="6506DB8F">
        <w:rPr>
          <w:sz w:val="24"/>
          <w:szCs w:val="24"/>
        </w:rPr>
        <w:t xml:space="preserve"> track </w:t>
      </w:r>
      <w:r w:rsidR="00B378E9">
        <w:rPr>
          <w:sz w:val="24"/>
          <w:szCs w:val="24"/>
        </w:rPr>
        <w:t xml:space="preserve">the status and outcomes of </w:t>
      </w:r>
      <w:r w:rsidR="6A6262C1" w:rsidRPr="6506DB8F">
        <w:rPr>
          <w:sz w:val="24"/>
          <w:szCs w:val="24"/>
        </w:rPr>
        <w:t>potential project</w:t>
      </w:r>
      <w:r w:rsidR="00B378E9">
        <w:rPr>
          <w:sz w:val="24"/>
          <w:szCs w:val="24"/>
        </w:rPr>
        <w:t xml:space="preserve">s. </w:t>
      </w:r>
      <w:r w:rsidR="6A6262C1" w:rsidRPr="6506DB8F">
        <w:rPr>
          <w:sz w:val="24"/>
          <w:szCs w:val="24"/>
        </w:rPr>
        <w:t xml:space="preserve">This tracking system will benefit the Company’s modeling of </w:t>
      </w:r>
      <w:r w:rsidR="003B7E06">
        <w:rPr>
          <w:sz w:val="24"/>
          <w:szCs w:val="24"/>
        </w:rPr>
        <w:t>new potential</w:t>
      </w:r>
      <w:r w:rsidR="003B7E06" w:rsidRPr="6506DB8F">
        <w:rPr>
          <w:sz w:val="24"/>
          <w:szCs w:val="24"/>
        </w:rPr>
        <w:t xml:space="preserve"> </w:t>
      </w:r>
      <w:r w:rsidR="6A6262C1" w:rsidRPr="6506DB8F">
        <w:rPr>
          <w:sz w:val="24"/>
          <w:szCs w:val="24"/>
        </w:rPr>
        <w:t xml:space="preserve">loads by providing trends, insights into decision making processes utilized by the </w:t>
      </w:r>
      <w:proofErr w:type="gramStart"/>
      <w:r w:rsidR="004B746D">
        <w:rPr>
          <w:sz w:val="24"/>
          <w:szCs w:val="24"/>
        </w:rPr>
        <w:t>new large</w:t>
      </w:r>
      <w:proofErr w:type="gramEnd"/>
      <w:r w:rsidR="004B746D" w:rsidRPr="6506DB8F">
        <w:rPr>
          <w:sz w:val="24"/>
          <w:szCs w:val="24"/>
        </w:rPr>
        <w:t xml:space="preserve"> </w:t>
      </w:r>
      <w:r w:rsidR="6A6262C1" w:rsidRPr="6506DB8F">
        <w:rPr>
          <w:sz w:val="24"/>
          <w:szCs w:val="24"/>
        </w:rPr>
        <w:t xml:space="preserve">loads relative to the </w:t>
      </w:r>
      <w:r w:rsidR="004B746D">
        <w:rPr>
          <w:sz w:val="24"/>
          <w:szCs w:val="24"/>
        </w:rPr>
        <w:t>planned</w:t>
      </w:r>
      <w:r w:rsidR="004B746D" w:rsidRPr="6506DB8F">
        <w:rPr>
          <w:sz w:val="24"/>
          <w:szCs w:val="24"/>
        </w:rPr>
        <w:t xml:space="preserve"> </w:t>
      </w:r>
      <w:r w:rsidR="6A6262C1" w:rsidRPr="6506DB8F">
        <w:rPr>
          <w:sz w:val="24"/>
          <w:szCs w:val="24"/>
        </w:rPr>
        <w:t xml:space="preserve">project in </w:t>
      </w:r>
      <w:r w:rsidR="0023BF33" w:rsidRPr="6506DB8F">
        <w:rPr>
          <w:sz w:val="24"/>
          <w:szCs w:val="24"/>
        </w:rPr>
        <w:t>Georgia</w:t>
      </w:r>
      <w:r w:rsidR="6A6262C1" w:rsidRPr="6506DB8F">
        <w:rPr>
          <w:sz w:val="24"/>
          <w:szCs w:val="24"/>
        </w:rPr>
        <w:t xml:space="preserve">, and support reporting both internally and to the Commission on activities in the market and those taken by the Company to address the new loads. </w:t>
      </w:r>
      <w:r w:rsidR="0023BF33" w:rsidRPr="6506DB8F">
        <w:rPr>
          <w:sz w:val="24"/>
          <w:szCs w:val="24"/>
        </w:rPr>
        <w:t>The data collected in this tracking system will provide the foundation for the assumptions the Company may use in the LRM</w:t>
      </w:r>
      <w:r w:rsidR="7CE99F50" w:rsidRPr="6506DB8F">
        <w:rPr>
          <w:sz w:val="24"/>
          <w:szCs w:val="24"/>
        </w:rPr>
        <w:t xml:space="preserve"> </w:t>
      </w:r>
      <w:r w:rsidR="0023BF33" w:rsidRPr="6506DB8F">
        <w:rPr>
          <w:sz w:val="24"/>
          <w:szCs w:val="24"/>
        </w:rPr>
        <w:t>in future analyses.</w:t>
      </w:r>
      <w:r w:rsidR="6A6262C1" w:rsidRPr="6506DB8F">
        <w:rPr>
          <w:sz w:val="24"/>
          <w:szCs w:val="24"/>
        </w:rPr>
        <w:t xml:space="preserve"> We offer a template for the Company to build from to address this recommendation in our testimony.</w:t>
      </w:r>
    </w:p>
    <w:p w14:paraId="5F3F03E0" w14:textId="726D8AA4" w:rsidR="00143177" w:rsidRPr="00143177" w:rsidRDefault="00626BBA" w:rsidP="00FD3E4D">
      <w:pPr>
        <w:numPr>
          <w:ilvl w:val="0"/>
          <w:numId w:val="9"/>
        </w:numPr>
        <w:autoSpaceDE w:val="0"/>
        <w:autoSpaceDN w:val="0"/>
        <w:adjustRightInd w:val="0"/>
        <w:spacing w:line="480" w:lineRule="auto"/>
        <w:rPr>
          <w:sz w:val="24"/>
          <w:szCs w:val="24"/>
        </w:rPr>
      </w:pPr>
      <w:r>
        <w:rPr>
          <w:sz w:val="24"/>
          <w:szCs w:val="24"/>
        </w:rPr>
        <w:t>Staff r</w:t>
      </w:r>
      <w:r w:rsidR="00143177" w:rsidRPr="00143177">
        <w:rPr>
          <w:sz w:val="24"/>
          <w:szCs w:val="24"/>
        </w:rPr>
        <w:t>ecommend</w:t>
      </w:r>
      <w:r>
        <w:rPr>
          <w:sz w:val="24"/>
          <w:szCs w:val="24"/>
        </w:rPr>
        <w:t>s</w:t>
      </w:r>
      <w:r w:rsidR="00143177" w:rsidRPr="00143177">
        <w:rPr>
          <w:sz w:val="24"/>
          <w:szCs w:val="24"/>
        </w:rPr>
        <w:t xml:space="preserve"> that the Company enhance the information provided in its load forecast filings submitted to the Commission as part of the regular and updated IRP submittals to include more detailed underlying assumptions</w:t>
      </w:r>
      <w:r w:rsidR="004A458E">
        <w:rPr>
          <w:sz w:val="24"/>
          <w:szCs w:val="24"/>
        </w:rPr>
        <w:t xml:space="preserve"> and interactions</w:t>
      </w:r>
      <w:r w:rsidR="00143177" w:rsidRPr="00143177">
        <w:rPr>
          <w:sz w:val="24"/>
          <w:szCs w:val="24"/>
        </w:rPr>
        <w:t xml:space="preserve"> that can facilitate Staff and Commission understanding of</w:t>
      </w:r>
      <w:r w:rsidR="00E02883">
        <w:rPr>
          <w:sz w:val="24"/>
          <w:szCs w:val="24"/>
        </w:rPr>
        <w:t>,</w:t>
      </w:r>
      <w:r w:rsidR="00143177" w:rsidRPr="00143177">
        <w:rPr>
          <w:sz w:val="24"/>
          <w:szCs w:val="24"/>
        </w:rPr>
        <w:t xml:space="preserve"> and insights into</w:t>
      </w:r>
      <w:r w:rsidR="00E02883">
        <w:rPr>
          <w:sz w:val="24"/>
          <w:szCs w:val="24"/>
        </w:rPr>
        <w:t>,</w:t>
      </w:r>
      <w:r w:rsidR="00143177" w:rsidRPr="00143177">
        <w:rPr>
          <w:sz w:val="24"/>
          <w:szCs w:val="24"/>
        </w:rPr>
        <w:t xml:space="preserve"> the drivers of energy and peak demand needs.  </w:t>
      </w:r>
    </w:p>
    <w:p w14:paraId="7F4EC0DF" w14:textId="10A73DB9" w:rsidR="00EC70B0" w:rsidRDefault="00143177" w:rsidP="00E01138">
      <w:pPr>
        <w:numPr>
          <w:ilvl w:val="1"/>
          <w:numId w:val="9"/>
        </w:numPr>
        <w:autoSpaceDE w:val="0"/>
        <w:autoSpaceDN w:val="0"/>
        <w:adjustRightInd w:val="0"/>
        <w:spacing w:line="480" w:lineRule="auto"/>
      </w:pPr>
      <w:r w:rsidRPr="00143177">
        <w:rPr>
          <w:sz w:val="24"/>
          <w:szCs w:val="24"/>
        </w:rPr>
        <w:t xml:space="preserve">The information provided in the 2023 </w:t>
      </w:r>
      <w:r w:rsidR="00E02883">
        <w:rPr>
          <w:sz w:val="24"/>
          <w:szCs w:val="24"/>
        </w:rPr>
        <w:t xml:space="preserve">IRP </w:t>
      </w:r>
      <w:r w:rsidRPr="00143177">
        <w:rPr>
          <w:sz w:val="24"/>
          <w:szCs w:val="24"/>
        </w:rPr>
        <w:t xml:space="preserve">Update requires Staff and its Consultants to acquire the </w:t>
      </w:r>
      <w:r w:rsidR="00E01138">
        <w:rPr>
          <w:sz w:val="24"/>
          <w:szCs w:val="24"/>
        </w:rPr>
        <w:t>software</w:t>
      </w:r>
      <w:r w:rsidR="00E01138" w:rsidRPr="00143177">
        <w:rPr>
          <w:sz w:val="24"/>
          <w:szCs w:val="24"/>
        </w:rPr>
        <w:t xml:space="preserve"> </w:t>
      </w:r>
      <w:r w:rsidRPr="00143177">
        <w:rPr>
          <w:sz w:val="24"/>
          <w:szCs w:val="24"/>
        </w:rPr>
        <w:t xml:space="preserve">used by the Company </w:t>
      </w:r>
      <w:r w:rsidR="000208AA" w:rsidRPr="00143177">
        <w:rPr>
          <w:sz w:val="24"/>
          <w:szCs w:val="24"/>
        </w:rPr>
        <w:t>to</w:t>
      </w:r>
      <w:r w:rsidRPr="00143177">
        <w:rPr>
          <w:sz w:val="24"/>
          <w:szCs w:val="24"/>
        </w:rPr>
        <w:t xml:space="preserve"> effectively analyze the Company’s plan</w:t>
      </w:r>
      <w:r w:rsidR="00E01138" w:rsidRPr="00143177">
        <w:rPr>
          <w:sz w:val="24"/>
          <w:szCs w:val="24"/>
        </w:rPr>
        <w:t xml:space="preserve">. </w:t>
      </w:r>
      <w:r w:rsidRPr="00143177">
        <w:rPr>
          <w:sz w:val="24"/>
          <w:szCs w:val="24"/>
        </w:rPr>
        <w:t>The Company provided modeling information in technical sessions but without the actual tools</w:t>
      </w:r>
      <w:r w:rsidR="00E01138">
        <w:rPr>
          <w:sz w:val="24"/>
          <w:szCs w:val="24"/>
        </w:rPr>
        <w:t>,</w:t>
      </w:r>
      <w:r w:rsidRPr="00143177">
        <w:rPr>
          <w:sz w:val="24"/>
          <w:szCs w:val="24"/>
        </w:rPr>
        <w:t xml:space="preserve"> Staff and Consultants cannot adequately see behind the “curtain” of sophisticated and intertwined modeling assumptions and equations to understand how technology enhancements, economic changes, and efficiency </w:t>
      </w:r>
      <w:r w:rsidRPr="00143177">
        <w:rPr>
          <w:sz w:val="24"/>
          <w:szCs w:val="24"/>
        </w:rPr>
        <w:lastRenderedPageBreak/>
        <w:t xml:space="preserve">improvements impact energy consumption to produce a transparent review with which to advise the Commission.  </w:t>
      </w:r>
      <w:r w:rsidRPr="00E01138">
        <w:rPr>
          <w:sz w:val="24"/>
          <w:szCs w:val="24"/>
        </w:rPr>
        <w:t xml:space="preserve">We offer specific modifications in this testimony </w:t>
      </w:r>
      <w:r w:rsidR="00E01138">
        <w:rPr>
          <w:sz w:val="24"/>
          <w:szCs w:val="24"/>
        </w:rPr>
        <w:t xml:space="preserve">regarding how the Company should modify its standard filing procedures. We </w:t>
      </w:r>
      <w:r w:rsidR="00E159D9" w:rsidRPr="00E01138">
        <w:rPr>
          <w:sz w:val="24"/>
          <w:szCs w:val="24"/>
        </w:rPr>
        <w:t xml:space="preserve">request the Commission </w:t>
      </w:r>
      <w:r w:rsidR="002B57D3" w:rsidRPr="00E01138">
        <w:rPr>
          <w:sz w:val="24"/>
          <w:szCs w:val="24"/>
        </w:rPr>
        <w:t xml:space="preserve">require </w:t>
      </w:r>
      <w:r w:rsidR="00AE4AEA" w:rsidRPr="00E01138">
        <w:rPr>
          <w:sz w:val="24"/>
          <w:szCs w:val="24"/>
        </w:rPr>
        <w:t>Georgia Power</w:t>
      </w:r>
      <w:r w:rsidRPr="00E01138">
        <w:rPr>
          <w:sz w:val="24"/>
          <w:szCs w:val="24"/>
        </w:rPr>
        <w:t xml:space="preserve"> to </w:t>
      </w:r>
      <w:r w:rsidR="002B57D3" w:rsidRPr="00E01138">
        <w:rPr>
          <w:sz w:val="24"/>
          <w:szCs w:val="24"/>
        </w:rPr>
        <w:t xml:space="preserve">provide </w:t>
      </w:r>
      <w:r w:rsidRPr="00E01138">
        <w:rPr>
          <w:sz w:val="24"/>
          <w:szCs w:val="24"/>
        </w:rPr>
        <w:t>additional transparency enhancements for the next IRP filing. This recommendation is for both the “organic” forecast and the new “load realization model” developed to address the recent growth in large customer facilities.</w:t>
      </w:r>
      <w:r w:rsidR="00E01138">
        <w:rPr>
          <w:sz w:val="24"/>
          <w:szCs w:val="24"/>
        </w:rPr>
        <w:t xml:space="preserve"> </w:t>
      </w:r>
    </w:p>
    <w:p w14:paraId="68CF81EC" w14:textId="5280A38A" w:rsidR="007E2DF8" w:rsidRDefault="007E2DF8" w:rsidP="007E2DF8">
      <w:pPr>
        <w:pStyle w:val="Heading1"/>
      </w:pPr>
      <w:bookmarkStart w:id="3" w:name="_Toc158797845"/>
      <w:r>
        <w:t>III.</w:t>
      </w:r>
      <w:r>
        <w:tab/>
        <w:t>Rules and Regulations of the State of Georgia</w:t>
      </w:r>
      <w:bookmarkEnd w:id="3"/>
    </w:p>
    <w:p w14:paraId="0012B94A" w14:textId="77777777" w:rsidR="004A458E" w:rsidRDefault="004A458E" w:rsidP="004A458E">
      <w:pPr>
        <w:pStyle w:val="Question"/>
      </w:pPr>
      <w:r>
        <w:t>Q.</w:t>
      </w:r>
      <w:r>
        <w:tab/>
        <w:t>what is the role of the load forecast in the context of aN irp?</w:t>
      </w:r>
    </w:p>
    <w:p w14:paraId="695AF3F8" w14:textId="77777777" w:rsidR="004A458E" w:rsidRPr="00C01F46" w:rsidRDefault="004A458E" w:rsidP="004A458E">
      <w:pPr>
        <w:pStyle w:val="Answers"/>
      </w:pPr>
      <w:r>
        <w:t>A.</w:t>
      </w:r>
      <w:r>
        <w:tab/>
        <w:t xml:space="preserve">Load forecasts are intended to project the energy (MWhs) and peak demand (MW) of customers over time so that the utility can assess its ability to serve those needs during the forecast period.  It is standard practice in the industry to look at a range of potential futures, or forecasts, informed by different economic, technological, and policy assumptions. This allows the utility, </w:t>
      </w:r>
      <w:proofErr w:type="gramStart"/>
      <w:r>
        <w:t>Staff</w:t>
      </w:r>
      <w:proofErr w:type="gramEnd"/>
      <w:r>
        <w:t xml:space="preserve"> and the Commission, to assess the potential implications on need, risks, and costs and to monitor the market after the forecast is complete to identify changes that affect its planning.  The Company identified a significant change from 2021-2022 resulting in the 2023 IRP Update with the acceleration of the expected large load projects.</w:t>
      </w:r>
      <w:r>
        <w:rPr>
          <w:rStyle w:val="FootnoteReference"/>
        </w:rPr>
        <w:footnoteReference w:id="6"/>
      </w:r>
    </w:p>
    <w:p w14:paraId="7BB83C48" w14:textId="77777777" w:rsidR="007E2DF8" w:rsidRDefault="007E2DF8" w:rsidP="007E2DF8">
      <w:pPr>
        <w:pStyle w:val="Question"/>
      </w:pPr>
      <w:r>
        <w:lastRenderedPageBreak/>
        <w:t>Q.</w:t>
      </w:r>
      <w:r>
        <w:tab/>
        <w:t xml:space="preserve">Are there any regulations regarding Energy and demand forecasting? </w:t>
      </w:r>
    </w:p>
    <w:p w14:paraId="65ED9888" w14:textId="77777777" w:rsidR="007E2DF8" w:rsidRDefault="007E2DF8" w:rsidP="007E2DF8">
      <w:pPr>
        <w:pStyle w:val="Answers"/>
      </w:pPr>
      <w:r>
        <w:t>A.</w:t>
      </w:r>
      <w:r>
        <w:tab/>
        <w:t xml:space="preserve">Yes. Under Rule 515-3-4-.03 of the Rules and Regulations of the State of Georgia, there are specific requirements for energy and demand forecasting. </w:t>
      </w:r>
    </w:p>
    <w:p w14:paraId="67017557" w14:textId="34C93CFA" w:rsidR="007E2DF8" w:rsidRDefault="007E2DF8" w:rsidP="007E2DF8">
      <w:pPr>
        <w:pStyle w:val="Question"/>
      </w:pPr>
      <w:r>
        <w:t>Q.</w:t>
      </w:r>
      <w:r>
        <w:tab/>
        <w:t>Has the company met the requirements established in rule 515-3-4-.03</w:t>
      </w:r>
      <w:r w:rsidR="000208AA">
        <w:t>?</w:t>
      </w:r>
      <w:r>
        <w:rPr>
          <w:rStyle w:val="FootnoteReference"/>
        </w:rPr>
        <w:footnoteReference w:id="7"/>
      </w:r>
    </w:p>
    <w:p w14:paraId="3DFF85F0" w14:textId="343CAEF4" w:rsidR="007E2DF8" w:rsidRDefault="007E2DF8" w:rsidP="007E2DF8">
      <w:pPr>
        <w:pStyle w:val="Answers"/>
      </w:pPr>
      <w:r>
        <w:t>A.</w:t>
      </w:r>
      <w:r>
        <w:tab/>
      </w:r>
      <w:r w:rsidR="00B7604F">
        <w:t xml:space="preserve">No. </w:t>
      </w:r>
      <w:r>
        <w:t xml:space="preserve">Specifically relating to the new Large Load Forecast, the Load Realization Model fails to meet several requirements established under these rules. While this model cannot rely on historical data, </w:t>
      </w:r>
      <w:r w:rsidR="000208AA">
        <w:t xml:space="preserve">and </w:t>
      </w:r>
      <w:r>
        <w:t xml:space="preserve">due to the </w:t>
      </w:r>
      <w:r w:rsidR="0021465F">
        <w:t>unprecedented scale of this growth</w:t>
      </w:r>
      <w:r w:rsidR="000208AA">
        <w:t>,</w:t>
      </w:r>
      <w:r>
        <w:t xml:space="preserve"> some of the requirements do not apply to the model</w:t>
      </w:r>
      <w:r w:rsidR="000208AA">
        <w:t>,</w:t>
      </w:r>
      <w:r>
        <w:rPr>
          <w:rStyle w:val="FootnoteReference"/>
        </w:rPr>
        <w:footnoteReference w:id="8"/>
      </w:r>
      <w:r>
        <w:t xml:space="preserve"> the model can and should incorporate the following requirements:</w:t>
      </w:r>
    </w:p>
    <w:p w14:paraId="18D3D906" w14:textId="26EF2E24" w:rsidR="00071755" w:rsidRDefault="4E6D9806" w:rsidP="007E2DF8">
      <w:pPr>
        <w:pStyle w:val="Answers"/>
        <w:numPr>
          <w:ilvl w:val="0"/>
          <w:numId w:val="4"/>
        </w:numPr>
      </w:pPr>
      <w:r>
        <w:t>515-3-4-.03(</w:t>
      </w:r>
      <w:proofErr w:type="gramStart"/>
      <w:r>
        <w:t>4)(</w:t>
      </w:r>
      <w:proofErr w:type="gramEnd"/>
      <w:r>
        <w:t>a &amp; b): “The energy forecast shall include an analysis of the sensitivity of results to the major assumptions…</w:t>
      </w:r>
      <w:r w:rsidR="000208AA">
        <w:t xml:space="preserve">[and] </w:t>
      </w:r>
      <w:r>
        <w:t xml:space="preserve">must include three levels of expected growth based on alternative assumptions…” The Company has only provided a single case of the Load Realization Model in its filing, which is assumed to be its “base case.” Under this rule, the base case should “incorporate all assumptions that are likely to occur…” The Company has not demonstrated that its assumptions are “likely to occur” nor has it provided the requisite “high growth </w:t>
      </w:r>
      <w:r>
        <w:lastRenderedPageBreak/>
        <w:t xml:space="preserve">scenario” and “low growth scenario” that are required under this rule. </w:t>
      </w:r>
      <w:r w:rsidR="000208AA">
        <w:t xml:space="preserve">Given </w:t>
      </w:r>
      <w:r>
        <w:t xml:space="preserve">the sensitivity of the </w:t>
      </w:r>
      <w:r w:rsidR="000208AA">
        <w:t xml:space="preserve">LRM </w:t>
      </w:r>
      <w:r>
        <w:t>to individual model assumptions, and the fact that these loads have no historical precedent for their nature and size, the Company should have provided at least three plausible scenarios for evaluation</w:t>
      </w:r>
      <w:r w:rsidR="000208AA">
        <w:t>. These alternate future scenarios should be developed</w:t>
      </w:r>
      <w:r>
        <w:t xml:space="preserve"> </w:t>
      </w:r>
      <w:r w:rsidR="00D42C01">
        <w:t>to</w:t>
      </w:r>
      <w:r w:rsidR="008F35D5">
        <w:t>:</w:t>
      </w:r>
      <w:r w:rsidR="00D42C01">
        <w:t xml:space="preserve"> </w:t>
      </w:r>
    </w:p>
    <w:p w14:paraId="1ED03EBA" w14:textId="77777777" w:rsidR="00071755" w:rsidRDefault="00D42C01" w:rsidP="00071755">
      <w:pPr>
        <w:pStyle w:val="Answers"/>
        <w:numPr>
          <w:ilvl w:val="1"/>
          <w:numId w:val="4"/>
        </w:numPr>
      </w:pPr>
      <w:r>
        <w:t xml:space="preserve">1) comply with the Rules and Regulations of the </w:t>
      </w:r>
      <w:r w:rsidR="00A256F7">
        <w:t>s</w:t>
      </w:r>
      <w:r>
        <w:t xml:space="preserve">tate of Georgia, </w:t>
      </w:r>
    </w:p>
    <w:p w14:paraId="35997C9D" w14:textId="74E835DD" w:rsidR="00071755" w:rsidRDefault="00D42C01" w:rsidP="00071755">
      <w:pPr>
        <w:pStyle w:val="Answers"/>
        <w:numPr>
          <w:ilvl w:val="1"/>
          <w:numId w:val="4"/>
        </w:numPr>
      </w:pPr>
      <w:r>
        <w:t>2) provide the Company</w:t>
      </w:r>
      <w:r w:rsidR="00B7604F">
        <w:t>, Staff</w:t>
      </w:r>
      <w:r w:rsidR="00071755">
        <w:t>,</w:t>
      </w:r>
      <w:r w:rsidR="00B7604F">
        <w:t xml:space="preserve"> and the Commission</w:t>
      </w:r>
      <w:r>
        <w:t xml:space="preserve"> with a set of alternative futures to </w:t>
      </w:r>
      <w:r w:rsidR="00C452E9">
        <w:t xml:space="preserve">understand the risks of faster or slower realization of these </w:t>
      </w:r>
      <w:proofErr w:type="gramStart"/>
      <w:r w:rsidR="00C452E9">
        <w:t xml:space="preserve">new </w:t>
      </w:r>
      <w:r w:rsidR="004A458E">
        <w:t>large</w:t>
      </w:r>
      <w:proofErr w:type="gramEnd"/>
      <w:r w:rsidR="004A458E">
        <w:t xml:space="preserve"> </w:t>
      </w:r>
      <w:r w:rsidR="00C452E9">
        <w:t xml:space="preserve">loads and </w:t>
      </w:r>
      <w:r>
        <w:t xml:space="preserve">support its capacity planning, and </w:t>
      </w:r>
    </w:p>
    <w:p w14:paraId="0EC22148" w14:textId="5DE50263" w:rsidR="007E2DF8" w:rsidRPr="0098490C" w:rsidRDefault="00D42C01" w:rsidP="00071755">
      <w:pPr>
        <w:pStyle w:val="Answers"/>
        <w:numPr>
          <w:ilvl w:val="1"/>
          <w:numId w:val="4"/>
        </w:numPr>
      </w:pPr>
      <w:r>
        <w:t xml:space="preserve">3) provide the Commission with </w:t>
      </w:r>
      <w:r w:rsidR="00C452E9">
        <w:t xml:space="preserve">appropriate </w:t>
      </w:r>
      <w:r>
        <w:t>context for the potential variability of load forecasts.</w:t>
      </w:r>
    </w:p>
    <w:p w14:paraId="48837982" w14:textId="1A2353D1" w:rsidR="007E2DF8" w:rsidRDefault="007E2DF8" w:rsidP="007E2DF8">
      <w:pPr>
        <w:pStyle w:val="Answers"/>
        <w:numPr>
          <w:ilvl w:val="0"/>
          <w:numId w:val="4"/>
        </w:numPr>
      </w:pPr>
      <w:r>
        <w:t>515-3-4-.03(</w:t>
      </w:r>
      <w:proofErr w:type="gramStart"/>
      <w:r>
        <w:t>3)(</w:t>
      </w:r>
      <w:proofErr w:type="gramEnd"/>
      <w:r>
        <w:t>b &amp; c): “Each utility…forecast shall include detailed descriptions of the source of all determinants…Where reliable data are not available, estimates should be used and justified.” According to the Company, the source of several of the key assumptions in the Load Realization Model is the “informed judgement” of the Company.</w:t>
      </w:r>
      <w:r>
        <w:rPr>
          <w:rStyle w:val="FootnoteReference"/>
        </w:rPr>
        <w:footnoteReference w:id="9"/>
      </w:r>
      <w:r>
        <w:t xml:space="preserve"> The Company has not provided research </w:t>
      </w:r>
      <w:r w:rsidR="000208AA">
        <w:t xml:space="preserve">or empirical evidence </w:t>
      </w:r>
      <w:r>
        <w:t xml:space="preserve">regarding the development delays associated with any industry segment nor any evidence that their materialization assumptions are representative of similar projects in the past. As such, the Company has not included detailed descriptions of the source of the determinants (assumptions) of this model, nor has it provided sufficient justification for its estimates. </w:t>
      </w:r>
    </w:p>
    <w:p w14:paraId="76D94C76" w14:textId="149C9F3D" w:rsidR="007E2DF8" w:rsidRDefault="007E2DF8" w:rsidP="007E2DF8">
      <w:pPr>
        <w:pStyle w:val="Answers"/>
        <w:numPr>
          <w:ilvl w:val="0"/>
          <w:numId w:val="4"/>
        </w:numPr>
      </w:pPr>
      <w:r>
        <w:lastRenderedPageBreak/>
        <w:t>515-3-4-.03(2)(c)-5: “[The Forecast shall include the impact of…] Self generation and cogeneration by existing and future customers.” Many of these customers have the capability to invest in col</w:t>
      </w:r>
      <w:r w:rsidR="00E01138">
        <w:t>l</w:t>
      </w:r>
      <w:r>
        <w:t>ocated battery storage or other capacity resources that may mitigate their contribution to peak loads. Th</w:t>
      </w:r>
      <w:r w:rsidR="000848D3">
        <w:t xml:space="preserve">e Company did </w:t>
      </w:r>
      <w:r>
        <w:t>not consider how these customers might address their total requested load</w:t>
      </w:r>
      <w:r w:rsidR="002A48B3">
        <w:t xml:space="preserve"> needs</w:t>
      </w:r>
      <w:r>
        <w:t xml:space="preserve"> in this manner.</w:t>
      </w:r>
    </w:p>
    <w:p w14:paraId="09573BB6" w14:textId="55FE22D0" w:rsidR="007E2DF8" w:rsidRDefault="007E2DF8" w:rsidP="007E2DF8">
      <w:pPr>
        <w:pStyle w:val="Answers"/>
      </w:pPr>
      <w:r>
        <w:tab/>
        <w:t xml:space="preserve">We offer a more detailed analysis of the LRM and make recommendations for modifications to the projections and future analysis </w:t>
      </w:r>
      <w:r w:rsidR="00374882">
        <w:t>through the course of this testimony.</w:t>
      </w:r>
    </w:p>
    <w:p w14:paraId="729A7DDF" w14:textId="724F981C" w:rsidR="007E2DF8" w:rsidRDefault="7B393A15" w:rsidP="007E2DF8">
      <w:pPr>
        <w:pStyle w:val="Question"/>
      </w:pPr>
      <w:r>
        <w:t>Q.</w:t>
      </w:r>
      <w:r w:rsidR="007E2DF8">
        <w:tab/>
      </w:r>
      <w:r>
        <w:t xml:space="preserve">ARE THERE OTher ways in which the 2023 IRP Update has not met the </w:t>
      </w:r>
      <w:r w:rsidR="1BB62EE9">
        <w:t xml:space="preserve">CURRENT COMMISSION </w:t>
      </w:r>
      <w:r>
        <w:t>rules and regulations?</w:t>
      </w:r>
    </w:p>
    <w:p w14:paraId="43E996F4" w14:textId="4A5BA9C2" w:rsidR="00374882" w:rsidRDefault="7B393A15" w:rsidP="007E2DF8">
      <w:pPr>
        <w:pStyle w:val="Answers"/>
      </w:pPr>
      <w:r>
        <w:t>A.</w:t>
      </w:r>
      <w:r w:rsidR="007E2DF8">
        <w:tab/>
      </w:r>
      <w:r>
        <w:t>Though the Company has been relying on the same tools for some time in its organic forecast methodology and the Commission is likely quite familiar with the approach</w:t>
      </w:r>
      <w:r w:rsidR="002A1178">
        <w:t>,</w:t>
      </w:r>
      <w:r w:rsidR="00D94B90">
        <w:t xml:space="preserve"> </w:t>
      </w:r>
      <w:r w:rsidR="00E01138">
        <w:t>Commission rules</w:t>
      </w:r>
      <w:r>
        <w:t xml:space="preserve"> require the following</w:t>
      </w:r>
      <w:r w:rsidR="00071755">
        <w:t>:</w:t>
      </w:r>
      <w:r w:rsidR="000208AA">
        <w:rPr>
          <w:rStyle w:val="FootnoteReference"/>
        </w:rPr>
        <w:footnoteReference w:id="10"/>
      </w:r>
      <w:r w:rsidR="007E2DF8">
        <w:tab/>
      </w:r>
    </w:p>
    <w:p w14:paraId="2BDBBC2A" w14:textId="2E7114A8" w:rsidR="007E2DF8" w:rsidRDefault="00374882" w:rsidP="00374882">
      <w:pPr>
        <w:pStyle w:val="Answers"/>
        <w:numPr>
          <w:ilvl w:val="0"/>
          <w:numId w:val="11"/>
        </w:numPr>
      </w:pPr>
      <w:r>
        <w:t xml:space="preserve">515-3-4-.03(3)(c) </w:t>
      </w:r>
      <w:r w:rsidRPr="00374882">
        <w:t>Data Requirements</w:t>
      </w:r>
      <w:r>
        <w:t>:</w:t>
      </w:r>
      <w:r w:rsidRPr="00374882">
        <w:t xml:space="preserve"> Utility energy and demand forecasts shall be based on the best available data. Where reliable data </w:t>
      </w:r>
      <w:proofErr w:type="gramStart"/>
      <w:r w:rsidRPr="00374882">
        <w:t>are</w:t>
      </w:r>
      <w:proofErr w:type="gramEnd"/>
      <w:r w:rsidRPr="00374882">
        <w:t xml:space="preserve"> not available, estimates should be used and justified. Each utility shall develop a </w:t>
      </w:r>
      <w:r w:rsidR="00E01138" w:rsidRPr="00374882">
        <w:t>database</w:t>
      </w:r>
      <w:r w:rsidRPr="00374882">
        <w:t xml:space="preserve"> of electricity consumption patterns by customer class and by end-use where applicable (e.g., classes for which end-use data have been collected within the most recent five years). When using end-use forecasting methodologies, each utility shall submit the most current data available on end-use appliance penetration and saturation rates and end-use electricity consumption patterns. </w:t>
      </w:r>
      <w:r w:rsidRPr="00374882">
        <w:lastRenderedPageBreak/>
        <w:t>Each forecast shall include a detailed description of data used in making the forecast, an identification of the sources of such data, and a detailed explanation of specific techniques employed for gathering, organizing, adjusting, or interpreting the data</w:t>
      </w:r>
      <w:r w:rsidR="00F90D97">
        <w:t>, and</w:t>
      </w:r>
    </w:p>
    <w:p w14:paraId="0B773AEA" w14:textId="33115DC7" w:rsidR="007E2DF8" w:rsidRPr="005A1275" w:rsidRDefault="60251269" w:rsidP="005A1275">
      <w:pPr>
        <w:pStyle w:val="Answers"/>
        <w:numPr>
          <w:ilvl w:val="0"/>
          <w:numId w:val="11"/>
        </w:numPr>
      </w:pPr>
      <w:r>
        <w:t>515-3-4-.03(3)(d) Econometric Forecasting Methods</w:t>
      </w:r>
      <w:r w:rsidR="5A5C1C48">
        <w:t>:</w:t>
      </w:r>
      <w:r>
        <w:t xml:space="preserve"> Where statistical or econometric methods are used in developing forecast inputs or in the forecasting process, analyses of the reasonableness of such methods and models shall be presented, including computer outputs with parameter estimates…</w:t>
      </w:r>
    </w:p>
    <w:p w14:paraId="3E917F57" w14:textId="77777777" w:rsidR="007E2DF8" w:rsidRDefault="007E2DF8" w:rsidP="007E2DF8">
      <w:pPr>
        <w:pStyle w:val="Answers"/>
      </w:pPr>
    </w:p>
    <w:p w14:paraId="4BA60210" w14:textId="77777777" w:rsidR="003F52A9" w:rsidRDefault="007E2DF8" w:rsidP="003F52A9">
      <w:pPr>
        <w:pStyle w:val="Answers"/>
      </w:pPr>
      <w:r>
        <w:tab/>
      </w:r>
      <w:r>
        <w:tab/>
      </w:r>
      <w:r w:rsidR="00374882">
        <w:t>The tools used to produce each portion of the Company’s load forecast, except for the long</w:t>
      </w:r>
      <w:r w:rsidR="00292C9F">
        <w:t>-</w:t>
      </w:r>
      <w:r w:rsidR="00374882">
        <w:t>term load model, are proprietary</w:t>
      </w:r>
      <w:r w:rsidR="00071755">
        <w:rPr>
          <w:rStyle w:val="FootnoteReference"/>
        </w:rPr>
        <w:footnoteReference w:id="11"/>
      </w:r>
      <w:r w:rsidR="00374882">
        <w:t>.</w:t>
      </w:r>
      <w:r>
        <w:t xml:space="preserve"> </w:t>
      </w:r>
      <w:r w:rsidR="00374882">
        <w:t>W</w:t>
      </w:r>
      <w:r>
        <w:t>ithout access to the</w:t>
      </w:r>
      <w:r w:rsidR="00374882">
        <w:t>se</w:t>
      </w:r>
      <w:r>
        <w:t xml:space="preserve"> too</w:t>
      </w:r>
      <w:r w:rsidR="00374882">
        <w:t>ls</w:t>
      </w:r>
      <w:r>
        <w:t xml:space="preserve">, </w:t>
      </w:r>
      <w:r w:rsidR="00374882">
        <w:t>it is</w:t>
      </w:r>
      <w:r>
        <w:t xml:space="preserve"> difficult to understand the drivers of load growth without additional information </w:t>
      </w:r>
      <w:r w:rsidR="002A48B3">
        <w:t xml:space="preserve">and analyses </w:t>
      </w:r>
      <w:r>
        <w:t xml:space="preserve">provided by the Company.   As required in </w:t>
      </w:r>
      <w:r w:rsidR="00374882">
        <w:t>the rules</w:t>
      </w:r>
      <w:r>
        <w:t xml:space="preserve"> above, we would expect additional transparency </w:t>
      </w:r>
      <w:r w:rsidR="00374882">
        <w:t xml:space="preserve">regarding </w:t>
      </w:r>
      <w:r>
        <w:t xml:space="preserve">key forecast drivers </w:t>
      </w:r>
      <w:r w:rsidR="000208AA">
        <w:t xml:space="preserve">and model results </w:t>
      </w:r>
      <w:r>
        <w:t xml:space="preserve">to facilitate the Commission and Staff review </w:t>
      </w:r>
      <w:r w:rsidR="00B7604F">
        <w:t xml:space="preserve">and understanding </w:t>
      </w:r>
      <w:r>
        <w:t>of the projections.</w:t>
      </w:r>
      <w:r w:rsidR="00374882">
        <w:t xml:space="preserve"> Detailed recommendations are provided through the course of this testimony. </w:t>
      </w:r>
    </w:p>
    <w:p w14:paraId="17091728" w14:textId="1A550B7A" w:rsidR="007E2DF8" w:rsidRPr="00C01F46" w:rsidRDefault="007E2DF8" w:rsidP="007E2DF8">
      <w:pPr>
        <w:pStyle w:val="Question"/>
      </w:pPr>
      <w:r>
        <w:t>Q.</w:t>
      </w:r>
      <w:r>
        <w:tab/>
      </w:r>
      <w:r w:rsidRPr="00C01F46">
        <w:t>What are your recommendations for addressing the concerns highlighted here?</w:t>
      </w:r>
    </w:p>
    <w:p w14:paraId="52CA2848" w14:textId="185ED406" w:rsidR="007E2DF8" w:rsidRDefault="007E2DF8" w:rsidP="007E2DF8">
      <w:pPr>
        <w:pStyle w:val="Answers"/>
      </w:pPr>
      <w:r>
        <w:t>A.</w:t>
      </w:r>
      <w:r>
        <w:tab/>
      </w:r>
      <w:r w:rsidR="00374882">
        <w:t xml:space="preserve">The Company should provide further documentation that provides the results of any analyses or models </w:t>
      </w:r>
      <w:r>
        <w:t xml:space="preserve">to increase transparency of the results and underlying forecast drivers </w:t>
      </w:r>
      <w:r>
        <w:lastRenderedPageBreak/>
        <w:t xml:space="preserve">as well as to enable Commission review and understanding as changes occur in the market.  We make </w:t>
      </w:r>
      <w:r w:rsidR="000208AA">
        <w:t xml:space="preserve">specific </w:t>
      </w:r>
      <w:r>
        <w:t xml:space="preserve">recommendations in Section VI of this testimony </w:t>
      </w:r>
      <w:r w:rsidR="00374882">
        <w:t>regarding</w:t>
      </w:r>
      <w:r>
        <w:t xml:space="preserve"> </w:t>
      </w:r>
      <w:r w:rsidR="00374882">
        <w:t xml:space="preserve">the implementation of further </w:t>
      </w:r>
      <w:r>
        <w:t>scenarios.  With respect to the issue of greater transparency to facilitate review of forecast drivers and changes from year to year we make recommendations in Section VII of this testimony.</w:t>
      </w:r>
    </w:p>
    <w:p w14:paraId="4D0C1423" w14:textId="77777777" w:rsidR="004A458E" w:rsidRPr="0006703F" w:rsidRDefault="004A458E" w:rsidP="003F52A9">
      <w:pPr>
        <w:pStyle w:val="Question"/>
      </w:pPr>
    </w:p>
    <w:p w14:paraId="23B3D2CA" w14:textId="72EAC5A0" w:rsidR="00EC70B0" w:rsidRDefault="00A0622E" w:rsidP="00695014">
      <w:pPr>
        <w:pStyle w:val="Heading1"/>
      </w:pPr>
      <w:bookmarkStart w:id="4" w:name="_Toc158797846"/>
      <w:r>
        <w:t>I</w:t>
      </w:r>
      <w:r w:rsidR="007E2DF8">
        <w:t>V</w:t>
      </w:r>
      <w:r w:rsidR="00385349">
        <w:t>.</w:t>
      </w:r>
      <w:r w:rsidR="00385349">
        <w:tab/>
      </w:r>
      <w:r w:rsidR="00D71862">
        <w:t xml:space="preserve">Company’s </w:t>
      </w:r>
      <w:r w:rsidR="00EC70B0">
        <w:t>Load Forecast</w:t>
      </w:r>
      <w:r w:rsidR="00346ADA">
        <w:t xml:space="preserve"> </w:t>
      </w:r>
      <w:r w:rsidR="00B24E0E">
        <w:t>Update</w:t>
      </w:r>
      <w:bookmarkEnd w:id="4"/>
    </w:p>
    <w:p w14:paraId="55A6B39D" w14:textId="28467B11" w:rsidR="009A4039" w:rsidRPr="009A4039" w:rsidRDefault="009A4039" w:rsidP="009A4039">
      <w:pPr>
        <w:pStyle w:val="Question"/>
      </w:pPr>
      <w:proofErr w:type="gramStart"/>
      <w:r>
        <w:t>Q.</w:t>
      </w:r>
      <w:proofErr w:type="gramEnd"/>
      <w:r>
        <w:tab/>
        <w:t xml:space="preserve">Please describe the overall </w:t>
      </w:r>
      <w:r w:rsidR="007B7BE3">
        <w:t>load</w:t>
      </w:r>
      <w:r>
        <w:t xml:space="preserve"> forecast </w:t>
      </w:r>
      <w:r w:rsidR="0030684A">
        <w:t xml:space="preserve">Methodology </w:t>
      </w:r>
      <w:r w:rsidR="008B552C">
        <w:t xml:space="preserve">employed </w:t>
      </w:r>
      <w:r>
        <w:t>by georgia power company</w:t>
      </w:r>
      <w:r w:rsidR="00695014">
        <w:t>.</w:t>
      </w:r>
    </w:p>
    <w:p w14:paraId="1AE82EEF" w14:textId="6A5A0149" w:rsidR="00CC31F9" w:rsidRDefault="7745745B" w:rsidP="00626BBA">
      <w:pPr>
        <w:pStyle w:val="Answers"/>
      </w:pPr>
      <w:r>
        <w:t>A.</w:t>
      </w:r>
      <w:r w:rsidR="009A4039">
        <w:tab/>
      </w:r>
      <w:r w:rsidR="23ACE0B3">
        <w:t xml:space="preserve">The Company’s load forecast consists of two core pieces: the </w:t>
      </w:r>
      <w:r w:rsidR="25EC3C6A">
        <w:t xml:space="preserve">baseline, or </w:t>
      </w:r>
      <w:r w:rsidR="1124850A">
        <w:t>“</w:t>
      </w:r>
      <w:r w:rsidR="23ACE0B3">
        <w:t>organic</w:t>
      </w:r>
      <w:r w:rsidR="25EC3C6A">
        <w:t>,</w:t>
      </w:r>
      <w:r w:rsidR="1124850A">
        <w:t>”</w:t>
      </w:r>
      <w:r w:rsidR="23ACE0B3">
        <w:t xml:space="preserve"> load forecast and the large load forecast. The organic load forecast is a deterministic model </w:t>
      </w:r>
      <w:r w:rsidR="1124850A">
        <w:t>used to estimate the growth of the residential, commercial, industrial sectors</w:t>
      </w:r>
      <w:r w:rsidR="2A692717">
        <w:t>, and MARTA</w:t>
      </w:r>
      <w:r w:rsidR="1124850A">
        <w:t>.</w:t>
      </w:r>
      <w:r w:rsidR="0D80D474">
        <w:t xml:space="preserve"> </w:t>
      </w:r>
      <w:r w:rsidR="00FF5665">
        <w:t>It</w:t>
      </w:r>
      <w:r w:rsidR="00071755">
        <w:t xml:space="preserve"> i</w:t>
      </w:r>
      <w:r w:rsidR="00FF5665">
        <w:t xml:space="preserve">s notable that Georgia Power </w:t>
      </w:r>
      <w:r w:rsidR="002F2D1B">
        <w:t>recorded</w:t>
      </w:r>
      <w:r w:rsidR="00FF5665">
        <w:t xml:space="preserve"> </w:t>
      </w:r>
      <w:r w:rsidR="000E4E48">
        <w:t>large load customer growth wins as early as 2021 that</w:t>
      </w:r>
      <w:r w:rsidR="00E22906">
        <w:t>, in MW terms,</w:t>
      </w:r>
      <w:r w:rsidR="000E4E48">
        <w:t xml:space="preserve"> were three times the magnitude of wins in 2017-2020. </w:t>
      </w:r>
      <w:r w:rsidR="00295842">
        <w:t>In</w:t>
      </w:r>
      <w:r w:rsidR="00163B8B">
        <w:t xml:space="preserve"> calendar year</w:t>
      </w:r>
      <w:r w:rsidR="00295842">
        <w:t xml:space="preserve"> </w:t>
      </w:r>
      <w:r w:rsidR="0D80D474">
        <w:t xml:space="preserve">2022, the Company </w:t>
      </w:r>
      <w:r w:rsidR="00E01138">
        <w:t>recorded</w:t>
      </w:r>
      <w:r w:rsidR="00D038BA">
        <w:t xml:space="preserve"> even more dramatic</w:t>
      </w:r>
      <w:r w:rsidR="0D80D474">
        <w:t xml:space="preserve"> growth of large loads seeking to </w:t>
      </w:r>
      <w:r w:rsidR="002A48B3">
        <w:t xml:space="preserve">locate </w:t>
      </w:r>
      <w:r w:rsidR="0D80D474">
        <w:t>their projects in Georgia</w:t>
      </w:r>
      <w:r w:rsidR="00C904EA">
        <w:rPr>
          <w:rStyle w:val="FootnoteReference"/>
        </w:rPr>
        <w:footnoteReference w:id="12"/>
      </w:r>
      <w:r w:rsidR="00D42C01">
        <w:t>.</w:t>
      </w:r>
      <w:r w:rsidR="0D80D474">
        <w:t xml:space="preserve"> </w:t>
      </w:r>
      <w:r w:rsidR="00D42C01">
        <w:t xml:space="preserve">As a result of this large-load growth, the Company </w:t>
      </w:r>
      <w:r w:rsidR="0D80D474">
        <w:t xml:space="preserve">separated </w:t>
      </w:r>
      <w:r w:rsidR="00D42C01">
        <w:lastRenderedPageBreak/>
        <w:t xml:space="preserve">its large-load </w:t>
      </w:r>
      <w:r w:rsidR="0D80D474">
        <w:t xml:space="preserve">forecast from </w:t>
      </w:r>
      <w:r w:rsidR="00D42C01">
        <w:t xml:space="preserve">its </w:t>
      </w:r>
      <w:r w:rsidR="0D80D474">
        <w:t>organic growth</w:t>
      </w:r>
      <w:r w:rsidR="3E8DD001">
        <w:t xml:space="preserve"> forecast</w:t>
      </w:r>
      <w:r w:rsidR="00D42C01">
        <w:t>.</w:t>
      </w:r>
      <w:r w:rsidR="0D80D474">
        <w:t xml:space="preserve"> </w:t>
      </w:r>
      <w:r w:rsidR="00D42C01">
        <w:t>T</w:t>
      </w:r>
      <w:r w:rsidR="0D80D474">
        <w:t xml:space="preserve">he Company indicates </w:t>
      </w:r>
      <w:r w:rsidR="00D42C01">
        <w:t xml:space="preserve">that the organic growth model employs </w:t>
      </w:r>
      <w:r w:rsidR="0D80D474">
        <w:t xml:space="preserve">historical data </w:t>
      </w:r>
      <w:r w:rsidR="00E01138">
        <w:t>in deterministic</w:t>
      </w:r>
      <w:r w:rsidR="0D80D474">
        <w:t xml:space="preserve"> models</w:t>
      </w:r>
      <w:r w:rsidR="00D42C01">
        <w:t xml:space="preserve"> to forecast future energy and peak demand</w:t>
      </w:r>
      <w:r w:rsidR="0D80D474">
        <w:t xml:space="preserve">. </w:t>
      </w:r>
      <w:r w:rsidR="1124850A">
        <w:t xml:space="preserve"> T</w:t>
      </w:r>
      <w:r w:rsidR="23ACE0B3">
        <w:t>he large load forecast is a probabilistic model</w:t>
      </w:r>
      <w:r w:rsidR="1124850A">
        <w:t xml:space="preserve"> which specifically estimates the growth of large commercial and industrial loads based on individual project data</w:t>
      </w:r>
      <w:r w:rsidR="0D80D474">
        <w:t>.</w:t>
      </w:r>
      <w:r w:rsidR="1124850A">
        <w:t xml:space="preserve"> </w:t>
      </w:r>
    </w:p>
    <w:p w14:paraId="7132B0B2" w14:textId="5A7346AB" w:rsidR="009A4039" w:rsidRDefault="00CC31F9" w:rsidP="008B552C">
      <w:pPr>
        <w:pStyle w:val="Answers"/>
      </w:pPr>
      <w:r>
        <w:tab/>
      </w:r>
      <w:r>
        <w:tab/>
        <w:t>The organic load forecast uses a set of linear regression models to estimate usage per customer and the total number of customers in each customer class</w:t>
      </w:r>
      <w:r w:rsidR="0030684A">
        <w:t xml:space="preserve"> on</w:t>
      </w:r>
      <w:r w:rsidR="00143177">
        <w:t xml:space="preserve"> a</w:t>
      </w:r>
      <w:r w:rsidR="0030684A">
        <w:t xml:space="preserve"> short-term basis using a regression software called </w:t>
      </w:r>
      <w:proofErr w:type="spellStart"/>
      <w:r w:rsidR="0030684A">
        <w:t>eViews</w:t>
      </w:r>
      <w:proofErr w:type="spellEnd"/>
      <w:r>
        <w:t>.</w:t>
      </w:r>
      <w:r w:rsidR="0030684A">
        <w:rPr>
          <w:rStyle w:val="FootnoteReference"/>
        </w:rPr>
        <w:footnoteReference w:id="13"/>
      </w:r>
      <w:r>
        <w:t xml:space="preserve"> Using these variables, the Company estimate</w:t>
      </w:r>
      <w:r w:rsidR="00143177">
        <w:t>s</w:t>
      </w:r>
      <w:r>
        <w:t xml:space="preserve"> total load in each year</w:t>
      </w:r>
      <w:r w:rsidR="00DD0709">
        <w:t xml:space="preserve"> on an energy basis</w:t>
      </w:r>
      <w:r w:rsidR="0030684A">
        <w:t xml:space="preserve"> for each class</w:t>
      </w:r>
      <w:r w:rsidR="00DD0709">
        <w:t>. Th</w:t>
      </w:r>
      <w:r w:rsidR="0030684A">
        <w:t>e</w:t>
      </w:r>
      <w:r w:rsidR="00DD0709">
        <w:t>s</w:t>
      </w:r>
      <w:r w:rsidR="0030684A">
        <w:t>e</w:t>
      </w:r>
      <w:r w:rsidR="00DD0709">
        <w:t xml:space="preserve"> model </w:t>
      </w:r>
      <w:r w:rsidR="0030684A">
        <w:t>results are</w:t>
      </w:r>
      <w:r w:rsidR="00DD0709">
        <w:t xml:space="preserve"> </w:t>
      </w:r>
      <w:r w:rsidR="00143177">
        <w:t>inputs</w:t>
      </w:r>
      <w:r w:rsidR="00DD0709">
        <w:t xml:space="preserve"> into a </w:t>
      </w:r>
      <w:r w:rsidR="0030684A">
        <w:t xml:space="preserve">long-term model called </w:t>
      </w:r>
      <w:proofErr w:type="spellStart"/>
      <w:r w:rsidR="0030684A">
        <w:t>LoadMAP</w:t>
      </w:r>
      <w:proofErr w:type="spellEnd"/>
      <w:r w:rsidR="00143177">
        <w:rPr>
          <w:rStyle w:val="FootnoteReference"/>
        </w:rPr>
        <w:footnoteReference w:id="14"/>
      </w:r>
      <w:r w:rsidR="0030684A">
        <w:t xml:space="preserve"> which accounts for technology lifespans and replacement rates, </w:t>
      </w:r>
      <w:r w:rsidR="00374882">
        <w:t xml:space="preserve">costs associated with technology replacement, </w:t>
      </w:r>
      <w:r w:rsidR="0030684A">
        <w:t xml:space="preserve">market saturation rates for given load sources, technology costs, and many more variables that </w:t>
      </w:r>
      <w:r w:rsidR="002A48B3">
        <w:t xml:space="preserve">are expected to </w:t>
      </w:r>
      <w:r w:rsidR="0030684A">
        <w:t>impact long-term</w:t>
      </w:r>
      <w:r w:rsidR="00143177">
        <w:t xml:space="preserve"> energy consumption</w:t>
      </w:r>
      <w:r w:rsidR="0030684A">
        <w:t>.</w:t>
      </w:r>
      <w:r w:rsidR="00BD2DA9">
        <w:rPr>
          <w:rStyle w:val="FootnoteReference"/>
        </w:rPr>
        <w:footnoteReference w:id="15"/>
      </w:r>
      <w:r w:rsidR="0030684A">
        <w:t xml:space="preserve"> </w:t>
      </w:r>
    </w:p>
    <w:p w14:paraId="15C9BD8F" w14:textId="7747EDE8" w:rsidR="008B552C" w:rsidRDefault="00CC31F9" w:rsidP="00626BBA">
      <w:pPr>
        <w:pStyle w:val="Answers"/>
      </w:pPr>
      <w:r>
        <w:tab/>
      </w:r>
      <w:r>
        <w:tab/>
      </w:r>
      <w:r>
        <w:tab/>
        <w:t>The large load forecast</w:t>
      </w:r>
      <w:r w:rsidR="008B552C">
        <w:t xml:space="preserve"> is produced by the </w:t>
      </w:r>
      <w:r w:rsidR="00AD1046">
        <w:t>Load Realization Model (</w:t>
      </w:r>
      <w:r>
        <w:t>LRM</w:t>
      </w:r>
      <w:r w:rsidR="00AD1046">
        <w:t>)</w:t>
      </w:r>
      <w:r w:rsidR="008B552C">
        <w:t xml:space="preserve"> and</w:t>
      </w:r>
      <w:r>
        <w:t xml:space="preserve"> </w:t>
      </w:r>
      <w:r w:rsidR="00A672BC">
        <w:t>compiles every</w:t>
      </w:r>
      <w:r w:rsidR="00143177">
        <w:t xml:space="preserve"> known</w:t>
      </w:r>
      <w:r w:rsidR="00A672BC">
        <w:t xml:space="preserve"> potential large load customer considering development in the state of Georgia.</w:t>
      </w:r>
      <w:r w:rsidR="00BD2DA9">
        <w:rPr>
          <w:rStyle w:val="FootnoteReference"/>
        </w:rPr>
        <w:footnoteReference w:id="16"/>
      </w:r>
      <w:r w:rsidR="00A672BC">
        <w:t xml:space="preserve"> </w:t>
      </w:r>
      <w:r w:rsidR="008B552C">
        <w:t xml:space="preserve">Unlike the organic load forecast, which is a fundamentals-based forecast relying on macroeconomic indicators and customer trends, the large load forecast is based on individual, known customers and project details. Each entry in the LRM is a specific </w:t>
      </w:r>
      <w:r w:rsidR="008B552C">
        <w:lastRenderedPageBreak/>
        <w:t>potential customer that has expressed interest in initiating electric service with Georgia Power for a specific project or facility.</w:t>
      </w:r>
    </w:p>
    <w:p w14:paraId="2915BBDB" w14:textId="6084EE31" w:rsidR="008B552C" w:rsidRDefault="008B552C" w:rsidP="00626BBA">
      <w:pPr>
        <w:pStyle w:val="Answers"/>
      </w:pPr>
      <w:r>
        <w:tab/>
      </w:r>
      <w:r>
        <w:tab/>
      </w:r>
      <w:r w:rsidR="00A672BC">
        <w:t xml:space="preserve">Each </w:t>
      </w:r>
      <w:r w:rsidR="002A48B3">
        <w:t xml:space="preserve">large load </w:t>
      </w:r>
      <w:r w:rsidR="00A672BC">
        <w:t>project is assigned a set of probabilities determining their likelihood of contracting with Georgia Power</w:t>
      </w:r>
      <w:r w:rsidR="00BD2DA9">
        <w:t xml:space="preserve"> (Project Success assumptions)</w:t>
      </w:r>
      <w:r w:rsidR="00A672BC">
        <w:t>, a set of probabilities to determine how much of their load might materialize</w:t>
      </w:r>
      <w:r w:rsidR="00BD2DA9">
        <w:t xml:space="preserve"> (Load Realization Assumptions)</w:t>
      </w:r>
      <w:r w:rsidR="00A672BC">
        <w:t>, and a set of assumptions regarding the extent to which that load might be delayed</w:t>
      </w:r>
      <w:r>
        <w:t xml:space="preserve"> from the initial intended in-service date</w:t>
      </w:r>
      <w:r w:rsidR="00BD2DA9">
        <w:t xml:space="preserve"> (Ramp-up Delay Assumptions)</w:t>
      </w:r>
      <w:r w:rsidR="00A672BC">
        <w:t>.</w:t>
      </w:r>
      <w:r w:rsidR="00DD0709">
        <w:t xml:space="preserve"> The assumptions are applied to a quarterly load </w:t>
      </w:r>
      <w:r w:rsidR="00143177">
        <w:t xml:space="preserve">ramping </w:t>
      </w:r>
      <w:r w:rsidR="00DD0709">
        <w:t>schedule provided by each project to produce a final peak load forecast</w:t>
      </w:r>
      <w:r w:rsidR="00374882">
        <w:t xml:space="preserve"> using a Monte Carlo simulation</w:t>
      </w:r>
      <w:r w:rsidR="00DD0709">
        <w:t>.</w:t>
      </w:r>
      <w:r w:rsidR="00A672BC">
        <w:t xml:space="preserve"> </w:t>
      </w:r>
      <w:r>
        <w:t xml:space="preserve">For this </w:t>
      </w:r>
      <w:r w:rsidR="00374882">
        <w:t>simulation</w:t>
      </w:r>
      <w:r>
        <w:t xml:space="preserve">, the Company has executed 100,000 iterations of the LRM, with each iteration representing a unique draw of project-specific probabilities for each potential large load customer. </w:t>
      </w:r>
    </w:p>
    <w:p w14:paraId="06E78DAA" w14:textId="000D520F" w:rsidR="00AD1046" w:rsidRDefault="008B552C" w:rsidP="00626BBA">
      <w:pPr>
        <w:pStyle w:val="Answers"/>
      </w:pPr>
      <w:r>
        <w:tab/>
      </w:r>
      <w:r>
        <w:tab/>
      </w:r>
      <w:r w:rsidR="25EC3C6A">
        <w:t>For the large load forecast, t</w:t>
      </w:r>
      <w:r w:rsidR="40E375D7">
        <w:t>he Company</w:t>
      </w:r>
      <w:r w:rsidR="25EC3C6A">
        <w:t xml:space="preserve"> decided to use</w:t>
      </w:r>
      <w:r w:rsidR="40E375D7">
        <w:t xml:space="preserve"> the P95 </w:t>
      </w:r>
      <w:r w:rsidR="70E1C192">
        <w:t>forecast level</w:t>
      </w:r>
      <w:r w:rsidR="25EC3C6A">
        <w:t xml:space="preserve">, meaning that of the 100,000 iterations, 95,000 of them produced a peak load forecast </w:t>
      </w:r>
      <w:r w:rsidR="25EC3C6A" w:rsidRPr="005A1275">
        <w:rPr>
          <w:u w:val="single"/>
        </w:rPr>
        <w:t>at or below</w:t>
      </w:r>
      <w:r w:rsidR="25EC3C6A">
        <w:t xml:space="preserve"> the final forecast</w:t>
      </w:r>
      <w:r w:rsidR="5091102E">
        <w:t xml:space="preserve"> selected by Georgia Power</w:t>
      </w:r>
      <w:r w:rsidR="25EC3C6A">
        <w:t>.</w:t>
      </w:r>
      <w:r w:rsidR="70E1C192">
        <w:t xml:space="preserve"> </w:t>
      </w:r>
    </w:p>
    <w:p w14:paraId="3EB1A44E" w14:textId="47208FE6" w:rsidR="00A672BC" w:rsidRDefault="00AD1046" w:rsidP="00626BBA">
      <w:pPr>
        <w:pStyle w:val="Answers"/>
      </w:pPr>
      <w:r>
        <w:tab/>
      </w:r>
      <w:r>
        <w:tab/>
      </w:r>
      <w:r w:rsidR="00DD0709">
        <w:t xml:space="preserve">This </w:t>
      </w:r>
      <w:r w:rsidR="00BD2DA9">
        <w:t xml:space="preserve">large load </w:t>
      </w:r>
      <w:r w:rsidR="00DD0709">
        <w:t xml:space="preserve">forecast </w:t>
      </w:r>
      <w:r>
        <w:t xml:space="preserve">is converted to an energy basis based on industry specific load factors and </w:t>
      </w:r>
      <w:r w:rsidR="00DD0709">
        <w:t>add</w:t>
      </w:r>
      <w:r w:rsidR="00143177">
        <w:t>ed</w:t>
      </w:r>
      <w:r w:rsidR="00DD0709">
        <w:t xml:space="preserve"> to the organic load forecast as an “external adjustment.”</w:t>
      </w:r>
      <w:r>
        <w:t xml:space="preserve"> This total </w:t>
      </w:r>
      <w:r w:rsidR="004A458E">
        <w:t xml:space="preserve">energy </w:t>
      </w:r>
      <w:r>
        <w:t>forecast is an input to a “Peak” model</w:t>
      </w:r>
      <w:r w:rsidR="00374882">
        <w:t xml:space="preserve"> that accounts for industry specific load factors, coincident loads, and many other variables</w:t>
      </w:r>
      <w:r>
        <w:t>.</w:t>
      </w:r>
      <w:r w:rsidR="00071755">
        <w:rPr>
          <w:rStyle w:val="FootnoteReference"/>
        </w:rPr>
        <w:footnoteReference w:id="17"/>
      </w:r>
    </w:p>
    <w:p w14:paraId="07C1B8CB" w14:textId="2E8EC711" w:rsidR="00F03F1D" w:rsidRDefault="733D4188" w:rsidP="00385349">
      <w:pPr>
        <w:pStyle w:val="Question"/>
      </w:pPr>
      <w:r>
        <w:lastRenderedPageBreak/>
        <w:t>Q.</w:t>
      </w:r>
      <w:r w:rsidR="007A760C">
        <w:tab/>
      </w:r>
      <w:r w:rsidR="1124850A">
        <w:t xml:space="preserve">have there been </w:t>
      </w:r>
      <w:r w:rsidR="23ACE0B3">
        <w:t xml:space="preserve">any </w:t>
      </w:r>
      <w:r w:rsidR="1124850A">
        <w:t xml:space="preserve">changes in the company’s load forecasting methodology </w:t>
      </w:r>
      <w:r w:rsidR="51B14C38">
        <w:t xml:space="preserve">in the </w:t>
      </w:r>
      <w:r w:rsidR="00D42C01">
        <w:t xml:space="preserve">2023 IRP Update </w:t>
      </w:r>
      <w:r w:rsidR="51B14C38">
        <w:t>load forecast</w:t>
      </w:r>
      <w:r w:rsidR="00D42C01">
        <w:t xml:space="preserve"> since the 2022 IRP Forecast</w:t>
      </w:r>
      <w:r w:rsidR="51B14C38">
        <w:t>?</w:t>
      </w:r>
    </w:p>
    <w:p w14:paraId="1C3AA407" w14:textId="207D5C1A" w:rsidR="000B588D" w:rsidRDefault="51B14C38" w:rsidP="00626BBA">
      <w:pPr>
        <w:pStyle w:val="Answers"/>
      </w:pPr>
      <w:r>
        <w:t>A.</w:t>
      </w:r>
      <w:r w:rsidR="00F03F1D">
        <w:tab/>
      </w:r>
      <w:r w:rsidR="1124850A">
        <w:t>Partially</w:t>
      </w:r>
      <w:r w:rsidR="528FB421">
        <w:t xml:space="preserve">. The organic </w:t>
      </w:r>
      <w:r w:rsidR="1124850A">
        <w:t>mode</w:t>
      </w:r>
      <w:r w:rsidR="003F52A9">
        <w:t>l</w:t>
      </w:r>
      <w:r w:rsidR="004A458E">
        <w:t xml:space="preserve"> methodology</w:t>
      </w:r>
      <w:r w:rsidR="57930004">
        <w:t>,</w:t>
      </w:r>
      <w:r w:rsidR="1124850A">
        <w:t xml:space="preserve"> which estimates energy and peak demand growth from non-large loads in the residential, commercial, industrial sectors</w:t>
      </w:r>
      <w:r w:rsidR="14342D30">
        <w:t xml:space="preserve"> and MARTA, </w:t>
      </w:r>
      <w:r w:rsidR="1124850A">
        <w:t xml:space="preserve">has not changed from the methodology explained above. </w:t>
      </w:r>
      <w:r w:rsidR="0D80D474">
        <w:t>The Company has updated the economic drivers in the organic forecast to more recent projections which has resulted in some increase in load more in line with historic growth</w:t>
      </w:r>
      <w:r w:rsidR="16B8455F">
        <w:t xml:space="preserve"> </w:t>
      </w:r>
      <w:r w:rsidR="14342D30">
        <w:t xml:space="preserve">in the residential </w:t>
      </w:r>
      <w:r w:rsidR="16B8455F">
        <w:t>sector</w:t>
      </w:r>
      <w:r w:rsidR="14342D30">
        <w:t xml:space="preserve"> and </w:t>
      </w:r>
      <w:r w:rsidR="16B8455F">
        <w:t>somewhat higher in the commercial and industrial sectors</w:t>
      </w:r>
      <w:r w:rsidR="00095457">
        <w:rPr>
          <w:rStyle w:val="FootnoteReference"/>
        </w:rPr>
        <w:footnoteReference w:id="18"/>
      </w:r>
      <w:r w:rsidR="0D80D474">
        <w:t>.</w:t>
      </w:r>
      <w:r w:rsidR="1124850A">
        <w:t xml:space="preserve"> </w:t>
      </w:r>
      <w:r w:rsidR="0D80D474">
        <w:t>T</w:t>
      </w:r>
      <w:r w:rsidR="528FB421">
        <w:t xml:space="preserve">he LRM is a new method of calculating the impact of </w:t>
      </w:r>
      <w:r w:rsidR="24146C86">
        <w:t xml:space="preserve">specific </w:t>
      </w:r>
      <w:r w:rsidR="528FB421">
        <w:t xml:space="preserve">large loads on the Company’s system. </w:t>
      </w:r>
    </w:p>
    <w:p w14:paraId="2D105D22" w14:textId="7B4D5252" w:rsidR="00D42C01" w:rsidRDefault="000B588D" w:rsidP="00626BBA">
      <w:pPr>
        <w:pStyle w:val="Answers"/>
      </w:pPr>
      <w:r>
        <w:tab/>
      </w:r>
      <w:r>
        <w:tab/>
        <w:t>In the past, the Company has performed “external adjustments” to its load forecasts to account for energy or peak demand not sufficiently captured in historical data or models.</w:t>
      </w:r>
      <w:r>
        <w:rPr>
          <w:rStyle w:val="FootnoteReference"/>
        </w:rPr>
        <w:footnoteReference w:id="19"/>
      </w:r>
      <w:r>
        <w:t xml:space="preserve"> However, the probabilistic framework used in the LRM is </w:t>
      </w:r>
      <w:r w:rsidR="00143177">
        <w:t xml:space="preserve">a </w:t>
      </w:r>
      <w:r>
        <w:t>novel</w:t>
      </w:r>
      <w:r w:rsidR="007A7582">
        <w:t xml:space="preserve"> approach, with the first iteration performed in January of 2023. </w:t>
      </w:r>
    </w:p>
    <w:p w14:paraId="7AC63CDF" w14:textId="1AF79A6D" w:rsidR="00F03F1D" w:rsidRDefault="00D42C01" w:rsidP="00626BBA">
      <w:pPr>
        <w:pStyle w:val="Answers"/>
      </w:pPr>
      <w:r>
        <w:tab/>
      </w:r>
      <w:r>
        <w:tab/>
      </w:r>
      <w:r w:rsidR="007A7582">
        <w:t xml:space="preserve">From January through the October </w:t>
      </w:r>
      <w:r w:rsidR="00143177">
        <w:t xml:space="preserve">2023 </w:t>
      </w:r>
      <w:r w:rsidR="007A7582">
        <w:t xml:space="preserve">filing, the assumptions underlying the LRM changed significantly in both structure as well as the specific values </w:t>
      </w:r>
      <w:r w:rsidR="00116A3C">
        <w:t>for a given industry segment</w:t>
      </w:r>
      <w:r w:rsidR="00030864">
        <w:t>.</w:t>
      </w:r>
      <w:r w:rsidR="00030864">
        <w:rPr>
          <w:rStyle w:val="FootnoteReference"/>
        </w:rPr>
        <w:footnoteReference w:id="20"/>
      </w:r>
      <w:r w:rsidR="007A7582">
        <w:t xml:space="preserve"> </w:t>
      </w:r>
      <w:r>
        <w:t xml:space="preserve">The changes in the Load Realization assumptions have been described in </w:t>
      </w:r>
      <w:r>
        <w:fldChar w:fldCharType="begin"/>
      </w:r>
      <w:r>
        <w:instrText xml:space="preserve"> REF _Ref158301115 \h </w:instrText>
      </w:r>
      <w:r>
        <w:fldChar w:fldCharType="separate"/>
      </w:r>
      <w:r w:rsidR="00D01697">
        <w:t xml:space="preserve">Table </w:t>
      </w:r>
      <w:r w:rsidR="00D01697">
        <w:rPr>
          <w:noProof/>
        </w:rPr>
        <w:t>1</w:t>
      </w:r>
      <w:r>
        <w:fldChar w:fldCharType="end"/>
      </w:r>
      <w:r>
        <w:t xml:space="preserve">. In total, 9 new industry segments were introduced with assumed values and distributions changing for every segment. </w:t>
      </w:r>
    </w:p>
    <w:p w14:paraId="64E1007A" w14:textId="6AA302E9" w:rsidR="00D42C01" w:rsidRDefault="00D42C01" w:rsidP="00071755">
      <w:pPr>
        <w:pStyle w:val="Caption"/>
        <w:keepLines/>
      </w:pPr>
      <w:bookmarkStart w:id="5" w:name="_Ref158301115"/>
      <w:r>
        <w:lastRenderedPageBreak/>
        <w:t xml:space="preserve">Table </w:t>
      </w:r>
      <w:r>
        <w:fldChar w:fldCharType="begin"/>
      </w:r>
      <w:r>
        <w:instrText xml:space="preserve"> SEQ Table \* ARABIC </w:instrText>
      </w:r>
      <w:r>
        <w:fldChar w:fldCharType="separate"/>
      </w:r>
      <w:r w:rsidR="00D01697">
        <w:rPr>
          <w:noProof/>
        </w:rPr>
        <w:t>1</w:t>
      </w:r>
      <w:r>
        <w:fldChar w:fldCharType="end"/>
      </w:r>
      <w:bookmarkEnd w:id="5"/>
      <w:r>
        <w:t>: LRM Change in Load Realization Assumptions</w:t>
      </w:r>
      <w:r>
        <w:rPr>
          <w:rStyle w:val="FootnoteReference"/>
        </w:rPr>
        <w:footnoteReference w:id="21"/>
      </w:r>
    </w:p>
    <w:tbl>
      <w:tblPr>
        <w:tblW w:w="8990" w:type="dxa"/>
        <w:jc w:val="center"/>
        <w:tblLook w:val="04A0" w:firstRow="1" w:lastRow="0" w:firstColumn="1" w:lastColumn="0" w:noHBand="0" w:noVBand="1"/>
      </w:tblPr>
      <w:tblGrid>
        <w:gridCol w:w="1304"/>
        <w:gridCol w:w="1920"/>
        <w:gridCol w:w="680"/>
        <w:gridCol w:w="680"/>
        <w:gridCol w:w="681"/>
        <w:gridCol w:w="632"/>
        <w:gridCol w:w="620"/>
        <w:gridCol w:w="681"/>
        <w:gridCol w:w="632"/>
        <w:gridCol w:w="620"/>
        <w:gridCol w:w="723"/>
      </w:tblGrid>
      <w:tr w:rsidR="003346FA" w:rsidRPr="00D42C01" w14:paraId="5C617040" w14:textId="77777777" w:rsidTr="00B7604F">
        <w:trPr>
          <w:trHeight w:val="1200"/>
          <w:jc w:val="center"/>
        </w:trPr>
        <w:tc>
          <w:tcPr>
            <w:tcW w:w="1287" w:type="dxa"/>
            <w:tcBorders>
              <w:top w:val="single" w:sz="8" w:space="0" w:color="auto"/>
              <w:left w:val="single" w:sz="8" w:space="0" w:color="auto"/>
              <w:bottom w:val="nil"/>
              <w:right w:val="nil"/>
            </w:tcBorders>
            <w:shd w:val="clear" w:color="000000" w:fill="F2F2F2"/>
            <w:noWrap/>
            <w:vAlign w:val="bottom"/>
            <w:hideMark/>
          </w:tcPr>
          <w:p w14:paraId="12FE4505" w14:textId="77777777" w:rsidR="00D42C01" w:rsidRPr="00D42C01" w:rsidRDefault="00D42C01" w:rsidP="00071755">
            <w:pPr>
              <w:keepNext/>
              <w:keepLines/>
              <w:jc w:val="left"/>
              <w:rPr>
                <w:rFonts w:cs="Calibri"/>
                <w:color w:val="000000"/>
              </w:rPr>
            </w:pPr>
            <w:r w:rsidRPr="00D42C01">
              <w:rPr>
                <w:rFonts w:cs="Calibri"/>
                <w:color w:val="000000"/>
              </w:rPr>
              <w:t> </w:t>
            </w:r>
          </w:p>
        </w:tc>
        <w:tc>
          <w:tcPr>
            <w:tcW w:w="1920" w:type="dxa"/>
            <w:tcBorders>
              <w:top w:val="single" w:sz="8" w:space="0" w:color="auto"/>
              <w:left w:val="nil"/>
              <w:bottom w:val="nil"/>
              <w:right w:val="nil"/>
            </w:tcBorders>
            <w:shd w:val="clear" w:color="000000" w:fill="F2F2F2"/>
            <w:noWrap/>
            <w:vAlign w:val="bottom"/>
            <w:hideMark/>
          </w:tcPr>
          <w:p w14:paraId="3FAA929B" w14:textId="77777777" w:rsidR="00D42C01" w:rsidRPr="00D42C01" w:rsidRDefault="00D42C01" w:rsidP="00071755">
            <w:pPr>
              <w:keepNext/>
              <w:keepLines/>
              <w:jc w:val="left"/>
              <w:rPr>
                <w:rFonts w:cs="Calibri"/>
                <w:color w:val="000000"/>
              </w:rPr>
            </w:pPr>
            <w:r w:rsidRPr="00D42C01">
              <w:rPr>
                <w:rFonts w:cs="Calibri"/>
                <w:color w:val="000000"/>
              </w:rPr>
              <w:t> </w:t>
            </w:r>
          </w:p>
        </w:tc>
        <w:tc>
          <w:tcPr>
            <w:tcW w:w="2040" w:type="dxa"/>
            <w:gridSpan w:val="3"/>
            <w:tcBorders>
              <w:top w:val="single" w:sz="8" w:space="0" w:color="auto"/>
              <w:left w:val="nil"/>
              <w:bottom w:val="nil"/>
              <w:right w:val="nil"/>
            </w:tcBorders>
            <w:shd w:val="clear" w:color="000000" w:fill="DDEBF7"/>
            <w:vAlign w:val="bottom"/>
            <w:hideMark/>
          </w:tcPr>
          <w:p w14:paraId="0DC70A38" w14:textId="77777777" w:rsidR="00D42C01" w:rsidRPr="00D42C01" w:rsidRDefault="00D42C01" w:rsidP="00071755">
            <w:pPr>
              <w:keepNext/>
              <w:keepLines/>
              <w:jc w:val="center"/>
              <w:rPr>
                <w:rFonts w:cs="Calibri"/>
                <w:b/>
                <w:bCs/>
                <w:color w:val="000000"/>
              </w:rPr>
            </w:pPr>
            <w:r w:rsidRPr="00D42C01">
              <w:rPr>
                <w:rFonts w:cs="Calibri"/>
                <w:b/>
                <w:bCs/>
                <w:color w:val="000000"/>
              </w:rPr>
              <w:t>January 2023 Assumptions</w:t>
            </w:r>
          </w:p>
        </w:tc>
        <w:tc>
          <w:tcPr>
            <w:tcW w:w="1826" w:type="dxa"/>
            <w:gridSpan w:val="3"/>
            <w:tcBorders>
              <w:top w:val="single" w:sz="8" w:space="0" w:color="auto"/>
              <w:left w:val="nil"/>
              <w:bottom w:val="nil"/>
              <w:right w:val="nil"/>
            </w:tcBorders>
            <w:shd w:val="clear" w:color="000000" w:fill="FCE4D6"/>
            <w:vAlign w:val="bottom"/>
            <w:hideMark/>
          </w:tcPr>
          <w:p w14:paraId="27DFCBE1" w14:textId="77777777" w:rsidR="00D42C01" w:rsidRPr="00D42C01" w:rsidRDefault="00D42C01" w:rsidP="00071755">
            <w:pPr>
              <w:keepNext/>
              <w:keepLines/>
              <w:jc w:val="center"/>
              <w:rPr>
                <w:rFonts w:cs="Calibri"/>
                <w:b/>
                <w:bCs/>
                <w:color w:val="000000"/>
              </w:rPr>
            </w:pPr>
            <w:r w:rsidRPr="00D42C01">
              <w:rPr>
                <w:rFonts w:cs="Calibri"/>
                <w:b/>
                <w:bCs/>
                <w:color w:val="000000"/>
              </w:rPr>
              <w:t>October 2023 Filed Assumptions</w:t>
            </w:r>
          </w:p>
        </w:tc>
        <w:tc>
          <w:tcPr>
            <w:tcW w:w="1917" w:type="dxa"/>
            <w:gridSpan w:val="3"/>
            <w:tcBorders>
              <w:top w:val="single" w:sz="8" w:space="0" w:color="auto"/>
              <w:left w:val="nil"/>
              <w:bottom w:val="nil"/>
              <w:right w:val="single" w:sz="8" w:space="0" w:color="000000"/>
            </w:tcBorders>
            <w:shd w:val="clear" w:color="000000" w:fill="E2EFDA"/>
            <w:noWrap/>
            <w:vAlign w:val="bottom"/>
            <w:hideMark/>
          </w:tcPr>
          <w:p w14:paraId="4F9D3FCB" w14:textId="77777777" w:rsidR="00D42C01" w:rsidRPr="00D42C01" w:rsidRDefault="00D42C01" w:rsidP="00071755">
            <w:pPr>
              <w:keepNext/>
              <w:keepLines/>
              <w:jc w:val="center"/>
              <w:rPr>
                <w:rFonts w:cs="Calibri"/>
                <w:b/>
                <w:bCs/>
                <w:color w:val="000000"/>
              </w:rPr>
            </w:pPr>
            <w:r w:rsidRPr="00D42C01">
              <w:rPr>
                <w:rFonts w:cs="Calibri"/>
                <w:b/>
                <w:bCs/>
                <w:color w:val="000000"/>
              </w:rPr>
              <w:t>Change</w:t>
            </w:r>
          </w:p>
        </w:tc>
      </w:tr>
      <w:tr w:rsidR="00CE6100" w:rsidRPr="00D42C01" w14:paraId="3EF5A1E9" w14:textId="77777777" w:rsidTr="00B7604F">
        <w:trPr>
          <w:trHeight w:val="300"/>
          <w:jc w:val="center"/>
        </w:trPr>
        <w:tc>
          <w:tcPr>
            <w:tcW w:w="1287" w:type="dxa"/>
            <w:tcBorders>
              <w:top w:val="nil"/>
              <w:left w:val="single" w:sz="8" w:space="0" w:color="auto"/>
              <w:bottom w:val="nil"/>
              <w:right w:val="nil"/>
            </w:tcBorders>
            <w:shd w:val="clear" w:color="000000" w:fill="F2F2F2"/>
            <w:noWrap/>
            <w:vAlign w:val="bottom"/>
            <w:hideMark/>
          </w:tcPr>
          <w:p w14:paraId="01A56D93" w14:textId="77777777" w:rsidR="00D42C01" w:rsidRPr="00D42C01" w:rsidRDefault="00D42C01" w:rsidP="00071755">
            <w:pPr>
              <w:keepNext/>
              <w:keepLines/>
              <w:jc w:val="left"/>
              <w:rPr>
                <w:rFonts w:cs="Calibri"/>
                <w:b/>
                <w:bCs/>
                <w:color w:val="000000"/>
              </w:rPr>
            </w:pPr>
            <w:r w:rsidRPr="00D42C01">
              <w:rPr>
                <w:rFonts w:cs="Calibri"/>
                <w:b/>
                <w:bCs/>
                <w:color w:val="000000"/>
              </w:rPr>
              <w:t>Class</w:t>
            </w:r>
          </w:p>
        </w:tc>
        <w:tc>
          <w:tcPr>
            <w:tcW w:w="1920" w:type="dxa"/>
            <w:tcBorders>
              <w:top w:val="nil"/>
              <w:left w:val="nil"/>
              <w:bottom w:val="nil"/>
              <w:right w:val="nil"/>
            </w:tcBorders>
            <w:shd w:val="clear" w:color="000000" w:fill="F2F2F2"/>
            <w:noWrap/>
            <w:vAlign w:val="bottom"/>
            <w:hideMark/>
          </w:tcPr>
          <w:p w14:paraId="42694112" w14:textId="77777777" w:rsidR="00D42C01" w:rsidRPr="00D42C01" w:rsidRDefault="00D42C01" w:rsidP="00071755">
            <w:pPr>
              <w:keepNext/>
              <w:keepLines/>
              <w:jc w:val="left"/>
              <w:rPr>
                <w:rFonts w:cs="Calibri"/>
                <w:b/>
                <w:bCs/>
                <w:color w:val="000000"/>
              </w:rPr>
            </w:pPr>
            <w:r w:rsidRPr="00D42C01">
              <w:rPr>
                <w:rFonts w:cs="Calibri"/>
                <w:b/>
                <w:bCs/>
                <w:color w:val="000000"/>
              </w:rPr>
              <w:t>Segment</w:t>
            </w:r>
          </w:p>
        </w:tc>
        <w:tc>
          <w:tcPr>
            <w:tcW w:w="680" w:type="dxa"/>
            <w:tcBorders>
              <w:top w:val="nil"/>
              <w:left w:val="nil"/>
              <w:bottom w:val="nil"/>
              <w:right w:val="nil"/>
            </w:tcBorders>
            <w:shd w:val="clear" w:color="000000" w:fill="F2F2F2"/>
            <w:noWrap/>
            <w:vAlign w:val="bottom"/>
            <w:hideMark/>
          </w:tcPr>
          <w:p w14:paraId="5AF230DF" w14:textId="77777777" w:rsidR="00D42C01" w:rsidRPr="00D42C01" w:rsidRDefault="00D42C01" w:rsidP="00071755">
            <w:pPr>
              <w:keepNext/>
              <w:keepLines/>
              <w:jc w:val="left"/>
              <w:rPr>
                <w:rFonts w:cs="Calibri"/>
                <w:b/>
                <w:bCs/>
                <w:color w:val="000000"/>
              </w:rPr>
            </w:pPr>
            <w:r w:rsidRPr="00D42C01">
              <w:rPr>
                <w:rFonts w:cs="Calibri"/>
                <w:b/>
                <w:bCs/>
                <w:color w:val="000000"/>
              </w:rPr>
              <w:t>Low</w:t>
            </w:r>
          </w:p>
        </w:tc>
        <w:tc>
          <w:tcPr>
            <w:tcW w:w="680" w:type="dxa"/>
            <w:tcBorders>
              <w:top w:val="nil"/>
              <w:left w:val="nil"/>
              <w:bottom w:val="nil"/>
              <w:right w:val="nil"/>
            </w:tcBorders>
            <w:shd w:val="clear" w:color="000000" w:fill="F2F2F2"/>
            <w:noWrap/>
            <w:vAlign w:val="bottom"/>
            <w:hideMark/>
          </w:tcPr>
          <w:p w14:paraId="1849BE72" w14:textId="77777777" w:rsidR="00D42C01" w:rsidRPr="00D42C01" w:rsidRDefault="00D42C01" w:rsidP="00071755">
            <w:pPr>
              <w:keepNext/>
              <w:keepLines/>
              <w:jc w:val="left"/>
              <w:rPr>
                <w:rFonts w:cs="Calibri"/>
                <w:b/>
                <w:bCs/>
                <w:color w:val="000000"/>
              </w:rPr>
            </w:pPr>
            <w:r w:rsidRPr="00D42C01">
              <w:rPr>
                <w:rFonts w:cs="Calibri"/>
                <w:b/>
                <w:bCs/>
                <w:color w:val="000000"/>
              </w:rPr>
              <w:t>Mid</w:t>
            </w:r>
          </w:p>
        </w:tc>
        <w:tc>
          <w:tcPr>
            <w:tcW w:w="680" w:type="dxa"/>
            <w:tcBorders>
              <w:top w:val="nil"/>
              <w:left w:val="nil"/>
              <w:bottom w:val="nil"/>
              <w:right w:val="nil"/>
            </w:tcBorders>
            <w:shd w:val="clear" w:color="000000" w:fill="F2F2F2"/>
            <w:noWrap/>
            <w:vAlign w:val="bottom"/>
            <w:hideMark/>
          </w:tcPr>
          <w:p w14:paraId="601BD050" w14:textId="77777777" w:rsidR="00D42C01" w:rsidRPr="00D42C01" w:rsidRDefault="00D42C01" w:rsidP="00071755">
            <w:pPr>
              <w:keepNext/>
              <w:keepLines/>
              <w:jc w:val="left"/>
              <w:rPr>
                <w:rFonts w:cs="Calibri"/>
                <w:b/>
                <w:bCs/>
                <w:color w:val="000000"/>
              </w:rPr>
            </w:pPr>
            <w:r w:rsidRPr="00D42C01">
              <w:rPr>
                <w:rFonts w:cs="Calibri"/>
                <w:b/>
                <w:bCs/>
                <w:color w:val="000000"/>
              </w:rPr>
              <w:t>High</w:t>
            </w:r>
          </w:p>
        </w:tc>
        <w:tc>
          <w:tcPr>
            <w:tcW w:w="597" w:type="dxa"/>
            <w:tcBorders>
              <w:top w:val="nil"/>
              <w:left w:val="nil"/>
              <w:bottom w:val="nil"/>
              <w:right w:val="nil"/>
            </w:tcBorders>
            <w:shd w:val="clear" w:color="000000" w:fill="F2F2F2"/>
            <w:noWrap/>
            <w:vAlign w:val="bottom"/>
            <w:hideMark/>
          </w:tcPr>
          <w:p w14:paraId="2613700B" w14:textId="77777777" w:rsidR="00D42C01" w:rsidRPr="00D42C01" w:rsidRDefault="00D42C01" w:rsidP="00071755">
            <w:pPr>
              <w:keepNext/>
              <w:keepLines/>
              <w:jc w:val="left"/>
              <w:rPr>
                <w:rFonts w:cs="Calibri"/>
                <w:b/>
                <w:bCs/>
                <w:color w:val="000000"/>
              </w:rPr>
            </w:pPr>
            <w:r w:rsidRPr="00D42C01">
              <w:rPr>
                <w:rFonts w:cs="Calibri"/>
                <w:b/>
                <w:bCs/>
                <w:color w:val="000000"/>
              </w:rPr>
              <w:t>Low</w:t>
            </w:r>
          </w:p>
        </w:tc>
        <w:tc>
          <w:tcPr>
            <w:tcW w:w="597" w:type="dxa"/>
            <w:tcBorders>
              <w:top w:val="nil"/>
              <w:left w:val="nil"/>
              <w:bottom w:val="nil"/>
              <w:right w:val="nil"/>
            </w:tcBorders>
            <w:shd w:val="clear" w:color="000000" w:fill="F2F2F2"/>
            <w:noWrap/>
            <w:vAlign w:val="bottom"/>
            <w:hideMark/>
          </w:tcPr>
          <w:p w14:paraId="52BE2DD0" w14:textId="77777777" w:rsidR="00D42C01" w:rsidRPr="00D42C01" w:rsidRDefault="00D42C01" w:rsidP="00071755">
            <w:pPr>
              <w:keepNext/>
              <w:keepLines/>
              <w:jc w:val="left"/>
              <w:rPr>
                <w:rFonts w:cs="Calibri"/>
                <w:b/>
                <w:bCs/>
                <w:color w:val="000000"/>
              </w:rPr>
            </w:pPr>
            <w:r w:rsidRPr="00D42C01">
              <w:rPr>
                <w:rFonts w:cs="Calibri"/>
                <w:b/>
                <w:bCs/>
                <w:color w:val="000000"/>
              </w:rPr>
              <w:t>Mid</w:t>
            </w:r>
          </w:p>
        </w:tc>
        <w:tc>
          <w:tcPr>
            <w:tcW w:w="632" w:type="dxa"/>
            <w:tcBorders>
              <w:top w:val="nil"/>
              <w:left w:val="nil"/>
              <w:bottom w:val="nil"/>
              <w:right w:val="nil"/>
            </w:tcBorders>
            <w:shd w:val="clear" w:color="000000" w:fill="F2F2F2"/>
            <w:noWrap/>
            <w:vAlign w:val="bottom"/>
            <w:hideMark/>
          </w:tcPr>
          <w:p w14:paraId="64F059E7" w14:textId="77777777" w:rsidR="00D42C01" w:rsidRPr="00D42C01" w:rsidRDefault="00D42C01" w:rsidP="00071755">
            <w:pPr>
              <w:keepNext/>
              <w:keepLines/>
              <w:jc w:val="left"/>
              <w:rPr>
                <w:rFonts w:cs="Calibri"/>
                <w:b/>
                <w:bCs/>
                <w:color w:val="000000"/>
              </w:rPr>
            </w:pPr>
            <w:r w:rsidRPr="00D42C01">
              <w:rPr>
                <w:rFonts w:cs="Calibri"/>
                <w:b/>
                <w:bCs/>
                <w:color w:val="000000"/>
              </w:rPr>
              <w:t>High</w:t>
            </w:r>
          </w:p>
        </w:tc>
        <w:tc>
          <w:tcPr>
            <w:tcW w:w="597" w:type="dxa"/>
            <w:tcBorders>
              <w:top w:val="nil"/>
              <w:left w:val="nil"/>
              <w:bottom w:val="nil"/>
              <w:right w:val="nil"/>
            </w:tcBorders>
            <w:shd w:val="clear" w:color="000000" w:fill="F2F2F2"/>
            <w:noWrap/>
            <w:vAlign w:val="bottom"/>
            <w:hideMark/>
          </w:tcPr>
          <w:p w14:paraId="73B5EED9" w14:textId="77777777" w:rsidR="00D42C01" w:rsidRPr="00D42C01" w:rsidRDefault="00D42C01" w:rsidP="00071755">
            <w:pPr>
              <w:keepNext/>
              <w:keepLines/>
              <w:jc w:val="left"/>
              <w:rPr>
                <w:rFonts w:cs="Calibri"/>
                <w:b/>
                <w:bCs/>
                <w:color w:val="000000"/>
              </w:rPr>
            </w:pPr>
            <w:r w:rsidRPr="00D42C01">
              <w:rPr>
                <w:rFonts w:cs="Calibri"/>
                <w:b/>
                <w:bCs/>
                <w:color w:val="000000"/>
              </w:rPr>
              <w:t>Low</w:t>
            </w:r>
          </w:p>
        </w:tc>
        <w:tc>
          <w:tcPr>
            <w:tcW w:w="597" w:type="dxa"/>
            <w:tcBorders>
              <w:top w:val="nil"/>
              <w:left w:val="nil"/>
              <w:bottom w:val="nil"/>
              <w:right w:val="nil"/>
            </w:tcBorders>
            <w:shd w:val="clear" w:color="000000" w:fill="F2F2F2"/>
            <w:noWrap/>
            <w:vAlign w:val="bottom"/>
            <w:hideMark/>
          </w:tcPr>
          <w:p w14:paraId="2598E54F" w14:textId="77777777" w:rsidR="00D42C01" w:rsidRPr="00D42C01" w:rsidRDefault="00D42C01" w:rsidP="00071755">
            <w:pPr>
              <w:keepNext/>
              <w:keepLines/>
              <w:jc w:val="left"/>
              <w:rPr>
                <w:rFonts w:cs="Calibri"/>
                <w:b/>
                <w:bCs/>
                <w:color w:val="000000"/>
              </w:rPr>
            </w:pPr>
            <w:r w:rsidRPr="00D42C01">
              <w:rPr>
                <w:rFonts w:cs="Calibri"/>
                <w:b/>
                <w:bCs/>
                <w:color w:val="000000"/>
              </w:rPr>
              <w:t>Mid</w:t>
            </w:r>
          </w:p>
        </w:tc>
        <w:tc>
          <w:tcPr>
            <w:tcW w:w="723" w:type="dxa"/>
            <w:tcBorders>
              <w:top w:val="nil"/>
              <w:left w:val="nil"/>
              <w:bottom w:val="nil"/>
              <w:right w:val="single" w:sz="8" w:space="0" w:color="auto"/>
            </w:tcBorders>
            <w:shd w:val="clear" w:color="000000" w:fill="F2F2F2"/>
            <w:noWrap/>
            <w:vAlign w:val="bottom"/>
            <w:hideMark/>
          </w:tcPr>
          <w:p w14:paraId="75A1BF85" w14:textId="77777777" w:rsidR="00D42C01" w:rsidRPr="00D42C01" w:rsidRDefault="00D42C01" w:rsidP="00071755">
            <w:pPr>
              <w:keepNext/>
              <w:keepLines/>
              <w:jc w:val="left"/>
              <w:rPr>
                <w:rFonts w:cs="Calibri"/>
                <w:b/>
                <w:bCs/>
                <w:color w:val="000000"/>
              </w:rPr>
            </w:pPr>
            <w:r w:rsidRPr="00D42C01">
              <w:rPr>
                <w:rFonts w:cs="Calibri"/>
                <w:b/>
                <w:bCs/>
                <w:color w:val="000000"/>
              </w:rPr>
              <w:t>High</w:t>
            </w:r>
          </w:p>
        </w:tc>
      </w:tr>
      <w:tr w:rsidR="00CE6100" w:rsidRPr="00D42C01" w14:paraId="1543CE80" w14:textId="77777777" w:rsidTr="006F0063">
        <w:trPr>
          <w:trHeight w:val="300"/>
          <w:jc w:val="center"/>
        </w:trPr>
        <w:tc>
          <w:tcPr>
            <w:tcW w:w="1287" w:type="dxa"/>
            <w:tcBorders>
              <w:top w:val="nil"/>
              <w:left w:val="single" w:sz="8" w:space="0" w:color="auto"/>
              <w:bottom w:val="nil"/>
              <w:right w:val="nil"/>
            </w:tcBorders>
            <w:shd w:val="clear" w:color="auto" w:fill="auto"/>
            <w:noWrap/>
            <w:vAlign w:val="bottom"/>
            <w:hideMark/>
          </w:tcPr>
          <w:p w14:paraId="1C87B9DE" w14:textId="77777777" w:rsidR="00D42C01" w:rsidRPr="00D42C01" w:rsidRDefault="00D42C01" w:rsidP="00071755">
            <w:pPr>
              <w:keepNext/>
              <w:keepLines/>
              <w:jc w:val="left"/>
              <w:rPr>
                <w:rFonts w:cs="Calibri"/>
                <w:color w:val="000000"/>
              </w:rPr>
            </w:pPr>
            <w:r w:rsidRPr="00D42C01">
              <w:rPr>
                <w:rFonts w:cs="Calibri"/>
                <w:color w:val="000000"/>
              </w:rPr>
              <w:t>Commercial</w:t>
            </w:r>
          </w:p>
        </w:tc>
        <w:tc>
          <w:tcPr>
            <w:tcW w:w="1920" w:type="dxa"/>
            <w:tcBorders>
              <w:top w:val="nil"/>
              <w:left w:val="nil"/>
              <w:bottom w:val="nil"/>
              <w:right w:val="nil"/>
            </w:tcBorders>
            <w:shd w:val="clear" w:color="auto" w:fill="auto"/>
            <w:vAlign w:val="center"/>
            <w:hideMark/>
          </w:tcPr>
          <w:p w14:paraId="1DF2373E" w14:textId="4D9F841A" w:rsidR="00D42C01" w:rsidRPr="006F0063" w:rsidRDefault="00725FBA" w:rsidP="00071755">
            <w:pPr>
              <w:keepNext/>
              <w:keepLines/>
              <w:jc w:val="left"/>
              <w:rPr>
                <w:rFonts w:cs="Calibri"/>
                <w:color w:val="000000"/>
                <w:highlight w:val="black"/>
              </w:rPr>
            </w:pPr>
            <w:r w:rsidRPr="006F0063">
              <w:rPr>
                <w:rFonts w:cs="Calibri"/>
                <w:color w:val="000000"/>
                <w:highlight w:val="black"/>
              </w:rPr>
              <w:t>*******</w:t>
            </w:r>
          </w:p>
        </w:tc>
        <w:tc>
          <w:tcPr>
            <w:tcW w:w="680" w:type="dxa"/>
            <w:tcBorders>
              <w:top w:val="nil"/>
              <w:left w:val="nil"/>
              <w:bottom w:val="nil"/>
              <w:right w:val="nil"/>
            </w:tcBorders>
            <w:shd w:val="clear" w:color="auto" w:fill="auto"/>
            <w:noWrap/>
            <w:vAlign w:val="bottom"/>
            <w:hideMark/>
          </w:tcPr>
          <w:p w14:paraId="703E04D6" w14:textId="1B79E7E8" w:rsidR="00D42C01" w:rsidRPr="006F0063" w:rsidRDefault="00725FBA" w:rsidP="00071755">
            <w:pPr>
              <w:keepNext/>
              <w:keepLines/>
              <w:jc w:val="right"/>
              <w:rPr>
                <w:rFonts w:cs="Calibri"/>
                <w:color w:val="000000"/>
                <w:highlight w:val="black"/>
              </w:rPr>
            </w:pPr>
            <w:r w:rsidRPr="006F0063">
              <w:rPr>
                <w:rFonts w:cs="Calibri"/>
                <w:color w:val="000000"/>
                <w:highlight w:val="black"/>
              </w:rPr>
              <w:t>**</w:t>
            </w:r>
            <w:r w:rsidR="00D42C01" w:rsidRPr="006F0063">
              <w:rPr>
                <w:rFonts w:cs="Calibri"/>
                <w:color w:val="000000"/>
                <w:highlight w:val="black"/>
              </w:rPr>
              <w:t>%</w:t>
            </w:r>
          </w:p>
        </w:tc>
        <w:tc>
          <w:tcPr>
            <w:tcW w:w="680" w:type="dxa"/>
            <w:tcBorders>
              <w:top w:val="nil"/>
              <w:left w:val="nil"/>
              <w:bottom w:val="nil"/>
              <w:right w:val="nil"/>
            </w:tcBorders>
            <w:shd w:val="clear" w:color="auto" w:fill="auto"/>
            <w:noWrap/>
            <w:vAlign w:val="bottom"/>
            <w:hideMark/>
          </w:tcPr>
          <w:p w14:paraId="164C723E" w14:textId="6F2C3B40" w:rsidR="00D42C01" w:rsidRPr="006F0063" w:rsidRDefault="00725FBA" w:rsidP="00071755">
            <w:pPr>
              <w:keepNext/>
              <w:keepLines/>
              <w:jc w:val="right"/>
              <w:rPr>
                <w:rFonts w:cs="Calibri"/>
                <w:color w:val="000000"/>
                <w:highlight w:val="black"/>
              </w:rPr>
            </w:pPr>
            <w:r w:rsidRPr="006F0063">
              <w:rPr>
                <w:rFonts w:cs="Calibri"/>
                <w:color w:val="000000"/>
                <w:highlight w:val="black"/>
              </w:rPr>
              <w:t>**%</w:t>
            </w:r>
          </w:p>
        </w:tc>
        <w:tc>
          <w:tcPr>
            <w:tcW w:w="680" w:type="dxa"/>
            <w:tcBorders>
              <w:top w:val="nil"/>
              <w:left w:val="nil"/>
              <w:bottom w:val="nil"/>
              <w:right w:val="nil"/>
            </w:tcBorders>
            <w:shd w:val="clear" w:color="auto" w:fill="auto"/>
            <w:noWrap/>
            <w:vAlign w:val="bottom"/>
            <w:hideMark/>
          </w:tcPr>
          <w:p w14:paraId="0DC7689A" w14:textId="6A08DD37" w:rsidR="00D42C01" w:rsidRPr="006F0063" w:rsidRDefault="00725FBA" w:rsidP="00071755">
            <w:pPr>
              <w:keepNext/>
              <w:keepLines/>
              <w:jc w:val="right"/>
              <w:rPr>
                <w:rFonts w:cs="Calibri"/>
                <w:color w:val="000000"/>
                <w:highlight w:val="black"/>
              </w:rPr>
            </w:pPr>
            <w:r w:rsidRPr="006F0063">
              <w:rPr>
                <w:rFonts w:cs="Calibri"/>
                <w:color w:val="000000"/>
                <w:highlight w:val="black"/>
              </w:rPr>
              <w:t>**%</w:t>
            </w:r>
          </w:p>
        </w:tc>
        <w:tc>
          <w:tcPr>
            <w:tcW w:w="597" w:type="dxa"/>
            <w:tcBorders>
              <w:top w:val="nil"/>
              <w:left w:val="nil"/>
              <w:bottom w:val="nil"/>
              <w:right w:val="nil"/>
            </w:tcBorders>
            <w:shd w:val="clear" w:color="auto" w:fill="auto"/>
            <w:noWrap/>
            <w:vAlign w:val="bottom"/>
            <w:hideMark/>
          </w:tcPr>
          <w:p w14:paraId="360498A3" w14:textId="29FA3F87" w:rsidR="00D42C01" w:rsidRPr="006F0063" w:rsidRDefault="00725FBA" w:rsidP="00071755">
            <w:pPr>
              <w:keepNext/>
              <w:keepLines/>
              <w:jc w:val="right"/>
              <w:rPr>
                <w:rFonts w:cs="Calibri"/>
                <w:color w:val="000000"/>
                <w:highlight w:val="black"/>
              </w:rPr>
            </w:pPr>
            <w:r w:rsidRPr="006F0063">
              <w:rPr>
                <w:rFonts w:cs="Calibri"/>
                <w:color w:val="000000"/>
                <w:highlight w:val="black"/>
              </w:rPr>
              <w:t>**%</w:t>
            </w:r>
          </w:p>
        </w:tc>
        <w:tc>
          <w:tcPr>
            <w:tcW w:w="597" w:type="dxa"/>
            <w:tcBorders>
              <w:top w:val="nil"/>
              <w:left w:val="nil"/>
              <w:bottom w:val="nil"/>
              <w:right w:val="nil"/>
            </w:tcBorders>
            <w:shd w:val="clear" w:color="auto" w:fill="auto"/>
            <w:noWrap/>
            <w:vAlign w:val="bottom"/>
            <w:hideMark/>
          </w:tcPr>
          <w:p w14:paraId="696083FF" w14:textId="177432AE" w:rsidR="00D42C01" w:rsidRPr="006F0063" w:rsidRDefault="00725FBA" w:rsidP="00071755">
            <w:pPr>
              <w:keepNext/>
              <w:keepLines/>
              <w:jc w:val="right"/>
              <w:rPr>
                <w:rFonts w:cs="Calibri"/>
                <w:color w:val="000000"/>
                <w:highlight w:val="black"/>
              </w:rPr>
            </w:pPr>
            <w:r w:rsidRPr="006F0063">
              <w:rPr>
                <w:rFonts w:cs="Calibri"/>
                <w:color w:val="000000"/>
                <w:highlight w:val="black"/>
              </w:rPr>
              <w:t>**%</w:t>
            </w:r>
          </w:p>
        </w:tc>
        <w:tc>
          <w:tcPr>
            <w:tcW w:w="632" w:type="dxa"/>
            <w:tcBorders>
              <w:top w:val="nil"/>
              <w:left w:val="nil"/>
              <w:bottom w:val="nil"/>
              <w:right w:val="nil"/>
            </w:tcBorders>
            <w:shd w:val="clear" w:color="auto" w:fill="auto"/>
            <w:noWrap/>
            <w:vAlign w:val="bottom"/>
            <w:hideMark/>
          </w:tcPr>
          <w:p w14:paraId="36B4C539" w14:textId="57FB84B0" w:rsidR="00D42C01" w:rsidRPr="006F0063" w:rsidRDefault="00725FBA" w:rsidP="00071755">
            <w:pPr>
              <w:keepNext/>
              <w:keepLines/>
              <w:jc w:val="right"/>
              <w:rPr>
                <w:rFonts w:cs="Calibri"/>
                <w:color w:val="000000"/>
                <w:highlight w:val="black"/>
              </w:rPr>
            </w:pPr>
            <w:r w:rsidRPr="006F0063">
              <w:rPr>
                <w:rFonts w:cs="Calibri"/>
                <w:color w:val="000000"/>
                <w:highlight w:val="black"/>
              </w:rPr>
              <w:t>**%</w:t>
            </w:r>
          </w:p>
        </w:tc>
        <w:tc>
          <w:tcPr>
            <w:tcW w:w="597" w:type="dxa"/>
            <w:tcBorders>
              <w:top w:val="nil"/>
              <w:left w:val="nil"/>
              <w:bottom w:val="nil"/>
              <w:right w:val="nil"/>
            </w:tcBorders>
            <w:shd w:val="clear" w:color="auto" w:fill="auto"/>
            <w:noWrap/>
            <w:vAlign w:val="bottom"/>
            <w:hideMark/>
          </w:tcPr>
          <w:p w14:paraId="4FFEF1A6" w14:textId="77777777" w:rsidR="00D42C01" w:rsidRPr="00D42C01" w:rsidRDefault="00D42C01" w:rsidP="00071755">
            <w:pPr>
              <w:keepNext/>
              <w:keepLines/>
              <w:jc w:val="right"/>
              <w:rPr>
                <w:rFonts w:cs="Calibri"/>
                <w:color w:val="000000"/>
              </w:rPr>
            </w:pPr>
            <w:r w:rsidRPr="00D42C01">
              <w:rPr>
                <w:rFonts w:cs="Calibri"/>
                <w:color w:val="000000"/>
              </w:rPr>
              <w:t>30%</w:t>
            </w:r>
          </w:p>
        </w:tc>
        <w:tc>
          <w:tcPr>
            <w:tcW w:w="597" w:type="dxa"/>
            <w:tcBorders>
              <w:top w:val="nil"/>
              <w:left w:val="nil"/>
              <w:bottom w:val="nil"/>
              <w:right w:val="nil"/>
            </w:tcBorders>
            <w:shd w:val="clear" w:color="auto" w:fill="auto"/>
            <w:noWrap/>
            <w:vAlign w:val="bottom"/>
            <w:hideMark/>
          </w:tcPr>
          <w:p w14:paraId="02895443" w14:textId="77777777" w:rsidR="00D42C01" w:rsidRPr="00D42C01" w:rsidRDefault="00D42C01" w:rsidP="00071755">
            <w:pPr>
              <w:keepNext/>
              <w:keepLines/>
              <w:jc w:val="right"/>
              <w:rPr>
                <w:rFonts w:cs="Calibri"/>
                <w:color w:val="000000"/>
              </w:rPr>
            </w:pPr>
            <w:r w:rsidRPr="00D42C01">
              <w:rPr>
                <w:rFonts w:cs="Calibri"/>
                <w:color w:val="000000"/>
              </w:rPr>
              <w:t>35%</w:t>
            </w:r>
          </w:p>
        </w:tc>
        <w:tc>
          <w:tcPr>
            <w:tcW w:w="723" w:type="dxa"/>
            <w:tcBorders>
              <w:top w:val="nil"/>
              <w:left w:val="nil"/>
              <w:bottom w:val="nil"/>
              <w:right w:val="single" w:sz="8" w:space="0" w:color="auto"/>
            </w:tcBorders>
            <w:shd w:val="clear" w:color="auto" w:fill="auto"/>
            <w:noWrap/>
            <w:vAlign w:val="bottom"/>
            <w:hideMark/>
          </w:tcPr>
          <w:p w14:paraId="6972317B" w14:textId="77777777" w:rsidR="00D42C01" w:rsidRPr="00D42C01" w:rsidRDefault="00D42C01" w:rsidP="00071755">
            <w:pPr>
              <w:keepNext/>
              <w:keepLines/>
              <w:jc w:val="right"/>
              <w:rPr>
                <w:rFonts w:cs="Calibri"/>
                <w:color w:val="000000"/>
              </w:rPr>
            </w:pPr>
            <w:r w:rsidRPr="00D42C01">
              <w:rPr>
                <w:rFonts w:cs="Calibri"/>
                <w:color w:val="000000"/>
              </w:rPr>
              <w:t>10%</w:t>
            </w:r>
          </w:p>
        </w:tc>
      </w:tr>
      <w:tr w:rsidR="00CE6100" w:rsidRPr="00D42C01" w14:paraId="0A828104" w14:textId="77777777" w:rsidTr="006F0063">
        <w:trPr>
          <w:trHeight w:val="300"/>
          <w:jc w:val="center"/>
        </w:trPr>
        <w:tc>
          <w:tcPr>
            <w:tcW w:w="1287" w:type="dxa"/>
            <w:tcBorders>
              <w:top w:val="nil"/>
              <w:left w:val="single" w:sz="8" w:space="0" w:color="auto"/>
              <w:bottom w:val="nil"/>
              <w:right w:val="nil"/>
            </w:tcBorders>
            <w:shd w:val="clear" w:color="auto" w:fill="auto"/>
            <w:noWrap/>
            <w:vAlign w:val="bottom"/>
            <w:hideMark/>
          </w:tcPr>
          <w:p w14:paraId="431A71CF" w14:textId="77777777" w:rsidR="00D42C01" w:rsidRPr="00D42C01" w:rsidRDefault="00D42C01" w:rsidP="00071755">
            <w:pPr>
              <w:keepNext/>
              <w:keepLines/>
              <w:jc w:val="left"/>
              <w:rPr>
                <w:rFonts w:cs="Calibri"/>
                <w:color w:val="000000"/>
              </w:rPr>
            </w:pPr>
            <w:r w:rsidRPr="00D42C01">
              <w:rPr>
                <w:rFonts w:cs="Calibri"/>
                <w:color w:val="000000"/>
              </w:rPr>
              <w:t>Commercial</w:t>
            </w:r>
          </w:p>
        </w:tc>
        <w:tc>
          <w:tcPr>
            <w:tcW w:w="1920" w:type="dxa"/>
            <w:tcBorders>
              <w:top w:val="nil"/>
              <w:left w:val="nil"/>
              <w:bottom w:val="nil"/>
              <w:right w:val="nil"/>
            </w:tcBorders>
            <w:shd w:val="clear" w:color="auto" w:fill="auto"/>
            <w:vAlign w:val="center"/>
            <w:hideMark/>
          </w:tcPr>
          <w:p w14:paraId="688CF8C6" w14:textId="6BF5EBEF" w:rsidR="00D42C01" w:rsidRPr="006F0063" w:rsidRDefault="00725FBA" w:rsidP="00071755">
            <w:pPr>
              <w:keepNext/>
              <w:keepLines/>
              <w:jc w:val="left"/>
              <w:rPr>
                <w:rFonts w:cs="Calibri"/>
                <w:color w:val="000000"/>
                <w:highlight w:val="black"/>
              </w:rPr>
            </w:pPr>
            <w:r w:rsidRPr="006F0063">
              <w:rPr>
                <w:rFonts w:cs="Calibri"/>
                <w:color w:val="000000"/>
                <w:highlight w:val="black"/>
              </w:rPr>
              <w:t>*******</w:t>
            </w:r>
          </w:p>
        </w:tc>
        <w:tc>
          <w:tcPr>
            <w:tcW w:w="680" w:type="dxa"/>
            <w:tcBorders>
              <w:top w:val="nil"/>
              <w:left w:val="nil"/>
              <w:bottom w:val="nil"/>
              <w:right w:val="nil"/>
            </w:tcBorders>
            <w:shd w:val="clear" w:color="auto" w:fill="auto"/>
            <w:noWrap/>
            <w:vAlign w:val="bottom"/>
            <w:hideMark/>
          </w:tcPr>
          <w:p w14:paraId="0330B753" w14:textId="4EC080F3" w:rsidR="00D42C01" w:rsidRPr="006F0063" w:rsidRDefault="00725FBA" w:rsidP="00071755">
            <w:pPr>
              <w:keepNext/>
              <w:keepLines/>
              <w:jc w:val="right"/>
              <w:rPr>
                <w:rFonts w:cs="Calibri"/>
                <w:color w:val="000000"/>
                <w:highlight w:val="black"/>
              </w:rPr>
            </w:pPr>
            <w:r w:rsidRPr="006F0063">
              <w:rPr>
                <w:rFonts w:cs="Calibri"/>
                <w:color w:val="000000"/>
                <w:highlight w:val="black"/>
              </w:rPr>
              <w:t>**%</w:t>
            </w:r>
          </w:p>
        </w:tc>
        <w:tc>
          <w:tcPr>
            <w:tcW w:w="680" w:type="dxa"/>
            <w:tcBorders>
              <w:top w:val="nil"/>
              <w:left w:val="nil"/>
              <w:bottom w:val="nil"/>
              <w:right w:val="nil"/>
            </w:tcBorders>
            <w:shd w:val="clear" w:color="auto" w:fill="auto"/>
            <w:noWrap/>
            <w:vAlign w:val="bottom"/>
            <w:hideMark/>
          </w:tcPr>
          <w:p w14:paraId="7EF59422" w14:textId="44C3C083" w:rsidR="00D42C01" w:rsidRPr="006F0063" w:rsidRDefault="00725FBA" w:rsidP="00071755">
            <w:pPr>
              <w:keepNext/>
              <w:keepLines/>
              <w:jc w:val="right"/>
              <w:rPr>
                <w:rFonts w:cs="Calibri"/>
                <w:color w:val="000000"/>
                <w:highlight w:val="black"/>
              </w:rPr>
            </w:pPr>
            <w:r w:rsidRPr="006F0063">
              <w:rPr>
                <w:rFonts w:cs="Calibri"/>
                <w:color w:val="000000"/>
                <w:highlight w:val="black"/>
              </w:rPr>
              <w:t>**%</w:t>
            </w:r>
          </w:p>
        </w:tc>
        <w:tc>
          <w:tcPr>
            <w:tcW w:w="680" w:type="dxa"/>
            <w:tcBorders>
              <w:top w:val="nil"/>
              <w:left w:val="nil"/>
              <w:bottom w:val="nil"/>
              <w:right w:val="nil"/>
            </w:tcBorders>
            <w:shd w:val="clear" w:color="auto" w:fill="auto"/>
            <w:noWrap/>
            <w:vAlign w:val="bottom"/>
            <w:hideMark/>
          </w:tcPr>
          <w:p w14:paraId="2E40EA45" w14:textId="1C1E8081" w:rsidR="00D42C01" w:rsidRPr="006F0063" w:rsidRDefault="00725FBA" w:rsidP="00071755">
            <w:pPr>
              <w:keepNext/>
              <w:keepLines/>
              <w:jc w:val="right"/>
              <w:rPr>
                <w:rFonts w:cs="Calibri"/>
                <w:color w:val="000000"/>
                <w:highlight w:val="black"/>
              </w:rPr>
            </w:pPr>
            <w:r w:rsidRPr="006F0063">
              <w:rPr>
                <w:rFonts w:cs="Calibri"/>
                <w:color w:val="000000"/>
                <w:highlight w:val="black"/>
              </w:rPr>
              <w:t>**%</w:t>
            </w:r>
          </w:p>
        </w:tc>
        <w:tc>
          <w:tcPr>
            <w:tcW w:w="597" w:type="dxa"/>
            <w:tcBorders>
              <w:top w:val="nil"/>
              <w:left w:val="nil"/>
              <w:bottom w:val="nil"/>
              <w:right w:val="nil"/>
            </w:tcBorders>
            <w:shd w:val="clear" w:color="auto" w:fill="auto"/>
            <w:noWrap/>
            <w:vAlign w:val="bottom"/>
            <w:hideMark/>
          </w:tcPr>
          <w:p w14:paraId="0B6824AC" w14:textId="6FF22E7F" w:rsidR="00D42C01" w:rsidRPr="006F0063" w:rsidRDefault="00725FBA" w:rsidP="00071755">
            <w:pPr>
              <w:keepNext/>
              <w:keepLines/>
              <w:jc w:val="right"/>
              <w:rPr>
                <w:rFonts w:cs="Calibri"/>
                <w:color w:val="000000"/>
                <w:highlight w:val="black"/>
              </w:rPr>
            </w:pPr>
            <w:r w:rsidRPr="006F0063">
              <w:rPr>
                <w:rFonts w:cs="Calibri"/>
                <w:color w:val="000000"/>
                <w:highlight w:val="black"/>
              </w:rPr>
              <w:t>**%</w:t>
            </w:r>
          </w:p>
        </w:tc>
        <w:tc>
          <w:tcPr>
            <w:tcW w:w="597" w:type="dxa"/>
            <w:tcBorders>
              <w:top w:val="nil"/>
              <w:left w:val="nil"/>
              <w:bottom w:val="nil"/>
              <w:right w:val="nil"/>
            </w:tcBorders>
            <w:shd w:val="clear" w:color="auto" w:fill="auto"/>
            <w:noWrap/>
            <w:vAlign w:val="bottom"/>
            <w:hideMark/>
          </w:tcPr>
          <w:p w14:paraId="35539887" w14:textId="10ED37AE" w:rsidR="00D42C01" w:rsidRPr="006F0063" w:rsidRDefault="00725FBA" w:rsidP="00071755">
            <w:pPr>
              <w:keepNext/>
              <w:keepLines/>
              <w:jc w:val="right"/>
              <w:rPr>
                <w:rFonts w:cs="Calibri"/>
                <w:color w:val="000000"/>
                <w:highlight w:val="black"/>
              </w:rPr>
            </w:pPr>
            <w:r w:rsidRPr="006F0063">
              <w:rPr>
                <w:rFonts w:cs="Calibri"/>
                <w:color w:val="000000"/>
                <w:highlight w:val="black"/>
              </w:rPr>
              <w:t>**%</w:t>
            </w:r>
          </w:p>
        </w:tc>
        <w:tc>
          <w:tcPr>
            <w:tcW w:w="632" w:type="dxa"/>
            <w:tcBorders>
              <w:top w:val="nil"/>
              <w:left w:val="nil"/>
              <w:bottom w:val="nil"/>
              <w:right w:val="nil"/>
            </w:tcBorders>
            <w:shd w:val="clear" w:color="auto" w:fill="auto"/>
            <w:noWrap/>
            <w:vAlign w:val="bottom"/>
            <w:hideMark/>
          </w:tcPr>
          <w:p w14:paraId="630F35CD" w14:textId="23957BC2" w:rsidR="00D42C01" w:rsidRPr="006F0063" w:rsidRDefault="00725FBA" w:rsidP="00071755">
            <w:pPr>
              <w:keepNext/>
              <w:keepLines/>
              <w:jc w:val="right"/>
              <w:rPr>
                <w:rFonts w:cs="Calibri"/>
                <w:color w:val="000000"/>
                <w:highlight w:val="black"/>
              </w:rPr>
            </w:pPr>
            <w:r w:rsidRPr="006F0063">
              <w:rPr>
                <w:rFonts w:cs="Calibri"/>
                <w:color w:val="000000"/>
                <w:highlight w:val="black"/>
              </w:rPr>
              <w:t>**%</w:t>
            </w:r>
          </w:p>
        </w:tc>
        <w:tc>
          <w:tcPr>
            <w:tcW w:w="597" w:type="dxa"/>
            <w:tcBorders>
              <w:top w:val="nil"/>
              <w:left w:val="nil"/>
              <w:bottom w:val="nil"/>
              <w:right w:val="nil"/>
            </w:tcBorders>
            <w:shd w:val="clear" w:color="auto" w:fill="auto"/>
            <w:noWrap/>
            <w:vAlign w:val="bottom"/>
            <w:hideMark/>
          </w:tcPr>
          <w:p w14:paraId="598FF39B" w14:textId="77777777" w:rsidR="00D42C01" w:rsidRPr="00D42C01" w:rsidRDefault="00D42C01" w:rsidP="00071755">
            <w:pPr>
              <w:keepNext/>
              <w:keepLines/>
              <w:jc w:val="right"/>
              <w:rPr>
                <w:rFonts w:cs="Calibri"/>
                <w:color w:val="000000"/>
              </w:rPr>
            </w:pPr>
            <w:r w:rsidRPr="00D42C01">
              <w:rPr>
                <w:rFonts w:cs="Calibri"/>
                <w:color w:val="000000"/>
              </w:rPr>
              <w:t>30%</w:t>
            </w:r>
          </w:p>
        </w:tc>
        <w:tc>
          <w:tcPr>
            <w:tcW w:w="597" w:type="dxa"/>
            <w:tcBorders>
              <w:top w:val="nil"/>
              <w:left w:val="nil"/>
              <w:bottom w:val="nil"/>
              <w:right w:val="nil"/>
            </w:tcBorders>
            <w:shd w:val="clear" w:color="auto" w:fill="auto"/>
            <w:noWrap/>
            <w:vAlign w:val="bottom"/>
            <w:hideMark/>
          </w:tcPr>
          <w:p w14:paraId="02815E00" w14:textId="77777777" w:rsidR="00D42C01" w:rsidRPr="00D42C01" w:rsidRDefault="00D42C01" w:rsidP="00071755">
            <w:pPr>
              <w:keepNext/>
              <w:keepLines/>
              <w:jc w:val="right"/>
              <w:rPr>
                <w:rFonts w:cs="Calibri"/>
                <w:color w:val="000000"/>
              </w:rPr>
            </w:pPr>
            <w:r w:rsidRPr="00D42C01">
              <w:rPr>
                <w:rFonts w:cs="Calibri"/>
                <w:color w:val="000000"/>
              </w:rPr>
              <w:t>15%</w:t>
            </w:r>
          </w:p>
        </w:tc>
        <w:tc>
          <w:tcPr>
            <w:tcW w:w="723" w:type="dxa"/>
            <w:tcBorders>
              <w:top w:val="nil"/>
              <w:left w:val="nil"/>
              <w:bottom w:val="nil"/>
              <w:right w:val="single" w:sz="8" w:space="0" w:color="auto"/>
            </w:tcBorders>
            <w:shd w:val="clear" w:color="auto" w:fill="auto"/>
            <w:noWrap/>
            <w:vAlign w:val="bottom"/>
            <w:hideMark/>
          </w:tcPr>
          <w:p w14:paraId="37FFCD90" w14:textId="77777777" w:rsidR="00D42C01" w:rsidRPr="00D42C01" w:rsidRDefault="00D42C01" w:rsidP="00071755">
            <w:pPr>
              <w:keepNext/>
              <w:keepLines/>
              <w:jc w:val="right"/>
              <w:rPr>
                <w:rFonts w:cs="Calibri"/>
                <w:color w:val="000000"/>
              </w:rPr>
            </w:pPr>
            <w:r w:rsidRPr="00D42C01">
              <w:rPr>
                <w:rFonts w:cs="Calibri"/>
                <w:color w:val="000000"/>
              </w:rPr>
              <w:t>0%</w:t>
            </w:r>
          </w:p>
        </w:tc>
      </w:tr>
      <w:tr w:rsidR="00CE6100" w:rsidRPr="00D42C01" w14:paraId="16615DB2" w14:textId="77777777" w:rsidTr="006F0063">
        <w:trPr>
          <w:trHeight w:val="300"/>
          <w:jc w:val="center"/>
        </w:trPr>
        <w:tc>
          <w:tcPr>
            <w:tcW w:w="1287" w:type="dxa"/>
            <w:tcBorders>
              <w:top w:val="nil"/>
              <w:left w:val="single" w:sz="8" w:space="0" w:color="auto"/>
              <w:bottom w:val="nil"/>
              <w:right w:val="nil"/>
            </w:tcBorders>
            <w:shd w:val="clear" w:color="auto" w:fill="auto"/>
            <w:noWrap/>
            <w:vAlign w:val="bottom"/>
            <w:hideMark/>
          </w:tcPr>
          <w:p w14:paraId="578FB20D" w14:textId="77777777" w:rsidR="00D42C01" w:rsidRPr="00D42C01" w:rsidRDefault="00D42C01" w:rsidP="00071755">
            <w:pPr>
              <w:keepNext/>
              <w:keepLines/>
              <w:jc w:val="left"/>
              <w:rPr>
                <w:rFonts w:cs="Calibri"/>
                <w:color w:val="000000"/>
              </w:rPr>
            </w:pPr>
            <w:r w:rsidRPr="00D42C01">
              <w:rPr>
                <w:rFonts w:cs="Calibri"/>
                <w:color w:val="000000"/>
              </w:rPr>
              <w:t>Commercial</w:t>
            </w:r>
          </w:p>
        </w:tc>
        <w:tc>
          <w:tcPr>
            <w:tcW w:w="1920" w:type="dxa"/>
            <w:tcBorders>
              <w:top w:val="nil"/>
              <w:left w:val="nil"/>
              <w:bottom w:val="nil"/>
              <w:right w:val="nil"/>
            </w:tcBorders>
            <w:shd w:val="clear" w:color="auto" w:fill="auto"/>
            <w:vAlign w:val="center"/>
            <w:hideMark/>
          </w:tcPr>
          <w:p w14:paraId="3EAE731E" w14:textId="30051008" w:rsidR="00D42C01" w:rsidRPr="006F0063" w:rsidRDefault="00725FBA" w:rsidP="00071755">
            <w:pPr>
              <w:keepNext/>
              <w:keepLines/>
              <w:jc w:val="left"/>
              <w:rPr>
                <w:rFonts w:cs="Calibri"/>
                <w:color w:val="000000"/>
                <w:highlight w:val="black"/>
              </w:rPr>
            </w:pPr>
            <w:r w:rsidRPr="006F0063">
              <w:rPr>
                <w:rFonts w:cs="Calibri"/>
                <w:color w:val="000000"/>
                <w:highlight w:val="black"/>
              </w:rPr>
              <w:t>*******</w:t>
            </w:r>
          </w:p>
        </w:tc>
        <w:tc>
          <w:tcPr>
            <w:tcW w:w="680" w:type="dxa"/>
            <w:tcBorders>
              <w:top w:val="nil"/>
              <w:left w:val="nil"/>
              <w:bottom w:val="nil"/>
              <w:right w:val="nil"/>
            </w:tcBorders>
            <w:shd w:val="clear" w:color="auto" w:fill="auto"/>
            <w:noWrap/>
            <w:vAlign w:val="bottom"/>
            <w:hideMark/>
          </w:tcPr>
          <w:p w14:paraId="458309EF" w14:textId="7C47BAC1" w:rsidR="00D42C01" w:rsidRPr="006F0063" w:rsidRDefault="00725FBA" w:rsidP="00071755">
            <w:pPr>
              <w:keepNext/>
              <w:keepLines/>
              <w:jc w:val="right"/>
              <w:rPr>
                <w:rFonts w:cs="Calibri"/>
                <w:color w:val="000000"/>
                <w:highlight w:val="black"/>
              </w:rPr>
            </w:pPr>
            <w:r w:rsidRPr="006F0063">
              <w:rPr>
                <w:rFonts w:cs="Calibri"/>
                <w:color w:val="000000"/>
                <w:highlight w:val="black"/>
              </w:rPr>
              <w:t>**%</w:t>
            </w:r>
          </w:p>
        </w:tc>
        <w:tc>
          <w:tcPr>
            <w:tcW w:w="680" w:type="dxa"/>
            <w:tcBorders>
              <w:top w:val="nil"/>
              <w:left w:val="nil"/>
              <w:bottom w:val="nil"/>
              <w:right w:val="nil"/>
            </w:tcBorders>
            <w:shd w:val="clear" w:color="auto" w:fill="auto"/>
            <w:noWrap/>
            <w:vAlign w:val="bottom"/>
            <w:hideMark/>
          </w:tcPr>
          <w:p w14:paraId="4F20ECF7" w14:textId="4F045FED" w:rsidR="00D42C01" w:rsidRPr="006F0063" w:rsidRDefault="00725FBA" w:rsidP="00071755">
            <w:pPr>
              <w:keepNext/>
              <w:keepLines/>
              <w:jc w:val="right"/>
              <w:rPr>
                <w:rFonts w:cs="Calibri"/>
                <w:color w:val="000000"/>
                <w:highlight w:val="black"/>
              </w:rPr>
            </w:pPr>
            <w:r w:rsidRPr="006F0063">
              <w:rPr>
                <w:rFonts w:cs="Calibri"/>
                <w:color w:val="000000"/>
                <w:highlight w:val="black"/>
              </w:rPr>
              <w:t>**%</w:t>
            </w:r>
          </w:p>
        </w:tc>
        <w:tc>
          <w:tcPr>
            <w:tcW w:w="680" w:type="dxa"/>
            <w:tcBorders>
              <w:top w:val="nil"/>
              <w:left w:val="nil"/>
              <w:bottom w:val="nil"/>
              <w:right w:val="nil"/>
            </w:tcBorders>
            <w:shd w:val="clear" w:color="auto" w:fill="auto"/>
            <w:noWrap/>
            <w:vAlign w:val="bottom"/>
            <w:hideMark/>
          </w:tcPr>
          <w:p w14:paraId="3D2FA316" w14:textId="765C026C" w:rsidR="00D42C01" w:rsidRPr="006F0063" w:rsidRDefault="00725FBA" w:rsidP="00071755">
            <w:pPr>
              <w:keepNext/>
              <w:keepLines/>
              <w:jc w:val="right"/>
              <w:rPr>
                <w:rFonts w:cs="Calibri"/>
                <w:color w:val="000000"/>
                <w:highlight w:val="black"/>
              </w:rPr>
            </w:pPr>
            <w:r w:rsidRPr="006F0063">
              <w:rPr>
                <w:rFonts w:cs="Calibri"/>
                <w:color w:val="000000"/>
                <w:highlight w:val="black"/>
              </w:rPr>
              <w:t>**%</w:t>
            </w:r>
          </w:p>
        </w:tc>
        <w:tc>
          <w:tcPr>
            <w:tcW w:w="597" w:type="dxa"/>
            <w:tcBorders>
              <w:top w:val="nil"/>
              <w:left w:val="nil"/>
              <w:bottom w:val="nil"/>
              <w:right w:val="nil"/>
            </w:tcBorders>
            <w:shd w:val="clear" w:color="auto" w:fill="auto"/>
            <w:noWrap/>
            <w:vAlign w:val="bottom"/>
            <w:hideMark/>
          </w:tcPr>
          <w:p w14:paraId="67905749" w14:textId="610824D0" w:rsidR="00D42C01" w:rsidRPr="006F0063" w:rsidRDefault="00725FBA" w:rsidP="00071755">
            <w:pPr>
              <w:keepNext/>
              <w:keepLines/>
              <w:jc w:val="right"/>
              <w:rPr>
                <w:rFonts w:cs="Calibri"/>
                <w:color w:val="000000"/>
                <w:highlight w:val="black"/>
              </w:rPr>
            </w:pPr>
            <w:r w:rsidRPr="006F0063">
              <w:rPr>
                <w:rFonts w:cs="Calibri"/>
                <w:color w:val="000000"/>
                <w:highlight w:val="black"/>
              </w:rPr>
              <w:t>**%</w:t>
            </w:r>
          </w:p>
        </w:tc>
        <w:tc>
          <w:tcPr>
            <w:tcW w:w="597" w:type="dxa"/>
            <w:tcBorders>
              <w:top w:val="nil"/>
              <w:left w:val="nil"/>
              <w:bottom w:val="nil"/>
              <w:right w:val="nil"/>
            </w:tcBorders>
            <w:shd w:val="clear" w:color="auto" w:fill="auto"/>
            <w:noWrap/>
            <w:vAlign w:val="bottom"/>
            <w:hideMark/>
          </w:tcPr>
          <w:p w14:paraId="2771729F" w14:textId="4A01C154" w:rsidR="00D42C01" w:rsidRPr="006F0063" w:rsidRDefault="00725FBA" w:rsidP="00071755">
            <w:pPr>
              <w:keepNext/>
              <w:keepLines/>
              <w:jc w:val="right"/>
              <w:rPr>
                <w:rFonts w:cs="Calibri"/>
                <w:color w:val="000000"/>
                <w:highlight w:val="black"/>
              </w:rPr>
            </w:pPr>
            <w:r w:rsidRPr="006F0063">
              <w:rPr>
                <w:rFonts w:cs="Calibri"/>
                <w:color w:val="000000"/>
                <w:highlight w:val="black"/>
              </w:rPr>
              <w:t>**%</w:t>
            </w:r>
          </w:p>
        </w:tc>
        <w:tc>
          <w:tcPr>
            <w:tcW w:w="632" w:type="dxa"/>
            <w:tcBorders>
              <w:top w:val="nil"/>
              <w:left w:val="nil"/>
              <w:bottom w:val="nil"/>
              <w:right w:val="nil"/>
            </w:tcBorders>
            <w:shd w:val="clear" w:color="auto" w:fill="auto"/>
            <w:noWrap/>
            <w:vAlign w:val="bottom"/>
            <w:hideMark/>
          </w:tcPr>
          <w:p w14:paraId="46471534" w14:textId="7E4536FB" w:rsidR="00D42C01" w:rsidRPr="006F0063" w:rsidRDefault="00725FBA" w:rsidP="00071755">
            <w:pPr>
              <w:keepNext/>
              <w:keepLines/>
              <w:jc w:val="right"/>
              <w:rPr>
                <w:rFonts w:cs="Calibri"/>
                <w:color w:val="000000"/>
                <w:highlight w:val="black"/>
              </w:rPr>
            </w:pPr>
            <w:r w:rsidRPr="006F0063">
              <w:rPr>
                <w:rFonts w:cs="Calibri"/>
                <w:color w:val="000000"/>
                <w:highlight w:val="black"/>
              </w:rPr>
              <w:t>**%</w:t>
            </w:r>
          </w:p>
        </w:tc>
        <w:tc>
          <w:tcPr>
            <w:tcW w:w="597" w:type="dxa"/>
            <w:tcBorders>
              <w:top w:val="nil"/>
              <w:left w:val="nil"/>
              <w:bottom w:val="nil"/>
              <w:right w:val="nil"/>
            </w:tcBorders>
            <w:shd w:val="clear" w:color="auto" w:fill="auto"/>
            <w:noWrap/>
            <w:vAlign w:val="bottom"/>
            <w:hideMark/>
          </w:tcPr>
          <w:p w14:paraId="300544C2" w14:textId="77777777" w:rsidR="00D42C01" w:rsidRPr="00D42C01" w:rsidRDefault="00D42C01" w:rsidP="00071755">
            <w:pPr>
              <w:keepNext/>
              <w:keepLines/>
              <w:jc w:val="right"/>
              <w:rPr>
                <w:rFonts w:cs="Calibri"/>
                <w:color w:val="000000"/>
              </w:rPr>
            </w:pPr>
            <w:r w:rsidRPr="00D42C01">
              <w:rPr>
                <w:rFonts w:cs="Calibri"/>
                <w:color w:val="000000"/>
              </w:rPr>
              <w:t>10%</w:t>
            </w:r>
          </w:p>
        </w:tc>
        <w:tc>
          <w:tcPr>
            <w:tcW w:w="597" w:type="dxa"/>
            <w:tcBorders>
              <w:top w:val="nil"/>
              <w:left w:val="nil"/>
              <w:bottom w:val="nil"/>
              <w:right w:val="nil"/>
            </w:tcBorders>
            <w:shd w:val="clear" w:color="auto" w:fill="auto"/>
            <w:noWrap/>
            <w:vAlign w:val="bottom"/>
            <w:hideMark/>
          </w:tcPr>
          <w:p w14:paraId="552B8A49" w14:textId="77777777" w:rsidR="00D42C01" w:rsidRPr="00D42C01" w:rsidRDefault="00D42C01" w:rsidP="00071755">
            <w:pPr>
              <w:keepNext/>
              <w:keepLines/>
              <w:jc w:val="right"/>
              <w:rPr>
                <w:rFonts w:cs="Calibri"/>
                <w:color w:val="000000"/>
              </w:rPr>
            </w:pPr>
            <w:r w:rsidRPr="00D42C01">
              <w:rPr>
                <w:rFonts w:cs="Calibri"/>
                <w:color w:val="000000"/>
              </w:rPr>
              <w:t>0%</w:t>
            </w:r>
          </w:p>
        </w:tc>
        <w:tc>
          <w:tcPr>
            <w:tcW w:w="723" w:type="dxa"/>
            <w:tcBorders>
              <w:top w:val="nil"/>
              <w:left w:val="nil"/>
              <w:bottom w:val="nil"/>
              <w:right w:val="single" w:sz="8" w:space="0" w:color="auto"/>
            </w:tcBorders>
            <w:shd w:val="clear" w:color="auto" w:fill="auto"/>
            <w:noWrap/>
            <w:vAlign w:val="bottom"/>
            <w:hideMark/>
          </w:tcPr>
          <w:p w14:paraId="0264FB20" w14:textId="77777777" w:rsidR="00D42C01" w:rsidRPr="00D42C01" w:rsidRDefault="00D42C01" w:rsidP="00071755">
            <w:pPr>
              <w:keepNext/>
              <w:keepLines/>
              <w:jc w:val="right"/>
              <w:rPr>
                <w:rFonts w:cs="Calibri"/>
                <w:color w:val="000000"/>
              </w:rPr>
            </w:pPr>
            <w:r w:rsidRPr="00D42C01">
              <w:rPr>
                <w:rFonts w:cs="Calibri"/>
                <w:color w:val="000000"/>
              </w:rPr>
              <w:t>-5%</w:t>
            </w:r>
          </w:p>
        </w:tc>
      </w:tr>
      <w:tr w:rsidR="00CE6100" w:rsidRPr="00D42C01" w14:paraId="2811D59B" w14:textId="77777777" w:rsidTr="006F0063">
        <w:trPr>
          <w:trHeight w:val="300"/>
          <w:jc w:val="center"/>
        </w:trPr>
        <w:tc>
          <w:tcPr>
            <w:tcW w:w="1287" w:type="dxa"/>
            <w:tcBorders>
              <w:top w:val="nil"/>
              <w:left w:val="single" w:sz="8" w:space="0" w:color="auto"/>
              <w:bottom w:val="nil"/>
              <w:right w:val="nil"/>
            </w:tcBorders>
            <w:shd w:val="clear" w:color="auto" w:fill="auto"/>
            <w:noWrap/>
            <w:vAlign w:val="bottom"/>
            <w:hideMark/>
          </w:tcPr>
          <w:p w14:paraId="3A658992" w14:textId="77777777" w:rsidR="00D42C01" w:rsidRPr="00D42C01" w:rsidRDefault="00D42C01" w:rsidP="00071755">
            <w:pPr>
              <w:keepNext/>
              <w:keepLines/>
              <w:jc w:val="left"/>
              <w:rPr>
                <w:rFonts w:cs="Calibri"/>
                <w:color w:val="000000"/>
              </w:rPr>
            </w:pPr>
            <w:r w:rsidRPr="00D42C01">
              <w:rPr>
                <w:rFonts w:cs="Calibri"/>
                <w:color w:val="000000"/>
              </w:rPr>
              <w:t>Commercial</w:t>
            </w:r>
          </w:p>
        </w:tc>
        <w:tc>
          <w:tcPr>
            <w:tcW w:w="1920" w:type="dxa"/>
            <w:tcBorders>
              <w:top w:val="nil"/>
              <w:left w:val="nil"/>
              <w:bottom w:val="nil"/>
              <w:right w:val="nil"/>
            </w:tcBorders>
            <w:shd w:val="clear" w:color="auto" w:fill="auto"/>
            <w:vAlign w:val="center"/>
            <w:hideMark/>
          </w:tcPr>
          <w:p w14:paraId="645B886B" w14:textId="13FB9DA1" w:rsidR="00D42C01" w:rsidRPr="006F0063" w:rsidRDefault="00725FBA" w:rsidP="00071755">
            <w:pPr>
              <w:keepNext/>
              <w:keepLines/>
              <w:jc w:val="left"/>
              <w:rPr>
                <w:rFonts w:cs="Calibri"/>
                <w:color w:val="000000"/>
                <w:highlight w:val="black"/>
              </w:rPr>
            </w:pPr>
            <w:r w:rsidRPr="006F0063">
              <w:rPr>
                <w:rFonts w:cs="Calibri"/>
                <w:color w:val="000000"/>
                <w:highlight w:val="black"/>
              </w:rPr>
              <w:t>*******</w:t>
            </w:r>
          </w:p>
        </w:tc>
        <w:tc>
          <w:tcPr>
            <w:tcW w:w="680" w:type="dxa"/>
            <w:tcBorders>
              <w:top w:val="nil"/>
              <w:left w:val="nil"/>
              <w:bottom w:val="nil"/>
              <w:right w:val="nil"/>
            </w:tcBorders>
            <w:shd w:val="clear" w:color="auto" w:fill="auto"/>
            <w:noWrap/>
            <w:vAlign w:val="bottom"/>
            <w:hideMark/>
          </w:tcPr>
          <w:p w14:paraId="268D5DAB" w14:textId="7F0F8B4B" w:rsidR="00D42C01" w:rsidRPr="006F0063" w:rsidRDefault="00725FBA" w:rsidP="00071755">
            <w:pPr>
              <w:keepNext/>
              <w:keepLines/>
              <w:jc w:val="right"/>
              <w:rPr>
                <w:rFonts w:cs="Calibri"/>
                <w:color w:val="000000"/>
                <w:highlight w:val="black"/>
              </w:rPr>
            </w:pPr>
            <w:r w:rsidRPr="006F0063">
              <w:rPr>
                <w:rFonts w:cs="Calibri"/>
                <w:color w:val="000000"/>
                <w:highlight w:val="black"/>
              </w:rPr>
              <w:t>**%</w:t>
            </w:r>
          </w:p>
        </w:tc>
        <w:tc>
          <w:tcPr>
            <w:tcW w:w="680" w:type="dxa"/>
            <w:tcBorders>
              <w:top w:val="nil"/>
              <w:left w:val="nil"/>
              <w:bottom w:val="nil"/>
              <w:right w:val="nil"/>
            </w:tcBorders>
            <w:shd w:val="clear" w:color="auto" w:fill="auto"/>
            <w:noWrap/>
            <w:vAlign w:val="bottom"/>
            <w:hideMark/>
          </w:tcPr>
          <w:p w14:paraId="184F3913" w14:textId="206453E6" w:rsidR="00D42C01" w:rsidRPr="006F0063" w:rsidRDefault="00725FBA" w:rsidP="00071755">
            <w:pPr>
              <w:keepNext/>
              <w:keepLines/>
              <w:jc w:val="right"/>
              <w:rPr>
                <w:rFonts w:cs="Calibri"/>
                <w:color w:val="000000"/>
                <w:highlight w:val="black"/>
              </w:rPr>
            </w:pPr>
            <w:r w:rsidRPr="006F0063">
              <w:rPr>
                <w:rFonts w:cs="Calibri"/>
                <w:color w:val="000000"/>
                <w:highlight w:val="black"/>
              </w:rPr>
              <w:t>**%</w:t>
            </w:r>
          </w:p>
        </w:tc>
        <w:tc>
          <w:tcPr>
            <w:tcW w:w="680" w:type="dxa"/>
            <w:tcBorders>
              <w:top w:val="nil"/>
              <w:left w:val="nil"/>
              <w:bottom w:val="nil"/>
              <w:right w:val="nil"/>
            </w:tcBorders>
            <w:shd w:val="clear" w:color="auto" w:fill="auto"/>
            <w:noWrap/>
            <w:vAlign w:val="bottom"/>
            <w:hideMark/>
          </w:tcPr>
          <w:p w14:paraId="324D3A1C" w14:textId="3E25967E" w:rsidR="00D42C01" w:rsidRPr="006F0063" w:rsidRDefault="00725FBA" w:rsidP="00071755">
            <w:pPr>
              <w:keepNext/>
              <w:keepLines/>
              <w:jc w:val="right"/>
              <w:rPr>
                <w:rFonts w:cs="Calibri"/>
                <w:color w:val="000000"/>
                <w:highlight w:val="black"/>
              </w:rPr>
            </w:pPr>
            <w:r w:rsidRPr="006F0063">
              <w:rPr>
                <w:rFonts w:cs="Calibri"/>
                <w:color w:val="000000"/>
                <w:highlight w:val="black"/>
              </w:rPr>
              <w:t>**%</w:t>
            </w:r>
          </w:p>
        </w:tc>
        <w:tc>
          <w:tcPr>
            <w:tcW w:w="597" w:type="dxa"/>
            <w:tcBorders>
              <w:top w:val="nil"/>
              <w:left w:val="nil"/>
              <w:bottom w:val="nil"/>
              <w:right w:val="nil"/>
            </w:tcBorders>
            <w:shd w:val="clear" w:color="auto" w:fill="auto"/>
            <w:noWrap/>
            <w:vAlign w:val="bottom"/>
            <w:hideMark/>
          </w:tcPr>
          <w:p w14:paraId="57BB2474" w14:textId="06B900BB" w:rsidR="00D42C01" w:rsidRPr="006F0063" w:rsidRDefault="00725FBA" w:rsidP="00071755">
            <w:pPr>
              <w:keepNext/>
              <w:keepLines/>
              <w:jc w:val="right"/>
              <w:rPr>
                <w:rFonts w:cs="Calibri"/>
                <w:color w:val="000000"/>
                <w:highlight w:val="black"/>
              </w:rPr>
            </w:pPr>
            <w:r w:rsidRPr="006F0063">
              <w:rPr>
                <w:rFonts w:cs="Calibri"/>
                <w:color w:val="000000"/>
                <w:highlight w:val="black"/>
              </w:rPr>
              <w:t>**%</w:t>
            </w:r>
          </w:p>
        </w:tc>
        <w:tc>
          <w:tcPr>
            <w:tcW w:w="597" w:type="dxa"/>
            <w:tcBorders>
              <w:top w:val="nil"/>
              <w:left w:val="nil"/>
              <w:bottom w:val="nil"/>
              <w:right w:val="nil"/>
            </w:tcBorders>
            <w:shd w:val="clear" w:color="auto" w:fill="auto"/>
            <w:noWrap/>
            <w:vAlign w:val="bottom"/>
            <w:hideMark/>
          </w:tcPr>
          <w:p w14:paraId="41725FA4" w14:textId="62B12C45" w:rsidR="00D42C01" w:rsidRPr="006F0063" w:rsidRDefault="00725FBA" w:rsidP="00071755">
            <w:pPr>
              <w:keepNext/>
              <w:keepLines/>
              <w:jc w:val="right"/>
              <w:rPr>
                <w:rFonts w:cs="Calibri"/>
                <w:color w:val="000000"/>
                <w:highlight w:val="black"/>
              </w:rPr>
            </w:pPr>
            <w:r w:rsidRPr="006F0063">
              <w:rPr>
                <w:rFonts w:cs="Calibri"/>
                <w:color w:val="000000"/>
                <w:highlight w:val="black"/>
              </w:rPr>
              <w:t>**%</w:t>
            </w:r>
          </w:p>
        </w:tc>
        <w:tc>
          <w:tcPr>
            <w:tcW w:w="632" w:type="dxa"/>
            <w:tcBorders>
              <w:top w:val="nil"/>
              <w:left w:val="nil"/>
              <w:bottom w:val="nil"/>
              <w:right w:val="nil"/>
            </w:tcBorders>
            <w:shd w:val="clear" w:color="auto" w:fill="auto"/>
            <w:noWrap/>
            <w:vAlign w:val="bottom"/>
            <w:hideMark/>
          </w:tcPr>
          <w:p w14:paraId="5BCBE6D3" w14:textId="6EF72AC6" w:rsidR="00D42C01" w:rsidRPr="006F0063" w:rsidRDefault="00725FBA" w:rsidP="00071755">
            <w:pPr>
              <w:keepNext/>
              <w:keepLines/>
              <w:jc w:val="right"/>
              <w:rPr>
                <w:rFonts w:cs="Calibri"/>
                <w:color w:val="000000"/>
                <w:highlight w:val="black"/>
              </w:rPr>
            </w:pPr>
            <w:r w:rsidRPr="006F0063">
              <w:rPr>
                <w:rFonts w:cs="Calibri"/>
                <w:color w:val="000000"/>
                <w:highlight w:val="black"/>
              </w:rPr>
              <w:t>**%</w:t>
            </w:r>
          </w:p>
        </w:tc>
        <w:tc>
          <w:tcPr>
            <w:tcW w:w="597" w:type="dxa"/>
            <w:tcBorders>
              <w:top w:val="nil"/>
              <w:left w:val="nil"/>
              <w:bottom w:val="nil"/>
              <w:right w:val="nil"/>
            </w:tcBorders>
            <w:shd w:val="clear" w:color="auto" w:fill="auto"/>
            <w:noWrap/>
            <w:vAlign w:val="bottom"/>
            <w:hideMark/>
          </w:tcPr>
          <w:p w14:paraId="38631B19" w14:textId="77777777" w:rsidR="00D42C01" w:rsidRPr="00D42C01" w:rsidRDefault="00D42C01" w:rsidP="00071755">
            <w:pPr>
              <w:keepNext/>
              <w:keepLines/>
              <w:jc w:val="right"/>
              <w:rPr>
                <w:rFonts w:cs="Calibri"/>
                <w:color w:val="000000"/>
              </w:rPr>
            </w:pPr>
            <w:r w:rsidRPr="00D42C01">
              <w:rPr>
                <w:rFonts w:cs="Calibri"/>
                <w:color w:val="000000"/>
              </w:rPr>
              <w:t>10%</w:t>
            </w:r>
          </w:p>
        </w:tc>
        <w:tc>
          <w:tcPr>
            <w:tcW w:w="597" w:type="dxa"/>
            <w:tcBorders>
              <w:top w:val="nil"/>
              <w:left w:val="nil"/>
              <w:bottom w:val="nil"/>
              <w:right w:val="nil"/>
            </w:tcBorders>
            <w:shd w:val="clear" w:color="auto" w:fill="auto"/>
            <w:noWrap/>
            <w:vAlign w:val="bottom"/>
            <w:hideMark/>
          </w:tcPr>
          <w:p w14:paraId="4D135DE1" w14:textId="77777777" w:rsidR="00D42C01" w:rsidRPr="00D42C01" w:rsidRDefault="00D42C01" w:rsidP="00071755">
            <w:pPr>
              <w:keepNext/>
              <w:keepLines/>
              <w:jc w:val="right"/>
              <w:rPr>
                <w:rFonts w:cs="Calibri"/>
                <w:color w:val="000000"/>
              </w:rPr>
            </w:pPr>
            <w:r w:rsidRPr="00D42C01">
              <w:rPr>
                <w:rFonts w:cs="Calibri"/>
                <w:color w:val="000000"/>
              </w:rPr>
              <w:t>0%</w:t>
            </w:r>
          </w:p>
        </w:tc>
        <w:tc>
          <w:tcPr>
            <w:tcW w:w="723" w:type="dxa"/>
            <w:tcBorders>
              <w:top w:val="nil"/>
              <w:left w:val="nil"/>
              <w:bottom w:val="nil"/>
              <w:right w:val="single" w:sz="8" w:space="0" w:color="auto"/>
            </w:tcBorders>
            <w:shd w:val="clear" w:color="auto" w:fill="auto"/>
            <w:noWrap/>
            <w:vAlign w:val="bottom"/>
            <w:hideMark/>
          </w:tcPr>
          <w:p w14:paraId="7B056BBC" w14:textId="77777777" w:rsidR="00D42C01" w:rsidRPr="00D42C01" w:rsidRDefault="00D42C01" w:rsidP="00071755">
            <w:pPr>
              <w:keepNext/>
              <w:keepLines/>
              <w:jc w:val="right"/>
              <w:rPr>
                <w:rFonts w:cs="Calibri"/>
                <w:color w:val="000000"/>
              </w:rPr>
            </w:pPr>
            <w:r w:rsidRPr="00D42C01">
              <w:rPr>
                <w:rFonts w:cs="Calibri"/>
                <w:color w:val="000000"/>
              </w:rPr>
              <w:t>-5%</w:t>
            </w:r>
          </w:p>
        </w:tc>
      </w:tr>
      <w:tr w:rsidR="00CE6100" w:rsidRPr="00D42C01" w14:paraId="716D3808" w14:textId="77777777" w:rsidTr="006F0063">
        <w:trPr>
          <w:trHeight w:val="300"/>
          <w:jc w:val="center"/>
        </w:trPr>
        <w:tc>
          <w:tcPr>
            <w:tcW w:w="1287" w:type="dxa"/>
            <w:tcBorders>
              <w:top w:val="nil"/>
              <w:left w:val="single" w:sz="8" w:space="0" w:color="auto"/>
              <w:bottom w:val="nil"/>
              <w:right w:val="nil"/>
            </w:tcBorders>
            <w:shd w:val="clear" w:color="auto" w:fill="auto"/>
            <w:noWrap/>
            <w:vAlign w:val="bottom"/>
            <w:hideMark/>
          </w:tcPr>
          <w:p w14:paraId="7E50A81C" w14:textId="77777777" w:rsidR="00D42C01" w:rsidRPr="00D42C01" w:rsidRDefault="00D42C01" w:rsidP="00071755">
            <w:pPr>
              <w:keepNext/>
              <w:keepLines/>
              <w:jc w:val="left"/>
              <w:rPr>
                <w:rFonts w:cs="Calibri"/>
                <w:color w:val="000000"/>
              </w:rPr>
            </w:pPr>
            <w:r w:rsidRPr="00D42C01">
              <w:rPr>
                <w:rFonts w:cs="Calibri"/>
                <w:color w:val="000000"/>
              </w:rPr>
              <w:t>Commercial</w:t>
            </w:r>
          </w:p>
        </w:tc>
        <w:tc>
          <w:tcPr>
            <w:tcW w:w="1920" w:type="dxa"/>
            <w:tcBorders>
              <w:top w:val="nil"/>
              <w:left w:val="nil"/>
              <w:bottom w:val="nil"/>
              <w:right w:val="nil"/>
            </w:tcBorders>
            <w:shd w:val="clear" w:color="auto" w:fill="auto"/>
            <w:vAlign w:val="center"/>
            <w:hideMark/>
          </w:tcPr>
          <w:p w14:paraId="774E3ECB" w14:textId="051ED0EF" w:rsidR="00D42C01" w:rsidRPr="006F0063" w:rsidRDefault="00725FBA" w:rsidP="00071755">
            <w:pPr>
              <w:keepNext/>
              <w:keepLines/>
              <w:jc w:val="left"/>
              <w:rPr>
                <w:rFonts w:cs="Calibri"/>
                <w:color w:val="000000"/>
                <w:highlight w:val="black"/>
              </w:rPr>
            </w:pPr>
            <w:r w:rsidRPr="006F0063">
              <w:rPr>
                <w:rFonts w:cs="Calibri"/>
                <w:color w:val="000000"/>
                <w:highlight w:val="black"/>
              </w:rPr>
              <w:t>*******</w:t>
            </w:r>
          </w:p>
        </w:tc>
        <w:tc>
          <w:tcPr>
            <w:tcW w:w="680" w:type="dxa"/>
            <w:tcBorders>
              <w:top w:val="nil"/>
              <w:left w:val="nil"/>
              <w:bottom w:val="nil"/>
              <w:right w:val="nil"/>
            </w:tcBorders>
            <w:shd w:val="clear" w:color="auto" w:fill="auto"/>
            <w:noWrap/>
            <w:vAlign w:val="bottom"/>
            <w:hideMark/>
          </w:tcPr>
          <w:p w14:paraId="0FCBDF12" w14:textId="54B21158" w:rsidR="00D42C01" w:rsidRPr="006F0063" w:rsidRDefault="00725FBA" w:rsidP="00071755">
            <w:pPr>
              <w:keepNext/>
              <w:keepLines/>
              <w:jc w:val="center"/>
              <w:rPr>
                <w:rFonts w:cs="Calibri"/>
                <w:color w:val="000000"/>
                <w:highlight w:val="black"/>
              </w:rPr>
            </w:pPr>
            <w:r w:rsidRPr="006F0063">
              <w:rPr>
                <w:rFonts w:cs="Calibri"/>
                <w:color w:val="000000"/>
                <w:highlight w:val="black"/>
              </w:rPr>
              <w:t>**%</w:t>
            </w:r>
          </w:p>
        </w:tc>
        <w:tc>
          <w:tcPr>
            <w:tcW w:w="680" w:type="dxa"/>
            <w:tcBorders>
              <w:top w:val="nil"/>
              <w:left w:val="nil"/>
              <w:bottom w:val="nil"/>
              <w:right w:val="nil"/>
            </w:tcBorders>
            <w:shd w:val="clear" w:color="auto" w:fill="auto"/>
            <w:noWrap/>
            <w:vAlign w:val="bottom"/>
            <w:hideMark/>
          </w:tcPr>
          <w:p w14:paraId="1B39699E" w14:textId="1F569F99" w:rsidR="00D42C01" w:rsidRPr="006F0063" w:rsidRDefault="00725FBA" w:rsidP="00071755">
            <w:pPr>
              <w:keepNext/>
              <w:keepLines/>
              <w:jc w:val="center"/>
              <w:rPr>
                <w:rFonts w:cs="Calibri"/>
                <w:color w:val="000000"/>
                <w:highlight w:val="black"/>
              </w:rPr>
            </w:pPr>
            <w:r w:rsidRPr="006F0063">
              <w:rPr>
                <w:rFonts w:cs="Calibri"/>
                <w:color w:val="000000"/>
                <w:highlight w:val="black"/>
              </w:rPr>
              <w:t>**%</w:t>
            </w:r>
          </w:p>
        </w:tc>
        <w:tc>
          <w:tcPr>
            <w:tcW w:w="680" w:type="dxa"/>
            <w:tcBorders>
              <w:top w:val="nil"/>
              <w:left w:val="nil"/>
              <w:bottom w:val="nil"/>
              <w:right w:val="nil"/>
            </w:tcBorders>
            <w:shd w:val="clear" w:color="auto" w:fill="auto"/>
            <w:noWrap/>
            <w:vAlign w:val="bottom"/>
            <w:hideMark/>
          </w:tcPr>
          <w:p w14:paraId="04958F18" w14:textId="30E0D9D3" w:rsidR="00D42C01" w:rsidRPr="006F0063" w:rsidRDefault="00725FBA" w:rsidP="00071755">
            <w:pPr>
              <w:keepNext/>
              <w:keepLines/>
              <w:jc w:val="center"/>
              <w:rPr>
                <w:rFonts w:cs="Calibri"/>
                <w:color w:val="000000"/>
                <w:highlight w:val="black"/>
              </w:rPr>
            </w:pPr>
            <w:r w:rsidRPr="006F0063">
              <w:rPr>
                <w:rFonts w:cs="Calibri"/>
                <w:color w:val="000000"/>
                <w:highlight w:val="black"/>
              </w:rPr>
              <w:t>**%</w:t>
            </w:r>
          </w:p>
        </w:tc>
        <w:tc>
          <w:tcPr>
            <w:tcW w:w="597" w:type="dxa"/>
            <w:tcBorders>
              <w:top w:val="nil"/>
              <w:left w:val="nil"/>
              <w:bottom w:val="nil"/>
              <w:right w:val="nil"/>
            </w:tcBorders>
            <w:shd w:val="clear" w:color="auto" w:fill="auto"/>
            <w:noWrap/>
            <w:vAlign w:val="bottom"/>
            <w:hideMark/>
          </w:tcPr>
          <w:p w14:paraId="789F4423" w14:textId="0C69BC9B" w:rsidR="00D42C01" w:rsidRPr="006F0063" w:rsidRDefault="00725FBA" w:rsidP="00071755">
            <w:pPr>
              <w:keepNext/>
              <w:keepLines/>
              <w:jc w:val="right"/>
              <w:rPr>
                <w:rFonts w:cs="Calibri"/>
                <w:color w:val="000000"/>
                <w:highlight w:val="black"/>
              </w:rPr>
            </w:pPr>
            <w:r w:rsidRPr="006F0063">
              <w:rPr>
                <w:rFonts w:cs="Calibri"/>
                <w:color w:val="000000"/>
                <w:highlight w:val="black"/>
              </w:rPr>
              <w:t>**%</w:t>
            </w:r>
          </w:p>
        </w:tc>
        <w:tc>
          <w:tcPr>
            <w:tcW w:w="597" w:type="dxa"/>
            <w:tcBorders>
              <w:top w:val="nil"/>
              <w:left w:val="nil"/>
              <w:bottom w:val="nil"/>
              <w:right w:val="nil"/>
            </w:tcBorders>
            <w:shd w:val="clear" w:color="auto" w:fill="auto"/>
            <w:noWrap/>
            <w:vAlign w:val="bottom"/>
            <w:hideMark/>
          </w:tcPr>
          <w:p w14:paraId="1105EA4E" w14:textId="4B5DF607" w:rsidR="00D42C01" w:rsidRPr="006F0063" w:rsidRDefault="00725FBA" w:rsidP="00071755">
            <w:pPr>
              <w:keepNext/>
              <w:keepLines/>
              <w:jc w:val="right"/>
              <w:rPr>
                <w:rFonts w:cs="Calibri"/>
                <w:color w:val="000000"/>
                <w:highlight w:val="black"/>
              </w:rPr>
            </w:pPr>
            <w:r w:rsidRPr="006F0063">
              <w:rPr>
                <w:rFonts w:cs="Calibri"/>
                <w:color w:val="000000"/>
                <w:highlight w:val="black"/>
              </w:rPr>
              <w:t>**%</w:t>
            </w:r>
          </w:p>
        </w:tc>
        <w:tc>
          <w:tcPr>
            <w:tcW w:w="632" w:type="dxa"/>
            <w:tcBorders>
              <w:top w:val="nil"/>
              <w:left w:val="nil"/>
              <w:bottom w:val="nil"/>
              <w:right w:val="nil"/>
            </w:tcBorders>
            <w:shd w:val="clear" w:color="auto" w:fill="auto"/>
            <w:noWrap/>
            <w:vAlign w:val="bottom"/>
            <w:hideMark/>
          </w:tcPr>
          <w:p w14:paraId="2AFA61EB" w14:textId="1EA4926B" w:rsidR="00D42C01" w:rsidRPr="006F0063" w:rsidRDefault="00725FBA" w:rsidP="00071755">
            <w:pPr>
              <w:keepNext/>
              <w:keepLines/>
              <w:jc w:val="right"/>
              <w:rPr>
                <w:rFonts w:cs="Calibri"/>
                <w:color w:val="000000"/>
                <w:highlight w:val="black"/>
              </w:rPr>
            </w:pPr>
            <w:r w:rsidRPr="006F0063">
              <w:rPr>
                <w:rFonts w:cs="Calibri"/>
                <w:color w:val="000000"/>
                <w:highlight w:val="black"/>
              </w:rPr>
              <w:t>**%</w:t>
            </w:r>
          </w:p>
        </w:tc>
        <w:tc>
          <w:tcPr>
            <w:tcW w:w="597" w:type="dxa"/>
            <w:tcBorders>
              <w:top w:val="nil"/>
              <w:left w:val="nil"/>
              <w:bottom w:val="nil"/>
              <w:right w:val="nil"/>
            </w:tcBorders>
            <w:shd w:val="clear" w:color="auto" w:fill="auto"/>
            <w:noWrap/>
            <w:vAlign w:val="bottom"/>
            <w:hideMark/>
          </w:tcPr>
          <w:p w14:paraId="628B34F5" w14:textId="77777777" w:rsidR="00D42C01" w:rsidRPr="00D42C01" w:rsidRDefault="00D42C01" w:rsidP="00071755">
            <w:pPr>
              <w:keepNext/>
              <w:keepLines/>
              <w:jc w:val="right"/>
              <w:rPr>
                <w:rFonts w:cs="Calibri"/>
                <w:color w:val="000000"/>
              </w:rPr>
            </w:pPr>
            <w:r w:rsidRPr="00D42C01">
              <w:rPr>
                <w:rFonts w:cs="Calibri"/>
                <w:color w:val="000000"/>
              </w:rPr>
              <w:t>40%</w:t>
            </w:r>
          </w:p>
        </w:tc>
        <w:tc>
          <w:tcPr>
            <w:tcW w:w="597" w:type="dxa"/>
            <w:tcBorders>
              <w:top w:val="nil"/>
              <w:left w:val="nil"/>
              <w:bottom w:val="nil"/>
              <w:right w:val="nil"/>
            </w:tcBorders>
            <w:shd w:val="clear" w:color="auto" w:fill="auto"/>
            <w:noWrap/>
            <w:vAlign w:val="bottom"/>
            <w:hideMark/>
          </w:tcPr>
          <w:p w14:paraId="117B8AE0" w14:textId="77777777" w:rsidR="00D42C01" w:rsidRPr="00D42C01" w:rsidRDefault="00D42C01" w:rsidP="00071755">
            <w:pPr>
              <w:keepNext/>
              <w:keepLines/>
              <w:jc w:val="right"/>
              <w:rPr>
                <w:rFonts w:cs="Calibri"/>
                <w:color w:val="000000"/>
              </w:rPr>
            </w:pPr>
            <w:r w:rsidRPr="00D42C01">
              <w:rPr>
                <w:rFonts w:cs="Calibri"/>
                <w:color w:val="000000"/>
              </w:rPr>
              <w:t>50%</w:t>
            </w:r>
          </w:p>
        </w:tc>
        <w:tc>
          <w:tcPr>
            <w:tcW w:w="723" w:type="dxa"/>
            <w:tcBorders>
              <w:top w:val="nil"/>
              <w:left w:val="nil"/>
              <w:bottom w:val="nil"/>
              <w:right w:val="single" w:sz="8" w:space="0" w:color="auto"/>
            </w:tcBorders>
            <w:shd w:val="clear" w:color="auto" w:fill="auto"/>
            <w:noWrap/>
            <w:vAlign w:val="bottom"/>
            <w:hideMark/>
          </w:tcPr>
          <w:p w14:paraId="4B8B6E1E" w14:textId="77777777" w:rsidR="00D42C01" w:rsidRPr="00D42C01" w:rsidRDefault="00D42C01" w:rsidP="00071755">
            <w:pPr>
              <w:keepNext/>
              <w:keepLines/>
              <w:jc w:val="right"/>
              <w:rPr>
                <w:rFonts w:cs="Calibri"/>
                <w:color w:val="000000"/>
              </w:rPr>
            </w:pPr>
            <w:r w:rsidRPr="00D42C01">
              <w:rPr>
                <w:rFonts w:cs="Calibri"/>
                <w:color w:val="000000"/>
              </w:rPr>
              <w:t>75%</w:t>
            </w:r>
          </w:p>
        </w:tc>
      </w:tr>
      <w:tr w:rsidR="00CE6100" w:rsidRPr="00D42C01" w14:paraId="2433AC61" w14:textId="77777777" w:rsidTr="006F0063">
        <w:trPr>
          <w:trHeight w:val="600"/>
          <w:jc w:val="center"/>
        </w:trPr>
        <w:tc>
          <w:tcPr>
            <w:tcW w:w="1287" w:type="dxa"/>
            <w:tcBorders>
              <w:top w:val="nil"/>
              <w:left w:val="single" w:sz="8" w:space="0" w:color="auto"/>
              <w:bottom w:val="nil"/>
              <w:right w:val="nil"/>
            </w:tcBorders>
            <w:shd w:val="clear" w:color="auto" w:fill="auto"/>
            <w:noWrap/>
            <w:vAlign w:val="bottom"/>
            <w:hideMark/>
          </w:tcPr>
          <w:p w14:paraId="588B5F6E" w14:textId="77777777" w:rsidR="00D42C01" w:rsidRPr="00D42C01" w:rsidRDefault="00D42C01" w:rsidP="00071755">
            <w:pPr>
              <w:keepNext/>
              <w:keepLines/>
              <w:jc w:val="left"/>
              <w:rPr>
                <w:rFonts w:cs="Calibri"/>
                <w:color w:val="000000"/>
              </w:rPr>
            </w:pPr>
            <w:r w:rsidRPr="00D42C01">
              <w:rPr>
                <w:rFonts w:cs="Calibri"/>
                <w:color w:val="000000"/>
              </w:rPr>
              <w:t>Industrial</w:t>
            </w:r>
          </w:p>
        </w:tc>
        <w:tc>
          <w:tcPr>
            <w:tcW w:w="1920" w:type="dxa"/>
            <w:tcBorders>
              <w:top w:val="nil"/>
              <w:left w:val="nil"/>
              <w:bottom w:val="nil"/>
              <w:right w:val="nil"/>
            </w:tcBorders>
            <w:shd w:val="clear" w:color="auto" w:fill="auto"/>
            <w:vAlign w:val="center"/>
            <w:hideMark/>
          </w:tcPr>
          <w:p w14:paraId="75D8F186" w14:textId="6495BBE1" w:rsidR="00D42C01" w:rsidRPr="006F0063" w:rsidRDefault="00725FBA" w:rsidP="00071755">
            <w:pPr>
              <w:keepNext/>
              <w:keepLines/>
              <w:jc w:val="left"/>
              <w:rPr>
                <w:rFonts w:cs="Calibri"/>
                <w:color w:val="000000"/>
                <w:highlight w:val="black"/>
              </w:rPr>
            </w:pPr>
            <w:r w:rsidRPr="006F0063">
              <w:rPr>
                <w:rFonts w:cs="Calibri"/>
                <w:color w:val="000000"/>
                <w:highlight w:val="black"/>
              </w:rPr>
              <w:t>*******</w:t>
            </w:r>
          </w:p>
        </w:tc>
        <w:tc>
          <w:tcPr>
            <w:tcW w:w="680" w:type="dxa"/>
            <w:tcBorders>
              <w:top w:val="nil"/>
              <w:left w:val="nil"/>
              <w:bottom w:val="nil"/>
              <w:right w:val="nil"/>
            </w:tcBorders>
            <w:shd w:val="clear" w:color="auto" w:fill="auto"/>
            <w:noWrap/>
            <w:vAlign w:val="bottom"/>
            <w:hideMark/>
          </w:tcPr>
          <w:p w14:paraId="1EB69778" w14:textId="6F36E4E8" w:rsidR="00D42C01" w:rsidRPr="006F0063" w:rsidRDefault="00725FBA" w:rsidP="00071755">
            <w:pPr>
              <w:keepNext/>
              <w:keepLines/>
              <w:jc w:val="center"/>
              <w:rPr>
                <w:rFonts w:cs="Calibri"/>
                <w:color w:val="000000"/>
                <w:highlight w:val="black"/>
              </w:rPr>
            </w:pPr>
            <w:r w:rsidRPr="006F0063">
              <w:rPr>
                <w:rFonts w:cs="Calibri"/>
                <w:color w:val="000000"/>
                <w:highlight w:val="black"/>
              </w:rPr>
              <w:t>**%</w:t>
            </w:r>
          </w:p>
        </w:tc>
        <w:tc>
          <w:tcPr>
            <w:tcW w:w="680" w:type="dxa"/>
            <w:tcBorders>
              <w:top w:val="nil"/>
              <w:left w:val="nil"/>
              <w:bottom w:val="nil"/>
              <w:right w:val="nil"/>
            </w:tcBorders>
            <w:shd w:val="clear" w:color="auto" w:fill="auto"/>
            <w:noWrap/>
            <w:vAlign w:val="bottom"/>
            <w:hideMark/>
          </w:tcPr>
          <w:p w14:paraId="5DDD9EC0" w14:textId="57A330DB" w:rsidR="00D42C01" w:rsidRPr="006F0063" w:rsidRDefault="00725FBA" w:rsidP="00071755">
            <w:pPr>
              <w:keepNext/>
              <w:keepLines/>
              <w:jc w:val="center"/>
              <w:rPr>
                <w:rFonts w:cs="Calibri"/>
                <w:color w:val="000000"/>
                <w:highlight w:val="black"/>
              </w:rPr>
            </w:pPr>
            <w:r w:rsidRPr="006F0063">
              <w:rPr>
                <w:rFonts w:cs="Calibri"/>
                <w:color w:val="000000"/>
                <w:highlight w:val="black"/>
              </w:rPr>
              <w:t>**%</w:t>
            </w:r>
          </w:p>
        </w:tc>
        <w:tc>
          <w:tcPr>
            <w:tcW w:w="680" w:type="dxa"/>
            <w:tcBorders>
              <w:top w:val="nil"/>
              <w:left w:val="nil"/>
              <w:bottom w:val="nil"/>
              <w:right w:val="nil"/>
            </w:tcBorders>
            <w:shd w:val="clear" w:color="auto" w:fill="auto"/>
            <w:noWrap/>
            <w:vAlign w:val="bottom"/>
            <w:hideMark/>
          </w:tcPr>
          <w:p w14:paraId="1A200285" w14:textId="2B456E66" w:rsidR="00D42C01" w:rsidRPr="006F0063" w:rsidRDefault="00725FBA" w:rsidP="00071755">
            <w:pPr>
              <w:keepNext/>
              <w:keepLines/>
              <w:jc w:val="center"/>
              <w:rPr>
                <w:rFonts w:cs="Calibri"/>
                <w:color w:val="000000"/>
                <w:highlight w:val="black"/>
              </w:rPr>
            </w:pPr>
            <w:r w:rsidRPr="006F0063">
              <w:rPr>
                <w:rFonts w:cs="Calibri"/>
                <w:color w:val="000000"/>
                <w:highlight w:val="black"/>
              </w:rPr>
              <w:t>**%</w:t>
            </w:r>
          </w:p>
        </w:tc>
        <w:tc>
          <w:tcPr>
            <w:tcW w:w="597" w:type="dxa"/>
            <w:tcBorders>
              <w:top w:val="nil"/>
              <w:left w:val="nil"/>
              <w:bottom w:val="nil"/>
              <w:right w:val="nil"/>
            </w:tcBorders>
            <w:shd w:val="clear" w:color="auto" w:fill="auto"/>
            <w:noWrap/>
            <w:vAlign w:val="bottom"/>
            <w:hideMark/>
          </w:tcPr>
          <w:p w14:paraId="590D68D4" w14:textId="0ABC915C" w:rsidR="00D42C01" w:rsidRPr="006F0063" w:rsidRDefault="00725FBA" w:rsidP="00071755">
            <w:pPr>
              <w:keepNext/>
              <w:keepLines/>
              <w:jc w:val="right"/>
              <w:rPr>
                <w:rFonts w:cs="Calibri"/>
                <w:color w:val="000000"/>
                <w:highlight w:val="black"/>
              </w:rPr>
            </w:pPr>
            <w:r w:rsidRPr="006F0063">
              <w:rPr>
                <w:rFonts w:cs="Calibri"/>
                <w:color w:val="000000"/>
                <w:highlight w:val="black"/>
              </w:rPr>
              <w:t>**%</w:t>
            </w:r>
          </w:p>
        </w:tc>
        <w:tc>
          <w:tcPr>
            <w:tcW w:w="597" w:type="dxa"/>
            <w:tcBorders>
              <w:top w:val="nil"/>
              <w:left w:val="nil"/>
              <w:bottom w:val="nil"/>
              <w:right w:val="nil"/>
            </w:tcBorders>
            <w:shd w:val="clear" w:color="auto" w:fill="auto"/>
            <w:noWrap/>
            <w:vAlign w:val="bottom"/>
            <w:hideMark/>
          </w:tcPr>
          <w:p w14:paraId="727B75EA" w14:textId="6A99EFC4" w:rsidR="00D42C01" w:rsidRPr="006F0063" w:rsidRDefault="00725FBA" w:rsidP="00071755">
            <w:pPr>
              <w:keepNext/>
              <w:keepLines/>
              <w:jc w:val="right"/>
              <w:rPr>
                <w:rFonts w:cs="Calibri"/>
                <w:color w:val="000000"/>
                <w:highlight w:val="black"/>
              </w:rPr>
            </w:pPr>
            <w:r w:rsidRPr="006F0063">
              <w:rPr>
                <w:rFonts w:cs="Calibri"/>
                <w:color w:val="000000"/>
                <w:highlight w:val="black"/>
              </w:rPr>
              <w:t>**%</w:t>
            </w:r>
          </w:p>
        </w:tc>
        <w:tc>
          <w:tcPr>
            <w:tcW w:w="632" w:type="dxa"/>
            <w:tcBorders>
              <w:top w:val="nil"/>
              <w:left w:val="nil"/>
              <w:bottom w:val="nil"/>
              <w:right w:val="nil"/>
            </w:tcBorders>
            <w:shd w:val="clear" w:color="auto" w:fill="auto"/>
            <w:noWrap/>
            <w:vAlign w:val="bottom"/>
            <w:hideMark/>
          </w:tcPr>
          <w:p w14:paraId="0567773D" w14:textId="35B92ABF" w:rsidR="00D42C01" w:rsidRPr="006F0063" w:rsidRDefault="00725FBA" w:rsidP="00071755">
            <w:pPr>
              <w:keepNext/>
              <w:keepLines/>
              <w:jc w:val="right"/>
              <w:rPr>
                <w:rFonts w:cs="Calibri"/>
                <w:color w:val="000000"/>
                <w:highlight w:val="black"/>
              </w:rPr>
            </w:pPr>
            <w:r w:rsidRPr="006F0063">
              <w:rPr>
                <w:rFonts w:cs="Calibri"/>
                <w:color w:val="000000"/>
                <w:highlight w:val="black"/>
              </w:rPr>
              <w:t>**%</w:t>
            </w:r>
          </w:p>
        </w:tc>
        <w:tc>
          <w:tcPr>
            <w:tcW w:w="597" w:type="dxa"/>
            <w:tcBorders>
              <w:top w:val="nil"/>
              <w:left w:val="nil"/>
              <w:bottom w:val="nil"/>
              <w:right w:val="nil"/>
            </w:tcBorders>
            <w:shd w:val="clear" w:color="auto" w:fill="auto"/>
            <w:noWrap/>
            <w:vAlign w:val="bottom"/>
            <w:hideMark/>
          </w:tcPr>
          <w:p w14:paraId="6D5621EB" w14:textId="77777777" w:rsidR="00D42C01" w:rsidRPr="00D42C01" w:rsidRDefault="00D42C01" w:rsidP="00071755">
            <w:pPr>
              <w:keepNext/>
              <w:keepLines/>
              <w:jc w:val="right"/>
              <w:rPr>
                <w:rFonts w:cs="Calibri"/>
                <w:color w:val="000000"/>
              </w:rPr>
            </w:pPr>
            <w:r w:rsidRPr="00D42C01">
              <w:rPr>
                <w:rFonts w:cs="Calibri"/>
                <w:color w:val="000000"/>
              </w:rPr>
              <w:t>40%</w:t>
            </w:r>
          </w:p>
        </w:tc>
        <w:tc>
          <w:tcPr>
            <w:tcW w:w="597" w:type="dxa"/>
            <w:tcBorders>
              <w:top w:val="nil"/>
              <w:left w:val="nil"/>
              <w:bottom w:val="nil"/>
              <w:right w:val="nil"/>
            </w:tcBorders>
            <w:shd w:val="clear" w:color="auto" w:fill="auto"/>
            <w:noWrap/>
            <w:vAlign w:val="bottom"/>
            <w:hideMark/>
          </w:tcPr>
          <w:p w14:paraId="1C602E82" w14:textId="77777777" w:rsidR="00D42C01" w:rsidRPr="00D42C01" w:rsidRDefault="00D42C01" w:rsidP="00071755">
            <w:pPr>
              <w:keepNext/>
              <w:keepLines/>
              <w:jc w:val="right"/>
              <w:rPr>
                <w:rFonts w:cs="Calibri"/>
                <w:color w:val="000000"/>
              </w:rPr>
            </w:pPr>
            <w:r w:rsidRPr="00D42C01">
              <w:rPr>
                <w:rFonts w:cs="Calibri"/>
                <w:color w:val="000000"/>
              </w:rPr>
              <w:t>50%</w:t>
            </w:r>
          </w:p>
        </w:tc>
        <w:tc>
          <w:tcPr>
            <w:tcW w:w="723" w:type="dxa"/>
            <w:tcBorders>
              <w:top w:val="nil"/>
              <w:left w:val="nil"/>
              <w:bottom w:val="nil"/>
              <w:right w:val="single" w:sz="8" w:space="0" w:color="auto"/>
            </w:tcBorders>
            <w:shd w:val="clear" w:color="auto" w:fill="auto"/>
            <w:noWrap/>
            <w:vAlign w:val="bottom"/>
            <w:hideMark/>
          </w:tcPr>
          <w:p w14:paraId="30E4E7B3" w14:textId="77777777" w:rsidR="00D42C01" w:rsidRPr="00D42C01" w:rsidRDefault="00D42C01" w:rsidP="00071755">
            <w:pPr>
              <w:keepNext/>
              <w:keepLines/>
              <w:jc w:val="right"/>
              <w:rPr>
                <w:rFonts w:cs="Calibri"/>
                <w:color w:val="000000"/>
              </w:rPr>
            </w:pPr>
            <w:r w:rsidRPr="00D42C01">
              <w:rPr>
                <w:rFonts w:cs="Calibri"/>
                <w:color w:val="000000"/>
              </w:rPr>
              <w:t>75%</w:t>
            </w:r>
          </w:p>
        </w:tc>
      </w:tr>
      <w:tr w:rsidR="00CE6100" w:rsidRPr="00D42C01" w14:paraId="430A8B19" w14:textId="77777777" w:rsidTr="006F0063">
        <w:trPr>
          <w:trHeight w:val="600"/>
          <w:jc w:val="center"/>
        </w:trPr>
        <w:tc>
          <w:tcPr>
            <w:tcW w:w="1287" w:type="dxa"/>
            <w:tcBorders>
              <w:top w:val="nil"/>
              <w:left w:val="single" w:sz="8" w:space="0" w:color="auto"/>
              <w:bottom w:val="nil"/>
              <w:right w:val="nil"/>
            </w:tcBorders>
            <w:shd w:val="clear" w:color="auto" w:fill="auto"/>
            <w:noWrap/>
            <w:vAlign w:val="bottom"/>
            <w:hideMark/>
          </w:tcPr>
          <w:p w14:paraId="17B18DD5" w14:textId="77777777" w:rsidR="00D42C01" w:rsidRPr="00D42C01" w:rsidRDefault="00D42C01" w:rsidP="00071755">
            <w:pPr>
              <w:keepNext/>
              <w:keepLines/>
              <w:jc w:val="left"/>
              <w:rPr>
                <w:rFonts w:cs="Calibri"/>
                <w:color w:val="000000"/>
              </w:rPr>
            </w:pPr>
            <w:r w:rsidRPr="00D42C01">
              <w:rPr>
                <w:rFonts w:cs="Calibri"/>
                <w:color w:val="000000"/>
              </w:rPr>
              <w:t>Industrial</w:t>
            </w:r>
          </w:p>
        </w:tc>
        <w:tc>
          <w:tcPr>
            <w:tcW w:w="1920" w:type="dxa"/>
            <w:tcBorders>
              <w:top w:val="nil"/>
              <w:left w:val="nil"/>
              <w:bottom w:val="nil"/>
              <w:right w:val="nil"/>
            </w:tcBorders>
            <w:shd w:val="clear" w:color="auto" w:fill="auto"/>
            <w:vAlign w:val="center"/>
            <w:hideMark/>
          </w:tcPr>
          <w:p w14:paraId="119ADB3B" w14:textId="1B65A5FE" w:rsidR="00D42C01" w:rsidRPr="006F0063" w:rsidRDefault="00725FBA" w:rsidP="00071755">
            <w:pPr>
              <w:keepNext/>
              <w:keepLines/>
              <w:jc w:val="left"/>
              <w:rPr>
                <w:rFonts w:cs="Calibri"/>
                <w:color w:val="000000"/>
                <w:highlight w:val="black"/>
              </w:rPr>
            </w:pPr>
            <w:r w:rsidRPr="006F0063">
              <w:rPr>
                <w:rFonts w:cs="Calibri"/>
                <w:color w:val="000000"/>
                <w:highlight w:val="black"/>
              </w:rPr>
              <w:t>*******</w:t>
            </w:r>
          </w:p>
        </w:tc>
        <w:tc>
          <w:tcPr>
            <w:tcW w:w="680" w:type="dxa"/>
            <w:tcBorders>
              <w:top w:val="nil"/>
              <w:left w:val="nil"/>
              <w:bottom w:val="nil"/>
              <w:right w:val="nil"/>
            </w:tcBorders>
            <w:shd w:val="clear" w:color="auto" w:fill="auto"/>
            <w:noWrap/>
            <w:vAlign w:val="bottom"/>
            <w:hideMark/>
          </w:tcPr>
          <w:p w14:paraId="7CD91868" w14:textId="7A32B0C5" w:rsidR="00D42C01" w:rsidRPr="006F0063" w:rsidRDefault="00725FBA" w:rsidP="00071755">
            <w:pPr>
              <w:keepNext/>
              <w:keepLines/>
              <w:jc w:val="right"/>
              <w:rPr>
                <w:rFonts w:cs="Calibri"/>
                <w:color w:val="000000"/>
                <w:highlight w:val="black"/>
              </w:rPr>
            </w:pPr>
            <w:r w:rsidRPr="006F0063">
              <w:rPr>
                <w:rFonts w:cs="Calibri"/>
                <w:color w:val="000000"/>
                <w:highlight w:val="black"/>
              </w:rPr>
              <w:t>**%</w:t>
            </w:r>
          </w:p>
        </w:tc>
        <w:tc>
          <w:tcPr>
            <w:tcW w:w="680" w:type="dxa"/>
            <w:tcBorders>
              <w:top w:val="nil"/>
              <w:left w:val="nil"/>
              <w:bottom w:val="nil"/>
              <w:right w:val="nil"/>
            </w:tcBorders>
            <w:shd w:val="clear" w:color="auto" w:fill="auto"/>
            <w:noWrap/>
            <w:vAlign w:val="bottom"/>
            <w:hideMark/>
          </w:tcPr>
          <w:p w14:paraId="2F8A53E7" w14:textId="3B3396B7" w:rsidR="00D42C01" w:rsidRPr="006F0063" w:rsidRDefault="00725FBA" w:rsidP="00071755">
            <w:pPr>
              <w:keepNext/>
              <w:keepLines/>
              <w:jc w:val="right"/>
              <w:rPr>
                <w:rFonts w:cs="Calibri"/>
                <w:color w:val="000000"/>
                <w:highlight w:val="black"/>
              </w:rPr>
            </w:pPr>
            <w:r w:rsidRPr="006F0063">
              <w:rPr>
                <w:rFonts w:cs="Calibri"/>
                <w:color w:val="000000"/>
                <w:highlight w:val="black"/>
              </w:rPr>
              <w:t>**%</w:t>
            </w:r>
          </w:p>
        </w:tc>
        <w:tc>
          <w:tcPr>
            <w:tcW w:w="680" w:type="dxa"/>
            <w:tcBorders>
              <w:top w:val="nil"/>
              <w:left w:val="nil"/>
              <w:bottom w:val="nil"/>
              <w:right w:val="nil"/>
            </w:tcBorders>
            <w:shd w:val="clear" w:color="auto" w:fill="auto"/>
            <w:noWrap/>
            <w:vAlign w:val="bottom"/>
            <w:hideMark/>
          </w:tcPr>
          <w:p w14:paraId="68C1A426" w14:textId="54D2EC28" w:rsidR="00D42C01" w:rsidRPr="006F0063" w:rsidRDefault="00725FBA" w:rsidP="00071755">
            <w:pPr>
              <w:keepNext/>
              <w:keepLines/>
              <w:jc w:val="right"/>
              <w:rPr>
                <w:rFonts w:cs="Calibri"/>
                <w:color w:val="000000"/>
                <w:highlight w:val="black"/>
              </w:rPr>
            </w:pPr>
            <w:r w:rsidRPr="006F0063">
              <w:rPr>
                <w:rFonts w:cs="Calibri"/>
                <w:color w:val="000000"/>
                <w:highlight w:val="black"/>
              </w:rPr>
              <w:t>**%</w:t>
            </w:r>
          </w:p>
        </w:tc>
        <w:tc>
          <w:tcPr>
            <w:tcW w:w="597" w:type="dxa"/>
            <w:tcBorders>
              <w:top w:val="nil"/>
              <w:left w:val="nil"/>
              <w:bottom w:val="nil"/>
              <w:right w:val="nil"/>
            </w:tcBorders>
            <w:shd w:val="clear" w:color="auto" w:fill="auto"/>
            <w:noWrap/>
            <w:vAlign w:val="bottom"/>
            <w:hideMark/>
          </w:tcPr>
          <w:p w14:paraId="67C340D6" w14:textId="1F7840A8" w:rsidR="00D42C01" w:rsidRPr="006F0063" w:rsidRDefault="00725FBA" w:rsidP="00071755">
            <w:pPr>
              <w:keepNext/>
              <w:keepLines/>
              <w:jc w:val="right"/>
              <w:rPr>
                <w:rFonts w:cs="Calibri"/>
                <w:color w:val="000000"/>
                <w:highlight w:val="black"/>
              </w:rPr>
            </w:pPr>
            <w:r w:rsidRPr="006F0063">
              <w:rPr>
                <w:rFonts w:cs="Calibri"/>
                <w:color w:val="000000"/>
                <w:highlight w:val="black"/>
              </w:rPr>
              <w:t>**%</w:t>
            </w:r>
          </w:p>
        </w:tc>
        <w:tc>
          <w:tcPr>
            <w:tcW w:w="597" w:type="dxa"/>
            <w:tcBorders>
              <w:top w:val="nil"/>
              <w:left w:val="nil"/>
              <w:bottom w:val="nil"/>
              <w:right w:val="nil"/>
            </w:tcBorders>
            <w:shd w:val="clear" w:color="auto" w:fill="auto"/>
            <w:noWrap/>
            <w:vAlign w:val="bottom"/>
            <w:hideMark/>
          </w:tcPr>
          <w:p w14:paraId="489B3552" w14:textId="05BB97A7" w:rsidR="00D42C01" w:rsidRPr="006F0063" w:rsidRDefault="00725FBA" w:rsidP="00071755">
            <w:pPr>
              <w:keepNext/>
              <w:keepLines/>
              <w:jc w:val="right"/>
              <w:rPr>
                <w:rFonts w:cs="Calibri"/>
                <w:color w:val="000000"/>
                <w:highlight w:val="black"/>
              </w:rPr>
            </w:pPr>
            <w:r w:rsidRPr="006F0063">
              <w:rPr>
                <w:rFonts w:cs="Calibri"/>
                <w:color w:val="000000"/>
                <w:highlight w:val="black"/>
              </w:rPr>
              <w:t>**%</w:t>
            </w:r>
          </w:p>
        </w:tc>
        <w:tc>
          <w:tcPr>
            <w:tcW w:w="632" w:type="dxa"/>
            <w:tcBorders>
              <w:top w:val="nil"/>
              <w:left w:val="nil"/>
              <w:bottom w:val="nil"/>
              <w:right w:val="nil"/>
            </w:tcBorders>
            <w:shd w:val="clear" w:color="auto" w:fill="auto"/>
            <w:noWrap/>
            <w:vAlign w:val="bottom"/>
            <w:hideMark/>
          </w:tcPr>
          <w:p w14:paraId="055973FE" w14:textId="7C492639" w:rsidR="00D42C01" w:rsidRPr="006F0063" w:rsidRDefault="00725FBA" w:rsidP="00071755">
            <w:pPr>
              <w:keepNext/>
              <w:keepLines/>
              <w:jc w:val="right"/>
              <w:rPr>
                <w:rFonts w:cs="Calibri"/>
                <w:color w:val="000000"/>
                <w:highlight w:val="black"/>
              </w:rPr>
            </w:pPr>
            <w:r w:rsidRPr="006F0063">
              <w:rPr>
                <w:rFonts w:cs="Calibri"/>
                <w:color w:val="000000"/>
                <w:highlight w:val="black"/>
              </w:rPr>
              <w:t>**%</w:t>
            </w:r>
          </w:p>
        </w:tc>
        <w:tc>
          <w:tcPr>
            <w:tcW w:w="597" w:type="dxa"/>
            <w:tcBorders>
              <w:top w:val="nil"/>
              <w:left w:val="nil"/>
              <w:bottom w:val="nil"/>
              <w:right w:val="nil"/>
            </w:tcBorders>
            <w:shd w:val="clear" w:color="auto" w:fill="auto"/>
            <w:noWrap/>
            <w:vAlign w:val="bottom"/>
            <w:hideMark/>
          </w:tcPr>
          <w:p w14:paraId="53C38BA6" w14:textId="77777777" w:rsidR="00D42C01" w:rsidRPr="00D42C01" w:rsidRDefault="00D42C01" w:rsidP="00071755">
            <w:pPr>
              <w:keepNext/>
              <w:keepLines/>
              <w:jc w:val="right"/>
              <w:rPr>
                <w:rFonts w:cs="Calibri"/>
                <w:color w:val="000000"/>
              </w:rPr>
            </w:pPr>
            <w:r w:rsidRPr="00D42C01">
              <w:rPr>
                <w:rFonts w:cs="Calibri"/>
                <w:color w:val="000000"/>
              </w:rPr>
              <w:t>0%</w:t>
            </w:r>
          </w:p>
        </w:tc>
        <w:tc>
          <w:tcPr>
            <w:tcW w:w="597" w:type="dxa"/>
            <w:tcBorders>
              <w:top w:val="nil"/>
              <w:left w:val="nil"/>
              <w:bottom w:val="nil"/>
              <w:right w:val="nil"/>
            </w:tcBorders>
            <w:shd w:val="clear" w:color="auto" w:fill="auto"/>
            <w:noWrap/>
            <w:vAlign w:val="bottom"/>
            <w:hideMark/>
          </w:tcPr>
          <w:p w14:paraId="0FD137E0" w14:textId="77777777" w:rsidR="00D42C01" w:rsidRPr="00D42C01" w:rsidRDefault="00D42C01" w:rsidP="00071755">
            <w:pPr>
              <w:keepNext/>
              <w:keepLines/>
              <w:jc w:val="right"/>
              <w:rPr>
                <w:rFonts w:cs="Calibri"/>
                <w:color w:val="000000"/>
              </w:rPr>
            </w:pPr>
            <w:r w:rsidRPr="00D42C01">
              <w:rPr>
                <w:rFonts w:cs="Calibri"/>
                <w:color w:val="000000"/>
              </w:rPr>
              <w:t>0%</w:t>
            </w:r>
          </w:p>
        </w:tc>
        <w:tc>
          <w:tcPr>
            <w:tcW w:w="723" w:type="dxa"/>
            <w:tcBorders>
              <w:top w:val="nil"/>
              <w:left w:val="nil"/>
              <w:bottom w:val="nil"/>
              <w:right w:val="single" w:sz="8" w:space="0" w:color="auto"/>
            </w:tcBorders>
            <w:shd w:val="clear" w:color="auto" w:fill="auto"/>
            <w:noWrap/>
            <w:vAlign w:val="bottom"/>
            <w:hideMark/>
          </w:tcPr>
          <w:p w14:paraId="6859344F" w14:textId="77777777" w:rsidR="00D42C01" w:rsidRPr="00D42C01" w:rsidRDefault="00D42C01" w:rsidP="00071755">
            <w:pPr>
              <w:keepNext/>
              <w:keepLines/>
              <w:jc w:val="right"/>
              <w:rPr>
                <w:rFonts w:cs="Calibri"/>
                <w:color w:val="000000"/>
              </w:rPr>
            </w:pPr>
            <w:r w:rsidRPr="00D42C01">
              <w:rPr>
                <w:rFonts w:cs="Calibri"/>
                <w:color w:val="000000"/>
              </w:rPr>
              <w:t>-10%</w:t>
            </w:r>
          </w:p>
        </w:tc>
      </w:tr>
      <w:tr w:rsidR="00CE6100" w:rsidRPr="00D42C01" w14:paraId="5D583302" w14:textId="77777777" w:rsidTr="006F0063">
        <w:trPr>
          <w:trHeight w:val="300"/>
          <w:jc w:val="center"/>
        </w:trPr>
        <w:tc>
          <w:tcPr>
            <w:tcW w:w="1287" w:type="dxa"/>
            <w:tcBorders>
              <w:top w:val="nil"/>
              <w:left w:val="single" w:sz="8" w:space="0" w:color="auto"/>
              <w:bottom w:val="nil"/>
              <w:right w:val="nil"/>
            </w:tcBorders>
            <w:shd w:val="clear" w:color="auto" w:fill="auto"/>
            <w:noWrap/>
            <w:vAlign w:val="bottom"/>
            <w:hideMark/>
          </w:tcPr>
          <w:p w14:paraId="3755EDE0" w14:textId="77777777" w:rsidR="00D42C01" w:rsidRPr="00D42C01" w:rsidRDefault="00D42C01" w:rsidP="00071755">
            <w:pPr>
              <w:keepNext/>
              <w:keepLines/>
              <w:jc w:val="left"/>
              <w:rPr>
                <w:rFonts w:cs="Calibri"/>
                <w:color w:val="000000"/>
              </w:rPr>
            </w:pPr>
            <w:r w:rsidRPr="00D42C01">
              <w:rPr>
                <w:rFonts w:cs="Calibri"/>
                <w:color w:val="000000"/>
              </w:rPr>
              <w:t>Industrial</w:t>
            </w:r>
          </w:p>
        </w:tc>
        <w:tc>
          <w:tcPr>
            <w:tcW w:w="1920" w:type="dxa"/>
            <w:tcBorders>
              <w:top w:val="nil"/>
              <w:left w:val="nil"/>
              <w:bottom w:val="nil"/>
              <w:right w:val="nil"/>
            </w:tcBorders>
            <w:shd w:val="clear" w:color="auto" w:fill="auto"/>
            <w:vAlign w:val="center"/>
            <w:hideMark/>
          </w:tcPr>
          <w:p w14:paraId="76938BA1" w14:textId="45DD4729" w:rsidR="00D42C01" w:rsidRPr="006F0063" w:rsidRDefault="00725FBA" w:rsidP="00071755">
            <w:pPr>
              <w:keepNext/>
              <w:keepLines/>
              <w:jc w:val="left"/>
              <w:rPr>
                <w:rFonts w:cs="Calibri"/>
                <w:color w:val="000000"/>
                <w:highlight w:val="black"/>
              </w:rPr>
            </w:pPr>
            <w:r w:rsidRPr="006F0063">
              <w:rPr>
                <w:rFonts w:cs="Calibri"/>
                <w:color w:val="000000"/>
                <w:highlight w:val="black"/>
              </w:rPr>
              <w:t>*******</w:t>
            </w:r>
          </w:p>
        </w:tc>
        <w:tc>
          <w:tcPr>
            <w:tcW w:w="680" w:type="dxa"/>
            <w:tcBorders>
              <w:top w:val="nil"/>
              <w:left w:val="nil"/>
              <w:bottom w:val="nil"/>
              <w:right w:val="nil"/>
            </w:tcBorders>
            <w:shd w:val="clear" w:color="auto" w:fill="auto"/>
            <w:noWrap/>
            <w:vAlign w:val="bottom"/>
            <w:hideMark/>
          </w:tcPr>
          <w:p w14:paraId="156096DA" w14:textId="75F24B5B" w:rsidR="00D42C01" w:rsidRPr="006F0063" w:rsidRDefault="00725FBA" w:rsidP="00071755">
            <w:pPr>
              <w:keepNext/>
              <w:keepLines/>
              <w:jc w:val="right"/>
              <w:rPr>
                <w:rFonts w:cs="Calibri"/>
                <w:color w:val="000000"/>
                <w:highlight w:val="black"/>
              </w:rPr>
            </w:pPr>
            <w:r w:rsidRPr="006F0063">
              <w:rPr>
                <w:rFonts w:cs="Calibri"/>
                <w:color w:val="000000"/>
                <w:highlight w:val="black"/>
              </w:rPr>
              <w:t>**%</w:t>
            </w:r>
          </w:p>
        </w:tc>
        <w:tc>
          <w:tcPr>
            <w:tcW w:w="680" w:type="dxa"/>
            <w:tcBorders>
              <w:top w:val="nil"/>
              <w:left w:val="nil"/>
              <w:bottom w:val="nil"/>
              <w:right w:val="nil"/>
            </w:tcBorders>
            <w:shd w:val="clear" w:color="auto" w:fill="auto"/>
            <w:noWrap/>
            <w:vAlign w:val="bottom"/>
            <w:hideMark/>
          </w:tcPr>
          <w:p w14:paraId="3587EA4F" w14:textId="5E680E85" w:rsidR="00D42C01" w:rsidRPr="006F0063" w:rsidRDefault="00725FBA" w:rsidP="00071755">
            <w:pPr>
              <w:keepNext/>
              <w:keepLines/>
              <w:jc w:val="right"/>
              <w:rPr>
                <w:rFonts w:cs="Calibri"/>
                <w:color w:val="000000"/>
                <w:highlight w:val="black"/>
              </w:rPr>
            </w:pPr>
            <w:r w:rsidRPr="006F0063">
              <w:rPr>
                <w:rFonts w:cs="Calibri"/>
                <w:color w:val="000000"/>
                <w:highlight w:val="black"/>
              </w:rPr>
              <w:t>**%</w:t>
            </w:r>
          </w:p>
        </w:tc>
        <w:tc>
          <w:tcPr>
            <w:tcW w:w="680" w:type="dxa"/>
            <w:tcBorders>
              <w:top w:val="nil"/>
              <w:left w:val="nil"/>
              <w:bottom w:val="nil"/>
              <w:right w:val="nil"/>
            </w:tcBorders>
            <w:shd w:val="clear" w:color="auto" w:fill="auto"/>
            <w:noWrap/>
            <w:vAlign w:val="bottom"/>
            <w:hideMark/>
          </w:tcPr>
          <w:p w14:paraId="3A34AC9F" w14:textId="06276443" w:rsidR="00D42C01" w:rsidRPr="006F0063" w:rsidRDefault="00725FBA" w:rsidP="00071755">
            <w:pPr>
              <w:keepNext/>
              <w:keepLines/>
              <w:jc w:val="right"/>
              <w:rPr>
                <w:rFonts w:cs="Calibri"/>
                <w:color w:val="000000"/>
                <w:highlight w:val="black"/>
              </w:rPr>
            </w:pPr>
            <w:r w:rsidRPr="006F0063">
              <w:rPr>
                <w:rFonts w:cs="Calibri"/>
                <w:color w:val="000000"/>
                <w:highlight w:val="black"/>
              </w:rPr>
              <w:t>**%</w:t>
            </w:r>
          </w:p>
        </w:tc>
        <w:tc>
          <w:tcPr>
            <w:tcW w:w="597" w:type="dxa"/>
            <w:tcBorders>
              <w:top w:val="nil"/>
              <w:left w:val="nil"/>
              <w:bottom w:val="nil"/>
              <w:right w:val="nil"/>
            </w:tcBorders>
            <w:shd w:val="clear" w:color="auto" w:fill="auto"/>
            <w:noWrap/>
            <w:vAlign w:val="bottom"/>
            <w:hideMark/>
          </w:tcPr>
          <w:p w14:paraId="11CF1406" w14:textId="44EAC8BE" w:rsidR="00D42C01" w:rsidRPr="006F0063" w:rsidRDefault="00725FBA" w:rsidP="00071755">
            <w:pPr>
              <w:keepNext/>
              <w:keepLines/>
              <w:jc w:val="right"/>
              <w:rPr>
                <w:rFonts w:cs="Calibri"/>
                <w:color w:val="000000"/>
                <w:highlight w:val="black"/>
              </w:rPr>
            </w:pPr>
            <w:r w:rsidRPr="006F0063">
              <w:rPr>
                <w:rFonts w:cs="Calibri"/>
                <w:color w:val="000000"/>
                <w:highlight w:val="black"/>
              </w:rPr>
              <w:t>**%</w:t>
            </w:r>
          </w:p>
        </w:tc>
        <w:tc>
          <w:tcPr>
            <w:tcW w:w="597" w:type="dxa"/>
            <w:tcBorders>
              <w:top w:val="nil"/>
              <w:left w:val="nil"/>
              <w:bottom w:val="nil"/>
              <w:right w:val="nil"/>
            </w:tcBorders>
            <w:shd w:val="clear" w:color="auto" w:fill="auto"/>
            <w:noWrap/>
            <w:vAlign w:val="bottom"/>
            <w:hideMark/>
          </w:tcPr>
          <w:p w14:paraId="503FEFDD" w14:textId="2C6CF667" w:rsidR="00D42C01" w:rsidRPr="006F0063" w:rsidRDefault="00725FBA" w:rsidP="00071755">
            <w:pPr>
              <w:keepNext/>
              <w:keepLines/>
              <w:jc w:val="right"/>
              <w:rPr>
                <w:rFonts w:cs="Calibri"/>
                <w:color w:val="000000"/>
                <w:highlight w:val="black"/>
              </w:rPr>
            </w:pPr>
            <w:r w:rsidRPr="006F0063">
              <w:rPr>
                <w:rFonts w:cs="Calibri"/>
                <w:color w:val="000000"/>
                <w:highlight w:val="black"/>
              </w:rPr>
              <w:t>**%</w:t>
            </w:r>
          </w:p>
        </w:tc>
        <w:tc>
          <w:tcPr>
            <w:tcW w:w="632" w:type="dxa"/>
            <w:tcBorders>
              <w:top w:val="nil"/>
              <w:left w:val="nil"/>
              <w:bottom w:val="nil"/>
              <w:right w:val="nil"/>
            </w:tcBorders>
            <w:shd w:val="clear" w:color="auto" w:fill="auto"/>
            <w:noWrap/>
            <w:vAlign w:val="bottom"/>
            <w:hideMark/>
          </w:tcPr>
          <w:p w14:paraId="3FE1C847" w14:textId="7ADD4C15" w:rsidR="00D42C01" w:rsidRPr="006F0063" w:rsidRDefault="00725FBA" w:rsidP="00071755">
            <w:pPr>
              <w:keepNext/>
              <w:keepLines/>
              <w:jc w:val="right"/>
              <w:rPr>
                <w:rFonts w:cs="Calibri"/>
                <w:color w:val="000000"/>
                <w:highlight w:val="black"/>
              </w:rPr>
            </w:pPr>
            <w:r w:rsidRPr="006F0063">
              <w:rPr>
                <w:rFonts w:cs="Calibri"/>
                <w:color w:val="000000"/>
                <w:highlight w:val="black"/>
              </w:rPr>
              <w:t>**%</w:t>
            </w:r>
          </w:p>
        </w:tc>
        <w:tc>
          <w:tcPr>
            <w:tcW w:w="597" w:type="dxa"/>
            <w:tcBorders>
              <w:top w:val="nil"/>
              <w:left w:val="nil"/>
              <w:bottom w:val="nil"/>
              <w:right w:val="nil"/>
            </w:tcBorders>
            <w:shd w:val="clear" w:color="auto" w:fill="auto"/>
            <w:noWrap/>
            <w:vAlign w:val="bottom"/>
            <w:hideMark/>
          </w:tcPr>
          <w:p w14:paraId="53CD2136" w14:textId="77777777" w:rsidR="00D42C01" w:rsidRPr="00D42C01" w:rsidRDefault="00D42C01" w:rsidP="00071755">
            <w:pPr>
              <w:keepNext/>
              <w:keepLines/>
              <w:jc w:val="right"/>
              <w:rPr>
                <w:rFonts w:cs="Calibri"/>
                <w:color w:val="000000"/>
              </w:rPr>
            </w:pPr>
            <w:r w:rsidRPr="00D42C01">
              <w:rPr>
                <w:rFonts w:cs="Calibri"/>
                <w:color w:val="000000"/>
              </w:rPr>
              <w:t>0%</w:t>
            </w:r>
          </w:p>
        </w:tc>
        <w:tc>
          <w:tcPr>
            <w:tcW w:w="597" w:type="dxa"/>
            <w:tcBorders>
              <w:top w:val="nil"/>
              <w:left w:val="nil"/>
              <w:bottom w:val="nil"/>
              <w:right w:val="nil"/>
            </w:tcBorders>
            <w:shd w:val="clear" w:color="auto" w:fill="auto"/>
            <w:noWrap/>
            <w:vAlign w:val="bottom"/>
            <w:hideMark/>
          </w:tcPr>
          <w:p w14:paraId="7F7FF126" w14:textId="77777777" w:rsidR="00D42C01" w:rsidRPr="00D42C01" w:rsidRDefault="00D42C01" w:rsidP="00071755">
            <w:pPr>
              <w:keepNext/>
              <w:keepLines/>
              <w:jc w:val="right"/>
              <w:rPr>
                <w:rFonts w:cs="Calibri"/>
                <w:color w:val="000000"/>
              </w:rPr>
            </w:pPr>
            <w:r w:rsidRPr="00D42C01">
              <w:rPr>
                <w:rFonts w:cs="Calibri"/>
                <w:color w:val="000000"/>
              </w:rPr>
              <w:t>0%</w:t>
            </w:r>
          </w:p>
        </w:tc>
        <w:tc>
          <w:tcPr>
            <w:tcW w:w="723" w:type="dxa"/>
            <w:tcBorders>
              <w:top w:val="nil"/>
              <w:left w:val="nil"/>
              <w:bottom w:val="nil"/>
              <w:right w:val="single" w:sz="8" w:space="0" w:color="auto"/>
            </w:tcBorders>
            <w:shd w:val="clear" w:color="auto" w:fill="auto"/>
            <w:noWrap/>
            <w:vAlign w:val="bottom"/>
            <w:hideMark/>
          </w:tcPr>
          <w:p w14:paraId="6A534B85" w14:textId="77777777" w:rsidR="00D42C01" w:rsidRPr="00D42C01" w:rsidRDefault="00D42C01" w:rsidP="00071755">
            <w:pPr>
              <w:keepNext/>
              <w:keepLines/>
              <w:jc w:val="right"/>
              <w:rPr>
                <w:rFonts w:cs="Calibri"/>
                <w:color w:val="000000"/>
              </w:rPr>
            </w:pPr>
            <w:r w:rsidRPr="00D42C01">
              <w:rPr>
                <w:rFonts w:cs="Calibri"/>
                <w:color w:val="000000"/>
              </w:rPr>
              <w:t>-10%</w:t>
            </w:r>
          </w:p>
        </w:tc>
      </w:tr>
      <w:tr w:rsidR="00CE6100" w:rsidRPr="00D42C01" w14:paraId="09FC9FC7" w14:textId="77777777" w:rsidTr="006F0063">
        <w:trPr>
          <w:trHeight w:val="300"/>
          <w:jc w:val="center"/>
        </w:trPr>
        <w:tc>
          <w:tcPr>
            <w:tcW w:w="1287" w:type="dxa"/>
            <w:tcBorders>
              <w:top w:val="nil"/>
              <w:left w:val="single" w:sz="8" w:space="0" w:color="auto"/>
              <w:bottom w:val="nil"/>
              <w:right w:val="nil"/>
            </w:tcBorders>
            <w:shd w:val="clear" w:color="auto" w:fill="auto"/>
            <w:noWrap/>
            <w:vAlign w:val="bottom"/>
            <w:hideMark/>
          </w:tcPr>
          <w:p w14:paraId="432852ED" w14:textId="77777777" w:rsidR="00D42C01" w:rsidRPr="00D42C01" w:rsidRDefault="00D42C01" w:rsidP="00071755">
            <w:pPr>
              <w:keepNext/>
              <w:keepLines/>
              <w:jc w:val="left"/>
              <w:rPr>
                <w:rFonts w:cs="Calibri"/>
                <w:color w:val="000000"/>
              </w:rPr>
            </w:pPr>
            <w:r w:rsidRPr="00D42C01">
              <w:rPr>
                <w:rFonts w:cs="Calibri"/>
                <w:color w:val="000000"/>
              </w:rPr>
              <w:t>Industrial</w:t>
            </w:r>
          </w:p>
        </w:tc>
        <w:tc>
          <w:tcPr>
            <w:tcW w:w="1920" w:type="dxa"/>
            <w:tcBorders>
              <w:top w:val="nil"/>
              <w:left w:val="nil"/>
              <w:bottom w:val="nil"/>
              <w:right w:val="nil"/>
            </w:tcBorders>
            <w:shd w:val="clear" w:color="auto" w:fill="auto"/>
            <w:vAlign w:val="center"/>
            <w:hideMark/>
          </w:tcPr>
          <w:p w14:paraId="7D022C47" w14:textId="57183DF1" w:rsidR="00D42C01" w:rsidRPr="006F0063" w:rsidRDefault="00725FBA" w:rsidP="00071755">
            <w:pPr>
              <w:keepNext/>
              <w:keepLines/>
              <w:jc w:val="left"/>
              <w:rPr>
                <w:rFonts w:cs="Calibri"/>
                <w:color w:val="000000"/>
                <w:highlight w:val="black"/>
              </w:rPr>
            </w:pPr>
            <w:r w:rsidRPr="006F0063">
              <w:rPr>
                <w:rFonts w:cs="Calibri"/>
                <w:color w:val="000000"/>
                <w:highlight w:val="black"/>
              </w:rPr>
              <w:t>*******</w:t>
            </w:r>
          </w:p>
        </w:tc>
        <w:tc>
          <w:tcPr>
            <w:tcW w:w="680" w:type="dxa"/>
            <w:tcBorders>
              <w:top w:val="nil"/>
              <w:left w:val="nil"/>
              <w:bottom w:val="nil"/>
              <w:right w:val="nil"/>
            </w:tcBorders>
            <w:shd w:val="clear" w:color="auto" w:fill="auto"/>
            <w:noWrap/>
            <w:vAlign w:val="bottom"/>
            <w:hideMark/>
          </w:tcPr>
          <w:p w14:paraId="5769AC5B" w14:textId="5D29883F" w:rsidR="00D42C01" w:rsidRPr="006F0063" w:rsidRDefault="00725FBA" w:rsidP="00071755">
            <w:pPr>
              <w:keepNext/>
              <w:keepLines/>
              <w:jc w:val="right"/>
              <w:rPr>
                <w:rFonts w:cs="Calibri"/>
                <w:color w:val="000000"/>
                <w:highlight w:val="black"/>
              </w:rPr>
            </w:pPr>
            <w:r w:rsidRPr="006F0063">
              <w:rPr>
                <w:rFonts w:cs="Calibri"/>
                <w:color w:val="000000"/>
                <w:highlight w:val="black"/>
              </w:rPr>
              <w:t>**%</w:t>
            </w:r>
          </w:p>
        </w:tc>
        <w:tc>
          <w:tcPr>
            <w:tcW w:w="680" w:type="dxa"/>
            <w:tcBorders>
              <w:top w:val="nil"/>
              <w:left w:val="nil"/>
              <w:bottom w:val="nil"/>
              <w:right w:val="nil"/>
            </w:tcBorders>
            <w:shd w:val="clear" w:color="auto" w:fill="auto"/>
            <w:noWrap/>
            <w:vAlign w:val="bottom"/>
            <w:hideMark/>
          </w:tcPr>
          <w:p w14:paraId="0C0615F9" w14:textId="60CAC9D1" w:rsidR="00D42C01" w:rsidRPr="006F0063" w:rsidRDefault="00725FBA" w:rsidP="00071755">
            <w:pPr>
              <w:keepNext/>
              <w:keepLines/>
              <w:jc w:val="right"/>
              <w:rPr>
                <w:rFonts w:cs="Calibri"/>
                <w:color w:val="000000"/>
                <w:highlight w:val="black"/>
              </w:rPr>
            </w:pPr>
            <w:r w:rsidRPr="006F0063">
              <w:rPr>
                <w:rFonts w:cs="Calibri"/>
                <w:color w:val="000000"/>
                <w:highlight w:val="black"/>
              </w:rPr>
              <w:t>**%</w:t>
            </w:r>
          </w:p>
        </w:tc>
        <w:tc>
          <w:tcPr>
            <w:tcW w:w="680" w:type="dxa"/>
            <w:tcBorders>
              <w:top w:val="nil"/>
              <w:left w:val="nil"/>
              <w:bottom w:val="nil"/>
              <w:right w:val="nil"/>
            </w:tcBorders>
            <w:shd w:val="clear" w:color="auto" w:fill="auto"/>
            <w:noWrap/>
            <w:vAlign w:val="bottom"/>
            <w:hideMark/>
          </w:tcPr>
          <w:p w14:paraId="6085AF0C" w14:textId="1ED65B9F" w:rsidR="00D42C01" w:rsidRPr="006F0063" w:rsidRDefault="00725FBA" w:rsidP="00071755">
            <w:pPr>
              <w:keepNext/>
              <w:keepLines/>
              <w:jc w:val="right"/>
              <w:rPr>
                <w:rFonts w:cs="Calibri"/>
                <w:color w:val="000000"/>
                <w:highlight w:val="black"/>
              </w:rPr>
            </w:pPr>
            <w:r w:rsidRPr="006F0063">
              <w:rPr>
                <w:rFonts w:cs="Calibri"/>
                <w:color w:val="000000"/>
                <w:highlight w:val="black"/>
              </w:rPr>
              <w:t>**%</w:t>
            </w:r>
          </w:p>
        </w:tc>
        <w:tc>
          <w:tcPr>
            <w:tcW w:w="597" w:type="dxa"/>
            <w:tcBorders>
              <w:top w:val="nil"/>
              <w:left w:val="nil"/>
              <w:bottom w:val="nil"/>
              <w:right w:val="nil"/>
            </w:tcBorders>
            <w:shd w:val="clear" w:color="auto" w:fill="auto"/>
            <w:noWrap/>
            <w:vAlign w:val="bottom"/>
            <w:hideMark/>
          </w:tcPr>
          <w:p w14:paraId="0399450B" w14:textId="4E55D522" w:rsidR="00D42C01" w:rsidRPr="006F0063" w:rsidRDefault="00725FBA" w:rsidP="00071755">
            <w:pPr>
              <w:keepNext/>
              <w:keepLines/>
              <w:jc w:val="right"/>
              <w:rPr>
                <w:rFonts w:cs="Calibri"/>
                <w:color w:val="000000"/>
                <w:highlight w:val="black"/>
              </w:rPr>
            </w:pPr>
            <w:r w:rsidRPr="006F0063">
              <w:rPr>
                <w:rFonts w:cs="Calibri"/>
                <w:color w:val="000000"/>
                <w:highlight w:val="black"/>
              </w:rPr>
              <w:t>**%</w:t>
            </w:r>
          </w:p>
        </w:tc>
        <w:tc>
          <w:tcPr>
            <w:tcW w:w="597" w:type="dxa"/>
            <w:tcBorders>
              <w:top w:val="nil"/>
              <w:left w:val="nil"/>
              <w:bottom w:val="nil"/>
              <w:right w:val="nil"/>
            </w:tcBorders>
            <w:shd w:val="clear" w:color="auto" w:fill="auto"/>
            <w:noWrap/>
            <w:vAlign w:val="bottom"/>
            <w:hideMark/>
          </w:tcPr>
          <w:p w14:paraId="29FA56C4" w14:textId="5C283A2F" w:rsidR="00D42C01" w:rsidRPr="006F0063" w:rsidRDefault="00725FBA" w:rsidP="00071755">
            <w:pPr>
              <w:keepNext/>
              <w:keepLines/>
              <w:jc w:val="right"/>
              <w:rPr>
                <w:rFonts w:cs="Calibri"/>
                <w:color w:val="000000"/>
                <w:highlight w:val="black"/>
              </w:rPr>
            </w:pPr>
            <w:r w:rsidRPr="006F0063">
              <w:rPr>
                <w:rFonts w:cs="Calibri"/>
                <w:color w:val="000000"/>
                <w:highlight w:val="black"/>
              </w:rPr>
              <w:t>**%</w:t>
            </w:r>
          </w:p>
        </w:tc>
        <w:tc>
          <w:tcPr>
            <w:tcW w:w="632" w:type="dxa"/>
            <w:tcBorders>
              <w:top w:val="nil"/>
              <w:left w:val="nil"/>
              <w:bottom w:val="nil"/>
              <w:right w:val="nil"/>
            </w:tcBorders>
            <w:shd w:val="clear" w:color="auto" w:fill="auto"/>
            <w:noWrap/>
            <w:vAlign w:val="bottom"/>
            <w:hideMark/>
          </w:tcPr>
          <w:p w14:paraId="03DF77A5" w14:textId="7AFBC23D" w:rsidR="00D42C01" w:rsidRPr="006F0063" w:rsidRDefault="00725FBA" w:rsidP="00071755">
            <w:pPr>
              <w:keepNext/>
              <w:keepLines/>
              <w:jc w:val="right"/>
              <w:rPr>
                <w:rFonts w:cs="Calibri"/>
                <w:color w:val="000000"/>
                <w:highlight w:val="black"/>
              </w:rPr>
            </w:pPr>
            <w:r w:rsidRPr="006F0063">
              <w:rPr>
                <w:rFonts w:cs="Calibri"/>
                <w:color w:val="000000"/>
                <w:highlight w:val="black"/>
              </w:rPr>
              <w:t>**%</w:t>
            </w:r>
          </w:p>
        </w:tc>
        <w:tc>
          <w:tcPr>
            <w:tcW w:w="597" w:type="dxa"/>
            <w:tcBorders>
              <w:top w:val="nil"/>
              <w:left w:val="nil"/>
              <w:bottom w:val="nil"/>
              <w:right w:val="nil"/>
            </w:tcBorders>
            <w:shd w:val="clear" w:color="auto" w:fill="auto"/>
            <w:noWrap/>
            <w:vAlign w:val="bottom"/>
            <w:hideMark/>
          </w:tcPr>
          <w:p w14:paraId="2EFDB1A2" w14:textId="77777777" w:rsidR="00D42C01" w:rsidRPr="00D42C01" w:rsidRDefault="00D42C01" w:rsidP="00071755">
            <w:pPr>
              <w:keepNext/>
              <w:keepLines/>
              <w:jc w:val="right"/>
              <w:rPr>
                <w:rFonts w:cs="Calibri"/>
                <w:color w:val="000000"/>
              </w:rPr>
            </w:pPr>
            <w:r w:rsidRPr="00D42C01">
              <w:rPr>
                <w:rFonts w:cs="Calibri"/>
                <w:color w:val="000000"/>
              </w:rPr>
              <w:t>0%</w:t>
            </w:r>
          </w:p>
        </w:tc>
        <w:tc>
          <w:tcPr>
            <w:tcW w:w="597" w:type="dxa"/>
            <w:tcBorders>
              <w:top w:val="nil"/>
              <w:left w:val="nil"/>
              <w:bottom w:val="nil"/>
              <w:right w:val="nil"/>
            </w:tcBorders>
            <w:shd w:val="clear" w:color="auto" w:fill="auto"/>
            <w:noWrap/>
            <w:vAlign w:val="bottom"/>
            <w:hideMark/>
          </w:tcPr>
          <w:p w14:paraId="559472A3" w14:textId="77777777" w:rsidR="00D42C01" w:rsidRPr="00D42C01" w:rsidRDefault="00D42C01" w:rsidP="00071755">
            <w:pPr>
              <w:keepNext/>
              <w:keepLines/>
              <w:jc w:val="right"/>
              <w:rPr>
                <w:rFonts w:cs="Calibri"/>
                <w:color w:val="000000"/>
              </w:rPr>
            </w:pPr>
            <w:r w:rsidRPr="00D42C01">
              <w:rPr>
                <w:rFonts w:cs="Calibri"/>
                <w:color w:val="000000"/>
              </w:rPr>
              <w:t>0%</w:t>
            </w:r>
          </w:p>
        </w:tc>
        <w:tc>
          <w:tcPr>
            <w:tcW w:w="723" w:type="dxa"/>
            <w:tcBorders>
              <w:top w:val="nil"/>
              <w:left w:val="nil"/>
              <w:bottom w:val="nil"/>
              <w:right w:val="single" w:sz="8" w:space="0" w:color="auto"/>
            </w:tcBorders>
            <w:shd w:val="clear" w:color="auto" w:fill="auto"/>
            <w:noWrap/>
            <w:vAlign w:val="bottom"/>
            <w:hideMark/>
          </w:tcPr>
          <w:p w14:paraId="3AFEA870" w14:textId="77777777" w:rsidR="00D42C01" w:rsidRPr="00D42C01" w:rsidRDefault="00D42C01" w:rsidP="00071755">
            <w:pPr>
              <w:keepNext/>
              <w:keepLines/>
              <w:jc w:val="right"/>
              <w:rPr>
                <w:rFonts w:cs="Calibri"/>
                <w:color w:val="000000"/>
              </w:rPr>
            </w:pPr>
            <w:r w:rsidRPr="00D42C01">
              <w:rPr>
                <w:rFonts w:cs="Calibri"/>
                <w:color w:val="000000"/>
              </w:rPr>
              <w:t>-10%</w:t>
            </w:r>
          </w:p>
        </w:tc>
      </w:tr>
      <w:tr w:rsidR="00CE6100" w:rsidRPr="00D42C01" w14:paraId="7FAFEA06" w14:textId="77777777" w:rsidTr="006F0063">
        <w:trPr>
          <w:trHeight w:val="300"/>
          <w:jc w:val="center"/>
        </w:trPr>
        <w:tc>
          <w:tcPr>
            <w:tcW w:w="1287" w:type="dxa"/>
            <w:tcBorders>
              <w:top w:val="nil"/>
              <w:left w:val="single" w:sz="8" w:space="0" w:color="auto"/>
              <w:bottom w:val="nil"/>
              <w:right w:val="nil"/>
            </w:tcBorders>
            <w:shd w:val="clear" w:color="auto" w:fill="auto"/>
            <w:noWrap/>
            <w:vAlign w:val="bottom"/>
            <w:hideMark/>
          </w:tcPr>
          <w:p w14:paraId="06555572" w14:textId="77777777" w:rsidR="00D42C01" w:rsidRPr="00D42C01" w:rsidRDefault="00D42C01" w:rsidP="00071755">
            <w:pPr>
              <w:keepNext/>
              <w:keepLines/>
              <w:jc w:val="left"/>
              <w:rPr>
                <w:rFonts w:cs="Calibri"/>
                <w:color w:val="000000"/>
              </w:rPr>
            </w:pPr>
            <w:r w:rsidRPr="00D42C01">
              <w:rPr>
                <w:rFonts w:cs="Calibri"/>
                <w:color w:val="000000"/>
              </w:rPr>
              <w:t>Industrial</w:t>
            </w:r>
          </w:p>
        </w:tc>
        <w:tc>
          <w:tcPr>
            <w:tcW w:w="1920" w:type="dxa"/>
            <w:tcBorders>
              <w:top w:val="nil"/>
              <w:left w:val="nil"/>
              <w:bottom w:val="nil"/>
              <w:right w:val="nil"/>
            </w:tcBorders>
            <w:shd w:val="clear" w:color="auto" w:fill="auto"/>
            <w:vAlign w:val="center"/>
            <w:hideMark/>
          </w:tcPr>
          <w:p w14:paraId="12BB998F" w14:textId="21AFB075" w:rsidR="00D42C01" w:rsidRPr="006F0063" w:rsidRDefault="00725FBA" w:rsidP="00071755">
            <w:pPr>
              <w:keepNext/>
              <w:keepLines/>
              <w:jc w:val="left"/>
              <w:rPr>
                <w:rFonts w:cs="Calibri"/>
                <w:color w:val="000000"/>
                <w:highlight w:val="black"/>
              </w:rPr>
            </w:pPr>
            <w:r w:rsidRPr="006F0063">
              <w:rPr>
                <w:rFonts w:cs="Calibri"/>
                <w:color w:val="000000"/>
                <w:highlight w:val="black"/>
              </w:rPr>
              <w:t>*******</w:t>
            </w:r>
          </w:p>
        </w:tc>
        <w:tc>
          <w:tcPr>
            <w:tcW w:w="680" w:type="dxa"/>
            <w:tcBorders>
              <w:top w:val="nil"/>
              <w:left w:val="nil"/>
              <w:bottom w:val="nil"/>
              <w:right w:val="nil"/>
            </w:tcBorders>
            <w:shd w:val="clear" w:color="auto" w:fill="auto"/>
            <w:noWrap/>
            <w:vAlign w:val="bottom"/>
            <w:hideMark/>
          </w:tcPr>
          <w:p w14:paraId="41FEBDB1" w14:textId="56A06AE7" w:rsidR="00D42C01" w:rsidRPr="006F0063" w:rsidRDefault="00725FBA" w:rsidP="00071755">
            <w:pPr>
              <w:keepNext/>
              <w:keepLines/>
              <w:jc w:val="right"/>
              <w:rPr>
                <w:rFonts w:cs="Calibri"/>
                <w:color w:val="000000"/>
                <w:highlight w:val="black"/>
              </w:rPr>
            </w:pPr>
            <w:r w:rsidRPr="006F0063">
              <w:rPr>
                <w:rFonts w:cs="Calibri"/>
                <w:color w:val="000000"/>
                <w:highlight w:val="black"/>
              </w:rPr>
              <w:t>**%</w:t>
            </w:r>
          </w:p>
        </w:tc>
        <w:tc>
          <w:tcPr>
            <w:tcW w:w="680" w:type="dxa"/>
            <w:tcBorders>
              <w:top w:val="nil"/>
              <w:left w:val="nil"/>
              <w:bottom w:val="nil"/>
              <w:right w:val="nil"/>
            </w:tcBorders>
            <w:shd w:val="clear" w:color="auto" w:fill="auto"/>
            <w:noWrap/>
            <w:vAlign w:val="bottom"/>
            <w:hideMark/>
          </w:tcPr>
          <w:p w14:paraId="64C018B9" w14:textId="46A19952" w:rsidR="00D42C01" w:rsidRPr="006F0063" w:rsidRDefault="00725FBA" w:rsidP="00071755">
            <w:pPr>
              <w:keepNext/>
              <w:keepLines/>
              <w:jc w:val="right"/>
              <w:rPr>
                <w:rFonts w:cs="Calibri"/>
                <w:color w:val="000000"/>
                <w:highlight w:val="black"/>
              </w:rPr>
            </w:pPr>
            <w:r w:rsidRPr="006F0063">
              <w:rPr>
                <w:rFonts w:cs="Calibri"/>
                <w:color w:val="000000"/>
                <w:highlight w:val="black"/>
              </w:rPr>
              <w:t>**%</w:t>
            </w:r>
          </w:p>
        </w:tc>
        <w:tc>
          <w:tcPr>
            <w:tcW w:w="680" w:type="dxa"/>
            <w:tcBorders>
              <w:top w:val="nil"/>
              <w:left w:val="nil"/>
              <w:bottom w:val="nil"/>
              <w:right w:val="nil"/>
            </w:tcBorders>
            <w:shd w:val="clear" w:color="auto" w:fill="auto"/>
            <w:noWrap/>
            <w:vAlign w:val="bottom"/>
            <w:hideMark/>
          </w:tcPr>
          <w:p w14:paraId="388160DA" w14:textId="4D614F3A" w:rsidR="00D42C01" w:rsidRPr="006F0063" w:rsidRDefault="00725FBA" w:rsidP="00071755">
            <w:pPr>
              <w:keepNext/>
              <w:keepLines/>
              <w:jc w:val="right"/>
              <w:rPr>
                <w:rFonts w:cs="Calibri"/>
                <w:color w:val="000000"/>
                <w:highlight w:val="black"/>
              </w:rPr>
            </w:pPr>
            <w:r w:rsidRPr="006F0063">
              <w:rPr>
                <w:rFonts w:cs="Calibri"/>
                <w:color w:val="000000"/>
                <w:highlight w:val="black"/>
              </w:rPr>
              <w:t>**%</w:t>
            </w:r>
          </w:p>
        </w:tc>
        <w:tc>
          <w:tcPr>
            <w:tcW w:w="597" w:type="dxa"/>
            <w:tcBorders>
              <w:top w:val="nil"/>
              <w:left w:val="nil"/>
              <w:bottom w:val="nil"/>
              <w:right w:val="nil"/>
            </w:tcBorders>
            <w:shd w:val="clear" w:color="auto" w:fill="auto"/>
            <w:noWrap/>
            <w:vAlign w:val="bottom"/>
            <w:hideMark/>
          </w:tcPr>
          <w:p w14:paraId="566D5765" w14:textId="754B7041" w:rsidR="00D42C01" w:rsidRPr="006F0063" w:rsidRDefault="00725FBA" w:rsidP="00071755">
            <w:pPr>
              <w:keepNext/>
              <w:keepLines/>
              <w:jc w:val="right"/>
              <w:rPr>
                <w:rFonts w:cs="Calibri"/>
                <w:color w:val="000000"/>
                <w:highlight w:val="black"/>
              </w:rPr>
            </w:pPr>
            <w:r w:rsidRPr="006F0063">
              <w:rPr>
                <w:rFonts w:cs="Calibri"/>
                <w:color w:val="000000"/>
                <w:highlight w:val="black"/>
              </w:rPr>
              <w:t>**%</w:t>
            </w:r>
          </w:p>
        </w:tc>
        <w:tc>
          <w:tcPr>
            <w:tcW w:w="597" w:type="dxa"/>
            <w:tcBorders>
              <w:top w:val="nil"/>
              <w:left w:val="nil"/>
              <w:bottom w:val="nil"/>
              <w:right w:val="nil"/>
            </w:tcBorders>
            <w:shd w:val="clear" w:color="auto" w:fill="auto"/>
            <w:noWrap/>
            <w:vAlign w:val="bottom"/>
            <w:hideMark/>
          </w:tcPr>
          <w:p w14:paraId="3BBEB37B" w14:textId="21C5BAB0" w:rsidR="00D42C01" w:rsidRPr="006F0063" w:rsidRDefault="00725FBA" w:rsidP="00071755">
            <w:pPr>
              <w:keepNext/>
              <w:keepLines/>
              <w:jc w:val="right"/>
              <w:rPr>
                <w:rFonts w:cs="Calibri"/>
                <w:color w:val="000000"/>
                <w:highlight w:val="black"/>
              </w:rPr>
            </w:pPr>
            <w:r w:rsidRPr="006F0063">
              <w:rPr>
                <w:rFonts w:cs="Calibri"/>
                <w:color w:val="000000"/>
                <w:highlight w:val="black"/>
              </w:rPr>
              <w:t>**%</w:t>
            </w:r>
          </w:p>
        </w:tc>
        <w:tc>
          <w:tcPr>
            <w:tcW w:w="632" w:type="dxa"/>
            <w:tcBorders>
              <w:top w:val="nil"/>
              <w:left w:val="nil"/>
              <w:bottom w:val="nil"/>
              <w:right w:val="nil"/>
            </w:tcBorders>
            <w:shd w:val="clear" w:color="auto" w:fill="auto"/>
            <w:noWrap/>
            <w:vAlign w:val="bottom"/>
            <w:hideMark/>
          </w:tcPr>
          <w:p w14:paraId="1DF83DD8" w14:textId="55D4E578" w:rsidR="00D42C01" w:rsidRPr="006F0063" w:rsidRDefault="00725FBA" w:rsidP="00071755">
            <w:pPr>
              <w:keepNext/>
              <w:keepLines/>
              <w:jc w:val="right"/>
              <w:rPr>
                <w:rFonts w:cs="Calibri"/>
                <w:color w:val="000000"/>
                <w:highlight w:val="black"/>
              </w:rPr>
            </w:pPr>
            <w:r w:rsidRPr="006F0063">
              <w:rPr>
                <w:rFonts w:cs="Calibri"/>
                <w:color w:val="000000"/>
                <w:highlight w:val="black"/>
              </w:rPr>
              <w:t>**%</w:t>
            </w:r>
          </w:p>
        </w:tc>
        <w:tc>
          <w:tcPr>
            <w:tcW w:w="597" w:type="dxa"/>
            <w:tcBorders>
              <w:top w:val="nil"/>
              <w:left w:val="nil"/>
              <w:bottom w:val="nil"/>
              <w:right w:val="nil"/>
            </w:tcBorders>
            <w:shd w:val="clear" w:color="auto" w:fill="auto"/>
            <w:noWrap/>
            <w:vAlign w:val="bottom"/>
            <w:hideMark/>
          </w:tcPr>
          <w:p w14:paraId="576937DF" w14:textId="77777777" w:rsidR="00D42C01" w:rsidRPr="00D42C01" w:rsidRDefault="00D42C01" w:rsidP="00071755">
            <w:pPr>
              <w:keepNext/>
              <w:keepLines/>
              <w:jc w:val="right"/>
              <w:rPr>
                <w:rFonts w:cs="Calibri"/>
                <w:color w:val="000000"/>
              </w:rPr>
            </w:pPr>
            <w:r w:rsidRPr="00D42C01">
              <w:rPr>
                <w:rFonts w:cs="Calibri"/>
                <w:color w:val="000000"/>
              </w:rPr>
              <w:t>0%</w:t>
            </w:r>
          </w:p>
        </w:tc>
        <w:tc>
          <w:tcPr>
            <w:tcW w:w="597" w:type="dxa"/>
            <w:tcBorders>
              <w:top w:val="nil"/>
              <w:left w:val="nil"/>
              <w:bottom w:val="nil"/>
              <w:right w:val="nil"/>
            </w:tcBorders>
            <w:shd w:val="clear" w:color="auto" w:fill="auto"/>
            <w:noWrap/>
            <w:vAlign w:val="bottom"/>
            <w:hideMark/>
          </w:tcPr>
          <w:p w14:paraId="7A914CE3" w14:textId="77777777" w:rsidR="00D42C01" w:rsidRPr="00D42C01" w:rsidRDefault="00D42C01" w:rsidP="00071755">
            <w:pPr>
              <w:keepNext/>
              <w:keepLines/>
              <w:jc w:val="right"/>
              <w:rPr>
                <w:rFonts w:cs="Calibri"/>
                <w:color w:val="000000"/>
              </w:rPr>
            </w:pPr>
            <w:r w:rsidRPr="00D42C01">
              <w:rPr>
                <w:rFonts w:cs="Calibri"/>
                <w:color w:val="000000"/>
              </w:rPr>
              <w:t>0%</w:t>
            </w:r>
          </w:p>
        </w:tc>
        <w:tc>
          <w:tcPr>
            <w:tcW w:w="723" w:type="dxa"/>
            <w:tcBorders>
              <w:top w:val="nil"/>
              <w:left w:val="nil"/>
              <w:bottom w:val="nil"/>
              <w:right w:val="single" w:sz="8" w:space="0" w:color="auto"/>
            </w:tcBorders>
            <w:shd w:val="clear" w:color="auto" w:fill="auto"/>
            <w:noWrap/>
            <w:vAlign w:val="bottom"/>
            <w:hideMark/>
          </w:tcPr>
          <w:p w14:paraId="333F895E" w14:textId="77777777" w:rsidR="00D42C01" w:rsidRPr="00D42C01" w:rsidRDefault="00D42C01" w:rsidP="00071755">
            <w:pPr>
              <w:keepNext/>
              <w:keepLines/>
              <w:jc w:val="right"/>
              <w:rPr>
                <w:rFonts w:cs="Calibri"/>
                <w:color w:val="000000"/>
              </w:rPr>
            </w:pPr>
            <w:r w:rsidRPr="00D42C01">
              <w:rPr>
                <w:rFonts w:cs="Calibri"/>
                <w:color w:val="000000"/>
              </w:rPr>
              <w:t>-10%</w:t>
            </w:r>
          </w:p>
        </w:tc>
      </w:tr>
      <w:tr w:rsidR="00CE6100" w:rsidRPr="00D42C01" w14:paraId="70FBE8E3" w14:textId="77777777" w:rsidTr="006F0063">
        <w:trPr>
          <w:trHeight w:val="300"/>
          <w:jc w:val="center"/>
        </w:trPr>
        <w:tc>
          <w:tcPr>
            <w:tcW w:w="1287" w:type="dxa"/>
            <w:tcBorders>
              <w:top w:val="nil"/>
              <w:left w:val="single" w:sz="8" w:space="0" w:color="auto"/>
              <w:bottom w:val="nil"/>
              <w:right w:val="nil"/>
            </w:tcBorders>
            <w:shd w:val="clear" w:color="auto" w:fill="auto"/>
            <w:noWrap/>
            <w:vAlign w:val="bottom"/>
            <w:hideMark/>
          </w:tcPr>
          <w:p w14:paraId="4B724E24" w14:textId="77777777" w:rsidR="00D42C01" w:rsidRPr="00D42C01" w:rsidRDefault="00D42C01" w:rsidP="00071755">
            <w:pPr>
              <w:keepNext/>
              <w:keepLines/>
              <w:jc w:val="left"/>
              <w:rPr>
                <w:rFonts w:cs="Calibri"/>
                <w:color w:val="000000"/>
              </w:rPr>
            </w:pPr>
            <w:r w:rsidRPr="00D42C01">
              <w:rPr>
                <w:rFonts w:cs="Calibri"/>
                <w:color w:val="000000"/>
              </w:rPr>
              <w:t>Industrial</w:t>
            </w:r>
          </w:p>
        </w:tc>
        <w:tc>
          <w:tcPr>
            <w:tcW w:w="1920" w:type="dxa"/>
            <w:tcBorders>
              <w:top w:val="nil"/>
              <w:left w:val="nil"/>
              <w:bottom w:val="nil"/>
              <w:right w:val="nil"/>
            </w:tcBorders>
            <w:shd w:val="clear" w:color="auto" w:fill="auto"/>
            <w:vAlign w:val="center"/>
            <w:hideMark/>
          </w:tcPr>
          <w:p w14:paraId="7B2C87E0" w14:textId="3A6B150A" w:rsidR="00D42C01" w:rsidRPr="006F0063" w:rsidRDefault="00725FBA" w:rsidP="00071755">
            <w:pPr>
              <w:keepNext/>
              <w:keepLines/>
              <w:jc w:val="left"/>
              <w:rPr>
                <w:rFonts w:cs="Calibri"/>
                <w:color w:val="000000"/>
                <w:highlight w:val="black"/>
              </w:rPr>
            </w:pPr>
            <w:r w:rsidRPr="006F0063">
              <w:rPr>
                <w:rFonts w:cs="Calibri"/>
                <w:color w:val="000000"/>
                <w:highlight w:val="black"/>
              </w:rPr>
              <w:t>*******</w:t>
            </w:r>
          </w:p>
        </w:tc>
        <w:tc>
          <w:tcPr>
            <w:tcW w:w="680" w:type="dxa"/>
            <w:tcBorders>
              <w:top w:val="nil"/>
              <w:left w:val="nil"/>
              <w:bottom w:val="nil"/>
              <w:right w:val="nil"/>
            </w:tcBorders>
            <w:shd w:val="clear" w:color="auto" w:fill="auto"/>
            <w:noWrap/>
            <w:vAlign w:val="bottom"/>
            <w:hideMark/>
          </w:tcPr>
          <w:p w14:paraId="7665A38B" w14:textId="09E361EB" w:rsidR="00D42C01" w:rsidRPr="006F0063" w:rsidRDefault="00725FBA" w:rsidP="00071755">
            <w:pPr>
              <w:keepNext/>
              <w:keepLines/>
              <w:jc w:val="right"/>
              <w:rPr>
                <w:rFonts w:cs="Calibri"/>
                <w:color w:val="000000"/>
                <w:highlight w:val="black"/>
              </w:rPr>
            </w:pPr>
            <w:r w:rsidRPr="006F0063">
              <w:rPr>
                <w:rFonts w:cs="Calibri"/>
                <w:color w:val="000000"/>
                <w:highlight w:val="black"/>
              </w:rPr>
              <w:t>**%</w:t>
            </w:r>
          </w:p>
        </w:tc>
        <w:tc>
          <w:tcPr>
            <w:tcW w:w="680" w:type="dxa"/>
            <w:tcBorders>
              <w:top w:val="nil"/>
              <w:left w:val="nil"/>
              <w:bottom w:val="nil"/>
              <w:right w:val="nil"/>
            </w:tcBorders>
            <w:shd w:val="clear" w:color="auto" w:fill="auto"/>
            <w:noWrap/>
            <w:vAlign w:val="bottom"/>
            <w:hideMark/>
          </w:tcPr>
          <w:p w14:paraId="343FFF69" w14:textId="5220DD58" w:rsidR="00D42C01" w:rsidRPr="006F0063" w:rsidRDefault="00725FBA" w:rsidP="00071755">
            <w:pPr>
              <w:keepNext/>
              <w:keepLines/>
              <w:jc w:val="right"/>
              <w:rPr>
                <w:rFonts w:cs="Calibri"/>
                <w:color w:val="000000"/>
                <w:highlight w:val="black"/>
              </w:rPr>
            </w:pPr>
            <w:r w:rsidRPr="006F0063">
              <w:rPr>
                <w:rFonts w:cs="Calibri"/>
                <w:color w:val="000000"/>
                <w:highlight w:val="black"/>
              </w:rPr>
              <w:t>**%</w:t>
            </w:r>
          </w:p>
        </w:tc>
        <w:tc>
          <w:tcPr>
            <w:tcW w:w="680" w:type="dxa"/>
            <w:tcBorders>
              <w:top w:val="nil"/>
              <w:left w:val="nil"/>
              <w:bottom w:val="nil"/>
              <w:right w:val="nil"/>
            </w:tcBorders>
            <w:shd w:val="clear" w:color="auto" w:fill="auto"/>
            <w:noWrap/>
            <w:vAlign w:val="bottom"/>
            <w:hideMark/>
          </w:tcPr>
          <w:p w14:paraId="163638FD" w14:textId="37021E27" w:rsidR="00D42C01" w:rsidRPr="006F0063" w:rsidRDefault="00725FBA" w:rsidP="00071755">
            <w:pPr>
              <w:keepNext/>
              <w:keepLines/>
              <w:jc w:val="right"/>
              <w:rPr>
                <w:rFonts w:cs="Calibri"/>
                <w:color w:val="000000"/>
                <w:highlight w:val="black"/>
              </w:rPr>
            </w:pPr>
            <w:r w:rsidRPr="006F0063">
              <w:rPr>
                <w:rFonts w:cs="Calibri"/>
                <w:color w:val="000000"/>
                <w:highlight w:val="black"/>
              </w:rPr>
              <w:t>**%</w:t>
            </w:r>
          </w:p>
        </w:tc>
        <w:tc>
          <w:tcPr>
            <w:tcW w:w="597" w:type="dxa"/>
            <w:tcBorders>
              <w:top w:val="nil"/>
              <w:left w:val="nil"/>
              <w:bottom w:val="nil"/>
              <w:right w:val="nil"/>
            </w:tcBorders>
            <w:shd w:val="clear" w:color="auto" w:fill="auto"/>
            <w:noWrap/>
            <w:vAlign w:val="bottom"/>
            <w:hideMark/>
          </w:tcPr>
          <w:p w14:paraId="3934ED38" w14:textId="37B9AD0B" w:rsidR="00D42C01" w:rsidRPr="006F0063" w:rsidRDefault="00725FBA" w:rsidP="00071755">
            <w:pPr>
              <w:keepNext/>
              <w:keepLines/>
              <w:jc w:val="right"/>
              <w:rPr>
                <w:rFonts w:cs="Calibri"/>
                <w:color w:val="000000"/>
                <w:highlight w:val="black"/>
              </w:rPr>
            </w:pPr>
            <w:r w:rsidRPr="006F0063">
              <w:rPr>
                <w:rFonts w:cs="Calibri"/>
                <w:color w:val="000000"/>
                <w:highlight w:val="black"/>
              </w:rPr>
              <w:t>**%</w:t>
            </w:r>
          </w:p>
        </w:tc>
        <w:tc>
          <w:tcPr>
            <w:tcW w:w="597" w:type="dxa"/>
            <w:tcBorders>
              <w:top w:val="nil"/>
              <w:left w:val="nil"/>
              <w:bottom w:val="nil"/>
              <w:right w:val="nil"/>
            </w:tcBorders>
            <w:shd w:val="clear" w:color="auto" w:fill="auto"/>
            <w:noWrap/>
            <w:vAlign w:val="bottom"/>
            <w:hideMark/>
          </w:tcPr>
          <w:p w14:paraId="3E7D56BC" w14:textId="2CC5550C" w:rsidR="00D42C01" w:rsidRPr="006F0063" w:rsidRDefault="00725FBA" w:rsidP="00071755">
            <w:pPr>
              <w:keepNext/>
              <w:keepLines/>
              <w:jc w:val="right"/>
              <w:rPr>
                <w:rFonts w:cs="Calibri"/>
                <w:color w:val="000000"/>
                <w:highlight w:val="black"/>
              </w:rPr>
            </w:pPr>
            <w:r w:rsidRPr="006F0063">
              <w:rPr>
                <w:rFonts w:cs="Calibri"/>
                <w:color w:val="000000"/>
                <w:highlight w:val="black"/>
              </w:rPr>
              <w:t>**%</w:t>
            </w:r>
          </w:p>
        </w:tc>
        <w:tc>
          <w:tcPr>
            <w:tcW w:w="632" w:type="dxa"/>
            <w:tcBorders>
              <w:top w:val="nil"/>
              <w:left w:val="nil"/>
              <w:bottom w:val="nil"/>
              <w:right w:val="nil"/>
            </w:tcBorders>
            <w:shd w:val="clear" w:color="auto" w:fill="auto"/>
            <w:noWrap/>
            <w:vAlign w:val="bottom"/>
            <w:hideMark/>
          </w:tcPr>
          <w:p w14:paraId="69753885" w14:textId="5A4EBEEF" w:rsidR="00D42C01" w:rsidRPr="006F0063" w:rsidRDefault="00725FBA" w:rsidP="00071755">
            <w:pPr>
              <w:keepNext/>
              <w:keepLines/>
              <w:jc w:val="right"/>
              <w:rPr>
                <w:rFonts w:cs="Calibri"/>
                <w:color w:val="000000"/>
                <w:highlight w:val="black"/>
              </w:rPr>
            </w:pPr>
            <w:r w:rsidRPr="006F0063">
              <w:rPr>
                <w:rFonts w:cs="Calibri"/>
                <w:color w:val="000000"/>
                <w:highlight w:val="black"/>
              </w:rPr>
              <w:t>**%</w:t>
            </w:r>
          </w:p>
        </w:tc>
        <w:tc>
          <w:tcPr>
            <w:tcW w:w="597" w:type="dxa"/>
            <w:tcBorders>
              <w:top w:val="nil"/>
              <w:left w:val="nil"/>
              <w:bottom w:val="nil"/>
              <w:right w:val="nil"/>
            </w:tcBorders>
            <w:shd w:val="clear" w:color="auto" w:fill="auto"/>
            <w:noWrap/>
            <w:vAlign w:val="bottom"/>
            <w:hideMark/>
          </w:tcPr>
          <w:p w14:paraId="5106386E" w14:textId="77777777" w:rsidR="00D42C01" w:rsidRPr="00D42C01" w:rsidRDefault="00D42C01" w:rsidP="00071755">
            <w:pPr>
              <w:keepNext/>
              <w:keepLines/>
              <w:jc w:val="right"/>
              <w:rPr>
                <w:rFonts w:cs="Calibri"/>
                <w:color w:val="000000"/>
              </w:rPr>
            </w:pPr>
            <w:r w:rsidRPr="00D42C01">
              <w:rPr>
                <w:rFonts w:cs="Calibri"/>
                <w:color w:val="000000"/>
              </w:rPr>
              <w:t>0%</w:t>
            </w:r>
          </w:p>
        </w:tc>
        <w:tc>
          <w:tcPr>
            <w:tcW w:w="597" w:type="dxa"/>
            <w:tcBorders>
              <w:top w:val="nil"/>
              <w:left w:val="nil"/>
              <w:bottom w:val="nil"/>
              <w:right w:val="nil"/>
            </w:tcBorders>
            <w:shd w:val="clear" w:color="auto" w:fill="auto"/>
            <w:noWrap/>
            <w:vAlign w:val="bottom"/>
            <w:hideMark/>
          </w:tcPr>
          <w:p w14:paraId="76AFC64C" w14:textId="77777777" w:rsidR="00D42C01" w:rsidRPr="00D42C01" w:rsidRDefault="00D42C01" w:rsidP="00071755">
            <w:pPr>
              <w:keepNext/>
              <w:keepLines/>
              <w:jc w:val="right"/>
              <w:rPr>
                <w:rFonts w:cs="Calibri"/>
                <w:color w:val="000000"/>
              </w:rPr>
            </w:pPr>
            <w:r w:rsidRPr="00D42C01">
              <w:rPr>
                <w:rFonts w:cs="Calibri"/>
                <w:color w:val="000000"/>
              </w:rPr>
              <w:t>0%</w:t>
            </w:r>
          </w:p>
        </w:tc>
        <w:tc>
          <w:tcPr>
            <w:tcW w:w="723" w:type="dxa"/>
            <w:tcBorders>
              <w:top w:val="nil"/>
              <w:left w:val="nil"/>
              <w:bottom w:val="nil"/>
              <w:right w:val="single" w:sz="8" w:space="0" w:color="auto"/>
            </w:tcBorders>
            <w:shd w:val="clear" w:color="auto" w:fill="auto"/>
            <w:noWrap/>
            <w:vAlign w:val="bottom"/>
            <w:hideMark/>
          </w:tcPr>
          <w:p w14:paraId="505758DB" w14:textId="77777777" w:rsidR="00D42C01" w:rsidRPr="00D42C01" w:rsidRDefault="00D42C01" w:rsidP="00071755">
            <w:pPr>
              <w:keepNext/>
              <w:keepLines/>
              <w:jc w:val="right"/>
              <w:rPr>
                <w:rFonts w:cs="Calibri"/>
                <w:color w:val="000000"/>
              </w:rPr>
            </w:pPr>
            <w:r w:rsidRPr="00D42C01">
              <w:rPr>
                <w:rFonts w:cs="Calibri"/>
                <w:color w:val="000000"/>
              </w:rPr>
              <w:t>-10%</w:t>
            </w:r>
          </w:p>
        </w:tc>
      </w:tr>
      <w:tr w:rsidR="00CE6100" w:rsidRPr="00D42C01" w14:paraId="5CE8EBB0" w14:textId="77777777" w:rsidTr="006F0063">
        <w:trPr>
          <w:trHeight w:val="300"/>
          <w:jc w:val="center"/>
        </w:trPr>
        <w:tc>
          <w:tcPr>
            <w:tcW w:w="1287" w:type="dxa"/>
            <w:tcBorders>
              <w:top w:val="nil"/>
              <w:left w:val="single" w:sz="8" w:space="0" w:color="auto"/>
              <w:bottom w:val="nil"/>
              <w:right w:val="nil"/>
            </w:tcBorders>
            <w:shd w:val="clear" w:color="auto" w:fill="auto"/>
            <w:noWrap/>
            <w:vAlign w:val="bottom"/>
            <w:hideMark/>
          </w:tcPr>
          <w:p w14:paraId="79D81AC7" w14:textId="77777777" w:rsidR="00D42C01" w:rsidRPr="00D42C01" w:rsidRDefault="00D42C01" w:rsidP="00071755">
            <w:pPr>
              <w:keepNext/>
              <w:keepLines/>
              <w:jc w:val="left"/>
              <w:rPr>
                <w:rFonts w:cs="Calibri"/>
                <w:color w:val="000000"/>
              </w:rPr>
            </w:pPr>
            <w:r w:rsidRPr="00D42C01">
              <w:rPr>
                <w:rFonts w:cs="Calibri"/>
                <w:color w:val="000000"/>
              </w:rPr>
              <w:t>Industrial</w:t>
            </w:r>
          </w:p>
        </w:tc>
        <w:tc>
          <w:tcPr>
            <w:tcW w:w="1920" w:type="dxa"/>
            <w:tcBorders>
              <w:top w:val="nil"/>
              <w:left w:val="nil"/>
              <w:bottom w:val="nil"/>
              <w:right w:val="nil"/>
            </w:tcBorders>
            <w:shd w:val="clear" w:color="auto" w:fill="auto"/>
            <w:vAlign w:val="center"/>
            <w:hideMark/>
          </w:tcPr>
          <w:p w14:paraId="7288319C" w14:textId="090DDDBE" w:rsidR="00D42C01" w:rsidRPr="006F0063" w:rsidRDefault="00725FBA" w:rsidP="00071755">
            <w:pPr>
              <w:keepNext/>
              <w:keepLines/>
              <w:jc w:val="left"/>
              <w:rPr>
                <w:rFonts w:cs="Calibri"/>
                <w:color w:val="000000"/>
                <w:highlight w:val="black"/>
              </w:rPr>
            </w:pPr>
            <w:r w:rsidRPr="006F0063">
              <w:rPr>
                <w:rFonts w:cs="Calibri"/>
                <w:color w:val="000000"/>
                <w:highlight w:val="black"/>
              </w:rPr>
              <w:t>*******</w:t>
            </w:r>
          </w:p>
        </w:tc>
        <w:tc>
          <w:tcPr>
            <w:tcW w:w="680" w:type="dxa"/>
            <w:tcBorders>
              <w:top w:val="nil"/>
              <w:left w:val="nil"/>
              <w:bottom w:val="nil"/>
              <w:right w:val="nil"/>
            </w:tcBorders>
            <w:shd w:val="clear" w:color="auto" w:fill="auto"/>
            <w:noWrap/>
            <w:vAlign w:val="bottom"/>
            <w:hideMark/>
          </w:tcPr>
          <w:p w14:paraId="6DE42E79" w14:textId="13700593" w:rsidR="00D42C01" w:rsidRPr="006F0063" w:rsidRDefault="00725FBA" w:rsidP="00071755">
            <w:pPr>
              <w:keepNext/>
              <w:keepLines/>
              <w:jc w:val="right"/>
              <w:rPr>
                <w:rFonts w:cs="Calibri"/>
                <w:color w:val="000000"/>
                <w:highlight w:val="black"/>
              </w:rPr>
            </w:pPr>
            <w:r w:rsidRPr="006F0063">
              <w:rPr>
                <w:rFonts w:cs="Calibri"/>
                <w:color w:val="000000"/>
                <w:highlight w:val="black"/>
              </w:rPr>
              <w:t>**%</w:t>
            </w:r>
          </w:p>
        </w:tc>
        <w:tc>
          <w:tcPr>
            <w:tcW w:w="680" w:type="dxa"/>
            <w:tcBorders>
              <w:top w:val="nil"/>
              <w:left w:val="nil"/>
              <w:bottom w:val="nil"/>
              <w:right w:val="nil"/>
            </w:tcBorders>
            <w:shd w:val="clear" w:color="auto" w:fill="auto"/>
            <w:noWrap/>
            <w:vAlign w:val="bottom"/>
            <w:hideMark/>
          </w:tcPr>
          <w:p w14:paraId="65D7BB16" w14:textId="1872AF43" w:rsidR="00D42C01" w:rsidRPr="006F0063" w:rsidRDefault="00725FBA" w:rsidP="00071755">
            <w:pPr>
              <w:keepNext/>
              <w:keepLines/>
              <w:jc w:val="right"/>
              <w:rPr>
                <w:rFonts w:cs="Calibri"/>
                <w:color w:val="000000"/>
                <w:highlight w:val="black"/>
              </w:rPr>
            </w:pPr>
            <w:r w:rsidRPr="006F0063">
              <w:rPr>
                <w:rFonts w:cs="Calibri"/>
                <w:color w:val="000000"/>
                <w:highlight w:val="black"/>
              </w:rPr>
              <w:t>**%</w:t>
            </w:r>
          </w:p>
        </w:tc>
        <w:tc>
          <w:tcPr>
            <w:tcW w:w="680" w:type="dxa"/>
            <w:tcBorders>
              <w:top w:val="nil"/>
              <w:left w:val="nil"/>
              <w:bottom w:val="nil"/>
              <w:right w:val="nil"/>
            </w:tcBorders>
            <w:shd w:val="clear" w:color="auto" w:fill="auto"/>
            <w:noWrap/>
            <w:vAlign w:val="bottom"/>
            <w:hideMark/>
          </w:tcPr>
          <w:p w14:paraId="203120D2" w14:textId="0B23137C" w:rsidR="00D42C01" w:rsidRPr="006F0063" w:rsidRDefault="00725FBA" w:rsidP="00071755">
            <w:pPr>
              <w:keepNext/>
              <w:keepLines/>
              <w:jc w:val="right"/>
              <w:rPr>
                <w:rFonts w:cs="Calibri"/>
                <w:color w:val="000000"/>
                <w:highlight w:val="black"/>
              </w:rPr>
            </w:pPr>
            <w:r w:rsidRPr="006F0063">
              <w:rPr>
                <w:rFonts w:cs="Calibri"/>
                <w:color w:val="000000"/>
                <w:highlight w:val="black"/>
              </w:rPr>
              <w:t>**%</w:t>
            </w:r>
          </w:p>
        </w:tc>
        <w:tc>
          <w:tcPr>
            <w:tcW w:w="597" w:type="dxa"/>
            <w:tcBorders>
              <w:top w:val="nil"/>
              <w:left w:val="nil"/>
              <w:bottom w:val="nil"/>
              <w:right w:val="nil"/>
            </w:tcBorders>
            <w:shd w:val="clear" w:color="auto" w:fill="auto"/>
            <w:noWrap/>
            <w:vAlign w:val="bottom"/>
            <w:hideMark/>
          </w:tcPr>
          <w:p w14:paraId="17C4EC5D" w14:textId="76FAA725" w:rsidR="00D42C01" w:rsidRPr="006F0063" w:rsidRDefault="00725FBA" w:rsidP="00071755">
            <w:pPr>
              <w:keepNext/>
              <w:keepLines/>
              <w:jc w:val="right"/>
              <w:rPr>
                <w:rFonts w:cs="Calibri"/>
                <w:color w:val="000000"/>
                <w:highlight w:val="black"/>
              </w:rPr>
            </w:pPr>
            <w:r w:rsidRPr="006F0063">
              <w:rPr>
                <w:rFonts w:cs="Calibri"/>
                <w:color w:val="000000"/>
                <w:highlight w:val="black"/>
              </w:rPr>
              <w:t>**%</w:t>
            </w:r>
          </w:p>
        </w:tc>
        <w:tc>
          <w:tcPr>
            <w:tcW w:w="597" w:type="dxa"/>
            <w:tcBorders>
              <w:top w:val="nil"/>
              <w:left w:val="nil"/>
              <w:bottom w:val="nil"/>
              <w:right w:val="nil"/>
            </w:tcBorders>
            <w:shd w:val="clear" w:color="auto" w:fill="auto"/>
            <w:noWrap/>
            <w:vAlign w:val="bottom"/>
            <w:hideMark/>
          </w:tcPr>
          <w:p w14:paraId="78AC579D" w14:textId="658C9165" w:rsidR="00D42C01" w:rsidRPr="006F0063" w:rsidRDefault="00725FBA" w:rsidP="00071755">
            <w:pPr>
              <w:keepNext/>
              <w:keepLines/>
              <w:jc w:val="right"/>
              <w:rPr>
                <w:rFonts w:cs="Calibri"/>
                <w:color w:val="000000"/>
                <w:highlight w:val="black"/>
              </w:rPr>
            </w:pPr>
            <w:r w:rsidRPr="006F0063">
              <w:rPr>
                <w:rFonts w:cs="Calibri"/>
                <w:color w:val="000000"/>
                <w:highlight w:val="black"/>
              </w:rPr>
              <w:t>**%</w:t>
            </w:r>
          </w:p>
        </w:tc>
        <w:tc>
          <w:tcPr>
            <w:tcW w:w="632" w:type="dxa"/>
            <w:tcBorders>
              <w:top w:val="nil"/>
              <w:left w:val="nil"/>
              <w:bottom w:val="nil"/>
              <w:right w:val="nil"/>
            </w:tcBorders>
            <w:shd w:val="clear" w:color="auto" w:fill="auto"/>
            <w:noWrap/>
            <w:vAlign w:val="bottom"/>
            <w:hideMark/>
          </w:tcPr>
          <w:p w14:paraId="06AA2C35" w14:textId="4CE9AA54" w:rsidR="00D42C01" w:rsidRPr="006F0063" w:rsidRDefault="00725FBA" w:rsidP="00071755">
            <w:pPr>
              <w:keepNext/>
              <w:keepLines/>
              <w:jc w:val="right"/>
              <w:rPr>
                <w:rFonts w:cs="Calibri"/>
                <w:color w:val="000000"/>
                <w:highlight w:val="black"/>
              </w:rPr>
            </w:pPr>
            <w:r w:rsidRPr="006F0063">
              <w:rPr>
                <w:rFonts w:cs="Calibri"/>
                <w:color w:val="000000"/>
                <w:highlight w:val="black"/>
              </w:rPr>
              <w:t>**%</w:t>
            </w:r>
          </w:p>
        </w:tc>
        <w:tc>
          <w:tcPr>
            <w:tcW w:w="597" w:type="dxa"/>
            <w:tcBorders>
              <w:top w:val="nil"/>
              <w:left w:val="nil"/>
              <w:bottom w:val="nil"/>
              <w:right w:val="nil"/>
            </w:tcBorders>
            <w:shd w:val="clear" w:color="auto" w:fill="auto"/>
            <w:noWrap/>
            <w:vAlign w:val="bottom"/>
            <w:hideMark/>
          </w:tcPr>
          <w:p w14:paraId="496E9EA2" w14:textId="77777777" w:rsidR="00D42C01" w:rsidRPr="00D42C01" w:rsidRDefault="00D42C01" w:rsidP="00071755">
            <w:pPr>
              <w:keepNext/>
              <w:keepLines/>
              <w:jc w:val="right"/>
              <w:rPr>
                <w:rFonts w:cs="Calibri"/>
                <w:color w:val="000000"/>
              </w:rPr>
            </w:pPr>
            <w:r w:rsidRPr="00D42C01">
              <w:rPr>
                <w:rFonts w:cs="Calibri"/>
                <w:color w:val="000000"/>
              </w:rPr>
              <w:t>0%</w:t>
            </w:r>
          </w:p>
        </w:tc>
        <w:tc>
          <w:tcPr>
            <w:tcW w:w="597" w:type="dxa"/>
            <w:tcBorders>
              <w:top w:val="nil"/>
              <w:left w:val="nil"/>
              <w:bottom w:val="nil"/>
              <w:right w:val="nil"/>
            </w:tcBorders>
            <w:shd w:val="clear" w:color="auto" w:fill="auto"/>
            <w:noWrap/>
            <w:vAlign w:val="bottom"/>
            <w:hideMark/>
          </w:tcPr>
          <w:p w14:paraId="33C87B3A" w14:textId="77777777" w:rsidR="00D42C01" w:rsidRPr="00D42C01" w:rsidRDefault="00D42C01" w:rsidP="00071755">
            <w:pPr>
              <w:keepNext/>
              <w:keepLines/>
              <w:jc w:val="right"/>
              <w:rPr>
                <w:rFonts w:cs="Calibri"/>
                <w:color w:val="000000"/>
              </w:rPr>
            </w:pPr>
            <w:r w:rsidRPr="00D42C01">
              <w:rPr>
                <w:rFonts w:cs="Calibri"/>
                <w:color w:val="000000"/>
              </w:rPr>
              <w:t>0%</w:t>
            </w:r>
          </w:p>
        </w:tc>
        <w:tc>
          <w:tcPr>
            <w:tcW w:w="723" w:type="dxa"/>
            <w:tcBorders>
              <w:top w:val="nil"/>
              <w:left w:val="nil"/>
              <w:bottom w:val="nil"/>
              <w:right w:val="single" w:sz="8" w:space="0" w:color="auto"/>
            </w:tcBorders>
            <w:shd w:val="clear" w:color="auto" w:fill="auto"/>
            <w:noWrap/>
            <w:vAlign w:val="bottom"/>
            <w:hideMark/>
          </w:tcPr>
          <w:p w14:paraId="2D2C39C3" w14:textId="77777777" w:rsidR="00D42C01" w:rsidRPr="00D42C01" w:rsidRDefault="00D42C01" w:rsidP="00071755">
            <w:pPr>
              <w:keepNext/>
              <w:keepLines/>
              <w:jc w:val="right"/>
              <w:rPr>
                <w:rFonts w:cs="Calibri"/>
                <w:color w:val="000000"/>
              </w:rPr>
            </w:pPr>
            <w:r w:rsidRPr="00D42C01">
              <w:rPr>
                <w:rFonts w:cs="Calibri"/>
                <w:color w:val="000000"/>
              </w:rPr>
              <w:t>-10%</w:t>
            </w:r>
          </w:p>
        </w:tc>
      </w:tr>
      <w:tr w:rsidR="00CE6100" w:rsidRPr="00D42C01" w14:paraId="03D78DAD" w14:textId="77777777" w:rsidTr="006F0063">
        <w:trPr>
          <w:trHeight w:val="300"/>
          <w:jc w:val="center"/>
        </w:trPr>
        <w:tc>
          <w:tcPr>
            <w:tcW w:w="1287" w:type="dxa"/>
            <w:tcBorders>
              <w:top w:val="nil"/>
              <w:left w:val="single" w:sz="8" w:space="0" w:color="auto"/>
              <w:bottom w:val="nil"/>
              <w:right w:val="nil"/>
            </w:tcBorders>
            <w:shd w:val="clear" w:color="auto" w:fill="auto"/>
            <w:noWrap/>
            <w:vAlign w:val="bottom"/>
            <w:hideMark/>
          </w:tcPr>
          <w:p w14:paraId="59993608" w14:textId="77777777" w:rsidR="00D42C01" w:rsidRPr="00D42C01" w:rsidRDefault="00D42C01" w:rsidP="00071755">
            <w:pPr>
              <w:keepNext/>
              <w:keepLines/>
              <w:jc w:val="left"/>
              <w:rPr>
                <w:rFonts w:cs="Calibri"/>
                <w:color w:val="000000"/>
              </w:rPr>
            </w:pPr>
            <w:r w:rsidRPr="00D42C01">
              <w:rPr>
                <w:rFonts w:cs="Calibri"/>
                <w:color w:val="000000"/>
              </w:rPr>
              <w:t>Industrial</w:t>
            </w:r>
          </w:p>
        </w:tc>
        <w:tc>
          <w:tcPr>
            <w:tcW w:w="1920" w:type="dxa"/>
            <w:tcBorders>
              <w:top w:val="nil"/>
              <w:left w:val="nil"/>
              <w:bottom w:val="nil"/>
              <w:right w:val="nil"/>
            </w:tcBorders>
            <w:shd w:val="clear" w:color="auto" w:fill="auto"/>
            <w:vAlign w:val="center"/>
            <w:hideMark/>
          </w:tcPr>
          <w:p w14:paraId="65BAC4BE" w14:textId="7514BAF2" w:rsidR="00D42C01" w:rsidRPr="006F0063" w:rsidRDefault="00725FBA" w:rsidP="00071755">
            <w:pPr>
              <w:keepNext/>
              <w:keepLines/>
              <w:jc w:val="left"/>
              <w:rPr>
                <w:rFonts w:cs="Calibri"/>
                <w:color w:val="000000"/>
                <w:highlight w:val="black"/>
              </w:rPr>
            </w:pPr>
            <w:r w:rsidRPr="006F0063">
              <w:rPr>
                <w:rFonts w:cs="Calibri"/>
                <w:color w:val="000000"/>
                <w:highlight w:val="black"/>
              </w:rPr>
              <w:t>*******</w:t>
            </w:r>
          </w:p>
        </w:tc>
        <w:tc>
          <w:tcPr>
            <w:tcW w:w="680" w:type="dxa"/>
            <w:tcBorders>
              <w:top w:val="nil"/>
              <w:left w:val="nil"/>
              <w:bottom w:val="nil"/>
              <w:right w:val="nil"/>
            </w:tcBorders>
            <w:shd w:val="clear" w:color="auto" w:fill="auto"/>
            <w:noWrap/>
            <w:vAlign w:val="bottom"/>
            <w:hideMark/>
          </w:tcPr>
          <w:p w14:paraId="491AA62F" w14:textId="2C3FD65B" w:rsidR="00D42C01" w:rsidRPr="006F0063" w:rsidRDefault="00725FBA" w:rsidP="00071755">
            <w:pPr>
              <w:keepNext/>
              <w:keepLines/>
              <w:jc w:val="right"/>
              <w:rPr>
                <w:rFonts w:cs="Calibri"/>
                <w:color w:val="000000"/>
                <w:highlight w:val="black"/>
              </w:rPr>
            </w:pPr>
            <w:r w:rsidRPr="006F0063">
              <w:rPr>
                <w:rFonts w:cs="Calibri"/>
                <w:color w:val="000000"/>
                <w:highlight w:val="black"/>
              </w:rPr>
              <w:t>**%</w:t>
            </w:r>
          </w:p>
        </w:tc>
        <w:tc>
          <w:tcPr>
            <w:tcW w:w="680" w:type="dxa"/>
            <w:tcBorders>
              <w:top w:val="nil"/>
              <w:left w:val="nil"/>
              <w:bottom w:val="nil"/>
              <w:right w:val="nil"/>
            </w:tcBorders>
            <w:shd w:val="clear" w:color="auto" w:fill="auto"/>
            <w:noWrap/>
            <w:vAlign w:val="bottom"/>
            <w:hideMark/>
          </w:tcPr>
          <w:p w14:paraId="1E6627E7" w14:textId="4788F0E8" w:rsidR="00D42C01" w:rsidRPr="006F0063" w:rsidRDefault="00725FBA" w:rsidP="00071755">
            <w:pPr>
              <w:keepNext/>
              <w:keepLines/>
              <w:jc w:val="right"/>
              <w:rPr>
                <w:rFonts w:cs="Calibri"/>
                <w:color w:val="000000"/>
                <w:highlight w:val="black"/>
              </w:rPr>
            </w:pPr>
            <w:r w:rsidRPr="006F0063">
              <w:rPr>
                <w:rFonts w:cs="Calibri"/>
                <w:color w:val="000000"/>
                <w:highlight w:val="black"/>
              </w:rPr>
              <w:t>**%</w:t>
            </w:r>
          </w:p>
        </w:tc>
        <w:tc>
          <w:tcPr>
            <w:tcW w:w="680" w:type="dxa"/>
            <w:tcBorders>
              <w:top w:val="nil"/>
              <w:left w:val="nil"/>
              <w:bottom w:val="nil"/>
              <w:right w:val="nil"/>
            </w:tcBorders>
            <w:shd w:val="clear" w:color="auto" w:fill="auto"/>
            <w:noWrap/>
            <w:vAlign w:val="bottom"/>
            <w:hideMark/>
          </w:tcPr>
          <w:p w14:paraId="50157FB1" w14:textId="2EFDF68E" w:rsidR="00D42C01" w:rsidRPr="006F0063" w:rsidRDefault="00725FBA" w:rsidP="00071755">
            <w:pPr>
              <w:keepNext/>
              <w:keepLines/>
              <w:jc w:val="right"/>
              <w:rPr>
                <w:rFonts w:cs="Calibri"/>
                <w:color w:val="000000"/>
                <w:highlight w:val="black"/>
              </w:rPr>
            </w:pPr>
            <w:r w:rsidRPr="006F0063">
              <w:rPr>
                <w:rFonts w:cs="Calibri"/>
                <w:color w:val="000000"/>
                <w:highlight w:val="black"/>
              </w:rPr>
              <w:t>**%</w:t>
            </w:r>
          </w:p>
        </w:tc>
        <w:tc>
          <w:tcPr>
            <w:tcW w:w="597" w:type="dxa"/>
            <w:tcBorders>
              <w:top w:val="nil"/>
              <w:left w:val="nil"/>
              <w:bottom w:val="nil"/>
              <w:right w:val="nil"/>
            </w:tcBorders>
            <w:shd w:val="clear" w:color="auto" w:fill="auto"/>
            <w:noWrap/>
            <w:vAlign w:val="bottom"/>
            <w:hideMark/>
          </w:tcPr>
          <w:p w14:paraId="63D07AAC" w14:textId="372CB85C" w:rsidR="00D42C01" w:rsidRPr="006F0063" w:rsidRDefault="00725FBA" w:rsidP="00071755">
            <w:pPr>
              <w:keepNext/>
              <w:keepLines/>
              <w:jc w:val="right"/>
              <w:rPr>
                <w:rFonts w:cs="Calibri"/>
                <w:color w:val="000000"/>
                <w:highlight w:val="black"/>
              </w:rPr>
            </w:pPr>
            <w:r w:rsidRPr="006F0063">
              <w:rPr>
                <w:rFonts w:cs="Calibri"/>
                <w:color w:val="000000"/>
                <w:highlight w:val="black"/>
              </w:rPr>
              <w:t>**%</w:t>
            </w:r>
          </w:p>
        </w:tc>
        <w:tc>
          <w:tcPr>
            <w:tcW w:w="597" w:type="dxa"/>
            <w:tcBorders>
              <w:top w:val="nil"/>
              <w:left w:val="nil"/>
              <w:bottom w:val="nil"/>
              <w:right w:val="nil"/>
            </w:tcBorders>
            <w:shd w:val="clear" w:color="auto" w:fill="auto"/>
            <w:noWrap/>
            <w:vAlign w:val="bottom"/>
            <w:hideMark/>
          </w:tcPr>
          <w:p w14:paraId="4FFEFC5D" w14:textId="2F0AB6C0" w:rsidR="00D42C01" w:rsidRPr="006F0063" w:rsidRDefault="00725FBA" w:rsidP="00071755">
            <w:pPr>
              <w:keepNext/>
              <w:keepLines/>
              <w:jc w:val="right"/>
              <w:rPr>
                <w:rFonts w:cs="Calibri"/>
                <w:color w:val="000000"/>
                <w:highlight w:val="black"/>
              </w:rPr>
            </w:pPr>
            <w:r w:rsidRPr="006F0063">
              <w:rPr>
                <w:rFonts w:cs="Calibri"/>
                <w:color w:val="000000"/>
                <w:highlight w:val="black"/>
              </w:rPr>
              <w:t>**%</w:t>
            </w:r>
          </w:p>
        </w:tc>
        <w:tc>
          <w:tcPr>
            <w:tcW w:w="632" w:type="dxa"/>
            <w:tcBorders>
              <w:top w:val="nil"/>
              <w:left w:val="nil"/>
              <w:bottom w:val="nil"/>
              <w:right w:val="nil"/>
            </w:tcBorders>
            <w:shd w:val="clear" w:color="auto" w:fill="auto"/>
            <w:noWrap/>
            <w:vAlign w:val="bottom"/>
            <w:hideMark/>
          </w:tcPr>
          <w:p w14:paraId="04245A80" w14:textId="17AA4E9D" w:rsidR="00D42C01" w:rsidRPr="006F0063" w:rsidRDefault="00725FBA" w:rsidP="00071755">
            <w:pPr>
              <w:keepNext/>
              <w:keepLines/>
              <w:jc w:val="right"/>
              <w:rPr>
                <w:rFonts w:cs="Calibri"/>
                <w:color w:val="000000"/>
                <w:highlight w:val="black"/>
              </w:rPr>
            </w:pPr>
            <w:r w:rsidRPr="006F0063">
              <w:rPr>
                <w:rFonts w:cs="Calibri"/>
                <w:color w:val="000000"/>
                <w:highlight w:val="black"/>
              </w:rPr>
              <w:t>**%</w:t>
            </w:r>
          </w:p>
        </w:tc>
        <w:tc>
          <w:tcPr>
            <w:tcW w:w="597" w:type="dxa"/>
            <w:tcBorders>
              <w:top w:val="nil"/>
              <w:left w:val="nil"/>
              <w:bottom w:val="nil"/>
              <w:right w:val="nil"/>
            </w:tcBorders>
            <w:shd w:val="clear" w:color="auto" w:fill="auto"/>
            <w:noWrap/>
            <w:vAlign w:val="bottom"/>
            <w:hideMark/>
          </w:tcPr>
          <w:p w14:paraId="01B08465" w14:textId="77777777" w:rsidR="00D42C01" w:rsidRPr="00D42C01" w:rsidRDefault="00D42C01" w:rsidP="00071755">
            <w:pPr>
              <w:keepNext/>
              <w:keepLines/>
              <w:jc w:val="right"/>
              <w:rPr>
                <w:rFonts w:cs="Calibri"/>
                <w:color w:val="000000"/>
              </w:rPr>
            </w:pPr>
            <w:r w:rsidRPr="00D42C01">
              <w:rPr>
                <w:rFonts w:cs="Calibri"/>
                <w:color w:val="000000"/>
              </w:rPr>
              <w:t>0%</w:t>
            </w:r>
          </w:p>
        </w:tc>
        <w:tc>
          <w:tcPr>
            <w:tcW w:w="597" w:type="dxa"/>
            <w:tcBorders>
              <w:top w:val="nil"/>
              <w:left w:val="nil"/>
              <w:bottom w:val="nil"/>
              <w:right w:val="nil"/>
            </w:tcBorders>
            <w:shd w:val="clear" w:color="auto" w:fill="auto"/>
            <w:noWrap/>
            <w:vAlign w:val="bottom"/>
            <w:hideMark/>
          </w:tcPr>
          <w:p w14:paraId="6BD3CA64" w14:textId="77777777" w:rsidR="00D42C01" w:rsidRPr="00D42C01" w:rsidRDefault="00D42C01" w:rsidP="00071755">
            <w:pPr>
              <w:keepNext/>
              <w:keepLines/>
              <w:jc w:val="right"/>
              <w:rPr>
                <w:rFonts w:cs="Calibri"/>
                <w:color w:val="000000"/>
              </w:rPr>
            </w:pPr>
            <w:r w:rsidRPr="00D42C01">
              <w:rPr>
                <w:rFonts w:cs="Calibri"/>
                <w:color w:val="000000"/>
              </w:rPr>
              <w:t>0%</w:t>
            </w:r>
          </w:p>
        </w:tc>
        <w:tc>
          <w:tcPr>
            <w:tcW w:w="723" w:type="dxa"/>
            <w:tcBorders>
              <w:top w:val="nil"/>
              <w:left w:val="nil"/>
              <w:bottom w:val="nil"/>
              <w:right w:val="single" w:sz="8" w:space="0" w:color="auto"/>
            </w:tcBorders>
            <w:shd w:val="clear" w:color="auto" w:fill="auto"/>
            <w:noWrap/>
            <w:vAlign w:val="bottom"/>
            <w:hideMark/>
          </w:tcPr>
          <w:p w14:paraId="370844E8" w14:textId="77777777" w:rsidR="00D42C01" w:rsidRPr="00D42C01" w:rsidRDefault="00D42C01" w:rsidP="00071755">
            <w:pPr>
              <w:keepNext/>
              <w:keepLines/>
              <w:jc w:val="right"/>
              <w:rPr>
                <w:rFonts w:cs="Calibri"/>
                <w:color w:val="000000"/>
              </w:rPr>
            </w:pPr>
            <w:r w:rsidRPr="00D42C01">
              <w:rPr>
                <w:rFonts w:cs="Calibri"/>
                <w:color w:val="000000"/>
              </w:rPr>
              <w:t>-10%</w:t>
            </w:r>
          </w:p>
        </w:tc>
      </w:tr>
      <w:tr w:rsidR="00CE6100" w:rsidRPr="00D42C01" w14:paraId="011BB066" w14:textId="77777777" w:rsidTr="006F0063">
        <w:trPr>
          <w:trHeight w:val="600"/>
          <w:jc w:val="center"/>
        </w:trPr>
        <w:tc>
          <w:tcPr>
            <w:tcW w:w="1287" w:type="dxa"/>
            <w:tcBorders>
              <w:top w:val="nil"/>
              <w:left w:val="single" w:sz="8" w:space="0" w:color="auto"/>
              <w:bottom w:val="nil"/>
              <w:right w:val="nil"/>
            </w:tcBorders>
            <w:shd w:val="clear" w:color="auto" w:fill="auto"/>
            <w:noWrap/>
            <w:vAlign w:val="bottom"/>
            <w:hideMark/>
          </w:tcPr>
          <w:p w14:paraId="1A0A2F59" w14:textId="77777777" w:rsidR="00D42C01" w:rsidRPr="00D42C01" w:rsidRDefault="00D42C01" w:rsidP="00071755">
            <w:pPr>
              <w:keepNext/>
              <w:keepLines/>
              <w:jc w:val="left"/>
              <w:rPr>
                <w:rFonts w:cs="Calibri"/>
                <w:color w:val="000000"/>
              </w:rPr>
            </w:pPr>
            <w:r w:rsidRPr="00D42C01">
              <w:rPr>
                <w:rFonts w:cs="Calibri"/>
                <w:color w:val="000000"/>
              </w:rPr>
              <w:t>Industrial</w:t>
            </w:r>
          </w:p>
        </w:tc>
        <w:tc>
          <w:tcPr>
            <w:tcW w:w="1920" w:type="dxa"/>
            <w:tcBorders>
              <w:top w:val="nil"/>
              <w:left w:val="nil"/>
              <w:bottom w:val="nil"/>
              <w:right w:val="nil"/>
            </w:tcBorders>
            <w:shd w:val="clear" w:color="auto" w:fill="auto"/>
            <w:vAlign w:val="center"/>
            <w:hideMark/>
          </w:tcPr>
          <w:p w14:paraId="13C72B59" w14:textId="30FEBA80" w:rsidR="00D42C01" w:rsidRPr="006F0063" w:rsidRDefault="00725FBA" w:rsidP="00071755">
            <w:pPr>
              <w:keepNext/>
              <w:keepLines/>
              <w:jc w:val="left"/>
              <w:rPr>
                <w:rFonts w:cs="Calibri"/>
                <w:color w:val="000000"/>
                <w:highlight w:val="black"/>
              </w:rPr>
            </w:pPr>
            <w:r w:rsidRPr="006F0063">
              <w:rPr>
                <w:rFonts w:cs="Calibri"/>
                <w:color w:val="000000"/>
                <w:highlight w:val="black"/>
              </w:rPr>
              <w:t>*******</w:t>
            </w:r>
          </w:p>
        </w:tc>
        <w:tc>
          <w:tcPr>
            <w:tcW w:w="680" w:type="dxa"/>
            <w:tcBorders>
              <w:top w:val="nil"/>
              <w:left w:val="nil"/>
              <w:bottom w:val="nil"/>
              <w:right w:val="nil"/>
            </w:tcBorders>
            <w:shd w:val="clear" w:color="auto" w:fill="auto"/>
            <w:noWrap/>
            <w:vAlign w:val="bottom"/>
            <w:hideMark/>
          </w:tcPr>
          <w:p w14:paraId="5AD6A9C8" w14:textId="41CD4B7D" w:rsidR="00D42C01" w:rsidRPr="006F0063" w:rsidRDefault="00725FBA" w:rsidP="00071755">
            <w:pPr>
              <w:keepNext/>
              <w:keepLines/>
              <w:jc w:val="right"/>
              <w:rPr>
                <w:rFonts w:cs="Calibri"/>
                <w:color w:val="000000"/>
                <w:highlight w:val="black"/>
              </w:rPr>
            </w:pPr>
            <w:r w:rsidRPr="006F0063">
              <w:rPr>
                <w:rFonts w:cs="Calibri"/>
                <w:color w:val="000000"/>
                <w:highlight w:val="black"/>
              </w:rPr>
              <w:t>**%</w:t>
            </w:r>
          </w:p>
        </w:tc>
        <w:tc>
          <w:tcPr>
            <w:tcW w:w="680" w:type="dxa"/>
            <w:tcBorders>
              <w:top w:val="nil"/>
              <w:left w:val="nil"/>
              <w:bottom w:val="nil"/>
              <w:right w:val="nil"/>
            </w:tcBorders>
            <w:shd w:val="clear" w:color="auto" w:fill="auto"/>
            <w:noWrap/>
            <w:vAlign w:val="bottom"/>
            <w:hideMark/>
          </w:tcPr>
          <w:p w14:paraId="783C3D30" w14:textId="5488EC79" w:rsidR="00D42C01" w:rsidRPr="006F0063" w:rsidRDefault="00725FBA" w:rsidP="00071755">
            <w:pPr>
              <w:keepNext/>
              <w:keepLines/>
              <w:jc w:val="right"/>
              <w:rPr>
                <w:rFonts w:cs="Calibri"/>
                <w:color w:val="000000"/>
                <w:highlight w:val="black"/>
              </w:rPr>
            </w:pPr>
            <w:r w:rsidRPr="006F0063">
              <w:rPr>
                <w:rFonts w:cs="Calibri"/>
                <w:color w:val="000000"/>
                <w:highlight w:val="black"/>
              </w:rPr>
              <w:t>**%</w:t>
            </w:r>
          </w:p>
        </w:tc>
        <w:tc>
          <w:tcPr>
            <w:tcW w:w="680" w:type="dxa"/>
            <w:tcBorders>
              <w:top w:val="nil"/>
              <w:left w:val="nil"/>
              <w:bottom w:val="nil"/>
              <w:right w:val="nil"/>
            </w:tcBorders>
            <w:shd w:val="clear" w:color="auto" w:fill="auto"/>
            <w:noWrap/>
            <w:vAlign w:val="bottom"/>
            <w:hideMark/>
          </w:tcPr>
          <w:p w14:paraId="3A044AFB" w14:textId="3BF566A6" w:rsidR="00D42C01" w:rsidRPr="006F0063" w:rsidRDefault="00725FBA" w:rsidP="00071755">
            <w:pPr>
              <w:keepNext/>
              <w:keepLines/>
              <w:jc w:val="right"/>
              <w:rPr>
                <w:rFonts w:cs="Calibri"/>
                <w:color w:val="000000"/>
                <w:highlight w:val="black"/>
              </w:rPr>
            </w:pPr>
            <w:r w:rsidRPr="006F0063">
              <w:rPr>
                <w:rFonts w:cs="Calibri"/>
                <w:color w:val="000000"/>
                <w:highlight w:val="black"/>
              </w:rPr>
              <w:t>**%</w:t>
            </w:r>
          </w:p>
        </w:tc>
        <w:tc>
          <w:tcPr>
            <w:tcW w:w="597" w:type="dxa"/>
            <w:tcBorders>
              <w:top w:val="nil"/>
              <w:left w:val="nil"/>
              <w:bottom w:val="nil"/>
              <w:right w:val="nil"/>
            </w:tcBorders>
            <w:shd w:val="clear" w:color="auto" w:fill="auto"/>
            <w:noWrap/>
            <w:vAlign w:val="bottom"/>
            <w:hideMark/>
          </w:tcPr>
          <w:p w14:paraId="51BD526E" w14:textId="0086FC7A" w:rsidR="00D42C01" w:rsidRPr="006F0063" w:rsidRDefault="00725FBA" w:rsidP="00071755">
            <w:pPr>
              <w:keepNext/>
              <w:keepLines/>
              <w:jc w:val="right"/>
              <w:rPr>
                <w:rFonts w:cs="Calibri"/>
                <w:color w:val="000000"/>
                <w:highlight w:val="black"/>
              </w:rPr>
            </w:pPr>
            <w:r w:rsidRPr="006F0063">
              <w:rPr>
                <w:rFonts w:cs="Calibri"/>
                <w:color w:val="000000"/>
                <w:highlight w:val="black"/>
              </w:rPr>
              <w:t>**%</w:t>
            </w:r>
          </w:p>
        </w:tc>
        <w:tc>
          <w:tcPr>
            <w:tcW w:w="597" w:type="dxa"/>
            <w:tcBorders>
              <w:top w:val="nil"/>
              <w:left w:val="nil"/>
              <w:bottom w:val="nil"/>
              <w:right w:val="nil"/>
            </w:tcBorders>
            <w:shd w:val="clear" w:color="auto" w:fill="auto"/>
            <w:noWrap/>
            <w:vAlign w:val="bottom"/>
            <w:hideMark/>
          </w:tcPr>
          <w:p w14:paraId="6710183B" w14:textId="7252612C" w:rsidR="00D42C01" w:rsidRPr="006F0063" w:rsidRDefault="00725FBA" w:rsidP="00071755">
            <w:pPr>
              <w:keepNext/>
              <w:keepLines/>
              <w:jc w:val="right"/>
              <w:rPr>
                <w:rFonts w:cs="Calibri"/>
                <w:color w:val="000000"/>
                <w:highlight w:val="black"/>
              </w:rPr>
            </w:pPr>
            <w:r w:rsidRPr="006F0063">
              <w:rPr>
                <w:rFonts w:cs="Calibri"/>
                <w:color w:val="000000"/>
                <w:highlight w:val="black"/>
              </w:rPr>
              <w:t>**%</w:t>
            </w:r>
          </w:p>
        </w:tc>
        <w:tc>
          <w:tcPr>
            <w:tcW w:w="632" w:type="dxa"/>
            <w:tcBorders>
              <w:top w:val="nil"/>
              <w:left w:val="nil"/>
              <w:bottom w:val="nil"/>
              <w:right w:val="nil"/>
            </w:tcBorders>
            <w:shd w:val="clear" w:color="auto" w:fill="auto"/>
            <w:noWrap/>
            <w:vAlign w:val="bottom"/>
            <w:hideMark/>
          </w:tcPr>
          <w:p w14:paraId="6F7E7A34" w14:textId="1FCE7142" w:rsidR="00D42C01" w:rsidRPr="006F0063" w:rsidRDefault="00725FBA" w:rsidP="00071755">
            <w:pPr>
              <w:keepNext/>
              <w:keepLines/>
              <w:jc w:val="right"/>
              <w:rPr>
                <w:rFonts w:cs="Calibri"/>
                <w:color w:val="000000"/>
                <w:highlight w:val="black"/>
              </w:rPr>
            </w:pPr>
            <w:r w:rsidRPr="006F0063">
              <w:rPr>
                <w:rFonts w:cs="Calibri"/>
                <w:color w:val="000000"/>
                <w:highlight w:val="black"/>
              </w:rPr>
              <w:t>**%</w:t>
            </w:r>
          </w:p>
        </w:tc>
        <w:tc>
          <w:tcPr>
            <w:tcW w:w="597" w:type="dxa"/>
            <w:tcBorders>
              <w:top w:val="nil"/>
              <w:left w:val="nil"/>
              <w:bottom w:val="nil"/>
              <w:right w:val="nil"/>
            </w:tcBorders>
            <w:shd w:val="clear" w:color="auto" w:fill="auto"/>
            <w:noWrap/>
            <w:vAlign w:val="bottom"/>
            <w:hideMark/>
          </w:tcPr>
          <w:p w14:paraId="622316DF" w14:textId="77777777" w:rsidR="00D42C01" w:rsidRPr="00D42C01" w:rsidRDefault="00D42C01" w:rsidP="00071755">
            <w:pPr>
              <w:keepNext/>
              <w:keepLines/>
              <w:jc w:val="right"/>
              <w:rPr>
                <w:rFonts w:cs="Calibri"/>
                <w:color w:val="000000"/>
              </w:rPr>
            </w:pPr>
            <w:r w:rsidRPr="00D42C01">
              <w:rPr>
                <w:rFonts w:cs="Calibri"/>
                <w:color w:val="000000"/>
              </w:rPr>
              <w:t>0%</w:t>
            </w:r>
          </w:p>
        </w:tc>
        <w:tc>
          <w:tcPr>
            <w:tcW w:w="597" w:type="dxa"/>
            <w:tcBorders>
              <w:top w:val="nil"/>
              <w:left w:val="nil"/>
              <w:bottom w:val="nil"/>
              <w:right w:val="nil"/>
            </w:tcBorders>
            <w:shd w:val="clear" w:color="auto" w:fill="auto"/>
            <w:noWrap/>
            <w:vAlign w:val="bottom"/>
            <w:hideMark/>
          </w:tcPr>
          <w:p w14:paraId="77315E1F" w14:textId="77777777" w:rsidR="00D42C01" w:rsidRPr="00D42C01" w:rsidRDefault="00D42C01" w:rsidP="00071755">
            <w:pPr>
              <w:keepNext/>
              <w:keepLines/>
              <w:jc w:val="right"/>
              <w:rPr>
                <w:rFonts w:cs="Calibri"/>
                <w:color w:val="000000"/>
              </w:rPr>
            </w:pPr>
            <w:r w:rsidRPr="00D42C01">
              <w:rPr>
                <w:rFonts w:cs="Calibri"/>
                <w:color w:val="000000"/>
              </w:rPr>
              <w:t>0%</w:t>
            </w:r>
          </w:p>
        </w:tc>
        <w:tc>
          <w:tcPr>
            <w:tcW w:w="723" w:type="dxa"/>
            <w:tcBorders>
              <w:top w:val="nil"/>
              <w:left w:val="nil"/>
              <w:bottom w:val="nil"/>
              <w:right w:val="single" w:sz="8" w:space="0" w:color="auto"/>
            </w:tcBorders>
            <w:shd w:val="clear" w:color="auto" w:fill="auto"/>
            <w:noWrap/>
            <w:vAlign w:val="bottom"/>
            <w:hideMark/>
          </w:tcPr>
          <w:p w14:paraId="3BF4C7CB" w14:textId="77777777" w:rsidR="00D42C01" w:rsidRPr="00D42C01" w:rsidRDefault="00D42C01" w:rsidP="00071755">
            <w:pPr>
              <w:keepNext/>
              <w:keepLines/>
              <w:jc w:val="right"/>
              <w:rPr>
                <w:rFonts w:cs="Calibri"/>
                <w:color w:val="000000"/>
              </w:rPr>
            </w:pPr>
            <w:r w:rsidRPr="00D42C01">
              <w:rPr>
                <w:rFonts w:cs="Calibri"/>
                <w:color w:val="000000"/>
              </w:rPr>
              <w:t>-10%</w:t>
            </w:r>
          </w:p>
        </w:tc>
      </w:tr>
      <w:tr w:rsidR="00CE6100" w:rsidRPr="00D42C01" w14:paraId="55108C2D" w14:textId="77777777" w:rsidTr="006F0063">
        <w:trPr>
          <w:trHeight w:val="300"/>
          <w:jc w:val="center"/>
        </w:trPr>
        <w:tc>
          <w:tcPr>
            <w:tcW w:w="1287" w:type="dxa"/>
            <w:tcBorders>
              <w:top w:val="nil"/>
              <w:left w:val="single" w:sz="8" w:space="0" w:color="auto"/>
              <w:bottom w:val="nil"/>
              <w:right w:val="nil"/>
            </w:tcBorders>
            <w:shd w:val="clear" w:color="auto" w:fill="auto"/>
            <w:noWrap/>
            <w:vAlign w:val="bottom"/>
            <w:hideMark/>
          </w:tcPr>
          <w:p w14:paraId="2893A368" w14:textId="77777777" w:rsidR="00D42C01" w:rsidRPr="00D42C01" w:rsidRDefault="00D42C01" w:rsidP="00071755">
            <w:pPr>
              <w:keepNext/>
              <w:keepLines/>
              <w:jc w:val="left"/>
              <w:rPr>
                <w:rFonts w:cs="Calibri"/>
                <w:color w:val="000000"/>
              </w:rPr>
            </w:pPr>
            <w:r w:rsidRPr="00D42C01">
              <w:rPr>
                <w:rFonts w:cs="Calibri"/>
                <w:color w:val="000000"/>
              </w:rPr>
              <w:t>Industrial</w:t>
            </w:r>
          </w:p>
        </w:tc>
        <w:tc>
          <w:tcPr>
            <w:tcW w:w="1920" w:type="dxa"/>
            <w:tcBorders>
              <w:top w:val="nil"/>
              <w:left w:val="nil"/>
              <w:bottom w:val="nil"/>
              <w:right w:val="nil"/>
            </w:tcBorders>
            <w:shd w:val="clear" w:color="auto" w:fill="auto"/>
            <w:vAlign w:val="center"/>
            <w:hideMark/>
          </w:tcPr>
          <w:p w14:paraId="42F0A6C5" w14:textId="32D34C81" w:rsidR="00D42C01" w:rsidRPr="006F0063" w:rsidRDefault="00725FBA" w:rsidP="00071755">
            <w:pPr>
              <w:keepNext/>
              <w:keepLines/>
              <w:jc w:val="left"/>
              <w:rPr>
                <w:rFonts w:cs="Calibri"/>
                <w:color w:val="000000"/>
                <w:highlight w:val="black"/>
              </w:rPr>
            </w:pPr>
            <w:r w:rsidRPr="006F0063">
              <w:rPr>
                <w:rFonts w:cs="Calibri"/>
                <w:color w:val="000000"/>
                <w:highlight w:val="black"/>
              </w:rPr>
              <w:t>*******</w:t>
            </w:r>
          </w:p>
        </w:tc>
        <w:tc>
          <w:tcPr>
            <w:tcW w:w="680" w:type="dxa"/>
            <w:tcBorders>
              <w:top w:val="nil"/>
              <w:left w:val="nil"/>
              <w:bottom w:val="nil"/>
              <w:right w:val="nil"/>
            </w:tcBorders>
            <w:shd w:val="clear" w:color="auto" w:fill="auto"/>
            <w:noWrap/>
            <w:vAlign w:val="bottom"/>
            <w:hideMark/>
          </w:tcPr>
          <w:p w14:paraId="253AB32D" w14:textId="445C1D4F" w:rsidR="00D42C01" w:rsidRPr="006F0063" w:rsidRDefault="00725FBA" w:rsidP="00071755">
            <w:pPr>
              <w:keepNext/>
              <w:keepLines/>
              <w:jc w:val="right"/>
              <w:rPr>
                <w:rFonts w:cs="Calibri"/>
                <w:color w:val="000000"/>
                <w:highlight w:val="black"/>
              </w:rPr>
            </w:pPr>
            <w:r w:rsidRPr="006F0063">
              <w:rPr>
                <w:rFonts w:cs="Calibri"/>
                <w:color w:val="000000"/>
                <w:highlight w:val="black"/>
              </w:rPr>
              <w:t>**%</w:t>
            </w:r>
          </w:p>
        </w:tc>
        <w:tc>
          <w:tcPr>
            <w:tcW w:w="680" w:type="dxa"/>
            <w:tcBorders>
              <w:top w:val="nil"/>
              <w:left w:val="nil"/>
              <w:bottom w:val="nil"/>
              <w:right w:val="nil"/>
            </w:tcBorders>
            <w:shd w:val="clear" w:color="auto" w:fill="auto"/>
            <w:noWrap/>
            <w:vAlign w:val="bottom"/>
            <w:hideMark/>
          </w:tcPr>
          <w:p w14:paraId="57F8967E" w14:textId="2B32F4F7" w:rsidR="00D42C01" w:rsidRPr="006F0063" w:rsidRDefault="00725FBA" w:rsidP="00071755">
            <w:pPr>
              <w:keepNext/>
              <w:keepLines/>
              <w:jc w:val="right"/>
              <w:rPr>
                <w:rFonts w:cs="Calibri"/>
                <w:color w:val="000000"/>
                <w:highlight w:val="black"/>
              </w:rPr>
            </w:pPr>
            <w:r w:rsidRPr="006F0063">
              <w:rPr>
                <w:rFonts w:cs="Calibri"/>
                <w:color w:val="000000"/>
                <w:highlight w:val="black"/>
              </w:rPr>
              <w:t>**%</w:t>
            </w:r>
          </w:p>
        </w:tc>
        <w:tc>
          <w:tcPr>
            <w:tcW w:w="680" w:type="dxa"/>
            <w:tcBorders>
              <w:top w:val="nil"/>
              <w:left w:val="nil"/>
              <w:bottom w:val="nil"/>
              <w:right w:val="nil"/>
            </w:tcBorders>
            <w:shd w:val="clear" w:color="auto" w:fill="auto"/>
            <w:noWrap/>
            <w:vAlign w:val="bottom"/>
            <w:hideMark/>
          </w:tcPr>
          <w:p w14:paraId="76B2551C" w14:textId="4436D99C" w:rsidR="00D42C01" w:rsidRPr="006F0063" w:rsidRDefault="00725FBA" w:rsidP="00071755">
            <w:pPr>
              <w:keepNext/>
              <w:keepLines/>
              <w:jc w:val="right"/>
              <w:rPr>
                <w:rFonts w:cs="Calibri"/>
                <w:color w:val="000000"/>
                <w:highlight w:val="black"/>
              </w:rPr>
            </w:pPr>
            <w:r w:rsidRPr="006F0063">
              <w:rPr>
                <w:rFonts w:cs="Calibri"/>
                <w:color w:val="000000"/>
                <w:highlight w:val="black"/>
              </w:rPr>
              <w:t>**%</w:t>
            </w:r>
          </w:p>
        </w:tc>
        <w:tc>
          <w:tcPr>
            <w:tcW w:w="597" w:type="dxa"/>
            <w:tcBorders>
              <w:top w:val="nil"/>
              <w:left w:val="nil"/>
              <w:bottom w:val="nil"/>
              <w:right w:val="nil"/>
            </w:tcBorders>
            <w:shd w:val="clear" w:color="auto" w:fill="auto"/>
            <w:noWrap/>
            <w:vAlign w:val="bottom"/>
            <w:hideMark/>
          </w:tcPr>
          <w:p w14:paraId="3277FE3F" w14:textId="0FC5F4DD" w:rsidR="00D42C01" w:rsidRPr="006F0063" w:rsidRDefault="00725FBA" w:rsidP="00071755">
            <w:pPr>
              <w:keepNext/>
              <w:keepLines/>
              <w:jc w:val="right"/>
              <w:rPr>
                <w:rFonts w:cs="Calibri"/>
                <w:color w:val="000000"/>
                <w:highlight w:val="black"/>
              </w:rPr>
            </w:pPr>
            <w:r w:rsidRPr="006F0063">
              <w:rPr>
                <w:rFonts w:cs="Calibri"/>
                <w:color w:val="000000"/>
                <w:highlight w:val="black"/>
              </w:rPr>
              <w:t>**%</w:t>
            </w:r>
          </w:p>
        </w:tc>
        <w:tc>
          <w:tcPr>
            <w:tcW w:w="597" w:type="dxa"/>
            <w:tcBorders>
              <w:top w:val="nil"/>
              <w:left w:val="nil"/>
              <w:bottom w:val="nil"/>
              <w:right w:val="nil"/>
            </w:tcBorders>
            <w:shd w:val="clear" w:color="auto" w:fill="auto"/>
            <w:noWrap/>
            <w:vAlign w:val="bottom"/>
            <w:hideMark/>
          </w:tcPr>
          <w:p w14:paraId="40618018" w14:textId="74BF3DF6" w:rsidR="00D42C01" w:rsidRPr="006F0063" w:rsidRDefault="00725FBA" w:rsidP="00071755">
            <w:pPr>
              <w:keepNext/>
              <w:keepLines/>
              <w:jc w:val="right"/>
              <w:rPr>
                <w:rFonts w:cs="Calibri"/>
                <w:color w:val="000000"/>
                <w:highlight w:val="black"/>
              </w:rPr>
            </w:pPr>
            <w:r w:rsidRPr="006F0063">
              <w:rPr>
                <w:rFonts w:cs="Calibri"/>
                <w:color w:val="000000"/>
                <w:highlight w:val="black"/>
              </w:rPr>
              <w:t>**%</w:t>
            </w:r>
          </w:p>
        </w:tc>
        <w:tc>
          <w:tcPr>
            <w:tcW w:w="632" w:type="dxa"/>
            <w:tcBorders>
              <w:top w:val="nil"/>
              <w:left w:val="nil"/>
              <w:bottom w:val="nil"/>
              <w:right w:val="nil"/>
            </w:tcBorders>
            <w:shd w:val="clear" w:color="auto" w:fill="auto"/>
            <w:noWrap/>
            <w:vAlign w:val="bottom"/>
            <w:hideMark/>
          </w:tcPr>
          <w:p w14:paraId="777BDDF3" w14:textId="274002D3" w:rsidR="00D42C01" w:rsidRPr="006F0063" w:rsidRDefault="00725FBA" w:rsidP="00071755">
            <w:pPr>
              <w:keepNext/>
              <w:keepLines/>
              <w:jc w:val="right"/>
              <w:rPr>
                <w:rFonts w:cs="Calibri"/>
                <w:color w:val="000000"/>
                <w:highlight w:val="black"/>
              </w:rPr>
            </w:pPr>
            <w:r w:rsidRPr="006F0063">
              <w:rPr>
                <w:rFonts w:cs="Calibri"/>
                <w:color w:val="000000"/>
                <w:highlight w:val="black"/>
              </w:rPr>
              <w:t>**%</w:t>
            </w:r>
          </w:p>
        </w:tc>
        <w:tc>
          <w:tcPr>
            <w:tcW w:w="597" w:type="dxa"/>
            <w:tcBorders>
              <w:top w:val="nil"/>
              <w:left w:val="nil"/>
              <w:bottom w:val="nil"/>
              <w:right w:val="nil"/>
            </w:tcBorders>
            <w:shd w:val="clear" w:color="auto" w:fill="auto"/>
            <w:noWrap/>
            <w:vAlign w:val="bottom"/>
            <w:hideMark/>
          </w:tcPr>
          <w:p w14:paraId="65FEAD2F" w14:textId="77777777" w:rsidR="00D42C01" w:rsidRPr="00D42C01" w:rsidRDefault="00D42C01" w:rsidP="00071755">
            <w:pPr>
              <w:keepNext/>
              <w:keepLines/>
              <w:jc w:val="right"/>
              <w:rPr>
                <w:rFonts w:cs="Calibri"/>
                <w:color w:val="000000"/>
              </w:rPr>
            </w:pPr>
            <w:r w:rsidRPr="00D42C01">
              <w:rPr>
                <w:rFonts w:cs="Calibri"/>
                <w:color w:val="000000"/>
              </w:rPr>
              <w:t>0%</w:t>
            </w:r>
          </w:p>
        </w:tc>
        <w:tc>
          <w:tcPr>
            <w:tcW w:w="597" w:type="dxa"/>
            <w:tcBorders>
              <w:top w:val="nil"/>
              <w:left w:val="nil"/>
              <w:bottom w:val="nil"/>
              <w:right w:val="nil"/>
            </w:tcBorders>
            <w:shd w:val="clear" w:color="auto" w:fill="auto"/>
            <w:noWrap/>
            <w:vAlign w:val="bottom"/>
            <w:hideMark/>
          </w:tcPr>
          <w:p w14:paraId="7646D24A" w14:textId="77777777" w:rsidR="00D42C01" w:rsidRPr="00D42C01" w:rsidRDefault="00D42C01" w:rsidP="00071755">
            <w:pPr>
              <w:keepNext/>
              <w:keepLines/>
              <w:jc w:val="right"/>
              <w:rPr>
                <w:rFonts w:cs="Calibri"/>
                <w:color w:val="000000"/>
              </w:rPr>
            </w:pPr>
            <w:r w:rsidRPr="00D42C01">
              <w:rPr>
                <w:rFonts w:cs="Calibri"/>
                <w:color w:val="000000"/>
              </w:rPr>
              <w:t>0%</w:t>
            </w:r>
          </w:p>
        </w:tc>
        <w:tc>
          <w:tcPr>
            <w:tcW w:w="723" w:type="dxa"/>
            <w:tcBorders>
              <w:top w:val="nil"/>
              <w:left w:val="nil"/>
              <w:bottom w:val="nil"/>
              <w:right w:val="single" w:sz="8" w:space="0" w:color="auto"/>
            </w:tcBorders>
            <w:shd w:val="clear" w:color="auto" w:fill="auto"/>
            <w:noWrap/>
            <w:vAlign w:val="bottom"/>
            <w:hideMark/>
          </w:tcPr>
          <w:p w14:paraId="15FE6882" w14:textId="77777777" w:rsidR="00D42C01" w:rsidRPr="00D42C01" w:rsidRDefault="00D42C01" w:rsidP="00071755">
            <w:pPr>
              <w:keepNext/>
              <w:keepLines/>
              <w:jc w:val="right"/>
              <w:rPr>
                <w:rFonts w:cs="Calibri"/>
                <w:color w:val="000000"/>
              </w:rPr>
            </w:pPr>
            <w:r w:rsidRPr="00D42C01">
              <w:rPr>
                <w:rFonts w:cs="Calibri"/>
                <w:color w:val="000000"/>
              </w:rPr>
              <w:t>-10%</w:t>
            </w:r>
          </w:p>
        </w:tc>
      </w:tr>
      <w:tr w:rsidR="00CE6100" w:rsidRPr="00D42C01" w14:paraId="2251AC20" w14:textId="77777777" w:rsidTr="006F0063">
        <w:trPr>
          <w:trHeight w:val="300"/>
          <w:jc w:val="center"/>
        </w:trPr>
        <w:tc>
          <w:tcPr>
            <w:tcW w:w="1287" w:type="dxa"/>
            <w:tcBorders>
              <w:top w:val="nil"/>
              <w:left w:val="single" w:sz="8" w:space="0" w:color="auto"/>
              <w:bottom w:val="nil"/>
              <w:right w:val="nil"/>
            </w:tcBorders>
            <w:shd w:val="clear" w:color="auto" w:fill="auto"/>
            <w:noWrap/>
            <w:vAlign w:val="bottom"/>
            <w:hideMark/>
          </w:tcPr>
          <w:p w14:paraId="6AE6B810" w14:textId="77777777" w:rsidR="00D42C01" w:rsidRPr="00D42C01" w:rsidRDefault="00D42C01" w:rsidP="00071755">
            <w:pPr>
              <w:keepNext/>
              <w:keepLines/>
              <w:jc w:val="left"/>
              <w:rPr>
                <w:rFonts w:cs="Calibri"/>
                <w:color w:val="000000"/>
              </w:rPr>
            </w:pPr>
            <w:r w:rsidRPr="00D42C01">
              <w:rPr>
                <w:rFonts w:cs="Calibri"/>
                <w:color w:val="000000"/>
              </w:rPr>
              <w:t>Industrial</w:t>
            </w:r>
          </w:p>
        </w:tc>
        <w:tc>
          <w:tcPr>
            <w:tcW w:w="1920" w:type="dxa"/>
            <w:tcBorders>
              <w:top w:val="nil"/>
              <w:left w:val="nil"/>
              <w:bottom w:val="nil"/>
              <w:right w:val="nil"/>
            </w:tcBorders>
            <w:shd w:val="clear" w:color="auto" w:fill="auto"/>
            <w:vAlign w:val="center"/>
            <w:hideMark/>
          </w:tcPr>
          <w:p w14:paraId="303028E3" w14:textId="1CFB35A3" w:rsidR="00D42C01" w:rsidRPr="006F0063" w:rsidRDefault="00725FBA" w:rsidP="00071755">
            <w:pPr>
              <w:keepNext/>
              <w:keepLines/>
              <w:jc w:val="left"/>
              <w:rPr>
                <w:rFonts w:cs="Calibri"/>
                <w:color w:val="000000"/>
                <w:highlight w:val="black"/>
              </w:rPr>
            </w:pPr>
            <w:r w:rsidRPr="006F0063">
              <w:rPr>
                <w:rFonts w:cs="Calibri"/>
                <w:color w:val="000000"/>
                <w:highlight w:val="black"/>
              </w:rPr>
              <w:t>*******</w:t>
            </w:r>
          </w:p>
        </w:tc>
        <w:tc>
          <w:tcPr>
            <w:tcW w:w="680" w:type="dxa"/>
            <w:tcBorders>
              <w:top w:val="nil"/>
              <w:left w:val="nil"/>
              <w:bottom w:val="nil"/>
              <w:right w:val="nil"/>
            </w:tcBorders>
            <w:shd w:val="clear" w:color="auto" w:fill="auto"/>
            <w:noWrap/>
            <w:vAlign w:val="bottom"/>
            <w:hideMark/>
          </w:tcPr>
          <w:p w14:paraId="429D55AC" w14:textId="1C672CD1" w:rsidR="00D42C01" w:rsidRPr="006F0063" w:rsidRDefault="00725FBA" w:rsidP="00071755">
            <w:pPr>
              <w:keepNext/>
              <w:keepLines/>
              <w:jc w:val="right"/>
              <w:rPr>
                <w:rFonts w:cs="Calibri"/>
                <w:color w:val="000000"/>
                <w:highlight w:val="black"/>
              </w:rPr>
            </w:pPr>
            <w:r w:rsidRPr="006F0063">
              <w:rPr>
                <w:rFonts w:cs="Calibri"/>
                <w:color w:val="000000"/>
                <w:highlight w:val="black"/>
              </w:rPr>
              <w:t>**%</w:t>
            </w:r>
          </w:p>
        </w:tc>
        <w:tc>
          <w:tcPr>
            <w:tcW w:w="680" w:type="dxa"/>
            <w:tcBorders>
              <w:top w:val="nil"/>
              <w:left w:val="nil"/>
              <w:bottom w:val="nil"/>
              <w:right w:val="nil"/>
            </w:tcBorders>
            <w:shd w:val="clear" w:color="auto" w:fill="auto"/>
            <w:noWrap/>
            <w:vAlign w:val="bottom"/>
            <w:hideMark/>
          </w:tcPr>
          <w:p w14:paraId="28EC6CB8" w14:textId="494BAC47" w:rsidR="00D42C01" w:rsidRPr="006F0063" w:rsidRDefault="00725FBA" w:rsidP="00071755">
            <w:pPr>
              <w:keepNext/>
              <w:keepLines/>
              <w:jc w:val="right"/>
              <w:rPr>
                <w:rFonts w:cs="Calibri"/>
                <w:color w:val="000000"/>
                <w:highlight w:val="black"/>
              </w:rPr>
            </w:pPr>
            <w:r w:rsidRPr="006F0063">
              <w:rPr>
                <w:rFonts w:cs="Calibri"/>
                <w:color w:val="000000"/>
                <w:highlight w:val="black"/>
              </w:rPr>
              <w:t>**%</w:t>
            </w:r>
          </w:p>
        </w:tc>
        <w:tc>
          <w:tcPr>
            <w:tcW w:w="680" w:type="dxa"/>
            <w:tcBorders>
              <w:top w:val="nil"/>
              <w:left w:val="nil"/>
              <w:bottom w:val="nil"/>
              <w:right w:val="nil"/>
            </w:tcBorders>
            <w:shd w:val="clear" w:color="auto" w:fill="auto"/>
            <w:noWrap/>
            <w:vAlign w:val="bottom"/>
            <w:hideMark/>
          </w:tcPr>
          <w:p w14:paraId="1113A264" w14:textId="0C308428" w:rsidR="00D42C01" w:rsidRPr="006F0063" w:rsidRDefault="00725FBA" w:rsidP="00071755">
            <w:pPr>
              <w:keepNext/>
              <w:keepLines/>
              <w:jc w:val="right"/>
              <w:rPr>
                <w:rFonts w:cs="Calibri"/>
                <w:color w:val="000000"/>
                <w:highlight w:val="black"/>
              </w:rPr>
            </w:pPr>
            <w:r w:rsidRPr="006F0063">
              <w:rPr>
                <w:rFonts w:cs="Calibri"/>
                <w:color w:val="000000"/>
                <w:highlight w:val="black"/>
              </w:rPr>
              <w:t>**%</w:t>
            </w:r>
          </w:p>
        </w:tc>
        <w:tc>
          <w:tcPr>
            <w:tcW w:w="597" w:type="dxa"/>
            <w:tcBorders>
              <w:top w:val="nil"/>
              <w:left w:val="nil"/>
              <w:bottom w:val="nil"/>
              <w:right w:val="nil"/>
            </w:tcBorders>
            <w:shd w:val="clear" w:color="auto" w:fill="auto"/>
            <w:noWrap/>
            <w:vAlign w:val="bottom"/>
            <w:hideMark/>
          </w:tcPr>
          <w:p w14:paraId="39499E1C" w14:textId="010B4A3C" w:rsidR="00D42C01" w:rsidRPr="006F0063" w:rsidRDefault="00725FBA" w:rsidP="00071755">
            <w:pPr>
              <w:keepNext/>
              <w:keepLines/>
              <w:jc w:val="right"/>
              <w:rPr>
                <w:rFonts w:cs="Calibri"/>
                <w:color w:val="000000"/>
                <w:highlight w:val="black"/>
              </w:rPr>
            </w:pPr>
            <w:r w:rsidRPr="006F0063">
              <w:rPr>
                <w:rFonts w:cs="Calibri"/>
                <w:color w:val="000000"/>
                <w:highlight w:val="black"/>
              </w:rPr>
              <w:t>**%</w:t>
            </w:r>
          </w:p>
        </w:tc>
        <w:tc>
          <w:tcPr>
            <w:tcW w:w="597" w:type="dxa"/>
            <w:tcBorders>
              <w:top w:val="nil"/>
              <w:left w:val="nil"/>
              <w:bottom w:val="nil"/>
              <w:right w:val="nil"/>
            </w:tcBorders>
            <w:shd w:val="clear" w:color="auto" w:fill="auto"/>
            <w:noWrap/>
            <w:vAlign w:val="bottom"/>
            <w:hideMark/>
          </w:tcPr>
          <w:p w14:paraId="58437276" w14:textId="519AF0D0" w:rsidR="00D42C01" w:rsidRPr="006F0063" w:rsidRDefault="00725FBA" w:rsidP="00071755">
            <w:pPr>
              <w:keepNext/>
              <w:keepLines/>
              <w:jc w:val="right"/>
              <w:rPr>
                <w:rFonts w:cs="Calibri"/>
                <w:color w:val="000000"/>
                <w:highlight w:val="black"/>
              </w:rPr>
            </w:pPr>
            <w:r w:rsidRPr="006F0063">
              <w:rPr>
                <w:rFonts w:cs="Calibri"/>
                <w:color w:val="000000"/>
                <w:highlight w:val="black"/>
              </w:rPr>
              <w:t>**%</w:t>
            </w:r>
          </w:p>
        </w:tc>
        <w:tc>
          <w:tcPr>
            <w:tcW w:w="632" w:type="dxa"/>
            <w:tcBorders>
              <w:top w:val="nil"/>
              <w:left w:val="nil"/>
              <w:bottom w:val="nil"/>
              <w:right w:val="nil"/>
            </w:tcBorders>
            <w:shd w:val="clear" w:color="auto" w:fill="auto"/>
            <w:noWrap/>
            <w:vAlign w:val="bottom"/>
            <w:hideMark/>
          </w:tcPr>
          <w:p w14:paraId="2E8AEDFD" w14:textId="51940EE6" w:rsidR="00D42C01" w:rsidRPr="006F0063" w:rsidRDefault="00725FBA" w:rsidP="00071755">
            <w:pPr>
              <w:keepNext/>
              <w:keepLines/>
              <w:jc w:val="right"/>
              <w:rPr>
                <w:rFonts w:cs="Calibri"/>
                <w:color w:val="000000"/>
                <w:highlight w:val="black"/>
              </w:rPr>
            </w:pPr>
            <w:r w:rsidRPr="006F0063">
              <w:rPr>
                <w:rFonts w:cs="Calibri"/>
                <w:color w:val="000000"/>
                <w:highlight w:val="black"/>
              </w:rPr>
              <w:t>**%</w:t>
            </w:r>
          </w:p>
        </w:tc>
        <w:tc>
          <w:tcPr>
            <w:tcW w:w="597" w:type="dxa"/>
            <w:tcBorders>
              <w:top w:val="nil"/>
              <w:left w:val="nil"/>
              <w:bottom w:val="nil"/>
              <w:right w:val="nil"/>
            </w:tcBorders>
            <w:shd w:val="clear" w:color="auto" w:fill="auto"/>
            <w:noWrap/>
            <w:vAlign w:val="bottom"/>
            <w:hideMark/>
          </w:tcPr>
          <w:p w14:paraId="22D8C393" w14:textId="77777777" w:rsidR="00D42C01" w:rsidRPr="00D42C01" w:rsidRDefault="00D42C01" w:rsidP="00071755">
            <w:pPr>
              <w:keepNext/>
              <w:keepLines/>
              <w:jc w:val="right"/>
              <w:rPr>
                <w:rFonts w:cs="Calibri"/>
                <w:color w:val="000000"/>
              </w:rPr>
            </w:pPr>
            <w:r w:rsidRPr="00D42C01">
              <w:rPr>
                <w:rFonts w:cs="Calibri"/>
                <w:color w:val="000000"/>
              </w:rPr>
              <w:t>0%</w:t>
            </w:r>
          </w:p>
        </w:tc>
        <w:tc>
          <w:tcPr>
            <w:tcW w:w="597" w:type="dxa"/>
            <w:tcBorders>
              <w:top w:val="nil"/>
              <w:left w:val="nil"/>
              <w:bottom w:val="nil"/>
              <w:right w:val="nil"/>
            </w:tcBorders>
            <w:shd w:val="clear" w:color="auto" w:fill="auto"/>
            <w:noWrap/>
            <w:vAlign w:val="bottom"/>
            <w:hideMark/>
          </w:tcPr>
          <w:p w14:paraId="70D3AEDF" w14:textId="77777777" w:rsidR="00D42C01" w:rsidRPr="00D42C01" w:rsidRDefault="00D42C01" w:rsidP="00071755">
            <w:pPr>
              <w:keepNext/>
              <w:keepLines/>
              <w:jc w:val="right"/>
              <w:rPr>
                <w:rFonts w:cs="Calibri"/>
                <w:color w:val="000000"/>
              </w:rPr>
            </w:pPr>
            <w:r w:rsidRPr="00D42C01">
              <w:rPr>
                <w:rFonts w:cs="Calibri"/>
                <w:color w:val="000000"/>
              </w:rPr>
              <w:t>0%</w:t>
            </w:r>
          </w:p>
        </w:tc>
        <w:tc>
          <w:tcPr>
            <w:tcW w:w="723" w:type="dxa"/>
            <w:tcBorders>
              <w:top w:val="nil"/>
              <w:left w:val="nil"/>
              <w:bottom w:val="nil"/>
              <w:right w:val="single" w:sz="8" w:space="0" w:color="auto"/>
            </w:tcBorders>
            <w:shd w:val="clear" w:color="auto" w:fill="auto"/>
            <w:noWrap/>
            <w:vAlign w:val="bottom"/>
            <w:hideMark/>
          </w:tcPr>
          <w:p w14:paraId="03E8A45D" w14:textId="77777777" w:rsidR="00D42C01" w:rsidRPr="00D42C01" w:rsidRDefault="00D42C01" w:rsidP="00071755">
            <w:pPr>
              <w:keepNext/>
              <w:keepLines/>
              <w:jc w:val="right"/>
              <w:rPr>
                <w:rFonts w:cs="Calibri"/>
                <w:color w:val="000000"/>
              </w:rPr>
            </w:pPr>
            <w:r w:rsidRPr="00D42C01">
              <w:rPr>
                <w:rFonts w:cs="Calibri"/>
                <w:color w:val="000000"/>
              </w:rPr>
              <w:t>-10%</w:t>
            </w:r>
          </w:p>
        </w:tc>
      </w:tr>
      <w:tr w:rsidR="00CE6100" w:rsidRPr="00D42C01" w14:paraId="0614D87E" w14:textId="77777777" w:rsidTr="006F0063">
        <w:trPr>
          <w:trHeight w:val="300"/>
          <w:jc w:val="center"/>
        </w:trPr>
        <w:tc>
          <w:tcPr>
            <w:tcW w:w="1287" w:type="dxa"/>
            <w:tcBorders>
              <w:top w:val="nil"/>
              <w:left w:val="single" w:sz="8" w:space="0" w:color="auto"/>
              <w:bottom w:val="nil"/>
              <w:right w:val="nil"/>
            </w:tcBorders>
            <w:shd w:val="clear" w:color="auto" w:fill="auto"/>
            <w:noWrap/>
            <w:vAlign w:val="bottom"/>
            <w:hideMark/>
          </w:tcPr>
          <w:p w14:paraId="1919FB57" w14:textId="77777777" w:rsidR="00D42C01" w:rsidRPr="00D42C01" w:rsidRDefault="00D42C01" w:rsidP="00071755">
            <w:pPr>
              <w:keepNext/>
              <w:keepLines/>
              <w:jc w:val="left"/>
              <w:rPr>
                <w:rFonts w:cs="Calibri"/>
                <w:color w:val="000000"/>
              </w:rPr>
            </w:pPr>
            <w:r w:rsidRPr="00D42C01">
              <w:rPr>
                <w:rFonts w:cs="Calibri"/>
                <w:color w:val="000000"/>
              </w:rPr>
              <w:t>Industrial</w:t>
            </w:r>
          </w:p>
        </w:tc>
        <w:tc>
          <w:tcPr>
            <w:tcW w:w="1920" w:type="dxa"/>
            <w:tcBorders>
              <w:top w:val="nil"/>
              <w:left w:val="nil"/>
              <w:bottom w:val="nil"/>
              <w:right w:val="nil"/>
            </w:tcBorders>
            <w:shd w:val="clear" w:color="auto" w:fill="auto"/>
            <w:vAlign w:val="center"/>
            <w:hideMark/>
          </w:tcPr>
          <w:p w14:paraId="14CBEC16" w14:textId="503F9470" w:rsidR="00D42C01" w:rsidRPr="006F0063" w:rsidRDefault="00725FBA" w:rsidP="00071755">
            <w:pPr>
              <w:keepNext/>
              <w:keepLines/>
              <w:jc w:val="left"/>
              <w:rPr>
                <w:rFonts w:cs="Calibri"/>
                <w:color w:val="000000"/>
                <w:highlight w:val="black"/>
              </w:rPr>
            </w:pPr>
            <w:r w:rsidRPr="006F0063">
              <w:rPr>
                <w:rFonts w:cs="Calibri"/>
                <w:color w:val="000000"/>
                <w:highlight w:val="black"/>
              </w:rPr>
              <w:t>*******</w:t>
            </w:r>
          </w:p>
        </w:tc>
        <w:tc>
          <w:tcPr>
            <w:tcW w:w="680" w:type="dxa"/>
            <w:tcBorders>
              <w:top w:val="nil"/>
              <w:left w:val="nil"/>
              <w:bottom w:val="nil"/>
              <w:right w:val="nil"/>
            </w:tcBorders>
            <w:shd w:val="clear" w:color="auto" w:fill="auto"/>
            <w:noWrap/>
            <w:vAlign w:val="bottom"/>
            <w:hideMark/>
          </w:tcPr>
          <w:p w14:paraId="6E2CB34C" w14:textId="177C592A" w:rsidR="00D42C01" w:rsidRPr="006F0063" w:rsidRDefault="00725FBA" w:rsidP="00071755">
            <w:pPr>
              <w:keepNext/>
              <w:keepLines/>
              <w:jc w:val="center"/>
              <w:rPr>
                <w:rFonts w:cs="Calibri"/>
                <w:color w:val="000000"/>
                <w:highlight w:val="black"/>
              </w:rPr>
            </w:pPr>
            <w:r w:rsidRPr="006F0063">
              <w:rPr>
                <w:rFonts w:cs="Calibri"/>
                <w:color w:val="000000"/>
                <w:highlight w:val="black"/>
              </w:rPr>
              <w:t>**%</w:t>
            </w:r>
          </w:p>
        </w:tc>
        <w:tc>
          <w:tcPr>
            <w:tcW w:w="680" w:type="dxa"/>
            <w:tcBorders>
              <w:top w:val="nil"/>
              <w:left w:val="nil"/>
              <w:bottom w:val="nil"/>
              <w:right w:val="nil"/>
            </w:tcBorders>
            <w:shd w:val="clear" w:color="auto" w:fill="auto"/>
            <w:noWrap/>
            <w:vAlign w:val="bottom"/>
            <w:hideMark/>
          </w:tcPr>
          <w:p w14:paraId="43E76A5D" w14:textId="5B79D911" w:rsidR="00D42C01" w:rsidRPr="006F0063" w:rsidRDefault="00725FBA" w:rsidP="00071755">
            <w:pPr>
              <w:keepNext/>
              <w:keepLines/>
              <w:jc w:val="center"/>
              <w:rPr>
                <w:rFonts w:cs="Calibri"/>
                <w:color w:val="000000"/>
                <w:highlight w:val="black"/>
              </w:rPr>
            </w:pPr>
            <w:r w:rsidRPr="006F0063">
              <w:rPr>
                <w:rFonts w:cs="Calibri"/>
                <w:color w:val="000000"/>
                <w:highlight w:val="black"/>
              </w:rPr>
              <w:t>**%</w:t>
            </w:r>
          </w:p>
        </w:tc>
        <w:tc>
          <w:tcPr>
            <w:tcW w:w="680" w:type="dxa"/>
            <w:tcBorders>
              <w:top w:val="nil"/>
              <w:left w:val="nil"/>
              <w:bottom w:val="nil"/>
              <w:right w:val="nil"/>
            </w:tcBorders>
            <w:shd w:val="clear" w:color="auto" w:fill="auto"/>
            <w:noWrap/>
            <w:vAlign w:val="bottom"/>
            <w:hideMark/>
          </w:tcPr>
          <w:p w14:paraId="1FE84016" w14:textId="685EF455" w:rsidR="00D42C01" w:rsidRPr="006F0063" w:rsidRDefault="00725FBA" w:rsidP="00071755">
            <w:pPr>
              <w:keepNext/>
              <w:keepLines/>
              <w:jc w:val="center"/>
              <w:rPr>
                <w:rFonts w:cs="Calibri"/>
                <w:color w:val="000000"/>
                <w:highlight w:val="black"/>
              </w:rPr>
            </w:pPr>
            <w:r w:rsidRPr="006F0063">
              <w:rPr>
                <w:rFonts w:cs="Calibri"/>
                <w:color w:val="000000"/>
                <w:highlight w:val="black"/>
              </w:rPr>
              <w:t>**%</w:t>
            </w:r>
          </w:p>
        </w:tc>
        <w:tc>
          <w:tcPr>
            <w:tcW w:w="597" w:type="dxa"/>
            <w:tcBorders>
              <w:top w:val="nil"/>
              <w:left w:val="nil"/>
              <w:bottom w:val="nil"/>
              <w:right w:val="nil"/>
            </w:tcBorders>
            <w:shd w:val="clear" w:color="auto" w:fill="auto"/>
            <w:noWrap/>
            <w:vAlign w:val="bottom"/>
            <w:hideMark/>
          </w:tcPr>
          <w:p w14:paraId="2BEF5EB7" w14:textId="02AF8B92" w:rsidR="00D42C01" w:rsidRPr="006F0063" w:rsidRDefault="00725FBA" w:rsidP="00071755">
            <w:pPr>
              <w:keepNext/>
              <w:keepLines/>
              <w:jc w:val="right"/>
              <w:rPr>
                <w:rFonts w:cs="Calibri"/>
                <w:color w:val="000000"/>
                <w:highlight w:val="black"/>
              </w:rPr>
            </w:pPr>
            <w:r w:rsidRPr="006F0063">
              <w:rPr>
                <w:rFonts w:cs="Calibri"/>
                <w:color w:val="000000"/>
                <w:highlight w:val="black"/>
              </w:rPr>
              <w:t>**%</w:t>
            </w:r>
          </w:p>
        </w:tc>
        <w:tc>
          <w:tcPr>
            <w:tcW w:w="597" w:type="dxa"/>
            <w:tcBorders>
              <w:top w:val="nil"/>
              <w:left w:val="nil"/>
              <w:bottom w:val="nil"/>
              <w:right w:val="nil"/>
            </w:tcBorders>
            <w:shd w:val="clear" w:color="auto" w:fill="auto"/>
            <w:noWrap/>
            <w:vAlign w:val="bottom"/>
            <w:hideMark/>
          </w:tcPr>
          <w:p w14:paraId="19115A57" w14:textId="1FBBC07D" w:rsidR="00D42C01" w:rsidRPr="006F0063" w:rsidRDefault="00725FBA" w:rsidP="00071755">
            <w:pPr>
              <w:keepNext/>
              <w:keepLines/>
              <w:jc w:val="right"/>
              <w:rPr>
                <w:rFonts w:cs="Calibri"/>
                <w:color w:val="000000"/>
                <w:highlight w:val="black"/>
              </w:rPr>
            </w:pPr>
            <w:r w:rsidRPr="006F0063">
              <w:rPr>
                <w:rFonts w:cs="Calibri"/>
                <w:color w:val="000000"/>
                <w:highlight w:val="black"/>
              </w:rPr>
              <w:t>**%</w:t>
            </w:r>
          </w:p>
        </w:tc>
        <w:tc>
          <w:tcPr>
            <w:tcW w:w="632" w:type="dxa"/>
            <w:tcBorders>
              <w:top w:val="nil"/>
              <w:left w:val="nil"/>
              <w:bottom w:val="nil"/>
              <w:right w:val="nil"/>
            </w:tcBorders>
            <w:shd w:val="clear" w:color="auto" w:fill="auto"/>
            <w:noWrap/>
            <w:vAlign w:val="bottom"/>
            <w:hideMark/>
          </w:tcPr>
          <w:p w14:paraId="49C37680" w14:textId="6FB548A9" w:rsidR="00D42C01" w:rsidRPr="006F0063" w:rsidRDefault="00725FBA" w:rsidP="00071755">
            <w:pPr>
              <w:keepNext/>
              <w:keepLines/>
              <w:jc w:val="right"/>
              <w:rPr>
                <w:rFonts w:cs="Calibri"/>
                <w:color w:val="000000"/>
                <w:highlight w:val="black"/>
              </w:rPr>
            </w:pPr>
            <w:r w:rsidRPr="006F0063">
              <w:rPr>
                <w:rFonts w:cs="Calibri"/>
                <w:color w:val="000000"/>
                <w:highlight w:val="black"/>
              </w:rPr>
              <w:t>**%</w:t>
            </w:r>
          </w:p>
        </w:tc>
        <w:tc>
          <w:tcPr>
            <w:tcW w:w="597" w:type="dxa"/>
            <w:tcBorders>
              <w:top w:val="nil"/>
              <w:left w:val="nil"/>
              <w:bottom w:val="nil"/>
              <w:right w:val="nil"/>
            </w:tcBorders>
            <w:shd w:val="clear" w:color="auto" w:fill="auto"/>
            <w:noWrap/>
            <w:vAlign w:val="bottom"/>
            <w:hideMark/>
          </w:tcPr>
          <w:p w14:paraId="6AA5DD7F" w14:textId="77777777" w:rsidR="00D42C01" w:rsidRPr="00D42C01" w:rsidRDefault="00D42C01" w:rsidP="00071755">
            <w:pPr>
              <w:keepNext/>
              <w:keepLines/>
              <w:jc w:val="right"/>
              <w:rPr>
                <w:rFonts w:cs="Calibri"/>
                <w:color w:val="000000"/>
              </w:rPr>
            </w:pPr>
            <w:r w:rsidRPr="00D42C01">
              <w:rPr>
                <w:rFonts w:cs="Calibri"/>
                <w:color w:val="000000"/>
              </w:rPr>
              <w:t>40%</w:t>
            </w:r>
          </w:p>
        </w:tc>
        <w:tc>
          <w:tcPr>
            <w:tcW w:w="597" w:type="dxa"/>
            <w:tcBorders>
              <w:top w:val="nil"/>
              <w:left w:val="nil"/>
              <w:bottom w:val="nil"/>
              <w:right w:val="nil"/>
            </w:tcBorders>
            <w:shd w:val="clear" w:color="auto" w:fill="auto"/>
            <w:noWrap/>
            <w:vAlign w:val="bottom"/>
            <w:hideMark/>
          </w:tcPr>
          <w:p w14:paraId="782F3889" w14:textId="77777777" w:rsidR="00D42C01" w:rsidRPr="00D42C01" w:rsidRDefault="00D42C01" w:rsidP="00071755">
            <w:pPr>
              <w:keepNext/>
              <w:keepLines/>
              <w:jc w:val="right"/>
              <w:rPr>
                <w:rFonts w:cs="Calibri"/>
                <w:color w:val="000000"/>
              </w:rPr>
            </w:pPr>
            <w:r w:rsidRPr="00D42C01">
              <w:rPr>
                <w:rFonts w:cs="Calibri"/>
                <w:color w:val="000000"/>
              </w:rPr>
              <w:t>50%</w:t>
            </w:r>
          </w:p>
        </w:tc>
        <w:tc>
          <w:tcPr>
            <w:tcW w:w="723" w:type="dxa"/>
            <w:tcBorders>
              <w:top w:val="nil"/>
              <w:left w:val="nil"/>
              <w:bottom w:val="nil"/>
              <w:right w:val="single" w:sz="8" w:space="0" w:color="auto"/>
            </w:tcBorders>
            <w:shd w:val="clear" w:color="auto" w:fill="auto"/>
            <w:noWrap/>
            <w:vAlign w:val="bottom"/>
            <w:hideMark/>
          </w:tcPr>
          <w:p w14:paraId="4698D316" w14:textId="77777777" w:rsidR="00D42C01" w:rsidRPr="00D42C01" w:rsidRDefault="00D42C01" w:rsidP="00071755">
            <w:pPr>
              <w:keepNext/>
              <w:keepLines/>
              <w:jc w:val="right"/>
              <w:rPr>
                <w:rFonts w:cs="Calibri"/>
                <w:color w:val="000000"/>
              </w:rPr>
            </w:pPr>
            <w:r w:rsidRPr="00D42C01">
              <w:rPr>
                <w:rFonts w:cs="Calibri"/>
                <w:color w:val="000000"/>
              </w:rPr>
              <w:t>75%</w:t>
            </w:r>
          </w:p>
        </w:tc>
      </w:tr>
      <w:tr w:rsidR="00CE6100" w:rsidRPr="00D42C01" w14:paraId="7368EF3C" w14:textId="77777777" w:rsidTr="006F0063">
        <w:trPr>
          <w:trHeight w:val="600"/>
          <w:jc w:val="center"/>
        </w:trPr>
        <w:tc>
          <w:tcPr>
            <w:tcW w:w="1287" w:type="dxa"/>
            <w:tcBorders>
              <w:top w:val="nil"/>
              <w:left w:val="single" w:sz="8" w:space="0" w:color="auto"/>
              <w:bottom w:val="nil"/>
              <w:right w:val="nil"/>
            </w:tcBorders>
            <w:shd w:val="clear" w:color="auto" w:fill="auto"/>
            <w:noWrap/>
            <w:vAlign w:val="bottom"/>
            <w:hideMark/>
          </w:tcPr>
          <w:p w14:paraId="01B1F70F" w14:textId="77777777" w:rsidR="00D42C01" w:rsidRPr="00D42C01" w:rsidRDefault="00D42C01" w:rsidP="00071755">
            <w:pPr>
              <w:keepNext/>
              <w:keepLines/>
              <w:jc w:val="left"/>
              <w:rPr>
                <w:rFonts w:cs="Calibri"/>
                <w:color w:val="000000"/>
              </w:rPr>
            </w:pPr>
            <w:r w:rsidRPr="00D42C01">
              <w:rPr>
                <w:rFonts w:cs="Calibri"/>
                <w:color w:val="000000"/>
              </w:rPr>
              <w:t>Industrial</w:t>
            </w:r>
          </w:p>
        </w:tc>
        <w:tc>
          <w:tcPr>
            <w:tcW w:w="1920" w:type="dxa"/>
            <w:tcBorders>
              <w:top w:val="nil"/>
              <w:left w:val="nil"/>
              <w:bottom w:val="nil"/>
              <w:right w:val="nil"/>
            </w:tcBorders>
            <w:shd w:val="clear" w:color="auto" w:fill="auto"/>
            <w:vAlign w:val="center"/>
            <w:hideMark/>
          </w:tcPr>
          <w:p w14:paraId="235FAAA1" w14:textId="76D2EBCB" w:rsidR="00D42C01" w:rsidRPr="006F0063" w:rsidRDefault="00725FBA" w:rsidP="00071755">
            <w:pPr>
              <w:keepNext/>
              <w:keepLines/>
              <w:jc w:val="left"/>
              <w:rPr>
                <w:rFonts w:cs="Calibri"/>
                <w:color w:val="000000"/>
                <w:highlight w:val="black"/>
              </w:rPr>
            </w:pPr>
            <w:r w:rsidRPr="006F0063">
              <w:rPr>
                <w:rFonts w:cs="Calibri"/>
                <w:color w:val="000000"/>
                <w:highlight w:val="black"/>
              </w:rPr>
              <w:t>*******</w:t>
            </w:r>
          </w:p>
        </w:tc>
        <w:tc>
          <w:tcPr>
            <w:tcW w:w="680" w:type="dxa"/>
            <w:tcBorders>
              <w:top w:val="nil"/>
              <w:left w:val="nil"/>
              <w:bottom w:val="nil"/>
              <w:right w:val="nil"/>
            </w:tcBorders>
            <w:shd w:val="clear" w:color="auto" w:fill="auto"/>
            <w:noWrap/>
            <w:vAlign w:val="bottom"/>
            <w:hideMark/>
          </w:tcPr>
          <w:p w14:paraId="2821B477" w14:textId="6B1FEF72" w:rsidR="00D42C01" w:rsidRPr="006F0063" w:rsidRDefault="00725FBA" w:rsidP="00071755">
            <w:pPr>
              <w:keepNext/>
              <w:keepLines/>
              <w:jc w:val="center"/>
              <w:rPr>
                <w:rFonts w:cs="Calibri"/>
                <w:color w:val="000000"/>
                <w:highlight w:val="black"/>
              </w:rPr>
            </w:pPr>
            <w:r w:rsidRPr="006F0063">
              <w:rPr>
                <w:rFonts w:cs="Calibri"/>
                <w:color w:val="000000"/>
                <w:highlight w:val="black"/>
              </w:rPr>
              <w:t>**%</w:t>
            </w:r>
          </w:p>
        </w:tc>
        <w:tc>
          <w:tcPr>
            <w:tcW w:w="680" w:type="dxa"/>
            <w:tcBorders>
              <w:top w:val="nil"/>
              <w:left w:val="nil"/>
              <w:bottom w:val="nil"/>
              <w:right w:val="nil"/>
            </w:tcBorders>
            <w:shd w:val="clear" w:color="auto" w:fill="auto"/>
            <w:noWrap/>
            <w:vAlign w:val="bottom"/>
            <w:hideMark/>
          </w:tcPr>
          <w:p w14:paraId="3014F8C5" w14:textId="04A45B4F" w:rsidR="00D42C01" w:rsidRPr="006F0063" w:rsidRDefault="00725FBA" w:rsidP="00071755">
            <w:pPr>
              <w:keepNext/>
              <w:keepLines/>
              <w:jc w:val="center"/>
              <w:rPr>
                <w:rFonts w:cs="Calibri"/>
                <w:color w:val="000000"/>
                <w:highlight w:val="black"/>
              </w:rPr>
            </w:pPr>
            <w:r w:rsidRPr="006F0063">
              <w:rPr>
                <w:rFonts w:cs="Calibri"/>
                <w:color w:val="000000"/>
                <w:highlight w:val="black"/>
              </w:rPr>
              <w:t>**%</w:t>
            </w:r>
          </w:p>
        </w:tc>
        <w:tc>
          <w:tcPr>
            <w:tcW w:w="680" w:type="dxa"/>
            <w:tcBorders>
              <w:top w:val="nil"/>
              <w:left w:val="nil"/>
              <w:bottom w:val="nil"/>
              <w:right w:val="nil"/>
            </w:tcBorders>
            <w:shd w:val="clear" w:color="auto" w:fill="auto"/>
            <w:noWrap/>
            <w:vAlign w:val="bottom"/>
            <w:hideMark/>
          </w:tcPr>
          <w:p w14:paraId="2F98789B" w14:textId="4E728ACA" w:rsidR="00D42C01" w:rsidRPr="006F0063" w:rsidRDefault="00725FBA" w:rsidP="00071755">
            <w:pPr>
              <w:keepNext/>
              <w:keepLines/>
              <w:jc w:val="center"/>
              <w:rPr>
                <w:rFonts w:cs="Calibri"/>
                <w:color w:val="000000"/>
                <w:highlight w:val="black"/>
              </w:rPr>
            </w:pPr>
            <w:r w:rsidRPr="006F0063">
              <w:rPr>
                <w:rFonts w:cs="Calibri"/>
                <w:color w:val="000000"/>
                <w:highlight w:val="black"/>
              </w:rPr>
              <w:t>**%</w:t>
            </w:r>
          </w:p>
        </w:tc>
        <w:tc>
          <w:tcPr>
            <w:tcW w:w="597" w:type="dxa"/>
            <w:tcBorders>
              <w:top w:val="nil"/>
              <w:left w:val="nil"/>
              <w:bottom w:val="nil"/>
              <w:right w:val="nil"/>
            </w:tcBorders>
            <w:shd w:val="clear" w:color="auto" w:fill="auto"/>
            <w:noWrap/>
            <w:vAlign w:val="bottom"/>
            <w:hideMark/>
          </w:tcPr>
          <w:p w14:paraId="0757A063" w14:textId="6DD93983" w:rsidR="00D42C01" w:rsidRPr="006F0063" w:rsidRDefault="00725FBA" w:rsidP="00071755">
            <w:pPr>
              <w:keepNext/>
              <w:keepLines/>
              <w:jc w:val="right"/>
              <w:rPr>
                <w:rFonts w:cs="Calibri"/>
                <w:color w:val="000000"/>
                <w:highlight w:val="black"/>
              </w:rPr>
            </w:pPr>
            <w:r w:rsidRPr="006F0063">
              <w:rPr>
                <w:rFonts w:cs="Calibri"/>
                <w:color w:val="000000"/>
                <w:highlight w:val="black"/>
              </w:rPr>
              <w:t>**%</w:t>
            </w:r>
          </w:p>
        </w:tc>
        <w:tc>
          <w:tcPr>
            <w:tcW w:w="597" w:type="dxa"/>
            <w:tcBorders>
              <w:top w:val="nil"/>
              <w:left w:val="nil"/>
              <w:bottom w:val="nil"/>
              <w:right w:val="nil"/>
            </w:tcBorders>
            <w:shd w:val="clear" w:color="auto" w:fill="auto"/>
            <w:noWrap/>
            <w:vAlign w:val="bottom"/>
            <w:hideMark/>
          </w:tcPr>
          <w:p w14:paraId="47B0B3C8" w14:textId="0866A060" w:rsidR="00D42C01" w:rsidRPr="006F0063" w:rsidRDefault="00725FBA" w:rsidP="00071755">
            <w:pPr>
              <w:keepNext/>
              <w:keepLines/>
              <w:jc w:val="right"/>
              <w:rPr>
                <w:rFonts w:cs="Calibri"/>
                <w:color w:val="000000"/>
                <w:highlight w:val="black"/>
              </w:rPr>
            </w:pPr>
            <w:r w:rsidRPr="006F0063">
              <w:rPr>
                <w:rFonts w:cs="Calibri"/>
                <w:color w:val="000000"/>
                <w:highlight w:val="black"/>
              </w:rPr>
              <w:t>**%</w:t>
            </w:r>
          </w:p>
        </w:tc>
        <w:tc>
          <w:tcPr>
            <w:tcW w:w="632" w:type="dxa"/>
            <w:tcBorders>
              <w:top w:val="nil"/>
              <w:left w:val="nil"/>
              <w:bottom w:val="nil"/>
              <w:right w:val="nil"/>
            </w:tcBorders>
            <w:shd w:val="clear" w:color="auto" w:fill="auto"/>
            <w:noWrap/>
            <w:vAlign w:val="bottom"/>
            <w:hideMark/>
          </w:tcPr>
          <w:p w14:paraId="60EDD3E0" w14:textId="23B3E19E" w:rsidR="00D42C01" w:rsidRPr="006F0063" w:rsidRDefault="00725FBA" w:rsidP="00071755">
            <w:pPr>
              <w:keepNext/>
              <w:keepLines/>
              <w:jc w:val="right"/>
              <w:rPr>
                <w:rFonts w:cs="Calibri"/>
                <w:color w:val="000000"/>
                <w:highlight w:val="black"/>
              </w:rPr>
            </w:pPr>
            <w:r w:rsidRPr="006F0063">
              <w:rPr>
                <w:rFonts w:cs="Calibri"/>
                <w:color w:val="000000"/>
                <w:highlight w:val="black"/>
              </w:rPr>
              <w:t>**%</w:t>
            </w:r>
          </w:p>
        </w:tc>
        <w:tc>
          <w:tcPr>
            <w:tcW w:w="597" w:type="dxa"/>
            <w:tcBorders>
              <w:top w:val="nil"/>
              <w:left w:val="nil"/>
              <w:bottom w:val="nil"/>
              <w:right w:val="nil"/>
            </w:tcBorders>
            <w:shd w:val="clear" w:color="auto" w:fill="auto"/>
            <w:noWrap/>
            <w:vAlign w:val="bottom"/>
            <w:hideMark/>
          </w:tcPr>
          <w:p w14:paraId="1EE61883" w14:textId="77777777" w:rsidR="00D42C01" w:rsidRPr="00D42C01" w:rsidRDefault="00D42C01" w:rsidP="00071755">
            <w:pPr>
              <w:keepNext/>
              <w:keepLines/>
              <w:jc w:val="right"/>
              <w:rPr>
                <w:rFonts w:cs="Calibri"/>
                <w:color w:val="000000"/>
              </w:rPr>
            </w:pPr>
            <w:r w:rsidRPr="00D42C01">
              <w:rPr>
                <w:rFonts w:cs="Calibri"/>
                <w:color w:val="000000"/>
              </w:rPr>
              <w:t>40%</w:t>
            </w:r>
          </w:p>
        </w:tc>
        <w:tc>
          <w:tcPr>
            <w:tcW w:w="597" w:type="dxa"/>
            <w:tcBorders>
              <w:top w:val="nil"/>
              <w:left w:val="nil"/>
              <w:bottom w:val="nil"/>
              <w:right w:val="nil"/>
            </w:tcBorders>
            <w:shd w:val="clear" w:color="auto" w:fill="auto"/>
            <w:noWrap/>
            <w:vAlign w:val="bottom"/>
            <w:hideMark/>
          </w:tcPr>
          <w:p w14:paraId="7C470EC9" w14:textId="77777777" w:rsidR="00D42C01" w:rsidRPr="00D42C01" w:rsidRDefault="00D42C01" w:rsidP="00071755">
            <w:pPr>
              <w:keepNext/>
              <w:keepLines/>
              <w:jc w:val="right"/>
              <w:rPr>
                <w:rFonts w:cs="Calibri"/>
                <w:color w:val="000000"/>
              </w:rPr>
            </w:pPr>
            <w:r w:rsidRPr="00D42C01">
              <w:rPr>
                <w:rFonts w:cs="Calibri"/>
                <w:color w:val="000000"/>
              </w:rPr>
              <w:t>50%</w:t>
            </w:r>
          </w:p>
        </w:tc>
        <w:tc>
          <w:tcPr>
            <w:tcW w:w="723" w:type="dxa"/>
            <w:tcBorders>
              <w:top w:val="nil"/>
              <w:left w:val="nil"/>
              <w:bottom w:val="nil"/>
              <w:right w:val="single" w:sz="8" w:space="0" w:color="auto"/>
            </w:tcBorders>
            <w:shd w:val="clear" w:color="auto" w:fill="auto"/>
            <w:noWrap/>
            <w:vAlign w:val="bottom"/>
            <w:hideMark/>
          </w:tcPr>
          <w:p w14:paraId="4D0F33DF" w14:textId="77777777" w:rsidR="00D42C01" w:rsidRPr="00D42C01" w:rsidRDefault="00D42C01" w:rsidP="00071755">
            <w:pPr>
              <w:keepNext/>
              <w:keepLines/>
              <w:jc w:val="right"/>
              <w:rPr>
                <w:rFonts w:cs="Calibri"/>
                <w:color w:val="000000"/>
              </w:rPr>
            </w:pPr>
            <w:r w:rsidRPr="00D42C01">
              <w:rPr>
                <w:rFonts w:cs="Calibri"/>
                <w:color w:val="000000"/>
              </w:rPr>
              <w:t>75%</w:t>
            </w:r>
          </w:p>
        </w:tc>
      </w:tr>
      <w:tr w:rsidR="00CE6100" w:rsidRPr="00D42C01" w14:paraId="56AB6F1C" w14:textId="77777777" w:rsidTr="006F0063">
        <w:trPr>
          <w:trHeight w:val="600"/>
          <w:jc w:val="center"/>
        </w:trPr>
        <w:tc>
          <w:tcPr>
            <w:tcW w:w="1287" w:type="dxa"/>
            <w:tcBorders>
              <w:top w:val="nil"/>
              <w:left w:val="single" w:sz="8" w:space="0" w:color="auto"/>
              <w:bottom w:val="nil"/>
              <w:right w:val="nil"/>
            </w:tcBorders>
            <w:shd w:val="clear" w:color="auto" w:fill="auto"/>
            <w:noWrap/>
            <w:vAlign w:val="bottom"/>
            <w:hideMark/>
          </w:tcPr>
          <w:p w14:paraId="22A6D978" w14:textId="77777777" w:rsidR="00D42C01" w:rsidRPr="00D42C01" w:rsidRDefault="00D42C01" w:rsidP="00071755">
            <w:pPr>
              <w:keepNext/>
              <w:keepLines/>
              <w:jc w:val="left"/>
              <w:rPr>
                <w:rFonts w:cs="Calibri"/>
                <w:color w:val="000000"/>
              </w:rPr>
            </w:pPr>
            <w:r w:rsidRPr="00D42C01">
              <w:rPr>
                <w:rFonts w:cs="Calibri"/>
                <w:color w:val="000000"/>
              </w:rPr>
              <w:t>Industrial</w:t>
            </w:r>
          </w:p>
        </w:tc>
        <w:tc>
          <w:tcPr>
            <w:tcW w:w="1920" w:type="dxa"/>
            <w:tcBorders>
              <w:top w:val="nil"/>
              <w:left w:val="nil"/>
              <w:bottom w:val="nil"/>
              <w:right w:val="nil"/>
            </w:tcBorders>
            <w:shd w:val="clear" w:color="auto" w:fill="auto"/>
            <w:vAlign w:val="center"/>
            <w:hideMark/>
          </w:tcPr>
          <w:p w14:paraId="75F193F4" w14:textId="02F04FE6" w:rsidR="00D42C01" w:rsidRPr="006F0063" w:rsidRDefault="00725FBA" w:rsidP="00071755">
            <w:pPr>
              <w:keepNext/>
              <w:keepLines/>
              <w:jc w:val="left"/>
              <w:rPr>
                <w:rFonts w:cs="Calibri"/>
                <w:color w:val="000000"/>
                <w:highlight w:val="black"/>
              </w:rPr>
            </w:pPr>
            <w:r w:rsidRPr="006F0063">
              <w:rPr>
                <w:rFonts w:cs="Calibri"/>
                <w:color w:val="000000"/>
                <w:highlight w:val="black"/>
              </w:rPr>
              <w:t>*******</w:t>
            </w:r>
          </w:p>
        </w:tc>
        <w:tc>
          <w:tcPr>
            <w:tcW w:w="680" w:type="dxa"/>
            <w:tcBorders>
              <w:top w:val="nil"/>
              <w:left w:val="nil"/>
              <w:bottom w:val="nil"/>
              <w:right w:val="nil"/>
            </w:tcBorders>
            <w:shd w:val="clear" w:color="auto" w:fill="auto"/>
            <w:noWrap/>
            <w:vAlign w:val="bottom"/>
            <w:hideMark/>
          </w:tcPr>
          <w:p w14:paraId="4FC5DCCB" w14:textId="276ED861" w:rsidR="00D42C01" w:rsidRPr="006F0063" w:rsidRDefault="00725FBA" w:rsidP="00071755">
            <w:pPr>
              <w:keepNext/>
              <w:keepLines/>
              <w:jc w:val="center"/>
              <w:rPr>
                <w:rFonts w:cs="Calibri"/>
                <w:color w:val="000000"/>
                <w:highlight w:val="black"/>
              </w:rPr>
            </w:pPr>
            <w:r w:rsidRPr="006F0063">
              <w:rPr>
                <w:rFonts w:cs="Calibri"/>
                <w:color w:val="000000"/>
                <w:highlight w:val="black"/>
              </w:rPr>
              <w:t>**%</w:t>
            </w:r>
          </w:p>
        </w:tc>
        <w:tc>
          <w:tcPr>
            <w:tcW w:w="680" w:type="dxa"/>
            <w:tcBorders>
              <w:top w:val="nil"/>
              <w:left w:val="nil"/>
              <w:bottom w:val="nil"/>
              <w:right w:val="nil"/>
            </w:tcBorders>
            <w:shd w:val="clear" w:color="auto" w:fill="auto"/>
            <w:noWrap/>
            <w:vAlign w:val="bottom"/>
            <w:hideMark/>
          </w:tcPr>
          <w:p w14:paraId="74B439F9" w14:textId="19C732AA" w:rsidR="00D42C01" w:rsidRPr="006F0063" w:rsidRDefault="00725FBA" w:rsidP="00071755">
            <w:pPr>
              <w:keepNext/>
              <w:keepLines/>
              <w:jc w:val="center"/>
              <w:rPr>
                <w:rFonts w:cs="Calibri"/>
                <w:color w:val="000000"/>
                <w:highlight w:val="black"/>
              </w:rPr>
            </w:pPr>
            <w:r w:rsidRPr="006F0063">
              <w:rPr>
                <w:rFonts w:cs="Calibri"/>
                <w:color w:val="000000"/>
                <w:highlight w:val="black"/>
              </w:rPr>
              <w:t>**%</w:t>
            </w:r>
          </w:p>
        </w:tc>
        <w:tc>
          <w:tcPr>
            <w:tcW w:w="680" w:type="dxa"/>
            <w:tcBorders>
              <w:top w:val="nil"/>
              <w:left w:val="nil"/>
              <w:bottom w:val="nil"/>
              <w:right w:val="nil"/>
            </w:tcBorders>
            <w:shd w:val="clear" w:color="auto" w:fill="auto"/>
            <w:noWrap/>
            <w:vAlign w:val="bottom"/>
            <w:hideMark/>
          </w:tcPr>
          <w:p w14:paraId="41210AAE" w14:textId="09EACBBE" w:rsidR="00D42C01" w:rsidRPr="006F0063" w:rsidRDefault="00725FBA" w:rsidP="00071755">
            <w:pPr>
              <w:keepNext/>
              <w:keepLines/>
              <w:jc w:val="center"/>
              <w:rPr>
                <w:rFonts w:cs="Calibri"/>
                <w:color w:val="000000"/>
                <w:highlight w:val="black"/>
              </w:rPr>
            </w:pPr>
            <w:r w:rsidRPr="006F0063">
              <w:rPr>
                <w:rFonts w:cs="Calibri"/>
                <w:color w:val="000000"/>
                <w:highlight w:val="black"/>
              </w:rPr>
              <w:t>**%</w:t>
            </w:r>
          </w:p>
        </w:tc>
        <w:tc>
          <w:tcPr>
            <w:tcW w:w="597" w:type="dxa"/>
            <w:tcBorders>
              <w:top w:val="nil"/>
              <w:left w:val="nil"/>
              <w:bottom w:val="nil"/>
              <w:right w:val="nil"/>
            </w:tcBorders>
            <w:shd w:val="clear" w:color="auto" w:fill="auto"/>
            <w:noWrap/>
            <w:vAlign w:val="bottom"/>
            <w:hideMark/>
          </w:tcPr>
          <w:p w14:paraId="2BA38D8E" w14:textId="462A2758" w:rsidR="00D42C01" w:rsidRPr="006F0063" w:rsidRDefault="00725FBA" w:rsidP="00071755">
            <w:pPr>
              <w:keepNext/>
              <w:keepLines/>
              <w:jc w:val="right"/>
              <w:rPr>
                <w:rFonts w:cs="Calibri"/>
                <w:color w:val="000000"/>
                <w:highlight w:val="black"/>
              </w:rPr>
            </w:pPr>
            <w:r w:rsidRPr="006F0063">
              <w:rPr>
                <w:rFonts w:cs="Calibri"/>
                <w:color w:val="000000"/>
                <w:highlight w:val="black"/>
              </w:rPr>
              <w:t>**%</w:t>
            </w:r>
          </w:p>
        </w:tc>
        <w:tc>
          <w:tcPr>
            <w:tcW w:w="597" w:type="dxa"/>
            <w:tcBorders>
              <w:top w:val="nil"/>
              <w:left w:val="nil"/>
              <w:bottom w:val="nil"/>
              <w:right w:val="nil"/>
            </w:tcBorders>
            <w:shd w:val="clear" w:color="auto" w:fill="auto"/>
            <w:noWrap/>
            <w:vAlign w:val="bottom"/>
            <w:hideMark/>
          </w:tcPr>
          <w:p w14:paraId="3C7A39FB" w14:textId="3EB4CD98" w:rsidR="00D42C01" w:rsidRPr="006F0063" w:rsidRDefault="00725FBA" w:rsidP="00071755">
            <w:pPr>
              <w:keepNext/>
              <w:keepLines/>
              <w:jc w:val="right"/>
              <w:rPr>
                <w:rFonts w:cs="Calibri"/>
                <w:color w:val="000000"/>
                <w:highlight w:val="black"/>
              </w:rPr>
            </w:pPr>
            <w:r w:rsidRPr="006F0063">
              <w:rPr>
                <w:rFonts w:cs="Calibri"/>
                <w:color w:val="000000"/>
                <w:highlight w:val="black"/>
              </w:rPr>
              <w:t>**%</w:t>
            </w:r>
          </w:p>
        </w:tc>
        <w:tc>
          <w:tcPr>
            <w:tcW w:w="632" w:type="dxa"/>
            <w:tcBorders>
              <w:top w:val="nil"/>
              <w:left w:val="nil"/>
              <w:bottom w:val="nil"/>
              <w:right w:val="nil"/>
            </w:tcBorders>
            <w:shd w:val="clear" w:color="auto" w:fill="auto"/>
            <w:noWrap/>
            <w:vAlign w:val="bottom"/>
            <w:hideMark/>
          </w:tcPr>
          <w:p w14:paraId="380F3145" w14:textId="73CDB319" w:rsidR="00D42C01" w:rsidRPr="006F0063" w:rsidRDefault="00725FBA" w:rsidP="00071755">
            <w:pPr>
              <w:keepNext/>
              <w:keepLines/>
              <w:jc w:val="right"/>
              <w:rPr>
                <w:rFonts w:cs="Calibri"/>
                <w:color w:val="000000"/>
                <w:highlight w:val="black"/>
              </w:rPr>
            </w:pPr>
            <w:r w:rsidRPr="006F0063">
              <w:rPr>
                <w:rFonts w:cs="Calibri"/>
                <w:color w:val="000000"/>
                <w:highlight w:val="black"/>
              </w:rPr>
              <w:t>**%</w:t>
            </w:r>
          </w:p>
        </w:tc>
        <w:tc>
          <w:tcPr>
            <w:tcW w:w="597" w:type="dxa"/>
            <w:tcBorders>
              <w:top w:val="nil"/>
              <w:left w:val="nil"/>
              <w:bottom w:val="nil"/>
              <w:right w:val="nil"/>
            </w:tcBorders>
            <w:shd w:val="clear" w:color="auto" w:fill="auto"/>
            <w:noWrap/>
            <w:vAlign w:val="bottom"/>
            <w:hideMark/>
          </w:tcPr>
          <w:p w14:paraId="39E1EACD" w14:textId="77777777" w:rsidR="00D42C01" w:rsidRPr="00D42C01" w:rsidRDefault="00D42C01" w:rsidP="00071755">
            <w:pPr>
              <w:keepNext/>
              <w:keepLines/>
              <w:jc w:val="right"/>
              <w:rPr>
                <w:rFonts w:cs="Calibri"/>
                <w:color w:val="000000"/>
              </w:rPr>
            </w:pPr>
            <w:r w:rsidRPr="00D42C01">
              <w:rPr>
                <w:rFonts w:cs="Calibri"/>
                <w:color w:val="000000"/>
              </w:rPr>
              <w:t>40%</w:t>
            </w:r>
          </w:p>
        </w:tc>
        <w:tc>
          <w:tcPr>
            <w:tcW w:w="597" w:type="dxa"/>
            <w:tcBorders>
              <w:top w:val="nil"/>
              <w:left w:val="nil"/>
              <w:bottom w:val="nil"/>
              <w:right w:val="nil"/>
            </w:tcBorders>
            <w:shd w:val="clear" w:color="auto" w:fill="auto"/>
            <w:noWrap/>
            <w:vAlign w:val="bottom"/>
            <w:hideMark/>
          </w:tcPr>
          <w:p w14:paraId="2AF97FEF" w14:textId="77777777" w:rsidR="00D42C01" w:rsidRPr="00D42C01" w:rsidRDefault="00D42C01" w:rsidP="00071755">
            <w:pPr>
              <w:keepNext/>
              <w:keepLines/>
              <w:jc w:val="right"/>
              <w:rPr>
                <w:rFonts w:cs="Calibri"/>
                <w:color w:val="000000"/>
              </w:rPr>
            </w:pPr>
            <w:r w:rsidRPr="00D42C01">
              <w:rPr>
                <w:rFonts w:cs="Calibri"/>
                <w:color w:val="000000"/>
              </w:rPr>
              <w:t>50%</w:t>
            </w:r>
          </w:p>
        </w:tc>
        <w:tc>
          <w:tcPr>
            <w:tcW w:w="723" w:type="dxa"/>
            <w:tcBorders>
              <w:top w:val="nil"/>
              <w:left w:val="nil"/>
              <w:bottom w:val="nil"/>
              <w:right w:val="single" w:sz="8" w:space="0" w:color="auto"/>
            </w:tcBorders>
            <w:shd w:val="clear" w:color="auto" w:fill="auto"/>
            <w:noWrap/>
            <w:vAlign w:val="bottom"/>
            <w:hideMark/>
          </w:tcPr>
          <w:p w14:paraId="40ADB5E9" w14:textId="77777777" w:rsidR="00D42C01" w:rsidRPr="00D42C01" w:rsidRDefault="00D42C01" w:rsidP="00071755">
            <w:pPr>
              <w:keepNext/>
              <w:keepLines/>
              <w:jc w:val="right"/>
              <w:rPr>
                <w:rFonts w:cs="Calibri"/>
                <w:color w:val="000000"/>
              </w:rPr>
            </w:pPr>
            <w:r w:rsidRPr="00D42C01">
              <w:rPr>
                <w:rFonts w:cs="Calibri"/>
                <w:color w:val="000000"/>
              </w:rPr>
              <w:t>75%</w:t>
            </w:r>
          </w:p>
        </w:tc>
      </w:tr>
      <w:tr w:rsidR="00CE6100" w:rsidRPr="00D42C01" w14:paraId="62A24A68" w14:textId="77777777" w:rsidTr="006F0063">
        <w:trPr>
          <w:trHeight w:val="300"/>
          <w:jc w:val="center"/>
        </w:trPr>
        <w:tc>
          <w:tcPr>
            <w:tcW w:w="1287" w:type="dxa"/>
            <w:tcBorders>
              <w:top w:val="nil"/>
              <w:left w:val="single" w:sz="8" w:space="0" w:color="auto"/>
              <w:bottom w:val="nil"/>
              <w:right w:val="nil"/>
            </w:tcBorders>
            <w:shd w:val="clear" w:color="auto" w:fill="auto"/>
            <w:noWrap/>
            <w:vAlign w:val="bottom"/>
            <w:hideMark/>
          </w:tcPr>
          <w:p w14:paraId="25C66A03" w14:textId="77777777" w:rsidR="00D42C01" w:rsidRPr="00D42C01" w:rsidRDefault="00D42C01" w:rsidP="00071755">
            <w:pPr>
              <w:keepNext/>
              <w:keepLines/>
              <w:jc w:val="left"/>
              <w:rPr>
                <w:rFonts w:cs="Calibri"/>
                <w:color w:val="000000"/>
              </w:rPr>
            </w:pPr>
            <w:r w:rsidRPr="00D42C01">
              <w:rPr>
                <w:rFonts w:cs="Calibri"/>
                <w:color w:val="000000"/>
              </w:rPr>
              <w:t>Industrial</w:t>
            </w:r>
          </w:p>
        </w:tc>
        <w:tc>
          <w:tcPr>
            <w:tcW w:w="1920" w:type="dxa"/>
            <w:tcBorders>
              <w:top w:val="nil"/>
              <w:left w:val="nil"/>
              <w:bottom w:val="nil"/>
              <w:right w:val="nil"/>
            </w:tcBorders>
            <w:shd w:val="clear" w:color="auto" w:fill="auto"/>
            <w:vAlign w:val="center"/>
            <w:hideMark/>
          </w:tcPr>
          <w:p w14:paraId="47DDBFA5" w14:textId="3E60F79E" w:rsidR="00D42C01" w:rsidRPr="006F0063" w:rsidRDefault="00725FBA" w:rsidP="00071755">
            <w:pPr>
              <w:keepNext/>
              <w:keepLines/>
              <w:jc w:val="left"/>
              <w:rPr>
                <w:rFonts w:cs="Calibri"/>
                <w:highlight w:val="black"/>
              </w:rPr>
            </w:pPr>
            <w:r w:rsidRPr="006F0063">
              <w:rPr>
                <w:rFonts w:cs="Calibri"/>
                <w:color w:val="000000"/>
                <w:highlight w:val="black"/>
              </w:rPr>
              <w:t>*******</w:t>
            </w:r>
          </w:p>
        </w:tc>
        <w:tc>
          <w:tcPr>
            <w:tcW w:w="680" w:type="dxa"/>
            <w:tcBorders>
              <w:top w:val="nil"/>
              <w:left w:val="nil"/>
              <w:bottom w:val="nil"/>
              <w:right w:val="nil"/>
            </w:tcBorders>
            <w:shd w:val="clear" w:color="auto" w:fill="auto"/>
            <w:noWrap/>
            <w:vAlign w:val="bottom"/>
            <w:hideMark/>
          </w:tcPr>
          <w:p w14:paraId="210DEC84" w14:textId="4C224DCC" w:rsidR="00D42C01" w:rsidRPr="006F0063" w:rsidRDefault="00725FBA" w:rsidP="00071755">
            <w:pPr>
              <w:keepNext/>
              <w:keepLines/>
              <w:jc w:val="center"/>
              <w:rPr>
                <w:rFonts w:cs="Calibri"/>
                <w:color w:val="000000"/>
                <w:highlight w:val="black"/>
              </w:rPr>
            </w:pPr>
            <w:r w:rsidRPr="006F0063">
              <w:rPr>
                <w:rFonts w:cs="Calibri"/>
                <w:color w:val="000000"/>
                <w:highlight w:val="black"/>
              </w:rPr>
              <w:t>**%</w:t>
            </w:r>
          </w:p>
        </w:tc>
        <w:tc>
          <w:tcPr>
            <w:tcW w:w="680" w:type="dxa"/>
            <w:tcBorders>
              <w:top w:val="nil"/>
              <w:left w:val="nil"/>
              <w:bottom w:val="nil"/>
              <w:right w:val="nil"/>
            </w:tcBorders>
            <w:shd w:val="clear" w:color="auto" w:fill="auto"/>
            <w:noWrap/>
            <w:vAlign w:val="bottom"/>
            <w:hideMark/>
          </w:tcPr>
          <w:p w14:paraId="2E375A0C" w14:textId="5FD04B39" w:rsidR="00D42C01" w:rsidRPr="006F0063" w:rsidRDefault="00725FBA" w:rsidP="00071755">
            <w:pPr>
              <w:keepNext/>
              <w:keepLines/>
              <w:jc w:val="center"/>
              <w:rPr>
                <w:rFonts w:cs="Calibri"/>
                <w:color w:val="000000"/>
                <w:highlight w:val="black"/>
              </w:rPr>
            </w:pPr>
            <w:r w:rsidRPr="006F0063">
              <w:rPr>
                <w:rFonts w:cs="Calibri"/>
                <w:color w:val="000000"/>
                <w:highlight w:val="black"/>
              </w:rPr>
              <w:t>**%</w:t>
            </w:r>
          </w:p>
        </w:tc>
        <w:tc>
          <w:tcPr>
            <w:tcW w:w="680" w:type="dxa"/>
            <w:tcBorders>
              <w:top w:val="nil"/>
              <w:left w:val="nil"/>
              <w:bottom w:val="nil"/>
              <w:right w:val="nil"/>
            </w:tcBorders>
            <w:shd w:val="clear" w:color="auto" w:fill="auto"/>
            <w:noWrap/>
            <w:vAlign w:val="bottom"/>
            <w:hideMark/>
          </w:tcPr>
          <w:p w14:paraId="1C864CE3" w14:textId="3DC11AA1" w:rsidR="00D42C01" w:rsidRPr="006F0063" w:rsidRDefault="00725FBA" w:rsidP="00071755">
            <w:pPr>
              <w:keepNext/>
              <w:keepLines/>
              <w:jc w:val="center"/>
              <w:rPr>
                <w:rFonts w:cs="Calibri"/>
                <w:color w:val="000000"/>
                <w:highlight w:val="black"/>
              </w:rPr>
            </w:pPr>
            <w:r w:rsidRPr="006F0063">
              <w:rPr>
                <w:rFonts w:cs="Calibri"/>
                <w:color w:val="000000"/>
                <w:highlight w:val="black"/>
              </w:rPr>
              <w:t>**%</w:t>
            </w:r>
          </w:p>
        </w:tc>
        <w:tc>
          <w:tcPr>
            <w:tcW w:w="597" w:type="dxa"/>
            <w:tcBorders>
              <w:top w:val="nil"/>
              <w:left w:val="nil"/>
              <w:bottom w:val="nil"/>
              <w:right w:val="nil"/>
            </w:tcBorders>
            <w:shd w:val="clear" w:color="auto" w:fill="auto"/>
            <w:noWrap/>
            <w:vAlign w:val="bottom"/>
            <w:hideMark/>
          </w:tcPr>
          <w:p w14:paraId="674061BA" w14:textId="3C887AAA" w:rsidR="00D42C01" w:rsidRPr="006F0063" w:rsidRDefault="00725FBA" w:rsidP="00071755">
            <w:pPr>
              <w:keepNext/>
              <w:keepLines/>
              <w:jc w:val="right"/>
              <w:rPr>
                <w:rFonts w:cs="Calibri"/>
                <w:color w:val="000000"/>
                <w:highlight w:val="black"/>
              </w:rPr>
            </w:pPr>
            <w:r w:rsidRPr="006F0063">
              <w:rPr>
                <w:rFonts w:cs="Calibri"/>
                <w:color w:val="000000"/>
                <w:highlight w:val="black"/>
              </w:rPr>
              <w:t>**%</w:t>
            </w:r>
          </w:p>
        </w:tc>
        <w:tc>
          <w:tcPr>
            <w:tcW w:w="597" w:type="dxa"/>
            <w:tcBorders>
              <w:top w:val="nil"/>
              <w:left w:val="nil"/>
              <w:bottom w:val="nil"/>
              <w:right w:val="nil"/>
            </w:tcBorders>
            <w:shd w:val="clear" w:color="auto" w:fill="auto"/>
            <w:noWrap/>
            <w:vAlign w:val="bottom"/>
            <w:hideMark/>
          </w:tcPr>
          <w:p w14:paraId="2BF1FE6E" w14:textId="72B0142E" w:rsidR="00D42C01" w:rsidRPr="006F0063" w:rsidRDefault="00725FBA" w:rsidP="00071755">
            <w:pPr>
              <w:keepNext/>
              <w:keepLines/>
              <w:jc w:val="right"/>
              <w:rPr>
                <w:rFonts w:cs="Calibri"/>
                <w:color w:val="000000"/>
                <w:highlight w:val="black"/>
              </w:rPr>
            </w:pPr>
            <w:r w:rsidRPr="006F0063">
              <w:rPr>
                <w:rFonts w:cs="Calibri"/>
                <w:color w:val="000000"/>
                <w:highlight w:val="black"/>
              </w:rPr>
              <w:t>**%</w:t>
            </w:r>
          </w:p>
        </w:tc>
        <w:tc>
          <w:tcPr>
            <w:tcW w:w="632" w:type="dxa"/>
            <w:tcBorders>
              <w:top w:val="nil"/>
              <w:left w:val="nil"/>
              <w:bottom w:val="nil"/>
              <w:right w:val="nil"/>
            </w:tcBorders>
            <w:shd w:val="clear" w:color="auto" w:fill="auto"/>
            <w:noWrap/>
            <w:vAlign w:val="bottom"/>
            <w:hideMark/>
          </w:tcPr>
          <w:p w14:paraId="7DBA7DFA" w14:textId="6B657C62" w:rsidR="00D42C01" w:rsidRPr="006F0063" w:rsidRDefault="00725FBA" w:rsidP="00071755">
            <w:pPr>
              <w:keepNext/>
              <w:keepLines/>
              <w:jc w:val="right"/>
              <w:rPr>
                <w:rFonts w:cs="Calibri"/>
                <w:color w:val="000000"/>
                <w:highlight w:val="black"/>
              </w:rPr>
            </w:pPr>
            <w:r w:rsidRPr="006F0063">
              <w:rPr>
                <w:rFonts w:cs="Calibri"/>
                <w:color w:val="000000"/>
                <w:highlight w:val="black"/>
              </w:rPr>
              <w:t>**%</w:t>
            </w:r>
          </w:p>
        </w:tc>
        <w:tc>
          <w:tcPr>
            <w:tcW w:w="597" w:type="dxa"/>
            <w:tcBorders>
              <w:top w:val="nil"/>
              <w:left w:val="nil"/>
              <w:bottom w:val="nil"/>
              <w:right w:val="nil"/>
            </w:tcBorders>
            <w:shd w:val="clear" w:color="auto" w:fill="auto"/>
            <w:noWrap/>
            <w:vAlign w:val="bottom"/>
            <w:hideMark/>
          </w:tcPr>
          <w:p w14:paraId="767FCC9D" w14:textId="77777777" w:rsidR="00D42C01" w:rsidRPr="00D42C01" w:rsidRDefault="00D42C01" w:rsidP="00071755">
            <w:pPr>
              <w:keepNext/>
              <w:keepLines/>
              <w:jc w:val="right"/>
              <w:rPr>
                <w:rFonts w:cs="Calibri"/>
                <w:color w:val="000000"/>
              </w:rPr>
            </w:pPr>
            <w:r w:rsidRPr="00D42C01">
              <w:rPr>
                <w:rFonts w:cs="Calibri"/>
                <w:color w:val="000000"/>
              </w:rPr>
              <w:t>40%</w:t>
            </w:r>
          </w:p>
        </w:tc>
        <w:tc>
          <w:tcPr>
            <w:tcW w:w="597" w:type="dxa"/>
            <w:tcBorders>
              <w:top w:val="nil"/>
              <w:left w:val="nil"/>
              <w:bottom w:val="nil"/>
              <w:right w:val="nil"/>
            </w:tcBorders>
            <w:shd w:val="clear" w:color="auto" w:fill="auto"/>
            <w:noWrap/>
            <w:vAlign w:val="bottom"/>
            <w:hideMark/>
          </w:tcPr>
          <w:p w14:paraId="1FD99959" w14:textId="77777777" w:rsidR="00D42C01" w:rsidRPr="00D42C01" w:rsidRDefault="00D42C01" w:rsidP="00071755">
            <w:pPr>
              <w:keepNext/>
              <w:keepLines/>
              <w:jc w:val="right"/>
              <w:rPr>
                <w:rFonts w:cs="Calibri"/>
                <w:color w:val="000000"/>
              </w:rPr>
            </w:pPr>
            <w:r w:rsidRPr="00D42C01">
              <w:rPr>
                <w:rFonts w:cs="Calibri"/>
                <w:color w:val="000000"/>
              </w:rPr>
              <w:t>50%</w:t>
            </w:r>
          </w:p>
        </w:tc>
        <w:tc>
          <w:tcPr>
            <w:tcW w:w="723" w:type="dxa"/>
            <w:tcBorders>
              <w:top w:val="nil"/>
              <w:left w:val="nil"/>
              <w:bottom w:val="nil"/>
              <w:right w:val="single" w:sz="8" w:space="0" w:color="auto"/>
            </w:tcBorders>
            <w:shd w:val="clear" w:color="auto" w:fill="auto"/>
            <w:noWrap/>
            <w:vAlign w:val="bottom"/>
            <w:hideMark/>
          </w:tcPr>
          <w:p w14:paraId="79DCBDFA" w14:textId="77777777" w:rsidR="00D42C01" w:rsidRPr="00D42C01" w:rsidRDefault="00D42C01" w:rsidP="00071755">
            <w:pPr>
              <w:keepNext/>
              <w:keepLines/>
              <w:jc w:val="right"/>
              <w:rPr>
                <w:rFonts w:cs="Calibri"/>
                <w:color w:val="000000"/>
              </w:rPr>
            </w:pPr>
            <w:r w:rsidRPr="00D42C01">
              <w:rPr>
                <w:rFonts w:cs="Calibri"/>
                <w:color w:val="000000"/>
              </w:rPr>
              <w:t>75%</w:t>
            </w:r>
          </w:p>
        </w:tc>
      </w:tr>
      <w:tr w:rsidR="00CE6100" w:rsidRPr="00D42C01" w14:paraId="79C80707" w14:textId="77777777" w:rsidTr="006F0063">
        <w:trPr>
          <w:trHeight w:val="300"/>
          <w:jc w:val="center"/>
        </w:trPr>
        <w:tc>
          <w:tcPr>
            <w:tcW w:w="1287" w:type="dxa"/>
            <w:tcBorders>
              <w:top w:val="nil"/>
              <w:left w:val="single" w:sz="8" w:space="0" w:color="auto"/>
              <w:bottom w:val="nil"/>
              <w:right w:val="nil"/>
            </w:tcBorders>
            <w:shd w:val="clear" w:color="auto" w:fill="auto"/>
            <w:noWrap/>
            <w:vAlign w:val="bottom"/>
            <w:hideMark/>
          </w:tcPr>
          <w:p w14:paraId="1F292312" w14:textId="77777777" w:rsidR="00D42C01" w:rsidRPr="00D42C01" w:rsidRDefault="00D42C01" w:rsidP="00071755">
            <w:pPr>
              <w:keepNext/>
              <w:keepLines/>
              <w:jc w:val="left"/>
              <w:rPr>
                <w:rFonts w:cs="Calibri"/>
                <w:color w:val="000000"/>
              </w:rPr>
            </w:pPr>
            <w:r w:rsidRPr="00D42C01">
              <w:rPr>
                <w:rFonts w:cs="Calibri"/>
                <w:color w:val="000000"/>
              </w:rPr>
              <w:t>Industrial</w:t>
            </w:r>
          </w:p>
        </w:tc>
        <w:tc>
          <w:tcPr>
            <w:tcW w:w="1920" w:type="dxa"/>
            <w:tcBorders>
              <w:top w:val="nil"/>
              <w:left w:val="nil"/>
              <w:bottom w:val="nil"/>
              <w:right w:val="nil"/>
            </w:tcBorders>
            <w:shd w:val="clear" w:color="auto" w:fill="auto"/>
            <w:vAlign w:val="center"/>
            <w:hideMark/>
          </w:tcPr>
          <w:p w14:paraId="083321BD" w14:textId="293AFD2F" w:rsidR="00D42C01" w:rsidRPr="006F0063" w:rsidRDefault="00725FBA" w:rsidP="00071755">
            <w:pPr>
              <w:keepNext/>
              <w:keepLines/>
              <w:jc w:val="left"/>
              <w:rPr>
                <w:rFonts w:cs="Calibri"/>
                <w:color w:val="000000"/>
                <w:highlight w:val="black"/>
              </w:rPr>
            </w:pPr>
            <w:r w:rsidRPr="006F0063">
              <w:rPr>
                <w:rFonts w:cs="Calibri"/>
                <w:color w:val="000000"/>
                <w:highlight w:val="black"/>
              </w:rPr>
              <w:t>*******</w:t>
            </w:r>
          </w:p>
        </w:tc>
        <w:tc>
          <w:tcPr>
            <w:tcW w:w="680" w:type="dxa"/>
            <w:tcBorders>
              <w:top w:val="nil"/>
              <w:left w:val="nil"/>
              <w:bottom w:val="nil"/>
              <w:right w:val="nil"/>
            </w:tcBorders>
            <w:shd w:val="clear" w:color="auto" w:fill="auto"/>
            <w:noWrap/>
            <w:vAlign w:val="bottom"/>
            <w:hideMark/>
          </w:tcPr>
          <w:p w14:paraId="2CA20BFB" w14:textId="466E6BB7" w:rsidR="00D42C01" w:rsidRPr="006F0063" w:rsidRDefault="00725FBA" w:rsidP="00071755">
            <w:pPr>
              <w:keepNext/>
              <w:keepLines/>
              <w:jc w:val="center"/>
              <w:rPr>
                <w:rFonts w:cs="Calibri"/>
                <w:color w:val="000000"/>
                <w:highlight w:val="black"/>
              </w:rPr>
            </w:pPr>
            <w:r w:rsidRPr="006F0063">
              <w:rPr>
                <w:rFonts w:cs="Calibri"/>
                <w:color w:val="000000"/>
                <w:highlight w:val="black"/>
              </w:rPr>
              <w:t>**%</w:t>
            </w:r>
          </w:p>
        </w:tc>
        <w:tc>
          <w:tcPr>
            <w:tcW w:w="680" w:type="dxa"/>
            <w:tcBorders>
              <w:top w:val="nil"/>
              <w:left w:val="nil"/>
              <w:bottom w:val="nil"/>
              <w:right w:val="nil"/>
            </w:tcBorders>
            <w:shd w:val="clear" w:color="auto" w:fill="auto"/>
            <w:noWrap/>
            <w:vAlign w:val="bottom"/>
            <w:hideMark/>
          </w:tcPr>
          <w:p w14:paraId="5FB25820" w14:textId="6EF1C2E6" w:rsidR="00D42C01" w:rsidRPr="006F0063" w:rsidRDefault="00725FBA" w:rsidP="00071755">
            <w:pPr>
              <w:keepNext/>
              <w:keepLines/>
              <w:jc w:val="center"/>
              <w:rPr>
                <w:rFonts w:cs="Calibri"/>
                <w:color w:val="000000"/>
                <w:highlight w:val="black"/>
              </w:rPr>
            </w:pPr>
            <w:r w:rsidRPr="006F0063">
              <w:rPr>
                <w:rFonts w:cs="Calibri"/>
                <w:color w:val="000000"/>
                <w:highlight w:val="black"/>
              </w:rPr>
              <w:t>**%</w:t>
            </w:r>
          </w:p>
        </w:tc>
        <w:tc>
          <w:tcPr>
            <w:tcW w:w="680" w:type="dxa"/>
            <w:tcBorders>
              <w:top w:val="nil"/>
              <w:left w:val="nil"/>
              <w:bottom w:val="nil"/>
              <w:right w:val="nil"/>
            </w:tcBorders>
            <w:shd w:val="clear" w:color="auto" w:fill="auto"/>
            <w:noWrap/>
            <w:vAlign w:val="bottom"/>
            <w:hideMark/>
          </w:tcPr>
          <w:p w14:paraId="57EBA974" w14:textId="7CB82275" w:rsidR="00D42C01" w:rsidRPr="006F0063" w:rsidRDefault="00725FBA" w:rsidP="00071755">
            <w:pPr>
              <w:keepNext/>
              <w:keepLines/>
              <w:jc w:val="center"/>
              <w:rPr>
                <w:rFonts w:cs="Calibri"/>
                <w:color w:val="000000"/>
                <w:highlight w:val="black"/>
              </w:rPr>
            </w:pPr>
            <w:r w:rsidRPr="006F0063">
              <w:rPr>
                <w:rFonts w:cs="Calibri"/>
                <w:color w:val="000000"/>
                <w:highlight w:val="black"/>
              </w:rPr>
              <w:t>**%</w:t>
            </w:r>
          </w:p>
        </w:tc>
        <w:tc>
          <w:tcPr>
            <w:tcW w:w="597" w:type="dxa"/>
            <w:tcBorders>
              <w:top w:val="nil"/>
              <w:left w:val="nil"/>
              <w:bottom w:val="nil"/>
              <w:right w:val="nil"/>
            </w:tcBorders>
            <w:shd w:val="clear" w:color="auto" w:fill="auto"/>
            <w:noWrap/>
            <w:vAlign w:val="bottom"/>
            <w:hideMark/>
          </w:tcPr>
          <w:p w14:paraId="06D09B37" w14:textId="597005C7" w:rsidR="00D42C01" w:rsidRPr="006F0063" w:rsidRDefault="00725FBA" w:rsidP="00071755">
            <w:pPr>
              <w:keepNext/>
              <w:keepLines/>
              <w:jc w:val="right"/>
              <w:rPr>
                <w:rFonts w:cs="Calibri"/>
                <w:color w:val="000000"/>
                <w:highlight w:val="black"/>
              </w:rPr>
            </w:pPr>
            <w:r w:rsidRPr="006F0063">
              <w:rPr>
                <w:rFonts w:cs="Calibri"/>
                <w:color w:val="000000"/>
                <w:highlight w:val="black"/>
              </w:rPr>
              <w:t>**%</w:t>
            </w:r>
          </w:p>
        </w:tc>
        <w:tc>
          <w:tcPr>
            <w:tcW w:w="597" w:type="dxa"/>
            <w:tcBorders>
              <w:top w:val="nil"/>
              <w:left w:val="nil"/>
              <w:bottom w:val="nil"/>
              <w:right w:val="nil"/>
            </w:tcBorders>
            <w:shd w:val="clear" w:color="auto" w:fill="auto"/>
            <w:noWrap/>
            <w:vAlign w:val="bottom"/>
            <w:hideMark/>
          </w:tcPr>
          <w:p w14:paraId="0BDF38D1" w14:textId="3325CB97" w:rsidR="00D42C01" w:rsidRPr="006F0063" w:rsidRDefault="00725FBA" w:rsidP="00071755">
            <w:pPr>
              <w:keepNext/>
              <w:keepLines/>
              <w:jc w:val="right"/>
              <w:rPr>
                <w:rFonts w:cs="Calibri"/>
                <w:color w:val="000000"/>
                <w:highlight w:val="black"/>
              </w:rPr>
            </w:pPr>
            <w:r w:rsidRPr="006F0063">
              <w:rPr>
                <w:rFonts w:cs="Calibri"/>
                <w:color w:val="000000"/>
                <w:highlight w:val="black"/>
              </w:rPr>
              <w:t>**%</w:t>
            </w:r>
          </w:p>
        </w:tc>
        <w:tc>
          <w:tcPr>
            <w:tcW w:w="632" w:type="dxa"/>
            <w:tcBorders>
              <w:top w:val="nil"/>
              <w:left w:val="nil"/>
              <w:bottom w:val="nil"/>
              <w:right w:val="nil"/>
            </w:tcBorders>
            <w:shd w:val="clear" w:color="auto" w:fill="auto"/>
            <w:noWrap/>
            <w:vAlign w:val="bottom"/>
            <w:hideMark/>
          </w:tcPr>
          <w:p w14:paraId="0D93675F" w14:textId="5B318714" w:rsidR="00D42C01" w:rsidRPr="006F0063" w:rsidRDefault="00725FBA" w:rsidP="00071755">
            <w:pPr>
              <w:keepNext/>
              <w:keepLines/>
              <w:jc w:val="right"/>
              <w:rPr>
                <w:rFonts w:cs="Calibri"/>
                <w:color w:val="000000"/>
                <w:highlight w:val="black"/>
              </w:rPr>
            </w:pPr>
            <w:r w:rsidRPr="006F0063">
              <w:rPr>
                <w:rFonts w:cs="Calibri"/>
                <w:color w:val="000000"/>
                <w:highlight w:val="black"/>
              </w:rPr>
              <w:t>**%</w:t>
            </w:r>
          </w:p>
        </w:tc>
        <w:tc>
          <w:tcPr>
            <w:tcW w:w="597" w:type="dxa"/>
            <w:tcBorders>
              <w:top w:val="nil"/>
              <w:left w:val="nil"/>
              <w:bottom w:val="nil"/>
              <w:right w:val="nil"/>
            </w:tcBorders>
            <w:shd w:val="clear" w:color="auto" w:fill="auto"/>
            <w:noWrap/>
            <w:vAlign w:val="bottom"/>
            <w:hideMark/>
          </w:tcPr>
          <w:p w14:paraId="6AF158E3" w14:textId="77777777" w:rsidR="00D42C01" w:rsidRPr="00D42C01" w:rsidRDefault="00D42C01" w:rsidP="00071755">
            <w:pPr>
              <w:keepNext/>
              <w:keepLines/>
              <w:jc w:val="right"/>
              <w:rPr>
                <w:rFonts w:cs="Calibri"/>
                <w:color w:val="000000"/>
              </w:rPr>
            </w:pPr>
            <w:r w:rsidRPr="00D42C01">
              <w:rPr>
                <w:rFonts w:cs="Calibri"/>
                <w:color w:val="000000"/>
              </w:rPr>
              <w:t>40%</w:t>
            </w:r>
          </w:p>
        </w:tc>
        <w:tc>
          <w:tcPr>
            <w:tcW w:w="597" w:type="dxa"/>
            <w:tcBorders>
              <w:top w:val="nil"/>
              <w:left w:val="nil"/>
              <w:bottom w:val="nil"/>
              <w:right w:val="nil"/>
            </w:tcBorders>
            <w:shd w:val="clear" w:color="auto" w:fill="auto"/>
            <w:noWrap/>
            <w:vAlign w:val="bottom"/>
            <w:hideMark/>
          </w:tcPr>
          <w:p w14:paraId="47EBF134" w14:textId="77777777" w:rsidR="00D42C01" w:rsidRPr="00D42C01" w:rsidRDefault="00D42C01" w:rsidP="00071755">
            <w:pPr>
              <w:keepNext/>
              <w:keepLines/>
              <w:jc w:val="right"/>
              <w:rPr>
                <w:rFonts w:cs="Calibri"/>
                <w:color w:val="000000"/>
              </w:rPr>
            </w:pPr>
            <w:r w:rsidRPr="00D42C01">
              <w:rPr>
                <w:rFonts w:cs="Calibri"/>
                <w:color w:val="000000"/>
              </w:rPr>
              <w:t>50%</w:t>
            </w:r>
          </w:p>
        </w:tc>
        <w:tc>
          <w:tcPr>
            <w:tcW w:w="723" w:type="dxa"/>
            <w:tcBorders>
              <w:top w:val="nil"/>
              <w:left w:val="nil"/>
              <w:bottom w:val="nil"/>
              <w:right w:val="single" w:sz="8" w:space="0" w:color="auto"/>
            </w:tcBorders>
            <w:shd w:val="clear" w:color="auto" w:fill="auto"/>
            <w:noWrap/>
            <w:vAlign w:val="bottom"/>
            <w:hideMark/>
          </w:tcPr>
          <w:p w14:paraId="419131BB" w14:textId="77777777" w:rsidR="00D42C01" w:rsidRPr="00D42C01" w:rsidRDefault="00D42C01" w:rsidP="00071755">
            <w:pPr>
              <w:keepNext/>
              <w:keepLines/>
              <w:jc w:val="right"/>
              <w:rPr>
                <w:rFonts w:cs="Calibri"/>
                <w:color w:val="000000"/>
              </w:rPr>
            </w:pPr>
            <w:r w:rsidRPr="00D42C01">
              <w:rPr>
                <w:rFonts w:cs="Calibri"/>
                <w:color w:val="000000"/>
              </w:rPr>
              <w:t>75%</w:t>
            </w:r>
          </w:p>
        </w:tc>
      </w:tr>
      <w:tr w:rsidR="00CE6100" w:rsidRPr="00D42C01" w14:paraId="20BD0CC9" w14:textId="77777777" w:rsidTr="006F0063">
        <w:trPr>
          <w:trHeight w:val="300"/>
          <w:jc w:val="center"/>
        </w:trPr>
        <w:tc>
          <w:tcPr>
            <w:tcW w:w="1287" w:type="dxa"/>
            <w:tcBorders>
              <w:top w:val="nil"/>
              <w:left w:val="single" w:sz="8" w:space="0" w:color="auto"/>
              <w:bottom w:val="nil"/>
              <w:right w:val="nil"/>
            </w:tcBorders>
            <w:shd w:val="clear" w:color="auto" w:fill="auto"/>
            <w:noWrap/>
            <w:vAlign w:val="bottom"/>
            <w:hideMark/>
          </w:tcPr>
          <w:p w14:paraId="4410A7B3" w14:textId="77777777" w:rsidR="00D42C01" w:rsidRPr="00D42C01" w:rsidRDefault="00D42C01" w:rsidP="00071755">
            <w:pPr>
              <w:keepNext/>
              <w:keepLines/>
              <w:jc w:val="left"/>
              <w:rPr>
                <w:rFonts w:cs="Calibri"/>
                <w:color w:val="000000"/>
              </w:rPr>
            </w:pPr>
            <w:r w:rsidRPr="00D42C01">
              <w:rPr>
                <w:rFonts w:cs="Calibri"/>
                <w:color w:val="000000"/>
              </w:rPr>
              <w:t>Industrial</w:t>
            </w:r>
          </w:p>
        </w:tc>
        <w:tc>
          <w:tcPr>
            <w:tcW w:w="1920" w:type="dxa"/>
            <w:tcBorders>
              <w:top w:val="nil"/>
              <w:left w:val="nil"/>
              <w:bottom w:val="nil"/>
              <w:right w:val="nil"/>
            </w:tcBorders>
            <w:shd w:val="clear" w:color="auto" w:fill="auto"/>
            <w:vAlign w:val="center"/>
            <w:hideMark/>
          </w:tcPr>
          <w:p w14:paraId="4DFE4C54" w14:textId="5F4BF8C3" w:rsidR="00D42C01" w:rsidRPr="006F0063" w:rsidRDefault="00725FBA" w:rsidP="00071755">
            <w:pPr>
              <w:keepNext/>
              <w:keepLines/>
              <w:jc w:val="left"/>
              <w:rPr>
                <w:rFonts w:cs="Calibri"/>
                <w:color w:val="000000"/>
                <w:highlight w:val="black"/>
              </w:rPr>
            </w:pPr>
            <w:r w:rsidRPr="006F0063">
              <w:rPr>
                <w:rFonts w:cs="Calibri"/>
                <w:color w:val="000000"/>
                <w:highlight w:val="black"/>
              </w:rPr>
              <w:t>*******</w:t>
            </w:r>
          </w:p>
        </w:tc>
        <w:tc>
          <w:tcPr>
            <w:tcW w:w="680" w:type="dxa"/>
            <w:tcBorders>
              <w:top w:val="nil"/>
              <w:left w:val="nil"/>
              <w:bottom w:val="nil"/>
              <w:right w:val="nil"/>
            </w:tcBorders>
            <w:shd w:val="clear" w:color="auto" w:fill="auto"/>
            <w:noWrap/>
            <w:vAlign w:val="bottom"/>
            <w:hideMark/>
          </w:tcPr>
          <w:p w14:paraId="2FC3053D" w14:textId="0CF5D047" w:rsidR="00D42C01" w:rsidRPr="006F0063" w:rsidRDefault="00725FBA" w:rsidP="00071755">
            <w:pPr>
              <w:keepNext/>
              <w:keepLines/>
              <w:jc w:val="center"/>
              <w:rPr>
                <w:rFonts w:cs="Calibri"/>
                <w:color w:val="000000"/>
                <w:highlight w:val="black"/>
              </w:rPr>
            </w:pPr>
            <w:r w:rsidRPr="006F0063">
              <w:rPr>
                <w:rFonts w:cs="Calibri"/>
                <w:color w:val="000000"/>
                <w:highlight w:val="black"/>
              </w:rPr>
              <w:t>**%</w:t>
            </w:r>
          </w:p>
        </w:tc>
        <w:tc>
          <w:tcPr>
            <w:tcW w:w="680" w:type="dxa"/>
            <w:tcBorders>
              <w:top w:val="nil"/>
              <w:left w:val="nil"/>
              <w:bottom w:val="nil"/>
              <w:right w:val="nil"/>
            </w:tcBorders>
            <w:shd w:val="clear" w:color="auto" w:fill="auto"/>
            <w:noWrap/>
            <w:vAlign w:val="bottom"/>
            <w:hideMark/>
          </w:tcPr>
          <w:p w14:paraId="67ACBD04" w14:textId="4F3B4CE8" w:rsidR="00D42C01" w:rsidRPr="006F0063" w:rsidRDefault="00725FBA" w:rsidP="00071755">
            <w:pPr>
              <w:keepNext/>
              <w:keepLines/>
              <w:jc w:val="center"/>
              <w:rPr>
                <w:rFonts w:cs="Calibri"/>
                <w:color w:val="000000"/>
                <w:highlight w:val="black"/>
              </w:rPr>
            </w:pPr>
            <w:r w:rsidRPr="006F0063">
              <w:rPr>
                <w:rFonts w:cs="Calibri"/>
                <w:color w:val="000000"/>
                <w:highlight w:val="black"/>
              </w:rPr>
              <w:t>**%</w:t>
            </w:r>
          </w:p>
        </w:tc>
        <w:tc>
          <w:tcPr>
            <w:tcW w:w="680" w:type="dxa"/>
            <w:tcBorders>
              <w:top w:val="nil"/>
              <w:left w:val="nil"/>
              <w:bottom w:val="nil"/>
              <w:right w:val="nil"/>
            </w:tcBorders>
            <w:shd w:val="clear" w:color="auto" w:fill="auto"/>
            <w:noWrap/>
            <w:vAlign w:val="bottom"/>
            <w:hideMark/>
          </w:tcPr>
          <w:p w14:paraId="68DC23B5" w14:textId="6EF0C086" w:rsidR="00D42C01" w:rsidRPr="006F0063" w:rsidRDefault="00725FBA" w:rsidP="00071755">
            <w:pPr>
              <w:keepNext/>
              <w:keepLines/>
              <w:jc w:val="center"/>
              <w:rPr>
                <w:rFonts w:cs="Calibri"/>
                <w:color w:val="000000"/>
                <w:highlight w:val="black"/>
              </w:rPr>
            </w:pPr>
            <w:r w:rsidRPr="006F0063">
              <w:rPr>
                <w:rFonts w:cs="Calibri"/>
                <w:color w:val="000000"/>
                <w:highlight w:val="black"/>
              </w:rPr>
              <w:t>**%</w:t>
            </w:r>
          </w:p>
        </w:tc>
        <w:tc>
          <w:tcPr>
            <w:tcW w:w="597" w:type="dxa"/>
            <w:tcBorders>
              <w:top w:val="nil"/>
              <w:left w:val="nil"/>
              <w:bottom w:val="nil"/>
              <w:right w:val="nil"/>
            </w:tcBorders>
            <w:shd w:val="clear" w:color="auto" w:fill="auto"/>
            <w:noWrap/>
            <w:vAlign w:val="bottom"/>
            <w:hideMark/>
          </w:tcPr>
          <w:p w14:paraId="6052CE1D" w14:textId="65ED7B88" w:rsidR="00D42C01" w:rsidRPr="006F0063" w:rsidRDefault="00725FBA" w:rsidP="00071755">
            <w:pPr>
              <w:keepNext/>
              <w:keepLines/>
              <w:jc w:val="right"/>
              <w:rPr>
                <w:rFonts w:cs="Calibri"/>
                <w:color w:val="000000"/>
                <w:highlight w:val="black"/>
              </w:rPr>
            </w:pPr>
            <w:r w:rsidRPr="006F0063">
              <w:rPr>
                <w:rFonts w:cs="Calibri"/>
                <w:color w:val="000000"/>
                <w:highlight w:val="black"/>
              </w:rPr>
              <w:t>**%</w:t>
            </w:r>
          </w:p>
        </w:tc>
        <w:tc>
          <w:tcPr>
            <w:tcW w:w="597" w:type="dxa"/>
            <w:tcBorders>
              <w:top w:val="nil"/>
              <w:left w:val="nil"/>
              <w:bottom w:val="nil"/>
              <w:right w:val="nil"/>
            </w:tcBorders>
            <w:shd w:val="clear" w:color="auto" w:fill="auto"/>
            <w:noWrap/>
            <w:vAlign w:val="bottom"/>
            <w:hideMark/>
          </w:tcPr>
          <w:p w14:paraId="63BA15EF" w14:textId="446B1E6F" w:rsidR="00D42C01" w:rsidRPr="006F0063" w:rsidRDefault="00725FBA" w:rsidP="00071755">
            <w:pPr>
              <w:keepNext/>
              <w:keepLines/>
              <w:jc w:val="right"/>
              <w:rPr>
                <w:rFonts w:cs="Calibri"/>
                <w:color w:val="000000"/>
                <w:highlight w:val="black"/>
              </w:rPr>
            </w:pPr>
            <w:r w:rsidRPr="006F0063">
              <w:rPr>
                <w:rFonts w:cs="Calibri"/>
                <w:color w:val="000000"/>
                <w:highlight w:val="black"/>
              </w:rPr>
              <w:t>**%</w:t>
            </w:r>
          </w:p>
        </w:tc>
        <w:tc>
          <w:tcPr>
            <w:tcW w:w="632" w:type="dxa"/>
            <w:tcBorders>
              <w:top w:val="nil"/>
              <w:left w:val="nil"/>
              <w:bottom w:val="nil"/>
              <w:right w:val="nil"/>
            </w:tcBorders>
            <w:shd w:val="clear" w:color="auto" w:fill="auto"/>
            <w:noWrap/>
            <w:vAlign w:val="bottom"/>
            <w:hideMark/>
          </w:tcPr>
          <w:p w14:paraId="74E86523" w14:textId="2975B2B6" w:rsidR="00D42C01" w:rsidRPr="006F0063" w:rsidRDefault="00725FBA" w:rsidP="00071755">
            <w:pPr>
              <w:keepNext/>
              <w:keepLines/>
              <w:jc w:val="right"/>
              <w:rPr>
                <w:rFonts w:cs="Calibri"/>
                <w:color w:val="000000"/>
                <w:highlight w:val="black"/>
              </w:rPr>
            </w:pPr>
            <w:r w:rsidRPr="006F0063">
              <w:rPr>
                <w:rFonts w:cs="Calibri"/>
                <w:color w:val="000000"/>
                <w:highlight w:val="black"/>
              </w:rPr>
              <w:t>**%</w:t>
            </w:r>
          </w:p>
        </w:tc>
        <w:tc>
          <w:tcPr>
            <w:tcW w:w="597" w:type="dxa"/>
            <w:tcBorders>
              <w:top w:val="nil"/>
              <w:left w:val="nil"/>
              <w:bottom w:val="nil"/>
              <w:right w:val="nil"/>
            </w:tcBorders>
            <w:shd w:val="clear" w:color="auto" w:fill="auto"/>
            <w:noWrap/>
            <w:vAlign w:val="bottom"/>
            <w:hideMark/>
          </w:tcPr>
          <w:p w14:paraId="127CDE76" w14:textId="77777777" w:rsidR="00D42C01" w:rsidRPr="00D42C01" w:rsidRDefault="00D42C01" w:rsidP="00071755">
            <w:pPr>
              <w:keepNext/>
              <w:keepLines/>
              <w:jc w:val="right"/>
              <w:rPr>
                <w:rFonts w:cs="Calibri"/>
                <w:color w:val="000000"/>
              </w:rPr>
            </w:pPr>
            <w:r w:rsidRPr="00D42C01">
              <w:rPr>
                <w:rFonts w:cs="Calibri"/>
                <w:color w:val="000000"/>
              </w:rPr>
              <w:t>40%</w:t>
            </w:r>
          </w:p>
        </w:tc>
        <w:tc>
          <w:tcPr>
            <w:tcW w:w="597" w:type="dxa"/>
            <w:tcBorders>
              <w:top w:val="nil"/>
              <w:left w:val="nil"/>
              <w:bottom w:val="nil"/>
              <w:right w:val="nil"/>
            </w:tcBorders>
            <w:shd w:val="clear" w:color="auto" w:fill="auto"/>
            <w:noWrap/>
            <w:vAlign w:val="bottom"/>
            <w:hideMark/>
          </w:tcPr>
          <w:p w14:paraId="5B6F1A53" w14:textId="77777777" w:rsidR="00D42C01" w:rsidRPr="00D42C01" w:rsidRDefault="00D42C01" w:rsidP="00071755">
            <w:pPr>
              <w:keepNext/>
              <w:keepLines/>
              <w:jc w:val="right"/>
              <w:rPr>
                <w:rFonts w:cs="Calibri"/>
                <w:color w:val="000000"/>
              </w:rPr>
            </w:pPr>
            <w:r w:rsidRPr="00D42C01">
              <w:rPr>
                <w:rFonts w:cs="Calibri"/>
                <w:color w:val="000000"/>
              </w:rPr>
              <w:t>50%</w:t>
            </w:r>
          </w:p>
        </w:tc>
        <w:tc>
          <w:tcPr>
            <w:tcW w:w="723" w:type="dxa"/>
            <w:tcBorders>
              <w:top w:val="nil"/>
              <w:left w:val="nil"/>
              <w:bottom w:val="nil"/>
              <w:right w:val="single" w:sz="8" w:space="0" w:color="auto"/>
            </w:tcBorders>
            <w:shd w:val="clear" w:color="auto" w:fill="auto"/>
            <w:noWrap/>
            <w:vAlign w:val="bottom"/>
            <w:hideMark/>
          </w:tcPr>
          <w:p w14:paraId="5051CA9A" w14:textId="77777777" w:rsidR="00D42C01" w:rsidRPr="00D42C01" w:rsidRDefault="00D42C01" w:rsidP="00071755">
            <w:pPr>
              <w:keepNext/>
              <w:keepLines/>
              <w:jc w:val="right"/>
              <w:rPr>
                <w:rFonts w:cs="Calibri"/>
                <w:color w:val="000000"/>
              </w:rPr>
            </w:pPr>
            <w:r w:rsidRPr="00D42C01">
              <w:rPr>
                <w:rFonts w:cs="Calibri"/>
                <w:color w:val="000000"/>
              </w:rPr>
              <w:t>75%</w:t>
            </w:r>
          </w:p>
        </w:tc>
      </w:tr>
      <w:tr w:rsidR="00CE6100" w:rsidRPr="00D42C01" w14:paraId="1833339A" w14:textId="77777777" w:rsidTr="006F0063">
        <w:trPr>
          <w:trHeight w:val="315"/>
          <w:jc w:val="center"/>
        </w:trPr>
        <w:tc>
          <w:tcPr>
            <w:tcW w:w="1287" w:type="dxa"/>
            <w:tcBorders>
              <w:top w:val="nil"/>
              <w:left w:val="single" w:sz="8" w:space="0" w:color="auto"/>
              <w:bottom w:val="single" w:sz="8" w:space="0" w:color="auto"/>
              <w:right w:val="nil"/>
            </w:tcBorders>
            <w:shd w:val="clear" w:color="auto" w:fill="auto"/>
            <w:noWrap/>
            <w:vAlign w:val="bottom"/>
            <w:hideMark/>
          </w:tcPr>
          <w:p w14:paraId="75F055FB" w14:textId="77777777" w:rsidR="00D42C01" w:rsidRPr="00D42C01" w:rsidRDefault="00D42C01" w:rsidP="00071755">
            <w:pPr>
              <w:keepNext/>
              <w:keepLines/>
              <w:jc w:val="left"/>
              <w:rPr>
                <w:rFonts w:cs="Calibri"/>
                <w:color w:val="000000"/>
              </w:rPr>
            </w:pPr>
            <w:r w:rsidRPr="00D42C01">
              <w:rPr>
                <w:rFonts w:cs="Calibri"/>
                <w:color w:val="000000"/>
              </w:rPr>
              <w:t>Industrial</w:t>
            </w:r>
          </w:p>
        </w:tc>
        <w:tc>
          <w:tcPr>
            <w:tcW w:w="1920" w:type="dxa"/>
            <w:tcBorders>
              <w:top w:val="nil"/>
              <w:left w:val="nil"/>
              <w:bottom w:val="single" w:sz="8" w:space="0" w:color="auto"/>
              <w:right w:val="nil"/>
            </w:tcBorders>
            <w:shd w:val="clear" w:color="auto" w:fill="auto"/>
            <w:vAlign w:val="center"/>
            <w:hideMark/>
          </w:tcPr>
          <w:p w14:paraId="201F6F1A" w14:textId="420E8BE9" w:rsidR="00D42C01" w:rsidRPr="006F0063" w:rsidRDefault="00725FBA" w:rsidP="00071755">
            <w:pPr>
              <w:keepNext/>
              <w:keepLines/>
              <w:jc w:val="left"/>
              <w:rPr>
                <w:rFonts w:cs="Calibri"/>
                <w:color w:val="000000"/>
                <w:highlight w:val="black"/>
              </w:rPr>
            </w:pPr>
            <w:r w:rsidRPr="006F0063">
              <w:rPr>
                <w:rFonts w:cs="Calibri"/>
                <w:color w:val="000000"/>
                <w:highlight w:val="black"/>
              </w:rPr>
              <w:t>*******</w:t>
            </w:r>
          </w:p>
        </w:tc>
        <w:tc>
          <w:tcPr>
            <w:tcW w:w="680" w:type="dxa"/>
            <w:tcBorders>
              <w:top w:val="nil"/>
              <w:left w:val="nil"/>
              <w:bottom w:val="single" w:sz="8" w:space="0" w:color="auto"/>
              <w:right w:val="nil"/>
            </w:tcBorders>
            <w:shd w:val="clear" w:color="auto" w:fill="auto"/>
            <w:noWrap/>
            <w:vAlign w:val="bottom"/>
            <w:hideMark/>
          </w:tcPr>
          <w:p w14:paraId="70F60817" w14:textId="50A1CDC9" w:rsidR="00D42C01" w:rsidRPr="006F0063" w:rsidRDefault="00725FBA" w:rsidP="00071755">
            <w:pPr>
              <w:keepNext/>
              <w:keepLines/>
              <w:jc w:val="center"/>
              <w:rPr>
                <w:rFonts w:cs="Calibri"/>
                <w:color w:val="000000"/>
                <w:highlight w:val="black"/>
              </w:rPr>
            </w:pPr>
            <w:r w:rsidRPr="006F0063">
              <w:rPr>
                <w:rFonts w:cs="Calibri"/>
                <w:color w:val="000000"/>
                <w:highlight w:val="black"/>
              </w:rPr>
              <w:t>**%</w:t>
            </w:r>
          </w:p>
        </w:tc>
        <w:tc>
          <w:tcPr>
            <w:tcW w:w="680" w:type="dxa"/>
            <w:tcBorders>
              <w:top w:val="nil"/>
              <w:left w:val="nil"/>
              <w:bottom w:val="single" w:sz="8" w:space="0" w:color="auto"/>
              <w:right w:val="nil"/>
            </w:tcBorders>
            <w:shd w:val="clear" w:color="auto" w:fill="auto"/>
            <w:noWrap/>
            <w:vAlign w:val="bottom"/>
            <w:hideMark/>
          </w:tcPr>
          <w:p w14:paraId="29A15DC8" w14:textId="5BAE806A" w:rsidR="00D42C01" w:rsidRPr="006F0063" w:rsidRDefault="00725FBA" w:rsidP="00071755">
            <w:pPr>
              <w:keepNext/>
              <w:keepLines/>
              <w:jc w:val="center"/>
              <w:rPr>
                <w:rFonts w:cs="Calibri"/>
                <w:color w:val="000000"/>
                <w:highlight w:val="black"/>
              </w:rPr>
            </w:pPr>
            <w:r w:rsidRPr="006F0063">
              <w:rPr>
                <w:rFonts w:cs="Calibri"/>
                <w:color w:val="000000"/>
                <w:highlight w:val="black"/>
              </w:rPr>
              <w:t>**%</w:t>
            </w:r>
          </w:p>
        </w:tc>
        <w:tc>
          <w:tcPr>
            <w:tcW w:w="680" w:type="dxa"/>
            <w:tcBorders>
              <w:top w:val="nil"/>
              <w:left w:val="nil"/>
              <w:bottom w:val="single" w:sz="8" w:space="0" w:color="auto"/>
              <w:right w:val="nil"/>
            </w:tcBorders>
            <w:shd w:val="clear" w:color="auto" w:fill="auto"/>
            <w:noWrap/>
            <w:vAlign w:val="bottom"/>
            <w:hideMark/>
          </w:tcPr>
          <w:p w14:paraId="2E978C36" w14:textId="0F137DC2" w:rsidR="00D42C01" w:rsidRPr="006F0063" w:rsidRDefault="00725FBA" w:rsidP="00071755">
            <w:pPr>
              <w:keepNext/>
              <w:keepLines/>
              <w:jc w:val="center"/>
              <w:rPr>
                <w:rFonts w:cs="Calibri"/>
                <w:color w:val="000000"/>
                <w:highlight w:val="black"/>
              </w:rPr>
            </w:pPr>
            <w:r w:rsidRPr="006F0063">
              <w:rPr>
                <w:rFonts w:cs="Calibri"/>
                <w:color w:val="000000"/>
                <w:highlight w:val="black"/>
              </w:rPr>
              <w:t>**%</w:t>
            </w:r>
          </w:p>
        </w:tc>
        <w:tc>
          <w:tcPr>
            <w:tcW w:w="597" w:type="dxa"/>
            <w:tcBorders>
              <w:top w:val="nil"/>
              <w:left w:val="nil"/>
              <w:bottom w:val="single" w:sz="8" w:space="0" w:color="auto"/>
              <w:right w:val="nil"/>
            </w:tcBorders>
            <w:shd w:val="clear" w:color="auto" w:fill="auto"/>
            <w:noWrap/>
            <w:vAlign w:val="bottom"/>
            <w:hideMark/>
          </w:tcPr>
          <w:p w14:paraId="06EAC332" w14:textId="15042FB8" w:rsidR="00D42C01" w:rsidRPr="006F0063" w:rsidRDefault="00725FBA" w:rsidP="00071755">
            <w:pPr>
              <w:keepNext/>
              <w:keepLines/>
              <w:jc w:val="right"/>
              <w:rPr>
                <w:rFonts w:cs="Calibri"/>
                <w:color w:val="000000"/>
                <w:highlight w:val="black"/>
              </w:rPr>
            </w:pPr>
            <w:r w:rsidRPr="006F0063">
              <w:rPr>
                <w:rFonts w:cs="Calibri"/>
                <w:color w:val="000000"/>
                <w:highlight w:val="black"/>
              </w:rPr>
              <w:t>**%</w:t>
            </w:r>
          </w:p>
        </w:tc>
        <w:tc>
          <w:tcPr>
            <w:tcW w:w="597" w:type="dxa"/>
            <w:tcBorders>
              <w:top w:val="nil"/>
              <w:left w:val="nil"/>
              <w:bottom w:val="single" w:sz="8" w:space="0" w:color="auto"/>
              <w:right w:val="nil"/>
            </w:tcBorders>
            <w:shd w:val="clear" w:color="auto" w:fill="auto"/>
            <w:noWrap/>
            <w:vAlign w:val="bottom"/>
            <w:hideMark/>
          </w:tcPr>
          <w:p w14:paraId="774F04E4" w14:textId="53D22941" w:rsidR="00D42C01" w:rsidRPr="006F0063" w:rsidRDefault="00725FBA" w:rsidP="00071755">
            <w:pPr>
              <w:keepNext/>
              <w:keepLines/>
              <w:jc w:val="right"/>
              <w:rPr>
                <w:rFonts w:cs="Calibri"/>
                <w:color w:val="000000"/>
                <w:highlight w:val="black"/>
              </w:rPr>
            </w:pPr>
            <w:r w:rsidRPr="006F0063">
              <w:rPr>
                <w:rFonts w:cs="Calibri"/>
                <w:color w:val="000000"/>
                <w:highlight w:val="black"/>
              </w:rPr>
              <w:t>**%</w:t>
            </w:r>
          </w:p>
        </w:tc>
        <w:tc>
          <w:tcPr>
            <w:tcW w:w="632" w:type="dxa"/>
            <w:tcBorders>
              <w:top w:val="nil"/>
              <w:left w:val="nil"/>
              <w:bottom w:val="single" w:sz="8" w:space="0" w:color="auto"/>
              <w:right w:val="nil"/>
            </w:tcBorders>
            <w:shd w:val="clear" w:color="auto" w:fill="auto"/>
            <w:noWrap/>
            <w:vAlign w:val="bottom"/>
            <w:hideMark/>
          </w:tcPr>
          <w:p w14:paraId="2D7B93B8" w14:textId="03CF702D" w:rsidR="00D42C01" w:rsidRPr="006F0063" w:rsidRDefault="00725FBA" w:rsidP="00071755">
            <w:pPr>
              <w:keepNext/>
              <w:keepLines/>
              <w:jc w:val="right"/>
              <w:rPr>
                <w:rFonts w:cs="Calibri"/>
                <w:color w:val="000000"/>
                <w:highlight w:val="black"/>
              </w:rPr>
            </w:pPr>
            <w:r w:rsidRPr="006F0063">
              <w:rPr>
                <w:rFonts w:cs="Calibri"/>
                <w:color w:val="000000"/>
                <w:highlight w:val="black"/>
              </w:rPr>
              <w:t>**%</w:t>
            </w:r>
          </w:p>
        </w:tc>
        <w:tc>
          <w:tcPr>
            <w:tcW w:w="597" w:type="dxa"/>
            <w:tcBorders>
              <w:top w:val="nil"/>
              <w:left w:val="nil"/>
              <w:bottom w:val="single" w:sz="8" w:space="0" w:color="auto"/>
              <w:right w:val="nil"/>
            </w:tcBorders>
            <w:shd w:val="clear" w:color="auto" w:fill="auto"/>
            <w:noWrap/>
            <w:vAlign w:val="bottom"/>
            <w:hideMark/>
          </w:tcPr>
          <w:p w14:paraId="78DEBB1A" w14:textId="77777777" w:rsidR="00D42C01" w:rsidRPr="00D42C01" w:rsidRDefault="00D42C01" w:rsidP="00071755">
            <w:pPr>
              <w:keepNext/>
              <w:keepLines/>
              <w:jc w:val="right"/>
              <w:rPr>
                <w:rFonts w:cs="Calibri"/>
                <w:color w:val="000000"/>
              </w:rPr>
            </w:pPr>
            <w:r w:rsidRPr="00D42C01">
              <w:rPr>
                <w:rFonts w:cs="Calibri"/>
                <w:color w:val="000000"/>
              </w:rPr>
              <w:t>40%</w:t>
            </w:r>
          </w:p>
        </w:tc>
        <w:tc>
          <w:tcPr>
            <w:tcW w:w="597" w:type="dxa"/>
            <w:tcBorders>
              <w:top w:val="nil"/>
              <w:left w:val="nil"/>
              <w:bottom w:val="single" w:sz="8" w:space="0" w:color="auto"/>
              <w:right w:val="nil"/>
            </w:tcBorders>
            <w:shd w:val="clear" w:color="auto" w:fill="auto"/>
            <w:noWrap/>
            <w:vAlign w:val="bottom"/>
            <w:hideMark/>
          </w:tcPr>
          <w:p w14:paraId="13BCDCAB" w14:textId="77777777" w:rsidR="00D42C01" w:rsidRPr="00D42C01" w:rsidRDefault="00D42C01" w:rsidP="00071755">
            <w:pPr>
              <w:keepNext/>
              <w:keepLines/>
              <w:jc w:val="right"/>
              <w:rPr>
                <w:rFonts w:cs="Calibri"/>
                <w:color w:val="000000"/>
              </w:rPr>
            </w:pPr>
            <w:r w:rsidRPr="00D42C01">
              <w:rPr>
                <w:rFonts w:cs="Calibri"/>
                <w:color w:val="000000"/>
              </w:rPr>
              <w:t>50%</w:t>
            </w:r>
          </w:p>
        </w:tc>
        <w:tc>
          <w:tcPr>
            <w:tcW w:w="723" w:type="dxa"/>
            <w:tcBorders>
              <w:top w:val="nil"/>
              <w:left w:val="nil"/>
              <w:bottom w:val="single" w:sz="8" w:space="0" w:color="auto"/>
              <w:right w:val="single" w:sz="8" w:space="0" w:color="auto"/>
            </w:tcBorders>
            <w:shd w:val="clear" w:color="auto" w:fill="auto"/>
            <w:noWrap/>
            <w:vAlign w:val="bottom"/>
            <w:hideMark/>
          </w:tcPr>
          <w:p w14:paraId="4F6A484A" w14:textId="77777777" w:rsidR="00D42C01" w:rsidRPr="00D42C01" w:rsidRDefault="00D42C01" w:rsidP="00071755">
            <w:pPr>
              <w:keepNext/>
              <w:keepLines/>
              <w:jc w:val="right"/>
              <w:rPr>
                <w:rFonts w:cs="Calibri"/>
                <w:color w:val="000000"/>
              </w:rPr>
            </w:pPr>
            <w:r w:rsidRPr="00D42C01">
              <w:rPr>
                <w:rFonts w:cs="Calibri"/>
                <w:color w:val="000000"/>
              </w:rPr>
              <w:t>75%</w:t>
            </w:r>
          </w:p>
        </w:tc>
      </w:tr>
    </w:tbl>
    <w:p w14:paraId="3005E258" w14:textId="5F26F5C5" w:rsidR="0030684A" w:rsidRDefault="0030684A" w:rsidP="0030684A">
      <w:pPr>
        <w:pStyle w:val="Question"/>
      </w:pPr>
      <w:r>
        <w:t>Q.</w:t>
      </w:r>
      <w:r>
        <w:tab/>
        <w:t xml:space="preserve">how does the peak demand forecast presented in the 2023 irp update </w:t>
      </w:r>
      <w:proofErr w:type="gramStart"/>
      <w:r>
        <w:t>compare</w:t>
      </w:r>
      <w:proofErr w:type="gramEnd"/>
      <w:r>
        <w:t xml:space="preserve"> to </w:t>
      </w:r>
      <w:r w:rsidR="00795412">
        <w:t>prior</w:t>
      </w:r>
      <w:r>
        <w:t xml:space="preserve"> load forecast</w:t>
      </w:r>
      <w:r w:rsidR="00795412">
        <w:t>s</w:t>
      </w:r>
      <w:r>
        <w:t>?</w:t>
      </w:r>
    </w:p>
    <w:p w14:paraId="6CC90EC0" w14:textId="38763B34" w:rsidR="0030684A" w:rsidRDefault="0030684A" w:rsidP="00626BBA">
      <w:pPr>
        <w:pStyle w:val="Answers"/>
      </w:pPr>
      <w:r>
        <w:lastRenderedPageBreak/>
        <w:t>A.</w:t>
      </w:r>
      <w:r>
        <w:tab/>
        <w:t xml:space="preserve">The peak demand forecast has changed significantly, adding nearly 7 GW of peak load by the winter of 2042/2043 when compared to the 2022 load forecast. Based on filed workpapers by the Company, the specific value is 6,865 MW by the end of the </w:t>
      </w:r>
      <w:r w:rsidR="00FF121B">
        <w:t>forecast period</w:t>
      </w:r>
      <w:r>
        <w:t xml:space="preserve">, with interim differences in 2028/29 and 2032/33 shown in </w:t>
      </w:r>
      <w:r>
        <w:fldChar w:fldCharType="begin"/>
      </w:r>
      <w:r>
        <w:instrText xml:space="preserve"> REF _Ref157776534 \h </w:instrText>
      </w:r>
      <w:r>
        <w:fldChar w:fldCharType="separate"/>
      </w:r>
      <w:r w:rsidR="00D01697">
        <w:t xml:space="preserve">Table </w:t>
      </w:r>
      <w:r w:rsidR="00D01697">
        <w:rPr>
          <w:noProof/>
        </w:rPr>
        <w:t>2</w:t>
      </w:r>
      <w:r>
        <w:fldChar w:fldCharType="end"/>
      </w:r>
      <w:r>
        <w:t>.</w:t>
      </w:r>
    </w:p>
    <w:p w14:paraId="7847D235" w14:textId="746F9B1F" w:rsidR="0030684A" w:rsidRDefault="1124850A" w:rsidP="0030684A">
      <w:pPr>
        <w:pStyle w:val="Caption"/>
        <w:keepLines/>
      </w:pPr>
      <w:bookmarkStart w:id="6" w:name="_Ref157776534"/>
      <w:r>
        <w:t xml:space="preserve">Table </w:t>
      </w:r>
      <w:r>
        <w:fldChar w:fldCharType="begin"/>
      </w:r>
      <w:r>
        <w:instrText>SEQ Table \* ARABIC</w:instrText>
      </w:r>
      <w:r>
        <w:fldChar w:fldCharType="separate"/>
      </w:r>
      <w:r w:rsidR="00D01697">
        <w:rPr>
          <w:noProof/>
        </w:rPr>
        <w:t>2</w:t>
      </w:r>
      <w:r>
        <w:fldChar w:fldCharType="end"/>
      </w:r>
      <w:bookmarkEnd w:id="6"/>
      <w:r>
        <w:t>: Filed GPC Winter Peak Demand Forecasts (MW)</w:t>
      </w:r>
      <w:r w:rsidR="0030684A">
        <w:rPr>
          <w:rStyle w:val="FootnoteReference"/>
        </w:rPr>
        <w:footnoteReference w:id="22"/>
      </w:r>
    </w:p>
    <w:tbl>
      <w:tblPr>
        <w:tblW w:w="6721" w:type="dxa"/>
        <w:jc w:val="center"/>
        <w:tblLook w:val="04A0" w:firstRow="1" w:lastRow="0" w:firstColumn="1" w:lastColumn="0" w:noHBand="0" w:noVBand="1"/>
      </w:tblPr>
      <w:tblGrid>
        <w:gridCol w:w="1914"/>
        <w:gridCol w:w="222"/>
        <w:gridCol w:w="976"/>
        <w:gridCol w:w="1203"/>
        <w:gridCol w:w="1203"/>
        <w:gridCol w:w="1203"/>
      </w:tblGrid>
      <w:tr w:rsidR="0030684A" w:rsidRPr="000C1A2B" w14:paraId="551B9979" w14:textId="77777777" w:rsidTr="6506DB8F">
        <w:trPr>
          <w:trHeight w:val="300"/>
          <w:jc w:val="center"/>
        </w:trPr>
        <w:tc>
          <w:tcPr>
            <w:tcW w:w="2136" w:type="dxa"/>
            <w:gridSpan w:val="2"/>
            <w:tcBorders>
              <w:top w:val="single" w:sz="8" w:space="0" w:color="auto"/>
              <w:left w:val="single" w:sz="8" w:space="0" w:color="auto"/>
              <w:bottom w:val="nil"/>
              <w:right w:val="nil"/>
            </w:tcBorders>
            <w:shd w:val="clear" w:color="auto" w:fill="F2F2F2" w:themeFill="background1" w:themeFillShade="F2"/>
            <w:noWrap/>
            <w:vAlign w:val="bottom"/>
            <w:hideMark/>
          </w:tcPr>
          <w:p w14:paraId="76584232" w14:textId="77777777" w:rsidR="0030684A" w:rsidRPr="000C1A2B" w:rsidRDefault="0030684A" w:rsidP="00504E8D">
            <w:pPr>
              <w:keepNext/>
              <w:keepLines/>
              <w:jc w:val="left"/>
              <w:rPr>
                <w:rFonts w:cs="Calibri"/>
                <w:b/>
                <w:bCs/>
                <w:color w:val="000000"/>
              </w:rPr>
            </w:pPr>
            <w:r w:rsidRPr="000C1A2B">
              <w:rPr>
                <w:rFonts w:cs="Calibri"/>
                <w:b/>
                <w:bCs/>
                <w:color w:val="000000"/>
              </w:rPr>
              <w:t>Filed Forecast</w:t>
            </w:r>
          </w:p>
        </w:tc>
        <w:tc>
          <w:tcPr>
            <w:tcW w:w="976" w:type="dxa"/>
            <w:tcBorders>
              <w:top w:val="single" w:sz="8" w:space="0" w:color="auto"/>
              <w:left w:val="nil"/>
              <w:bottom w:val="nil"/>
              <w:right w:val="nil"/>
            </w:tcBorders>
            <w:shd w:val="clear" w:color="auto" w:fill="F2F2F2" w:themeFill="background1" w:themeFillShade="F2"/>
            <w:noWrap/>
            <w:vAlign w:val="bottom"/>
            <w:hideMark/>
          </w:tcPr>
          <w:p w14:paraId="32F07D9D" w14:textId="77777777" w:rsidR="0030684A" w:rsidRPr="000C1A2B" w:rsidRDefault="0030684A" w:rsidP="00504E8D">
            <w:pPr>
              <w:keepNext/>
              <w:keepLines/>
              <w:jc w:val="left"/>
              <w:rPr>
                <w:rFonts w:cs="Calibri"/>
                <w:color w:val="000000"/>
              </w:rPr>
            </w:pPr>
            <w:r w:rsidRPr="000C1A2B">
              <w:rPr>
                <w:rFonts w:cs="Calibri"/>
                <w:color w:val="000000"/>
              </w:rPr>
              <w:t> </w:t>
            </w:r>
          </w:p>
        </w:tc>
        <w:tc>
          <w:tcPr>
            <w:tcW w:w="1203" w:type="dxa"/>
            <w:tcBorders>
              <w:top w:val="single" w:sz="8" w:space="0" w:color="auto"/>
              <w:left w:val="nil"/>
              <w:bottom w:val="nil"/>
              <w:right w:val="nil"/>
            </w:tcBorders>
            <w:shd w:val="clear" w:color="auto" w:fill="F2F2F2" w:themeFill="background1" w:themeFillShade="F2"/>
            <w:noWrap/>
            <w:vAlign w:val="bottom"/>
            <w:hideMark/>
          </w:tcPr>
          <w:p w14:paraId="4F0FB6D8" w14:textId="77777777" w:rsidR="0030684A" w:rsidRPr="000C1A2B" w:rsidRDefault="0030684A" w:rsidP="00504E8D">
            <w:pPr>
              <w:keepNext/>
              <w:keepLines/>
              <w:jc w:val="left"/>
              <w:rPr>
                <w:rFonts w:cs="Calibri"/>
                <w:b/>
                <w:bCs/>
                <w:color w:val="000000"/>
              </w:rPr>
            </w:pPr>
            <w:r w:rsidRPr="000C1A2B">
              <w:rPr>
                <w:rFonts w:cs="Calibri"/>
                <w:b/>
                <w:bCs/>
                <w:color w:val="000000"/>
              </w:rPr>
              <w:t>2028/2029</w:t>
            </w:r>
          </w:p>
        </w:tc>
        <w:tc>
          <w:tcPr>
            <w:tcW w:w="1203" w:type="dxa"/>
            <w:tcBorders>
              <w:top w:val="single" w:sz="8" w:space="0" w:color="auto"/>
              <w:left w:val="nil"/>
              <w:bottom w:val="nil"/>
              <w:right w:val="nil"/>
            </w:tcBorders>
            <w:shd w:val="clear" w:color="auto" w:fill="F2F2F2" w:themeFill="background1" w:themeFillShade="F2"/>
            <w:noWrap/>
            <w:vAlign w:val="bottom"/>
            <w:hideMark/>
          </w:tcPr>
          <w:p w14:paraId="28E648E6" w14:textId="77777777" w:rsidR="0030684A" w:rsidRPr="000C1A2B" w:rsidRDefault="0030684A" w:rsidP="00504E8D">
            <w:pPr>
              <w:keepNext/>
              <w:keepLines/>
              <w:jc w:val="left"/>
              <w:rPr>
                <w:rFonts w:cs="Calibri"/>
                <w:b/>
                <w:bCs/>
                <w:color w:val="000000"/>
              </w:rPr>
            </w:pPr>
            <w:r w:rsidRPr="000C1A2B">
              <w:rPr>
                <w:rFonts w:cs="Calibri"/>
                <w:b/>
                <w:bCs/>
                <w:color w:val="000000"/>
              </w:rPr>
              <w:t>2032/2033</w:t>
            </w:r>
          </w:p>
        </w:tc>
        <w:tc>
          <w:tcPr>
            <w:tcW w:w="1203" w:type="dxa"/>
            <w:tcBorders>
              <w:top w:val="single" w:sz="8" w:space="0" w:color="auto"/>
              <w:left w:val="nil"/>
              <w:bottom w:val="nil"/>
              <w:right w:val="single" w:sz="8" w:space="0" w:color="auto"/>
            </w:tcBorders>
            <w:shd w:val="clear" w:color="auto" w:fill="F2F2F2" w:themeFill="background1" w:themeFillShade="F2"/>
            <w:noWrap/>
            <w:vAlign w:val="bottom"/>
            <w:hideMark/>
          </w:tcPr>
          <w:p w14:paraId="25875D86" w14:textId="77777777" w:rsidR="0030684A" w:rsidRPr="000C1A2B" w:rsidRDefault="0030684A" w:rsidP="00504E8D">
            <w:pPr>
              <w:keepNext/>
              <w:keepLines/>
              <w:jc w:val="left"/>
              <w:rPr>
                <w:rFonts w:cs="Calibri"/>
                <w:b/>
                <w:bCs/>
                <w:color w:val="000000"/>
              </w:rPr>
            </w:pPr>
            <w:r w:rsidRPr="000C1A2B">
              <w:rPr>
                <w:rFonts w:cs="Calibri"/>
                <w:b/>
                <w:bCs/>
                <w:color w:val="000000"/>
              </w:rPr>
              <w:t>2042/2043</w:t>
            </w:r>
          </w:p>
        </w:tc>
      </w:tr>
      <w:tr w:rsidR="0030684A" w:rsidRPr="000C1A2B" w14:paraId="3B573BEF" w14:textId="77777777" w:rsidTr="6506DB8F">
        <w:trPr>
          <w:trHeight w:val="300"/>
          <w:jc w:val="center"/>
        </w:trPr>
        <w:tc>
          <w:tcPr>
            <w:tcW w:w="1914" w:type="dxa"/>
            <w:tcBorders>
              <w:top w:val="nil"/>
              <w:left w:val="single" w:sz="8" w:space="0" w:color="auto"/>
              <w:bottom w:val="nil"/>
              <w:right w:val="nil"/>
            </w:tcBorders>
            <w:shd w:val="clear" w:color="auto" w:fill="auto"/>
            <w:noWrap/>
            <w:vAlign w:val="bottom"/>
            <w:hideMark/>
          </w:tcPr>
          <w:p w14:paraId="1EDB8EDA" w14:textId="77777777" w:rsidR="0030684A" w:rsidRPr="000C1A2B" w:rsidRDefault="0030684A" w:rsidP="00504E8D">
            <w:pPr>
              <w:keepNext/>
              <w:keepLines/>
              <w:jc w:val="left"/>
              <w:rPr>
                <w:rFonts w:cs="Calibri"/>
                <w:color w:val="000000"/>
              </w:rPr>
            </w:pPr>
            <w:r w:rsidRPr="000C1A2B">
              <w:rPr>
                <w:rFonts w:cs="Calibri"/>
                <w:color w:val="000000"/>
              </w:rPr>
              <w:t>2022 IRP</w:t>
            </w:r>
          </w:p>
        </w:tc>
        <w:tc>
          <w:tcPr>
            <w:tcW w:w="222" w:type="dxa"/>
            <w:tcBorders>
              <w:top w:val="nil"/>
              <w:left w:val="nil"/>
              <w:bottom w:val="nil"/>
              <w:right w:val="nil"/>
            </w:tcBorders>
            <w:shd w:val="clear" w:color="auto" w:fill="auto"/>
            <w:noWrap/>
            <w:vAlign w:val="bottom"/>
            <w:hideMark/>
          </w:tcPr>
          <w:p w14:paraId="6803F724" w14:textId="77777777" w:rsidR="0030684A" w:rsidRPr="000C1A2B" w:rsidRDefault="0030684A" w:rsidP="00504E8D">
            <w:pPr>
              <w:keepNext/>
              <w:keepLines/>
              <w:jc w:val="left"/>
              <w:rPr>
                <w:rFonts w:cs="Calibri"/>
                <w:color w:val="000000"/>
              </w:rPr>
            </w:pPr>
          </w:p>
        </w:tc>
        <w:tc>
          <w:tcPr>
            <w:tcW w:w="976" w:type="dxa"/>
            <w:tcBorders>
              <w:top w:val="nil"/>
              <w:left w:val="nil"/>
              <w:bottom w:val="nil"/>
              <w:right w:val="nil"/>
            </w:tcBorders>
            <w:shd w:val="clear" w:color="auto" w:fill="auto"/>
            <w:noWrap/>
            <w:vAlign w:val="bottom"/>
            <w:hideMark/>
          </w:tcPr>
          <w:p w14:paraId="7B2D17E3" w14:textId="77777777" w:rsidR="0030684A" w:rsidRPr="000C1A2B" w:rsidRDefault="0030684A" w:rsidP="00504E8D">
            <w:pPr>
              <w:keepNext/>
              <w:keepLines/>
              <w:jc w:val="left"/>
              <w:rPr>
                <w:sz w:val="20"/>
                <w:szCs w:val="20"/>
              </w:rPr>
            </w:pPr>
          </w:p>
        </w:tc>
        <w:tc>
          <w:tcPr>
            <w:tcW w:w="1203" w:type="dxa"/>
            <w:tcBorders>
              <w:top w:val="nil"/>
              <w:left w:val="nil"/>
              <w:bottom w:val="nil"/>
              <w:right w:val="nil"/>
            </w:tcBorders>
            <w:shd w:val="clear" w:color="auto" w:fill="auto"/>
            <w:noWrap/>
            <w:vAlign w:val="bottom"/>
            <w:hideMark/>
          </w:tcPr>
          <w:p w14:paraId="0BFA4A51" w14:textId="77777777" w:rsidR="0030684A" w:rsidRPr="000C1A2B" w:rsidRDefault="0030684A" w:rsidP="00504E8D">
            <w:pPr>
              <w:keepNext/>
              <w:keepLines/>
              <w:jc w:val="center"/>
              <w:rPr>
                <w:rFonts w:cs="Calibri"/>
                <w:color w:val="000000"/>
              </w:rPr>
            </w:pPr>
            <w:r w:rsidRPr="000C1A2B">
              <w:rPr>
                <w:rFonts w:cs="Calibri"/>
                <w:color w:val="000000"/>
              </w:rPr>
              <w:t>15,760</w:t>
            </w:r>
          </w:p>
        </w:tc>
        <w:tc>
          <w:tcPr>
            <w:tcW w:w="1203" w:type="dxa"/>
            <w:tcBorders>
              <w:top w:val="nil"/>
              <w:left w:val="nil"/>
              <w:bottom w:val="nil"/>
              <w:right w:val="nil"/>
            </w:tcBorders>
            <w:shd w:val="clear" w:color="auto" w:fill="auto"/>
            <w:noWrap/>
            <w:vAlign w:val="bottom"/>
            <w:hideMark/>
          </w:tcPr>
          <w:p w14:paraId="1C01B9CE" w14:textId="77777777" w:rsidR="0030684A" w:rsidRPr="000C1A2B" w:rsidRDefault="0030684A" w:rsidP="00504E8D">
            <w:pPr>
              <w:keepNext/>
              <w:keepLines/>
              <w:jc w:val="center"/>
              <w:rPr>
                <w:rFonts w:cs="Calibri"/>
                <w:color w:val="000000"/>
              </w:rPr>
            </w:pPr>
            <w:r w:rsidRPr="000C1A2B">
              <w:rPr>
                <w:rFonts w:cs="Calibri"/>
                <w:color w:val="000000"/>
              </w:rPr>
              <w:t>16,250</w:t>
            </w:r>
          </w:p>
        </w:tc>
        <w:tc>
          <w:tcPr>
            <w:tcW w:w="1203" w:type="dxa"/>
            <w:tcBorders>
              <w:top w:val="nil"/>
              <w:left w:val="nil"/>
              <w:bottom w:val="nil"/>
              <w:right w:val="single" w:sz="8" w:space="0" w:color="auto"/>
            </w:tcBorders>
            <w:shd w:val="clear" w:color="auto" w:fill="auto"/>
            <w:noWrap/>
            <w:vAlign w:val="bottom"/>
            <w:hideMark/>
          </w:tcPr>
          <w:p w14:paraId="0941C60B" w14:textId="77777777" w:rsidR="0030684A" w:rsidRPr="000C1A2B" w:rsidRDefault="0030684A" w:rsidP="00504E8D">
            <w:pPr>
              <w:keepNext/>
              <w:keepLines/>
              <w:jc w:val="center"/>
              <w:rPr>
                <w:rFonts w:cs="Calibri"/>
                <w:color w:val="000000"/>
              </w:rPr>
            </w:pPr>
            <w:r w:rsidRPr="000C1A2B">
              <w:rPr>
                <w:rFonts w:cs="Calibri"/>
                <w:color w:val="000000"/>
              </w:rPr>
              <w:t>18,169</w:t>
            </w:r>
          </w:p>
        </w:tc>
      </w:tr>
      <w:tr w:rsidR="0030684A" w:rsidRPr="000C1A2B" w14:paraId="1D395B2D" w14:textId="77777777" w:rsidTr="6506DB8F">
        <w:trPr>
          <w:trHeight w:val="300"/>
          <w:jc w:val="center"/>
        </w:trPr>
        <w:tc>
          <w:tcPr>
            <w:tcW w:w="1914" w:type="dxa"/>
            <w:tcBorders>
              <w:top w:val="nil"/>
              <w:left w:val="single" w:sz="8" w:space="0" w:color="auto"/>
              <w:bottom w:val="nil"/>
              <w:right w:val="nil"/>
            </w:tcBorders>
            <w:shd w:val="clear" w:color="auto" w:fill="auto"/>
            <w:noWrap/>
            <w:vAlign w:val="bottom"/>
            <w:hideMark/>
          </w:tcPr>
          <w:p w14:paraId="1CA3128C" w14:textId="04A05E6B" w:rsidR="0030684A" w:rsidRPr="000C1A2B" w:rsidRDefault="00030864" w:rsidP="00504E8D">
            <w:pPr>
              <w:keepNext/>
              <w:keepLines/>
              <w:jc w:val="left"/>
              <w:rPr>
                <w:rFonts w:cs="Calibri"/>
                <w:color w:val="000000"/>
              </w:rPr>
            </w:pPr>
            <w:r>
              <w:rPr>
                <w:rFonts w:cs="Calibri"/>
                <w:color w:val="000000"/>
              </w:rPr>
              <w:t xml:space="preserve">Budget </w:t>
            </w:r>
            <w:r w:rsidR="0030684A" w:rsidRPr="000C1A2B">
              <w:rPr>
                <w:rFonts w:cs="Calibri"/>
                <w:color w:val="000000"/>
              </w:rPr>
              <w:t xml:space="preserve">2023 </w:t>
            </w:r>
          </w:p>
        </w:tc>
        <w:tc>
          <w:tcPr>
            <w:tcW w:w="222" w:type="dxa"/>
            <w:tcBorders>
              <w:top w:val="nil"/>
              <w:left w:val="nil"/>
              <w:bottom w:val="nil"/>
              <w:right w:val="nil"/>
            </w:tcBorders>
            <w:shd w:val="clear" w:color="auto" w:fill="auto"/>
            <w:noWrap/>
            <w:vAlign w:val="bottom"/>
            <w:hideMark/>
          </w:tcPr>
          <w:p w14:paraId="370B4CB7" w14:textId="77777777" w:rsidR="0030684A" w:rsidRPr="000C1A2B" w:rsidRDefault="0030684A" w:rsidP="00504E8D">
            <w:pPr>
              <w:keepNext/>
              <w:keepLines/>
              <w:jc w:val="left"/>
              <w:rPr>
                <w:rFonts w:cs="Calibri"/>
                <w:color w:val="000000"/>
              </w:rPr>
            </w:pPr>
          </w:p>
        </w:tc>
        <w:tc>
          <w:tcPr>
            <w:tcW w:w="976" w:type="dxa"/>
            <w:tcBorders>
              <w:top w:val="nil"/>
              <w:left w:val="nil"/>
              <w:bottom w:val="nil"/>
              <w:right w:val="nil"/>
            </w:tcBorders>
            <w:shd w:val="clear" w:color="auto" w:fill="auto"/>
            <w:noWrap/>
            <w:vAlign w:val="bottom"/>
            <w:hideMark/>
          </w:tcPr>
          <w:p w14:paraId="478AE9BD" w14:textId="77777777" w:rsidR="0030684A" w:rsidRPr="000C1A2B" w:rsidRDefault="0030684A" w:rsidP="00504E8D">
            <w:pPr>
              <w:keepNext/>
              <w:keepLines/>
              <w:jc w:val="left"/>
              <w:rPr>
                <w:sz w:val="20"/>
                <w:szCs w:val="20"/>
              </w:rPr>
            </w:pPr>
          </w:p>
        </w:tc>
        <w:tc>
          <w:tcPr>
            <w:tcW w:w="1203" w:type="dxa"/>
            <w:tcBorders>
              <w:top w:val="nil"/>
              <w:left w:val="nil"/>
              <w:bottom w:val="nil"/>
              <w:right w:val="nil"/>
            </w:tcBorders>
            <w:shd w:val="clear" w:color="auto" w:fill="auto"/>
            <w:noWrap/>
            <w:vAlign w:val="bottom"/>
            <w:hideMark/>
          </w:tcPr>
          <w:p w14:paraId="3735C8A9" w14:textId="77777777" w:rsidR="0030684A" w:rsidRPr="000C1A2B" w:rsidRDefault="0030684A" w:rsidP="00504E8D">
            <w:pPr>
              <w:keepNext/>
              <w:keepLines/>
              <w:jc w:val="center"/>
              <w:rPr>
                <w:rFonts w:cs="Calibri"/>
                <w:color w:val="000000"/>
              </w:rPr>
            </w:pPr>
            <w:r w:rsidRPr="000C1A2B">
              <w:rPr>
                <w:rFonts w:cs="Calibri"/>
                <w:color w:val="000000"/>
              </w:rPr>
              <w:t>16,864</w:t>
            </w:r>
          </w:p>
        </w:tc>
        <w:tc>
          <w:tcPr>
            <w:tcW w:w="1203" w:type="dxa"/>
            <w:tcBorders>
              <w:top w:val="nil"/>
              <w:left w:val="nil"/>
              <w:bottom w:val="nil"/>
              <w:right w:val="nil"/>
            </w:tcBorders>
            <w:shd w:val="clear" w:color="auto" w:fill="auto"/>
            <w:noWrap/>
            <w:vAlign w:val="bottom"/>
            <w:hideMark/>
          </w:tcPr>
          <w:p w14:paraId="255FBC6F" w14:textId="77777777" w:rsidR="0030684A" w:rsidRPr="000C1A2B" w:rsidRDefault="0030684A" w:rsidP="00504E8D">
            <w:pPr>
              <w:keepNext/>
              <w:keepLines/>
              <w:jc w:val="center"/>
              <w:rPr>
                <w:rFonts w:cs="Calibri"/>
                <w:color w:val="000000"/>
              </w:rPr>
            </w:pPr>
            <w:r w:rsidRPr="000C1A2B">
              <w:rPr>
                <w:rFonts w:cs="Calibri"/>
                <w:color w:val="000000"/>
              </w:rPr>
              <w:t>17,459</w:t>
            </w:r>
          </w:p>
        </w:tc>
        <w:tc>
          <w:tcPr>
            <w:tcW w:w="1203" w:type="dxa"/>
            <w:tcBorders>
              <w:top w:val="nil"/>
              <w:left w:val="nil"/>
              <w:bottom w:val="nil"/>
              <w:right w:val="single" w:sz="8" w:space="0" w:color="auto"/>
            </w:tcBorders>
            <w:shd w:val="clear" w:color="auto" w:fill="auto"/>
            <w:noWrap/>
            <w:vAlign w:val="bottom"/>
            <w:hideMark/>
          </w:tcPr>
          <w:p w14:paraId="64CCBB46" w14:textId="77777777" w:rsidR="0030684A" w:rsidRPr="000C1A2B" w:rsidRDefault="0030684A" w:rsidP="00504E8D">
            <w:pPr>
              <w:keepNext/>
              <w:keepLines/>
              <w:jc w:val="center"/>
              <w:rPr>
                <w:rFonts w:cs="Calibri"/>
                <w:color w:val="000000"/>
              </w:rPr>
            </w:pPr>
            <w:r w:rsidRPr="000C1A2B">
              <w:rPr>
                <w:rFonts w:cs="Calibri"/>
                <w:color w:val="000000"/>
              </w:rPr>
              <w:t>19,019</w:t>
            </w:r>
          </w:p>
        </w:tc>
      </w:tr>
      <w:tr w:rsidR="0030684A" w:rsidRPr="000C1A2B" w14:paraId="2A5599C8" w14:textId="77777777" w:rsidTr="6506DB8F">
        <w:trPr>
          <w:trHeight w:val="300"/>
          <w:jc w:val="center"/>
        </w:trPr>
        <w:tc>
          <w:tcPr>
            <w:tcW w:w="3112" w:type="dxa"/>
            <w:gridSpan w:val="3"/>
            <w:tcBorders>
              <w:top w:val="nil"/>
              <w:left w:val="single" w:sz="8" w:space="0" w:color="auto"/>
              <w:bottom w:val="nil"/>
              <w:right w:val="nil"/>
            </w:tcBorders>
            <w:shd w:val="clear" w:color="auto" w:fill="auto"/>
            <w:noWrap/>
            <w:vAlign w:val="bottom"/>
            <w:hideMark/>
          </w:tcPr>
          <w:p w14:paraId="3C6B92A8" w14:textId="7267009D" w:rsidR="0030684A" w:rsidRPr="000C1A2B" w:rsidRDefault="0030684A" w:rsidP="00504E8D">
            <w:pPr>
              <w:keepNext/>
              <w:keepLines/>
              <w:jc w:val="left"/>
              <w:rPr>
                <w:rFonts w:cs="Calibri"/>
                <w:color w:val="000000"/>
              </w:rPr>
            </w:pPr>
            <w:r w:rsidRPr="000C1A2B">
              <w:rPr>
                <w:rFonts w:cs="Calibri"/>
                <w:color w:val="000000"/>
              </w:rPr>
              <w:t>2023 IRP Update</w:t>
            </w:r>
          </w:p>
        </w:tc>
        <w:tc>
          <w:tcPr>
            <w:tcW w:w="1203" w:type="dxa"/>
            <w:tcBorders>
              <w:top w:val="nil"/>
              <w:left w:val="nil"/>
              <w:bottom w:val="nil"/>
              <w:right w:val="nil"/>
            </w:tcBorders>
            <w:shd w:val="clear" w:color="auto" w:fill="auto"/>
            <w:noWrap/>
            <w:vAlign w:val="bottom"/>
            <w:hideMark/>
          </w:tcPr>
          <w:p w14:paraId="05E6118C" w14:textId="77777777" w:rsidR="0030684A" w:rsidRPr="000C1A2B" w:rsidRDefault="0030684A" w:rsidP="00504E8D">
            <w:pPr>
              <w:keepNext/>
              <w:keepLines/>
              <w:jc w:val="center"/>
              <w:rPr>
                <w:rFonts w:cs="Calibri"/>
                <w:color w:val="000000"/>
              </w:rPr>
            </w:pPr>
            <w:r w:rsidRPr="000C1A2B">
              <w:rPr>
                <w:rFonts w:cs="Calibri"/>
                <w:color w:val="000000"/>
              </w:rPr>
              <w:t>20,551</w:t>
            </w:r>
          </w:p>
        </w:tc>
        <w:tc>
          <w:tcPr>
            <w:tcW w:w="1203" w:type="dxa"/>
            <w:tcBorders>
              <w:top w:val="nil"/>
              <w:left w:val="nil"/>
              <w:bottom w:val="nil"/>
              <w:right w:val="nil"/>
            </w:tcBorders>
            <w:shd w:val="clear" w:color="auto" w:fill="auto"/>
            <w:noWrap/>
            <w:vAlign w:val="bottom"/>
            <w:hideMark/>
          </w:tcPr>
          <w:p w14:paraId="663BEB85" w14:textId="77777777" w:rsidR="0030684A" w:rsidRPr="000C1A2B" w:rsidRDefault="0030684A" w:rsidP="00504E8D">
            <w:pPr>
              <w:keepNext/>
              <w:keepLines/>
              <w:jc w:val="center"/>
              <w:rPr>
                <w:rFonts w:cs="Calibri"/>
                <w:color w:val="000000"/>
              </w:rPr>
            </w:pPr>
            <w:r w:rsidRPr="000C1A2B">
              <w:rPr>
                <w:rFonts w:cs="Calibri"/>
                <w:color w:val="000000"/>
              </w:rPr>
              <w:t>22,353</w:t>
            </w:r>
          </w:p>
        </w:tc>
        <w:tc>
          <w:tcPr>
            <w:tcW w:w="1203" w:type="dxa"/>
            <w:tcBorders>
              <w:top w:val="nil"/>
              <w:left w:val="nil"/>
              <w:bottom w:val="nil"/>
              <w:right w:val="single" w:sz="8" w:space="0" w:color="auto"/>
            </w:tcBorders>
            <w:shd w:val="clear" w:color="auto" w:fill="auto"/>
            <w:noWrap/>
            <w:vAlign w:val="bottom"/>
            <w:hideMark/>
          </w:tcPr>
          <w:p w14:paraId="23C727FB" w14:textId="77777777" w:rsidR="0030684A" w:rsidRPr="000C1A2B" w:rsidRDefault="0030684A" w:rsidP="00504E8D">
            <w:pPr>
              <w:keepNext/>
              <w:keepLines/>
              <w:jc w:val="center"/>
              <w:rPr>
                <w:rFonts w:cs="Calibri"/>
                <w:color w:val="000000"/>
              </w:rPr>
            </w:pPr>
            <w:r w:rsidRPr="000C1A2B">
              <w:rPr>
                <w:rFonts w:cs="Calibri"/>
                <w:color w:val="000000"/>
              </w:rPr>
              <w:t>25,033</w:t>
            </w:r>
          </w:p>
        </w:tc>
      </w:tr>
      <w:tr w:rsidR="0030684A" w:rsidRPr="000C1A2B" w14:paraId="66806E3F" w14:textId="77777777" w:rsidTr="6506DB8F">
        <w:trPr>
          <w:trHeight w:val="300"/>
          <w:jc w:val="center"/>
        </w:trPr>
        <w:tc>
          <w:tcPr>
            <w:tcW w:w="1914" w:type="dxa"/>
            <w:tcBorders>
              <w:top w:val="nil"/>
              <w:left w:val="single" w:sz="8" w:space="0" w:color="auto"/>
              <w:bottom w:val="nil"/>
              <w:right w:val="nil"/>
            </w:tcBorders>
            <w:shd w:val="clear" w:color="auto" w:fill="auto"/>
            <w:noWrap/>
            <w:vAlign w:val="bottom"/>
            <w:hideMark/>
          </w:tcPr>
          <w:p w14:paraId="30F96014" w14:textId="77777777" w:rsidR="0030684A" w:rsidRPr="000C1A2B" w:rsidRDefault="0030684A" w:rsidP="00504E8D">
            <w:pPr>
              <w:keepNext/>
              <w:keepLines/>
              <w:jc w:val="left"/>
              <w:rPr>
                <w:rFonts w:cs="Calibri"/>
                <w:color w:val="000000"/>
              </w:rPr>
            </w:pPr>
            <w:r w:rsidRPr="000C1A2B">
              <w:rPr>
                <w:rFonts w:cs="Calibri"/>
                <w:color w:val="000000"/>
              </w:rPr>
              <w:t> </w:t>
            </w:r>
          </w:p>
        </w:tc>
        <w:tc>
          <w:tcPr>
            <w:tcW w:w="222" w:type="dxa"/>
            <w:tcBorders>
              <w:top w:val="nil"/>
              <w:left w:val="nil"/>
              <w:bottom w:val="nil"/>
              <w:right w:val="nil"/>
            </w:tcBorders>
            <w:shd w:val="clear" w:color="auto" w:fill="auto"/>
            <w:noWrap/>
            <w:vAlign w:val="bottom"/>
            <w:hideMark/>
          </w:tcPr>
          <w:p w14:paraId="69E7B19C" w14:textId="77777777" w:rsidR="0030684A" w:rsidRPr="000C1A2B" w:rsidRDefault="0030684A" w:rsidP="00504E8D">
            <w:pPr>
              <w:keepNext/>
              <w:keepLines/>
              <w:jc w:val="left"/>
              <w:rPr>
                <w:rFonts w:cs="Calibri"/>
                <w:color w:val="000000"/>
              </w:rPr>
            </w:pPr>
          </w:p>
        </w:tc>
        <w:tc>
          <w:tcPr>
            <w:tcW w:w="976" w:type="dxa"/>
            <w:tcBorders>
              <w:top w:val="nil"/>
              <w:left w:val="nil"/>
              <w:bottom w:val="nil"/>
              <w:right w:val="nil"/>
            </w:tcBorders>
            <w:shd w:val="clear" w:color="auto" w:fill="auto"/>
            <w:noWrap/>
            <w:vAlign w:val="bottom"/>
            <w:hideMark/>
          </w:tcPr>
          <w:p w14:paraId="78959F69" w14:textId="77777777" w:rsidR="0030684A" w:rsidRPr="000C1A2B" w:rsidRDefault="0030684A" w:rsidP="00504E8D">
            <w:pPr>
              <w:keepNext/>
              <w:keepLines/>
              <w:jc w:val="left"/>
              <w:rPr>
                <w:sz w:val="20"/>
                <w:szCs w:val="20"/>
              </w:rPr>
            </w:pPr>
          </w:p>
        </w:tc>
        <w:tc>
          <w:tcPr>
            <w:tcW w:w="1203" w:type="dxa"/>
            <w:tcBorders>
              <w:top w:val="nil"/>
              <w:left w:val="nil"/>
              <w:bottom w:val="nil"/>
              <w:right w:val="nil"/>
            </w:tcBorders>
            <w:shd w:val="clear" w:color="auto" w:fill="auto"/>
            <w:noWrap/>
            <w:vAlign w:val="bottom"/>
            <w:hideMark/>
          </w:tcPr>
          <w:p w14:paraId="1F117502" w14:textId="77777777" w:rsidR="0030684A" w:rsidRPr="000C1A2B" w:rsidRDefault="0030684A" w:rsidP="00504E8D">
            <w:pPr>
              <w:keepNext/>
              <w:keepLines/>
              <w:jc w:val="center"/>
              <w:rPr>
                <w:sz w:val="20"/>
                <w:szCs w:val="20"/>
              </w:rPr>
            </w:pPr>
          </w:p>
        </w:tc>
        <w:tc>
          <w:tcPr>
            <w:tcW w:w="1203" w:type="dxa"/>
            <w:tcBorders>
              <w:top w:val="nil"/>
              <w:left w:val="nil"/>
              <w:bottom w:val="nil"/>
              <w:right w:val="nil"/>
            </w:tcBorders>
            <w:shd w:val="clear" w:color="auto" w:fill="auto"/>
            <w:noWrap/>
            <w:vAlign w:val="bottom"/>
            <w:hideMark/>
          </w:tcPr>
          <w:p w14:paraId="7BC29CEC" w14:textId="77777777" w:rsidR="0030684A" w:rsidRPr="000C1A2B" w:rsidRDefault="0030684A" w:rsidP="00504E8D">
            <w:pPr>
              <w:keepNext/>
              <w:keepLines/>
              <w:jc w:val="center"/>
              <w:rPr>
                <w:sz w:val="20"/>
                <w:szCs w:val="20"/>
              </w:rPr>
            </w:pPr>
          </w:p>
        </w:tc>
        <w:tc>
          <w:tcPr>
            <w:tcW w:w="1203" w:type="dxa"/>
            <w:tcBorders>
              <w:top w:val="nil"/>
              <w:left w:val="nil"/>
              <w:bottom w:val="nil"/>
              <w:right w:val="single" w:sz="8" w:space="0" w:color="auto"/>
            </w:tcBorders>
            <w:shd w:val="clear" w:color="auto" w:fill="auto"/>
            <w:noWrap/>
            <w:vAlign w:val="bottom"/>
            <w:hideMark/>
          </w:tcPr>
          <w:p w14:paraId="740B09B6" w14:textId="77777777" w:rsidR="0030684A" w:rsidRPr="000C1A2B" w:rsidRDefault="0030684A" w:rsidP="00504E8D">
            <w:pPr>
              <w:keepNext/>
              <w:keepLines/>
              <w:jc w:val="center"/>
              <w:rPr>
                <w:rFonts w:cs="Calibri"/>
                <w:color w:val="000000"/>
              </w:rPr>
            </w:pPr>
          </w:p>
        </w:tc>
      </w:tr>
      <w:tr w:rsidR="0030684A" w:rsidRPr="000C1A2B" w14:paraId="16204A3C" w14:textId="77777777" w:rsidTr="6506DB8F">
        <w:trPr>
          <w:trHeight w:val="300"/>
          <w:jc w:val="center"/>
        </w:trPr>
        <w:tc>
          <w:tcPr>
            <w:tcW w:w="2136" w:type="dxa"/>
            <w:gridSpan w:val="2"/>
            <w:tcBorders>
              <w:top w:val="nil"/>
              <w:left w:val="single" w:sz="8" w:space="0" w:color="auto"/>
              <w:bottom w:val="nil"/>
              <w:right w:val="nil"/>
            </w:tcBorders>
            <w:shd w:val="clear" w:color="auto" w:fill="F2F2F2" w:themeFill="background1" w:themeFillShade="F2"/>
            <w:noWrap/>
            <w:vAlign w:val="bottom"/>
            <w:hideMark/>
          </w:tcPr>
          <w:p w14:paraId="68124CB6" w14:textId="77777777" w:rsidR="0030684A" w:rsidRPr="000C1A2B" w:rsidRDefault="0030684A" w:rsidP="00504E8D">
            <w:pPr>
              <w:keepNext/>
              <w:keepLines/>
              <w:jc w:val="left"/>
              <w:rPr>
                <w:rFonts w:cs="Calibri"/>
                <w:b/>
                <w:bCs/>
                <w:color w:val="000000"/>
              </w:rPr>
            </w:pPr>
            <w:r w:rsidRPr="000C1A2B">
              <w:rPr>
                <w:rFonts w:cs="Calibri"/>
                <w:b/>
                <w:bCs/>
                <w:color w:val="000000"/>
              </w:rPr>
              <w:t>Forecast Change</w:t>
            </w:r>
          </w:p>
        </w:tc>
        <w:tc>
          <w:tcPr>
            <w:tcW w:w="976" w:type="dxa"/>
            <w:tcBorders>
              <w:top w:val="nil"/>
              <w:left w:val="nil"/>
              <w:bottom w:val="nil"/>
              <w:right w:val="nil"/>
            </w:tcBorders>
            <w:shd w:val="clear" w:color="auto" w:fill="F2F2F2" w:themeFill="background1" w:themeFillShade="F2"/>
            <w:noWrap/>
            <w:vAlign w:val="bottom"/>
            <w:hideMark/>
          </w:tcPr>
          <w:p w14:paraId="2115DC8D" w14:textId="77777777" w:rsidR="0030684A" w:rsidRPr="000C1A2B" w:rsidRDefault="0030684A" w:rsidP="00504E8D">
            <w:pPr>
              <w:keepNext/>
              <w:keepLines/>
              <w:jc w:val="left"/>
              <w:rPr>
                <w:rFonts w:cs="Calibri"/>
                <w:color w:val="000000"/>
              </w:rPr>
            </w:pPr>
            <w:r w:rsidRPr="000C1A2B">
              <w:rPr>
                <w:rFonts w:cs="Calibri"/>
                <w:color w:val="000000"/>
              </w:rPr>
              <w:t> </w:t>
            </w:r>
          </w:p>
        </w:tc>
        <w:tc>
          <w:tcPr>
            <w:tcW w:w="1203" w:type="dxa"/>
            <w:tcBorders>
              <w:top w:val="nil"/>
              <w:left w:val="nil"/>
              <w:bottom w:val="nil"/>
              <w:right w:val="nil"/>
            </w:tcBorders>
            <w:shd w:val="clear" w:color="auto" w:fill="F2F2F2" w:themeFill="background1" w:themeFillShade="F2"/>
            <w:noWrap/>
            <w:vAlign w:val="bottom"/>
            <w:hideMark/>
          </w:tcPr>
          <w:p w14:paraId="5EBADF6B" w14:textId="77777777" w:rsidR="0030684A" w:rsidRPr="000C1A2B" w:rsidRDefault="0030684A" w:rsidP="00504E8D">
            <w:pPr>
              <w:keepNext/>
              <w:keepLines/>
              <w:jc w:val="center"/>
              <w:rPr>
                <w:rFonts w:cs="Calibri"/>
                <w:color w:val="000000"/>
              </w:rPr>
            </w:pPr>
          </w:p>
        </w:tc>
        <w:tc>
          <w:tcPr>
            <w:tcW w:w="1203" w:type="dxa"/>
            <w:tcBorders>
              <w:top w:val="nil"/>
              <w:left w:val="nil"/>
              <w:bottom w:val="nil"/>
              <w:right w:val="nil"/>
            </w:tcBorders>
            <w:shd w:val="clear" w:color="auto" w:fill="F2F2F2" w:themeFill="background1" w:themeFillShade="F2"/>
            <w:noWrap/>
            <w:vAlign w:val="bottom"/>
            <w:hideMark/>
          </w:tcPr>
          <w:p w14:paraId="4219EFAD" w14:textId="77777777" w:rsidR="0030684A" w:rsidRPr="000C1A2B" w:rsidRDefault="0030684A" w:rsidP="00504E8D">
            <w:pPr>
              <w:keepNext/>
              <w:keepLines/>
              <w:jc w:val="center"/>
              <w:rPr>
                <w:rFonts w:cs="Calibri"/>
                <w:color w:val="000000"/>
              </w:rPr>
            </w:pPr>
          </w:p>
        </w:tc>
        <w:tc>
          <w:tcPr>
            <w:tcW w:w="1203" w:type="dxa"/>
            <w:tcBorders>
              <w:top w:val="nil"/>
              <w:left w:val="nil"/>
              <w:bottom w:val="nil"/>
              <w:right w:val="single" w:sz="8" w:space="0" w:color="auto"/>
            </w:tcBorders>
            <w:shd w:val="clear" w:color="auto" w:fill="F2F2F2" w:themeFill="background1" w:themeFillShade="F2"/>
            <w:noWrap/>
            <w:vAlign w:val="bottom"/>
            <w:hideMark/>
          </w:tcPr>
          <w:p w14:paraId="780C9796" w14:textId="77777777" w:rsidR="0030684A" w:rsidRPr="000C1A2B" w:rsidRDefault="0030684A" w:rsidP="00504E8D">
            <w:pPr>
              <w:keepNext/>
              <w:keepLines/>
              <w:jc w:val="center"/>
              <w:rPr>
                <w:rFonts w:cs="Calibri"/>
                <w:color w:val="000000"/>
              </w:rPr>
            </w:pPr>
          </w:p>
        </w:tc>
      </w:tr>
      <w:tr w:rsidR="0030684A" w:rsidRPr="000C1A2B" w14:paraId="00145539" w14:textId="77777777" w:rsidTr="6506DB8F">
        <w:trPr>
          <w:trHeight w:val="300"/>
          <w:jc w:val="center"/>
        </w:trPr>
        <w:tc>
          <w:tcPr>
            <w:tcW w:w="2136" w:type="dxa"/>
            <w:gridSpan w:val="2"/>
            <w:tcBorders>
              <w:top w:val="nil"/>
              <w:left w:val="single" w:sz="8" w:space="0" w:color="auto"/>
              <w:bottom w:val="nil"/>
              <w:right w:val="nil"/>
            </w:tcBorders>
            <w:shd w:val="clear" w:color="auto" w:fill="auto"/>
            <w:noWrap/>
            <w:vAlign w:val="bottom"/>
            <w:hideMark/>
          </w:tcPr>
          <w:p w14:paraId="6FCC9345" w14:textId="1752E9C4" w:rsidR="0030684A" w:rsidRPr="000C1A2B" w:rsidRDefault="0030684A" w:rsidP="00504E8D">
            <w:pPr>
              <w:keepNext/>
              <w:keepLines/>
              <w:jc w:val="left"/>
              <w:rPr>
                <w:rFonts w:cs="Calibri"/>
                <w:color w:val="000000"/>
              </w:rPr>
            </w:pPr>
            <w:r w:rsidRPr="000C1A2B">
              <w:rPr>
                <w:rFonts w:cs="Calibri"/>
                <w:color w:val="000000"/>
              </w:rPr>
              <w:t xml:space="preserve">2022 to </w:t>
            </w:r>
            <w:r w:rsidR="00030864">
              <w:rPr>
                <w:rFonts w:cs="Calibri"/>
                <w:color w:val="000000"/>
              </w:rPr>
              <w:t xml:space="preserve">Budget </w:t>
            </w:r>
            <w:r w:rsidRPr="000C1A2B">
              <w:rPr>
                <w:rFonts w:cs="Calibri"/>
                <w:color w:val="000000"/>
              </w:rPr>
              <w:t xml:space="preserve">2023 </w:t>
            </w:r>
          </w:p>
        </w:tc>
        <w:tc>
          <w:tcPr>
            <w:tcW w:w="976" w:type="dxa"/>
            <w:tcBorders>
              <w:top w:val="nil"/>
              <w:left w:val="nil"/>
              <w:bottom w:val="nil"/>
              <w:right w:val="nil"/>
            </w:tcBorders>
            <w:shd w:val="clear" w:color="auto" w:fill="auto"/>
            <w:noWrap/>
            <w:vAlign w:val="bottom"/>
            <w:hideMark/>
          </w:tcPr>
          <w:p w14:paraId="163AB61B" w14:textId="77777777" w:rsidR="0030684A" w:rsidRPr="000C1A2B" w:rsidRDefault="0030684A" w:rsidP="00504E8D">
            <w:pPr>
              <w:keepNext/>
              <w:keepLines/>
              <w:jc w:val="left"/>
              <w:rPr>
                <w:rFonts w:cs="Calibri"/>
                <w:color w:val="000000"/>
              </w:rPr>
            </w:pPr>
          </w:p>
        </w:tc>
        <w:tc>
          <w:tcPr>
            <w:tcW w:w="1203" w:type="dxa"/>
            <w:tcBorders>
              <w:top w:val="nil"/>
              <w:left w:val="nil"/>
              <w:bottom w:val="nil"/>
              <w:right w:val="nil"/>
            </w:tcBorders>
            <w:shd w:val="clear" w:color="auto" w:fill="auto"/>
            <w:noWrap/>
            <w:vAlign w:val="bottom"/>
            <w:hideMark/>
          </w:tcPr>
          <w:p w14:paraId="6568DCFC" w14:textId="77777777" w:rsidR="0030684A" w:rsidRPr="000C1A2B" w:rsidRDefault="0030684A" w:rsidP="00504E8D">
            <w:pPr>
              <w:keepNext/>
              <w:keepLines/>
              <w:jc w:val="center"/>
              <w:rPr>
                <w:rFonts w:cs="Calibri"/>
                <w:color w:val="000000"/>
              </w:rPr>
            </w:pPr>
            <w:r w:rsidRPr="000C1A2B">
              <w:rPr>
                <w:rFonts w:cs="Calibri"/>
                <w:color w:val="000000"/>
              </w:rPr>
              <w:t>1,104</w:t>
            </w:r>
          </w:p>
        </w:tc>
        <w:tc>
          <w:tcPr>
            <w:tcW w:w="1203" w:type="dxa"/>
            <w:tcBorders>
              <w:top w:val="nil"/>
              <w:left w:val="nil"/>
              <w:bottom w:val="nil"/>
              <w:right w:val="nil"/>
            </w:tcBorders>
            <w:shd w:val="clear" w:color="auto" w:fill="auto"/>
            <w:noWrap/>
            <w:vAlign w:val="bottom"/>
            <w:hideMark/>
          </w:tcPr>
          <w:p w14:paraId="02F28BB6" w14:textId="77777777" w:rsidR="0030684A" w:rsidRPr="000C1A2B" w:rsidRDefault="0030684A" w:rsidP="00504E8D">
            <w:pPr>
              <w:keepNext/>
              <w:keepLines/>
              <w:jc w:val="center"/>
              <w:rPr>
                <w:rFonts w:cs="Calibri"/>
                <w:color w:val="000000"/>
              </w:rPr>
            </w:pPr>
            <w:r w:rsidRPr="000C1A2B">
              <w:rPr>
                <w:rFonts w:cs="Calibri"/>
                <w:color w:val="000000"/>
              </w:rPr>
              <w:t>1,210</w:t>
            </w:r>
          </w:p>
        </w:tc>
        <w:tc>
          <w:tcPr>
            <w:tcW w:w="1203" w:type="dxa"/>
            <w:tcBorders>
              <w:top w:val="nil"/>
              <w:left w:val="nil"/>
              <w:bottom w:val="nil"/>
              <w:right w:val="single" w:sz="8" w:space="0" w:color="auto"/>
            </w:tcBorders>
            <w:shd w:val="clear" w:color="auto" w:fill="auto"/>
            <w:noWrap/>
            <w:vAlign w:val="bottom"/>
            <w:hideMark/>
          </w:tcPr>
          <w:p w14:paraId="2DE688A1" w14:textId="77777777" w:rsidR="0030684A" w:rsidRPr="000C1A2B" w:rsidRDefault="0030684A" w:rsidP="00504E8D">
            <w:pPr>
              <w:keepNext/>
              <w:keepLines/>
              <w:jc w:val="center"/>
              <w:rPr>
                <w:rFonts w:cs="Calibri"/>
                <w:color w:val="000000"/>
              </w:rPr>
            </w:pPr>
            <w:r w:rsidRPr="000C1A2B">
              <w:rPr>
                <w:rFonts w:cs="Calibri"/>
                <w:color w:val="000000"/>
              </w:rPr>
              <w:t>851</w:t>
            </w:r>
          </w:p>
        </w:tc>
      </w:tr>
      <w:tr w:rsidR="0030684A" w:rsidRPr="000C1A2B" w14:paraId="6C927E86" w14:textId="77777777" w:rsidTr="6506DB8F">
        <w:trPr>
          <w:trHeight w:val="315"/>
          <w:jc w:val="center"/>
        </w:trPr>
        <w:tc>
          <w:tcPr>
            <w:tcW w:w="3112" w:type="dxa"/>
            <w:gridSpan w:val="3"/>
            <w:tcBorders>
              <w:top w:val="nil"/>
              <w:left w:val="single" w:sz="8" w:space="0" w:color="auto"/>
              <w:bottom w:val="single" w:sz="8" w:space="0" w:color="auto"/>
              <w:right w:val="nil"/>
            </w:tcBorders>
            <w:shd w:val="clear" w:color="auto" w:fill="auto"/>
            <w:noWrap/>
            <w:vAlign w:val="bottom"/>
            <w:hideMark/>
          </w:tcPr>
          <w:p w14:paraId="27160FD3" w14:textId="77777777" w:rsidR="0030684A" w:rsidRPr="000C1A2B" w:rsidRDefault="0030684A" w:rsidP="00504E8D">
            <w:pPr>
              <w:keepNext/>
              <w:keepLines/>
              <w:jc w:val="left"/>
              <w:rPr>
                <w:rFonts w:cs="Calibri"/>
                <w:color w:val="000000"/>
              </w:rPr>
            </w:pPr>
            <w:r w:rsidRPr="000C1A2B">
              <w:rPr>
                <w:rFonts w:cs="Calibri"/>
                <w:color w:val="000000"/>
              </w:rPr>
              <w:t>2022 to 2023 IRP Update</w:t>
            </w:r>
          </w:p>
        </w:tc>
        <w:tc>
          <w:tcPr>
            <w:tcW w:w="1203" w:type="dxa"/>
            <w:tcBorders>
              <w:top w:val="nil"/>
              <w:left w:val="nil"/>
              <w:bottom w:val="single" w:sz="8" w:space="0" w:color="auto"/>
              <w:right w:val="nil"/>
            </w:tcBorders>
            <w:shd w:val="clear" w:color="auto" w:fill="auto"/>
            <w:noWrap/>
            <w:vAlign w:val="bottom"/>
            <w:hideMark/>
          </w:tcPr>
          <w:p w14:paraId="1469DA43" w14:textId="77777777" w:rsidR="0030684A" w:rsidRPr="000C1A2B" w:rsidRDefault="0030684A" w:rsidP="00504E8D">
            <w:pPr>
              <w:keepNext/>
              <w:keepLines/>
              <w:jc w:val="center"/>
              <w:rPr>
                <w:rFonts w:cs="Calibri"/>
                <w:color w:val="000000"/>
              </w:rPr>
            </w:pPr>
            <w:r w:rsidRPr="000C1A2B">
              <w:rPr>
                <w:rFonts w:cs="Calibri"/>
                <w:color w:val="000000"/>
              </w:rPr>
              <w:t>4,791</w:t>
            </w:r>
          </w:p>
        </w:tc>
        <w:tc>
          <w:tcPr>
            <w:tcW w:w="1203" w:type="dxa"/>
            <w:tcBorders>
              <w:top w:val="nil"/>
              <w:left w:val="nil"/>
              <w:bottom w:val="single" w:sz="8" w:space="0" w:color="auto"/>
              <w:right w:val="nil"/>
            </w:tcBorders>
            <w:shd w:val="clear" w:color="auto" w:fill="auto"/>
            <w:noWrap/>
            <w:vAlign w:val="bottom"/>
            <w:hideMark/>
          </w:tcPr>
          <w:p w14:paraId="3BE6FDD4" w14:textId="77777777" w:rsidR="0030684A" w:rsidRPr="000C1A2B" w:rsidRDefault="0030684A" w:rsidP="00504E8D">
            <w:pPr>
              <w:keepNext/>
              <w:keepLines/>
              <w:jc w:val="center"/>
              <w:rPr>
                <w:rFonts w:cs="Calibri"/>
                <w:color w:val="000000"/>
              </w:rPr>
            </w:pPr>
            <w:r w:rsidRPr="000C1A2B">
              <w:rPr>
                <w:rFonts w:cs="Calibri"/>
                <w:color w:val="000000"/>
              </w:rPr>
              <w:t>6,103</w:t>
            </w:r>
          </w:p>
        </w:tc>
        <w:tc>
          <w:tcPr>
            <w:tcW w:w="1203" w:type="dxa"/>
            <w:tcBorders>
              <w:top w:val="nil"/>
              <w:left w:val="nil"/>
              <w:bottom w:val="single" w:sz="8" w:space="0" w:color="auto"/>
              <w:right w:val="single" w:sz="8" w:space="0" w:color="auto"/>
            </w:tcBorders>
            <w:shd w:val="clear" w:color="auto" w:fill="auto"/>
            <w:noWrap/>
            <w:vAlign w:val="bottom"/>
            <w:hideMark/>
          </w:tcPr>
          <w:p w14:paraId="27A47E6A" w14:textId="77777777" w:rsidR="0030684A" w:rsidRPr="000C1A2B" w:rsidRDefault="0030684A" w:rsidP="00504E8D">
            <w:pPr>
              <w:keepNext/>
              <w:keepLines/>
              <w:jc w:val="center"/>
              <w:rPr>
                <w:rFonts w:cs="Calibri"/>
                <w:color w:val="000000"/>
              </w:rPr>
            </w:pPr>
            <w:r w:rsidRPr="000C1A2B">
              <w:rPr>
                <w:rFonts w:cs="Calibri"/>
                <w:color w:val="000000"/>
              </w:rPr>
              <w:t>6,865</w:t>
            </w:r>
          </w:p>
        </w:tc>
      </w:tr>
    </w:tbl>
    <w:p w14:paraId="4B0CC899" w14:textId="77777777" w:rsidR="0030684A" w:rsidRDefault="0030684A" w:rsidP="00626BBA">
      <w:pPr>
        <w:pStyle w:val="Answers"/>
      </w:pPr>
    </w:p>
    <w:p w14:paraId="44788167" w14:textId="0F637ADE" w:rsidR="0030684A" w:rsidRDefault="0030684A" w:rsidP="00626BBA">
      <w:pPr>
        <w:pStyle w:val="Answers"/>
        <w:rPr>
          <w:noProof/>
        </w:rPr>
      </w:pPr>
      <w:r>
        <w:tab/>
      </w:r>
      <w:r>
        <w:fldChar w:fldCharType="begin"/>
      </w:r>
      <w:r>
        <w:instrText xml:space="preserve"> REF _Ref157701613 \h </w:instrText>
      </w:r>
      <w:r>
        <w:fldChar w:fldCharType="separate"/>
      </w:r>
      <w:r w:rsidR="00D01697">
        <w:t xml:space="preserve">Figure </w:t>
      </w:r>
      <w:r w:rsidR="00D01697">
        <w:rPr>
          <w:noProof/>
        </w:rPr>
        <w:t>1</w:t>
      </w:r>
      <w:r>
        <w:fldChar w:fldCharType="end"/>
      </w:r>
      <w:r w:rsidR="33F08890">
        <w:t xml:space="preserve"> shows the peak demand forecasts filed for the 2022 IRP, the Budget 2023</w:t>
      </w:r>
      <w:r w:rsidR="68BC1FD0">
        <w:t xml:space="preserve"> </w:t>
      </w:r>
      <w:r w:rsidR="33A91368">
        <w:t>forecast</w:t>
      </w:r>
      <w:r w:rsidR="33F08890">
        <w:t>, and the 2023 IRP Update, within which the large load forecast is evaluated at the P95 level (2023 IRP Update, LRM P95)</w:t>
      </w:r>
      <w:r w:rsidR="68BC1FD0">
        <w:t>.</w:t>
      </w:r>
      <w:r w:rsidR="00D42C01">
        <w:rPr>
          <w:rStyle w:val="FootnoteReference"/>
        </w:rPr>
        <w:footnoteReference w:id="23"/>
      </w:r>
      <w:r w:rsidR="68BC1FD0">
        <w:t xml:space="preserve"> T</w:t>
      </w:r>
      <w:r w:rsidR="7E18BF49">
        <w:t>he</w:t>
      </w:r>
      <w:r w:rsidR="68BC1FD0">
        <w:t xml:space="preserve"> most</w:t>
      </w:r>
      <w:r w:rsidR="7E18BF49">
        <w:t xml:space="preserve"> </w:t>
      </w:r>
      <w:r w:rsidR="383F004D">
        <w:t>significant projected increases occur between</w:t>
      </w:r>
      <w:r w:rsidR="00B7604F">
        <w:t xml:space="preserve"> the winter</w:t>
      </w:r>
      <w:r w:rsidR="383F004D">
        <w:t xml:space="preserve"> </w:t>
      </w:r>
      <w:r w:rsidR="503AB3DD">
        <w:t>2024/2025</w:t>
      </w:r>
      <w:r w:rsidR="383F004D">
        <w:t xml:space="preserve"> and the </w:t>
      </w:r>
      <w:r w:rsidR="00B7604F">
        <w:t xml:space="preserve">winter </w:t>
      </w:r>
      <w:r w:rsidR="383F004D">
        <w:t>2032/2033</w:t>
      </w:r>
      <w:r w:rsidR="00B7604F">
        <w:t xml:space="preserve"> </w:t>
      </w:r>
      <w:r w:rsidR="383F004D">
        <w:t>– this excerpt is shown in Figure 2.</w:t>
      </w:r>
    </w:p>
    <w:p w14:paraId="5E0934DE" w14:textId="2DEA559E" w:rsidR="0030684A" w:rsidRDefault="000549B0" w:rsidP="00626BBA">
      <w:pPr>
        <w:pStyle w:val="Answers"/>
      </w:pPr>
      <w:r>
        <w:rPr>
          <w:noProof/>
        </w:rPr>
        <w:lastRenderedPageBreak/>
        <w:drawing>
          <wp:inline distT="0" distB="0" distL="0" distR="0" wp14:anchorId="11E36AA3" wp14:editId="707D843E">
            <wp:extent cx="5943600" cy="3299791"/>
            <wp:effectExtent l="0" t="0" r="0" b="15240"/>
            <wp:docPr id="960448808" name="Chart 1">
              <a:extLst xmlns:a="http://schemas.openxmlformats.org/drawingml/2006/main">
                <a:ext uri="{FF2B5EF4-FFF2-40B4-BE49-F238E27FC236}">
                  <a16:creationId xmlns:a16="http://schemas.microsoft.com/office/drawing/2014/main" id="{9EBCA9A2-F99F-31F6-BDAE-9D5AAB5015F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242F1887" w14:textId="69E18D67" w:rsidR="0030684A" w:rsidRPr="0030684A" w:rsidRDefault="0030684A" w:rsidP="005A1275">
      <w:pPr>
        <w:pStyle w:val="Caption"/>
        <w:keepLines/>
      </w:pPr>
      <w:bookmarkStart w:id="7" w:name="_Ref157701613"/>
      <w:r>
        <w:t xml:space="preserve">Figure </w:t>
      </w:r>
      <w:r>
        <w:fldChar w:fldCharType="begin"/>
      </w:r>
      <w:r>
        <w:instrText>SEQ Figure \* ARABIC</w:instrText>
      </w:r>
      <w:r>
        <w:fldChar w:fldCharType="separate"/>
      </w:r>
      <w:r w:rsidR="00D01697">
        <w:rPr>
          <w:noProof/>
        </w:rPr>
        <w:t>1</w:t>
      </w:r>
      <w:r>
        <w:fldChar w:fldCharType="end"/>
      </w:r>
      <w:bookmarkEnd w:id="7"/>
      <w:r>
        <w:t>: Selected GPC Peak Demand Forecasts</w:t>
      </w:r>
      <w:r w:rsidR="000549B0">
        <w:t xml:space="preserve"> and Adjustment for Large Loads</w:t>
      </w:r>
      <w:r>
        <w:rPr>
          <w:rStyle w:val="FootnoteReference"/>
        </w:rPr>
        <w:footnoteReference w:id="24"/>
      </w:r>
    </w:p>
    <w:p w14:paraId="0E4653B3" w14:textId="04D47331" w:rsidR="00EC70B0" w:rsidRDefault="00ED3178" w:rsidP="00EC70B0">
      <w:pPr>
        <w:pStyle w:val="Heading1"/>
      </w:pPr>
      <w:bookmarkStart w:id="8" w:name="_Ref158307269"/>
      <w:bookmarkStart w:id="9" w:name="_Ref158307272"/>
      <w:bookmarkStart w:id="10" w:name="_Ref158307279"/>
      <w:bookmarkStart w:id="11" w:name="_Toc158797847"/>
      <w:r>
        <w:t>V.</w:t>
      </w:r>
      <w:r>
        <w:tab/>
      </w:r>
      <w:r w:rsidR="00EC70B0">
        <w:t>Large Load Forecast – Load Realization Model</w:t>
      </w:r>
      <w:r w:rsidR="00F86387">
        <w:t xml:space="preserve"> Detailed Review</w:t>
      </w:r>
      <w:bookmarkEnd w:id="8"/>
      <w:bookmarkEnd w:id="9"/>
      <w:bookmarkEnd w:id="10"/>
      <w:bookmarkEnd w:id="11"/>
    </w:p>
    <w:p w14:paraId="703805E4" w14:textId="4C3D6F47" w:rsidR="00123893" w:rsidRDefault="00123893" w:rsidP="00123893">
      <w:pPr>
        <w:pStyle w:val="Question"/>
      </w:pPr>
      <w:proofErr w:type="gramStart"/>
      <w:r>
        <w:t>q.</w:t>
      </w:r>
      <w:proofErr w:type="gramEnd"/>
      <w:r>
        <w:tab/>
        <w:t>please summarize the structure of the load realization model.</w:t>
      </w:r>
      <w:r w:rsidR="00011928" w:rsidRPr="00011928">
        <w:rPr>
          <w:rStyle w:val="FootnoteReference"/>
        </w:rPr>
        <w:t xml:space="preserve"> </w:t>
      </w:r>
      <w:r w:rsidR="00011928">
        <w:rPr>
          <w:rStyle w:val="FootnoteReference"/>
        </w:rPr>
        <w:footnoteReference w:id="25"/>
      </w:r>
    </w:p>
    <w:p w14:paraId="4A0D4E11" w14:textId="78FF4EA2" w:rsidR="005904B3" w:rsidRDefault="0D6498FE" w:rsidP="00626BBA">
      <w:pPr>
        <w:pStyle w:val="Answers"/>
      </w:pPr>
      <w:r>
        <w:t>A.</w:t>
      </w:r>
      <w:r w:rsidR="00123893">
        <w:tab/>
      </w:r>
      <w:r w:rsidR="1BE5815A">
        <w:t>The Load Realization Model filed in October of 2023 evaluates a portfolio of 51 projects</w:t>
      </w:r>
      <w:r w:rsidR="2A75F581">
        <w:t>,</w:t>
      </w:r>
      <w:r w:rsidR="5EDDC72F">
        <w:t xml:space="preserve"> </w:t>
      </w:r>
      <w:r w:rsidR="0420C8F5">
        <w:t>which</w:t>
      </w:r>
      <w:r w:rsidR="7D7AFBC4">
        <w:t xml:space="preserve"> represented the known potential projects at the time of the analysis.  The Company has indicated that since filing this IRP Update additional projects have expressed interest in using Georgia Power as their electricity provider.</w:t>
      </w:r>
      <w:r w:rsidR="00D42C01">
        <w:rPr>
          <w:rStyle w:val="FootnoteReference"/>
        </w:rPr>
        <w:footnoteReference w:id="26"/>
      </w:r>
    </w:p>
    <w:p w14:paraId="42D82DDE" w14:textId="796B23C9" w:rsidR="00123893" w:rsidRDefault="005904B3" w:rsidP="00626BBA">
      <w:pPr>
        <w:pStyle w:val="Answers"/>
      </w:pPr>
      <w:r>
        <w:lastRenderedPageBreak/>
        <w:tab/>
      </w:r>
      <w:r>
        <w:tab/>
      </w:r>
      <w:r w:rsidR="48574666">
        <w:t xml:space="preserve">Based on the initial information received by the Company from the potential customer, the LRM forecasts the amount and timing </w:t>
      </w:r>
      <w:r w:rsidR="1F1ACB01">
        <w:t xml:space="preserve">of the </w:t>
      </w:r>
      <w:r w:rsidR="48574666">
        <w:t xml:space="preserve">load that will ultimately materialize.  </w:t>
      </w:r>
      <w:r w:rsidR="52F37A61">
        <w:t xml:space="preserve">For each project, the company estimates </w:t>
      </w:r>
      <w:r w:rsidR="2C88D263">
        <w:t>three</w:t>
      </w:r>
      <w:r w:rsidR="52F37A61">
        <w:t xml:space="preserve"> sets of assumptions through a series of Monte Carlo simulations:</w:t>
      </w:r>
    </w:p>
    <w:p w14:paraId="70B8B4EE" w14:textId="4263B040" w:rsidR="00011928" w:rsidRDefault="00011928" w:rsidP="00626BBA">
      <w:pPr>
        <w:pStyle w:val="Answers"/>
        <w:numPr>
          <w:ilvl w:val="0"/>
          <w:numId w:val="5"/>
        </w:numPr>
      </w:pPr>
      <w:r>
        <w:t xml:space="preserve">“Project Success” assumptions associated with the likelihood that a project will </w:t>
      </w:r>
      <w:r w:rsidR="0082054B">
        <w:t>select Georgia Power as its service provider</w:t>
      </w:r>
      <w:r>
        <w:t xml:space="preserve"> (0 or 1)</w:t>
      </w:r>
      <w:r w:rsidR="00CE63C9">
        <w:t>,</w:t>
      </w:r>
    </w:p>
    <w:p w14:paraId="06A65BBA" w14:textId="2A3E0DD0" w:rsidR="00011928" w:rsidRDefault="00011928" w:rsidP="00626BBA">
      <w:pPr>
        <w:pStyle w:val="Answers"/>
        <w:numPr>
          <w:ilvl w:val="0"/>
          <w:numId w:val="5"/>
        </w:numPr>
      </w:pPr>
      <w:r>
        <w:t>“Load Realization” assumptions associated with the extent to which said project’s load will materialize (</w:t>
      </w:r>
      <w:r w:rsidR="00CE24CE" w:rsidRPr="00CE24CE">
        <w:rPr>
          <w:highlight w:val="black"/>
        </w:rPr>
        <w:t>********</w:t>
      </w:r>
      <w:r w:rsidR="00CE63C9">
        <w:t xml:space="preserve">, </w:t>
      </w:r>
      <w:r w:rsidR="0082054B">
        <w:t xml:space="preserve">dependent </w:t>
      </w:r>
      <w:r w:rsidR="00CE63C9">
        <w:t>upon the industry</w:t>
      </w:r>
      <w:r>
        <w:t>)</w:t>
      </w:r>
      <w:r w:rsidR="00CE63C9">
        <w:t>, and</w:t>
      </w:r>
    </w:p>
    <w:p w14:paraId="0FDFF2AD" w14:textId="643039BB" w:rsidR="00CE63C9" w:rsidRDefault="00CE63C9" w:rsidP="00626BBA">
      <w:pPr>
        <w:pStyle w:val="Answers"/>
        <w:numPr>
          <w:ilvl w:val="0"/>
          <w:numId w:val="5"/>
        </w:numPr>
      </w:pPr>
      <w:r>
        <w:t xml:space="preserve">“Project Delay” assumptions associated with the extent to which quarterly peak demand might materialize in later quarters (ranging from </w:t>
      </w:r>
      <w:r w:rsidR="00CE24CE" w:rsidRPr="00CE24CE">
        <w:rPr>
          <w:highlight w:val="black"/>
        </w:rPr>
        <w:t>**********</w:t>
      </w:r>
      <w:r w:rsidR="00725FBA" w:rsidRPr="00725FBA">
        <w:rPr>
          <w:shd w:val="clear" w:color="auto" w:fill="000000" w:themeFill="text1"/>
        </w:rPr>
        <w:t xml:space="preserve"> </w:t>
      </w:r>
      <w:r w:rsidR="00CE24CE" w:rsidRPr="00CE24CE">
        <w:rPr>
          <w:highlight w:val="black"/>
        </w:rPr>
        <w:t>******************************</w:t>
      </w:r>
      <w:r>
        <w:t>).</w:t>
      </w:r>
    </w:p>
    <w:p w14:paraId="359AD556" w14:textId="6E15313F" w:rsidR="00011928" w:rsidRDefault="00011928" w:rsidP="00626BBA">
      <w:pPr>
        <w:pStyle w:val="Answers"/>
      </w:pPr>
      <w:r>
        <w:tab/>
        <w:t xml:space="preserve">These assumptions are applied to a quarterly load </w:t>
      </w:r>
      <w:r w:rsidR="00CE63C9">
        <w:t xml:space="preserve">schedule </w:t>
      </w:r>
      <w:r>
        <w:t xml:space="preserve">from Q1 2023 through Q4 2042. </w:t>
      </w:r>
      <w:r w:rsidR="00CE63C9" w:rsidRPr="00CE63C9">
        <w:t>The annual load/ramp-up data are provided by customer</w:t>
      </w:r>
      <w:r w:rsidR="008C6397">
        <w:t>/project</w:t>
      </w:r>
      <w:r w:rsidR="00CE63C9" w:rsidRPr="00CE63C9">
        <w:t xml:space="preserve">. If the customer also provides an expected Commercial Operation Date (“COD”), the COD is rounded up to the nearest quarter end, and the initial load is assumed to materialize at the rounded-up COD. If an expected COD is not specified, the initial load is assumed to materialize at the end of the </w:t>
      </w:r>
      <w:r w:rsidR="00143177" w:rsidRPr="00CE63C9">
        <w:t>second quarter</w:t>
      </w:r>
      <w:r w:rsidR="00143177">
        <w:t xml:space="preserve"> of the year in which it was reported</w:t>
      </w:r>
      <w:r w:rsidR="00DD405E">
        <w:t xml:space="preserve">, with </w:t>
      </w:r>
      <w:r w:rsidR="00CD7011">
        <w:t>load ramp up to full load occurring thereafter</w:t>
      </w:r>
      <w:r w:rsidR="00CE63C9" w:rsidRPr="00CE63C9">
        <w:t>.</w:t>
      </w:r>
      <w:r w:rsidR="00374882">
        <w:rPr>
          <w:rStyle w:val="FootnoteReference"/>
        </w:rPr>
        <w:footnoteReference w:id="27"/>
      </w:r>
      <w:r w:rsidR="00CE63C9" w:rsidRPr="00CE63C9">
        <w:t xml:space="preserve"> Linear interpolation is then used to create the quarterly load. </w:t>
      </w:r>
      <w:r w:rsidR="00CE63C9">
        <w:t>The company provides an in-depth demonstration</w:t>
      </w:r>
      <w:r w:rsidR="00CE63C9" w:rsidRPr="00CE63C9">
        <w:t xml:space="preserve"> in the “Example” tab of “TS-STF-DEA-1-15 Attachment.”</w:t>
      </w:r>
      <w:r w:rsidR="00CE63C9">
        <w:rPr>
          <w:rStyle w:val="FootnoteReference"/>
        </w:rPr>
        <w:footnoteReference w:id="28"/>
      </w:r>
    </w:p>
    <w:p w14:paraId="4D212CB1" w14:textId="42B936D7" w:rsidR="00011928" w:rsidRDefault="00011928" w:rsidP="00626BBA">
      <w:pPr>
        <w:pStyle w:val="Answers"/>
      </w:pPr>
      <w:r>
        <w:lastRenderedPageBreak/>
        <w:tab/>
      </w:r>
      <w:r w:rsidR="00CE63C9">
        <w:tab/>
      </w:r>
      <w:r w:rsidR="00CE63C9">
        <w:tab/>
      </w:r>
      <w:r w:rsidR="52F37A61">
        <w:t xml:space="preserve">Using an </w:t>
      </w:r>
      <w:r w:rsidR="48574666">
        <w:t>E</w:t>
      </w:r>
      <w:r w:rsidR="52F37A61">
        <w:t xml:space="preserve">xcel plug-in software called “@RISK,” the Company </w:t>
      </w:r>
      <w:r w:rsidR="2C88D263">
        <w:t>then applies the Project Success, Load Realization, and Project Delay assumptions to these quarterly loads across 100,000 iterations of Monte Carlo simulations. As a result, a new quarterly load schedule is developed for each project 100,000 times. The company then selects the 95</w:t>
      </w:r>
      <w:r w:rsidR="2C88D263" w:rsidRPr="00CE63C9">
        <w:rPr>
          <w:vertAlign w:val="superscript"/>
        </w:rPr>
        <w:t>th</w:t>
      </w:r>
      <w:r w:rsidR="2C88D263">
        <w:t xml:space="preserve"> percentile </w:t>
      </w:r>
      <w:r w:rsidR="403BAE4B">
        <w:t xml:space="preserve">(P95) </w:t>
      </w:r>
      <w:r w:rsidR="2C88D263">
        <w:t xml:space="preserve">results from these simulations </w:t>
      </w:r>
      <w:r w:rsidR="0D80D474">
        <w:t>producing</w:t>
      </w:r>
      <w:r w:rsidR="2C88D263">
        <w:t xml:space="preserve"> the resultant peak demand level. </w:t>
      </w:r>
      <w:r w:rsidR="0CC8DB66">
        <w:t xml:space="preserve">The </w:t>
      </w:r>
      <w:r w:rsidR="4CA38722">
        <w:t xml:space="preserve">P95 represents </w:t>
      </w:r>
      <w:r w:rsidR="62834CC4">
        <w:t xml:space="preserve">the </w:t>
      </w:r>
      <w:r w:rsidR="4CA38722">
        <w:t xml:space="preserve">forecast below which 95% of the simulations would fall and at which only 5% of the cases would exceed that value. </w:t>
      </w:r>
      <w:r w:rsidR="2C88D263">
        <w:t xml:space="preserve">This peak demand level is applied as an external adjustment to the organic </w:t>
      </w:r>
      <w:r w:rsidR="0D80D474">
        <w:t xml:space="preserve">peak </w:t>
      </w:r>
      <w:r w:rsidR="2C88D263">
        <w:t xml:space="preserve">load forecast. </w:t>
      </w:r>
    </w:p>
    <w:p w14:paraId="101EBA93" w14:textId="30DDA3AC" w:rsidR="00C46F89" w:rsidRDefault="00C46F89" w:rsidP="00626BBA">
      <w:pPr>
        <w:pStyle w:val="Answers"/>
      </w:pPr>
      <w:r>
        <w:tab/>
      </w:r>
      <w:r>
        <w:tab/>
      </w:r>
      <w:r>
        <w:tab/>
        <w:t xml:space="preserve">While final values may fluctuate due to the probabilistic nature of the model, the total P95 level </w:t>
      </w:r>
      <w:r w:rsidR="005570AC">
        <w:t xml:space="preserve">for end-of-year peak demand </w:t>
      </w:r>
      <w:r>
        <w:t>generally fluctuates around the values reported in</w:t>
      </w:r>
      <w:r w:rsidR="005570AC">
        <w:t xml:space="preserve"> </w:t>
      </w:r>
      <w:r w:rsidR="005570AC">
        <w:fldChar w:fldCharType="begin"/>
      </w:r>
      <w:r w:rsidR="005570AC">
        <w:instrText xml:space="preserve"> REF _Ref157786918 \h </w:instrText>
      </w:r>
      <w:r w:rsidR="005570AC">
        <w:fldChar w:fldCharType="separate"/>
      </w:r>
      <w:r w:rsidR="00D01697">
        <w:t xml:space="preserve">Table </w:t>
      </w:r>
      <w:r w:rsidR="00D01697">
        <w:rPr>
          <w:noProof/>
        </w:rPr>
        <w:t>3</w:t>
      </w:r>
      <w:r w:rsidR="005570AC">
        <w:fldChar w:fldCharType="end"/>
      </w:r>
      <w:r w:rsidR="008D2144">
        <w:t>, which demonstrates both LRM results rendered for this testimony as well as the results filed directly by the Company</w:t>
      </w:r>
      <w:r>
        <w:t>.</w:t>
      </w:r>
    </w:p>
    <w:p w14:paraId="62389CC5" w14:textId="657DB73D" w:rsidR="005570AC" w:rsidRDefault="005570AC" w:rsidP="00374882">
      <w:pPr>
        <w:pStyle w:val="Caption"/>
        <w:keepLines/>
      </w:pPr>
      <w:bookmarkStart w:id="12" w:name="_Ref157786918"/>
      <w:r>
        <w:t xml:space="preserve">Table </w:t>
      </w:r>
      <w:r>
        <w:fldChar w:fldCharType="begin"/>
      </w:r>
      <w:r>
        <w:instrText>SEQ Table \* ARABIC</w:instrText>
      </w:r>
      <w:r>
        <w:fldChar w:fldCharType="separate"/>
      </w:r>
      <w:r w:rsidR="00D01697">
        <w:rPr>
          <w:noProof/>
        </w:rPr>
        <w:t>3</w:t>
      </w:r>
      <w:r>
        <w:fldChar w:fldCharType="end"/>
      </w:r>
      <w:bookmarkEnd w:id="12"/>
      <w:r>
        <w:t>: Load Realization Model Results, P95</w:t>
      </w:r>
      <w:r>
        <w:rPr>
          <w:rStyle w:val="FootnoteReference"/>
        </w:rPr>
        <w:footnoteReference w:id="29"/>
      </w:r>
    </w:p>
    <w:tbl>
      <w:tblPr>
        <w:tblW w:w="998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67"/>
        <w:gridCol w:w="353"/>
        <w:gridCol w:w="352"/>
        <w:gridCol w:w="841"/>
        <w:gridCol w:w="841"/>
        <w:gridCol w:w="841"/>
        <w:gridCol w:w="842"/>
        <w:gridCol w:w="841"/>
        <w:gridCol w:w="841"/>
        <w:gridCol w:w="842"/>
        <w:gridCol w:w="841"/>
        <w:gridCol w:w="841"/>
        <w:gridCol w:w="842"/>
      </w:tblGrid>
      <w:tr w:rsidR="005570AC" w:rsidRPr="005570AC" w14:paraId="5F9DE9EF" w14:textId="77777777" w:rsidTr="005570AC">
        <w:trPr>
          <w:trHeight w:val="300"/>
        </w:trPr>
        <w:tc>
          <w:tcPr>
            <w:tcW w:w="867" w:type="dxa"/>
            <w:shd w:val="clear" w:color="auto" w:fill="DEEAF6" w:themeFill="accent5" w:themeFillTint="33"/>
            <w:noWrap/>
            <w:vAlign w:val="bottom"/>
            <w:hideMark/>
          </w:tcPr>
          <w:p w14:paraId="4C939031" w14:textId="77777777" w:rsidR="005570AC" w:rsidRPr="005570AC" w:rsidRDefault="005570AC" w:rsidP="005A1275">
            <w:pPr>
              <w:keepNext/>
              <w:keepLines/>
              <w:jc w:val="left"/>
              <w:rPr>
                <w:rFonts w:cs="Calibri"/>
                <w:b/>
                <w:bCs/>
                <w:color w:val="000000"/>
              </w:rPr>
            </w:pPr>
            <w:r w:rsidRPr="005570AC">
              <w:rPr>
                <w:rFonts w:cs="Calibri"/>
                <w:b/>
                <w:bCs/>
                <w:color w:val="000000"/>
              </w:rPr>
              <w:t>Model</w:t>
            </w:r>
          </w:p>
        </w:tc>
        <w:tc>
          <w:tcPr>
            <w:tcW w:w="353" w:type="dxa"/>
            <w:shd w:val="clear" w:color="auto" w:fill="DEEAF6" w:themeFill="accent5" w:themeFillTint="33"/>
            <w:noWrap/>
            <w:vAlign w:val="bottom"/>
            <w:hideMark/>
          </w:tcPr>
          <w:p w14:paraId="540F7BB8" w14:textId="77777777" w:rsidR="005570AC" w:rsidRPr="005570AC" w:rsidRDefault="005570AC" w:rsidP="005A1275">
            <w:pPr>
              <w:keepNext/>
              <w:keepLines/>
              <w:jc w:val="center"/>
              <w:rPr>
                <w:rFonts w:cs="Calibri"/>
                <w:b/>
                <w:bCs/>
                <w:color w:val="000000"/>
              </w:rPr>
            </w:pPr>
            <w:r w:rsidRPr="005570AC">
              <w:rPr>
                <w:rFonts w:cs="Calibri"/>
                <w:b/>
                <w:bCs/>
                <w:color w:val="000000"/>
              </w:rPr>
              <w:t> </w:t>
            </w:r>
          </w:p>
        </w:tc>
        <w:tc>
          <w:tcPr>
            <w:tcW w:w="352" w:type="dxa"/>
            <w:shd w:val="clear" w:color="auto" w:fill="DEEAF6" w:themeFill="accent5" w:themeFillTint="33"/>
            <w:noWrap/>
            <w:vAlign w:val="bottom"/>
            <w:hideMark/>
          </w:tcPr>
          <w:p w14:paraId="710A2C77" w14:textId="77777777" w:rsidR="005570AC" w:rsidRPr="005570AC" w:rsidRDefault="005570AC" w:rsidP="005A1275">
            <w:pPr>
              <w:keepNext/>
              <w:keepLines/>
              <w:jc w:val="center"/>
              <w:rPr>
                <w:rFonts w:cs="Calibri"/>
                <w:b/>
                <w:bCs/>
                <w:color w:val="000000"/>
              </w:rPr>
            </w:pPr>
            <w:r w:rsidRPr="005570AC">
              <w:rPr>
                <w:rFonts w:cs="Calibri"/>
                <w:b/>
                <w:bCs/>
                <w:color w:val="000000"/>
              </w:rPr>
              <w:t> </w:t>
            </w:r>
          </w:p>
        </w:tc>
        <w:tc>
          <w:tcPr>
            <w:tcW w:w="841" w:type="dxa"/>
            <w:shd w:val="clear" w:color="auto" w:fill="DEEAF6" w:themeFill="accent5" w:themeFillTint="33"/>
            <w:noWrap/>
            <w:vAlign w:val="bottom"/>
            <w:hideMark/>
          </w:tcPr>
          <w:p w14:paraId="2E58BD47" w14:textId="77777777" w:rsidR="005570AC" w:rsidRPr="005570AC" w:rsidRDefault="005570AC" w:rsidP="005A1275">
            <w:pPr>
              <w:keepNext/>
              <w:keepLines/>
              <w:jc w:val="center"/>
              <w:rPr>
                <w:rFonts w:cs="Calibri"/>
                <w:b/>
                <w:bCs/>
                <w:color w:val="000000"/>
              </w:rPr>
            </w:pPr>
            <w:r w:rsidRPr="005570AC">
              <w:rPr>
                <w:rFonts w:cs="Calibri"/>
                <w:b/>
                <w:bCs/>
                <w:color w:val="000000"/>
              </w:rPr>
              <w:t>2023/2024</w:t>
            </w:r>
          </w:p>
        </w:tc>
        <w:tc>
          <w:tcPr>
            <w:tcW w:w="841" w:type="dxa"/>
            <w:shd w:val="clear" w:color="auto" w:fill="DEEAF6" w:themeFill="accent5" w:themeFillTint="33"/>
            <w:noWrap/>
            <w:vAlign w:val="bottom"/>
            <w:hideMark/>
          </w:tcPr>
          <w:p w14:paraId="1D6223F0" w14:textId="77777777" w:rsidR="005570AC" w:rsidRPr="005570AC" w:rsidRDefault="005570AC" w:rsidP="005A1275">
            <w:pPr>
              <w:keepNext/>
              <w:keepLines/>
              <w:jc w:val="center"/>
              <w:rPr>
                <w:rFonts w:cs="Calibri"/>
                <w:b/>
                <w:bCs/>
                <w:color w:val="000000"/>
              </w:rPr>
            </w:pPr>
            <w:r w:rsidRPr="005570AC">
              <w:rPr>
                <w:rFonts w:cs="Calibri"/>
                <w:b/>
                <w:bCs/>
                <w:color w:val="000000"/>
              </w:rPr>
              <w:t>2024/2025</w:t>
            </w:r>
          </w:p>
        </w:tc>
        <w:tc>
          <w:tcPr>
            <w:tcW w:w="841" w:type="dxa"/>
            <w:shd w:val="clear" w:color="auto" w:fill="DEEAF6" w:themeFill="accent5" w:themeFillTint="33"/>
            <w:noWrap/>
            <w:vAlign w:val="bottom"/>
            <w:hideMark/>
          </w:tcPr>
          <w:p w14:paraId="59096B2E" w14:textId="77777777" w:rsidR="005570AC" w:rsidRPr="005570AC" w:rsidRDefault="005570AC" w:rsidP="005A1275">
            <w:pPr>
              <w:keepNext/>
              <w:keepLines/>
              <w:jc w:val="center"/>
              <w:rPr>
                <w:rFonts w:cs="Calibri"/>
                <w:b/>
                <w:bCs/>
                <w:color w:val="000000"/>
              </w:rPr>
            </w:pPr>
            <w:r w:rsidRPr="005570AC">
              <w:rPr>
                <w:rFonts w:cs="Calibri"/>
                <w:b/>
                <w:bCs/>
                <w:color w:val="000000"/>
              </w:rPr>
              <w:t>2025/2026</w:t>
            </w:r>
          </w:p>
        </w:tc>
        <w:tc>
          <w:tcPr>
            <w:tcW w:w="842" w:type="dxa"/>
            <w:shd w:val="clear" w:color="auto" w:fill="DEEAF6" w:themeFill="accent5" w:themeFillTint="33"/>
            <w:noWrap/>
            <w:vAlign w:val="bottom"/>
            <w:hideMark/>
          </w:tcPr>
          <w:p w14:paraId="59619801" w14:textId="77777777" w:rsidR="005570AC" w:rsidRPr="005570AC" w:rsidRDefault="005570AC" w:rsidP="005A1275">
            <w:pPr>
              <w:keepNext/>
              <w:keepLines/>
              <w:jc w:val="center"/>
              <w:rPr>
                <w:rFonts w:cs="Calibri"/>
                <w:b/>
                <w:bCs/>
                <w:color w:val="000000"/>
              </w:rPr>
            </w:pPr>
            <w:r w:rsidRPr="005570AC">
              <w:rPr>
                <w:rFonts w:cs="Calibri"/>
                <w:b/>
                <w:bCs/>
                <w:color w:val="000000"/>
              </w:rPr>
              <w:t>2026/2027</w:t>
            </w:r>
          </w:p>
        </w:tc>
        <w:tc>
          <w:tcPr>
            <w:tcW w:w="841" w:type="dxa"/>
            <w:shd w:val="clear" w:color="auto" w:fill="DEEAF6" w:themeFill="accent5" w:themeFillTint="33"/>
            <w:noWrap/>
            <w:vAlign w:val="bottom"/>
            <w:hideMark/>
          </w:tcPr>
          <w:p w14:paraId="10114578" w14:textId="77777777" w:rsidR="005570AC" w:rsidRPr="005570AC" w:rsidRDefault="005570AC" w:rsidP="005A1275">
            <w:pPr>
              <w:keepNext/>
              <w:keepLines/>
              <w:jc w:val="center"/>
              <w:rPr>
                <w:rFonts w:cs="Calibri"/>
                <w:b/>
                <w:bCs/>
                <w:color w:val="000000"/>
              </w:rPr>
            </w:pPr>
            <w:r w:rsidRPr="005570AC">
              <w:rPr>
                <w:rFonts w:cs="Calibri"/>
                <w:b/>
                <w:bCs/>
                <w:color w:val="000000"/>
              </w:rPr>
              <w:t>2027/2028</w:t>
            </w:r>
          </w:p>
        </w:tc>
        <w:tc>
          <w:tcPr>
            <w:tcW w:w="841" w:type="dxa"/>
            <w:shd w:val="clear" w:color="auto" w:fill="DEEAF6" w:themeFill="accent5" w:themeFillTint="33"/>
            <w:noWrap/>
            <w:vAlign w:val="bottom"/>
            <w:hideMark/>
          </w:tcPr>
          <w:p w14:paraId="01A2BDAD" w14:textId="77777777" w:rsidR="005570AC" w:rsidRPr="005570AC" w:rsidRDefault="005570AC" w:rsidP="005A1275">
            <w:pPr>
              <w:keepNext/>
              <w:keepLines/>
              <w:jc w:val="center"/>
              <w:rPr>
                <w:rFonts w:cs="Calibri"/>
                <w:b/>
                <w:bCs/>
                <w:color w:val="000000"/>
              </w:rPr>
            </w:pPr>
            <w:r w:rsidRPr="005570AC">
              <w:rPr>
                <w:rFonts w:cs="Calibri"/>
                <w:b/>
                <w:bCs/>
                <w:color w:val="000000"/>
              </w:rPr>
              <w:t>2028/2029</w:t>
            </w:r>
          </w:p>
        </w:tc>
        <w:tc>
          <w:tcPr>
            <w:tcW w:w="842" w:type="dxa"/>
            <w:shd w:val="clear" w:color="auto" w:fill="DEEAF6" w:themeFill="accent5" w:themeFillTint="33"/>
            <w:noWrap/>
            <w:vAlign w:val="bottom"/>
            <w:hideMark/>
          </w:tcPr>
          <w:p w14:paraId="5B534859" w14:textId="77777777" w:rsidR="005570AC" w:rsidRPr="005570AC" w:rsidRDefault="005570AC" w:rsidP="005A1275">
            <w:pPr>
              <w:keepNext/>
              <w:keepLines/>
              <w:jc w:val="center"/>
              <w:rPr>
                <w:rFonts w:cs="Calibri"/>
                <w:b/>
                <w:bCs/>
                <w:color w:val="000000"/>
              </w:rPr>
            </w:pPr>
            <w:r w:rsidRPr="005570AC">
              <w:rPr>
                <w:rFonts w:cs="Calibri"/>
                <w:b/>
                <w:bCs/>
                <w:color w:val="000000"/>
              </w:rPr>
              <w:t>2029/2030</w:t>
            </w:r>
          </w:p>
        </w:tc>
        <w:tc>
          <w:tcPr>
            <w:tcW w:w="841" w:type="dxa"/>
            <w:shd w:val="clear" w:color="auto" w:fill="DEEAF6" w:themeFill="accent5" w:themeFillTint="33"/>
            <w:noWrap/>
            <w:vAlign w:val="bottom"/>
            <w:hideMark/>
          </w:tcPr>
          <w:p w14:paraId="250B6882" w14:textId="77777777" w:rsidR="005570AC" w:rsidRPr="005570AC" w:rsidRDefault="005570AC" w:rsidP="005A1275">
            <w:pPr>
              <w:keepNext/>
              <w:keepLines/>
              <w:jc w:val="center"/>
              <w:rPr>
                <w:rFonts w:cs="Calibri"/>
                <w:b/>
                <w:bCs/>
                <w:color w:val="000000"/>
              </w:rPr>
            </w:pPr>
            <w:r w:rsidRPr="005570AC">
              <w:rPr>
                <w:rFonts w:cs="Calibri"/>
                <w:b/>
                <w:bCs/>
                <w:color w:val="000000"/>
              </w:rPr>
              <w:t>2030/2031</w:t>
            </w:r>
          </w:p>
        </w:tc>
        <w:tc>
          <w:tcPr>
            <w:tcW w:w="841" w:type="dxa"/>
            <w:shd w:val="clear" w:color="auto" w:fill="DEEAF6" w:themeFill="accent5" w:themeFillTint="33"/>
            <w:noWrap/>
            <w:vAlign w:val="bottom"/>
            <w:hideMark/>
          </w:tcPr>
          <w:p w14:paraId="41B510ED" w14:textId="77777777" w:rsidR="005570AC" w:rsidRPr="005570AC" w:rsidRDefault="005570AC" w:rsidP="005A1275">
            <w:pPr>
              <w:keepNext/>
              <w:keepLines/>
              <w:jc w:val="center"/>
              <w:rPr>
                <w:rFonts w:cs="Calibri"/>
                <w:b/>
                <w:bCs/>
                <w:color w:val="000000"/>
              </w:rPr>
            </w:pPr>
            <w:r w:rsidRPr="005570AC">
              <w:rPr>
                <w:rFonts w:cs="Calibri"/>
                <w:b/>
                <w:bCs/>
                <w:color w:val="000000"/>
              </w:rPr>
              <w:t>2031/2032</w:t>
            </w:r>
          </w:p>
        </w:tc>
        <w:tc>
          <w:tcPr>
            <w:tcW w:w="842" w:type="dxa"/>
            <w:shd w:val="clear" w:color="auto" w:fill="DEEAF6" w:themeFill="accent5" w:themeFillTint="33"/>
            <w:noWrap/>
            <w:vAlign w:val="bottom"/>
            <w:hideMark/>
          </w:tcPr>
          <w:p w14:paraId="5A573BCC" w14:textId="77777777" w:rsidR="005570AC" w:rsidRPr="005570AC" w:rsidRDefault="005570AC" w:rsidP="005A1275">
            <w:pPr>
              <w:keepNext/>
              <w:keepLines/>
              <w:jc w:val="center"/>
              <w:rPr>
                <w:rFonts w:cs="Calibri"/>
                <w:b/>
                <w:bCs/>
                <w:color w:val="000000"/>
              </w:rPr>
            </w:pPr>
            <w:r w:rsidRPr="005570AC">
              <w:rPr>
                <w:rFonts w:cs="Calibri"/>
                <w:b/>
                <w:bCs/>
                <w:color w:val="000000"/>
              </w:rPr>
              <w:t>2042/2043</w:t>
            </w:r>
          </w:p>
        </w:tc>
      </w:tr>
      <w:tr w:rsidR="005570AC" w:rsidRPr="005570AC" w14:paraId="711B7C3F" w14:textId="77777777" w:rsidTr="006F0063">
        <w:trPr>
          <w:trHeight w:val="300"/>
        </w:trPr>
        <w:tc>
          <w:tcPr>
            <w:tcW w:w="1572" w:type="dxa"/>
            <w:gridSpan w:val="3"/>
            <w:shd w:val="clear" w:color="auto" w:fill="auto"/>
            <w:noWrap/>
            <w:vAlign w:val="bottom"/>
            <w:hideMark/>
          </w:tcPr>
          <w:p w14:paraId="48245415" w14:textId="77777777" w:rsidR="005570AC" w:rsidRPr="005570AC" w:rsidRDefault="005570AC" w:rsidP="005A1275">
            <w:pPr>
              <w:keepNext/>
              <w:keepLines/>
              <w:jc w:val="left"/>
              <w:rPr>
                <w:rFonts w:cs="Calibri"/>
                <w:color w:val="000000"/>
              </w:rPr>
            </w:pPr>
            <w:r w:rsidRPr="005570AC">
              <w:rPr>
                <w:rFonts w:cs="Calibri"/>
                <w:color w:val="000000"/>
              </w:rPr>
              <w:t>LRM Model Results, P95</w:t>
            </w:r>
          </w:p>
        </w:tc>
        <w:tc>
          <w:tcPr>
            <w:tcW w:w="841" w:type="dxa"/>
            <w:shd w:val="clear" w:color="auto" w:fill="auto"/>
            <w:noWrap/>
            <w:vAlign w:val="bottom"/>
            <w:hideMark/>
          </w:tcPr>
          <w:p w14:paraId="34BA96CD" w14:textId="2DF8B3CC" w:rsidR="005570AC" w:rsidRPr="00725FBA" w:rsidRDefault="005570AC" w:rsidP="005A1275">
            <w:pPr>
              <w:keepNext/>
              <w:keepLines/>
              <w:jc w:val="left"/>
              <w:rPr>
                <w:rFonts w:cs="Calibri"/>
                <w:color w:val="000000"/>
              </w:rPr>
            </w:pPr>
            <w:r w:rsidRPr="00725FBA">
              <w:rPr>
                <w:rFonts w:cs="Calibri"/>
                <w:color w:val="000000"/>
              </w:rPr>
              <w:t xml:space="preserve">                 </w:t>
            </w:r>
            <w:r w:rsidR="00725FBA" w:rsidRPr="00725FBA">
              <w:rPr>
                <w:rFonts w:cs="Calibri"/>
                <w:color w:val="000000"/>
                <w:shd w:val="clear" w:color="auto" w:fill="000000" w:themeFill="text1"/>
              </w:rPr>
              <w:t>***</w:t>
            </w:r>
          </w:p>
        </w:tc>
        <w:tc>
          <w:tcPr>
            <w:tcW w:w="841" w:type="dxa"/>
            <w:shd w:val="clear" w:color="auto" w:fill="auto"/>
            <w:noWrap/>
            <w:vAlign w:val="bottom"/>
            <w:hideMark/>
          </w:tcPr>
          <w:p w14:paraId="753802E6" w14:textId="4FE5C7E8" w:rsidR="005570AC" w:rsidRPr="00725FBA" w:rsidRDefault="005570AC" w:rsidP="005A1275">
            <w:pPr>
              <w:keepNext/>
              <w:keepLines/>
              <w:jc w:val="left"/>
              <w:rPr>
                <w:rFonts w:cs="Calibri"/>
                <w:color w:val="000000"/>
              </w:rPr>
            </w:pPr>
            <w:r w:rsidRPr="00725FBA">
              <w:rPr>
                <w:rFonts w:cs="Calibri"/>
                <w:color w:val="000000"/>
              </w:rPr>
              <w:t xml:space="preserve">               </w:t>
            </w:r>
            <w:r w:rsidR="00725FBA" w:rsidRPr="00725FBA">
              <w:rPr>
                <w:rFonts w:cs="Calibri"/>
                <w:color w:val="000000"/>
                <w:shd w:val="clear" w:color="auto" w:fill="000000" w:themeFill="text1"/>
              </w:rPr>
              <w:t>***</w:t>
            </w:r>
          </w:p>
        </w:tc>
        <w:tc>
          <w:tcPr>
            <w:tcW w:w="841" w:type="dxa"/>
            <w:shd w:val="clear" w:color="auto" w:fill="auto"/>
            <w:noWrap/>
            <w:vAlign w:val="bottom"/>
            <w:hideMark/>
          </w:tcPr>
          <w:p w14:paraId="00D415E3" w14:textId="697AC0A8" w:rsidR="005570AC" w:rsidRPr="00725FBA" w:rsidRDefault="005570AC" w:rsidP="005A1275">
            <w:pPr>
              <w:keepNext/>
              <w:keepLines/>
              <w:jc w:val="left"/>
              <w:rPr>
                <w:rFonts w:cs="Calibri"/>
                <w:color w:val="000000"/>
              </w:rPr>
            </w:pPr>
            <w:r w:rsidRPr="00725FBA">
              <w:rPr>
                <w:rFonts w:cs="Calibri"/>
                <w:color w:val="000000"/>
              </w:rPr>
              <w:t xml:space="preserve">           </w:t>
            </w:r>
            <w:r w:rsidR="00725FBA" w:rsidRPr="00725FBA">
              <w:rPr>
                <w:rFonts w:cs="Calibri"/>
                <w:color w:val="000000"/>
                <w:shd w:val="clear" w:color="auto" w:fill="000000" w:themeFill="text1"/>
              </w:rPr>
              <w:t>***</w:t>
            </w:r>
          </w:p>
        </w:tc>
        <w:tc>
          <w:tcPr>
            <w:tcW w:w="842" w:type="dxa"/>
            <w:shd w:val="clear" w:color="auto" w:fill="auto"/>
            <w:noWrap/>
            <w:vAlign w:val="bottom"/>
            <w:hideMark/>
          </w:tcPr>
          <w:p w14:paraId="63586155" w14:textId="6E8A706C" w:rsidR="005570AC" w:rsidRPr="00725FBA" w:rsidRDefault="005570AC" w:rsidP="005A1275">
            <w:pPr>
              <w:keepNext/>
              <w:keepLines/>
              <w:jc w:val="left"/>
              <w:rPr>
                <w:rFonts w:cs="Calibri"/>
                <w:color w:val="000000"/>
              </w:rPr>
            </w:pPr>
            <w:r w:rsidRPr="00725FBA">
              <w:rPr>
                <w:rFonts w:cs="Calibri"/>
                <w:color w:val="000000"/>
              </w:rPr>
              <w:t xml:space="preserve">           </w:t>
            </w:r>
            <w:r w:rsidR="00725FBA" w:rsidRPr="00725FBA">
              <w:rPr>
                <w:rFonts w:cs="Calibri"/>
                <w:color w:val="000000"/>
                <w:shd w:val="clear" w:color="auto" w:fill="000000" w:themeFill="text1"/>
              </w:rPr>
              <w:t>***</w:t>
            </w:r>
          </w:p>
        </w:tc>
        <w:tc>
          <w:tcPr>
            <w:tcW w:w="841" w:type="dxa"/>
            <w:shd w:val="clear" w:color="auto" w:fill="auto"/>
            <w:noWrap/>
            <w:vAlign w:val="bottom"/>
            <w:hideMark/>
          </w:tcPr>
          <w:p w14:paraId="509AD8BD" w14:textId="4849C9E7" w:rsidR="005570AC" w:rsidRPr="00725FBA" w:rsidRDefault="005570AC" w:rsidP="005A1275">
            <w:pPr>
              <w:keepNext/>
              <w:keepLines/>
              <w:jc w:val="left"/>
              <w:rPr>
                <w:rFonts w:cs="Calibri"/>
                <w:color w:val="000000"/>
              </w:rPr>
            </w:pPr>
            <w:r w:rsidRPr="00725FBA">
              <w:rPr>
                <w:rFonts w:cs="Calibri"/>
                <w:color w:val="000000"/>
              </w:rPr>
              <w:t xml:space="preserve">           </w:t>
            </w:r>
            <w:r w:rsidR="00725FBA" w:rsidRPr="00725FBA">
              <w:rPr>
                <w:rFonts w:cs="Calibri"/>
                <w:color w:val="000000"/>
                <w:shd w:val="clear" w:color="auto" w:fill="000000" w:themeFill="text1"/>
              </w:rPr>
              <w:t>***</w:t>
            </w:r>
          </w:p>
        </w:tc>
        <w:tc>
          <w:tcPr>
            <w:tcW w:w="841" w:type="dxa"/>
            <w:shd w:val="clear" w:color="auto" w:fill="auto"/>
            <w:noWrap/>
            <w:vAlign w:val="bottom"/>
            <w:hideMark/>
          </w:tcPr>
          <w:p w14:paraId="5F79AE50" w14:textId="3CC47CF8" w:rsidR="005570AC" w:rsidRPr="00725FBA" w:rsidRDefault="005570AC" w:rsidP="005A1275">
            <w:pPr>
              <w:keepNext/>
              <w:keepLines/>
              <w:jc w:val="left"/>
              <w:rPr>
                <w:rFonts w:cs="Calibri"/>
                <w:color w:val="000000"/>
              </w:rPr>
            </w:pPr>
            <w:r w:rsidRPr="00725FBA">
              <w:rPr>
                <w:rFonts w:cs="Calibri"/>
                <w:color w:val="000000"/>
              </w:rPr>
              <w:t xml:space="preserve">           </w:t>
            </w:r>
            <w:r w:rsidR="00725FBA" w:rsidRPr="00725FBA">
              <w:rPr>
                <w:rFonts w:cs="Calibri"/>
                <w:color w:val="000000"/>
                <w:shd w:val="clear" w:color="auto" w:fill="000000" w:themeFill="text1"/>
              </w:rPr>
              <w:t>***</w:t>
            </w:r>
          </w:p>
        </w:tc>
        <w:tc>
          <w:tcPr>
            <w:tcW w:w="842" w:type="dxa"/>
            <w:shd w:val="clear" w:color="auto" w:fill="auto"/>
            <w:noWrap/>
            <w:vAlign w:val="bottom"/>
            <w:hideMark/>
          </w:tcPr>
          <w:p w14:paraId="5A21233B" w14:textId="7AB3D774" w:rsidR="005570AC" w:rsidRPr="00725FBA" w:rsidRDefault="005570AC" w:rsidP="005A1275">
            <w:pPr>
              <w:keepNext/>
              <w:keepLines/>
              <w:jc w:val="left"/>
              <w:rPr>
                <w:rFonts w:cs="Calibri"/>
                <w:color w:val="000000"/>
              </w:rPr>
            </w:pPr>
            <w:r w:rsidRPr="00725FBA">
              <w:rPr>
                <w:rFonts w:cs="Calibri"/>
                <w:color w:val="000000"/>
              </w:rPr>
              <w:t xml:space="preserve">           </w:t>
            </w:r>
            <w:r w:rsidR="00725FBA" w:rsidRPr="00725FBA">
              <w:rPr>
                <w:rFonts w:cs="Calibri"/>
                <w:color w:val="000000"/>
                <w:shd w:val="clear" w:color="auto" w:fill="000000" w:themeFill="text1"/>
              </w:rPr>
              <w:t>***</w:t>
            </w:r>
          </w:p>
        </w:tc>
        <w:tc>
          <w:tcPr>
            <w:tcW w:w="841" w:type="dxa"/>
            <w:shd w:val="clear" w:color="auto" w:fill="auto"/>
            <w:noWrap/>
            <w:vAlign w:val="bottom"/>
            <w:hideMark/>
          </w:tcPr>
          <w:p w14:paraId="4451650D" w14:textId="7E051617" w:rsidR="005570AC" w:rsidRPr="00725FBA" w:rsidRDefault="005570AC" w:rsidP="005A1275">
            <w:pPr>
              <w:keepNext/>
              <w:keepLines/>
              <w:jc w:val="left"/>
              <w:rPr>
                <w:rFonts w:cs="Calibri"/>
                <w:color w:val="000000"/>
              </w:rPr>
            </w:pPr>
            <w:r w:rsidRPr="00725FBA">
              <w:rPr>
                <w:rFonts w:cs="Calibri"/>
                <w:color w:val="000000"/>
              </w:rPr>
              <w:t xml:space="preserve">           </w:t>
            </w:r>
            <w:r w:rsidR="00725FBA" w:rsidRPr="00725FBA">
              <w:rPr>
                <w:rFonts w:cs="Calibri"/>
                <w:color w:val="000000"/>
                <w:shd w:val="clear" w:color="auto" w:fill="000000" w:themeFill="text1"/>
              </w:rPr>
              <w:t>***</w:t>
            </w:r>
          </w:p>
        </w:tc>
        <w:tc>
          <w:tcPr>
            <w:tcW w:w="841" w:type="dxa"/>
            <w:shd w:val="clear" w:color="auto" w:fill="auto"/>
            <w:noWrap/>
            <w:vAlign w:val="bottom"/>
            <w:hideMark/>
          </w:tcPr>
          <w:p w14:paraId="019E7CAB" w14:textId="59642D77" w:rsidR="005570AC" w:rsidRPr="00725FBA" w:rsidRDefault="005570AC" w:rsidP="005A1275">
            <w:pPr>
              <w:keepNext/>
              <w:keepLines/>
              <w:jc w:val="left"/>
              <w:rPr>
                <w:rFonts w:cs="Calibri"/>
                <w:color w:val="000000"/>
              </w:rPr>
            </w:pPr>
            <w:r w:rsidRPr="00725FBA">
              <w:rPr>
                <w:rFonts w:cs="Calibri"/>
                <w:color w:val="000000"/>
              </w:rPr>
              <w:t xml:space="preserve">           </w:t>
            </w:r>
            <w:r w:rsidR="00725FBA" w:rsidRPr="00725FBA">
              <w:rPr>
                <w:rFonts w:cs="Calibri"/>
                <w:color w:val="000000"/>
                <w:shd w:val="clear" w:color="auto" w:fill="000000" w:themeFill="text1"/>
              </w:rPr>
              <w:t>***</w:t>
            </w:r>
          </w:p>
        </w:tc>
        <w:tc>
          <w:tcPr>
            <w:tcW w:w="842" w:type="dxa"/>
            <w:shd w:val="clear" w:color="auto" w:fill="auto"/>
            <w:noWrap/>
            <w:vAlign w:val="bottom"/>
            <w:hideMark/>
          </w:tcPr>
          <w:p w14:paraId="38215089" w14:textId="0DD56092" w:rsidR="005570AC" w:rsidRPr="00725FBA" w:rsidRDefault="005570AC" w:rsidP="005A1275">
            <w:pPr>
              <w:keepNext/>
              <w:keepLines/>
              <w:jc w:val="left"/>
              <w:rPr>
                <w:rFonts w:cs="Calibri"/>
                <w:color w:val="000000"/>
              </w:rPr>
            </w:pPr>
            <w:r w:rsidRPr="00725FBA">
              <w:rPr>
                <w:rFonts w:cs="Calibri"/>
                <w:color w:val="000000"/>
              </w:rPr>
              <w:t xml:space="preserve">           </w:t>
            </w:r>
            <w:r w:rsidR="00725FBA" w:rsidRPr="00725FBA">
              <w:rPr>
                <w:rFonts w:cs="Calibri"/>
                <w:color w:val="000000"/>
                <w:shd w:val="clear" w:color="auto" w:fill="000000" w:themeFill="text1"/>
              </w:rPr>
              <w:t>***</w:t>
            </w:r>
          </w:p>
        </w:tc>
      </w:tr>
      <w:tr w:rsidR="008D2144" w:rsidRPr="005570AC" w14:paraId="27B1758B" w14:textId="77777777" w:rsidTr="006F0063">
        <w:trPr>
          <w:trHeight w:val="300"/>
        </w:trPr>
        <w:tc>
          <w:tcPr>
            <w:tcW w:w="1572" w:type="dxa"/>
            <w:gridSpan w:val="3"/>
            <w:shd w:val="clear" w:color="auto" w:fill="auto"/>
            <w:noWrap/>
            <w:vAlign w:val="bottom"/>
          </w:tcPr>
          <w:p w14:paraId="252E1415" w14:textId="1D47585E" w:rsidR="008D2144" w:rsidRPr="005570AC" w:rsidRDefault="008D2144" w:rsidP="005A1275">
            <w:pPr>
              <w:keepNext/>
              <w:keepLines/>
              <w:jc w:val="left"/>
              <w:rPr>
                <w:rFonts w:cs="Calibri"/>
                <w:color w:val="000000"/>
              </w:rPr>
            </w:pPr>
            <w:r>
              <w:rPr>
                <w:rFonts w:cs="Calibri"/>
                <w:color w:val="000000"/>
              </w:rPr>
              <w:t>LRM Results, GPC Filed</w:t>
            </w:r>
          </w:p>
        </w:tc>
        <w:tc>
          <w:tcPr>
            <w:tcW w:w="841" w:type="dxa"/>
            <w:shd w:val="clear" w:color="auto" w:fill="auto"/>
            <w:noWrap/>
            <w:vAlign w:val="bottom"/>
          </w:tcPr>
          <w:p w14:paraId="73C5300F" w14:textId="175181E0" w:rsidR="008D2144" w:rsidRPr="00725FBA" w:rsidRDefault="00725FBA" w:rsidP="005A1275">
            <w:pPr>
              <w:keepNext/>
              <w:keepLines/>
              <w:jc w:val="left"/>
              <w:rPr>
                <w:rFonts w:cs="Calibri"/>
                <w:color w:val="000000"/>
              </w:rPr>
            </w:pPr>
            <w:r w:rsidRPr="00725FBA">
              <w:rPr>
                <w:rFonts w:cs="Calibri"/>
                <w:color w:val="000000"/>
                <w:shd w:val="clear" w:color="auto" w:fill="000000" w:themeFill="text1"/>
              </w:rPr>
              <w:t>***</w:t>
            </w:r>
          </w:p>
        </w:tc>
        <w:tc>
          <w:tcPr>
            <w:tcW w:w="841" w:type="dxa"/>
            <w:shd w:val="clear" w:color="auto" w:fill="auto"/>
            <w:noWrap/>
            <w:vAlign w:val="bottom"/>
          </w:tcPr>
          <w:p w14:paraId="6ED1A5C2" w14:textId="661BCD77" w:rsidR="008D2144" w:rsidRPr="00725FBA" w:rsidRDefault="00725FBA" w:rsidP="005A1275">
            <w:pPr>
              <w:keepNext/>
              <w:keepLines/>
              <w:jc w:val="left"/>
              <w:rPr>
                <w:rFonts w:cs="Calibri"/>
                <w:color w:val="000000"/>
              </w:rPr>
            </w:pPr>
            <w:r w:rsidRPr="00725FBA">
              <w:rPr>
                <w:rFonts w:cs="Calibri"/>
                <w:color w:val="000000"/>
                <w:shd w:val="clear" w:color="auto" w:fill="000000" w:themeFill="text1"/>
              </w:rPr>
              <w:t>***</w:t>
            </w:r>
          </w:p>
        </w:tc>
        <w:tc>
          <w:tcPr>
            <w:tcW w:w="841" w:type="dxa"/>
            <w:shd w:val="clear" w:color="auto" w:fill="auto"/>
            <w:noWrap/>
            <w:vAlign w:val="bottom"/>
          </w:tcPr>
          <w:p w14:paraId="7BD0FC7C" w14:textId="0F0339B5" w:rsidR="008D2144" w:rsidRPr="00725FBA" w:rsidRDefault="00725FBA" w:rsidP="005A1275">
            <w:pPr>
              <w:keepNext/>
              <w:keepLines/>
              <w:jc w:val="left"/>
              <w:rPr>
                <w:rFonts w:cs="Calibri"/>
                <w:color w:val="000000"/>
              </w:rPr>
            </w:pPr>
            <w:r w:rsidRPr="00725FBA">
              <w:rPr>
                <w:rFonts w:cs="Calibri"/>
                <w:color w:val="000000"/>
                <w:shd w:val="clear" w:color="auto" w:fill="000000" w:themeFill="text1"/>
              </w:rPr>
              <w:t>***</w:t>
            </w:r>
          </w:p>
        </w:tc>
        <w:tc>
          <w:tcPr>
            <w:tcW w:w="842" w:type="dxa"/>
            <w:shd w:val="clear" w:color="auto" w:fill="auto"/>
            <w:noWrap/>
            <w:vAlign w:val="bottom"/>
          </w:tcPr>
          <w:p w14:paraId="1B730860" w14:textId="75D43491" w:rsidR="008D2144" w:rsidRPr="00725FBA" w:rsidRDefault="00725FBA" w:rsidP="005A1275">
            <w:pPr>
              <w:keepNext/>
              <w:keepLines/>
              <w:jc w:val="left"/>
              <w:rPr>
                <w:rFonts w:cs="Calibri"/>
                <w:color w:val="000000"/>
              </w:rPr>
            </w:pPr>
            <w:r w:rsidRPr="00725FBA">
              <w:rPr>
                <w:rFonts w:cs="Calibri"/>
                <w:color w:val="000000"/>
                <w:shd w:val="clear" w:color="auto" w:fill="000000" w:themeFill="text1"/>
              </w:rPr>
              <w:t>***</w:t>
            </w:r>
          </w:p>
        </w:tc>
        <w:tc>
          <w:tcPr>
            <w:tcW w:w="841" w:type="dxa"/>
            <w:shd w:val="clear" w:color="auto" w:fill="auto"/>
            <w:noWrap/>
            <w:vAlign w:val="bottom"/>
          </w:tcPr>
          <w:p w14:paraId="271510EF" w14:textId="52764C9D" w:rsidR="008D2144" w:rsidRPr="00725FBA" w:rsidRDefault="00725FBA" w:rsidP="005A1275">
            <w:pPr>
              <w:keepNext/>
              <w:keepLines/>
              <w:jc w:val="left"/>
              <w:rPr>
                <w:rFonts w:cs="Calibri"/>
                <w:color w:val="000000"/>
              </w:rPr>
            </w:pPr>
            <w:r w:rsidRPr="00725FBA">
              <w:rPr>
                <w:rFonts w:cs="Calibri"/>
                <w:color w:val="000000"/>
                <w:shd w:val="clear" w:color="auto" w:fill="000000" w:themeFill="text1"/>
              </w:rPr>
              <w:t>***</w:t>
            </w:r>
          </w:p>
        </w:tc>
        <w:tc>
          <w:tcPr>
            <w:tcW w:w="841" w:type="dxa"/>
            <w:shd w:val="clear" w:color="auto" w:fill="auto"/>
            <w:noWrap/>
            <w:vAlign w:val="bottom"/>
          </w:tcPr>
          <w:p w14:paraId="6E37744B" w14:textId="63EA13CF" w:rsidR="008D2144" w:rsidRPr="00725FBA" w:rsidRDefault="00725FBA" w:rsidP="005A1275">
            <w:pPr>
              <w:keepNext/>
              <w:keepLines/>
              <w:jc w:val="left"/>
              <w:rPr>
                <w:rFonts w:cs="Calibri"/>
                <w:color w:val="000000"/>
              </w:rPr>
            </w:pPr>
            <w:r w:rsidRPr="00725FBA">
              <w:rPr>
                <w:rFonts w:cs="Calibri"/>
                <w:color w:val="000000"/>
                <w:shd w:val="clear" w:color="auto" w:fill="000000" w:themeFill="text1"/>
              </w:rPr>
              <w:t>***</w:t>
            </w:r>
          </w:p>
        </w:tc>
        <w:tc>
          <w:tcPr>
            <w:tcW w:w="842" w:type="dxa"/>
            <w:shd w:val="clear" w:color="auto" w:fill="auto"/>
            <w:noWrap/>
            <w:vAlign w:val="bottom"/>
          </w:tcPr>
          <w:p w14:paraId="6075486C" w14:textId="3E2B747F" w:rsidR="008D2144" w:rsidRPr="00725FBA" w:rsidRDefault="00725FBA" w:rsidP="005A1275">
            <w:pPr>
              <w:keepNext/>
              <w:keepLines/>
              <w:jc w:val="left"/>
              <w:rPr>
                <w:rFonts w:cs="Calibri"/>
                <w:color w:val="000000"/>
              </w:rPr>
            </w:pPr>
            <w:r w:rsidRPr="00725FBA">
              <w:rPr>
                <w:rFonts w:cs="Calibri"/>
                <w:color w:val="000000"/>
                <w:shd w:val="clear" w:color="auto" w:fill="000000" w:themeFill="text1"/>
              </w:rPr>
              <w:t>***</w:t>
            </w:r>
          </w:p>
        </w:tc>
        <w:tc>
          <w:tcPr>
            <w:tcW w:w="841" w:type="dxa"/>
            <w:shd w:val="clear" w:color="auto" w:fill="auto"/>
            <w:noWrap/>
            <w:vAlign w:val="bottom"/>
          </w:tcPr>
          <w:p w14:paraId="0E6835B9" w14:textId="0CEE44B1" w:rsidR="008D2144" w:rsidRPr="00725FBA" w:rsidRDefault="00725FBA" w:rsidP="005A1275">
            <w:pPr>
              <w:keepNext/>
              <w:keepLines/>
              <w:jc w:val="left"/>
              <w:rPr>
                <w:rFonts w:cs="Calibri"/>
                <w:color w:val="000000"/>
              </w:rPr>
            </w:pPr>
            <w:r w:rsidRPr="00725FBA">
              <w:rPr>
                <w:rFonts w:cs="Calibri"/>
                <w:color w:val="000000"/>
                <w:shd w:val="clear" w:color="auto" w:fill="000000" w:themeFill="text1"/>
              </w:rPr>
              <w:t>***</w:t>
            </w:r>
          </w:p>
        </w:tc>
        <w:tc>
          <w:tcPr>
            <w:tcW w:w="841" w:type="dxa"/>
            <w:shd w:val="clear" w:color="auto" w:fill="auto"/>
            <w:noWrap/>
            <w:vAlign w:val="bottom"/>
          </w:tcPr>
          <w:p w14:paraId="4EE1AF8E" w14:textId="379C951E" w:rsidR="008D2144" w:rsidRPr="00725FBA" w:rsidRDefault="00725FBA" w:rsidP="005A1275">
            <w:pPr>
              <w:keepNext/>
              <w:keepLines/>
              <w:jc w:val="left"/>
              <w:rPr>
                <w:rFonts w:cs="Calibri"/>
                <w:color w:val="000000"/>
              </w:rPr>
            </w:pPr>
            <w:r w:rsidRPr="00725FBA">
              <w:rPr>
                <w:rFonts w:cs="Calibri"/>
                <w:color w:val="000000"/>
                <w:shd w:val="clear" w:color="auto" w:fill="000000" w:themeFill="text1"/>
              </w:rPr>
              <w:t>***</w:t>
            </w:r>
          </w:p>
        </w:tc>
        <w:tc>
          <w:tcPr>
            <w:tcW w:w="842" w:type="dxa"/>
            <w:shd w:val="clear" w:color="auto" w:fill="auto"/>
            <w:noWrap/>
            <w:vAlign w:val="bottom"/>
          </w:tcPr>
          <w:p w14:paraId="4318C103" w14:textId="5845F74B" w:rsidR="008D2144" w:rsidRPr="00725FBA" w:rsidRDefault="00725FBA" w:rsidP="005A1275">
            <w:pPr>
              <w:keepNext/>
              <w:keepLines/>
              <w:jc w:val="left"/>
              <w:rPr>
                <w:rFonts w:cs="Calibri"/>
                <w:color w:val="000000"/>
              </w:rPr>
            </w:pPr>
            <w:r w:rsidRPr="00725FBA">
              <w:rPr>
                <w:rFonts w:cs="Calibri"/>
                <w:color w:val="000000"/>
                <w:shd w:val="clear" w:color="auto" w:fill="000000" w:themeFill="text1"/>
              </w:rPr>
              <w:t>***</w:t>
            </w:r>
          </w:p>
        </w:tc>
      </w:tr>
    </w:tbl>
    <w:p w14:paraId="3B1657BF" w14:textId="77777777" w:rsidR="004822B2" w:rsidRDefault="004822B2" w:rsidP="00626BBA">
      <w:pPr>
        <w:pStyle w:val="Answers"/>
      </w:pPr>
    </w:p>
    <w:p w14:paraId="4FA5EBFC" w14:textId="3CDB9940" w:rsidR="004822B2" w:rsidRDefault="004822B2" w:rsidP="00626BBA">
      <w:pPr>
        <w:pStyle w:val="Answers"/>
      </w:pPr>
      <w:r>
        <w:tab/>
        <w:t xml:space="preserve">The </w:t>
      </w:r>
      <w:r w:rsidR="004B34B7">
        <w:t xml:space="preserve">forecasted results for each </w:t>
      </w:r>
      <w:r>
        <w:t xml:space="preserve">project </w:t>
      </w:r>
      <w:r w:rsidR="004B34B7">
        <w:t xml:space="preserve">calculated by </w:t>
      </w:r>
      <w:r>
        <w:t>the LRM should not be interpreted as the expected demand levels for each project in each year.</w:t>
      </w:r>
      <w:r w:rsidR="003F52A9">
        <w:rPr>
          <w:rStyle w:val="FootnoteReference"/>
        </w:rPr>
        <w:footnoteReference w:id="30"/>
      </w:r>
      <w:r>
        <w:t xml:space="preserve"> The LRM is a “portfolio-level” model which provides an understanding of the total level of peak demand that arises from </w:t>
      </w:r>
      <w:r>
        <w:lastRenderedPageBreak/>
        <w:t xml:space="preserve">this set of </w:t>
      </w:r>
      <w:r w:rsidR="00374882">
        <w:t>projects</w:t>
      </w:r>
      <w:r>
        <w:t xml:space="preserve">. In each iteration and each simulation, the distribution of that peak load might vary between projects.  </w:t>
      </w:r>
    </w:p>
    <w:p w14:paraId="7A96D995" w14:textId="7F1649EE" w:rsidR="00011928" w:rsidRDefault="00011928" w:rsidP="00011928">
      <w:pPr>
        <w:pStyle w:val="Question"/>
      </w:pPr>
      <w:r>
        <w:t>Q.</w:t>
      </w:r>
      <w:r>
        <w:tab/>
        <w:t xml:space="preserve">Which </w:t>
      </w:r>
      <w:r w:rsidR="00143177">
        <w:t xml:space="preserve">potential </w:t>
      </w:r>
      <w:r w:rsidR="007446B0">
        <w:t xml:space="preserve">Large load </w:t>
      </w:r>
      <w:r w:rsidR="00143177">
        <w:t xml:space="preserve">projects </w:t>
      </w:r>
      <w:r w:rsidR="007446B0">
        <w:t xml:space="preserve">known to the Company </w:t>
      </w:r>
      <w:r w:rsidR="00143177">
        <w:t>are included in the LRM</w:t>
      </w:r>
      <w:r>
        <w:t>?</w:t>
      </w:r>
    </w:p>
    <w:p w14:paraId="125E44D1" w14:textId="2D44A34B" w:rsidR="00E35B15" w:rsidRDefault="00011928" w:rsidP="00626BBA">
      <w:pPr>
        <w:pStyle w:val="Answers"/>
      </w:pPr>
      <w:r>
        <w:t>A.</w:t>
      </w:r>
      <w:r>
        <w:tab/>
      </w:r>
      <w:r w:rsidR="007446B0">
        <w:t>T</w:t>
      </w:r>
      <w:r w:rsidR="00CE63C9">
        <w:t>he Company’s base case LRM</w:t>
      </w:r>
      <w:r w:rsidR="007446B0">
        <w:t xml:space="preserve"> is developed based on </w:t>
      </w:r>
      <w:r w:rsidR="00C46F89">
        <w:t xml:space="preserve">51 </w:t>
      </w:r>
      <w:r w:rsidR="007446B0">
        <w:t xml:space="preserve">known </w:t>
      </w:r>
      <w:r w:rsidR="00C46F89">
        <w:t>projects</w:t>
      </w:r>
      <w:r w:rsidR="007446B0">
        <w:t>. Of these, d</w:t>
      </w:r>
      <w:r w:rsidR="00C46F89">
        <w:t xml:space="preserve">atacenters constitute the majority of realized load, followed by Cryptocurrency and Battery Manufacturing. The total pipeline of </w:t>
      </w:r>
      <w:r w:rsidR="00F26EE2">
        <w:t xml:space="preserve">51 </w:t>
      </w:r>
      <w:r w:rsidR="00C46F89">
        <w:t>projects</w:t>
      </w:r>
      <w:r w:rsidR="00143177">
        <w:t xml:space="preserve">, referring to the total announced load </w:t>
      </w:r>
      <w:r w:rsidR="00374882">
        <w:t xml:space="preserve">data </w:t>
      </w:r>
      <w:r w:rsidR="00143177">
        <w:t>provided by customers,</w:t>
      </w:r>
      <w:r w:rsidR="00C46F89">
        <w:t xml:space="preserve"> amounts to </w:t>
      </w:r>
      <w:r w:rsidR="0070231A" w:rsidRPr="0070231A">
        <w:rPr>
          <w:highlight w:val="black"/>
        </w:rPr>
        <w:t>********</w:t>
      </w:r>
      <w:r w:rsidR="00725FBA">
        <w:t xml:space="preserve"> </w:t>
      </w:r>
      <w:r w:rsidR="0021465F">
        <w:t>by 2042</w:t>
      </w:r>
      <w:r w:rsidR="00C46F89">
        <w:t xml:space="preserve">. </w:t>
      </w:r>
      <w:r w:rsidR="00374882">
        <w:fldChar w:fldCharType="begin"/>
      </w:r>
      <w:r w:rsidR="00374882">
        <w:instrText xml:space="preserve"> REF _Ref157852639 \h </w:instrText>
      </w:r>
      <w:r w:rsidR="00374882">
        <w:fldChar w:fldCharType="separate"/>
      </w:r>
      <w:r w:rsidR="00D01697">
        <w:t xml:space="preserve">Table </w:t>
      </w:r>
      <w:r w:rsidR="00D01697">
        <w:rPr>
          <w:noProof/>
        </w:rPr>
        <w:t>4</w:t>
      </w:r>
      <w:r w:rsidR="00374882">
        <w:fldChar w:fldCharType="end"/>
      </w:r>
      <w:r w:rsidR="00374882">
        <w:t xml:space="preserve"> illustrates how this announced load is spread across different industry segments.</w:t>
      </w:r>
    </w:p>
    <w:p w14:paraId="5ADF5CC7" w14:textId="0730A0F2" w:rsidR="00C46F89" w:rsidRDefault="00C46F89" w:rsidP="00374882">
      <w:pPr>
        <w:pStyle w:val="Caption"/>
        <w:keepLines/>
      </w:pPr>
      <w:bookmarkStart w:id="13" w:name="_Ref157852639"/>
      <w:r>
        <w:t xml:space="preserve">Table </w:t>
      </w:r>
      <w:r>
        <w:fldChar w:fldCharType="begin"/>
      </w:r>
      <w:r>
        <w:instrText>SEQ Table \* ARABIC</w:instrText>
      </w:r>
      <w:r>
        <w:fldChar w:fldCharType="separate"/>
      </w:r>
      <w:r w:rsidR="00D01697">
        <w:rPr>
          <w:noProof/>
        </w:rPr>
        <w:t>4</w:t>
      </w:r>
      <w:r>
        <w:fldChar w:fldCharType="end"/>
      </w:r>
      <w:bookmarkEnd w:id="13"/>
      <w:r>
        <w:t>: Load Realization Model</w:t>
      </w:r>
      <w:r w:rsidR="0082054B">
        <w:t xml:space="preserve"> Base Case</w:t>
      </w:r>
      <w:r>
        <w:t xml:space="preserve">, </w:t>
      </w:r>
      <w:r w:rsidR="0082054B">
        <w:t xml:space="preserve">Industry </w:t>
      </w:r>
      <w:r>
        <w:t>Segment Analysis</w:t>
      </w:r>
      <w:r w:rsidR="0082054B">
        <w:t xml:space="preserve"> (% Total Announced Load)</w:t>
      </w:r>
      <w:r>
        <w:rPr>
          <w:rStyle w:val="FootnoteReference"/>
        </w:rPr>
        <w:footnoteReference w:id="31"/>
      </w:r>
    </w:p>
    <w:tbl>
      <w:tblPr>
        <w:tblW w:w="9936" w:type="dxa"/>
        <w:tblLayout w:type="fixed"/>
        <w:tblLook w:val="04A0" w:firstRow="1" w:lastRow="0" w:firstColumn="1" w:lastColumn="0" w:noHBand="0" w:noVBand="1"/>
      </w:tblPr>
      <w:tblGrid>
        <w:gridCol w:w="1728"/>
        <w:gridCol w:w="720"/>
        <w:gridCol w:w="720"/>
        <w:gridCol w:w="720"/>
        <w:gridCol w:w="720"/>
        <w:gridCol w:w="720"/>
        <w:gridCol w:w="720"/>
        <w:gridCol w:w="720"/>
        <w:gridCol w:w="720"/>
        <w:gridCol w:w="720"/>
        <w:gridCol w:w="720"/>
        <w:gridCol w:w="288"/>
        <w:gridCol w:w="720"/>
      </w:tblGrid>
      <w:tr w:rsidR="00C46F89" w:rsidRPr="00C46F89" w14:paraId="2A5DAD91" w14:textId="77777777" w:rsidTr="00C46F89">
        <w:trPr>
          <w:trHeight w:val="300"/>
        </w:trPr>
        <w:tc>
          <w:tcPr>
            <w:tcW w:w="1728" w:type="dxa"/>
            <w:tcBorders>
              <w:top w:val="single" w:sz="8" w:space="0" w:color="auto"/>
              <w:left w:val="single" w:sz="8" w:space="0" w:color="auto"/>
              <w:bottom w:val="nil"/>
              <w:right w:val="nil"/>
            </w:tcBorders>
            <w:shd w:val="clear" w:color="000000" w:fill="DDEBF7"/>
            <w:noWrap/>
            <w:vAlign w:val="bottom"/>
            <w:hideMark/>
          </w:tcPr>
          <w:p w14:paraId="4019BD77" w14:textId="77777777" w:rsidR="00C46F89" w:rsidRPr="00C46F89" w:rsidRDefault="00C46F89" w:rsidP="005A1275">
            <w:pPr>
              <w:keepNext/>
              <w:keepLines/>
              <w:jc w:val="left"/>
              <w:rPr>
                <w:rFonts w:cs="Calibri"/>
                <w:b/>
                <w:bCs/>
                <w:color w:val="000000"/>
              </w:rPr>
            </w:pPr>
            <w:r w:rsidRPr="00C46F89">
              <w:rPr>
                <w:rFonts w:cs="Calibri"/>
                <w:b/>
                <w:bCs/>
                <w:color w:val="000000"/>
              </w:rPr>
              <w:t>Row Labels</w:t>
            </w:r>
          </w:p>
        </w:tc>
        <w:tc>
          <w:tcPr>
            <w:tcW w:w="720" w:type="dxa"/>
            <w:tcBorders>
              <w:top w:val="single" w:sz="8" w:space="0" w:color="auto"/>
              <w:left w:val="nil"/>
              <w:bottom w:val="nil"/>
              <w:right w:val="nil"/>
            </w:tcBorders>
            <w:shd w:val="clear" w:color="000000" w:fill="DDEBF7"/>
            <w:noWrap/>
            <w:vAlign w:val="bottom"/>
            <w:hideMark/>
          </w:tcPr>
          <w:p w14:paraId="36864D0E" w14:textId="77777777" w:rsidR="00C46F89" w:rsidRPr="00C46F89" w:rsidRDefault="00C46F89" w:rsidP="005A1275">
            <w:pPr>
              <w:keepNext/>
              <w:keepLines/>
              <w:jc w:val="center"/>
              <w:rPr>
                <w:rFonts w:cs="Calibri"/>
                <w:b/>
                <w:bCs/>
                <w:color w:val="000000"/>
              </w:rPr>
            </w:pPr>
            <w:r w:rsidRPr="00C46F89">
              <w:rPr>
                <w:rFonts w:cs="Calibri"/>
                <w:b/>
                <w:bCs/>
                <w:color w:val="000000"/>
              </w:rPr>
              <w:t>2023</w:t>
            </w:r>
          </w:p>
        </w:tc>
        <w:tc>
          <w:tcPr>
            <w:tcW w:w="720" w:type="dxa"/>
            <w:tcBorders>
              <w:top w:val="single" w:sz="8" w:space="0" w:color="auto"/>
              <w:left w:val="nil"/>
              <w:bottom w:val="nil"/>
              <w:right w:val="nil"/>
            </w:tcBorders>
            <w:shd w:val="clear" w:color="000000" w:fill="DDEBF7"/>
            <w:noWrap/>
            <w:vAlign w:val="bottom"/>
            <w:hideMark/>
          </w:tcPr>
          <w:p w14:paraId="5946EF38" w14:textId="77777777" w:rsidR="00C46F89" w:rsidRPr="00C46F89" w:rsidRDefault="00C46F89" w:rsidP="005A1275">
            <w:pPr>
              <w:keepNext/>
              <w:keepLines/>
              <w:jc w:val="center"/>
              <w:rPr>
                <w:rFonts w:cs="Calibri"/>
                <w:b/>
                <w:bCs/>
                <w:color w:val="000000"/>
              </w:rPr>
            </w:pPr>
            <w:r w:rsidRPr="00C46F89">
              <w:rPr>
                <w:rFonts w:cs="Calibri"/>
                <w:b/>
                <w:bCs/>
                <w:color w:val="000000"/>
              </w:rPr>
              <w:t>2024</w:t>
            </w:r>
          </w:p>
        </w:tc>
        <w:tc>
          <w:tcPr>
            <w:tcW w:w="720" w:type="dxa"/>
            <w:tcBorders>
              <w:top w:val="single" w:sz="8" w:space="0" w:color="auto"/>
              <w:left w:val="nil"/>
              <w:bottom w:val="nil"/>
              <w:right w:val="nil"/>
            </w:tcBorders>
            <w:shd w:val="clear" w:color="000000" w:fill="DDEBF7"/>
            <w:noWrap/>
            <w:vAlign w:val="bottom"/>
            <w:hideMark/>
          </w:tcPr>
          <w:p w14:paraId="11542F15" w14:textId="77777777" w:rsidR="00C46F89" w:rsidRPr="00C46F89" w:rsidRDefault="00C46F89" w:rsidP="005A1275">
            <w:pPr>
              <w:keepNext/>
              <w:keepLines/>
              <w:jc w:val="center"/>
              <w:rPr>
                <w:rFonts w:cs="Calibri"/>
                <w:b/>
                <w:bCs/>
                <w:color w:val="000000"/>
              </w:rPr>
            </w:pPr>
            <w:r w:rsidRPr="00C46F89">
              <w:rPr>
                <w:rFonts w:cs="Calibri"/>
                <w:b/>
                <w:bCs/>
                <w:color w:val="000000"/>
              </w:rPr>
              <w:t>2025</w:t>
            </w:r>
          </w:p>
        </w:tc>
        <w:tc>
          <w:tcPr>
            <w:tcW w:w="720" w:type="dxa"/>
            <w:tcBorders>
              <w:top w:val="single" w:sz="8" w:space="0" w:color="auto"/>
              <w:left w:val="nil"/>
              <w:bottom w:val="nil"/>
              <w:right w:val="nil"/>
            </w:tcBorders>
            <w:shd w:val="clear" w:color="000000" w:fill="DDEBF7"/>
            <w:noWrap/>
            <w:vAlign w:val="bottom"/>
            <w:hideMark/>
          </w:tcPr>
          <w:p w14:paraId="659EF625" w14:textId="77777777" w:rsidR="00C46F89" w:rsidRPr="00C46F89" w:rsidRDefault="00C46F89" w:rsidP="005A1275">
            <w:pPr>
              <w:keepNext/>
              <w:keepLines/>
              <w:jc w:val="center"/>
              <w:rPr>
                <w:rFonts w:cs="Calibri"/>
                <w:b/>
                <w:bCs/>
                <w:color w:val="000000"/>
              </w:rPr>
            </w:pPr>
            <w:r w:rsidRPr="00C46F89">
              <w:rPr>
                <w:rFonts w:cs="Calibri"/>
                <w:b/>
                <w:bCs/>
                <w:color w:val="000000"/>
              </w:rPr>
              <w:t>2026</w:t>
            </w:r>
          </w:p>
        </w:tc>
        <w:tc>
          <w:tcPr>
            <w:tcW w:w="720" w:type="dxa"/>
            <w:tcBorders>
              <w:top w:val="single" w:sz="8" w:space="0" w:color="auto"/>
              <w:left w:val="nil"/>
              <w:bottom w:val="nil"/>
              <w:right w:val="nil"/>
            </w:tcBorders>
            <w:shd w:val="clear" w:color="000000" w:fill="DDEBF7"/>
            <w:noWrap/>
            <w:vAlign w:val="bottom"/>
            <w:hideMark/>
          </w:tcPr>
          <w:p w14:paraId="1E55C827" w14:textId="77777777" w:rsidR="00C46F89" w:rsidRPr="00C46F89" w:rsidRDefault="00C46F89" w:rsidP="005A1275">
            <w:pPr>
              <w:keepNext/>
              <w:keepLines/>
              <w:jc w:val="center"/>
              <w:rPr>
                <w:rFonts w:cs="Calibri"/>
                <w:b/>
                <w:bCs/>
                <w:color w:val="000000"/>
              </w:rPr>
            </w:pPr>
            <w:r w:rsidRPr="00C46F89">
              <w:rPr>
                <w:rFonts w:cs="Calibri"/>
                <w:b/>
                <w:bCs/>
                <w:color w:val="000000"/>
              </w:rPr>
              <w:t>2027</w:t>
            </w:r>
          </w:p>
        </w:tc>
        <w:tc>
          <w:tcPr>
            <w:tcW w:w="720" w:type="dxa"/>
            <w:tcBorders>
              <w:top w:val="single" w:sz="8" w:space="0" w:color="auto"/>
              <w:left w:val="nil"/>
              <w:bottom w:val="nil"/>
              <w:right w:val="nil"/>
            </w:tcBorders>
            <w:shd w:val="clear" w:color="000000" w:fill="DDEBF7"/>
            <w:noWrap/>
            <w:vAlign w:val="bottom"/>
            <w:hideMark/>
          </w:tcPr>
          <w:p w14:paraId="5BEC4A6C" w14:textId="77777777" w:rsidR="00C46F89" w:rsidRPr="00C46F89" w:rsidRDefault="00C46F89" w:rsidP="005A1275">
            <w:pPr>
              <w:keepNext/>
              <w:keepLines/>
              <w:jc w:val="center"/>
              <w:rPr>
                <w:rFonts w:cs="Calibri"/>
                <w:b/>
                <w:bCs/>
                <w:color w:val="000000"/>
              </w:rPr>
            </w:pPr>
            <w:r w:rsidRPr="00C46F89">
              <w:rPr>
                <w:rFonts w:cs="Calibri"/>
                <w:b/>
                <w:bCs/>
                <w:color w:val="000000"/>
              </w:rPr>
              <w:t>2028</w:t>
            </w:r>
          </w:p>
        </w:tc>
        <w:tc>
          <w:tcPr>
            <w:tcW w:w="720" w:type="dxa"/>
            <w:tcBorders>
              <w:top w:val="single" w:sz="8" w:space="0" w:color="auto"/>
              <w:left w:val="nil"/>
              <w:bottom w:val="nil"/>
              <w:right w:val="nil"/>
            </w:tcBorders>
            <w:shd w:val="clear" w:color="000000" w:fill="DDEBF7"/>
            <w:noWrap/>
            <w:vAlign w:val="bottom"/>
            <w:hideMark/>
          </w:tcPr>
          <w:p w14:paraId="12EFEB4D" w14:textId="77777777" w:rsidR="00C46F89" w:rsidRPr="00C46F89" w:rsidRDefault="00C46F89" w:rsidP="005A1275">
            <w:pPr>
              <w:keepNext/>
              <w:keepLines/>
              <w:jc w:val="center"/>
              <w:rPr>
                <w:rFonts w:cs="Calibri"/>
                <w:b/>
                <w:bCs/>
                <w:color w:val="000000"/>
              </w:rPr>
            </w:pPr>
            <w:r w:rsidRPr="00C46F89">
              <w:rPr>
                <w:rFonts w:cs="Calibri"/>
                <w:b/>
                <w:bCs/>
                <w:color w:val="000000"/>
              </w:rPr>
              <w:t>2029</w:t>
            </w:r>
          </w:p>
        </w:tc>
        <w:tc>
          <w:tcPr>
            <w:tcW w:w="720" w:type="dxa"/>
            <w:tcBorders>
              <w:top w:val="single" w:sz="8" w:space="0" w:color="auto"/>
              <w:left w:val="nil"/>
              <w:bottom w:val="nil"/>
              <w:right w:val="nil"/>
            </w:tcBorders>
            <w:shd w:val="clear" w:color="000000" w:fill="DDEBF7"/>
            <w:noWrap/>
            <w:vAlign w:val="bottom"/>
            <w:hideMark/>
          </w:tcPr>
          <w:p w14:paraId="1922A930" w14:textId="77777777" w:rsidR="00C46F89" w:rsidRPr="00C46F89" w:rsidRDefault="00C46F89" w:rsidP="005A1275">
            <w:pPr>
              <w:keepNext/>
              <w:keepLines/>
              <w:jc w:val="center"/>
              <w:rPr>
                <w:rFonts w:cs="Calibri"/>
                <w:b/>
                <w:bCs/>
                <w:color w:val="000000"/>
              </w:rPr>
            </w:pPr>
            <w:r w:rsidRPr="00C46F89">
              <w:rPr>
                <w:rFonts w:cs="Calibri"/>
                <w:b/>
                <w:bCs/>
                <w:color w:val="000000"/>
              </w:rPr>
              <w:t>2030</w:t>
            </w:r>
          </w:p>
        </w:tc>
        <w:tc>
          <w:tcPr>
            <w:tcW w:w="720" w:type="dxa"/>
            <w:tcBorders>
              <w:top w:val="single" w:sz="8" w:space="0" w:color="auto"/>
              <w:left w:val="nil"/>
              <w:bottom w:val="nil"/>
              <w:right w:val="nil"/>
            </w:tcBorders>
            <w:shd w:val="clear" w:color="000000" w:fill="DDEBF7"/>
            <w:noWrap/>
            <w:vAlign w:val="bottom"/>
            <w:hideMark/>
          </w:tcPr>
          <w:p w14:paraId="61C16376" w14:textId="77777777" w:rsidR="00C46F89" w:rsidRPr="00C46F89" w:rsidRDefault="00C46F89" w:rsidP="005A1275">
            <w:pPr>
              <w:keepNext/>
              <w:keepLines/>
              <w:jc w:val="center"/>
              <w:rPr>
                <w:rFonts w:cs="Calibri"/>
                <w:b/>
                <w:bCs/>
                <w:color w:val="000000"/>
              </w:rPr>
            </w:pPr>
            <w:r w:rsidRPr="00C46F89">
              <w:rPr>
                <w:rFonts w:cs="Calibri"/>
                <w:b/>
                <w:bCs/>
                <w:color w:val="000000"/>
              </w:rPr>
              <w:t>2031</w:t>
            </w:r>
          </w:p>
        </w:tc>
        <w:tc>
          <w:tcPr>
            <w:tcW w:w="720" w:type="dxa"/>
            <w:tcBorders>
              <w:top w:val="single" w:sz="8" w:space="0" w:color="auto"/>
              <w:left w:val="nil"/>
              <w:bottom w:val="nil"/>
              <w:right w:val="nil"/>
            </w:tcBorders>
            <w:shd w:val="clear" w:color="000000" w:fill="DDEBF7"/>
            <w:noWrap/>
            <w:vAlign w:val="bottom"/>
            <w:hideMark/>
          </w:tcPr>
          <w:p w14:paraId="53119B94" w14:textId="77777777" w:rsidR="00C46F89" w:rsidRPr="00C46F89" w:rsidRDefault="00C46F89" w:rsidP="005A1275">
            <w:pPr>
              <w:keepNext/>
              <w:keepLines/>
              <w:jc w:val="center"/>
              <w:rPr>
                <w:rFonts w:cs="Calibri"/>
                <w:b/>
                <w:bCs/>
                <w:color w:val="000000"/>
              </w:rPr>
            </w:pPr>
            <w:r w:rsidRPr="00C46F89">
              <w:rPr>
                <w:rFonts w:cs="Calibri"/>
                <w:b/>
                <w:bCs/>
                <w:color w:val="000000"/>
              </w:rPr>
              <w:t>2032</w:t>
            </w:r>
          </w:p>
        </w:tc>
        <w:tc>
          <w:tcPr>
            <w:tcW w:w="288" w:type="dxa"/>
            <w:tcBorders>
              <w:top w:val="single" w:sz="8" w:space="0" w:color="auto"/>
              <w:left w:val="nil"/>
              <w:bottom w:val="nil"/>
              <w:right w:val="nil"/>
            </w:tcBorders>
            <w:shd w:val="clear" w:color="000000" w:fill="DDEBF7"/>
            <w:noWrap/>
            <w:vAlign w:val="bottom"/>
            <w:hideMark/>
          </w:tcPr>
          <w:p w14:paraId="658A6451" w14:textId="77777777" w:rsidR="00C46F89" w:rsidRPr="00C46F89" w:rsidRDefault="00C46F89" w:rsidP="005A1275">
            <w:pPr>
              <w:keepNext/>
              <w:keepLines/>
              <w:jc w:val="center"/>
              <w:rPr>
                <w:rFonts w:cs="Calibri"/>
                <w:b/>
                <w:bCs/>
                <w:color w:val="000000"/>
              </w:rPr>
            </w:pPr>
            <w:r w:rsidRPr="00C46F89">
              <w:rPr>
                <w:rFonts w:cs="Calibri"/>
                <w:b/>
                <w:bCs/>
                <w:color w:val="000000"/>
              </w:rPr>
              <w:t>…</w:t>
            </w:r>
          </w:p>
        </w:tc>
        <w:tc>
          <w:tcPr>
            <w:tcW w:w="720" w:type="dxa"/>
            <w:tcBorders>
              <w:top w:val="single" w:sz="8" w:space="0" w:color="auto"/>
              <w:left w:val="nil"/>
              <w:bottom w:val="nil"/>
              <w:right w:val="single" w:sz="8" w:space="0" w:color="auto"/>
            </w:tcBorders>
            <w:shd w:val="clear" w:color="000000" w:fill="DDEBF7"/>
            <w:noWrap/>
            <w:vAlign w:val="bottom"/>
            <w:hideMark/>
          </w:tcPr>
          <w:p w14:paraId="09375251" w14:textId="77777777" w:rsidR="00C46F89" w:rsidRPr="00C46F89" w:rsidRDefault="00C46F89" w:rsidP="005A1275">
            <w:pPr>
              <w:keepNext/>
              <w:keepLines/>
              <w:jc w:val="center"/>
              <w:rPr>
                <w:rFonts w:cs="Calibri"/>
                <w:b/>
                <w:bCs/>
                <w:color w:val="000000"/>
              </w:rPr>
            </w:pPr>
            <w:r w:rsidRPr="00C46F89">
              <w:rPr>
                <w:rFonts w:cs="Calibri"/>
                <w:b/>
                <w:bCs/>
                <w:color w:val="000000"/>
              </w:rPr>
              <w:t>2042</w:t>
            </w:r>
          </w:p>
        </w:tc>
      </w:tr>
      <w:tr w:rsidR="00C46F89" w:rsidRPr="00C46F89" w14:paraId="0DA63737" w14:textId="77777777" w:rsidTr="00C46F89">
        <w:trPr>
          <w:trHeight w:val="300"/>
        </w:trPr>
        <w:tc>
          <w:tcPr>
            <w:tcW w:w="1728" w:type="dxa"/>
            <w:tcBorders>
              <w:top w:val="nil"/>
              <w:left w:val="single" w:sz="8" w:space="0" w:color="auto"/>
              <w:bottom w:val="nil"/>
              <w:right w:val="nil"/>
            </w:tcBorders>
            <w:shd w:val="clear" w:color="000000" w:fill="F2F2F2"/>
            <w:noWrap/>
            <w:vAlign w:val="bottom"/>
            <w:hideMark/>
          </w:tcPr>
          <w:p w14:paraId="66D859BB" w14:textId="77777777" w:rsidR="00C46F89" w:rsidRPr="00C46F89" w:rsidRDefault="00C46F89" w:rsidP="005A1275">
            <w:pPr>
              <w:keepNext/>
              <w:keepLines/>
              <w:jc w:val="left"/>
              <w:rPr>
                <w:rFonts w:cs="Calibri"/>
                <w:b/>
                <w:bCs/>
                <w:color w:val="000000"/>
              </w:rPr>
            </w:pPr>
            <w:r w:rsidRPr="00C46F89">
              <w:rPr>
                <w:rFonts w:cs="Calibri"/>
                <w:b/>
                <w:bCs/>
                <w:color w:val="000000"/>
              </w:rPr>
              <w:t>Commercial</w:t>
            </w:r>
          </w:p>
        </w:tc>
        <w:tc>
          <w:tcPr>
            <w:tcW w:w="720" w:type="dxa"/>
            <w:tcBorders>
              <w:top w:val="nil"/>
              <w:left w:val="nil"/>
              <w:bottom w:val="nil"/>
              <w:right w:val="nil"/>
            </w:tcBorders>
            <w:shd w:val="clear" w:color="000000" w:fill="F2F2F2"/>
            <w:noWrap/>
            <w:vAlign w:val="bottom"/>
            <w:hideMark/>
          </w:tcPr>
          <w:p w14:paraId="14F754C5" w14:textId="77777777" w:rsidR="00C46F89" w:rsidRPr="00C46F89" w:rsidRDefault="00C46F89" w:rsidP="005A1275">
            <w:pPr>
              <w:keepNext/>
              <w:keepLines/>
              <w:jc w:val="left"/>
              <w:rPr>
                <w:rFonts w:cs="Calibri"/>
                <w:color w:val="000000"/>
              </w:rPr>
            </w:pPr>
            <w:r w:rsidRPr="00C46F89">
              <w:rPr>
                <w:rFonts w:cs="Calibri"/>
                <w:color w:val="000000"/>
              </w:rPr>
              <w:t> </w:t>
            </w:r>
          </w:p>
        </w:tc>
        <w:tc>
          <w:tcPr>
            <w:tcW w:w="720" w:type="dxa"/>
            <w:tcBorders>
              <w:top w:val="nil"/>
              <w:left w:val="nil"/>
              <w:bottom w:val="nil"/>
              <w:right w:val="nil"/>
            </w:tcBorders>
            <w:shd w:val="clear" w:color="000000" w:fill="F2F2F2"/>
            <w:noWrap/>
            <w:vAlign w:val="bottom"/>
            <w:hideMark/>
          </w:tcPr>
          <w:p w14:paraId="6F7BCA60" w14:textId="77777777" w:rsidR="00C46F89" w:rsidRPr="00C46F89" w:rsidRDefault="00C46F89" w:rsidP="005A1275">
            <w:pPr>
              <w:keepNext/>
              <w:keepLines/>
              <w:jc w:val="left"/>
              <w:rPr>
                <w:rFonts w:cs="Calibri"/>
                <w:color w:val="000000"/>
              </w:rPr>
            </w:pPr>
            <w:r w:rsidRPr="00C46F89">
              <w:rPr>
                <w:rFonts w:cs="Calibri"/>
                <w:color w:val="000000"/>
              </w:rPr>
              <w:t> </w:t>
            </w:r>
          </w:p>
        </w:tc>
        <w:tc>
          <w:tcPr>
            <w:tcW w:w="720" w:type="dxa"/>
            <w:tcBorders>
              <w:top w:val="nil"/>
              <w:left w:val="nil"/>
              <w:bottom w:val="nil"/>
              <w:right w:val="nil"/>
            </w:tcBorders>
            <w:shd w:val="clear" w:color="000000" w:fill="F2F2F2"/>
            <w:noWrap/>
            <w:vAlign w:val="bottom"/>
            <w:hideMark/>
          </w:tcPr>
          <w:p w14:paraId="7B0FC9A5" w14:textId="77777777" w:rsidR="00C46F89" w:rsidRPr="00C46F89" w:rsidRDefault="00C46F89" w:rsidP="005A1275">
            <w:pPr>
              <w:keepNext/>
              <w:keepLines/>
              <w:jc w:val="left"/>
              <w:rPr>
                <w:rFonts w:cs="Calibri"/>
                <w:color w:val="000000"/>
              </w:rPr>
            </w:pPr>
            <w:r w:rsidRPr="00C46F89">
              <w:rPr>
                <w:rFonts w:cs="Calibri"/>
                <w:color w:val="000000"/>
              </w:rPr>
              <w:t> </w:t>
            </w:r>
          </w:p>
        </w:tc>
        <w:tc>
          <w:tcPr>
            <w:tcW w:w="720" w:type="dxa"/>
            <w:tcBorders>
              <w:top w:val="nil"/>
              <w:left w:val="nil"/>
              <w:bottom w:val="nil"/>
              <w:right w:val="nil"/>
            </w:tcBorders>
            <w:shd w:val="clear" w:color="000000" w:fill="F2F2F2"/>
            <w:noWrap/>
            <w:vAlign w:val="bottom"/>
            <w:hideMark/>
          </w:tcPr>
          <w:p w14:paraId="27B7BA0D" w14:textId="77777777" w:rsidR="00C46F89" w:rsidRPr="00C46F89" w:rsidRDefault="00C46F89" w:rsidP="005A1275">
            <w:pPr>
              <w:keepNext/>
              <w:keepLines/>
              <w:jc w:val="left"/>
              <w:rPr>
                <w:rFonts w:cs="Calibri"/>
                <w:color w:val="000000"/>
              </w:rPr>
            </w:pPr>
            <w:r w:rsidRPr="00C46F89">
              <w:rPr>
                <w:rFonts w:cs="Calibri"/>
                <w:color w:val="000000"/>
              </w:rPr>
              <w:t> </w:t>
            </w:r>
          </w:p>
        </w:tc>
        <w:tc>
          <w:tcPr>
            <w:tcW w:w="720" w:type="dxa"/>
            <w:tcBorders>
              <w:top w:val="nil"/>
              <w:left w:val="nil"/>
              <w:bottom w:val="nil"/>
              <w:right w:val="nil"/>
            </w:tcBorders>
            <w:shd w:val="clear" w:color="000000" w:fill="F2F2F2"/>
            <w:noWrap/>
            <w:vAlign w:val="bottom"/>
            <w:hideMark/>
          </w:tcPr>
          <w:p w14:paraId="4E6948FB" w14:textId="77777777" w:rsidR="00C46F89" w:rsidRPr="00C46F89" w:rsidRDefault="00C46F89" w:rsidP="005A1275">
            <w:pPr>
              <w:keepNext/>
              <w:keepLines/>
              <w:jc w:val="left"/>
              <w:rPr>
                <w:rFonts w:cs="Calibri"/>
                <w:color w:val="000000"/>
              </w:rPr>
            </w:pPr>
            <w:r w:rsidRPr="00C46F89">
              <w:rPr>
                <w:rFonts w:cs="Calibri"/>
                <w:color w:val="000000"/>
              </w:rPr>
              <w:t> </w:t>
            </w:r>
          </w:p>
        </w:tc>
        <w:tc>
          <w:tcPr>
            <w:tcW w:w="720" w:type="dxa"/>
            <w:tcBorders>
              <w:top w:val="nil"/>
              <w:left w:val="nil"/>
              <w:bottom w:val="nil"/>
              <w:right w:val="nil"/>
            </w:tcBorders>
            <w:shd w:val="clear" w:color="000000" w:fill="F2F2F2"/>
            <w:noWrap/>
            <w:vAlign w:val="bottom"/>
            <w:hideMark/>
          </w:tcPr>
          <w:p w14:paraId="3821B13B" w14:textId="77777777" w:rsidR="00C46F89" w:rsidRPr="00C46F89" w:rsidRDefault="00C46F89" w:rsidP="005A1275">
            <w:pPr>
              <w:keepNext/>
              <w:keepLines/>
              <w:jc w:val="left"/>
              <w:rPr>
                <w:rFonts w:cs="Calibri"/>
                <w:color w:val="000000"/>
              </w:rPr>
            </w:pPr>
            <w:r w:rsidRPr="00C46F89">
              <w:rPr>
                <w:rFonts w:cs="Calibri"/>
                <w:color w:val="000000"/>
              </w:rPr>
              <w:t> </w:t>
            </w:r>
          </w:p>
        </w:tc>
        <w:tc>
          <w:tcPr>
            <w:tcW w:w="720" w:type="dxa"/>
            <w:tcBorders>
              <w:top w:val="nil"/>
              <w:left w:val="nil"/>
              <w:bottom w:val="nil"/>
              <w:right w:val="nil"/>
            </w:tcBorders>
            <w:shd w:val="clear" w:color="000000" w:fill="F2F2F2"/>
            <w:noWrap/>
            <w:vAlign w:val="bottom"/>
            <w:hideMark/>
          </w:tcPr>
          <w:p w14:paraId="7F98FB6C" w14:textId="77777777" w:rsidR="00C46F89" w:rsidRPr="00C46F89" w:rsidRDefault="00C46F89" w:rsidP="005A1275">
            <w:pPr>
              <w:keepNext/>
              <w:keepLines/>
              <w:jc w:val="left"/>
              <w:rPr>
                <w:rFonts w:cs="Calibri"/>
                <w:color w:val="000000"/>
              </w:rPr>
            </w:pPr>
            <w:r w:rsidRPr="00C46F89">
              <w:rPr>
                <w:rFonts w:cs="Calibri"/>
                <w:color w:val="000000"/>
              </w:rPr>
              <w:t> </w:t>
            </w:r>
          </w:p>
        </w:tc>
        <w:tc>
          <w:tcPr>
            <w:tcW w:w="720" w:type="dxa"/>
            <w:tcBorders>
              <w:top w:val="nil"/>
              <w:left w:val="nil"/>
              <w:bottom w:val="nil"/>
              <w:right w:val="nil"/>
            </w:tcBorders>
            <w:shd w:val="clear" w:color="000000" w:fill="F2F2F2"/>
            <w:noWrap/>
            <w:vAlign w:val="bottom"/>
            <w:hideMark/>
          </w:tcPr>
          <w:p w14:paraId="2AF25A04" w14:textId="77777777" w:rsidR="00C46F89" w:rsidRPr="00C46F89" w:rsidRDefault="00C46F89" w:rsidP="005A1275">
            <w:pPr>
              <w:keepNext/>
              <w:keepLines/>
              <w:jc w:val="left"/>
              <w:rPr>
                <w:rFonts w:cs="Calibri"/>
                <w:color w:val="000000"/>
              </w:rPr>
            </w:pPr>
            <w:r w:rsidRPr="00C46F89">
              <w:rPr>
                <w:rFonts w:cs="Calibri"/>
                <w:color w:val="000000"/>
              </w:rPr>
              <w:t> </w:t>
            </w:r>
          </w:p>
        </w:tc>
        <w:tc>
          <w:tcPr>
            <w:tcW w:w="720" w:type="dxa"/>
            <w:tcBorders>
              <w:top w:val="nil"/>
              <w:left w:val="nil"/>
              <w:bottom w:val="nil"/>
              <w:right w:val="nil"/>
            </w:tcBorders>
            <w:shd w:val="clear" w:color="000000" w:fill="F2F2F2"/>
            <w:noWrap/>
            <w:vAlign w:val="bottom"/>
            <w:hideMark/>
          </w:tcPr>
          <w:p w14:paraId="2E7427FE" w14:textId="77777777" w:rsidR="00C46F89" w:rsidRPr="00C46F89" w:rsidRDefault="00C46F89" w:rsidP="005A1275">
            <w:pPr>
              <w:keepNext/>
              <w:keepLines/>
              <w:jc w:val="left"/>
              <w:rPr>
                <w:rFonts w:cs="Calibri"/>
                <w:color w:val="000000"/>
              </w:rPr>
            </w:pPr>
            <w:r w:rsidRPr="00C46F89">
              <w:rPr>
                <w:rFonts w:cs="Calibri"/>
                <w:color w:val="000000"/>
              </w:rPr>
              <w:t> </w:t>
            </w:r>
          </w:p>
        </w:tc>
        <w:tc>
          <w:tcPr>
            <w:tcW w:w="720" w:type="dxa"/>
            <w:tcBorders>
              <w:top w:val="nil"/>
              <w:left w:val="nil"/>
              <w:bottom w:val="nil"/>
              <w:right w:val="nil"/>
            </w:tcBorders>
            <w:shd w:val="clear" w:color="000000" w:fill="F2F2F2"/>
            <w:noWrap/>
            <w:vAlign w:val="bottom"/>
            <w:hideMark/>
          </w:tcPr>
          <w:p w14:paraId="392EFB43" w14:textId="77777777" w:rsidR="00C46F89" w:rsidRPr="00C46F89" w:rsidRDefault="00C46F89" w:rsidP="005A1275">
            <w:pPr>
              <w:keepNext/>
              <w:keepLines/>
              <w:jc w:val="left"/>
              <w:rPr>
                <w:rFonts w:cs="Calibri"/>
                <w:color w:val="000000"/>
              </w:rPr>
            </w:pPr>
            <w:r w:rsidRPr="00C46F89">
              <w:rPr>
                <w:rFonts w:cs="Calibri"/>
                <w:color w:val="000000"/>
              </w:rPr>
              <w:t> </w:t>
            </w:r>
          </w:p>
        </w:tc>
        <w:tc>
          <w:tcPr>
            <w:tcW w:w="288" w:type="dxa"/>
            <w:tcBorders>
              <w:top w:val="nil"/>
              <w:left w:val="nil"/>
              <w:bottom w:val="nil"/>
              <w:right w:val="nil"/>
            </w:tcBorders>
            <w:shd w:val="clear" w:color="000000" w:fill="F2F2F2"/>
            <w:noWrap/>
            <w:vAlign w:val="bottom"/>
            <w:hideMark/>
          </w:tcPr>
          <w:p w14:paraId="5A6A17D3" w14:textId="77777777" w:rsidR="00C46F89" w:rsidRPr="00C46F89" w:rsidRDefault="00C46F89" w:rsidP="005A1275">
            <w:pPr>
              <w:keepNext/>
              <w:keepLines/>
              <w:jc w:val="left"/>
              <w:rPr>
                <w:rFonts w:cs="Calibri"/>
                <w:color w:val="000000"/>
              </w:rPr>
            </w:pPr>
            <w:r w:rsidRPr="00C46F89">
              <w:rPr>
                <w:rFonts w:cs="Calibri"/>
                <w:color w:val="000000"/>
              </w:rPr>
              <w:t> </w:t>
            </w:r>
          </w:p>
        </w:tc>
        <w:tc>
          <w:tcPr>
            <w:tcW w:w="720" w:type="dxa"/>
            <w:tcBorders>
              <w:top w:val="nil"/>
              <w:left w:val="nil"/>
              <w:bottom w:val="nil"/>
              <w:right w:val="single" w:sz="8" w:space="0" w:color="auto"/>
            </w:tcBorders>
            <w:shd w:val="clear" w:color="000000" w:fill="F2F2F2"/>
            <w:noWrap/>
            <w:vAlign w:val="bottom"/>
            <w:hideMark/>
          </w:tcPr>
          <w:p w14:paraId="3320D55E" w14:textId="77777777" w:rsidR="00C46F89" w:rsidRPr="00C46F89" w:rsidRDefault="00C46F89" w:rsidP="005A1275">
            <w:pPr>
              <w:keepNext/>
              <w:keepLines/>
              <w:jc w:val="left"/>
              <w:rPr>
                <w:rFonts w:cs="Calibri"/>
                <w:color w:val="000000"/>
              </w:rPr>
            </w:pPr>
            <w:r w:rsidRPr="00C46F89">
              <w:rPr>
                <w:rFonts w:cs="Calibri"/>
                <w:color w:val="000000"/>
              </w:rPr>
              <w:t> </w:t>
            </w:r>
          </w:p>
        </w:tc>
      </w:tr>
      <w:tr w:rsidR="00C46F89" w:rsidRPr="00C46F89" w14:paraId="6AA75E30" w14:textId="77777777" w:rsidTr="00C46F89">
        <w:trPr>
          <w:trHeight w:val="300"/>
        </w:trPr>
        <w:tc>
          <w:tcPr>
            <w:tcW w:w="1728" w:type="dxa"/>
            <w:tcBorders>
              <w:top w:val="nil"/>
              <w:left w:val="single" w:sz="8" w:space="0" w:color="auto"/>
              <w:bottom w:val="nil"/>
              <w:right w:val="nil"/>
            </w:tcBorders>
            <w:shd w:val="clear" w:color="auto" w:fill="auto"/>
            <w:noWrap/>
            <w:vAlign w:val="bottom"/>
            <w:hideMark/>
          </w:tcPr>
          <w:p w14:paraId="3CA0F812" w14:textId="77777777" w:rsidR="00C46F89" w:rsidRPr="00C46F89" w:rsidRDefault="00C46F89" w:rsidP="005A1275">
            <w:pPr>
              <w:keepNext/>
              <w:keepLines/>
              <w:jc w:val="left"/>
              <w:rPr>
                <w:rFonts w:cs="Calibri"/>
                <w:color w:val="000000"/>
              </w:rPr>
            </w:pPr>
            <w:r w:rsidRPr="00C46F89">
              <w:rPr>
                <w:rFonts w:cs="Calibri"/>
                <w:color w:val="000000"/>
              </w:rPr>
              <w:t>Cryptocurrency</w:t>
            </w:r>
          </w:p>
        </w:tc>
        <w:tc>
          <w:tcPr>
            <w:tcW w:w="720" w:type="dxa"/>
            <w:tcBorders>
              <w:top w:val="nil"/>
              <w:left w:val="nil"/>
              <w:bottom w:val="nil"/>
              <w:right w:val="nil"/>
            </w:tcBorders>
            <w:shd w:val="clear" w:color="auto" w:fill="auto"/>
            <w:noWrap/>
            <w:vAlign w:val="bottom"/>
            <w:hideMark/>
          </w:tcPr>
          <w:p w14:paraId="0659A222" w14:textId="77777777" w:rsidR="00C46F89" w:rsidRPr="00C46F89" w:rsidRDefault="00C46F89" w:rsidP="005A1275">
            <w:pPr>
              <w:keepNext/>
              <w:keepLines/>
              <w:jc w:val="right"/>
              <w:rPr>
                <w:rFonts w:cs="Calibri"/>
                <w:color w:val="000000"/>
              </w:rPr>
            </w:pPr>
            <w:r w:rsidRPr="00C46F89">
              <w:rPr>
                <w:rFonts w:cs="Calibri"/>
                <w:color w:val="000000"/>
              </w:rPr>
              <w:t>0%</w:t>
            </w:r>
          </w:p>
        </w:tc>
        <w:tc>
          <w:tcPr>
            <w:tcW w:w="720" w:type="dxa"/>
            <w:tcBorders>
              <w:top w:val="nil"/>
              <w:left w:val="nil"/>
              <w:bottom w:val="nil"/>
              <w:right w:val="nil"/>
            </w:tcBorders>
            <w:shd w:val="clear" w:color="auto" w:fill="auto"/>
            <w:noWrap/>
            <w:vAlign w:val="bottom"/>
            <w:hideMark/>
          </w:tcPr>
          <w:p w14:paraId="37ADB2CA" w14:textId="77777777" w:rsidR="00C46F89" w:rsidRPr="00C46F89" w:rsidRDefault="00C46F89" w:rsidP="005A1275">
            <w:pPr>
              <w:keepNext/>
              <w:keepLines/>
              <w:jc w:val="right"/>
              <w:rPr>
                <w:rFonts w:cs="Calibri"/>
                <w:color w:val="000000"/>
              </w:rPr>
            </w:pPr>
            <w:r w:rsidRPr="00C46F89">
              <w:rPr>
                <w:rFonts w:cs="Calibri"/>
                <w:color w:val="000000"/>
              </w:rPr>
              <w:t>24%</w:t>
            </w:r>
          </w:p>
        </w:tc>
        <w:tc>
          <w:tcPr>
            <w:tcW w:w="720" w:type="dxa"/>
            <w:tcBorders>
              <w:top w:val="nil"/>
              <w:left w:val="nil"/>
              <w:bottom w:val="nil"/>
              <w:right w:val="nil"/>
            </w:tcBorders>
            <w:shd w:val="clear" w:color="auto" w:fill="auto"/>
            <w:noWrap/>
            <w:vAlign w:val="bottom"/>
            <w:hideMark/>
          </w:tcPr>
          <w:p w14:paraId="1DB0D151" w14:textId="77777777" w:rsidR="00C46F89" w:rsidRPr="00C46F89" w:rsidRDefault="00C46F89" w:rsidP="005A1275">
            <w:pPr>
              <w:keepNext/>
              <w:keepLines/>
              <w:jc w:val="right"/>
              <w:rPr>
                <w:rFonts w:cs="Calibri"/>
                <w:color w:val="000000"/>
              </w:rPr>
            </w:pPr>
            <w:r w:rsidRPr="00C46F89">
              <w:rPr>
                <w:rFonts w:cs="Calibri"/>
                <w:color w:val="000000"/>
              </w:rPr>
              <w:t>10%</w:t>
            </w:r>
          </w:p>
        </w:tc>
        <w:tc>
          <w:tcPr>
            <w:tcW w:w="720" w:type="dxa"/>
            <w:tcBorders>
              <w:top w:val="nil"/>
              <w:left w:val="nil"/>
              <w:bottom w:val="nil"/>
              <w:right w:val="nil"/>
            </w:tcBorders>
            <w:shd w:val="clear" w:color="auto" w:fill="auto"/>
            <w:noWrap/>
            <w:vAlign w:val="bottom"/>
            <w:hideMark/>
          </w:tcPr>
          <w:p w14:paraId="235AD36A" w14:textId="77777777" w:rsidR="00C46F89" w:rsidRPr="00C46F89" w:rsidRDefault="00C46F89" w:rsidP="005A1275">
            <w:pPr>
              <w:keepNext/>
              <w:keepLines/>
              <w:jc w:val="right"/>
              <w:rPr>
                <w:rFonts w:cs="Calibri"/>
                <w:color w:val="000000"/>
              </w:rPr>
            </w:pPr>
            <w:r w:rsidRPr="00C46F89">
              <w:rPr>
                <w:rFonts w:cs="Calibri"/>
                <w:color w:val="000000"/>
              </w:rPr>
              <w:t>4%</w:t>
            </w:r>
          </w:p>
        </w:tc>
        <w:tc>
          <w:tcPr>
            <w:tcW w:w="720" w:type="dxa"/>
            <w:tcBorders>
              <w:top w:val="nil"/>
              <w:left w:val="nil"/>
              <w:bottom w:val="nil"/>
              <w:right w:val="nil"/>
            </w:tcBorders>
            <w:shd w:val="clear" w:color="auto" w:fill="auto"/>
            <w:noWrap/>
            <w:vAlign w:val="bottom"/>
            <w:hideMark/>
          </w:tcPr>
          <w:p w14:paraId="6E6D4BD1" w14:textId="77777777" w:rsidR="00C46F89" w:rsidRPr="00C46F89" w:rsidRDefault="00C46F89" w:rsidP="005A1275">
            <w:pPr>
              <w:keepNext/>
              <w:keepLines/>
              <w:jc w:val="right"/>
              <w:rPr>
                <w:rFonts w:cs="Calibri"/>
                <w:color w:val="000000"/>
              </w:rPr>
            </w:pPr>
            <w:r w:rsidRPr="00C46F89">
              <w:rPr>
                <w:rFonts w:cs="Calibri"/>
                <w:color w:val="000000"/>
              </w:rPr>
              <w:t>4%</w:t>
            </w:r>
          </w:p>
        </w:tc>
        <w:tc>
          <w:tcPr>
            <w:tcW w:w="720" w:type="dxa"/>
            <w:tcBorders>
              <w:top w:val="nil"/>
              <w:left w:val="nil"/>
              <w:bottom w:val="nil"/>
              <w:right w:val="nil"/>
            </w:tcBorders>
            <w:shd w:val="clear" w:color="auto" w:fill="auto"/>
            <w:noWrap/>
            <w:vAlign w:val="bottom"/>
            <w:hideMark/>
          </w:tcPr>
          <w:p w14:paraId="7202879C" w14:textId="77777777" w:rsidR="00C46F89" w:rsidRPr="00C46F89" w:rsidRDefault="00C46F89" w:rsidP="005A1275">
            <w:pPr>
              <w:keepNext/>
              <w:keepLines/>
              <w:jc w:val="right"/>
              <w:rPr>
                <w:rFonts w:cs="Calibri"/>
                <w:color w:val="000000"/>
              </w:rPr>
            </w:pPr>
            <w:r w:rsidRPr="00C46F89">
              <w:rPr>
                <w:rFonts w:cs="Calibri"/>
                <w:color w:val="000000"/>
              </w:rPr>
              <w:t>3%</w:t>
            </w:r>
          </w:p>
        </w:tc>
        <w:tc>
          <w:tcPr>
            <w:tcW w:w="720" w:type="dxa"/>
            <w:tcBorders>
              <w:top w:val="nil"/>
              <w:left w:val="nil"/>
              <w:bottom w:val="nil"/>
              <w:right w:val="nil"/>
            </w:tcBorders>
            <w:shd w:val="clear" w:color="auto" w:fill="auto"/>
            <w:noWrap/>
            <w:vAlign w:val="bottom"/>
            <w:hideMark/>
          </w:tcPr>
          <w:p w14:paraId="66196115" w14:textId="77777777" w:rsidR="00C46F89" w:rsidRPr="00C46F89" w:rsidRDefault="00C46F89" w:rsidP="005A1275">
            <w:pPr>
              <w:keepNext/>
              <w:keepLines/>
              <w:jc w:val="right"/>
              <w:rPr>
                <w:rFonts w:cs="Calibri"/>
                <w:color w:val="000000"/>
              </w:rPr>
            </w:pPr>
            <w:r w:rsidRPr="00C46F89">
              <w:rPr>
                <w:rFonts w:cs="Calibri"/>
                <w:color w:val="000000"/>
              </w:rPr>
              <w:t>3%</w:t>
            </w:r>
          </w:p>
        </w:tc>
        <w:tc>
          <w:tcPr>
            <w:tcW w:w="720" w:type="dxa"/>
            <w:tcBorders>
              <w:top w:val="nil"/>
              <w:left w:val="nil"/>
              <w:bottom w:val="nil"/>
              <w:right w:val="nil"/>
            </w:tcBorders>
            <w:shd w:val="clear" w:color="auto" w:fill="auto"/>
            <w:noWrap/>
            <w:vAlign w:val="bottom"/>
            <w:hideMark/>
          </w:tcPr>
          <w:p w14:paraId="76AE54BE" w14:textId="77777777" w:rsidR="00C46F89" w:rsidRPr="00C46F89" w:rsidRDefault="00C46F89" w:rsidP="005A1275">
            <w:pPr>
              <w:keepNext/>
              <w:keepLines/>
              <w:jc w:val="right"/>
              <w:rPr>
                <w:rFonts w:cs="Calibri"/>
                <w:color w:val="000000"/>
              </w:rPr>
            </w:pPr>
            <w:r w:rsidRPr="00C46F89">
              <w:rPr>
                <w:rFonts w:cs="Calibri"/>
                <w:color w:val="000000"/>
              </w:rPr>
              <w:t>2%</w:t>
            </w:r>
          </w:p>
        </w:tc>
        <w:tc>
          <w:tcPr>
            <w:tcW w:w="720" w:type="dxa"/>
            <w:tcBorders>
              <w:top w:val="nil"/>
              <w:left w:val="nil"/>
              <w:bottom w:val="nil"/>
              <w:right w:val="nil"/>
            </w:tcBorders>
            <w:shd w:val="clear" w:color="auto" w:fill="auto"/>
            <w:noWrap/>
            <w:vAlign w:val="bottom"/>
            <w:hideMark/>
          </w:tcPr>
          <w:p w14:paraId="18F5EF5E" w14:textId="77777777" w:rsidR="00C46F89" w:rsidRPr="00C46F89" w:rsidRDefault="00C46F89" w:rsidP="005A1275">
            <w:pPr>
              <w:keepNext/>
              <w:keepLines/>
              <w:jc w:val="right"/>
              <w:rPr>
                <w:rFonts w:cs="Calibri"/>
                <w:color w:val="000000"/>
              </w:rPr>
            </w:pPr>
            <w:r w:rsidRPr="00C46F89">
              <w:rPr>
                <w:rFonts w:cs="Calibri"/>
                <w:color w:val="000000"/>
              </w:rPr>
              <w:t>2%</w:t>
            </w:r>
          </w:p>
        </w:tc>
        <w:tc>
          <w:tcPr>
            <w:tcW w:w="720" w:type="dxa"/>
            <w:tcBorders>
              <w:top w:val="nil"/>
              <w:left w:val="nil"/>
              <w:bottom w:val="nil"/>
              <w:right w:val="nil"/>
            </w:tcBorders>
            <w:shd w:val="clear" w:color="auto" w:fill="auto"/>
            <w:noWrap/>
            <w:vAlign w:val="bottom"/>
            <w:hideMark/>
          </w:tcPr>
          <w:p w14:paraId="2DECA3D2" w14:textId="77777777" w:rsidR="00C46F89" w:rsidRPr="00C46F89" w:rsidRDefault="00C46F89" w:rsidP="005A1275">
            <w:pPr>
              <w:keepNext/>
              <w:keepLines/>
              <w:jc w:val="right"/>
              <w:rPr>
                <w:rFonts w:cs="Calibri"/>
                <w:color w:val="000000"/>
              </w:rPr>
            </w:pPr>
            <w:r w:rsidRPr="00C46F89">
              <w:rPr>
                <w:rFonts w:cs="Calibri"/>
                <w:color w:val="000000"/>
              </w:rPr>
              <w:t>2%</w:t>
            </w:r>
          </w:p>
        </w:tc>
        <w:tc>
          <w:tcPr>
            <w:tcW w:w="288" w:type="dxa"/>
            <w:tcBorders>
              <w:top w:val="nil"/>
              <w:left w:val="nil"/>
              <w:bottom w:val="nil"/>
              <w:right w:val="nil"/>
            </w:tcBorders>
            <w:shd w:val="clear" w:color="auto" w:fill="auto"/>
            <w:noWrap/>
            <w:vAlign w:val="bottom"/>
            <w:hideMark/>
          </w:tcPr>
          <w:p w14:paraId="6A556B61" w14:textId="77777777" w:rsidR="00C46F89" w:rsidRPr="00C46F89" w:rsidRDefault="00C46F89" w:rsidP="005A1275">
            <w:pPr>
              <w:keepNext/>
              <w:keepLines/>
              <w:jc w:val="right"/>
              <w:rPr>
                <w:rFonts w:cs="Calibri"/>
                <w:color w:val="000000"/>
              </w:rPr>
            </w:pPr>
          </w:p>
        </w:tc>
        <w:tc>
          <w:tcPr>
            <w:tcW w:w="720" w:type="dxa"/>
            <w:tcBorders>
              <w:top w:val="nil"/>
              <w:left w:val="nil"/>
              <w:bottom w:val="nil"/>
              <w:right w:val="single" w:sz="8" w:space="0" w:color="auto"/>
            </w:tcBorders>
            <w:shd w:val="clear" w:color="auto" w:fill="auto"/>
            <w:noWrap/>
            <w:vAlign w:val="bottom"/>
            <w:hideMark/>
          </w:tcPr>
          <w:p w14:paraId="6A055C00" w14:textId="77777777" w:rsidR="00C46F89" w:rsidRPr="00C46F89" w:rsidRDefault="00C46F89" w:rsidP="005A1275">
            <w:pPr>
              <w:keepNext/>
              <w:keepLines/>
              <w:jc w:val="right"/>
              <w:rPr>
                <w:rFonts w:cs="Calibri"/>
                <w:color w:val="000000"/>
              </w:rPr>
            </w:pPr>
            <w:r w:rsidRPr="00C46F89">
              <w:rPr>
                <w:rFonts w:cs="Calibri"/>
                <w:color w:val="000000"/>
              </w:rPr>
              <w:t>2%</w:t>
            </w:r>
          </w:p>
        </w:tc>
      </w:tr>
      <w:tr w:rsidR="00C46F89" w:rsidRPr="00C46F89" w14:paraId="0FD34643" w14:textId="77777777" w:rsidTr="00C46F89">
        <w:trPr>
          <w:trHeight w:val="300"/>
        </w:trPr>
        <w:tc>
          <w:tcPr>
            <w:tcW w:w="1728" w:type="dxa"/>
            <w:tcBorders>
              <w:top w:val="nil"/>
              <w:left w:val="single" w:sz="8" w:space="0" w:color="auto"/>
              <w:bottom w:val="nil"/>
              <w:right w:val="nil"/>
            </w:tcBorders>
            <w:shd w:val="clear" w:color="auto" w:fill="auto"/>
            <w:noWrap/>
            <w:vAlign w:val="bottom"/>
            <w:hideMark/>
          </w:tcPr>
          <w:p w14:paraId="31D550BF" w14:textId="77777777" w:rsidR="00C46F89" w:rsidRPr="00C46F89" w:rsidRDefault="00C46F89" w:rsidP="005A1275">
            <w:pPr>
              <w:keepNext/>
              <w:keepLines/>
              <w:jc w:val="left"/>
              <w:rPr>
                <w:rFonts w:cs="Calibri"/>
                <w:color w:val="000000"/>
              </w:rPr>
            </w:pPr>
            <w:r w:rsidRPr="00C46F89">
              <w:rPr>
                <w:rFonts w:cs="Calibri"/>
                <w:color w:val="000000"/>
              </w:rPr>
              <w:t>Datacenter</w:t>
            </w:r>
          </w:p>
        </w:tc>
        <w:tc>
          <w:tcPr>
            <w:tcW w:w="720" w:type="dxa"/>
            <w:tcBorders>
              <w:top w:val="nil"/>
              <w:left w:val="nil"/>
              <w:bottom w:val="nil"/>
              <w:right w:val="nil"/>
            </w:tcBorders>
            <w:shd w:val="clear" w:color="auto" w:fill="auto"/>
            <w:noWrap/>
            <w:vAlign w:val="bottom"/>
            <w:hideMark/>
          </w:tcPr>
          <w:p w14:paraId="5F878C25" w14:textId="77777777" w:rsidR="00C46F89" w:rsidRPr="00C46F89" w:rsidRDefault="00C46F89" w:rsidP="005A1275">
            <w:pPr>
              <w:keepNext/>
              <w:keepLines/>
              <w:jc w:val="right"/>
              <w:rPr>
                <w:rFonts w:cs="Calibri"/>
                <w:color w:val="000000"/>
              </w:rPr>
            </w:pPr>
            <w:r w:rsidRPr="00C46F89">
              <w:rPr>
                <w:rFonts w:cs="Calibri"/>
                <w:color w:val="000000"/>
              </w:rPr>
              <w:t>0%</w:t>
            </w:r>
          </w:p>
        </w:tc>
        <w:tc>
          <w:tcPr>
            <w:tcW w:w="720" w:type="dxa"/>
            <w:tcBorders>
              <w:top w:val="nil"/>
              <w:left w:val="nil"/>
              <w:bottom w:val="nil"/>
              <w:right w:val="nil"/>
            </w:tcBorders>
            <w:shd w:val="clear" w:color="auto" w:fill="auto"/>
            <w:noWrap/>
            <w:vAlign w:val="bottom"/>
            <w:hideMark/>
          </w:tcPr>
          <w:p w14:paraId="6E1862B2" w14:textId="77777777" w:rsidR="00C46F89" w:rsidRPr="00C46F89" w:rsidRDefault="00C46F89" w:rsidP="005A1275">
            <w:pPr>
              <w:keepNext/>
              <w:keepLines/>
              <w:jc w:val="right"/>
              <w:rPr>
                <w:rFonts w:cs="Calibri"/>
                <w:color w:val="000000"/>
              </w:rPr>
            </w:pPr>
            <w:r w:rsidRPr="00C46F89">
              <w:rPr>
                <w:rFonts w:cs="Calibri"/>
                <w:color w:val="000000"/>
              </w:rPr>
              <w:t>38%</w:t>
            </w:r>
          </w:p>
        </w:tc>
        <w:tc>
          <w:tcPr>
            <w:tcW w:w="720" w:type="dxa"/>
            <w:tcBorders>
              <w:top w:val="nil"/>
              <w:left w:val="nil"/>
              <w:bottom w:val="nil"/>
              <w:right w:val="nil"/>
            </w:tcBorders>
            <w:shd w:val="clear" w:color="auto" w:fill="auto"/>
            <w:noWrap/>
            <w:vAlign w:val="bottom"/>
            <w:hideMark/>
          </w:tcPr>
          <w:p w14:paraId="388F3F26" w14:textId="77777777" w:rsidR="00C46F89" w:rsidRPr="00C46F89" w:rsidRDefault="00C46F89" w:rsidP="005A1275">
            <w:pPr>
              <w:keepNext/>
              <w:keepLines/>
              <w:jc w:val="right"/>
              <w:rPr>
                <w:rFonts w:cs="Calibri"/>
                <w:color w:val="000000"/>
              </w:rPr>
            </w:pPr>
            <w:r w:rsidRPr="00C46F89">
              <w:rPr>
                <w:rFonts w:cs="Calibri"/>
                <w:color w:val="000000"/>
              </w:rPr>
              <w:t>61%</w:t>
            </w:r>
          </w:p>
        </w:tc>
        <w:tc>
          <w:tcPr>
            <w:tcW w:w="720" w:type="dxa"/>
            <w:tcBorders>
              <w:top w:val="nil"/>
              <w:left w:val="nil"/>
              <w:bottom w:val="nil"/>
              <w:right w:val="nil"/>
            </w:tcBorders>
            <w:shd w:val="clear" w:color="auto" w:fill="auto"/>
            <w:noWrap/>
            <w:vAlign w:val="bottom"/>
            <w:hideMark/>
          </w:tcPr>
          <w:p w14:paraId="6A7671A3" w14:textId="77777777" w:rsidR="00C46F89" w:rsidRPr="00C46F89" w:rsidRDefault="00C46F89" w:rsidP="005A1275">
            <w:pPr>
              <w:keepNext/>
              <w:keepLines/>
              <w:jc w:val="right"/>
              <w:rPr>
                <w:rFonts w:cs="Calibri"/>
                <w:color w:val="000000"/>
              </w:rPr>
            </w:pPr>
            <w:r w:rsidRPr="00C46F89">
              <w:rPr>
                <w:rFonts w:cs="Calibri"/>
                <w:color w:val="000000"/>
              </w:rPr>
              <w:t>68%</w:t>
            </w:r>
          </w:p>
        </w:tc>
        <w:tc>
          <w:tcPr>
            <w:tcW w:w="720" w:type="dxa"/>
            <w:tcBorders>
              <w:top w:val="nil"/>
              <w:left w:val="nil"/>
              <w:bottom w:val="nil"/>
              <w:right w:val="nil"/>
            </w:tcBorders>
            <w:shd w:val="clear" w:color="auto" w:fill="auto"/>
            <w:noWrap/>
            <w:vAlign w:val="bottom"/>
            <w:hideMark/>
          </w:tcPr>
          <w:p w14:paraId="5CF27C70" w14:textId="77777777" w:rsidR="00C46F89" w:rsidRPr="00C46F89" w:rsidRDefault="00C46F89" w:rsidP="005A1275">
            <w:pPr>
              <w:keepNext/>
              <w:keepLines/>
              <w:jc w:val="right"/>
              <w:rPr>
                <w:rFonts w:cs="Calibri"/>
                <w:color w:val="000000"/>
              </w:rPr>
            </w:pPr>
            <w:r w:rsidRPr="00C46F89">
              <w:rPr>
                <w:rFonts w:cs="Calibri"/>
                <w:color w:val="000000"/>
              </w:rPr>
              <w:t>73%</w:t>
            </w:r>
          </w:p>
        </w:tc>
        <w:tc>
          <w:tcPr>
            <w:tcW w:w="720" w:type="dxa"/>
            <w:tcBorders>
              <w:top w:val="nil"/>
              <w:left w:val="nil"/>
              <w:bottom w:val="nil"/>
              <w:right w:val="nil"/>
            </w:tcBorders>
            <w:shd w:val="clear" w:color="auto" w:fill="auto"/>
            <w:noWrap/>
            <w:vAlign w:val="bottom"/>
            <w:hideMark/>
          </w:tcPr>
          <w:p w14:paraId="5D9CC90D" w14:textId="77777777" w:rsidR="00C46F89" w:rsidRPr="00C46F89" w:rsidRDefault="00C46F89" w:rsidP="005A1275">
            <w:pPr>
              <w:keepNext/>
              <w:keepLines/>
              <w:jc w:val="right"/>
              <w:rPr>
                <w:rFonts w:cs="Calibri"/>
                <w:color w:val="000000"/>
              </w:rPr>
            </w:pPr>
            <w:r w:rsidRPr="00C46F89">
              <w:rPr>
                <w:rFonts w:cs="Calibri"/>
                <w:color w:val="000000"/>
              </w:rPr>
              <w:t>74%</w:t>
            </w:r>
          </w:p>
        </w:tc>
        <w:tc>
          <w:tcPr>
            <w:tcW w:w="720" w:type="dxa"/>
            <w:tcBorders>
              <w:top w:val="nil"/>
              <w:left w:val="nil"/>
              <w:bottom w:val="nil"/>
              <w:right w:val="nil"/>
            </w:tcBorders>
            <w:shd w:val="clear" w:color="auto" w:fill="auto"/>
            <w:noWrap/>
            <w:vAlign w:val="bottom"/>
            <w:hideMark/>
          </w:tcPr>
          <w:p w14:paraId="62D9D4EF" w14:textId="77777777" w:rsidR="00C46F89" w:rsidRPr="00C46F89" w:rsidRDefault="00C46F89" w:rsidP="005A1275">
            <w:pPr>
              <w:keepNext/>
              <w:keepLines/>
              <w:jc w:val="right"/>
              <w:rPr>
                <w:rFonts w:cs="Calibri"/>
                <w:color w:val="000000"/>
              </w:rPr>
            </w:pPr>
            <w:r w:rsidRPr="00C46F89">
              <w:rPr>
                <w:rFonts w:cs="Calibri"/>
                <w:color w:val="000000"/>
              </w:rPr>
              <w:t>75%</w:t>
            </w:r>
          </w:p>
        </w:tc>
        <w:tc>
          <w:tcPr>
            <w:tcW w:w="720" w:type="dxa"/>
            <w:tcBorders>
              <w:top w:val="nil"/>
              <w:left w:val="nil"/>
              <w:bottom w:val="nil"/>
              <w:right w:val="nil"/>
            </w:tcBorders>
            <w:shd w:val="clear" w:color="auto" w:fill="auto"/>
            <w:noWrap/>
            <w:vAlign w:val="bottom"/>
            <w:hideMark/>
          </w:tcPr>
          <w:p w14:paraId="59CAAD2A" w14:textId="77777777" w:rsidR="00C46F89" w:rsidRPr="00C46F89" w:rsidRDefault="00C46F89" w:rsidP="005A1275">
            <w:pPr>
              <w:keepNext/>
              <w:keepLines/>
              <w:jc w:val="right"/>
              <w:rPr>
                <w:rFonts w:cs="Calibri"/>
                <w:color w:val="000000"/>
              </w:rPr>
            </w:pPr>
            <w:r w:rsidRPr="00C46F89">
              <w:rPr>
                <w:rFonts w:cs="Calibri"/>
                <w:color w:val="000000"/>
              </w:rPr>
              <w:t>74%</w:t>
            </w:r>
          </w:p>
        </w:tc>
        <w:tc>
          <w:tcPr>
            <w:tcW w:w="720" w:type="dxa"/>
            <w:tcBorders>
              <w:top w:val="nil"/>
              <w:left w:val="nil"/>
              <w:bottom w:val="nil"/>
              <w:right w:val="nil"/>
            </w:tcBorders>
            <w:shd w:val="clear" w:color="auto" w:fill="auto"/>
            <w:noWrap/>
            <w:vAlign w:val="bottom"/>
            <w:hideMark/>
          </w:tcPr>
          <w:p w14:paraId="4F620404" w14:textId="77777777" w:rsidR="00C46F89" w:rsidRPr="00C46F89" w:rsidRDefault="00C46F89" w:rsidP="005A1275">
            <w:pPr>
              <w:keepNext/>
              <w:keepLines/>
              <w:jc w:val="right"/>
              <w:rPr>
                <w:rFonts w:cs="Calibri"/>
                <w:color w:val="000000"/>
              </w:rPr>
            </w:pPr>
            <w:r w:rsidRPr="00C46F89">
              <w:rPr>
                <w:rFonts w:cs="Calibri"/>
                <w:color w:val="000000"/>
              </w:rPr>
              <w:t>75%</w:t>
            </w:r>
          </w:p>
        </w:tc>
        <w:tc>
          <w:tcPr>
            <w:tcW w:w="720" w:type="dxa"/>
            <w:tcBorders>
              <w:top w:val="nil"/>
              <w:left w:val="nil"/>
              <w:bottom w:val="nil"/>
              <w:right w:val="nil"/>
            </w:tcBorders>
            <w:shd w:val="clear" w:color="auto" w:fill="auto"/>
            <w:noWrap/>
            <w:vAlign w:val="bottom"/>
            <w:hideMark/>
          </w:tcPr>
          <w:p w14:paraId="7E40EC89" w14:textId="77777777" w:rsidR="00C46F89" w:rsidRPr="00C46F89" w:rsidRDefault="00C46F89" w:rsidP="005A1275">
            <w:pPr>
              <w:keepNext/>
              <w:keepLines/>
              <w:jc w:val="right"/>
              <w:rPr>
                <w:rFonts w:cs="Calibri"/>
                <w:color w:val="000000"/>
              </w:rPr>
            </w:pPr>
            <w:r w:rsidRPr="00C46F89">
              <w:rPr>
                <w:rFonts w:cs="Calibri"/>
                <w:color w:val="000000"/>
              </w:rPr>
              <w:t>76%</w:t>
            </w:r>
          </w:p>
        </w:tc>
        <w:tc>
          <w:tcPr>
            <w:tcW w:w="288" w:type="dxa"/>
            <w:tcBorders>
              <w:top w:val="nil"/>
              <w:left w:val="nil"/>
              <w:bottom w:val="nil"/>
              <w:right w:val="nil"/>
            </w:tcBorders>
            <w:shd w:val="clear" w:color="auto" w:fill="auto"/>
            <w:noWrap/>
            <w:vAlign w:val="bottom"/>
            <w:hideMark/>
          </w:tcPr>
          <w:p w14:paraId="1BBF30DE" w14:textId="77777777" w:rsidR="00C46F89" w:rsidRPr="00C46F89" w:rsidRDefault="00C46F89" w:rsidP="005A1275">
            <w:pPr>
              <w:keepNext/>
              <w:keepLines/>
              <w:jc w:val="right"/>
              <w:rPr>
                <w:rFonts w:cs="Calibri"/>
                <w:color w:val="000000"/>
              </w:rPr>
            </w:pPr>
          </w:p>
        </w:tc>
        <w:tc>
          <w:tcPr>
            <w:tcW w:w="720" w:type="dxa"/>
            <w:tcBorders>
              <w:top w:val="nil"/>
              <w:left w:val="nil"/>
              <w:bottom w:val="nil"/>
              <w:right w:val="single" w:sz="8" w:space="0" w:color="auto"/>
            </w:tcBorders>
            <w:shd w:val="clear" w:color="auto" w:fill="auto"/>
            <w:noWrap/>
            <w:vAlign w:val="bottom"/>
            <w:hideMark/>
          </w:tcPr>
          <w:p w14:paraId="10C27A1C" w14:textId="77777777" w:rsidR="00C46F89" w:rsidRPr="00C46F89" w:rsidRDefault="00C46F89" w:rsidP="005A1275">
            <w:pPr>
              <w:keepNext/>
              <w:keepLines/>
              <w:jc w:val="right"/>
              <w:rPr>
                <w:rFonts w:cs="Calibri"/>
                <w:color w:val="000000"/>
              </w:rPr>
            </w:pPr>
            <w:r w:rsidRPr="00C46F89">
              <w:rPr>
                <w:rFonts w:cs="Calibri"/>
                <w:color w:val="000000"/>
              </w:rPr>
              <w:t>77%</w:t>
            </w:r>
          </w:p>
        </w:tc>
      </w:tr>
      <w:tr w:rsidR="00C46F89" w:rsidRPr="00C46F89" w14:paraId="0D272739" w14:textId="77777777" w:rsidTr="00C46F89">
        <w:trPr>
          <w:trHeight w:val="300"/>
        </w:trPr>
        <w:tc>
          <w:tcPr>
            <w:tcW w:w="1728" w:type="dxa"/>
            <w:tcBorders>
              <w:top w:val="nil"/>
              <w:left w:val="single" w:sz="8" w:space="0" w:color="auto"/>
              <w:bottom w:val="nil"/>
              <w:right w:val="nil"/>
            </w:tcBorders>
            <w:shd w:val="clear" w:color="auto" w:fill="auto"/>
            <w:noWrap/>
            <w:vAlign w:val="bottom"/>
            <w:hideMark/>
          </w:tcPr>
          <w:p w14:paraId="373B33C2" w14:textId="77777777" w:rsidR="00C46F89" w:rsidRPr="00C46F89" w:rsidRDefault="00C46F89" w:rsidP="005A1275">
            <w:pPr>
              <w:keepNext/>
              <w:keepLines/>
              <w:jc w:val="left"/>
              <w:rPr>
                <w:rFonts w:cs="Calibri"/>
                <w:color w:val="000000"/>
              </w:rPr>
            </w:pPr>
            <w:r w:rsidRPr="00C46F89">
              <w:rPr>
                <w:rFonts w:cs="Calibri"/>
                <w:color w:val="000000"/>
              </w:rPr>
              <w:t>Placeholder</w:t>
            </w:r>
          </w:p>
        </w:tc>
        <w:tc>
          <w:tcPr>
            <w:tcW w:w="720" w:type="dxa"/>
            <w:tcBorders>
              <w:top w:val="nil"/>
              <w:left w:val="nil"/>
              <w:bottom w:val="nil"/>
              <w:right w:val="nil"/>
            </w:tcBorders>
            <w:shd w:val="clear" w:color="auto" w:fill="auto"/>
            <w:noWrap/>
            <w:vAlign w:val="bottom"/>
            <w:hideMark/>
          </w:tcPr>
          <w:p w14:paraId="753D74E3" w14:textId="77777777" w:rsidR="00C46F89" w:rsidRPr="00C46F89" w:rsidRDefault="00C46F89" w:rsidP="005A1275">
            <w:pPr>
              <w:keepNext/>
              <w:keepLines/>
              <w:jc w:val="right"/>
              <w:rPr>
                <w:rFonts w:cs="Calibri"/>
                <w:color w:val="000000"/>
              </w:rPr>
            </w:pPr>
            <w:r w:rsidRPr="00C46F89">
              <w:rPr>
                <w:rFonts w:cs="Calibri"/>
                <w:color w:val="000000"/>
              </w:rPr>
              <w:t>0%</w:t>
            </w:r>
          </w:p>
        </w:tc>
        <w:tc>
          <w:tcPr>
            <w:tcW w:w="720" w:type="dxa"/>
            <w:tcBorders>
              <w:top w:val="nil"/>
              <w:left w:val="nil"/>
              <w:bottom w:val="nil"/>
              <w:right w:val="nil"/>
            </w:tcBorders>
            <w:shd w:val="clear" w:color="auto" w:fill="auto"/>
            <w:noWrap/>
            <w:vAlign w:val="bottom"/>
            <w:hideMark/>
          </w:tcPr>
          <w:p w14:paraId="51BA1962" w14:textId="77777777" w:rsidR="00C46F89" w:rsidRPr="00C46F89" w:rsidRDefault="00C46F89" w:rsidP="005A1275">
            <w:pPr>
              <w:keepNext/>
              <w:keepLines/>
              <w:jc w:val="right"/>
              <w:rPr>
                <w:rFonts w:cs="Calibri"/>
                <w:color w:val="000000"/>
              </w:rPr>
            </w:pPr>
            <w:r w:rsidRPr="00C46F89">
              <w:rPr>
                <w:rFonts w:cs="Calibri"/>
                <w:color w:val="000000"/>
              </w:rPr>
              <w:t>0%</w:t>
            </w:r>
          </w:p>
        </w:tc>
        <w:tc>
          <w:tcPr>
            <w:tcW w:w="720" w:type="dxa"/>
            <w:tcBorders>
              <w:top w:val="nil"/>
              <w:left w:val="nil"/>
              <w:bottom w:val="nil"/>
              <w:right w:val="nil"/>
            </w:tcBorders>
            <w:shd w:val="clear" w:color="auto" w:fill="auto"/>
            <w:noWrap/>
            <w:vAlign w:val="bottom"/>
            <w:hideMark/>
          </w:tcPr>
          <w:p w14:paraId="6B6C943F" w14:textId="77777777" w:rsidR="00C46F89" w:rsidRPr="00C46F89" w:rsidRDefault="00C46F89" w:rsidP="005A1275">
            <w:pPr>
              <w:keepNext/>
              <w:keepLines/>
              <w:jc w:val="right"/>
              <w:rPr>
                <w:rFonts w:cs="Calibri"/>
                <w:color w:val="000000"/>
              </w:rPr>
            </w:pPr>
            <w:r w:rsidRPr="00C46F89">
              <w:rPr>
                <w:rFonts w:cs="Calibri"/>
                <w:color w:val="000000"/>
              </w:rPr>
              <w:t>0%</w:t>
            </w:r>
          </w:p>
        </w:tc>
        <w:tc>
          <w:tcPr>
            <w:tcW w:w="720" w:type="dxa"/>
            <w:tcBorders>
              <w:top w:val="nil"/>
              <w:left w:val="nil"/>
              <w:bottom w:val="nil"/>
              <w:right w:val="nil"/>
            </w:tcBorders>
            <w:shd w:val="clear" w:color="auto" w:fill="auto"/>
            <w:noWrap/>
            <w:vAlign w:val="bottom"/>
            <w:hideMark/>
          </w:tcPr>
          <w:p w14:paraId="3F803850" w14:textId="77777777" w:rsidR="00C46F89" w:rsidRPr="00C46F89" w:rsidRDefault="00C46F89" w:rsidP="005A1275">
            <w:pPr>
              <w:keepNext/>
              <w:keepLines/>
              <w:jc w:val="right"/>
              <w:rPr>
                <w:rFonts w:cs="Calibri"/>
                <w:color w:val="000000"/>
              </w:rPr>
            </w:pPr>
            <w:r w:rsidRPr="00C46F89">
              <w:rPr>
                <w:rFonts w:cs="Calibri"/>
                <w:color w:val="000000"/>
              </w:rPr>
              <w:t>0%</w:t>
            </w:r>
          </w:p>
        </w:tc>
        <w:tc>
          <w:tcPr>
            <w:tcW w:w="720" w:type="dxa"/>
            <w:tcBorders>
              <w:top w:val="nil"/>
              <w:left w:val="nil"/>
              <w:bottom w:val="nil"/>
              <w:right w:val="nil"/>
            </w:tcBorders>
            <w:shd w:val="clear" w:color="auto" w:fill="auto"/>
            <w:noWrap/>
            <w:vAlign w:val="bottom"/>
            <w:hideMark/>
          </w:tcPr>
          <w:p w14:paraId="34FD1F9E" w14:textId="77777777" w:rsidR="00C46F89" w:rsidRPr="00C46F89" w:rsidRDefault="00C46F89" w:rsidP="005A1275">
            <w:pPr>
              <w:keepNext/>
              <w:keepLines/>
              <w:jc w:val="right"/>
              <w:rPr>
                <w:rFonts w:cs="Calibri"/>
                <w:color w:val="000000"/>
              </w:rPr>
            </w:pPr>
            <w:r w:rsidRPr="00C46F89">
              <w:rPr>
                <w:rFonts w:cs="Calibri"/>
                <w:color w:val="000000"/>
              </w:rPr>
              <w:t>0%</w:t>
            </w:r>
          </w:p>
        </w:tc>
        <w:tc>
          <w:tcPr>
            <w:tcW w:w="720" w:type="dxa"/>
            <w:tcBorders>
              <w:top w:val="nil"/>
              <w:left w:val="nil"/>
              <w:bottom w:val="nil"/>
              <w:right w:val="nil"/>
            </w:tcBorders>
            <w:shd w:val="clear" w:color="auto" w:fill="auto"/>
            <w:noWrap/>
            <w:vAlign w:val="bottom"/>
            <w:hideMark/>
          </w:tcPr>
          <w:p w14:paraId="6DB2BFF8" w14:textId="77777777" w:rsidR="00C46F89" w:rsidRPr="00C46F89" w:rsidRDefault="00C46F89" w:rsidP="005A1275">
            <w:pPr>
              <w:keepNext/>
              <w:keepLines/>
              <w:jc w:val="right"/>
              <w:rPr>
                <w:rFonts w:cs="Calibri"/>
                <w:color w:val="000000"/>
              </w:rPr>
            </w:pPr>
            <w:r w:rsidRPr="00C46F89">
              <w:rPr>
                <w:rFonts w:cs="Calibri"/>
                <w:color w:val="000000"/>
              </w:rPr>
              <w:t>0%</w:t>
            </w:r>
          </w:p>
        </w:tc>
        <w:tc>
          <w:tcPr>
            <w:tcW w:w="720" w:type="dxa"/>
            <w:tcBorders>
              <w:top w:val="nil"/>
              <w:left w:val="nil"/>
              <w:bottom w:val="nil"/>
              <w:right w:val="nil"/>
            </w:tcBorders>
            <w:shd w:val="clear" w:color="auto" w:fill="auto"/>
            <w:noWrap/>
            <w:vAlign w:val="bottom"/>
            <w:hideMark/>
          </w:tcPr>
          <w:p w14:paraId="7D7B898C" w14:textId="77777777" w:rsidR="00C46F89" w:rsidRPr="00C46F89" w:rsidRDefault="00C46F89" w:rsidP="005A1275">
            <w:pPr>
              <w:keepNext/>
              <w:keepLines/>
              <w:jc w:val="right"/>
              <w:rPr>
                <w:rFonts w:cs="Calibri"/>
                <w:color w:val="000000"/>
              </w:rPr>
            </w:pPr>
            <w:r w:rsidRPr="00C46F89">
              <w:rPr>
                <w:rFonts w:cs="Calibri"/>
                <w:color w:val="000000"/>
              </w:rPr>
              <w:t>0%</w:t>
            </w:r>
          </w:p>
        </w:tc>
        <w:tc>
          <w:tcPr>
            <w:tcW w:w="720" w:type="dxa"/>
            <w:tcBorders>
              <w:top w:val="nil"/>
              <w:left w:val="nil"/>
              <w:bottom w:val="nil"/>
              <w:right w:val="nil"/>
            </w:tcBorders>
            <w:shd w:val="clear" w:color="auto" w:fill="auto"/>
            <w:noWrap/>
            <w:vAlign w:val="bottom"/>
            <w:hideMark/>
          </w:tcPr>
          <w:p w14:paraId="0758B4D4" w14:textId="77777777" w:rsidR="00C46F89" w:rsidRPr="00C46F89" w:rsidRDefault="00C46F89" w:rsidP="005A1275">
            <w:pPr>
              <w:keepNext/>
              <w:keepLines/>
              <w:jc w:val="right"/>
              <w:rPr>
                <w:rFonts w:cs="Calibri"/>
                <w:color w:val="000000"/>
              </w:rPr>
            </w:pPr>
            <w:r w:rsidRPr="00C46F89">
              <w:rPr>
                <w:rFonts w:cs="Calibri"/>
                <w:color w:val="000000"/>
              </w:rPr>
              <w:t>0%</w:t>
            </w:r>
          </w:p>
        </w:tc>
        <w:tc>
          <w:tcPr>
            <w:tcW w:w="720" w:type="dxa"/>
            <w:tcBorders>
              <w:top w:val="nil"/>
              <w:left w:val="nil"/>
              <w:bottom w:val="nil"/>
              <w:right w:val="nil"/>
            </w:tcBorders>
            <w:shd w:val="clear" w:color="auto" w:fill="auto"/>
            <w:noWrap/>
            <w:vAlign w:val="bottom"/>
            <w:hideMark/>
          </w:tcPr>
          <w:p w14:paraId="711DCAF5" w14:textId="77777777" w:rsidR="00C46F89" w:rsidRPr="00C46F89" w:rsidRDefault="00C46F89" w:rsidP="005A1275">
            <w:pPr>
              <w:keepNext/>
              <w:keepLines/>
              <w:jc w:val="right"/>
              <w:rPr>
                <w:rFonts w:cs="Calibri"/>
                <w:color w:val="000000"/>
              </w:rPr>
            </w:pPr>
            <w:r w:rsidRPr="00C46F89">
              <w:rPr>
                <w:rFonts w:cs="Calibri"/>
                <w:color w:val="000000"/>
              </w:rPr>
              <w:t>0%</w:t>
            </w:r>
          </w:p>
        </w:tc>
        <w:tc>
          <w:tcPr>
            <w:tcW w:w="720" w:type="dxa"/>
            <w:tcBorders>
              <w:top w:val="nil"/>
              <w:left w:val="nil"/>
              <w:bottom w:val="nil"/>
              <w:right w:val="nil"/>
            </w:tcBorders>
            <w:shd w:val="clear" w:color="auto" w:fill="auto"/>
            <w:noWrap/>
            <w:vAlign w:val="bottom"/>
            <w:hideMark/>
          </w:tcPr>
          <w:p w14:paraId="1EFFFDB6" w14:textId="77777777" w:rsidR="00C46F89" w:rsidRPr="00C46F89" w:rsidRDefault="00C46F89" w:rsidP="005A1275">
            <w:pPr>
              <w:keepNext/>
              <w:keepLines/>
              <w:jc w:val="right"/>
              <w:rPr>
                <w:rFonts w:cs="Calibri"/>
                <w:color w:val="000000"/>
              </w:rPr>
            </w:pPr>
            <w:r w:rsidRPr="00C46F89">
              <w:rPr>
                <w:rFonts w:cs="Calibri"/>
                <w:color w:val="000000"/>
              </w:rPr>
              <w:t>0%</w:t>
            </w:r>
          </w:p>
        </w:tc>
        <w:tc>
          <w:tcPr>
            <w:tcW w:w="288" w:type="dxa"/>
            <w:tcBorders>
              <w:top w:val="nil"/>
              <w:left w:val="nil"/>
              <w:bottom w:val="nil"/>
              <w:right w:val="nil"/>
            </w:tcBorders>
            <w:shd w:val="clear" w:color="auto" w:fill="auto"/>
            <w:noWrap/>
            <w:vAlign w:val="bottom"/>
            <w:hideMark/>
          </w:tcPr>
          <w:p w14:paraId="5DB4E763" w14:textId="77777777" w:rsidR="00C46F89" w:rsidRPr="00C46F89" w:rsidRDefault="00C46F89" w:rsidP="005A1275">
            <w:pPr>
              <w:keepNext/>
              <w:keepLines/>
              <w:jc w:val="right"/>
              <w:rPr>
                <w:rFonts w:cs="Calibri"/>
                <w:color w:val="000000"/>
              </w:rPr>
            </w:pPr>
          </w:p>
        </w:tc>
        <w:tc>
          <w:tcPr>
            <w:tcW w:w="720" w:type="dxa"/>
            <w:tcBorders>
              <w:top w:val="nil"/>
              <w:left w:val="nil"/>
              <w:bottom w:val="nil"/>
              <w:right w:val="single" w:sz="8" w:space="0" w:color="auto"/>
            </w:tcBorders>
            <w:shd w:val="clear" w:color="auto" w:fill="auto"/>
            <w:noWrap/>
            <w:vAlign w:val="bottom"/>
            <w:hideMark/>
          </w:tcPr>
          <w:p w14:paraId="001DAA9E" w14:textId="77777777" w:rsidR="00C46F89" w:rsidRPr="00C46F89" w:rsidRDefault="00C46F89" w:rsidP="005A1275">
            <w:pPr>
              <w:keepNext/>
              <w:keepLines/>
              <w:jc w:val="right"/>
              <w:rPr>
                <w:rFonts w:cs="Calibri"/>
                <w:color w:val="000000"/>
              </w:rPr>
            </w:pPr>
            <w:r w:rsidRPr="00C46F89">
              <w:rPr>
                <w:rFonts w:cs="Calibri"/>
                <w:color w:val="000000"/>
              </w:rPr>
              <w:t>0%</w:t>
            </w:r>
          </w:p>
        </w:tc>
      </w:tr>
      <w:tr w:rsidR="00C46F89" w:rsidRPr="00C46F89" w14:paraId="1D667EEF" w14:textId="77777777" w:rsidTr="00C46F89">
        <w:trPr>
          <w:trHeight w:val="300"/>
        </w:trPr>
        <w:tc>
          <w:tcPr>
            <w:tcW w:w="1728" w:type="dxa"/>
            <w:tcBorders>
              <w:top w:val="nil"/>
              <w:left w:val="single" w:sz="8" w:space="0" w:color="auto"/>
              <w:bottom w:val="nil"/>
              <w:right w:val="nil"/>
            </w:tcBorders>
            <w:shd w:val="clear" w:color="000000" w:fill="F2F2F2"/>
            <w:noWrap/>
            <w:vAlign w:val="bottom"/>
            <w:hideMark/>
          </w:tcPr>
          <w:p w14:paraId="3218758C" w14:textId="77777777" w:rsidR="00C46F89" w:rsidRPr="00C46F89" w:rsidRDefault="00C46F89" w:rsidP="005A1275">
            <w:pPr>
              <w:keepNext/>
              <w:keepLines/>
              <w:jc w:val="left"/>
              <w:rPr>
                <w:rFonts w:cs="Calibri"/>
                <w:b/>
                <w:bCs/>
                <w:color w:val="000000"/>
              </w:rPr>
            </w:pPr>
            <w:r w:rsidRPr="00C46F89">
              <w:rPr>
                <w:rFonts w:cs="Calibri"/>
                <w:b/>
                <w:bCs/>
                <w:color w:val="000000"/>
              </w:rPr>
              <w:t>Industrial</w:t>
            </w:r>
          </w:p>
        </w:tc>
        <w:tc>
          <w:tcPr>
            <w:tcW w:w="720" w:type="dxa"/>
            <w:tcBorders>
              <w:top w:val="nil"/>
              <w:left w:val="nil"/>
              <w:bottom w:val="nil"/>
              <w:right w:val="nil"/>
            </w:tcBorders>
            <w:shd w:val="clear" w:color="000000" w:fill="F2F2F2"/>
            <w:noWrap/>
            <w:vAlign w:val="bottom"/>
            <w:hideMark/>
          </w:tcPr>
          <w:p w14:paraId="6F625AC8" w14:textId="77777777" w:rsidR="00C46F89" w:rsidRPr="00C46F89" w:rsidRDefault="00C46F89" w:rsidP="005A1275">
            <w:pPr>
              <w:keepNext/>
              <w:keepLines/>
              <w:jc w:val="left"/>
              <w:rPr>
                <w:rFonts w:cs="Calibri"/>
                <w:color w:val="000000"/>
              </w:rPr>
            </w:pPr>
            <w:r w:rsidRPr="00C46F89">
              <w:rPr>
                <w:rFonts w:cs="Calibri"/>
                <w:color w:val="000000"/>
              </w:rPr>
              <w:t> </w:t>
            </w:r>
          </w:p>
        </w:tc>
        <w:tc>
          <w:tcPr>
            <w:tcW w:w="720" w:type="dxa"/>
            <w:tcBorders>
              <w:top w:val="nil"/>
              <w:left w:val="nil"/>
              <w:bottom w:val="nil"/>
              <w:right w:val="nil"/>
            </w:tcBorders>
            <w:shd w:val="clear" w:color="000000" w:fill="F2F2F2"/>
            <w:noWrap/>
            <w:vAlign w:val="bottom"/>
            <w:hideMark/>
          </w:tcPr>
          <w:p w14:paraId="2B41A0EF" w14:textId="77777777" w:rsidR="00C46F89" w:rsidRPr="00C46F89" w:rsidRDefault="00C46F89" w:rsidP="005A1275">
            <w:pPr>
              <w:keepNext/>
              <w:keepLines/>
              <w:jc w:val="left"/>
              <w:rPr>
                <w:rFonts w:cs="Calibri"/>
                <w:color w:val="000000"/>
              </w:rPr>
            </w:pPr>
            <w:r w:rsidRPr="00C46F89">
              <w:rPr>
                <w:rFonts w:cs="Calibri"/>
                <w:color w:val="000000"/>
              </w:rPr>
              <w:t> </w:t>
            </w:r>
          </w:p>
        </w:tc>
        <w:tc>
          <w:tcPr>
            <w:tcW w:w="720" w:type="dxa"/>
            <w:tcBorders>
              <w:top w:val="nil"/>
              <w:left w:val="nil"/>
              <w:bottom w:val="nil"/>
              <w:right w:val="nil"/>
            </w:tcBorders>
            <w:shd w:val="clear" w:color="000000" w:fill="F2F2F2"/>
            <w:noWrap/>
            <w:vAlign w:val="bottom"/>
            <w:hideMark/>
          </w:tcPr>
          <w:p w14:paraId="0FC7ACD8" w14:textId="77777777" w:rsidR="00C46F89" w:rsidRPr="00C46F89" w:rsidRDefault="00C46F89" w:rsidP="005A1275">
            <w:pPr>
              <w:keepNext/>
              <w:keepLines/>
              <w:jc w:val="left"/>
              <w:rPr>
                <w:rFonts w:cs="Calibri"/>
                <w:color w:val="000000"/>
              </w:rPr>
            </w:pPr>
            <w:r w:rsidRPr="00C46F89">
              <w:rPr>
                <w:rFonts w:cs="Calibri"/>
                <w:color w:val="000000"/>
              </w:rPr>
              <w:t> </w:t>
            </w:r>
          </w:p>
        </w:tc>
        <w:tc>
          <w:tcPr>
            <w:tcW w:w="720" w:type="dxa"/>
            <w:tcBorders>
              <w:top w:val="nil"/>
              <w:left w:val="nil"/>
              <w:bottom w:val="nil"/>
              <w:right w:val="nil"/>
            </w:tcBorders>
            <w:shd w:val="clear" w:color="000000" w:fill="F2F2F2"/>
            <w:noWrap/>
            <w:vAlign w:val="bottom"/>
            <w:hideMark/>
          </w:tcPr>
          <w:p w14:paraId="7A3EA0E6" w14:textId="77777777" w:rsidR="00C46F89" w:rsidRPr="00C46F89" w:rsidRDefault="00C46F89" w:rsidP="005A1275">
            <w:pPr>
              <w:keepNext/>
              <w:keepLines/>
              <w:jc w:val="left"/>
              <w:rPr>
                <w:rFonts w:cs="Calibri"/>
                <w:color w:val="000000"/>
              </w:rPr>
            </w:pPr>
            <w:r w:rsidRPr="00C46F89">
              <w:rPr>
                <w:rFonts w:cs="Calibri"/>
                <w:color w:val="000000"/>
              </w:rPr>
              <w:t> </w:t>
            </w:r>
          </w:p>
        </w:tc>
        <w:tc>
          <w:tcPr>
            <w:tcW w:w="720" w:type="dxa"/>
            <w:tcBorders>
              <w:top w:val="nil"/>
              <w:left w:val="nil"/>
              <w:bottom w:val="nil"/>
              <w:right w:val="nil"/>
            </w:tcBorders>
            <w:shd w:val="clear" w:color="000000" w:fill="F2F2F2"/>
            <w:noWrap/>
            <w:vAlign w:val="bottom"/>
            <w:hideMark/>
          </w:tcPr>
          <w:p w14:paraId="4FAF8DDE" w14:textId="77777777" w:rsidR="00C46F89" w:rsidRPr="00C46F89" w:rsidRDefault="00C46F89" w:rsidP="005A1275">
            <w:pPr>
              <w:keepNext/>
              <w:keepLines/>
              <w:jc w:val="left"/>
              <w:rPr>
                <w:rFonts w:cs="Calibri"/>
                <w:color w:val="000000"/>
              </w:rPr>
            </w:pPr>
            <w:r w:rsidRPr="00C46F89">
              <w:rPr>
                <w:rFonts w:cs="Calibri"/>
                <w:color w:val="000000"/>
              </w:rPr>
              <w:t> </w:t>
            </w:r>
          </w:p>
        </w:tc>
        <w:tc>
          <w:tcPr>
            <w:tcW w:w="720" w:type="dxa"/>
            <w:tcBorders>
              <w:top w:val="nil"/>
              <w:left w:val="nil"/>
              <w:bottom w:val="nil"/>
              <w:right w:val="nil"/>
            </w:tcBorders>
            <w:shd w:val="clear" w:color="000000" w:fill="F2F2F2"/>
            <w:noWrap/>
            <w:vAlign w:val="bottom"/>
            <w:hideMark/>
          </w:tcPr>
          <w:p w14:paraId="1CE2504C" w14:textId="77777777" w:rsidR="00C46F89" w:rsidRPr="00C46F89" w:rsidRDefault="00C46F89" w:rsidP="005A1275">
            <w:pPr>
              <w:keepNext/>
              <w:keepLines/>
              <w:jc w:val="left"/>
              <w:rPr>
                <w:rFonts w:cs="Calibri"/>
                <w:color w:val="000000"/>
              </w:rPr>
            </w:pPr>
            <w:r w:rsidRPr="00C46F89">
              <w:rPr>
                <w:rFonts w:cs="Calibri"/>
                <w:color w:val="000000"/>
              </w:rPr>
              <w:t> </w:t>
            </w:r>
          </w:p>
        </w:tc>
        <w:tc>
          <w:tcPr>
            <w:tcW w:w="720" w:type="dxa"/>
            <w:tcBorders>
              <w:top w:val="nil"/>
              <w:left w:val="nil"/>
              <w:bottom w:val="nil"/>
              <w:right w:val="nil"/>
            </w:tcBorders>
            <w:shd w:val="clear" w:color="000000" w:fill="F2F2F2"/>
            <w:noWrap/>
            <w:vAlign w:val="bottom"/>
            <w:hideMark/>
          </w:tcPr>
          <w:p w14:paraId="312F3480" w14:textId="77777777" w:rsidR="00C46F89" w:rsidRPr="00C46F89" w:rsidRDefault="00C46F89" w:rsidP="005A1275">
            <w:pPr>
              <w:keepNext/>
              <w:keepLines/>
              <w:jc w:val="left"/>
              <w:rPr>
                <w:rFonts w:cs="Calibri"/>
                <w:color w:val="000000"/>
              </w:rPr>
            </w:pPr>
            <w:r w:rsidRPr="00C46F89">
              <w:rPr>
                <w:rFonts w:cs="Calibri"/>
                <w:color w:val="000000"/>
              </w:rPr>
              <w:t> </w:t>
            </w:r>
          </w:p>
        </w:tc>
        <w:tc>
          <w:tcPr>
            <w:tcW w:w="720" w:type="dxa"/>
            <w:tcBorders>
              <w:top w:val="nil"/>
              <w:left w:val="nil"/>
              <w:bottom w:val="nil"/>
              <w:right w:val="nil"/>
            </w:tcBorders>
            <w:shd w:val="clear" w:color="000000" w:fill="F2F2F2"/>
            <w:noWrap/>
            <w:vAlign w:val="bottom"/>
            <w:hideMark/>
          </w:tcPr>
          <w:p w14:paraId="7AFDD183" w14:textId="77777777" w:rsidR="00C46F89" w:rsidRPr="00C46F89" w:rsidRDefault="00C46F89" w:rsidP="005A1275">
            <w:pPr>
              <w:keepNext/>
              <w:keepLines/>
              <w:jc w:val="left"/>
              <w:rPr>
                <w:rFonts w:cs="Calibri"/>
                <w:color w:val="000000"/>
              </w:rPr>
            </w:pPr>
            <w:r w:rsidRPr="00C46F89">
              <w:rPr>
                <w:rFonts w:cs="Calibri"/>
                <w:color w:val="000000"/>
              </w:rPr>
              <w:t> </w:t>
            </w:r>
          </w:p>
        </w:tc>
        <w:tc>
          <w:tcPr>
            <w:tcW w:w="720" w:type="dxa"/>
            <w:tcBorders>
              <w:top w:val="nil"/>
              <w:left w:val="nil"/>
              <w:bottom w:val="nil"/>
              <w:right w:val="nil"/>
            </w:tcBorders>
            <w:shd w:val="clear" w:color="000000" w:fill="F2F2F2"/>
            <w:noWrap/>
            <w:vAlign w:val="bottom"/>
            <w:hideMark/>
          </w:tcPr>
          <w:p w14:paraId="765B8593" w14:textId="77777777" w:rsidR="00C46F89" w:rsidRPr="00C46F89" w:rsidRDefault="00C46F89" w:rsidP="005A1275">
            <w:pPr>
              <w:keepNext/>
              <w:keepLines/>
              <w:jc w:val="left"/>
              <w:rPr>
                <w:rFonts w:cs="Calibri"/>
                <w:color w:val="000000"/>
              </w:rPr>
            </w:pPr>
            <w:r w:rsidRPr="00C46F89">
              <w:rPr>
                <w:rFonts w:cs="Calibri"/>
                <w:color w:val="000000"/>
              </w:rPr>
              <w:t> </w:t>
            </w:r>
          </w:p>
        </w:tc>
        <w:tc>
          <w:tcPr>
            <w:tcW w:w="720" w:type="dxa"/>
            <w:tcBorders>
              <w:top w:val="nil"/>
              <w:left w:val="nil"/>
              <w:bottom w:val="nil"/>
              <w:right w:val="nil"/>
            </w:tcBorders>
            <w:shd w:val="clear" w:color="000000" w:fill="F2F2F2"/>
            <w:noWrap/>
            <w:vAlign w:val="bottom"/>
            <w:hideMark/>
          </w:tcPr>
          <w:p w14:paraId="30204354" w14:textId="77777777" w:rsidR="00C46F89" w:rsidRPr="00C46F89" w:rsidRDefault="00C46F89" w:rsidP="005A1275">
            <w:pPr>
              <w:keepNext/>
              <w:keepLines/>
              <w:jc w:val="left"/>
              <w:rPr>
                <w:rFonts w:cs="Calibri"/>
                <w:color w:val="000000"/>
              </w:rPr>
            </w:pPr>
            <w:r w:rsidRPr="00C46F89">
              <w:rPr>
                <w:rFonts w:cs="Calibri"/>
                <w:color w:val="000000"/>
              </w:rPr>
              <w:t> </w:t>
            </w:r>
          </w:p>
        </w:tc>
        <w:tc>
          <w:tcPr>
            <w:tcW w:w="288" w:type="dxa"/>
            <w:tcBorders>
              <w:top w:val="nil"/>
              <w:left w:val="nil"/>
              <w:bottom w:val="nil"/>
              <w:right w:val="nil"/>
            </w:tcBorders>
            <w:shd w:val="clear" w:color="000000" w:fill="F2F2F2"/>
            <w:noWrap/>
            <w:vAlign w:val="bottom"/>
            <w:hideMark/>
          </w:tcPr>
          <w:p w14:paraId="60C3A8C8" w14:textId="77777777" w:rsidR="00C46F89" w:rsidRPr="00C46F89" w:rsidRDefault="00C46F89" w:rsidP="005A1275">
            <w:pPr>
              <w:keepNext/>
              <w:keepLines/>
              <w:jc w:val="left"/>
              <w:rPr>
                <w:rFonts w:cs="Calibri"/>
                <w:color w:val="000000"/>
              </w:rPr>
            </w:pPr>
            <w:r w:rsidRPr="00C46F89">
              <w:rPr>
                <w:rFonts w:cs="Calibri"/>
                <w:color w:val="000000"/>
              </w:rPr>
              <w:t> </w:t>
            </w:r>
          </w:p>
        </w:tc>
        <w:tc>
          <w:tcPr>
            <w:tcW w:w="720" w:type="dxa"/>
            <w:tcBorders>
              <w:top w:val="nil"/>
              <w:left w:val="nil"/>
              <w:bottom w:val="nil"/>
              <w:right w:val="single" w:sz="8" w:space="0" w:color="auto"/>
            </w:tcBorders>
            <w:shd w:val="clear" w:color="000000" w:fill="F2F2F2"/>
            <w:noWrap/>
            <w:vAlign w:val="bottom"/>
            <w:hideMark/>
          </w:tcPr>
          <w:p w14:paraId="4D2EF47F" w14:textId="77777777" w:rsidR="00C46F89" w:rsidRPr="00C46F89" w:rsidRDefault="00C46F89" w:rsidP="005A1275">
            <w:pPr>
              <w:keepNext/>
              <w:keepLines/>
              <w:jc w:val="left"/>
              <w:rPr>
                <w:rFonts w:cs="Calibri"/>
                <w:color w:val="000000"/>
              </w:rPr>
            </w:pPr>
            <w:r w:rsidRPr="00C46F89">
              <w:rPr>
                <w:rFonts w:cs="Calibri"/>
                <w:color w:val="000000"/>
              </w:rPr>
              <w:t> </w:t>
            </w:r>
          </w:p>
        </w:tc>
      </w:tr>
      <w:tr w:rsidR="00C46F89" w:rsidRPr="00C46F89" w14:paraId="14717F1C" w14:textId="77777777" w:rsidTr="00C46F89">
        <w:trPr>
          <w:trHeight w:val="300"/>
        </w:trPr>
        <w:tc>
          <w:tcPr>
            <w:tcW w:w="1728" w:type="dxa"/>
            <w:tcBorders>
              <w:top w:val="nil"/>
              <w:left w:val="single" w:sz="8" w:space="0" w:color="auto"/>
              <w:bottom w:val="nil"/>
              <w:right w:val="nil"/>
            </w:tcBorders>
            <w:shd w:val="clear" w:color="auto" w:fill="auto"/>
            <w:noWrap/>
            <w:vAlign w:val="bottom"/>
            <w:hideMark/>
          </w:tcPr>
          <w:p w14:paraId="002065A7" w14:textId="77777777" w:rsidR="00C46F89" w:rsidRPr="00C46F89" w:rsidRDefault="00C46F89" w:rsidP="005A1275">
            <w:pPr>
              <w:keepNext/>
              <w:keepLines/>
              <w:jc w:val="left"/>
              <w:rPr>
                <w:rFonts w:cs="Calibri"/>
                <w:color w:val="000000"/>
              </w:rPr>
            </w:pPr>
            <w:r w:rsidRPr="00C46F89">
              <w:rPr>
                <w:rFonts w:cs="Calibri"/>
                <w:color w:val="000000"/>
              </w:rPr>
              <w:t>Battery Manufacturing</w:t>
            </w:r>
          </w:p>
        </w:tc>
        <w:tc>
          <w:tcPr>
            <w:tcW w:w="720" w:type="dxa"/>
            <w:tcBorders>
              <w:top w:val="nil"/>
              <w:left w:val="nil"/>
              <w:bottom w:val="nil"/>
              <w:right w:val="nil"/>
            </w:tcBorders>
            <w:shd w:val="clear" w:color="auto" w:fill="auto"/>
            <w:noWrap/>
            <w:vAlign w:val="bottom"/>
            <w:hideMark/>
          </w:tcPr>
          <w:p w14:paraId="75E86E70" w14:textId="77777777" w:rsidR="00C46F89" w:rsidRPr="00C46F89" w:rsidRDefault="00C46F89" w:rsidP="005A1275">
            <w:pPr>
              <w:keepNext/>
              <w:keepLines/>
              <w:jc w:val="right"/>
              <w:rPr>
                <w:rFonts w:cs="Calibri"/>
                <w:color w:val="000000"/>
              </w:rPr>
            </w:pPr>
            <w:r w:rsidRPr="00C46F89">
              <w:rPr>
                <w:rFonts w:cs="Calibri"/>
                <w:color w:val="000000"/>
              </w:rPr>
              <w:t>40%</w:t>
            </w:r>
          </w:p>
        </w:tc>
        <w:tc>
          <w:tcPr>
            <w:tcW w:w="720" w:type="dxa"/>
            <w:tcBorders>
              <w:top w:val="nil"/>
              <w:left w:val="nil"/>
              <w:bottom w:val="nil"/>
              <w:right w:val="nil"/>
            </w:tcBorders>
            <w:shd w:val="clear" w:color="auto" w:fill="auto"/>
            <w:noWrap/>
            <w:vAlign w:val="bottom"/>
            <w:hideMark/>
          </w:tcPr>
          <w:p w14:paraId="70E1B66C" w14:textId="77777777" w:rsidR="00C46F89" w:rsidRPr="00C46F89" w:rsidRDefault="00C46F89" w:rsidP="005A1275">
            <w:pPr>
              <w:keepNext/>
              <w:keepLines/>
              <w:jc w:val="right"/>
              <w:rPr>
                <w:rFonts w:cs="Calibri"/>
                <w:color w:val="000000"/>
              </w:rPr>
            </w:pPr>
            <w:r w:rsidRPr="00C46F89">
              <w:rPr>
                <w:rFonts w:cs="Calibri"/>
                <w:color w:val="000000"/>
              </w:rPr>
              <w:t>15%</w:t>
            </w:r>
          </w:p>
        </w:tc>
        <w:tc>
          <w:tcPr>
            <w:tcW w:w="720" w:type="dxa"/>
            <w:tcBorders>
              <w:top w:val="nil"/>
              <w:left w:val="nil"/>
              <w:bottom w:val="nil"/>
              <w:right w:val="nil"/>
            </w:tcBorders>
            <w:shd w:val="clear" w:color="auto" w:fill="auto"/>
            <w:noWrap/>
            <w:vAlign w:val="bottom"/>
            <w:hideMark/>
          </w:tcPr>
          <w:p w14:paraId="1E203F81" w14:textId="77777777" w:rsidR="00C46F89" w:rsidRPr="00C46F89" w:rsidRDefault="00C46F89" w:rsidP="005A1275">
            <w:pPr>
              <w:keepNext/>
              <w:keepLines/>
              <w:jc w:val="right"/>
              <w:rPr>
                <w:rFonts w:cs="Calibri"/>
                <w:color w:val="000000"/>
              </w:rPr>
            </w:pPr>
            <w:r w:rsidRPr="00C46F89">
              <w:rPr>
                <w:rFonts w:cs="Calibri"/>
                <w:color w:val="000000"/>
              </w:rPr>
              <w:t>9%</w:t>
            </w:r>
          </w:p>
        </w:tc>
        <w:tc>
          <w:tcPr>
            <w:tcW w:w="720" w:type="dxa"/>
            <w:tcBorders>
              <w:top w:val="nil"/>
              <w:left w:val="nil"/>
              <w:bottom w:val="nil"/>
              <w:right w:val="nil"/>
            </w:tcBorders>
            <w:shd w:val="clear" w:color="auto" w:fill="auto"/>
            <w:noWrap/>
            <w:vAlign w:val="bottom"/>
            <w:hideMark/>
          </w:tcPr>
          <w:p w14:paraId="5630EB7D" w14:textId="77777777" w:rsidR="00C46F89" w:rsidRPr="00C46F89" w:rsidRDefault="00C46F89" w:rsidP="005A1275">
            <w:pPr>
              <w:keepNext/>
              <w:keepLines/>
              <w:jc w:val="right"/>
              <w:rPr>
                <w:rFonts w:cs="Calibri"/>
                <w:color w:val="000000"/>
              </w:rPr>
            </w:pPr>
            <w:r w:rsidRPr="00C46F89">
              <w:rPr>
                <w:rFonts w:cs="Calibri"/>
                <w:color w:val="000000"/>
              </w:rPr>
              <w:t>5%</w:t>
            </w:r>
          </w:p>
        </w:tc>
        <w:tc>
          <w:tcPr>
            <w:tcW w:w="720" w:type="dxa"/>
            <w:tcBorders>
              <w:top w:val="nil"/>
              <w:left w:val="nil"/>
              <w:bottom w:val="nil"/>
              <w:right w:val="nil"/>
            </w:tcBorders>
            <w:shd w:val="clear" w:color="auto" w:fill="auto"/>
            <w:noWrap/>
            <w:vAlign w:val="bottom"/>
            <w:hideMark/>
          </w:tcPr>
          <w:p w14:paraId="2DC6FA05" w14:textId="77777777" w:rsidR="00C46F89" w:rsidRPr="00C46F89" w:rsidRDefault="00C46F89" w:rsidP="005A1275">
            <w:pPr>
              <w:keepNext/>
              <w:keepLines/>
              <w:jc w:val="right"/>
              <w:rPr>
                <w:rFonts w:cs="Calibri"/>
                <w:color w:val="000000"/>
              </w:rPr>
            </w:pPr>
            <w:r w:rsidRPr="00C46F89">
              <w:rPr>
                <w:rFonts w:cs="Calibri"/>
                <w:color w:val="000000"/>
              </w:rPr>
              <w:t>6%</w:t>
            </w:r>
          </w:p>
        </w:tc>
        <w:tc>
          <w:tcPr>
            <w:tcW w:w="720" w:type="dxa"/>
            <w:tcBorders>
              <w:top w:val="nil"/>
              <w:left w:val="nil"/>
              <w:bottom w:val="nil"/>
              <w:right w:val="nil"/>
            </w:tcBorders>
            <w:shd w:val="clear" w:color="auto" w:fill="auto"/>
            <w:noWrap/>
            <w:vAlign w:val="bottom"/>
            <w:hideMark/>
          </w:tcPr>
          <w:p w14:paraId="457262F7" w14:textId="77777777" w:rsidR="00C46F89" w:rsidRPr="00C46F89" w:rsidRDefault="00C46F89" w:rsidP="005A1275">
            <w:pPr>
              <w:keepNext/>
              <w:keepLines/>
              <w:jc w:val="right"/>
              <w:rPr>
                <w:rFonts w:cs="Calibri"/>
                <w:color w:val="000000"/>
              </w:rPr>
            </w:pPr>
            <w:r w:rsidRPr="00C46F89">
              <w:rPr>
                <w:rFonts w:cs="Calibri"/>
                <w:color w:val="000000"/>
              </w:rPr>
              <w:t>5%</w:t>
            </w:r>
          </w:p>
        </w:tc>
        <w:tc>
          <w:tcPr>
            <w:tcW w:w="720" w:type="dxa"/>
            <w:tcBorders>
              <w:top w:val="nil"/>
              <w:left w:val="nil"/>
              <w:bottom w:val="nil"/>
              <w:right w:val="nil"/>
            </w:tcBorders>
            <w:shd w:val="clear" w:color="auto" w:fill="auto"/>
            <w:noWrap/>
            <w:vAlign w:val="bottom"/>
            <w:hideMark/>
          </w:tcPr>
          <w:p w14:paraId="504B6CB4" w14:textId="77777777" w:rsidR="00C46F89" w:rsidRPr="00C46F89" w:rsidRDefault="00C46F89" w:rsidP="005A1275">
            <w:pPr>
              <w:keepNext/>
              <w:keepLines/>
              <w:jc w:val="right"/>
              <w:rPr>
                <w:rFonts w:cs="Calibri"/>
                <w:color w:val="000000"/>
              </w:rPr>
            </w:pPr>
            <w:r w:rsidRPr="00C46F89">
              <w:rPr>
                <w:rFonts w:cs="Calibri"/>
                <w:color w:val="000000"/>
              </w:rPr>
              <w:t>5%</w:t>
            </w:r>
          </w:p>
        </w:tc>
        <w:tc>
          <w:tcPr>
            <w:tcW w:w="720" w:type="dxa"/>
            <w:tcBorders>
              <w:top w:val="nil"/>
              <w:left w:val="nil"/>
              <w:bottom w:val="nil"/>
              <w:right w:val="nil"/>
            </w:tcBorders>
            <w:shd w:val="clear" w:color="auto" w:fill="auto"/>
            <w:noWrap/>
            <w:vAlign w:val="bottom"/>
            <w:hideMark/>
          </w:tcPr>
          <w:p w14:paraId="78962076" w14:textId="77777777" w:rsidR="00C46F89" w:rsidRPr="00C46F89" w:rsidRDefault="00C46F89" w:rsidP="005A1275">
            <w:pPr>
              <w:keepNext/>
              <w:keepLines/>
              <w:jc w:val="right"/>
              <w:rPr>
                <w:rFonts w:cs="Calibri"/>
                <w:color w:val="000000"/>
              </w:rPr>
            </w:pPr>
            <w:r w:rsidRPr="00C46F89">
              <w:rPr>
                <w:rFonts w:cs="Calibri"/>
                <w:color w:val="000000"/>
              </w:rPr>
              <w:t>4%</w:t>
            </w:r>
          </w:p>
        </w:tc>
        <w:tc>
          <w:tcPr>
            <w:tcW w:w="720" w:type="dxa"/>
            <w:tcBorders>
              <w:top w:val="nil"/>
              <w:left w:val="nil"/>
              <w:bottom w:val="nil"/>
              <w:right w:val="nil"/>
            </w:tcBorders>
            <w:shd w:val="clear" w:color="auto" w:fill="auto"/>
            <w:noWrap/>
            <w:vAlign w:val="bottom"/>
            <w:hideMark/>
          </w:tcPr>
          <w:p w14:paraId="32683E5D" w14:textId="77777777" w:rsidR="00C46F89" w:rsidRPr="00C46F89" w:rsidRDefault="00C46F89" w:rsidP="005A1275">
            <w:pPr>
              <w:keepNext/>
              <w:keepLines/>
              <w:jc w:val="right"/>
              <w:rPr>
                <w:rFonts w:cs="Calibri"/>
                <w:color w:val="000000"/>
              </w:rPr>
            </w:pPr>
            <w:r w:rsidRPr="00C46F89">
              <w:rPr>
                <w:rFonts w:cs="Calibri"/>
                <w:color w:val="000000"/>
              </w:rPr>
              <w:t>4%</w:t>
            </w:r>
          </w:p>
        </w:tc>
        <w:tc>
          <w:tcPr>
            <w:tcW w:w="720" w:type="dxa"/>
            <w:tcBorders>
              <w:top w:val="nil"/>
              <w:left w:val="nil"/>
              <w:bottom w:val="nil"/>
              <w:right w:val="nil"/>
            </w:tcBorders>
            <w:shd w:val="clear" w:color="auto" w:fill="auto"/>
            <w:noWrap/>
            <w:vAlign w:val="bottom"/>
            <w:hideMark/>
          </w:tcPr>
          <w:p w14:paraId="642D340C" w14:textId="77777777" w:rsidR="00C46F89" w:rsidRPr="00C46F89" w:rsidRDefault="00C46F89" w:rsidP="005A1275">
            <w:pPr>
              <w:keepNext/>
              <w:keepLines/>
              <w:jc w:val="right"/>
              <w:rPr>
                <w:rFonts w:cs="Calibri"/>
                <w:color w:val="000000"/>
              </w:rPr>
            </w:pPr>
            <w:r w:rsidRPr="00C46F89">
              <w:rPr>
                <w:rFonts w:cs="Calibri"/>
                <w:color w:val="000000"/>
              </w:rPr>
              <w:t>4%</w:t>
            </w:r>
          </w:p>
        </w:tc>
        <w:tc>
          <w:tcPr>
            <w:tcW w:w="288" w:type="dxa"/>
            <w:tcBorders>
              <w:top w:val="nil"/>
              <w:left w:val="nil"/>
              <w:bottom w:val="nil"/>
              <w:right w:val="nil"/>
            </w:tcBorders>
            <w:shd w:val="clear" w:color="auto" w:fill="auto"/>
            <w:noWrap/>
            <w:vAlign w:val="bottom"/>
            <w:hideMark/>
          </w:tcPr>
          <w:p w14:paraId="3532AE64" w14:textId="77777777" w:rsidR="00C46F89" w:rsidRPr="00C46F89" w:rsidRDefault="00C46F89" w:rsidP="005A1275">
            <w:pPr>
              <w:keepNext/>
              <w:keepLines/>
              <w:jc w:val="right"/>
              <w:rPr>
                <w:rFonts w:cs="Calibri"/>
                <w:color w:val="000000"/>
              </w:rPr>
            </w:pPr>
          </w:p>
        </w:tc>
        <w:tc>
          <w:tcPr>
            <w:tcW w:w="720" w:type="dxa"/>
            <w:tcBorders>
              <w:top w:val="nil"/>
              <w:left w:val="nil"/>
              <w:bottom w:val="nil"/>
              <w:right w:val="single" w:sz="8" w:space="0" w:color="auto"/>
            </w:tcBorders>
            <w:shd w:val="clear" w:color="auto" w:fill="auto"/>
            <w:noWrap/>
            <w:vAlign w:val="bottom"/>
            <w:hideMark/>
          </w:tcPr>
          <w:p w14:paraId="7458F9BB" w14:textId="77777777" w:rsidR="00C46F89" w:rsidRPr="00C46F89" w:rsidRDefault="00C46F89" w:rsidP="005A1275">
            <w:pPr>
              <w:keepNext/>
              <w:keepLines/>
              <w:jc w:val="right"/>
              <w:rPr>
                <w:rFonts w:cs="Calibri"/>
                <w:color w:val="000000"/>
              </w:rPr>
            </w:pPr>
            <w:r w:rsidRPr="00C46F89">
              <w:rPr>
                <w:rFonts w:cs="Calibri"/>
                <w:color w:val="000000"/>
              </w:rPr>
              <w:t>4%</w:t>
            </w:r>
          </w:p>
        </w:tc>
      </w:tr>
      <w:tr w:rsidR="00C46F89" w:rsidRPr="00C46F89" w14:paraId="63B22072" w14:textId="77777777" w:rsidTr="00C46F89">
        <w:trPr>
          <w:trHeight w:val="300"/>
        </w:trPr>
        <w:tc>
          <w:tcPr>
            <w:tcW w:w="1728" w:type="dxa"/>
            <w:tcBorders>
              <w:top w:val="nil"/>
              <w:left w:val="single" w:sz="8" w:space="0" w:color="auto"/>
              <w:bottom w:val="nil"/>
              <w:right w:val="nil"/>
            </w:tcBorders>
            <w:shd w:val="clear" w:color="auto" w:fill="auto"/>
            <w:noWrap/>
            <w:vAlign w:val="bottom"/>
            <w:hideMark/>
          </w:tcPr>
          <w:p w14:paraId="61261888" w14:textId="77777777" w:rsidR="00C46F89" w:rsidRPr="00C46F89" w:rsidRDefault="00C46F89" w:rsidP="005A1275">
            <w:pPr>
              <w:keepNext/>
              <w:keepLines/>
              <w:jc w:val="left"/>
              <w:rPr>
                <w:rFonts w:cs="Calibri"/>
                <w:color w:val="000000"/>
              </w:rPr>
            </w:pPr>
            <w:r w:rsidRPr="00C46F89">
              <w:rPr>
                <w:rFonts w:cs="Calibri"/>
                <w:color w:val="000000"/>
              </w:rPr>
              <w:t>Chemicals</w:t>
            </w:r>
          </w:p>
        </w:tc>
        <w:tc>
          <w:tcPr>
            <w:tcW w:w="720" w:type="dxa"/>
            <w:tcBorders>
              <w:top w:val="nil"/>
              <w:left w:val="nil"/>
              <w:bottom w:val="nil"/>
              <w:right w:val="nil"/>
            </w:tcBorders>
            <w:shd w:val="clear" w:color="auto" w:fill="auto"/>
            <w:noWrap/>
            <w:vAlign w:val="bottom"/>
            <w:hideMark/>
          </w:tcPr>
          <w:p w14:paraId="0D87FE90" w14:textId="77777777" w:rsidR="00C46F89" w:rsidRPr="00C46F89" w:rsidRDefault="00C46F89" w:rsidP="005A1275">
            <w:pPr>
              <w:keepNext/>
              <w:keepLines/>
              <w:jc w:val="right"/>
              <w:rPr>
                <w:rFonts w:cs="Calibri"/>
                <w:color w:val="000000"/>
              </w:rPr>
            </w:pPr>
            <w:r w:rsidRPr="00C46F89">
              <w:rPr>
                <w:rFonts w:cs="Calibri"/>
                <w:color w:val="000000"/>
              </w:rPr>
              <w:t>0%</w:t>
            </w:r>
          </w:p>
        </w:tc>
        <w:tc>
          <w:tcPr>
            <w:tcW w:w="720" w:type="dxa"/>
            <w:tcBorders>
              <w:top w:val="nil"/>
              <w:left w:val="nil"/>
              <w:bottom w:val="nil"/>
              <w:right w:val="nil"/>
            </w:tcBorders>
            <w:shd w:val="clear" w:color="auto" w:fill="auto"/>
            <w:noWrap/>
            <w:vAlign w:val="bottom"/>
            <w:hideMark/>
          </w:tcPr>
          <w:p w14:paraId="353D9608" w14:textId="77777777" w:rsidR="00C46F89" w:rsidRPr="00C46F89" w:rsidRDefault="00C46F89" w:rsidP="005A1275">
            <w:pPr>
              <w:keepNext/>
              <w:keepLines/>
              <w:jc w:val="right"/>
              <w:rPr>
                <w:rFonts w:cs="Calibri"/>
                <w:color w:val="000000"/>
              </w:rPr>
            </w:pPr>
            <w:r w:rsidRPr="00C46F89">
              <w:rPr>
                <w:rFonts w:cs="Calibri"/>
                <w:color w:val="000000"/>
              </w:rPr>
              <w:t>0%</w:t>
            </w:r>
          </w:p>
        </w:tc>
        <w:tc>
          <w:tcPr>
            <w:tcW w:w="720" w:type="dxa"/>
            <w:tcBorders>
              <w:top w:val="nil"/>
              <w:left w:val="nil"/>
              <w:bottom w:val="nil"/>
              <w:right w:val="nil"/>
            </w:tcBorders>
            <w:shd w:val="clear" w:color="auto" w:fill="auto"/>
            <w:noWrap/>
            <w:vAlign w:val="bottom"/>
            <w:hideMark/>
          </w:tcPr>
          <w:p w14:paraId="16B181D5" w14:textId="77777777" w:rsidR="00C46F89" w:rsidRPr="00C46F89" w:rsidRDefault="00C46F89" w:rsidP="005A1275">
            <w:pPr>
              <w:keepNext/>
              <w:keepLines/>
              <w:jc w:val="right"/>
              <w:rPr>
                <w:rFonts w:cs="Calibri"/>
                <w:color w:val="000000"/>
              </w:rPr>
            </w:pPr>
            <w:r w:rsidRPr="00C46F89">
              <w:rPr>
                <w:rFonts w:cs="Calibri"/>
                <w:color w:val="000000"/>
              </w:rPr>
              <w:t>0%</w:t>
            </w:r>
          </w:p>
        </w:tc>
        <w:tc>
          <w:tcPr>
            <w:tcW w:w="720" w:type="dxa"/>
            <w:tcBorders>
              <w:top w:val="nil"/>
              <w:left w:val="nil"/>
              <w:bottom w:val="nil"/>
              <w:right w:val="nil"/>
            </w:tcBorders>
            <w:shd w:val="clear" w:color="auto" w:fill="auto"/>
            <w:noWrap/>
            <w:vAlign w:val="bottom"/>
            <w:hideMark/>
          </w:tcPr>
          <w:p w14:paraId="32CE8273" w14:textId="77777777" w:rsidR="00C46F89" w:rsidRPr="00C46F89" w:rsidRDefault="00C46F89" w:rsidP="005A1275">
            <w:pPr>
              <w:keepNext/>
              <w:keepLines/>
              <w:jc w:val="right"/>
              <w:rPr>
                <w:rFonts w:cs="Calibri"/>
                <w:color w:val="000000"/>
              </w:rPr>
            </w:pPr>
            <w:r w:rsidRPr="00C46F89">
              <w:rPr>
                <w:rFonts w:cs="Calibri"/>
                <w:color w:val="000000"/>
              </w:rPr>
              <w:t>0%</w:t>
            </w:r>
          </w:p>
        </w:tc>
        <w:tc>
          <w:tcPr>
            <w:tcW w:w="720" w:type="dxa"/>
            <w:tcBorders>
              <w:top w:val="nil"/>
              <w:left w:val="nil"/>
              <w:bottom w:val="nil"/>
              <w:right w:val="nil"/>
            </w:tcBorders>
            <w:shd w:val="clear" w:color="auto" w:fill="auto"/>
            <w:noWrap/>
            <w:vAlign w:val="bottom"/>
            <w:hideMark/>
          </w:tcPr>
          <w:p w14:paraId="376F46DA" w14:textId="77777777" w:rsidR="00C46F89" w:rsidRPr="00C46F89" w:rsidRDefault="00C46F89" w:rsidP="005A1275">
            <w:pPr>
              <w:keepNext/>
              <w:keepLines/>
              <w:jc w:val="right"/>
              <w:rPr>
                <w:rFonts w:cs="Calibri"/>
                <w:color w:val="000000"/>
              </w:rPr>
            </w:pPr>
            <w:r w:rsidRPr="00C46F89">
              <w:rPr>
                <w:rFonts w:cs="Calibri"/>
                <w:color w:val="000000"/>
              </w:rPr>
              <w:t>0%</w:t>
            </w:r>
          </w:p>
        </w:tc>
        <w:tc>
          <w:tcPr>
            <w:tcW w:w="720" w:type="dxa"/>
            <w:tcBorders>
              <w:top w:val="nil"/>
              <w:left w:val="nil"/>
              <w:bottom w:val="nil"/>
              <w:right w:val="nil"/>
            </w:tcBorders>
            <w:shd w:val="clear" w:color="auto" w:fill="auto"/>
            <w:noWrap/>
            <w:vAlign w:val="bottom"/>
            <w:hideMark/>
          </w:tcPr>
          <w:p w14:paraId="42FDE134" w14:textId="77777777" w:rsidR="00C46F89" w:rsidRPr="00C46F89" w:rsidRDefault="00C46F89" w:rsidP="005A1275">
            <w:pPr>
              <w:keepNext/>
              <w:keepLines/>
              <w:jc w:val="right"/>
              <w:rPr>
                <w:rFonts w:cs="Calibri"/>
                <w:color w:val="000000"/>
              </w:rPr>
            </w:pPr>
            <w:r w:rsidRPr="00C46F89">
              <w:rPr>
                <w:rFonts w:cs="Calibri"/>
                <w:color w:val="000000"/>
              </w:rPr>
              <w:t>0%</w:t>
            </w:r>
          </w:p>
        </w:tc>
        <w:tc>
          <w:tcPr>
            <w:tcW w:w="720" w:type="dxa"/>
            <w:tcBorders>
              <w:top w:val="nil"/>
              <w:left w:val="nil"/>
              <w:bottom w:val="nil"/>
              <w:right w:val="nil"/>
            </w:tcBorders>
            <w:shd w:val="clear" w:color="auto" w:fill="auto"/>
            <w:noWrap/>
            <w:vAlign w:val="bottom"/>
            <w:hideMark/>
          </w:tcPr>
          <w:p w14:paraId="20B550B9" w14:textId="77777777" w:rsidR="00C46F89" w:rsidRPr="00C46F89" w:rsidRDefault="00C46F89" w:rsidP="005A1275">
            <w:pPr>
              <w:keepNext/>
              <w:keepLines/>
              <w:jc w:val="right"/>
              <w:rPr>
                <w:rFonts w:cs="Calibri"/>
                <w:color w:val="000000"/>
              </w:rPr>
            </w:pPr>
            <w:r w:rsidRPr="00C46F89">
              <w:rPr>
                <w:rFonts w:cs="Calibri"/>
                <w:color w:val="000000"/>
              </w:rPr>
              <w:t>0%</w:t>
            </w:r>
          </w:p>
        </w:tc>
        <w:tc>
          <w:tcPr>
            <w:tcW w:w="720" w:type="dxa"/>
            <w:tcBorders>
              <w:top w:val="nil"/>
              <w:left w:val="nil"/>
              <w:bottom w:val="nil"/>
              <w:right w:val="nil"/>
            </w:tcBorders>
            <w:shd w:val="clear" w:color="auto" w:fill="auto"/>
            <w:noWrap/>
            <w:vAlign w:val="bottom"/>
            <w:hideMark/>
          </w:tcPr>
          <w:p w14:paraId="66E691F6" w14:textId="77777777" w:rsidR="00C46F89" w:rsidRPr="00C46F89" w:rsidRDefault="00C46F89" w:rsidP="005A1275">
            <w:pPr>
              <w:keepNext/>
              <w:keepLines/>
              <w:jc w:val="right"/>
              <w:rPr>
                <w:rFonts w:cs="Calibri"/>
                <w:color w:val="000000"/>
              </w:rPr>
            </w:pPr>
            <w:r w:rsidRPr="00C46F89">
              <w:rPr>
                <w:rFonts w:cs="Calibri"/>
                <w:color w:val="000000"/>
              </w:rPr>
              <w:t>0%</w:t>
            </w:r>
          </w:p>
        </w:tc>
        <w:tc>
          <w:tcPr>
            <w:tcW w:w="720" w:type="dxa"/>
            <w:tcBorders>
              <w:top w:val="nil"/>
              <w:left w:val="nil"/>
              <w:bottom w:val="nil"/>
              <w:right w:val="nil"/>
            </w:tcBorders>
            <w:shd w:val="clear" w:color="auto" w:fill="auto"/>
            <w:noWrap/>
            <w:vAlign w:val="bottom"/>
            <w:hideMark/>
          </w:tcPr>
          <w:p w14:paraId="367A7285" w14:textId="77777777" w:rsidR="00C46F89" w:rsidRPr="00C46F89" w:rsidRDefault="00C46F89" w:rsidP="005A1275">
            <w:pPr>
              <w:keepNext/>
              <w:keepLines/>
              <w:jc w:val="right"/>
              <w:rPr>
                <w:rFonts w:cs="Calibri"/>
                <w:color w:val="000000"/>
              </w:rPr>
            </w:pPr>
            <w:r w:rsidRPr="00C46F89">
              <w:rPr>
                <w:rFonts w:cs="Calibri"/>
                <w:color w:val="000000"/>
              </w:rPr>
              <w:t>0%</w:t>
            </w:r>
          </w:p>
        </w:tc>
        <w:tc>
          <w:tcPr>
            <w:tcW w:w="720" w:type="dxa"/>
            <w:tcBorders>
              <w:top w:val="nil"/>
              <w:left w:val="nil"/>
              <w:bottom w:val="nil"/>
              <w:right w:val="nil"/>
            </w:tcBorders>
            <w:shd w:val="clear" w:color="auto" w:fill="auto"/>
            <w:noWrap/>
            <w:vAlign w:val="bottom"/>
            <w:hideMark/>
          </w:tcPr>
          <w:p w14:paraId="12881E3A" w14:textId="77777777" w:rsidR="00C46F89" w:rsidRPr="00C46F89" w:rsidRDefault="00C46F89" w:rsidP="005A1275">
            <w:pPr>
              <w:keepNext/>
              <w:keepLines/>
              <w:jc w:val="right"/>
              <w:rPr>
                <w:rFonts w:cs="Calibri"/>
                <w:color w:val="000000"/>
              </w:rPr>
            </w:pPr>
            <w:r w:rsidRPr="00C46F89">
              <w:rPr>
                <w:rFonts w:cs="Calibri"/>
                <w:color w:val="000000"/>
              </w:rPr>
              <w:t>0%</w:t>
            </w:r>
          </w:p>
        </w:tc>
        <w:tc>
          <w:tcPr>
            <w:tcW w:w="288" w:type="dxa"/>
            <w:tcBorders>
              <w:top w:val="nil"/>
              <w:left w:val="nil"/>
              <w:bottom w:val="nil"/>
              <w:right w:val="nil"/>
            </w:tcBorders>
            <w:shd w:val="clear" w:color="auto" w:fill="auto"/>
            <w:noWrap/>
            <w:vAlign w:val="bottom"/>
            <w:hideMark/>
          </w:tcPr>
          <w:p w14:paraId="0AFC5C9B" w14:textId="77777777" w:rsidR="00C46F89" w:rsidRPr="00C46F89" w:rsidRDefault="00C46F89" w:rsidP="005A1275">
            <w:pPr>
              <w:keepNext/>
              <w:keepLines/>
              <w:jc w:val="right"/>
              <w:rPr>
                <w:rFonts w:cs="Calibri"/>
                <w:color w:val="000000"/>
              </w:rPr>
            </w:pPr>
          </w:p>
        </w:tc>
        <w:tc>
          <w:tcPr>
            <w:tcW w:w="720" w:type="dxa"/>
            <w:tcBorders>
              <w:top w:val="nil"/>
              <w:left w:val="nil"/>
              <w:bottom w:val="nil"/>
              <w:right w:val="single" w:sz="8" w:space="0" w:color="auto"/>
            </w:tcBorders>
            <w:shd w:val="clear" w:color="auto" w:fill="auto"/>
            <w:noWrap/>
            <w:vAlign w:val="bottom"/>
            <w:hideMark/>
          </w:tcPr>
          <w:p w14:paraId="0E796F5E" w14:textId="77777777" w:rsidR="00C46F89" w:rsidRPr="00C46F89" w:rsidRDefault="00C46F89" w:rsidP="005A1275">
            <w:pPr>
              <w:keepNext/>
              <w:keepLines/>
              <w:jc w:val="right"/>
              <w:rPr>
                <w:rFonts w:cs="Calibri"/>
                <w:color w:val="000000"/>
              </w:rPr>
            </w:pPr>
            <w:r w:rsidRPr="00C46F89">
              <w:rPr>
                <w:rFonts w:cs="Calibri"/>
                <w:color w:val="000000"/>
              </w:rPr>
              <w:t>0%</w:t>
            </w:r>
          </w:p>
        </w:tc>
      </w:tr>
      <w:tr w:rsidR="00C46F89" w:rsidRPr="00C46F89" w14:paraId="4314DEDD" w14:textId="77777777" w:rsidTr="00C46F89">
        <w:trPr>
          <w:trHeight w:val="300"/>
        </w:trPr>
        <w:tc>
          <w:tcPr>
            <w:tcW w:w="1728" w:type="dxa"/>
            <w:tcBorders>
              <w:top w:val="nil"/>
              <w:left w:val="single" w:sz="8" w:space="0" w:color="auto"/>
              <w:bottom w:val="nil"/>
              <w:right w:val="nil"/>
            </w:tcBorders>
            <w:shd w:val="clear" w:color="auto" w:fill="auto"/>
            <w:noWrap/>
            <w:vAlign w:val="bottom"/>
            <w:hideMark/>
          </w:tcPr>
          <w:p w14:paraId="43939134" w14:textId="77777777" w:rsidR="00C46F89" w:rsidRPr="00C46F89" w:rsidRDefault="00C46F89" w:rsidP="005A1275">
            <w:pPr>
              <w:keepNext/>
              <w:keepLines/>
              <w:jc w:val="left"/>
              <w:rPr>
                <w:rFonts w:cs="Calibri"/>
                <w:color w:val="000000"/>
              </w:rPr>
            </w:pPr>
            <w:r w:rsidRPr="00C46F89">
              <w:rPr>
                <w:rFonts w:cs="Calibri"/>
                <w:color w:val="000000"/>
              </w:rPr>
              <w:t>Other Industrial</w:t>
            </w:r>
          </w:p>
        </w:tc>
        <w:tc>
          <w:tcPr>
            <w:tcW w:w="720" w:type="dxa"/>
            <w:tcBorders>
              <w:top w:val="nil"/>
              <w:left w:val="nil"/>
              <w:bottom w:val="nil"/>
              <w:right w:val="nil"/>
            </w:tcBorders>
            <w:shd w:val="clear" w:color="auto" w:fill="auto"/>
            <w:noWrap/>
            <w:vAlign w:val="bottom"/>
            <w:hideMark/>
          </w:tcPr>
          <w:p w14:paraId="0F363EED" w14:textId="77777777" w:rsidR="00C46F89" w:rsidRPr="00C46F89" w:rsidRDefault="00C46F89" w:rsidP="005A1275">
            <w:pPr>
              <w:keepNext/>
              <w:keepLines/>
              <w:jc w:val="right"/>
              <w:rPr>
                <w:rFonts w:cs="Calibri"/>
                <w:color w:val="000000"/>
              </w:rPr>
            </w:pPr>
            <w:r w:rsidRPr="00C46F89">
              <w:rPr>
                <w:rFonts w:cs="Calibri"/>
                <w:color w:val="000000"/>
              </w:rPr>
              <w:t>0%</w:t>
            </w:r>
          </w:p>
        </w:tc>
        <w:tc>
          <w:tcPr>
            <w:tcW w:w="720" w:type="dxa"/>
            <w:tcBorders>
              <w:top w:val="nil"/>
              <w:left w:val="nil"/>
              <w:bottom w:val="nil"/>
              <w:right w:val="nil"/>
            </w:tcBorders>
            <w:shd w:val="clear" w:color="auto" w:fill="auto"/>
            <w:noWrap/>
            <w:vAlign w:val="bottom"/>
            <w:hideMark/>
          </w:tcPr>
          <w:p w14:paraId="2F18C511" w14:textId="77777777" w:rsidR="00C46F89" w:rsidRPr="00C46F89" w:rsidRDefault="00C46F89" w:rsidP="005A1275">
            <w:pPr>
              <w:keepNext/>
              <w:keepLines/>
              <w:jc w:val="right"/>
              <w:rPr>
                <w:rFonts w:cs="Calibri"/>
                <w:color w:val="000000"/>
              </w:rPr>
            </w:pPr>
            <w:r w:rsidRPr="00C46F89">
              <w:rPr>
                <w:rFonts w:cs="Calibri"/>
                <w:color w:val="000000"/>
              </w:rPr>
              <w:t>10%</w:t>
            </w:r>
          </w:p>
        </w:tc>
        <w:tc>
          <w:tcPr>
            <w:tcW w:w="720" w:type="dxa"/>
            <w:tcBorders>
              <w:top w:val="nil"/>
              <w:left w:val="nil"/>
              <w:bottom w:val="nil"/>
              <w:right w:val="nil"/>
            </w:tcBorders>
            <w:shd w:val="clear" w:color="auto" w:fill="auto"/>
            <w:noWrap/>
            <w:vAlign w:val="bottom"/>
            <w:hideMark/>
          </w:tcPr>
          <w:p w14:paraId="644CF524" w14:textId="77777777" w:rsidR="00C46F89" w:rsidRPr="00C46F89" w:rsidRDefault="00C46F89" w:rsidP="005A1275">
            <w:pPr>
              <w:keepNext/>
              <w:keepLines/>
              <w:jc w:val="right"/>
              <w:rPr>
                <w:rFonts w:cs="Calibri"/>
                <w:color w:val="000000"/>
              </w:rPr>
            </w:pPr>
            <w:r w:rsidRPr="00C46F89">
              <w:rPr>
                <w:rFonts w:cs="Calibri"/>
                <w:color w:val="000000"/>
              </w:rPr>
              <w:t>3%</w:t>
            </w:r>
          </w:p>
        </w:tc>
        <w:tc>
          <w:tcPr>
            <w:tcW w:w="720" w:type="dxa"/>
            <w:tcBorders>
              <w:top w:val="nil"/>
              <w:left w:val="nil"/>
              <w:bottom w:val="nil"/>
              <w:right w:val="nil"/>
            </w:tcBorders>
            <w:shd w:val="clear" w:color="auto" w:fill="auto"/>
            <w:noWrap/>
            <w:vAlign w:val="bottom"/>
            <w:hideMark/>
          </w:tcPr>
          <w:p w14:paraId="7765495B" w14:textId="77777777" w:rsidR="00C46F89" w:rsidRPr="00C46F89" w:rsidRDefault="00C46F89" w:rsidP="005A1275">
            <w:pPr>
              <w:keepNext/>
              <w:keepLines/>
              <w:jc w:val="right"/>
              <w:rPr>
                <w:rFonts w:cs="Calibri"/>
                <w:color w:val="000000"/>
              </w:rPr>
            </w:pPr>
            <w:r w:rsidRPr="00C46F89">
              <w:rPr>
                <w:rFonts w:cs="Calibri"/>
                <w:color w:val="000000"/>
              </w:rPr>
              <w:t>1%</w:t>
            </w:r>
          </w:p>
        </w:tc>
        <w:tc>
          <w:tcPr>
            <w:tcW w:w="720" w:type="dxa"/>
            <w:tcBorders>
              <w:top w:val="nil"/>
              <w:left w:val="nil"/>
              <w:bottom w:val="nil"/>
              <w:right w:val="nil"/>
            </w:tcBorders>
            <w:shd w:val="clear" w:color="auto" w:fill="auto"/>
            <w:noWrap/>
            <w:vAlign w:val="bottom"/>
            <w:hideMark/>
          </w:tcPr>
          <w:p w14:paraId="03BC1BC0" w14:textId="77777777" w:rsidR="00C46F89" w:rsidRPr="00C46F89" w:rsidRDefault="00C46F89" w:rsidP="005A1275">
            <w:pPr>
              <w:keepNext/>
              <w:keepLines/>
              <w:jc w:val="right"/>
              <w:rPr>
                <w:rFonts w:cs="Calibri"/>
                <w:color w:val="000000"/>
              </w:rPr>
            </w:pPr>
            <w:r w:rsidRPr="00C46F89">
              <w:rPr>
                <w:rFonts w:cs="Calibri"/>
                <w:color w:val="000000"/>
              </w:rPr>
              <w:t>1%</w:t>
            </w:r>
          </w:p>
        </w:tc>
        <w:tc>
          <w:tcPr>
            <w:tcW w:w="720" w:type="dxa"/>
            <w:tcBorders>
              <w:top w:val="nil"/>
              <w:left w:val="nil"/>
              <w:bottom w:val="nil"/>
              <w:right w:val="nil"/>
            </w:tcBorders>
            <w:shd w:val="clear" w:color="auto" w:fill="auto"/>
            <w:noWrap/>
            <w:vAlign w:val="bottom"/>
            <w:hideMark/>
          </w:tcPr>
          <w:p w14:paraId="6281599B" w14:textId="77777777" w:rsidR="00C46F89" w:rsidRPr="00C46F89" w:rsidRDefault="00C46F89" w:rsidP="005A1275">
            <w:pPr>
              <w:keepNext/>
              <w:keepLines/>
              <w:jc w:val="right"/>
              <w:rPr>
                <w:rFonts w:cs="Calibri"/>
                <w:color w:val="000000"/>
              </w:rPr>
            </w:pPr>
            <w:r w:rsidRPr="00C46F89">
              <w:rPr>
                <w:rFonts w:cs="Calibri"/>
                <w:color w:val="000000"/>
              </w:rPr>
              <w:t>1%</w:t>
            </w:r>
          </w:p>
        </w:tc>
        <w:tc>
          <w:tcPr>
            <w:tcW w:w="720" w:type="dxa"/>
            <w:tcBorders>
              <w:top w:val="nil"/>
              <w:left w:val="nil"/>
              <w:bottom w:val="nil"/>
              <w:right w:val="nil"/>
            </w:tcBorders>
            <w:shd w:val="clear" w:color="auto" w:fill="auto"/>
            <w:noWrap/>
            <w:vAlign w:val="bottom"/>
            <w:hideMark/>
          </w:tcPr>
          <w:p w14:paraId="17578CBE" w14:textId="77777777" w:rsidR="00C46F89" w:rsidRPr="00C46F89" w:rsidRDefault="00C46F89" w:rsidP="005A1275">
            <w:pPr>
              <w:keepNext/>
              <w:keepLines/>
              <w:jc w:val="right"/>
              <w:rPr>
                <w:rFonts w:cs="Calibri"/>
                <w:color w:val="000000"/>
              </w:rPr>
            </w:pPr>
            <w:r w:rsidRPr="00C46F89">
              <w:rPr>
                <w:rFonts w:cs="Calibri"/>
                <w:color w:val="000000"/>
              </w:rPr>
              <w:t>1%</w:t>
            </w:r>
          </w:p>
        </w:tc>
        <w:tc>
          <w:tcPr>
            <w:tcW w:w="720" w:type="dxa"/>
            <w:tcBorders>
              <w:top w:val="nil"/>
              <w:left w:val="nil"/>
              <w:bottom w:val="nil"/>
              <w:right w:val="nil"/>
            </w:tcBorders>
            <w:shd w:val="clear" w:color="auto" w:fill="auto"/>
            <w:noWrap/>
            <w:vAlign w:val="bottom"/>
            <w:hideMark/>
          </w:tcPr>
          <w:p w14:paraId="14BF0B0D" w14:textId="77777777" w:rsidR="00C46F89" w:rsidRPr="00C46F89" w:rsidRDefault="00C46F89" w:rsidP="005A1275">
            <w:pPr>
              <w:keepNext/>
              <w:keepLines/>
              <w:jc w:val="right"/>
              <w:rPr>
                <w:rFonts w:cs="Calibri"/>
                <w:color w:val="000000"/>
              </w:rPr>
            </w:pPr>
            <w:r w:rsidRPr="00C46F89">
              <w:rPr>
                <w:rFonts w:cs="Calibri"/>
                <w:color w:val="000000"/>
              </w:rPr>
              <w:t>1%</w:t>
            </w:r>
          </w:p>
        </w:tc>
        <w:tc>
          <w:tcPr>
            <w:tcW w:w="720" w:type="dxa"/>
            <w:tcBorders>
              <w:top w:val="nil"/>
              <w:left w:val="nil"/>
              <w:bottom w:val="nil"/>
              <w:right w:val="nil"/>
            </w:tcBorders>
            <w:shd w:val="clear" w:color="auto" w:fill="auto"/>
            <w:noWrap/>
            <w:vAlign w:val="bottom"/>
            <w:hideMark/>
          </w:tcPr>
          <w:p w14:paraId="0017A3C7" w14:textId="77777777" w:rsidR="00C46F89" w:rsidRPr="00C46F89" w:rsidRDefault="00C46F89" w:rsidP="005A1275">
            <w:pPr>
              <w:keepNext/>
              <w:keepLines/>
              <w:jc w:val="right"/>
              <w:rPr>
                <w:rFonts w:cs="Calibri"/>
                <w:color w:val="000000"/>
              </w:rPr>
            </w:pPr>
            <w:r w:rsidRPr="00C46F89">
              <w:rPr>
                <w:rFonts w:cs="Calibri"/>
                <w:color w:val="000000"/>
              </w:rPr>
              <w:t>1%</w:t>
            </w:r>
          </w:p>
        </w:tc>
        <w:tc>
          <w:tcPr>
            <w:tcW w:w="720" w:type="dxa"/>
            <w:tcBorders>
              <w:top w:val="nil"/>
              <w:left w:val="nil"/>
              <w:bottom w:val="nil"/>
              <w:right w:val="nil"/>
            </w:tcBorders>
            <w:shd w:val="clear" w:color="auto" w:fill="auto"/>
            <w:noWrap/>
            <w:vAlign w:val="bottom"/>
            <w:hideMark/>
          </w:tcPr>
          <w:p w14:paraId="25F2C9A9" w14:textId="77777777" w:rsidR="00C46F89" w:rsidRPr="00C46F89" w:rsidRDefault="00C46F89" w:rsidP="005A1275">
            <w:pPr>
              <w:keepNext/>
              <w:keepLines/>
              <w:jc w:val="right"/>
              <w:rPr>
                <w:rFonts w:cs="Calibri"/>
                <w:color w:val="000000"/>
              </w:rPr>
            </w:pPr>
            <w:r w:rsidRPr="00C46F89">
              <w:rPr>
                <w:rFonts w:cs="Calibri"/>
                <w:color w:val="000000"/>
              </w:rPr>
              <w:t>1%</w:t>
            </w:r>
          </w:p>
        </w:tc>
        <w:tc>
          <w:tcPr>
            <w:tcW w:w="288" w:type="dxa"/>
            <w:tcBorders>
              <w:top w:val="nil"/>
              <w:left w:val="nil"/>
              <w:bottom w:val="nil"/>
              <w:right w:val="nil"/>
            </w:tcBorders>
            <w:shd w:val="clear" w:color="auto" w:fill="auto"/>
            <w:noWrap/>
            <w:vAlign w:val="bottom"/>
            <w:hideMark/>
          </w:tcPr>
          <w:p w14:paraId="6E2F0CFE" w14:textId="77777777" w:rsidR="00C46F89" w:rsidRPr="00C46F89" w:rsidRDefault="00C46F89" w:rsidP="005A1275">
            <w:pPr>
              <w:keepNext/>
              <w:keepLines/>
              <w:jc w:val="right"/>
              <w:rPr>
                <w:rFonts w:cs="Calibri"/>
                <w:color w:val="000000"/>
              </w:rPr>
            </w:pPr>
          </w:p>
        </w:tc>
        <w:tc>
          <w:tcPr>
            <w:tcW w:w="720" w:type="dxa"/>
            <w:tcBorders>
              <w:top w:val="nil"/>
              <w:left w:val="nil"/>
              <w:bottom w:val="nil"/>
              <w:right w:val="single" w:sz="8" w:space="0" w:color="auto"/>
            </w:tcBorders>
            <w:shd w:val="clear" w:color="auto" w:fill="auto"/>
            <w:noWrap/>
            <w:vAlign w:val="bottom"/>
            <w:hideMark/>
          </w:tcPr>
          <w:p w14:paraId="1E126762" w14:textId="77777777" w:rsidR="00C46F89" w:rsidRPr="00C46F89" w:rsidRDefault="00C46F89" w:rsidP="005A1275">
            <w:pPr>
              <w:keepNext/>
              <w:keepLines/>
              <w:jc w:val="right"/>
              <w:rPr>
                <w:rFonts w:cs="Calibri"/>
                <w:color w:val="000000"/>
              </w:rPr>
            </w:pPr>
            <w:r w:rsidRPr="00C46F89">
              <w:rPr>
                <w:rFonts w:cs="Calibri"/>
                <w:color w:val="000000"/>
              </w:rPr>
              <w:t>1%</w:t>
            </w:r>
          </w:p>
        </w:tc>
      </w:tr>
      <w:tr w:rsidR="00C46F89" w:rsidRPr="00C46F89" w14:paraId="23D8925D" w14:textId="77777777" w:rsidTr="00C46F89">
        <w:trPr>
          <w:trHeight w:val="300"/>
        </w:trPr>
        <w:tc>
          <w:tcPr>
            <w:tcW w:w="1728" w:type="dxa"/>
            <w:tcBorders>
              <w:top w:val="nil"/>
              <w:left w:val="single" w:sz="8" w:space="0" w:color="auto"/>
              <w:bottom w:val="nil"/>
              <w:right w:val="nil"/>
            </w:tcBorders>
            <w:shd w:val="clear" w:color="auto" w:fill="auto"/>
            <w:noWrap/>
            <w:vAlign w:val="bottom"/>
            <w:hideMark/>
          </w:tcPr>
          <w:p w14:paraId="12B689F9" w14:textId="77777777" w:rsidR="00C46F89" w:rsidRPr="00C46F89" w:rsidRDefault="00C46F89" w:rsidP="005A1275">
            <w:pPr>
              <w:keepNext/>
              <w:keepLines/>
              <w:jc w:val="left"/>
              <w:rPr>
                <w:rFonts w:cs="Calibri"/>
                <w:color w:val="000000"/>
              </w:rPr>
            </w:pPr>
            <w:r w:rsidRPr="00C46F89">
              <w:rPr>
                <w:rFonts w:cs="Calibri"/>
                <w:color w:val="000000"/>
              </w:rPr>
              <w:t>Rubber &amp; Plastics</w:t>
            </w:r>
          </w:p>
        </w:tc>
        <w:tc>
          <w:tcPr>
            <w:tcW w:w="720" w:type="dxa"/>
            <w:tcBorders>
              <w:top w:val="nil"/>
              <w:left w:val="nil"/>
              <w:bottom w:val="nil"/>
              <w:right w:val="nil"/>
            </w:tcBorders>
            <w:shd w:val="clear" w:color="auto" w:fill="auto"/>
            <w:noWrap/>
            <w:vAlign w:val="bottom"/>
            <w:hideMark/>
          </w:tcPr>
          <w:p w14:paraId="7FD7C615" w14:textId="77777777" w:rsidR="00C46F89" w:rsidRPr="00C46F89" w:rsidRDefault="00C46F89" w:rsidP="005A1275">
            <w:pPr>
              <w:keepNext/>
              <w:keepLines/>
              <w:jc w:val="right"/>
              <w:rPr>
                <w:rFonts w:cs="Calibri"/>
                <w:color w:val="000000"/>
              </w:rPr>
            </w:pPr>
            <w:r w:rsidRPr="00C46F89">
              <w:rPr>
                <w:rFonts w:cs="Calibri"/>
                <w:color w:val="000000"/>
              </w:rPr>
              <w:t>0%</w:t>
            </w:r>
          </w:p>
        </w:tc>
        <w:tc>
          <w:tcPr>
            <w:tcW w:w="720" w:type="dxa"/>
            <w:tcBorders>
              <w:top w:val="nil"/>
              <w:left w:val="nil"/>
              <w:bottom w:val="nil"/>
              <w:right w:val="nil"/>
            </w:tcBorders>
            <w:shd w:val="clear" w:color="auto" w:fill="auto"/>
            <w:noWrap/>
            <w:vAlign w:val="bottom"/>
            <w:hideMark/>
          </w:tcPr>
          <w:p w14:paraId="13D70F6A" w14:textId="77777777" w:rsidR="00C46F89" w:rsidRPr="00C46F89" w:rsidRDefault="00C46F89" w:rsidP="005A1275">
            <w:pPr>
              <w:keepNext/>
              <w:keepLines/>
              <w:jc w:val="right"/>
              <w:rPr>
                <w:rFonts w:cs="Calibri"/>
                <w:color w:val="000000"/>
              </w:rPr>
            </w:pPr>
            <w:r w:rsidRPr="00C46F89">
              <w:rPr>
                <w:rFonts w:cs="Calibri"/>
                <w:color w:val="000000"/>
              </w:rPr>
              <w:t>0%</w:t>
            </w:r>
          </w:p>
        </w:tc>
        <w:tc>
          <w:tcPr>
            <w:tcW w:w="720" w:type="dxa"/>
            <w:tcBorders>
              <w:top w:val="nil"/>
              <w:left w:val="nil"/>
              <w:bottom w:val="nil"/>
              <w:right w:val="nil"/>
            </w:tcBorders>
            <w:shd w:val="clear" w:color="auto" w:fill="auto"/>
            <w:noWrap/>
            <w:vAlign w:val="bottom"/>
            <w:hideMark/>
          </w:tcPr>
          <w:p w14:paraId="3C770BAE" w14:textId="77777777" w:rsidR="00C46F89" w:rsidRPr="00C46F89" w:rsidRDefault="00C46F89" w:rsidP="005A1275">
            <w:pPr>
              <w:keepNext/>
              <w:keepLines/>
              <w:jc w:val="right"/>
              <w:rPr>
                <w:rFonts w:cs="Calibri"/>
                <w:color w:val="000000"/>
              </w:rPr>
            </w:pPr>
            <w:r w:rsidRPr="00C46F89">
              <w:rPr>
                <w:rFonts w:cs="Calibri"/>
                <w:color w:val="000000"/>
              </w:rPr>
              <w:t>2%</w:t>
            </w:r>
          </w:p>
        </w:tc>
        <w:tc>
          <w:tcPr>
            <w:tcW w:w="720" w:type="dxa"/>
            <w:tcBorders>
              <w:top w:val="nil"/>
              <w:left w:val="nil"/>
              <w:bottom w:val="nil"/>
              <w:right w:val="nil"/>
            </w:tcBorders>
            <w:shd w:val="clear" w:color="auto" w:fill="auto"/>
            <w:noWrap/>
            <w:vAlign w:val="bottom"/>
            <w:hideMark/>
          </w:tcPr>
          <w:p w14:paraId="3E07F890" w14:textId="77777777" w:rsidR="00C46F89" w:rsidRPr="00C46F89" w:rsidRDefault="00C46F89" w:rsidP="005A1275">
            <w:pPr>
              <w:keepNext/>
              <w:keepLines/>
              <w:jc w:val="right"/>
              <w:rPr>
                <w:rFonts w:cs="Calibri"/>
                <w:color w:val="000000"/>
              </w:rPr>
            </w:pPr>
            <w:r w:rsidRPr="00C46F89">
              <w:rPr>
                <w:rFonts w:cs="Calibri"/>
                <w:color w:val="000000"/>
              </w:rPr>
              <w:t>1%</w:t>
            </w:r>
          </w:p>
        </w:tc>
        <w:tc>
          <w:tcPr>
            <w:tcW w:w="720" w:type="dxa"/>
            <w:tcBorders>
              <w:top w:val="nil"/>
              <w:left w:val="nil"/>
              <w:bottom w:val="nil"/>
              <w:right w:val="nil"/>
            </w:tcBorders>
            <w:shd w:val="clear" w:color="auto" w:fill="auto"/>
            <w:noWrap/>
            <w:vAlign w:val="bottom"/>
            <w:hideMark/>
          </w:tcPr>
          <w:p w14:paraId="52D78ACC" w14:textId="77777777" w:rsidR="00C46F89" w:rsidRPr="00C46F89" w:rsidRDefault="00C46F89" w:rsidP="005A1275">
            <w:pPr>
              <w:keepNext/>
              <w:keepLines/>
              <w:jc w:val="right"/>
              <w:rPr>
                <w:rFonts w:cs="Calibri"/>
                <w:color w:val="000000"/>
              </w:rPr>
            </w:pPr>
            <w:r w:rsidRPr="00C46F89">
              <w:rPr>
                <w:rFonts w:cs="Calibri"/>
                <w:color w:val="000000"/>
              </w:rPr>
              <w:t>1%</w:t>
            </w:r>
          </w:p>
        </w:tc>
        <w:tc>
          <w:tcPr>
            <w:tcW w:w="720" w:type="dxa"/>
            <w:tcBorders>
              <w:top w:val="nil"/>
              <w:left w:val="nil"/>
              <w:bottom w:val="nil"/>
              <w:right w:val="nil"/>
            </w:tcBorders>
            <w:shd w:val="clear" w:color="auto" w:fill="auto"/>
            <w:noWrap/>
            <w:vAlign w:val="bottom"/>
            <w:hideMark/>
          </w:tcPr>
          <w:p w14:paraId="31F48FD3" w14:textId="77777777" w:rsidR="00C46F89" w:rsidRPr="00C46F89" w:rsidRDefault="00C46F89" w:rsidP="005A1275">
            <w:pPr>
              <w:keepNext/>
              <w:keepLines/>
              <w:jc w:val="right"/>
              <w:rPr>
                <w:rFonts w:cs="Calibri"/>
                <w:color w:val="000000"/>
              </w:rPr>
            </w:pPr>
            <w:r w:rsidRPr="00C46F89">
              <w:rPr>
                <w:rFonts w:cs="Calibri"/>
                <w:color w:val="000000"/>
              </w:rPr>
              <w:t>1%</w:t>
            </w:r>
          </w:p>
        </w:tc>
        <w:tc>
          <w:tcPr>
            <w:tcW w:w="720" w:type="dxa"/>
            <w:tcBorders>
              <w:top w:val="nil"/>
              <w:left w:val="nil"/>
              <w:bottom w:val="nil"/>
              <w:right w:val="nil"/>
            </w:tcBorders>
            <w:shd w:val="clear" w:color="auto" w:fill="auto"/>
            <w:noWrap/>
            <w:vAlign w:val="bottom"/>
            <w:hideMark/>
          </w:tcPr>
          <w:p w14:paraId="0E3E51B8" w14:textId="77777777" w:rsidR="00C46F89" w:rsidRPr="00C46F89" w:rsidRDefault="00C46F89" w:rsidP="005A1275">
            <w:pPr>
              <w:keepNext/>
              <w:keepLines/>
              <w:jc w:val="right"/>
              <w:rPr>
                <w:rFonts w:cs="Calibri"/>
                <w:color w:val="000000"/>
              </w:rPr>
            </w:pPr>
            <w:r w:rsidRPr="00C46F89">
              <w:rPr>
                <w:rFonts w:cs="Calibri"/>
                <w:color w:val="000000"/>
              </w:rPr>
              <w:t>1%</w:t>
            </w:r>
          </w:p>
        </w:tc>
        <w:tc>
          <w:tcPr>
            <w:tcW w:w="720" w:type="dxa"/>
            <w:tcBorders>
              <w:top w:val="nil"/>
              <w:left w:val="nil"/>
              <w:bottom w:val="nil"/>
              <w:right w:val="nil"/>
            </w:tcBorders>
            <w:shd w:val="clear" w:color="auto" w:fill="auto"/>
            <w:noWrap/>
            <w:vAlign w:val="bottom"/>
            <w:hideMark/>
          </w:tcPr>
          <w:p w14:paraId="07D1BEF0" w14:textId="77777777" w:rsidR="00C46F89" w:rsidRPr="00C46F89" w:rsidRDefault="00C46F89" w:rsidP="005A1275">
            <w:pPr>
              <w:keepNext/>
              <w:keepLines/>
              <w:jc w:val="right"/>
              <w:rPr>
                <w:rFonts w:cs="Calibri"/>
                <w:color w:val="000000"/>
              </w:rPr>
            </w:pPr>
            <w:r w:rsidRPr="00C46F89">
              <w:rPr>
                <w:rFonts w:cs="Calibri"/>
                <w:color w:val="000000"/>
              </w:rPr>
              <w:t>1%</w:t>
            </w:r>
          </w:p>
        </w:tc>
        <w:tc>
          <w:tcPr>
            <w:tcW w:w="720" w:type="dxa"/>
            <w:tcBorders>
              <w:top w:val="nil"/>
              <w:left w:val="nil"/>
              <w:bottom w:val="nil"/>
              <w:right w:val="nil"/>
            </w:tcBorders>
            <w:shd w:val="clear" w:color="auto" w:fill="auto"/>
            <w:noWrap/>
            <w:vAlign w:val="bottom"/>
            <w:hideMark/>
          </w:tcPr>
          <w:p w14:paraId="1496AE6B" w14:textId="77777777" w:rsidR="00C46F89" w:rsidRPr="00C46F89" w:rsidRDefault="00C46F89" w:rsidP="005A1275">
            <w:pPr>
              <w:keepNext/>
              <w:keepLines/>
              <w:jc w:val="right"/>
              <w:rPr>
                <w:rFonts w:cs="Calibri"/>
                <w:color w:val="000000"/>
              </w:rPr>
            </w:pPr>
            <w:r w:rsidRPr="00C46F89">
              <w:rPr>
                <w:rFonts w:cs="Calibri"/>
                <w:color w:val="000000"/>
              </w:rPr>
              <w:t>1%</w:t>
            </w:r>
          </w:p>
        </w:tc>
        <w:tc>
          <w:tcPr>
            <w:tcW w:w="720" w:type="dxa"/>
            <w:tcBorders>
              <w:top w:val="nil"/>
              <w:left w:val="nil"/>
              <w:bottom w:val="nil"/>
              <w:right w:val="nil"/>
            </w:tcBorders>
            <w:shd w:val="clear" w:color="auto" w:fill="auto"/>
            <w:noWrap/>
            <w:vAlign w:val="bottom"/>
            <w:hideMark/>
          </w:tcPr>
          <w:p w14:paraId="73ADFF4E" w14:textId="77777777" w:rsidR="00C46F89" w:rsidRPr="00C46F89" w:rsidRDefault="00C46F89" w:rsidP="005A1275">
            <w:pPr>
              <w:keepNext/>
              <w:keepLines/>
              <w:jc w:val="right"/>
              <w:rPr>
                <w:rFonts w:cs="Calibri"/>
                <w:color w:val="000000"/>
              </w:rPr>
            </w:pPr>
            <w:r w:rsidRPr="00C46F89">
              <w:rPr>
                <w:rFonts w:cs="Calibri"/>
                <w:color w:val="000000"/>
              </w:rPr>
              <w:t>1%</w:t>
            </w:r>
          </w:p>
        </w:tc>
        <w:tc>
          <w:tcPr>
            <w:tcW w:w="288" w:type="dxa"/>
            <w:tcBorders>
              <w:top w:val="nil"/>
              <w:left w:val="nil"/>
              <w:bottom w:val="nil"/>
              <w:right w:val="nil"/>
            </w:tcBorders>
            <w:shd w:val="clear" w:color="auto" w:fill="auto"/>
            <w:noWrap/>
            <w:vAlign w:val="bottom"/>
            <w:hideMark/>
          </w:tcPr>
          <w:p w14:paraId="75285BA1" w14:textId="77777777" w:rsidR="00C46F89" w:rsidRPr="00C46F89" w:rsidRDefault="00C46F89" w:rsidP="005A1275">
            <w:pPr>
              <w:keepNext/>
              <w:keepLines/>
              <w:jc w:val="right"/>
              <w:rPr>
                <w:rFonts w:cs="Calibri"/>
                <w:color w:val="000000"/>
              </w:rPr>
            </w:pPr>
          </w:p>
        </w:tc>
        <w:tc>
          <w:tcPr>
            <w:tcW w:w="720" w:type="dxa"/>
            <w:tcBorders>
              <w:top w:val="nil"/>
              <w:left w:val="nil"/>
              <w:bottom w:val="nil"/>
              <w:right w:val="single" w:sz="8" w:space="0" w:color="auto"/>
            </w:tcBorders>
            <w:shd w:val="clear" w:color="auto" w:fill="auto"/>
            <w:noWrap/>
            <w:vAlign w:val="bottom"/>
            <w:hideMark/>
          </w:tcPr>
          <w:p w14:paraId="285018EA" w14:textId="77777777" w:rsidR="00C46F89" w:rsidRPr="00C46F89" w:rsidRDefault="00C46F89" w:rsidP="005A1275">
            <w:pPr>
              <w:keepNext/>
              <w:keepLines/>
              <w:jc w:val="right"/>
              <w:rPr>
                <w:rFonts w:cs="Calibri"/>
                <w:color w:val="000000"/>
              </w:rPr>
            </w:pPr>
            <w:r w:rsidRPr="00C46F89">
              <w:rPr>
                <w:rFonts w:cs="Calibri"/>
                <w:color w:val="000000"/>
              </w:rPr>
              <w:t>1%</w:t>
            </w:r>
          </w:p>
        </w:tc>
      </w:tr>
      <w:tr w:rsidR="00C46F89" w:rsidRPr="00C46F89" w14:paraId="727F2F1D" w14:textId="77777777" w:rsidTr="00C46F89">
        <w:trPr>
          <w:trHeight w:val="300"/>
        </w:trPr>
        <w:tc>
          <w:tcPr>
            <w:tcW w:w="1728" w:type="dxa"/>
            <w:tcBorders>
              <w:top w:val="nil"/>
              <w:left w:val="single" w:sz="8" w:space="0" w:color="auto"/>
              <w:bottom w:val="nil"/>
              <w:right w:val="nil"/>
            </w:tcBorders>
            <w:shd w:val="clear" w:color="auto" w:fill="auto"/>
            <w:noWrap/>
            <w:vAlign w:val="bottom"/>
            <w:hideMark/>
          </w:tcPr>
          <w:p w14:paraId="4673CCF5" w14:textId="77777777" w:rsidR="00C46F89" w:rsidRPr="00C46F89" w:rsidRDefault="00C46F89" w:rsidP="005A1275">
            <w:pPr>
              <w:keepNext/>
              <w:keepLines/>
              <w:jc w:val="left"/>
              <w:rPr>
                <w:rFonts w:cs="Calibri"/>
                <w:color w:val="000000"/>
              </w:rPr>
            </w:pPr>
            <w:r w:rsidRPr="00C46F89">
              <w:rPr>
                <w:rFonts w:cs="Calibri"/>
                <w:color w:val="000000"/>
              </w:rPr>
              <w:t>Solar</w:t>
            </w:r>
          </w:p>
        </w:tc>
        <w:tc>
          <w:tcPr>
            <w:tcW w:w="720" w:type="dxa"/>
            <w:tcBorders>
              <w:top w:val="nil"/>
              <w:left w:val="nil"/>
              <w:bottom w:val="nil"/>
              <w:right w:val="nil"/>
            </w:tcBorders>
            <w:shd w:val="clear" w:color="auto" w:fill="auto"/>
            <w:noWrap/>
            <w:vAlign w:val="bottom"/>
            <w:hideMark/>
          </w:tcPr>
          <w:p w14:paraId="638A9E4E" w14:textId="77777777" w:rsidR="00C46F89" w:rsidRPr="00C46F89" w:rsidRDefault="00C46F89" w:rsidP="005A1275">
            <w:pPr>
              <w:keepNext/>
              <w:keepLines/>
              <w:jc w:val="right"/>
              <w:rPr>
                <w:rFonts w:cs="Calibri"/>
                <w:color w:val="000000"/>
              </w:rPr>
            </w:pPr>
            <w:r w:rsidRPr="00C46F89">
              <w:rPr>
                <w:rFonts w:cs="Calibri"/>
                <w:color w:val="000000"/>
              </w:rPr>
              <w:t>60%</w:t>
            </w:r>
          </w:p>
        </w:tc>
        <w:tc>
          <w:tcPr>
            <w:tcW w:w="720" w:type="dxa"/>
            <w:tcBorders>
              <w:top w:val="nil"/>
              <w:left w:val="nil"/>
              <w:bottom w:val="nil"/>
              <w:right w:val="nil"/>
            </w:tcBorders>
            <w:shd w:val="clear" w:color="auto" w:fill="auto"/>
            <w:noWrap/>
            <w:vAlign w:val="bottom"/>
            <w:hideMark/>
          </w:tcPr>
          <w:p w14:paraId="57E8053B" w14:textId="77777777" w:rsidR="00C46F89" w:rsidRPr="00C46F89" w:rsidRDefault="00C46F89" w:rsidP="005A1275">
            <w:pPr>
              <w:keepNext/>
              <w:keepLines/>
              <w:jc w:val="right"/>
              <w:rPr>
                <w:rFonts w:cs="Calibri"/>
                <w:color w:val="000000"/>
              </w:rPr>
            </w:pPr>
            <w:r w:rsidRPr="00C46F89">
              <w:rPr>
                <w:rFonts w:cs="Calibri"/>
                <w:color w:val="000000"/>
              </w:rPr>
              <w:t>15%</w:t>
            </w:r>
          </w:p>
        </w:tc>
        <w:tc>
          <w:tcPr>
            <w:tcW w:w="720" w:type="dxa"/>
            <w:tcBorders>
              <w:top w:val="nil"/>
              <w:left w:val="nil"/>
              <w:bottom w:val="nil"/>
              <w:right w:val="nil"/>
            </w:tcBorders>
            <w:shd w:val="clear" w:color="auto" w:fill="auto"/>
            <w:noWrap/>
            <w:vAlign w:val="bottom"/>
            <w:hideMark/>
          </w:tcPr>
          <w:p w14:paraId="7B1D7BAD" w14:textId="77777777" w:rsidR="00C46F89" w:rsidRPr="00C46F89" w:rsidRDefault="00C46F89" w:rsidP="005A1275">
            <w:pPr>
              <w:keepNext/>
              <w:keepLines/>
              <w:jc w:val="right"/>
              <w:rPr>
                <w:rFonts w:cs="Calibri"/>
                <w:color w:val="000000"/>
              </w:rPr>
            </w:pPr>
            <w:r w:rsidRPr="00C46F89">
              <w:rPr>
                <w:rFonts w:cs="Calibri"/>
                <w:color w:val="000000"/>
              </w:rPr>
              <w:t>9%</w:t>
            </w:r>
          </w:p>
        </w:tc>
        <w:tc>
          <w:tcPr>
            <w:tcW w:w="720" w:type="dxa"/>
            <w:tcBorders>
              <w:top w:val="nil"/>
              <w:left w:val="nil"/>
              <w:bottom w:val="nil"/>
              <w:right w:val="nil"/>
            </w:tcBorders>
            <w:shd w:val="clear" w:color="auto" w:fill="auto"/>
            <w:noWrap/>
            <w:vAlign w:val="bottom"/>
            <w:hideMark/>
          </w:tcPr>
          <w:p w14:paraId="351E947C" w14:textId="77777777" w:rsidR="00C46F89" w:rsidRPr="00C46F89" w:rsidRDefault="00C46F89" w:rsidP="005A1275">
            <w:pPr>
              <w:keepNext/>
              <w:keepLines/>
              <w:jc w:val="right"/>
              <w:rPr>
                <w:rFonts w:cs="Calibri"/>
                <w:color w:val="000000"/>
              </w:rPr>
            </w:pPr>
            <w:r w:rsidRPr="00C46F89">
              <w:rPr>
                <w:rFonts w:cs="Calibri"/>
                <w:color w:val="000000"/>
              </w:rPr>
              <w:t>6%</w:t>
            </w:r>
          </w:p>
        </w:tc>
        <w:tc>
          <w:tcPr>
            <w:tcW w:w="720" w:type="dxa"/>
            <w:tcBorders>
              <w:top w:val="nil"/>
              <w:left w:val="nil"/>
              <w:bottom w:val="nil"/>
              <w:right w:val="nil"/>
            </w:tcBorders>
            <w:shd w:val="clear" w:color="auto" w:fill="auto"/>
            <w:noWrap/>
            <w:vAlign w:val="bottom"/>
            <w:hideMark/>
          </w:tcPr>
          <w:p w14:paraId="71331D9B" w14:textId="77777777" w:rsidR="00C46F89" w:rsidRPr="00C46F89" w:rsidRDefault="00C46F89" w:rsidP="005A1275">
            <w:pPr>
              <w:keepNext/>
              <w:keepLines/>
              <w:jc w:val="right"/>
              <w:rPr>
                <w:rFonts w:cs="Calibri"/>
                <w:color w:val="000000"/>
              </w:rPr>
            </w:pPr>
            <w:r w:rsidRPr="00C46F89">
              <w:rPr>
                <w:rFonts w:cs="Calibri"/>
                <w:color w:val="000000"/>
              </w:rPr>
              <w:t>5%</w:t>
            </w:r>
          </w:p>
        </w:tc>
        <w:tc>
          <w:tcPr>
            <w:tcW w:w="720" w:type="dxa"/>
            <w:tcBorders>
              <w:top w:val="nil"/>
              <w:left w:val="nil"/>
              <w:bottom w:val="nil"/>
              <w:right w:val="nil"/>
            </w:tcBorders>
            <w:shd w:val="clear" w:color="auto" w:fill="auto"/>
            <w:noWrap/>
            <w:vAlign w:val="bottom"/>
            <w:hideMark/>
          </w:tcPr>
          <w:p w14:paraId="5103A4DD" w14:textId="77777777" w:rsidR="00C46F89" w:rsidRPr="00C46F89" w:rsidRDefault="00C46F89" w:rsidP="005A1275">
            <w:pPr>
              <w:keepNext/>
              <w:keepLines/>
              <w:jc w:val="right"/>
              <w:rPr>
                <w:rFonts w:cs="Calibri"/>
                <w:color w:val="000000"/>
              </w:rPr>
            </w:pPr>
            <w:r w:rsidRPr="00C46F89">
              <w:rPr>
                <w:rFonts w:cs="Calibri"/>
                <w:color w:val="000000"/>
              </w:rPr>
              <w:t>5%</w:t>
            </w:r>
          </w:p>
        </w:tc>
        <w:tc>
          <w:tcPr>
            <w:tcW w:w="720" w:type="dxa"/>
            <w:tcBorders>
              <w:top w:val="nil"/>
              <w:left w:val="nil"/>
              <w:bottom w:val="nil"/>
              <w:right w:val="nil"/>
            </w:tcBorders>
            <w:shd w:val="clear" w:color="auto" w:fill="auto"/>
            <w:noWrap/>
            <w:vAlign w:val="bottom"/>
            <w:hideMark/>
          </w:tcPr>
          <w:p w14:paraId="13D89F4F" w14:textId="77777777" w:rsidR="00C46F89" w:rsidRPr="00C46F89" w:rsidRDefault="00C46F89" w:rsidP="005A1275">
            <w:pPr>
              <w:keepNext/>
              <w:keepLines/>
              <w:jc w:val="right"/>
              <w:rPr>
                <w:rFonts w:cs="Calibri"/>
                <w:color w:val="000000"/>
              </w:rPr>
            </w:pPr>
            <w:r w:rsidRPr="00C46F89">
              <w:rPr>
                <w:rFonts w:cs="Calibri"/>
                <w:color w:val="000000"/>
              </w:rPr>
              <w:t>4%</w:t>
            </w:r>
          </w:p>
        </w:tc>
        <w:tc>
          <w:tcPr>
            <w:tcW w:w="720" w:type="dxa"/>
            <w:tcBorders>
              <w:top w:val="nil"/>
              <w:left w:val="nil"/>
              <w:bottom w:val="nil"/>
              <w:right w:val="nil"/>
            </w:tcBorders>
            <w:shd w:val="clear" w:color="auto" w:fill="auto"/>
            <w:noWrap/>
            <w:vAlign w:val="bottom"/>
            <w:hideMark/>
          </w:tcPr>
          <w:p w14:paraId="78645830" w14:textId="77777777" w:rsidR="00C46F89" w:rsidRPr="00C46F89" w:rsidRDefault="00C46F89" w:rsidP="005A1275">
            <w:pPr>
              <w:keepNext/>
              <w:keepLines/>
              <w:jc w:val="right"/>
              <w:rPr>
                <w:rFonts w:cs="Calibri"/>
                <w:color w:val="000000"/>
              </w:rPr>
            </w:pPr>
            <w:r w:rsidRPr="00C46F89">
              <w:rPr>
                <w:rFonts w:cs="Calibri"/>
                <w:color w:val="000000"/>
              </w:rPr>
              <w:t>4%</w:t>
            </w:r>
          </w:p>
        </w:tc>
        <w:tc>
          <w:tcPr>
            <w:tcW w:w="720" w:type="dxa"/>
            <w:tcBorders>
              <w:top w:val="nil"/>
              <w:left w:val="nil"/>
              <w:bottom w:val="nil"/>
              <w:right w:val="nil"/>
            </w:tcBorders>
            <w:shd w:val="clear" w:color="auto" w:fill="auto"/>
            <w:noWrap/>
            <w:vAlign w:val="bottom"/>
            <w:hideMark/>
          </w:tcPr>
          <w:p w14:paraId="3C981602" w14:textId="77777777" w:rsidR="00C46F89" w:rsidRPr="00C46F89" w:rsidRDefault="00C46F89" w:rsidP="005A1275">
            <w:pPr>
              <w:keepNext/>
              <w:keepLines/>
              <w:jc w:val="right"/>
              <w:rPr>
                <w:rFonts w:cs="Calibri"/>
                <w:color w:val="000000"/>
              </w:rPr>
            </w:pPr>
            <w:r w:rsidRPr="00C46F89">
              <w:rPr>
                <w:rFonts w:cs="Calibri"/>
                <w:color w:val="000000"/>
              </w:rPr>
              <w:t>3%</w:t>
            </w:r>
          </w:p>
        </w:tc>
        <w:tc>
          <w:tcPr>
            <w:tcW w:w="720" w:type="dxa"/>
            <w:tcBorders>
              <w:top w:val="nil"/>
              <w:left w:val="nil"/>
              <w:bottom w:val="nil"/>
              <w:right w:val="nil"/>
            </w:tcBorders>
            <w:shd w:val="clear" w:color="auto" w:fill="auto"/>
            <w:noWrap/>
            <w:vAlign w:val="bottom"/>
            <w:hideMark/>
          </w:tcPr>
          <w:p w14:paraId="31912C36" w14:textId="77777777" w:rsidR="00C46F89" w:rsidRPr="00C46F89" w:rsidRDefault="00C46F89" w:rsidP="005A1275">
            <w:pPr>
              <w:keepNext/>
              <w:keepLines/>
              <w:jc w:val="right"/>
              <w:rPr>
                <w:rFonts w:cs="Calibri"/>
                <w:color w:val="000000"/>
              </w:rPr>
            </w:pPr>
            <w:r w:rsidRPr="00C46F89">
              <w:rPr>
                <w:rFonts w:cs="Calibri"/>
                <w:color w:val="000000"/>
              </w:rPr>
              <w:t>3%</w:t>
            </w:r>
          </w:p>
        </w:tc>
        <w:tc>
          <w:tcPr>
            <w:tcW w:w="288" w:type="dxa"/>
            <w:tcBorders>
              <w:top w:val="nil"/>
              <w:left w:val="nil"/>
              <w:bottom w:val="nil"/>
              <w:right w:val="nil"/>
            </w:tcBorders>
            <w:shd w:val="clear" w:color="auto" w:fill="auto"/>
            <w:noWrap/>
            <w:vAlign w:val="bottom"/>
            <w:hideMark/>
          </w:tcPr>
          <w:p w14:paraId="2959D328" w14:textId="77777777" w:rsidR="00C46F89" w:rsidRPr="00C46F89" w:rsidRDefault="00C46F89" w:rsidP="005A1275">
            <w:pPr>
              <w:keepNext/>
              <w:keepLines/>
              <w:jc w:val="right"/>
              <w:rPr>
                <w:rFonts w:cs="Calibri"/>
                <w:color w:val="000000"/>
              </w:rPr>
            </w:pPr>
          </w:p>
        </w:tc>
        <w:tc>
          <w:tcPr>
            <w:tcW w:w="720" w:type="dxa"/>
            <w:tcBorders>
              <w:top w:val="nil"/>
              <w:left w:val="nil"/>
              <w:bottom w:val="nil"/>
              <w:right w:val="single" w:sz="8" w:space="0" w:color="auto"/>
            </w:tcBorders>
            <w:shd w:val="clear" w:color="auto" w:fill="auto"/>
            <w:noWrap/>
            <w:vAlign w:val="bottom"/>
            <w:hideMark/>
          </w:tcPr>
          <w:p w14:paraId="76068091" w14:textId="77777777" w:rsidR="00C46F89" w:rsidRPr="00C46F89" w:rsidRDefault="00C46F89" w:rsidP="005A1275">
            <w:pPr>
              <w:keepNext/>
              <w:keepLines/>
              <w:jc w:val="right"/>
              <w:rPr>
                <w:rFonts w:cs="Calibri"/>
                <w:color w:val="000000"/>
              </w:rPr>
            </w:pPr>
            <w:r w:rsidRPr="00C46F89">
              <w:rPr>
                <w:rFonts w:cs="Calibri"/>
                <w:color w:val="000000"/>
              </w:rPr>
              <w:t>3%</w:t>
            </w:r>
          </w:p>
        </w:tc>
      </w:tr>
      <w:tr w:rsidR="00C46F89" w:rsidRPr="00C46F89" w14:paraId="72C6A1F2" w14:textId="77777777" w:rsidTr="00C46F89">
        <w:trPr>
          <w:trHeight w:val="300"/>
        </w:trPr>
        <w:tc>
          <w:tcPr>
            <w:tcW w:w="1728" w:type="dxa"/>
            <w:tcBorders>
              <w:top w:val="nil"/>
              <w:left w:val="single" w:sz="8" w:space="0" w:color="auto"/>
              <w:bottom w:val="nil"/>
              <w:right w:val="nil"/>
            </w:tcBorders>
            <w:shd w:val="clear" w:color="auto" w:fill="auto"/>
            <w:noWrap/>
            <w:vAlign w:val="bottom"/>
            <w:hideMark/>
          </w:tcPr>
          <w:p w14:paraId="143F4FDE" w14:textId="77777777" w:rsidR="00C46F89" w:rsidRPr="00C46F89" w:rsidRDefault="00C46F89" w:rsidP="005A1275">
            <w:pPr>
              <w:keepNext/>
              <w:keepLines/>
              <w:jc w:val="left"/>
              <w:rPr>
                <w:rFonts w:cs="Calibri"/>
                <w:color w:val="000000"/>
              </w:rPr>
            </w:pPr>
            <w:r w:rsidRPr="00C46F89">
              <w:rPr>
                <w:rFonts w:cs="Calibri"/>
                <w:color w:val="000000"/>
              </w:rPr>
              <w:t>Steel Manufacturing</w:t>
            </w:r>
          </w:p>
        </w:tc>
        <w:tc>
          <w:tcPr>
            <w:tcW w:w="720" w:type="dxa"/>
            <w:tcBorders>
              <w:top w:val="nil"/>
              <w:left w:val="nil"/>
              <w:bottom w:val="nil"/>
              <w:right w:val="nil"/>
            </w:tcBorders>
            <w:shd w:val="clear" w:color="auto" w:fill="auto"/>
            <w:noWrap/>
            <w:vAlign w:val="bottom"/>
            <w:hideMark/>
          </w:tcPr>
          <w:p w14:paraId="5BE7B384" w14:textId="77777777" w:rsidR="00C46F89" w:rsidRPr="00C46F89" w:rsidRDefault="00C46F89" w:rsidP="005A1275">
            <w:pPr>
              <w:keepNext/>
              <w:keepLines/>
              <w:jc w:val="right"/>
              <w:rPr>
                <w:rFonts w:cs="Calibri"/>
                <w:color w:val="000000"/>
              </w:rPr>
            </w:pPr>
            <w:r w:rsidRPr="00C46F89">
              <w:rPr>
                <w:rFonts w:cs="Calibri"/>
                <w:color w:val="000000"/>
              </w:rPr>
              <w:t>0%</w:t>
            </w:r>
          </w:p>
        </w:tc>
        <w:tc>
          <w:tcPr>
            <w:tcW w:w="720" w:type="dxa"/>
            <w:tcBorders>
              <w:top w:val="nil"/>
              <w:left w:val="nil"/>
              <w:bottom w:val="nil"/>
              <w:right w:val="nil"/>
            </w:tcBorders>
            <w:shd w:val="clear" w:color="auto" w:fill="auto"/>
            <w:noWrap/>
            <w:vAlign w:val="bottom"/>
            <w:hideMark/>
          </w:tcPr>
          <w:p w14:paraId="62DEADCF" w14:textId="77777777" w:rsidR="00C46F89" w:rsidRPr="00C46F89" w:rsidRDefault="00C46F89" w:rsidP="005A1275">
            <w:pPr>
              <w:keepNext/>
              <w:keepLines/>
              <w:jc w:val="right"/>
              <w:rPr>
                <w:rFonts w:cs="Calibri"/>
                <w:color w:val="000000"/>
              </w:rPr>
            </w:pPr>
            <w:r w:rsidRPr="00C46F89">
              <w:rPr>
                <w:rFonts w:cs="Calibri"/>
                <w:color w:val="000000"/>
              </w:rPr>
              <w:t>0%</w:t>
            </w:r>
          </w:p>
        </w:tc>
        <w:tc>
          <w:tcPr>
            <w:tcW w:w="720" w:type="dxa"/>
            <w:tcBorders>
              <w:top w:val="nil"/>
              <w:left w:val="nil"/>
              <w:bottom w:val="nil"/>
              <w:right w:val="nil"/>
            </w:tcBorders>
            <w:shd w:val="clear" w:color="auto" w:fill="auto"/>
            <w:noWrap/>
            <w:vAlign w:val="bottom"/>
            <w:hideMark/>
          </w:tcPr>
          <w:p w14:paraId="13BEDCC2" w14:textId="77777777" w:rsidR="00C46F89" w:rsidRPr="00C46F89" w:rsidRDefault="00C46F89" w:rsidP="005A1275">
            <w:pPr>
              <w:keepNext/>
              <w:keepLines/>
              <w:jc w:val="right"/>
              <w:rPr>
                <w:rFonts w:cs="Calibri"/>
                <w:color w:val="000000"/>
              </w:rPr>
            </w:pPr>
            <w:r w:rsidRPr="00C46F89">
              <w:rPr>
                <w:rFonts w:cs="Calibri"/>
                <w:color w:val="000000"/>
              </w:rPr>
              <w:t>0%</w:t>
            </w:r>
          </w:p>
        </w:tc>
        <w:tc>
          <w:tcPr>
            <w:tcW w:w="720" w:type="dxa"/>
            <w:tcBorders>
              <w:top w:val="nil"/>
              <w:left w:val="nil"/>
              <w:bottom w:val="nil"/>
              <w:right w:val="nil"/>
            </w:tcBorders>
            <w:shd w:val="clear" w:color="auto" w:fill="auto"/>
            <w:noWrap/>
            <w:vAlign w:val="bottom"/>
            <w:hideMark/>
          </w:tcPr>
          <w:p w14:paraId="1C27A9F0" w14:textId="77777777" w:rsidR="00C46F89" w:rsidRPr="00C46F89" w:rsidRDefault="00C46F89" w:rsidP="005A1275">
            <w:pPr>
              <w:keepNext/>
              <w:keepLines/>
              <w:jc w:val="right"/>
              <w:rPr>
                <w:rFonts w:cs="Calibri"/>
                <w:color w:val="000000"/>
              </w:rPr>
            </w:pPr>
            <w:r w:rsidRPr="00C46F89">
              <w:rPr>
                <w:rFonts w:cs="Calibri"/>
                <w:color w:val="000000"/>
              </w:rPr>
              <w:t>9%</w:t>
            </w:r>
          </w:p>
        </w:tc>
        <w:tc>
          <w:tcPr>
            <w:tcW w:w="720" w:type="dxa"/>
            <w:tcBorders>
              <w:top w:val="nil"/>
              <w:left w:val="nil"/>
              <w:bottom w:val="nil"/>
              <w:right w:val="nil"/>
            </w:tcBorders>
            <w:shd w:val="clear" w:color="auto" w:fill="auto"/>
            <w:noWrap/>
            <w:vAlign w:val="bottom"/>
            <w:hideMark/>
          </w:tcPr>
          <w:p w14:paraId="38AF1D27" w14:textId="77777777" w:rsidR="00C46F89" w:rsidRPr="00C46F89" w:rsidRDefault="00C46F89" w:rsidP="005A1275">
            <w:pPr>
              <w:keepNext/>
              <w:keepLines/>
              <w:jc w:val="right"/>
              <w:rPr>
                <w:rFonts w:cs="Calibri"/>
                <w:color w:val="000000"/>
              </w:rPr>
            </w:pPr>
            <w:r w:rsidRPr="00C46F89">
              <w:rPr>
                <w:rFonts w:cs="Calibri"/>
                <w:color w:val="000000"/>
              </w:rPr>
              <w:t>7%</w:t>
            </w:r>
          </w:p>
        </w:tc>
        <w:tc>
          <w:tcPr>
            <w:tcW w:w="720" w:type="dxa"/>
            <w:tcBorders>
              <w:top w:val="nil"/>
              <w:left w:val="nil"/>
              <w:bottom w:val="nil"/>
              <w:right w:val="nil"/>
            </w:tcBorders>
            <w:shd w:val="clear" w:color="auto" w:fill="auto"/>
            <w:noWrap/>
            <w:vAlign w:val="bottom"/>
            <w:hideMark/>
          </w:tcPr>
          <w:p w14:paraId="30FE2727" w14:textId="77777777" w:rsidR="00C46F89" w:rsidRPr="00C46F89" w:rsidRDefault="00C46F89" w:rsidP="005A1275">
            <w:pPr>
              <w:keepNext/>
              <w:keepLines/>
              <w:jc w:val="right"/>
              <w:rPr>
                <w:rFonts w:cs="Calibri"/>
                <w:color w:val="000000"/>
              </w:rPr>
            </w:pPr>
            <w:r w:rsidRPr="00C46F89">
              <w:rPr>
                <w:rFonts w:cs="Calibri"/>
                <w:color w:val="000000"/>
              </w:rPr>
              <w:t>7%</w:t>
            </w:r>
          </w:p>
        </w:tc>
        <w:tc>
          <w:tcPr>
            <w:tcW w:w="720" w:type="dxa"/>
            <w:tcBorders>
              <w:top w:val="nil"/>
              <w:left w:val="nil"/>
              <w:bottom w:val="nil"/>
              <w:right w:val="nil"/>
            </w:tcBorders>
            <w:shd w:val="clear" w:color="auto" w:fill="auto"/>
            <w:noWrap/>
            <w:vAlign w:val="bottom"/>
            <w:hideMark/>
          </w:tcPr>
          <w:p w14:paraId="2130CFAC" w14:textId="77777777" w:rsidR="00C46F89" w:rsidRPr="00C46F89" w:rsidRDefault="00C46F89" w:rsidP="005A1275">
            <w:pPr>
              <w:keepNext/>
              <w:keepLines/>
              <w:jc w:val="right"/>
              <w:rPr>
                <w:rFonts w:cs="Calibri"/>
                <w:color w:val="000000"/>
              </w:rPr>
            </w:pPr>
            <w:r w:rsidRPr="00C46F89">
              <w:rPr>
                <w:rFonts w:cs="Calibri"/>
                <w:color w:val="000000"/>
              </w:rPr>
              <w:t>8%</w:t>
            </w:r>
          </w:p>
        </w:tc>
        <w:tc>
          <w:tcPr>
            <w:tcW w:w="720" w:type="dxa"/>
            <w:tcBorders>
              <w:top w:val="nil"/>
              <w:left w:val="nil"/>
              <w:bottom w:val="nil"/>
              <w:right w:val="nil"/>
            </w:tcBorders>
            <w:shd w:val="clear" w:color="auto" w:fill="auto"/>
            <w:noWrap/>
            <w:vAlign w:val="bottom"/>
            <w:hideMark/>
          </w:tcPr>
          <w:p w14:paraId="689BBE6B" w14:textId="77777777" w:rsidR="00C46F89" w:rsidRPr="00C46F89" w:rsidRDefault="00C46F89" w:rsidP="005A1275">
            <w:pPr>
              <w:keepNext/>
              <w:keepLines/>
              <w:jc w:val="right"/>
              <w:rPr>
                <w:rFonts w:cs="Calibri"/>
                <w:color w:val="000000"/>
              </w:rPr>
            </w:pPr>
            <w:r w:rsidRPr="00C46F89">
              <w:rPr>
                <w:rFonts w:cs="Calibri"/>
                <w:color w:val="000000"/>
              </w:rPr>
              <w:t>11%</w:t>
            </w:r>
          </w:p>
        </w:tc>
        <w:tc>
          <w:tcPr>
            <w:tcW w:w="720" w:type="dxa"/>
            <w:tcBorders>
              <w:top w:val="nil"/>
              <w:left w:val="nil"/>
              <w:bottom w:val="nil"/>
              <w:right w:val="nil"/>
            </w:tcBorders>
            <w:shd w:val="clear" w:color="auto" w:fill="auto"/>
            <w:noWrap/>
            <w:vAlign w:val="bottom"/>
            <w:hideMark/>
          </w:tcPr>
          <w:p w14:paraId="39E4ECE8" w14:textId="77777777" w:rsidR="00C46F89" w:rsidRPr="00C46F89" w:rsidRDefault="00C46F89" w:rsidP="005A1275">
            <w:pPr>
              <w:keepNext/>
              <w:keepLines/>
              <w:jc w:val="right"/>
              <w:rPr>
                <w:rFonts w:cs="Calibri"/>
                <w:color w:val="000000"/>
              </w:rPr>
            </w:pPr>
            <w:r w:rsidRPr="00C46F89">
              <w:rPr>
                <w:rFonts w:cs="Calibri"/>
                <w:color w:val="000000"/>
              </w:rPr>
              <w:t>10%</w:t>
            </w:r>
          </w:p>
        </w:tc>
        <w:tc>
          <w:tcPr>
            <w:tcW w:w="720" w:type="dxa"/>
            <w:tcBorders>
              <w:top w:val="nil"/>
              <w:left w:val="nil"/>
              <w:bottom w:val="nil"/>
              <w:right w:val="nil"/>
            </w:tcBorders>
            <w:shd w:val="clear" w:color="auto" w:fill="auto"/>
            <w:noWrap/>
            <w:vAlign w:val="bottom"/>
            <w:hideMark/>
          </w:tcPr>
          <w:p w14:paraId="1E61588D" w14:textId="77777777" w:rsidR="00C46F89" w:rsidRPr="00C46F89" w:rsidRDefault="00C46F89" w:rsidP="005A1275">
            <w:pPr>
              <w:keepNext/>
              <w:keepLines/>
              <w:jc w:val="right"/>
              <w:rPr>
                <w:rFonts w:cs="Calibri"/>
                <w:color w:val="000000"/>
              </w:rPr>
            </w:pPr>
            <w:r w:rsidRPr="00C46F89">
              <w:rPr>
                <w:rFonts w:cs="Calibri"/>
                <w:color w:val="000000"/>
              </w:rPr>
              <w:t>10%</w:t>
            </w:r>
          </w:p>
        </w:tc>
        <w:tc>
          <w:tcPr>
            <w:tcW w:w="288" w:type="dxa"/>
            <w:tcBorders>
              <w:top w:val="nil"/>
              <w:left w:val="nil"/>
              <w:bottom w:val="nil"/>
              <w:right w:val="nil"/>
            </w:tcBorders>
            <w:shd w:val="clear" w:color="auto" w:fill="auto"/>
            <w:noWrap/>
            <w:vAlign w:val="bottom"/>
            <w:hideMark/>
          </w:tcPr>
          <w:p w14:paraId="178ECBA7" w14:textId="77777777" w:rsidR="00C46F89" w:rsidRPr="00C46F89" w:rsidRDefault="00C46F89" w:rsidP="005A1275">
            <w:pPr>
              <w:keepNext/>
              <w:keepLines/>
              <w:jc w:val="right"/>
              <w:rPr>
                <w:rFonts w:cs="Calibri"/>
                <w:color w:val="000000"/>
              </w:rPr>
            </w:pPr>
          </w:p>
        </w:tc>
        <w:tc>
          <w:tcPr>
            <w:tcW w:w="720" w:type="dxa"/>
            <w:tcBorders>
              <w:top w:val="nil"/>
              <w:left w:val="nil"/>
              <w:bottom w:val="nil"/>
              <w:right w:val="single" w:sz="8" w:space="0" w:color="auto"/>
            </w:tcBorders>
            <w:shd w:val="clear" w:color="auto" w:fill="auto"/>
            <w:noWrap/>
            <w:vAlign w:val="bottom"/>
            <w:hideMark/>
          </w:tcPr>
          <w:p w14:paraId="5C278282" w14:textId="77777777" w:rsidR="00C46F89" w:rsidRPr="00C46F89" w:rsidRDefault="00C46F89" w:rsidP="005A1275">
            <w:pPr>
              <w:keepNext/>
              <w:keepLines/>
              <w:jc w:val="right"/>
              <w:rPr>
                <w:rFonts w:cs="Calibri"/>
                <w:color w:val="000000"/>
              </w:rPr>
            </w:pPr>
            <w:r w:rsidRPr="00C46F89">
              <w:rPr>
                <w:rFonts w:cs="Calibri"/>
                <w:color w:val="000000"/>
              </w:rPr>
              <w:t>9%</w:t>
            </w:r>
          </w:p>
        </w:tc>
      </w:tr>
      <w:tr w:rsidR="00C46F89" w:rsidRPr="00C46F89" w14:paraId="46E70C64" w14:textId="77777777" w:rsidTr="00C46F89">
        <w:trPr>
          <w:trHeight w:val="300"/>
        </w:trPr>
        <w:tc>
          <w:tcPr>
            <w:tcW w:w="1728" w:type="dxa"/>
            <w:tcBorders>
              <w:top w:val="nil"/>
              <w:left w:val="single" w:sz="8" w:space="0" w:color="auto"/>
              <w:bottom w:val="nil"/>
              <w:right w:val="nil"/>
            </w:tcBorders>
            <w:shd w:val="clear" w:color="auto" w:fill="auto"/>
            <w:noWrap/>
            <w:vAlign w:val="bottom"/>
            <w:hideMark/>
          </w:tcPr>
          <w:p w14:paraId="493FB042" w14:textId="77777777" w:rsidR="00C46F89" w:rsidRPr="00C46F89" w:rsidRDefault="00C46F89" w:rsidP="005A1275">
            <w:pPr>
              <w:keepNext/>
              <w:keepLines/>
              <w:jc w:val="left"/>
              <w:rPr>
                <w:rFonts w:cs="Calibri"/>
                <w:color w:val="000000"/>
              </w:rPr>
            </w:pPr>
            <w:r w:rsidRPr="00C46F89">
              <w:rPr>
                <w:rFonts w:cs="Calibri"/>
                <w:color w:val="000000"/>
              </w:rPr>
              <w:t>Transportation</w:t>
            </w:r>
          </w:p>
        </w:tc>
        <w:tc>
          <w:tcPr>
            <w:tcW w:w="720" w:type="dxa"/>
            <w:tcBorders>
              <w:top w:val="nil"/>
              <w:left w:val="nil"/>
              <w:bottom w:val="nil"/>
              <w:right w:val="nil"/>
            </w:tcBorders>
            <w:shd w:val="clear" w:color="auto" w:fill="auto"/>
            <w:noWrap/>
            <w:vAlign w:val="bottom"/>
            <w:hideMark/>
          </w:tcPr>
          <w:p w14:paraId="2B59AAD2" w14:textId="77777777" w:rsidR="00C46F89" w:rsidRPr="00C46F89" w:rsidRDefault="00C46F89" w:rsidP="005A1275">
            <w:pPr>
              <w:keepNext/>
              <w:keepLines/>
              <w:jc w:val="right"/>
              <w:rPr>
                <w:rFonts w:cs="Calibri"/>
                <w:color w:val="000000"/>
              </w:rPr>
            </w:pPr>
            <w:r w:rsidRPr="00C46F89">
              <w:rPr>
                <w:rFonts w:cs="Calibri"/>
                <w:color w:val="000000"/>
              </w:rPr>
              <w:t>0%</w:t>
            </w:r>
          </w:p>
        </w:tc>
        <w:tc>
          <w:tcPr>
            <w:tcW w:w="720" w:type="dxa"/>
            <w:tcBorders>
              <w:top w:val="nil"/>
              <w:left w:val="nil"/>
              <w:bottom w:val="nil"/>
              <w:right w:val="nil"/>
            </w:tcBorders>
            <w:shd w:val="clear" w:color="auto" w:fill="auto"/>
            <w:noWrap/>
            <w:vAlign w:val="bottom"/>
            <w:hideMark/>
          </w:tcPr>
          <w:p w14:paraId="29FB01C6" w14:textId="77777777" w:rsidR="00C46F89" w:rsidRPr="00C46F89" w:rsidRDefault="00C46F89" w:rsidP="005A1275">
            <w:pPr>
              <w:keepNext/>
              <w:keepLines/>
              <w:jc w:val="right"/>
              <w:rPr>
                <w:rFonts w:cs="Calibri"/>
                <w:color w:val="000000"/>
              </w:rPr>
            </w:pPr>
            <w:r w:rsidRPr="00C46F89">
              <w:rPr>
                <w:rFonts w:cs="Calibri"/>
                <w:color w:val="000000"/>
              </w:rPr>
              <w:t>0%</w:t>
            </w:r>
          </w:p>
        </w:tc>
        <w:tc>
          <w:tcPr>
            <w:tcW w:w="720" w:type="dxa"/>
            <w:tcBorders>
              <w:top w:val="nil"/>
              <w:left w:val="nil"/>
              <w:bottom w:val="nil"/>
              <w:right w:val="nil"/>
            </w:tcBorders>
            <w:shd w:val="clear" w:color="auto" w:fill="auto"/>
            <w:noWrap/>
            <w:vAlign w:val="bottom"/>
            <w:hideMark/>
          </w:tcPr>
          <w:p w14:paraId="1D7FC759" w14:textId="77777777" w:rsidR="00C46F89" w:rsidRPr="00C46F89" w:rsidRDefault="00C46F89" w:rsidP="005A1275">
            <w:pPr>
              <w:keepNext/>
              <w:keepLines/>
              <w:jc w:val="right"/>
              <w:rPr>
                <w:rFonts w:cs="Calibri"/>
                <w:color w:val="000000"/>
              </w:rPr>
            </w:pPr>
            <w:r w:rsidRPr="00C46F89">
              <w:rPr>
                <w:rFonts w:cs="Calibri"/>
                <w:color w:val="000000"/>
              </w:rPr>
              <w:t>6%</w:t>
            </w:r>
          </w:p>
        </w:tc>
        <w:tc>
          <w:tcPr>
            <w:tcW w:w="720" w:type="dxa"/>
            <w:tcBorders>
              <w:top w:val="nil"/>
              <w:left w:val="nil"/>
              <w:bottom w:val="nil"/>
              <w:right w:val="nil"/>
            </w:tcBorders>
            <w:shd w:val="clear" w:color="auto" w:fill="auto"/>
            <w:noWrap/>
            <w:vAlign w:val="bottom"/>
            <w:hideMark/>
          </w:tcPr>
          <w:p w14:paraId="4A0F6092" w14:textId="77777777" w:rsidR="00C46F89" w:rsidRPr="00C46F89" w:rsidRDefault="00C46F89" w:rsidP="005A1275">
            <w:pPr>
              <w:keepNext/>
              <w:keepLines/>
              <w:jc w:val="right"/>
              <w:rPr>
                <w:rFonts w:cs="Calibri"/>
                <w:color w:val="000000"/>
              </w:rPr>
            </w:pPr>
            <w:r w:rsidRPr="00C46F89">
              <w:rPr>
                <w:rFonts w:cs="Calibri"/>
                <w:color w:val="000000"/>
              </w:rPr>
              <w:t>4%</w:t>
            </w:r>
          </w:p>
        </w:tc>
        <w:tc>
          <w:tcPr>
            <w:tcW w:w="720" w:type="dxa"/>
            <w:tcBorders>
              <w:top w:val="nil"/>
              <w:left w:val="nil"/>
              <w:bottom w:val="nil"/>
              <w:right w:val="nil"/>
            </w:tcBorders>
            <w:shd w:val="clear" w:color="auto" w:fill="auto"/>
            <w:noWrap/>
            <w:vAlign w:val="bottom"/>
            <w:hideMark/>
          </w:tcPr>
          <w:p w14:paraId="4AF8A691" w14:textId="77777777" w:rsidR="00C46F89" w:rsidRPr="00C46F89" w:rsidRDefault="00C46F89" w:rsidP="005A1275">
            <w:pPr>
              <w:keepNext/>
              <w:keepLines/>
              <w:jc w:val="right"/>
              <w:rPr>
                <w:rFonts w:cs="Calibri"/>
                <w:color w:val="000000"/>
              </w:rPr>
            </w:pPr>
            <w:r w:rsidRPr="00C46F89">
              <w:rPr>
                <w:rFonts w:cs="Calibri"/>
                <w:color w:val="000000"/>
              </w:rPr>
              <w:t>3%</w:t>
            </w:r>
          </w:p>
        </w:tc>
        <w:tc>
          <w:tcPr>
            <w:tcW w:w="720" w:type="dxa"/>
            <w:tcBorders>
              <w:top w:val="nil"/>
              <w:left w:val="nil"/>
              <w:bottom w:val="nil"/>
              <w:right w:val="nil"/>
            </w:tcBorders>
            <w:shd w:val="clear" w:color="auto" w:fill="auto"/>
            <w:noWrap/>
            <w:vAlign w:val="bottom"/>
            <w:hideMark/>
          </w:tcPr>
          <w:p w14:paraId="401AE73C" w14:textId="77777777" w:rsidR="00C46F89" w:rsidRPr="00C46F89" w:rsidRDefault="00C46F89" w:rsidP="005A1275">
            <w:pPr>
              <w:keepNext/>
              <w:keepLines/>
              <w:jc w:val="right"/>
              <w:rPr>
                <w:rFonts w:cs="Calibri"/>
                <w:color w:val="000000"/>
              </w:rPr>
            </w:pPr>
            <w:r w:rsidRPr="00C46F89">
              <w:rPr>
                <w:rFonts w:cs="Calibri"/>
                <w:color w:val="000000"/>
              </w:rPr>
              <w:t>4%</w:t>
            </w:r>
          </w:p>
        </w:tc>
        <w:tc>
          <w:tcPr>
            <w:tcW w:w="720" w:type="dxa"/>
            <w:tcBorders>
              <w:top w:val="nil"/>
              <w:left w:val="nil"/>
              <w:bottom w:val="nil"/>
              <w:right w:val="nil"/>
            </w:tcBorders>
            <w:shd w:val="clear" w:color="auto" w:fill="auto"/>
            <w:noWrap/>
            <w:vAlign w:val="bottom"/>
            <w:hideMark/>
          </w:tcPr>
          <w:p w14:paraId="6325CB7A" w14:textId="77777777" w:rsidR="00C46F89" w:rsidRPr="00C46F89" w:rsidRDefault="00C46F89" w:rsidP="005A1275">
            <w:pPr>
              <w:keepNext/>
              <w:keepLines/>
              <w:jc w:val="right"/>
              <w:rPr>
                <w:rFonts w:cs="Calibri"/>
                <w:color w:val="000000"/>
              </w:rPr>
            </w:pPr>
            <w:r w:rsidRPr="00C46F89">
              <w:rPr>
                <w:rFonts w:cs="Calibri"/>
                <w:color w:val="000000"/>
              </w:rPr>
              <w:t>3%</w:t>
            </w:r>
          </w:p>
        </w:tc>
        <w:tc>
          <w:tcPr>
            <w:tcW w:w="720" w:type="dxa"/>
            <w:tcBorders>
              <w:top w:val="nil"/>
              <w:left w:val="nil"/>
              <w:bottom w:val="nil"/>
              <w:right w:val="nil"/>
            </w:tcBorders>
            <w:shd w:val="clear" w:color="auto" w:fill="auto"/>
            <w:noWrap/>
            <w:vAlign w:val="bottom"/>
            <w:hideMark/>
          </w:tcPr>
          <w:p w14:paraId="3BFBE9A0" w14:textId="77777777" w:rsidR="00C46F89" w:rsidRPr="00C46F89" w:rsidRDefault="00C46F89" w:rsidP="005A1275">
            <w:pPr>
              <w:keepNext/>
              <w:keepLines/>
              <w:jc w:val="right"/>
              <w:rPr>
                <w:rFonts w:cs="Calibri"/>
                <w:color w:val="000000"/>
              </w:rPr>
            </w:pPr>
            <w:r w:rsidRPr="00C46F89">
              <w:rPr>
                <w:rFonts w:cs="Calibri"/>
                <w:color w:val="000000"/>
              </w:rPr>
              <w:t>3%</w:t>
            </w:r>
          </w:p>
        </w:tc>
        <w:tc>
          <w:tcPr>
            <w:tcW w:w="720" w:type="dxa"/>
            <w:tcBorders>
              <w:top w:val="nil"/>
              <w:left w:val="nil"/>
              <w:bottom w:val="nil"/>
              <w:right w:val="nil"/>
            </w:tcBorders>
            <w:shd w:val="clear" w:color="auto" w:fill="auto"/>
            <w:noWrap/>
            <w:vAlign w:val="bottom"/>
            <w:hideMark/>
          </w:tcPr>
          <w:p w14:paraId="4A3E84F4" w14:textId="77777777" w:rsidR="00C46F89" w:rsidRPr="00C46F89" w:rsidRDefault="00C46F89" w:rsidP="005A1275">
            <w:pPr>
              <w:keepNext/>
              <w:keepLines/>
              <w:jc w:val="right"/>
              <w:rPr>
                <w:rFonts w:cs="Calibri"/>
                <w:color w:val="000000"/>
              </w:rPr>
            </w:pPr>
            <w:r w:rsidRPr="00C46F89">
              <w:rPr>
                <w:rFonts w:cs="Calibri"/>
                <w:color w:val="000000"/>
              </w:rPr>
              <w:t>3%</w:t>
            </w:r>
          </w:p>
        </w:tc>
        <w:tc>
          <w:tcPr>
            <w:tcW w:w="720" w:type="dxa"/>
            <w:tcBorders>
              <w:top w:val="nil"/>
              <w:left w:val="nil"/>
              <w:bottom w:val="nil"/>
              <w:right w:val="nil"/>
            </w:tcBorders>
            <w:shd w:val="clear" w:color="auto" w:fill="auto"/>
            <w:noWrap/>
            <w:vAlign w:val="bottom"/>
            <w:hideMark/>
          </w:tcPr>
          <w:p w14:paraId="5B7F58B5" w14:textId="77777777" w:rsidR="00C46F89" w:rsidRPr="00C46F89" w:rsidRDefault="00C46F89" w:rsidP="005A1275">
            <w:pPr>
              <w:keepNext/>
              <w:keepLines/>
              <w:jc w:val="right"/>
              <w:rPr>
                <w:rFonts w:cs="Calibri"/>
                <w:color w:val="000000"/>
              </w:rPr>
            </w:pPr>
            <w:r w:rsidRPr="00C46F89">
              <w:rPr>
                <w:rFonts w:cs="Calibri"/>
                <w:color w:val="000000"/>
              </w:rPr>
              <w:t>3%</w:t>
            </w:r>
          </w:p>
        </w:tc>
        <w:tc>
          <w:tcPr>
            <w:tcW w:w="288" w:type="dxa"/>
            <w:tcBorders>
              <w:top w:val="nil"/>
              <w:left w:val="nil"/>
              <w:bottom w:val="nil"/>
              <w:right w:val="nil"/>
            </w:tcBorders>
            <w:shd w:val="clear" w:color="auto" w:fill="auto"/>
            <w:noWrap/>
            <w:vAlign w:val="bottom"/>
            <w:hideMark/>
          </w:tcPr>
          <w:p w14:paraId="3F7B1050" w14:textId="77777777" w:rsidR="00C46F89" w:rsidRPr="00C46F89" w:rsidRDefault="00C46F89" w:rsidP="005A1275">
            <w:pPr>
              <w:keepNext/>
              <w:keepLines/>
              <w:jc w:val="right"/>
              <w:rPr>
                <w:rFonts w:cs="Calibri"/>
                <w:color w:val="000000"/>
              </w:rPr>
            </w:pPr>
          </w:p>
        </w:tc>
        <w:tc>
          <w:tcPr>
            <w:tcW w:w="720" w:type="dxa"/>
            <w:tcBorders>
              <w:top w:val="nil"/>
              <w:left w:val="nil"/>
              <w:bottom w:val="nil"/>
              <w:right w:val="single" w:sz="8" w:space="0" w:color="auto"/>
            </w:tcBorders>
            <w:shd w:val="clear" w:color="auto" w:fill="auto"/>
            <w:noWrap/>
            <w:vAlign w:val="bottom"/>
            <w:hideMark/>
          </w:tcPr>
          <w:p w14:paraId="6F2DB0DD" w14:textId="77777777" w:rsidR="00C46F89" w:rsidRPr="00C46F89" w:rsidRDefault="00C46F89" w:rsidP="005A1275">
            <w:pPr>
              <w:keepNext/>
              <w:keepLines/>
              <w:jc w:val="right"/>
              <w:rPr>
                <w:rFonts w:cs="Calibri"/>
                <w:color w:val="000000"/>
              </w:rPr>
            </w:pPr>
            <w:r w:rsidRPr="00C46F89">
              <w:rPr>
                <w:rFonts w:cs="Calibri"/>
                <w:color w:val="000000"/>
              </w:rPr>
              <w:t>3%</w:t>
            </w:r>
          </w:p>
        </w:tc>
      </w:tr>
      <w:tr w:rsidR="00C46F89" w:rsidRPr="00C46F89" w14:paraId="57F082BE" w14:textId="77777777" w:rsidTr="00C46F89">
        <w:trPr>
          <w:trHeight w:val="315"/>
        </w:trPr>
        <w:tc>
          <w:tcPr>
            <w:tcW w:w="1728" w:type="dxa"/>
            <w:tcBorders>
              <w:top w:val="nil"/>
              <w:left w:val="single" w:sz="8" w:space="0" w:color="auto"/>
              <w:bottom w:val="single" w:sz="8" w:space="0" w:color="auto"/>
              <w:right w:val="nil"/>
            </w:tcBorders>
            <w:shd w:val="clear" w:color="000000" w:fill="F2F2F2"/>
            <w:noWrap/>
            <w:vAlign w:val="bottom"/>
            <w:hideMark/>
          </w:tcPr>
          <w:p w14:paraId="28D326C8" w14:textId="77777777" w:rsidR="00C46F89" w:rsidRPr="00C46F89" w:rsidRDefault="00C46F89" w:rsidP="005A1275">
            <w:pPr>
              <w:keepNext/>
              <w:keepLines/>
              <w:jc w:val="left"/>
              <w:rPr>
                <w:rFonts w:cs="Calibri"/>
                <w:b/>
                <w:bCs/>
                <w:color w:val="000000"/>
              </w:rPr>
            </w:pPr>
            <w:r w:rsidRPr="00C46F89">
              <w:rPr>
                <w:rFonts w:cs="Calibri"/>
                <w:b/>
                <w:bCs/>
                <w:color w:val="000000"/>
              </w:rPr>
              <w:t>Grand Total</w:t>
            </w:r>
          </w:p>
        </w:tc>
        <w:tc>
          <w:tcPr>
            <w:tcW w:w="720" w:type="dxa"/>
            <w:tcBorders>
              <w:top w:val="nil"/>
              <w:left w:val="nil"/>
              <w:bottom w:val="single" w:sz="8" w:space="0" w:color="auto"/>
              <w:right w:val="nil"/>
            </w:tcBorders>
            <w:shd w:val="clear" w:color="000000" w:fill="F2F2F2"/>
            <w:noWrap/>
            <w:vAlign w:val="bottom"/>
            <w:hideMark/>
          </w:tcPr>
          <w:p w14:paraId="478380F3" w14:textId="77777777" w:rsidR="00C46F89" w:rsidRPr="00C46F89" w:rsidRDefault="00C46F89" w:rsidP="005A1275">
            <w:pPr>
              <w:keepNext/>
              <w:keepLines/>
              <w:jc w:val="right"/>
              <w:rPr>
                <w:rFonts w:cs="Calibri"/>
                <w:b/>
                <w:bCs/>
                <w:color w:val="000000"/>
              </w:rPr>
            </w:pPr>
            <w:r w:rsidRPr="00C46F89">
              <w:rPr>
                <w:rFonts w:cs="Calibri"/>
                <w:b/>
                <w:bCs/>
                <w:color w:val="000000"/>
              </w:rPr>
              <w:t>100%</w:t>
            </w:r>
          </w:p>
        </w:tc>
        <w:tc>
          <w:tcPr>
            <w:tcW w:w="720" w:type="dxa"/>
            <w:tcBorders>
              <w:top w:val="nil"/>
              <w:left w:val="nil"/>
              <w:bottom w:val="single" w:sz="8" w:space="0" w:color="auto"/>
              <w:right w:val="nil"/>
            </w:tcBorders>
            <w:shd w:val="clear" w:color="000000" w:fill="F2F2F2"/>
            <w:noWrap/>
            <w:vAlign w:val="bottom"/>
            <w:hideMark/>
          </w:tcPr>
          <w:p w14:paraId="1AF6D042" w14:textId="77777777" w:rsidR="00C46F89" w:rsidRPr="00C46F89" w:rsidRDefault="00C46F89" w:rsidP="005A1275">
            <w:pPr>
              <w:keepNext/>
              <w:keepLines/>
              <w:jc w:val="right"/>
              <w:rPr>
                <w:rFonts w:cs="Calibri"/>
                <w:b/>
                <w:bCs/>
                <w:color w:val="000000"/>
              </w:rPr>
            </w:pPr>
            <w:r w:rsidRPr="00C46F89">
              <w:rPr>
                <w:rFonts w:cs="Calibri"/>
                <w:b/>
                <w:bCs/>
                <w:color w:val="000000"/>
              </w:rPr>
              <w:t>100%</w:t>
            </w:r>
          </w:p>
        </w:tc>
        <w:tc>
          <w:tcPr>
            <w:tcW w:w="720" w:type="dxa"/>
            <w:tcBorders>
              <w:top w:val="nil"/>
              <w:left w:val="nil"/>
              <w:bottom w:val="single" w:sz="8" w:space="0" w:color="auto"/>
              <w:right w:val="nil"/>
            </w:tcBorders>
            <w:shd w:val="clear" w:color="000000" w:fill="F2F2F2"/>
            <w:noWrap/>
            <w:vAlign w:val="bottom"/>
            <w:hideMark/>
          </w:tcPr>
          <w:p w14:paraId="09A02FA0" w14:textId="77777777" w:rsidR="00C46F89" w:rsidRPr="00C46F89" w:rsidRDefault="00C46F89" w:rsidP="005A1275">
            <w:pPr>
              <w:keepNext/>
              <w:keepLines/>
              <w:jc w:val="right"/>
              <w:rPr>
                <w:rFonts w:cs="Calibri"/>
                <w:b/>
                <w:bCs/>
                <w:color w:val="000000"/>
              </w:rPr>
            </w:pPr>
            <w:r w:rsidRPr="00C46F89">
              <w:rPr>
                <w:rFonts w:cs="Calibri"/>
                <w:b/>
                <w:bCs/>
                <w:color w:val="000000"/>
              </w:rPr>
              <w:t>100%</w:t>
            </w:r>
          </w:p>
        </w:tc>
        <w:tc>
          <w:tcPr>
            <w:tcW w:w="720" w:type="dxa"/>
            <w:tcBorders>
              <w:top w:val="nil"/>
              <w:left w:val="nil"/>
              <w:bottom w:val="single" w:sz="8" w:space="0" w:color="auto"/>
              <w:right w:val="nil"/>
            </w:tcBorders>
            <w:shd w:val="clear" w:color="000000" w:fill="F2F2F2"/>
            <w:noWrap/>
            <w:vAlign w:val="bottom"/>
            <w:hideMark/>
          </w:tcPr>
          <w:p w14:paraId="614FB0B7" w14:textId="77777777" w:rsidR="00C46F89" w:rsidRPr="00C46F89" w:rsidRDefault="00C46F89" w:rsidP="005A1275">
            <w:pPr>
              <w:keepNext/>
              <w:keepLines/>
              <w:jc w:val="right"/>
              <w:rPr>
                <w:rFonts w:cs="Calibri"/>
                <w:b/>
                <w:bCs/>
                <w:color w:val="000000"/>
              </w:rPr>
            </w:pPr>
            <w:r w:rsidRPr="00C46F89">
              <w:rPr>
                <w:rFonts w:cs="Calibri"/>
                <w:b/>
                <w:bCs/>
                <w:color w:val="000000"/>
              </w:rPr>
              <w:t>100%</w:t>
            </w:r>
          </w:p>
        </w:tc>
        <w:tc>
          <w:tcPr>
            <w:tcW w:w="720" w:type="dxa"/>
            <w:tcBorders>
              <w:top w:val="nil"/>
              <w:left w:val="nil"/>
              <w:bottom w:val="single" w:sz="8" w:space="0" w:color="auto"/>
              <w:right w:val="nil"/>
            </w:tcBorders>
            <w:shd w:val="clear" w:color="000000" w:fill="F2F2F2"/>
            <w:noWrap/>
            <w:vAlign w:val="bottom"/>
            <w:hideMark/>
          </w:tcPr>
          <w:p w14:paraId="493B4109" w14:textId="77777777" w:rsidR="00C46F89" w:rsidRPr="00C46F89" w:rsidRDefault="00C46F89" w:rsidP="005A1275">
            <w:pPr>
              <w:keepNext/>
              <w:keepLines/>
              <w:jc w:val="right"/>
              <w:rPr>
                <w:rFonts w:cs="Calibri"/>
                <w:b/>
                <w:bCs/>
                <w:color w:val="000000"/>
              </w:rPr>
            </w:pPr>
            <w:r w:rsidRPr="00C46F89">
              <w:rPr>
                <w:rFonts w:cs="Calibri"/>
                <w:b/>
                <w:bCs/>
                <w:color w:val="000000"/>
              </w:rPr>
              <w:t>100%</w:t>
            </w:r>
          </w:p>
        </w:tc>
        <w:tc>
          <w:tcPr>
            <w:tcW w:w="720" w:type="dxa"/>
            <w:tcBorders>
              <w:top w:val="nil"/>
              <w:left w:val="nil"/>
              <w:bottom w:val="single" w:sz="8" w:space="0" w:color="auto"/>
              <w:right w:val="nil"/>
            </w:tcBorders>
            <w:shd w:val="clear" w:color="000000" w:fill="F2F2F2"/>
            <w:noWrap/>
            <w:vAlign w:val="bottom"/>
            <w:hideMark/>
          </w:tcPr>
          <w:p w14:paraId="013AC6F9" w14:textId="77777777" w:rsidR="00C46F89" w:rsidRPr="00C46F89" w:rsidRDefault="00C46F89" w:rsidP="005A1275">
            <w:pPr>
              <w:keepNext/>
              <w:keepLines/>
              <w:jc w:val="right"/>
              <w:rPr>
                <w:rFonts w:cs="Calibri"/>
                <w:b/>
                <w:bCs/>
                <w:color w:val="000000"/>
              </w:rPr>
            </w:pPr>
            <w:r w:rsidRPr="00C46F89">
              <w:rPr>
                <w:rFonts w:cs="Calibri"/>
                <w:b/>
                <w:bCs/>
                <w:color w:val="000000"/>
              </w:rPr>
              <w:t>100%</w:t>
            </w:r>
          </w:p>
        </w:tc>
        <w:tc>
          <w:tcPr>
            <w:tcW w:w="720" w:type="dxa"/>
            <w:tcBorders>
              <w:top w:val="nil"/>
              <w:left w:val="nil"/>
              <w:bottom w:val="single" w:sz="8" w:space="0" w:color="auto"/>
              <w:right w:val="nil"/>
            </w:tcBorders>
            <w:shd w:val="clear" w:color="000000" w:fill="F2F2F2"/>
            <w:noWrap/>
            <w:vAlign w:val="bottom"/>
            <w:hideMark/>
          </w:tcPr>
          <w:p w14:paraId="46EFE39F" w14:textId="77777777" w:rsidR="00C46F89" w:rsidRPr="00C46F89" w:rsidRDefault="00C46F89" w:rsidP="005A1275">
            <w:pPr>
              <w:keepNext/>
              <w:keepLines/>
              <w:jc w:val="right"/>
              <w:rPr>
                <w:rFonts w:cs="Calibri"/>
                <w:b/>
                <w:bCs/>
                <w:color w:val="000000"/>
              </w:rPr>
            </w:pPr>
            <w:r w:rsidRPr="00C46F89">
              <w:rPr>
                <w:rFonts w:cs="Calibri"/>
                <w:b/>
                <w:bCs/>
                <w:color w:val="000000"/>
              </w:rPr>
              <w:t>100%</w:t>
            </w:r>
          </w:p>
        </w:tc>
        <w:tc>
          <w:tcPr>
            <w:tcW w:w="720" w:type="dxa"/>
            <w:tcBorders>
              <w:top w:val="nil"/>
              <w:left w:val="nil"/>
              <w:bottom w:val="single" w:sz="8" w:space="0" w:color="auto"/>
              <w:right w:val="nil"/>
            </w:tcBorders>
            <w:shd w:val="clear" w:color="000000" w:fill="F2F2F2"/>
            <w:noWrap/>
            <w:vAlign w:val="bottom"/>
            <w:hideMark/>
          </w:tcPr>
          <w:p w14:paraId="7BFC2832" w14:textId="77777777" w:rsidR="00C46F89" w:rsidRPr="00C46F89" w:rsidRDefault="00C46F89" w:rsidP="005A1275">
            <w:pPr>
              <w:keepNext/>
              <w:keepLines/>
              <w:jc w:val="right"/>
              <w:rPr>
                <w:rFonts w:cs="Calibri"/>
                <w:b/>
                <w:bCs/>
                <w:color w:val="000000"/>
              </w:rPr>
            </w:pPr>
            <w:r w:rsidRPr="00C46F89">
              <w:rPr>
                <w:rFonts w:cs="Calibri"/>
                <w:b/>
                <w:bCs/>
                <w:color w:val="000000"/>
              </w:rPr>
              <w:t>100%</w:t>
            </w:r>
          </w:p>
        </w:tc>
        <w:tc>
          <w:tcPr>
            <w:tcW w:w="720" w:type="dxa"/>
            <w:tcBorders>
              <w:top w:val="nil"/>
              <w:left w:val="nil"/>
              <w:bottom w:val="single" w:sz="8" w:space="0" w:color="auto"/>
              <w:right w:val="nil"/>
            </w:tcBorders>
            <w:shd w:val="clear" w:color="000000" w:fill="F2F2F2"/>
            <w:noWrap/>
            <w:vAlign w:val="bottom"/>
            <w:hideMark/>
          </w:tcPr>
          <w:p w14:paraId="139EFEE0" w14:textId="77777777" w:rsidR="00C46F89" w:rsidRPr="00C46F89" w:rsidRDefault="00C46F89" w:rsidP="005A1275">
            <w:pPr>
              <w:keepNext/>
              <w:keepLines/>
              <w:jc w:val="right"/>
              <w:rPr>
                <w:rFonts w:cs="Calibri"/>
                <w:b/>
                <w:bCs/>
                <w:color w:val="000000"/>
              </w:rPr>
            </w:pPr>
            <w:r w:rsidRPr="00C46F89">
              <w:rPr>
                <w:rFonts w:cs="Calibri"/>
                <w:b/>
                <w:bCs/>
                <w:color w:val="000000"/>
              </w:rPr>
              <w:t>100%</w:t>
            </w:r>
          </w:p>
        </w:tc>
        <w:tc>
          <w:tcPr>
            <w:tcW w:w="720" w:type="dxa"/>
            <w:tcBorders>
              <w:top w:val="nil"/>
              <w:left w:val="nil"/>
              <w:bottom w:val="single" w:sz="8" w:space="0" w:color="auto"/>
              <w:right w:val="nil"/>
            </w:tcBorders>
            <w:shd w:val="clear" w:color="000000" w:fill="F2F2F2"/>
            <w:noWrap/>
            <w:vAlign w:val="bottom"/>
            <w:hideMark/>
          </w:tcPr>
          <w:p w14:paraId="55A4A2D4" w14:textId="77777777" w:rsidR="00C46F89" w:rsidRPr="00C46F89" w:rsidRDefault="00C46F89" w:rsidP="005A1275">
            <w:pPr>
              <w:keepNext/>
              <w:keepLines/>
              <w:jc w:val="right"/>
              <w:rPr>
                <w:rFonts w:cs="Calibri"/>
                <w:b/>
                <w:bCs/>
                <w:color w:val="000000"/>
              </w:rPr>
            </w:pPr>
            <w:r w:rsidRPr="00C46F89">
              <w:rPr>
                <w:rFonts w:cs="Calibri"/>
                <w:b/>
                <w:bCs/>
                <w:color w:val="000000"/>
              </w:rPr>
              <w:t>100%</w:t>
            </w:r>
          </w:p>
        </w:tc>
        <w:tc>
          <w:tcPr>
            <w:tcW w:w="288" w:type="dxa"/>
            <w:tcBorders>
              <w:top w:val="nil"/>
              <w:left w:val="nil"/>
              <w:bottom w:val="single" w:sz="8" w:space="0" w:color="auto"/>
              <w:right w:val="nil"/>
            </w:tcBorders>
            <w:shd w:val="clear" w:color="000000" w:fill="F2F2F2"/>
            <w:noWrap/>
            <w:vAlign w:val="bottom"/>
            <w:hideMark/>
          </w:tcPr>
          <w:p w14:paraId="2807757C" w14:textId="77777777" w:rsidR="00C46F89" w:rsidRPr="00C46F89" w:rsidRDefault="00C46F89" w:rsidP="005A1275">
            <w:pPr>
              <w:keepNext/>
              <w:keepLines/>
              <w:jc w:val="left"/>
              <w:rPr>
                <w:rFonts w:cs="Calibri"/>
                <w:b/>
                <w:bCs/>
                <w:color w:val="000000"/>
              </w:rPr>
            </w:pPr>
            <w:r w:rsidRPr="00C46F89">
              <w:rPr>
                <w:rFonts w:cs="Calibri"/>
                <w:b/>
                <w:bCs/>
                <w:color w:val="000000"/>
              </w:rPr>
              <w:t> </w:t>
            </w:r>
          </w:p>
        </w:tc>
        <w:tc>
          <w:tcPr>
            <w:tcW w:w="720" w:type="dxa"/>
            <w:tcBorders>
              <w:top w:val="nil"/>
              <w:left w:val="nil"/>
              <w:bottom w:val="single" w:sz="8" w:space="0" w:color="auto"/>
              <w:right w:val="single" w:sz="8" w:space="0" w:color="auto"/>
            </w:tcBorders>
            <w:shd w:val="clear" w:color="000000" w:fill="F2F2F2"/>
            <w:noWrap/>
            <w:vAlign w:val="bottom"/>
            <w:hideMark/>
          </w:tcPr>
          <w:p w14:paraId="4132E10D" w14:textId="77777777" w:rsidR="00C46F89" w:rsidRPr="00C46F89" w:rsidRDefault="00C46F89" w:rsidP="005A1275">
            <w:pPr>
              <w:keepNext/>
              <w:keepLines/>
              <w:jc w:val="right"/>
              <w:rPr>
                <w:rFonts w:cs="Calibri"/>
                <w:b/>
                <w:bCs/>
                <w:color w:val="000000"/>
              </w:rPr>
            </w:pPr>
            <w:r w:rsidRPr="00C46F89">
              <w:rPr>
                <w:rFonts w:cs="Calibri"/>
                <w:b/>
                <w:bCs/>
                <w:color w:val="000000"/>
              </w:rPr>
              <w:t>100%</w:t>
            </w:r>
          </w:p>
        </w:tc>
      </w:tr>
    </w:tbl>
    <w:p w14:paraId="2547468D" w14:textId="77777777" w:rsidR="00C46F89" w:rsidRDefault="00C46F89" w:rsidP="00626BBA">
      <w:pPr>
        <w:pStyle w:val="Answers"/>
      </w:pPr>
    </w:p>
    <w:p w14:paraId="41C0FA05" w14:textId="7B0FD7FB" w:rsidR="00374882" w:rsidRDefault="00374882" w:rsidP="00374882">
      <w:pPr>
        <w:pStyle w:val="Answers"/>
      </w:pPr>
      <w:r>
        <w:lastRenderedPageBreak/>
        <w:tab/>
      </w:r>
      <w:r w:rsidR="57930004">
        <w:t>The Company has testified that there are “14 of the 51…that we have won.”</w:t>
      </w:r>
      <w:r>
        <w:rPr>
          <w:rStyle w:val="FootnoteReference"/>
        </w:rPr>
        <w:footnoteReference w:id="32"/>
      </w:r>
      <w:r w:rsidR="57930004">
        <w:t xml:space="preserve"> This value corresponds with the 14 projects in the LRM that have complete certainty of having selected both the </w:t>
      </w:r>
      <w:r w:rsidR="0003592D">
        <w:t>s</w:t>
      </w:r>
      <w:r w:rsidR="57930004">
        <w:t xml:space="preserve">tate of Georgia as a site and Georgia Power </w:t>
      </w:r>
      <w:r w:rsidR="002A0008">
        <w:t xml:space="preserve">Company </w:t>
      </w:r>
      <w:r w:rsidR="57930004">
        <w:t xml:space="preserve">as the service provider. Assuming these 14 projects in the LRM are the same projects the Company has “won,” they have been consolidated in </w:t>
      </w:r>
      <w:r>
        <w:fldChar w:fldCharType="begin"/>
      </w:r>
      <w:r>
        <w:instrText xml:space="preserve"> REF _Ref158125866 \h </w:instrText>
      </w:r>
      <w:r>
        <w:fldChar w:fldCharType="separate"/>
      </w:r>
      <w:r w:rsidR="00D01697">
        <w:t xml:space="preserve">Table </w:t>
      </w:r>
      <w:r w:rsidR="00D01697">
        <w:rPr>
          <w:noProof/>
        </w:rPr>
        <w:t>5</w:t>
      </w:r>
      <w:r>
        <w:fldChar w:fldCharType="end"/>
      </w:r>
      <w:r w:rsidR="57930004">
        <w:t xml:space="preserve"> below with industry data included as well.</w:t>
      </w:r>
    </w:p>
    <w:p w14:paraId="7AA0203A" w14:textId="5293C567" w:rsidR="00374882" w:rsidRDefault="00374882" w:rsidP="005A1275">
      <w:pPr>
        <w:pStyle w:val="Caption"/>
        <w:keepLines/>
      </w:pPr>
      <w:bookmarkStart w:id="14" w:name="_Ref158125866"/>
      <w:r>
        <w:t xml:space="preserve">Table </w:t>
      </w:r>
      <w:r>
        <w:fldChar w:fldCharType="begin"/>
      </w:r>
      <w:r>
        <w:instrText>SEQ Table \* ARABIC</w:instrText>
      </w:r>
      <w:r>
        <w:fldChar w:fldCharType="separate"/>
      </w:r>
      <w:r w:rsidR="00D01697">
        <w:rPr>
          <w:noProof/>
        </w:rPr>
        <w:t>5</w:t>
      </w:r>
      <w:r>
        <w:fldChar w:fldCharType="end"/>
      </w:r>
      <w:bookmarkEnd w:id="14"/>
      <w:r>
        <w:t>: LRM Won Projects</w:t>
      </w:r>
      <w:r>
        <w:rPr>
          <w:rStyle w:val="FootnoteReference"/>
        </w:rPr>
        <w:footnoteReference w:id="33"/>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6"/>
        <w:gridCol w:w="1646"/>
        <w:gridCol w:w="1646"/>
        <w:gridCol w:w="1837"/>
      </w:tblGrid>
      <w:tr w:rsidR="00374882" w:rsidRPr="00374882" w14:paraId="60F2CBB9" w14:textId="103E275B" w:rsidTr="005A1275">
        <w:trPr>
          <w:trHeight w:val="330"/>
          <w:jc w:val="center"/>
        </w:trPr>
        <w:tc>
          <w:tcPr>
            <w:tcW w:w="0" w:type="auto"/>
            <w:shd w:val="clear" w:color="auto" w:fill="DEEAF6" w:themeFill="accent5" w:themeFillTint="33"/>
            <w:noWrap/>
            <w:vAlign w:val="center"/>
          </w:tcPr>
          <w:p w14:paraId="4C2CD83A" w14:textId="74B61DEA" w:rsidR="00374882" w:rsidRPr="005A1275" w:rsidRDefault="00374882" w:rsidP="005A1275">
            <w:pPr>
              <w:keepNext/>
              <w:keepLines/>
              <w:jc w:val="left"/>
              <w:rPr>
                <w:rFonts w:eastAsia="Microsoft YaHei" w:cs="Calibri"/>
                <w:b/>
                <w:bCs/>
                <w:color w:val="000000"/>
              </w:rPr>
            </w:pPr>
            <w:r w:rsidRPr="005A1275">
              <w:rPr>
                <w:rFonts w:eastAsia="Microsoft YaHei" w:cs="Calibri"/>
                <w:b/>
                <w:bCs/>
                <w:color w:val="000000"/>
              </w:rPr>
              <w:t>Project</w:t>
            </w:r>
          </w:p>
        </w:tc>
        <w:tc>
          <w:tcPr>
            <w:tcW w:w="0" w:type="auto"/>
            <w:shd w:val="clear" w:color="auto" w:fill="DEEAF6" w:themeFill="accent5" w:themeFillTint="33"/>
            <w:noWrap/>
            <w:vAlign w:val="center"/>
          </w:tcPr>
          <w:p w14:paraId="6F700EAC" w14:textId="418D940F" w:rsidR="00374882" w:rsidRPr="005A1275" w:rsidRDefault="00374882" w:rsidP="005A1275">
            <w:pPr>
              <w:keepNext/>
              <w:keepLines/>
              <w:jc w:val="left"/>
              <w:rPr>
                <w:rFonts w:eastAsia="Microsoft YaHei" w:cs="Calibri"/>
                <w:b/>
                <w:bCs/>
                <w:color w:val="000000"/>
              </w:rPr>
            </w:pPr>
            <w:r w:rsidRPr="005A1275">
              <w:rPr>
                <w:rFonts w:eastAsia="Microsoft YaHei" w:cs="Calibri"/>
                <w:b/>
                <w:bCs/>
                <w:color w:val="000000"/>
              </w:rPr>
              <w:t>Class</w:t>
            </w:r>
          </w:p>
        </w:tc>
        <w:tc>
          <w:tcPr>
            <w:tcW w:w="0" w:type="auto"/>
            <w:shd w:val="clear" w:color="auto" w:fill="DEEAF6" w:themeFill="accent5" w:themeFillTint="33"/>
            <w:noWrap/>
            <w:vAlign w:val="center"/>
          </w:tcPr>
          <w:p w14:paraId="38EFC203" w14:textId="37B7FC46" w:rsidR="00374882" w:rsidRPr="005A1275" w:rsidRDefault="00374882" w:rsidP="005A1275">
            <w:pPr>
              <w:keepNext/>
              <w:keepLines/>
              <w:jc w:val="left"/>
              <w:rPr>
                <w:rFonts w:eastAsia="Microsoft YaHei" w:cs="Calibri"/>
                <w:b/>
                <w:bCs/>
                <w:color w:val="000000"/>
              </w:rPr>
            </w:pPr>
            <w:r w:rsidRPr="005A1275">
              <w:rPr>
                <w:rFonts w:eastAsia="Microsoft YaHei" w:cs="Calibri"/>
                <w:b/>
                <w:bCs/>
                <w:color w:val="000000"/>
              </w:rPr>
              <w:t>Segment</w:t>
            </w:r>
          </w:p>
        </w:tc>
        <w:tc>
          <w:tcPr>
            <w:tcW w:w="0" w:type="auto"/>
            <w:shd w:val="clear" w:color="auto" w:fill="DEEAF6" w:themeFill="accent5" w:themeFillTint="33"/>
          </w:tcPr>
          <w:p w14:paraId="3B78831A" w14:textId="766E470E" w:rsidR="00374882" w:rsidRPr="00374882" w:rsidRDefault="00374882" w:rsidP="00374882">
            <w:pPr>
              <w:keepNext/>
              <w:keepLines/>
              <w:jc w:val="left"/>
              <w:rPr>
                <w:rFonts w:eastAsia="Microsoft YaHei" w:cs="Calibri"/>
                <w:b/>
                <w:bCs/>
                <w:color w:val="000000"/>
              </w:rPr>
            </w:pPr>
            <w:r>
              <w:rPr>
                <w:rFonts w:eastAsia="Microsoft YaHei" w:cs="Calibri"/>
                <w:b/>
                <w:bCs/>
                <w:color w:val="000000"/>
              </w:rPr>
              <w:t>Announced Load</w:t>
            </w:r>
          </w:p>
        </w:tc>
      </w:tr>
      <w:tr w:rsidR="00374882" w:rsidRPr="00374882" w14:paraId="3824EFA6" w14:textId="194A5A3D" w:rsidTr="006F0063">
        <w:trPr>
          <w:trHeight w:val="330"/>
          <w:jc w:val="center"/>
        </w:trPr>
        <w:tc>
          <w:tcPr>
            <w:tcW w:w="0" w:type="auto"/>
            <w:shd w:val="clear" w:color="auto" w:fill="auto"/>
            <w:noWrap/>
            <w:vAlign w:val="center"/>
            <w:hideMark/>
          </w:tcPr>
          <w:p w14:paraId="7EE6A4BB" w14:textId="21094903" w:rsidR="00374882" w:rsidRPr="006F0063" w:rsidRDefault="00725FBA" w:rsidP="005A1275">
            <w:pPr>
              <w:keepNext/>
              <w:keepLines/>
              <w:jc w:val="left"/>
              <w:rPr>
                <w:rFonts w:eastAsia="Microsoft YaHei" w:cs="Calibri"/>
                <w:color w:val="000000"/>
                <w:highlight w:val="black"/>
              </w:rPr>
            </w:pPr>
            <w:r w:rsidRPr="006F0063">
              <w:rPr>
                <w:rFonts w:eastAsia="Microsoft YaHei" w:cs="Calibri"/>
                <w:color w:val="000000"/>
                <w:highlight w:val="black"/>
              </w:rPr>
              <w:t>*************</w:t>
            </w:r>
          </w:p>
        </w:tc>
        <w:tc>
          <w:tcPr>
            <w:tcW w:w="0" w:type="auto"/>
            <w:shd w:val="clear" w:color="auto" w:fill="auto"/>
            <w:noWrap/>
            <w:vAlign w:val="center"/>
            <w:hideMark/>
          </w:tcPr>
          <w:p w14:paraId="714A9FD4" w14:textId="5A01DFA8" w:rsidR="00374882" w:rsidRPr="006F0063" w:rsidRDefault="00725FBA" w:rsidP="005A1275">
            <w:pPr>
              <w:keepNext/>
              <w:keepLines/>
              <w:jc w:val="left"/>
              <w:rPr>
                <w:rFonts w:eastAsia="Microsoft YaHei" w:cs="Calibri"/>
                <w:color w:val="000000"/>
                <w:highlight w:val="black"/>
              </w:rPr>
            </w:pPr>
            <w:r w:rsidRPr="006F0063">
              <w:rPr>
                <w:rFonts w:eastAsia="Microsoft YaHei" w:cs="Calibri"/>
                <w:color w:val="000000"/>
                <w:highlight w:val="black"/>
              </w:rPr>
              <w:t>*************</w:t>
            </w:r>
          </w:p>
        </w:tc>
        <w:tc>
          <w:tcPr>
            <w:tcW w:w="0" w:type="auto"/>
            <w:shd w:val="clear" w:color="auto" w:fill="auto"/>
            <w:noWrap/>
            <w:vAlign w:val="center"/>
            <w:hideMark/>
          </w:tcPr>
          <w:p w14:paraId="56E278A2" w14:textId="76DC25B7" w:rsidR="00374882" w:rsidRPr="006F0063" w:rsidRDefault="00725FBA" w:rsidP="005A1275">
            <w:pPr>
              <w:keepNext/>
              <w:keepLines/>
              <w:jc w:val="left"/>
              <w:rPr>
                <w:rFonts w:eastAsia="Microsoft YaHei" w:cs="Calibri"/>
                <w:color w:val="000000"/>
                <w:highlight w:val="black"/>
              </w:rPr>
            </w:pPr>
            <w:r w:rsidRPr="006F0063">
              <w:rPr>
                <w:rFonts w:eastAsia="Microsoft YaHei" w:cs="Calibri"/>
                <w:color w:val="000000"/>
                <w:highlight w:val="black"/>
              </w:rPr>
              <w:t>*************</w:t>
            </w:r>
          </w:p>
        </w:tc>
        <w:tc>
          <w:tcPr>
            <w:tcW w:w="0" w:type="auto"/>
            <w:shd w:val="clear" w:color="auto" w:fill="auto"/>
          </w:tcPr>
          <w:p w14:paraId="5474A163" w14:textId="3E90E1A7" w:rsidR="00374882" w:rsidRPr="006F0063" w:rsidRDefault="00725FBA" w:rsidP="005A1275">
            <w:pPr>
              <w:keepNext/>
              <w:keepLines/>
              <w:jc w:val="center"/>
              <w:rPr>
                <w:rFonts w:eastAsia="Microsoft YaHei" w:cs="Calibri"/>
                <w:color w:val="000000"/>
                <w:highlight w:val="black"/>
              </w:rPr>
            </w:pPr>
            <w:r w:rsidRPr="006F0063">
              <w:rPr>
                <w:rFonts w:eastAsia="Microsoft YaHei" w:cs="Calibri"/>
                <w:color w:val="000000"/>
                <w:highlight w:val="black"/>
              </w:rPr>
              <w:t>****</w:t>
            </w:r>
          </w:p>
        </w:tc>
      </w:tr>
      <w:tr w:rsidR="00374882" w:rsidRPr="00374882" w14:paraId="2ABA8B8D" w14:textId="19603AE5" w:rsidTr="006F0063">
        <w:trPr>
          <w:trHeight w:val="330"/>
          <w:jc w:val="center"/>
        </w:trPr>
        <w:tc>
          <w:tcPr>
            <w:tcW w:w="0" w:type="auto"/>
            <w:shd w:val="clear" w:color="auto" w:fill="auto"/>
            <w:noWrap/>
            <w:vAlign w:val="center"/>
            <w:hideMark/>
          </w:tcPr>
          <w:p w14:paraId="6CD7AF74" w14:textId="120AB34E" w:rsidR="00374882" w:rsidRPr="006F0063" w:rsidRDefault="00725FBA" w:rsidP="005A1275">
            <w:pPr>
              <w:keepNext/>
              <w:keepLines/>
              <w:jc w:val="left"/>
              <w:rPr>
                <w:rFonts w:eastAsia="Microsoft YaHei" w:cs="Calibri"/>
                <w:color w:val="000000"/>
                <w:highlight w:val="black"/>
              </w:rPr>
            </w:pPr>
            <w:r w:rsidRPr="006F0063">
              <w:rPr>
                <w:rFonts w:eastAsia="Microsoft YaHei" w:cs="Calibri"/>
                <w:color w:val="000000"/>
                <w:highlight w:val="black"/>
              </w:rPr>
              <w:t>*************</w:t>
            </w:r>
          </w:p>
        </w:tc>
        <w:tc>
          <w:tcPr>
            <w:tcW w:w="0" w:type="auto"/>
            <w:shd w:val="clear" w:color="auto" w:fill="auto"/>
            <w:noWrap/>
            <w:vAlign w:val="center"/>
            <w:hideMark/>
          </w:tcPr>
          <w:p w14:paraId="2972E469" w14:textId="13AC6FD4" w:rsidR="00374882" w:rsidRPr="006F0063" w:rsidRDefault="00725FBA" w:rsidP="005A1275">
            <w:pPr>
              <w:keepNext/>
              <w:keepLines/>
              <w:jc w:val="left"/>
              <w:rPr>
                <w:rFonts w:eastAsia="Microsoft YaHei" w:cs="Calibri"/>
                <w:color w:val="000000"/>
                <w:highlight w:val="black"/>
              </w:rPr>
            </w:pPr>
            <w:r w:rsidRPr="006F0063">
              <w:rPr>
                <w:rFonts w:eastAsia="Microsoft YaHei" w:cs="Calibri"/>
                <w:color w:val="000000"/>
                <w:highlight w:val="black"/>
              </w:rPr>
              <w:t>*************</w:t>
            </w:r>
          </w:p>
        </w:tc>
        <w:tc>
          <w:tcPr>
            <w:tcW w:w="0" w:type="auto"/>
            <w:shd w:val="clear" w:color="auto" w:fill="auto"/>
            <w:noWrap/>
            <w:vAlign w:val="center"/>
            <w:hideMark/>
          </w:tcPr>
          <w:p w14:paraId="37B15FF2" w14:textId="027B4703" w:rsidR="00374882" w:rsidRPr="006F0063" w:rsidRDefault="00725FBA" w:rsidP="005A1275">
            <w:pPr>
              <w:keepNext/>
              <w:keepLines/>
              <w:jc w:val="left"/>
              <w:rPr>
                <w:rFonts w:eastAsia="Microsoft YaHei" w:cs="Calibri"/>
                <w:color w:val="000000"/>
                <w:highlight w:val="black"/>
              </w:rPr>
            </w:pPr>
            <w:r w:rsidRPr="006F0063">
              <w:rPr>
                <w:rFonts w:eastAsia="Microsoft YaHei" w:cs="Calibri"/>
                <w:color w:val="000000"/>
                <w:highlight w:val="black"/>
              </w:rPr>
              <w:t>*************</w:t>
            </w:r>
          </w:p>
        </w:tc>
        <w:tc>
          <w:tcPr>
            <w:tcW w:w="0" w:type="auto"/>
            <w:shd w:val="clear" w:color="auto" w:fill="auto"/>
          </w:tcPr>
          <w:p w14:paraId="1BC01432" w14:textId="483EB1F4" w:rsidR="00374882" w:rsidRPr="006F0063" w:rsidRDefault="00725FBA" w:rsidP="005A1275">
            <w:pPr>
              <w:keepNext/>
              <w:keepLines/>
              <w:jc w:val="center"/>
              <w:rPr>
                <w:rFonts w:eastAsia="Microsoft YaHei" w:cs="Calibri"/>
                <w:color w:val="000000"/>
                <w:highlight w:val="black"/>
              </w:rPr>
            </w:pPr>
            <w:r w:rsidRPr="006F0063">
              <w:rPr>
                <w:rFonts w:eastAsia="Microsoft YaHei" w:cs="Calibri"/>
                <w:color w:val="000000"/>
                <w:highlight w:val="black"/>
              </w:rPr>
              <w:t>****</w:t>
            </w:r>
          </w:p>
        </w:tc>
      </w:tr>
      <w:tr w:rsidR="00374882" w:rsidRPr="00374882" w14:paraId="56311DEA" w14:textId="32D39410" w:rsidTr="006F0063">
        <w:trPr>
          <w:trHeight w:val="330"/>
          <w:jc w:val="center"/>
        </w:trPr>
        <w:tc>
          <w:tcPr>
            <w:tcW w:w="0" w:type="auto"/>
            <w:shd w:val="clear" w:color="auto" w:fill="auto"/>
            <w:noWrap/>
            <w:vAlign w:val="center"/>
            <w:hideMark/>
          </w:tcPr>
          <w:p w14:paraId="51886262" w14:textId="7839E0FA" w:rsidR="00374882" w:rsidRPr="006F0063" w:rsidRDefault="00725FBA" w:rsidP="005A1275">
            <w:pPr>
              <w:keepNext/>
              <w:keepLines/>
              <w:jc w:val="left"/>
              <w:rPr>
                <w:rFonts w:eastAsia="Microsoft YaHei" w:cs="Calibri"/>
                <w:color w:val="000000"/>
                <w:highlight w:val="black"/>
              </w:rPr>
            </w:pPr>
            <w:r w:rsidRPr="006F0063">
              <w:rPr>
                <w:rFonts w:eastAsia="Microsoft YaHei" w:cs="Calibri"/>
                <w:color w:val="000000"/>
                <w:highlight w:val="black"/>
              </w:rPr>
              <w:t>*************</w:t>
            </w:r>
          </w:p>
        </w:tc>
        <w:tc>
          <w:tcPr>
            <w:tcW w:w="0" w:type="auto"/>
            <w:shd w:val="clear" w:color="auto" w:fill="auto"/>
            <w:noWrap/>
            <w:vAlign w:val="center"/>
            <w:hideMark/>
          </w:tcPr>
          <w:p w14:paraId="78333259" w14:textId="55E152CE" w:rsidR="00374882" w:rsidRPr="006F0063" w:rsidRDefault="00725FBA" w:rsidP="005A1275">
            <w:pPr>
              <w:keepNext/>
              <w:keepLines/>
              <w:jc w:val="left"/>
              <w:rPr>
                <w:rFonts w:eastAsia="Microsoft YaHei" w:cs="Calibri"/>
                <w:color w:val="000000"/>
                <w:highlight w:val="black"/>
              </w:rPr>
            </w:pPr>
            <w:r w:rsidRPr="006F0063">
              <w:rPr>
                <w:rFonts w:eastAsia="Microsoft YaHei" w:cs="Calibri"/>
                <w:color w:val="000000"/>
                <w:highlight w:val="black"/>
              </w:rPr>
              <w:t>*************</w:t>
            </w:r>
          </w:p>
        </w:tc>
        <w:tc>
          <w:tcPr>
            <w:tcW w:w="0" w:type="auto"/>
            <w:shd w:val="clear" w:color="auto" w:fill="auto"/>
            <w:noWrap/>
            <w:vAlign w:val="center"/>
            <w:hideMark/>
          </w:tcPr>
          <w:p w14:paraId="5F1F7DFC" w14:textId="3D15309D" w:rsidR="00374882" w:rsidRPr="006F0063" w:rsidRDefault="00725FBA" w:rsidP="005A1275">
            <w:pPr>
              <w:keepNext/>
              <w:keepLines/>
              <w:jc w:val="left"/>
              <w:rPr>
                <w:rFonts w:eastAsia="Microsoft YaHei" w:cs="Calibri"/>
                <w:color w:val="000000"/>
                <w:highlight w:val="black"/>
              </w:rPr>
            </w:pPr>
            <w:r w:rsidRPr="006F0063">
              <w:rPr>
                <w:rFonts w:eastAsia="Microsoft YaHei" w:cs="Calibri"/>
                <w:color w:val="000000"/>
                <w:highlight w:val="black"/>
              </w:rPr>
              <w:t>*************</w:t>
            </w:r>
          </w:p>
        </w:tc>
        <w:tc>
          <w:tcPr>
            <w:tcW w:w="0" w:type="auto"/>
            <w:shd w:val="clear" w:color="auto" w:fill="auto"/>
          </w:tcPr>
          <w:p w14:paraId="79E3F1BE" w14:textId="367EFFB5" w:rsidR="00374882" w:rsidRPr="006F0063" w:rsidRDefault="00725FBA" w:rsidP="005A1275">
            <w:pPr>
              <w:keepNext/>
              <w:keepLines/>
              <w:jc w:val="center"/>
              <w:rPr>
                <w:rFonts w:eastAsia="Microsoft YaHei" w:cs="Calibri"/>
                <w:color w:val="000000"/>
                <w:highlight w:val="black"/>
              </w:rPr>
            </w:pPr>
            <w:r w:rsidRPr="006F0063">
              <w:rPr>
                <w:rFonts w:eastAsia="Microsoft YaHei" w:cs="Calibri"/>
                <w:color w:val="000000"/>
                <w:highlight w:val="black"/>
              </w:rPr>
              <w:t>****</w:t>
            </w:r>
          </w:p>
        </w:tc>
      </w:tr>
      <w:tr w:rsidR="00374882" w:rsidRPr="00374882" w14:paraId="1F148464" w14:textId="38BDEE40" w:rsidTr="006F0063">
        <w:trPr>
          <w:trHeight w:val="330"/>
          <w:jc w:val="center"/>
        </w:trPr>
        <w:tc>
          <w:tcPr>
            <w:tcW w:w="0" w:type="auto"/>
            <w:shd w:val="clear" w:color="auto" w:fill="auto"/>
            <w:noWrap/>
            <w:vAlign w:val="center"/>
            <w:hideMark/>
          </w:tcPr>
          <w:p w14:paraId="35556D08" w14:textId="0570D21B" w:rsidR="00374882" w:rsidRPr="006F0063" w:rsidRDefault="00725FBA" w:rsidP="005A1275">
            <w:pPr>
              <w:keepNext/>
              <w:keepLines/>
              <w:jc w:val="left"/>
              <w:rPr>
                <w:rFonts w:eastAsia="Microsoft YaHei" w:cs="Calibri"/>
                <w:color w:val="000000"/>
                <w:highlight w:val="black"/>
              </w:rPr>
            </w:pPr>
            <w:r w:rsidRPr="006F0063">
              <w:rPr>
                <w:rFonts w:eastAsia="Microsoft YaHei" w:cs="Calibri"/>
                <w:color w:val="000000"/>
                <w:highlight w:val="black"/>
              </w:rPr>
              <w:t>*************</w:t>
            </w:r>
          </w:p>
        </w:tc>
        <w:tc>
          <w:tcPr>
            <w:tcW w:w="0" w:type="auto"/>
            <w:shd w:val="clear" w:color="auto" w:fill="auto"/>
            <w:noWrap/>
            <w:vAlign w:val="center"/>
            <w:hideMark/>
          </w:tcPr>
          <w:p w14:paraId="29448946" w14:textId="28618AFE" w:rsidR="00374882" w:rsidRPr="006F0063" w:rsidRDefault="00725FBA" w:rsidP="005A1275">
            <w:pPr>
              <w:keepNext/>
              <w:keepLines/>
              <w:jc w:val="left"/>
              <w:rPr>
                <w:rFonts w:eastAsia="Microsoft YaHei" w:cs="Calibri"/>
                <w:color w:val="000000"/>
                <w:highlight w:val="black"/>
              </w:rPr>
            </w:pPr>
            <w:r w:rsidRPr="006F0063">
              <w:rPr>
                <w:rFonts w:eastAsia="Microsoft YaHei" w:cs="Calibri"/>
                <w:color w:val="000000"/>
                <w:highlight w:val="black"/>
              </w:rPr>
              <w:t>*************</w:t>
            </w:r>
          </w:p>
        </w:tc>
        <w:tc>
          <w:tcPr>
            <w:tcW w:w="0" w:type="auto"/>
            <w:shd w:val="clear" w:color="auto" w:fill="auto"/>
            <w:noWrap/>
            <w:vAlign w:val="center"/>
            <w:hideMark/>
          </w:tcPr>
          <w:p w14:paraId="45531334" w14:textId="307039C2" w:rsidR="00374882" w:rsidRPr="006F0063" w:rsidRDefault="00725FBA" w:rsidP="005A1275">
            <w:pPr>
              <w:keepNext/>
              <w:keepLines/>
              <w:jc w:val="left"/>
              <w:rPr>
                <w:rFonts w:eastAsia="Microsoft YaHei" w:cs="Calibri"/>
                <w:color w:val="000000"/>
                <w:highlight w:val="black"/>
              </w:rPr>
            </w:pPr>
            <w:r w:rsidRPr="006F0063">
              <w:rPr>
                <w:rFonts w:eastAsia="Microsoft YaHei" w:cs="Calibri"/>
                <w:color w:val="000000"/>
                <w:highlight w:val="black"/>
              </w:rPr>
              <w:t>*************</w:t>
            </w:r>
          </w:p>
        </w:tc>
        <w:tc>
          <w:tcPr>
            <w:tcW w:w="0" w:type="auto"/>
            <w:shd w:val="clear" w:color="auto" w:fill="auto"/>
          </w:tcPr>
          <w:p w14:paraId="6969DA33" w14:textId="6F7ED107" w:rsidR="00374882" w:rsidRPr="006F0063" w:rsidRDefault="00725FBA" w:rsidP="005A1275">
            <w:pPr>
              <w:keepNext/>
              <w:keepLines/>
              <w:jc w:val="center"/>
              <w:rPr>
                <w:rFonts w:eastAsia="Microsoft YaHei" w:cs="Calibri"/>
                <w:color w:val="000000"/>
                <w:highlight w:val="black"/>
              </w:rPr>
            </w:pPr>
            <w:r w:rsidRPr="006F0063">
              <w:rPr>
                <w:rFonts w:eastAsia="Microsoft YaHei" w:cs="Calibri"/>
                <w:color w:val="000000"/>
                <w:highlight w:val="black"/>
              </w:rPr>
              <w:t>****</w:t>
            </w:r>
          </w:p>
        </w:tc>
      </w:tr>
      <w:tr w:rsidR="00374882" w:rsidRPr="00374882" w14:paraId="17A30D14" w14:textId="1CE4C546" w:rsidTr="006F0063">
        <w:trPr>
          <w:trHeight w:val="330"/>
          <w:jc w:val="center"/>
        </w:trPr>
        <w:tc>
          <w:tcPr>
            <w:tcW w:w="0" w:type="auto"/>
            <w:shd w:val="clear" w:color="auto" w:fill="auto"/>
            <w:noWrap/>
            <w:vAlign w:val="center"/>
            <w:hideMark/>
          </w:tcPr>
          <w:p w14:paraId="7127A347" w14:textId="53A45272" w:rsidR="00374882" w:rsidRPr="006F0063" w:rsidRDefault="00725FBA" w:rsidP="005A1275">
            <w:pPr>
              <w:keepNext/>
              <w:keepLines/>
              <w:jc w:val="left"/>
              <w:rPr>
                <w:rFonts w:eastAsia="Microsoft YaHei" w:cs="Calibri"/>
                <w:color w:val="000000"/>
                <w:highlight w:val="black"/>
              </w:rPr>
            </w:pPr>
            <w:r w:rsidRPr="006F0063">
              <w:rPr>
                <w:rFonts w:eastAsia="Microsoft YaHei" w:cs="Calibri"/>
                <w:color w:val="000000"/>
                <w:highlight w:val="black"/>
              </w:rPr>
              <w:t>*************</w:t>
            </w:r>
          </w:p>
        </w:tc>
        <w:tc>
          <w:tcPr>
            <w:tcW w:w="0" w:type="auto"/>
            <w:shd w:val="clear" w:color="auto" w:fill="auto"/>
            <w:noWrap/>
            <w:vAlign w:val="center"/>
            <w:hideMark/>
          </w:tcPr>
          <w:p w14:paraId="18AFC86A" w14:textId="69019CFC" w:rsidR="00374882" w:rsidRPr="006F0063" w:rsidRDefault="00725FBA" w:rsidP="005A1275">
            <w:pPr>
              <w:keepNext/>
              <w:keepLines/>
              <w:jc w:val="left"/>
              <w:rPr>
                <w:rFonts w:eastAsia="Microsoft YaHei" w:cs="Calibri"/>
                <w:color w:val="000000"/>
                <w:highlight w:val="black"/>
              </w:rPr>
            </w:pPr>
            <w:r w:rsidRPr="006F0063">
              <w:rPr>
                <w:rFonts w:eastAsia="Microsoft YaHei" w:cs="Calibri"/>
                <w:color w:val="000000"/>
                <w:highlight w:val="black"/>
              </w:rPr>
              <w:t>*************</w:t>
            </w:r>
          </w:p>
        </w:tc>
        <w:tc>
          <w:tcPr>
            <w:tcW w:w="0" w:type="auto"/>
            <w:shd w:val="clear" w:color="auto" w:fill="auto"/>
            <w:noWrap/>
            <w:vAlign w:val="center"/>
            <w:hideMark/>
          </w:tcPr>
          <w:p w14:paraId="2AA85A75" w14:textId="08C06CDC" w:rsidR="00374882" w:rsidRPr="006F0063" w:rsidRDefault="00725FBA" w:rsidP="005A1275">
            <w:pPr>
              <w:keepNext/>
              <w:keepLines/>
              <w:jc w:val="left"/>
              <w:rPr>
                <w:rFonts w:eastAsia="Microsoft YaHei" w:cs="Calibri"/>
                <w:color w:val="000000"/>
                <w:highlight w:val="black"/>
              </w:rPr>
            </w:pPr>
            <w:r w:rsidRPr="006F0063">
              <w:rPr>
                <w:rFonts w:eastAsia="Microsoft YaHei" w:cs="Calibri"/>
                <w:color w:val="000000"/>
                <w:highlight w:val="black"/>
              </w:rPr>
              <w:t>*************</w:t>
            </w:r>
          </w:p>
        </w:tc>
        <w:tc>
          <w:tcPr>
            <w:tcW w:w="0" w:type="auto"/>
            <w:shd w:val="clear" w:color="auto" w:fill="auto"/>
          </w:tcPr>
          <w:p w14:paraId="0F70D3BE" w14:textId="586CAD13" w:rsidR="00374882" w:rsidRPr="006F0063" w:rsidRDefault="00725FBA" w:rsidP="005A1275">
            <w:pPr>
              <w:keepNext/>
              <w:keepLines/>
              <w:jc w:val="center"/>
              <w:rPr>
                <w:rFonts w:eastAsia="Microsoft YaHei" w:cs="Calibri"/>
                <w:color w:val="000000"/>
                <w:highlight w:val="black"/>
              </w:rPr>
            </w:pPr>
            <w:r w:rsidRPr="006F0063">
              <w:rPr>
                <w:rFonts w:eastAsia="Microsoft YaHei" w:cs="Calibri"/>
                <w:color w:val="000000"/>
                <w:highlight w:val="black"/>
              </w:rPr>
              <w:t>****</w:t>
            </w:r>
          </w:p>
        </w:tc>
      </w:tr>
      <w:tr w:rsidR="00374882" w:rsidRPr="00374882" w14:paraId="7DB5B7BF" w14:textId="7677D42C" w:rsidTr="006F0063">
        <w:trPr>
          <w:trHeight w:val="330"/>
          <w:jc w:val="center"/>
        </w:trPr>
        <w:tc>
          <w:tcPr>
            <w:tcW w:w="0" w:type="auto"/>
            <w:shd w:val="clear" w:color="auto" w:fill="auto"/>
            <w:noWrap/>
            <w:vAlign w:val="center"/>
            <w:hideMark/>
          </w:tcPr>
          <w:p w14:paraId="6539722F" w14:textId="0DA09318" w:rsidR="00374882" w:rsidRPr="006F0063" w:rsidRDefault="00725FBA" w:rsidP="005A1275">
            <w:pPr>
              <w:keepNext/>
              <w:keepLines/>
              <w:jc w:val="left"/>
              <w:rPr>
                <w:rFonts w:eastAsia="Microsoft YaHei" w:cs="Calibri"/>
                <w:color w:val="000000"/>
                <w:highlight w:val="black"/>
              </w:rPr>
            </w:pPr>
            <w:r w:rsidRPr="006F0063">
              <w:rPr>
                <w:rFonts w:eastAsia="Microsoft YaHei" w:cs="Calibri"/>
                <w:color w:val="000000"/>
                <w:highlight w:val="black"/>
              </w:rPr>
              <w:t>*************</w:t>
            </w:r>
          </w:p>
        </w:tc>
        <w:tc>
          <w:tcPr>
            <w:tcW w:w="0" w:type="auto"/>
            <w:shd w:val="clear" w:color="auto" w:fill="auto"/>
            <w:noWrap/>
            <w:vAlign w:val="center"/>
            <w:hideMark/>
          </w:tcPr>
          <w:p w14:paraId="67DE5E92" w14:textId="2AA240E8" w:rsidR="00374882" w:rsidRPr="006F0063" w:rsidRDefault="00725FBA" w:rsidP="005A1275">
            <w:pPr>
              <w:keepNext/>
              <w:keepLines/>
              <w:jc w:val="left"/>
              <w:rPr>
                <w:rFonts w:eastAsia="Microsoft YaHei" w:cs="Calibri"/>
                <w:color w:val="000000"/>
                <w:highlight w:val="black"/>
              </w:rPr>
            </w:pPr>
            <w:r w:rsidRPr="006F0063">
              <w:rPr>
                <w:rFonts w:eastAsia="Microsoft YaHei" w:cs="Calibri"/>
                <w:color w:val="000000"/>
                <w:highlight w:val="black"/>
              </w:rPr>
              <w:t>*************</w:t>
            </w:r>
          </w:p>
        </w:tc>
        <w:tc>
          <w:tcPr>
            <w:tcW w:w="0" w:type="auto"/>
            <w:shd w:val="clear" w:color="auto" w:fill="auto"/>
            <w:noWrap/>
            <w:vAlign w:val="center"/>
            <w:hideMark/>
          </w:tcPr>
          <w:p w14:paraId="58DEFDA6" w14:textId="037C4532" w:rsidR="00374882" w:rsidRPr="006F0063" w:rsidRDefault="00725FBA" w:rsidP="005A1275">
            <w:pPr>
              <w:keepNext/>
              <w:keepLines/>
              <w:jc w:val="left"/>
              <w:rPr>
                <w:rFonts w:eastAsia="Microsoft YaHei" w:cs="Calibri"/>
                <w:color w:val="000000"/>
                <w:highlight w:val="black"/>
              </w:rPr>
            </w:pPr>
            <w:r w:rsidRPr="006F0063">
              <w:rPr>
                <w:rFonts w:eastAsia="Microsoft YaHei" w:cs="Calibri"/>
                <w:color w:val="000000"/>
                <w:highlight w:val="black"/>
              </w:rPr>
              <w:t>*************</w:t>
            </w:r>
          </w:p>
        </w:tc>
        <w:tc>
          <w:tcPr>
            <w:tcW w:w="0" w:type="auto"/>
            <w:shd w:val="clear" w:color="auto" w:fill="auto"/>
          </w:tcPr>
          <w:p w14:paraId="6E138601" w14:textId="68F2859E" w:rsidR="00374882" w:rsidRPr="006F0063" w:rsidRDefault="00725FBA" w:rsidP="005A1275">
            <w:pPr>
              <w:keepNext/>
              <w:keepLines/>
              <w:jc w:val="center"/>
              <w:rPr>
                <w:rFonts w:eastAsia="Microsoft YaHei" w:cs="Calibri"/>
                <w:color w:val="000000"/>
                <w:highlight w:val="black"/>
              </w:rPr>
            </w:pPr>
            <w:r w:rsidRPr="006F0063">
              <w:rPr>
                <w:rFonts w:eastAsia="Microsoft YaHei" w:cs="Calibri"/>
                <w:color w:val="000000"/>
                <w:highlight w:val="black"/>
              </w:rPr>
              <w:t>****</w:t>
            </w:r>
          </w:p>
        </w:tc>
      </w:tr>
      <w:tr w:rsidR="00374882" w:rsidRPr="00374882" w14:paraId="52702745" w14:textId="7E08D576" w:rsidTr="006F0063">
        <w:trPr>
          <w:trHeight w:val="330"/>
          <w:jc w:val="center"/>
        </w:trPr>
        <w:tc>
          <w:tcPr>
            <w:tcW w:w="0" w:type="auto"/>
            <w:shd w:val="clear" w:color="auto" w:fill="auto"/>
            <w:noWrap/>
            <w:vAlign w:val="center"/>
            <w:hideMark/>
          </w:tcPr>
          <w:p w14:paraId="3F57108D" w14:textId="13BD7BB6" w:rsidR="00374882" w:rsidRPr="006F0063" w:rsidRDefault="00725FBA" w:rsidP="005A1275">
            <w:pPr>
              <w:keepNext/>
              <w:keepLines/>
              <w:jc w:val="left"/>
              <w:rPr>
                <w:rFonts w:eastAsia="Microsoft YaHei" w:cs="Calibri"/>
                <w:color w:val="000000"/>
                <w:highlight w:val="black"/>
              </w:rPr>
            </w:pPr>
            <w:r w:rsidRPr="006F0063">
              <w:rPr>
                <w:rFonts w:eastAsia="Microsoft YaHei" w:cs="Calibri"/>
                <w:color w:val="000000"/>
                <w:highlight w:val="black"/>
              </w:rPr>
              <w:t>*************</w:t>
            </w:r>
          </w:p>
        </w:tc>
        <w:tc>
          <w:tcPr>
            <w:tcW w:w="0" w:type="auto"/>
            <w:shd w:val="clear" w:color="auto" w:fill="auto"/>
            <w:noWrap/>
            <w:vAlign w:val="center"/>
            <w:hideMark/>
          </w:tcPr>
          <w:p w14:paraId="0A22B5EF" w14:textId="040CD072" w:rsidR="00374882" w:rsidRPr="006F0063" w:rsidRDefault="00725FBA" w:rsidP="005A1275">
            <w:pPr>
              <w:keepNext/>
              <w:keepLines/>
              <w:jc w:val="left"/>
              <w:rPr>
                <w:rFonts w:eastAsia="Microsoft YaHei" w:cs="Calibri"/>
                <w:color w:val="000000"/>
                <w:highlight w:val="black"/>
              </w:rPr>
            </w:pPr>
            <w:r w:rsidRPr="006F0063">
              <w:rPr>
                <w:rFonts w:eastAsia="Microsoft YaHei" w:cs="Calibri"/>
                <w:color w:val="000000"/>
                <w:highlight w:val="black"/>
              </w:rPr>
              <w:t>*************</w:t>
            </w:r>
          </w:p>
        </w:tc>
        <w:tc>
          <w:tcPr>
            <w:tcW w:w="0" w:type="auto"/>
            <w:shd w:val="clear" w:color="auto" w:fill="auto"/>
            <w:noWrap/>
            <w:vAlign w:val="center"/>
            <w:hideMark/>
          </w:tcPr>
          <w:p w14:paraId="70AA5AF4" w14:textId="5C4F293A" w:rsidR="00374882" w:rsidRPr="006F0063" w:rsidRDefault="00725FBA" w:rsidP="005A1275">
            <w:pPr>
              <w:keepNext/>
              <w:keepLines/>
              <w:jc w:val="left"/>
              <w:rPr>
                <w:rFonts w:eastAsia="Microsoft YaHei" w:cs="Calibri"/>
                <w:color w:val="000000"/>
                <w:highlight w:val="black"/>
              </w:rPr>
            </w:pPr>
            <w:r w:rsidRPr="006F0063">
              <w:rPr>
                <w:rFonts w:eastAsia="Microsoft YaHei" w:cs="Calibri"/>
                <w:color w:val="000000"/>
                <w:highlight w:val="black"/>
              </w:rPr>
              <w:t>*************</w:t>
            </w:r>
          </w:p>
        </w:tc>
        <w:tc>
          <w:tcPr>
            <w:tcW w:w="0" w:type="auto"/>
            <w:shd w:val="clear" w:color="auto" w:fill="auto"/>
          </w:tcPr>
          <w:p w14:paraId="33F20EDF" w14:textId="49F07D51" w:rsidR="00374882" w:rsidRPr="006F0063" w:rsidRDefault="00725FBA" w:rsidP="005A1275">
            <w:pPr>
              <w:keepNext/>
              <w:keepLines/>
              <w:jc w:val="center"/>
              <w:rPr>
                <w:rFonts w:eastAsia="Microsoft YaHei" w:cs="Calibri"/>
                <w:color w:val="000000"/>
                <w:highlight w:val="black"/>
              </w:rPr>
            </w:pPr>
            <w:r w:rsidRPr="006F0063">
              <w:rPr>
                <w:rFonts w:eastAsia="Microsoft YaHei" w:cs="Calibri"/>
                <w:color w:val="000000"/>
                <w:highlight w:val="black"/>
              </w:rPr>
              <w:t>****</w:t>
            </w:r>
          </w:p>
        </w:tc>
      </w:tr>
      <w:tr w:rsidR="00374882" w:rsidRPr="00374882" w14:paraId="1BF68175" w14:textId="6831565A" w:rsidTr="006F0063">
        <w:trPr>
          <w:trHeight w:val="330"/>
          <w:jc w:val="center"/>
        </w:trPr>
        <w:tc>
          <w:tcPr>
            <w:tcW w:w="0" w:type="auto"/>
            <w:shd w:val="clear" w:color="auto" w:fill="auto"/>
            <w:noWrap/>
            <w:vAlign w:val="center"/>
            <w:hideMark/>
          </w:tcPr>
          <w:p w14:paraId="339F59CF" w14:textId="4547E16B" w:rsidR="00374882" w:rsidRPr="006F0063" w:rsidRDefault="00725FBA" w:rsidP="005A1275">
            <w:pPr>
              <w:keepNext/>
              <w:keepLines/>
              <w:jc w:val="left"/>
              <w:rPr>
                <w:rFonts w:eastAsia="Microsoft YaHei" w:cs="Calibri"/>
                <w:color w:val="000000"/>
                <w:highlight w:val="black"/>
              </w:rPr>
            </w:pPr>
            <w:r w:rsidRPr="006F0063">
              <w:rPr>
                <w:rFonts w:eastAsia="Microsoft YaHei" w:cs="Calibri"/>
                <w:color w:val="000000"/>
                <w:highlight w:val="black"/>
              </w:rPr>
              <w:t>*************</w:t>
            </w:r>
          </w:p>
        </w:tc>
        <w:tc>
          <w:tcPr>
            <w:tcW w:w="0" w:type="auto"/>
            <w:shd w:val="clear" w:color="auto" w:fill="auto"/>
            <w:noWrap/>
            <w:vAlign w:val="center"/>
            <w:hideMark/>
          </w:tcPr>
          <w:p w14:paraId="03452894" w14:textId="6FD86BC3" w:rsidR="00374882" w:rsidRPr="006F0063" w:rsidRDefault="00725FBA" w:rsidP="005A1275">
            <w:pPr>
              <w:keepNext/>
              <w:keepLines/>
              <w:jc w:val="left"/>
              <w:rPr>
                <w:rFonts w:eastAsia="Microsoft YaHei" w:cs="Calibri"/>
                <w:color w:val="000000"/>
                <w:highlight w:val="black"/>
              </w:rPr>
            </w:pPr>
            <w:r w:rsidRPr="006F0063">
              <w:rPr>
                <w:rFonts w:eastAsia="Microsoft YaHei" w:cs="Calibri"/>
                <w:color w:val="000000"/>
                <w:highlight w:val="black"/>
              </w:rPr>
              <w:t>*************</w:t>
            </w:r>
          </w:p>
        </w:tc>
        <w:tc>
          <w:tcPr>
            <w:tcW w:w="0" w:type="auto"/>
            <w:shd w:val="clear" w:color="auto" w:fill="auto"/>
            <w:noWrap/>
            <w:vAlign w:val="center"/>
            <w:hideMark/>
          </w:tcPr>
          <w:p w14:paraId="0F326918" w14:textId="61F07B1F" w:rsidR="00374882" w:rsidRPr="006F0063" w:rsidRDefault="00725FBA" w:rsidP="005A1275">
            <w:pPr>
              <w:keepNext/>
              <w:keepLines/>
              <w:jc w:val="left"/>
              <w:rPr>
                <w:rFonts w:eastAsia="Microsoft YaHei" w:cs="Calibri"/>
                <w:color w:val="000000"/>
                <w:highlight w:val="black"/>
              </w:rPr>
            </w:pPr>
            <w:r w:rsidRPr="006F0063">
              <w:rPr>
                <w:rFonts w:eastAsia="Microsoft YaHei" w:cs="Calibri"/>
                <w:color w:val="000000"/>
                <w:highlight w:val="black"/>
              </w:rPr>
              <w:t>*************</w:t>
            </w:r>
          </w:p>
        </w:tc>
        <w:tc>
          <w:tcPr>
            <w:tcW w:w="0" w:type="auto"/>
            <w:shd w:val="clear" w:color="auto" w:fill="auto"/>
          </w:tcPr>
          <w:p w14:paraId="47CAB6A0" w14:textId="59367593" w:rsidR="00374882" w:rsidRPr="006F0063" w:rsidRDefault="00725FBA" w:rsidP="005A1275">
            <w:pPr>
              <w:keepNext/>
              <w:keepLines/>
              <w:jc w:val="center"/>
              <w:rPr>
                <w:rFonts w:eastAsia="Microsoft YaHei" w:cs="Calibri"/>
                <w:color w:val="000000"/>
                <w:highlight w:val="black"/>
              </w:rPr>
            </w:pPr>
            <w:r w:rsidRPr="006F0063">
              <w:rPr>
                <w:rFonts w:eastAsia="Microsoft YaHei" w:cs="Calibri"/>
                <w:color w:val="000000"/>
                <w:highlight w:val="black"/>
              </w:rPr>
              <w:t>****</w:t>
            </w:r>
          </w:p>
        </w:tc>
      </w:tr>
      <w:tr w:rsidR="00374882" w:rsidRPr="00374882" w14:paraId="1E2C93D8" w14:textId="46CD0299" w:rsidTr="006F0063">
        <w:trPr>
          <w:trHeight w:val="330"/>
          <w:jc w:val="center"/>
        </w:trPr>
        <w:tc>
          <w:tcPr>
            <w:tcW w:w="0" w:type="auto"/>
            <w:shd w:val="clear" w:color="auto" w:fill="auto"/>
            <w:noWrap/>
            <w:vAlign w:val="center"/>
            <w:hideMark/>
          </w:tcPr>
          <w:p w14:paraId="5AD137C6" w14:textId="1ABF9B59" w:rsidR="00374882" w:rsidRPr="006F0063" w:rsidRDefault="00725FBA" w:rsidP="005A1275">
            <w:pPr>
              <w:keepNext/>
              <w:keepLines/>
              <w:jc w:val="left"/>
              <w:rPr>
                <w:rFonts w:eastAsia="Microsoft YaHei" w:cs="Calibri"/>
                <w:color w:val="000000"/>
                <w:highlight w:val="black"/>
              </w:rPr>
            </w:pPr>
            <w:r w:rsidRPr="006F0063">
              <w:rPr>
                <w:rFonts w:eastAsia="Microsoft YaHei" w:cs="Calibri"/>
                <w:color w:val="000000"/>
                <w:highlight w:val="black"/>
              </w:rPr>
              <w:t>*************</w:t>
            </w:r>
          </w:p>
        </w:tc>
        <w:tc>
          <w:tcPr>
            <w:tcW w:w="0" w:type="auto"/>
            <w:shd w:val="clear" w:color="auto" w:fill="auto"/>
            <w:noWrap/>
            <w:vAlign w:val="center"/>
            <w:hideMark/>
          </w:tcPr>
          <w:p w14:paraId="275591B4" w14:textId="12B6B4E1" w:rsidR="00374882" w:rsidRPr="006F0063" w:rsidRDefault="00725FBA" w:rsidP="005A1275">
            <w:pPr>
              <w:keepNext/>
              <w:keepLines/>
              <w:jc w:val="left"/>
              <w:rPr>
                <w:rFonts w:eastAsia="Microsoft YaHei" w:cs="Calibri"/>
                <w:color w:val="000000"/>
                <w:highlight w:val="black"/>
              </w:rPr>
            </w:pPr>
            <w:r w:rsidRPr="006F0063">
              <w:rPr>
                <w:rFonts w:eastAsia="Microsoft YaHei" w:cs="Calibri"/>
                <w:color w:val="000000"/>
                <w:highlight w:val="black"/>
              </w:rPr>
              <w:t>*************</w:t>
            </w:r>
          </w:p>
        </w:tc>
        <w:tc>
          <w:tcPr>
            <w:tcW w:w="0" w:type="auto"/>
            <w:shd w:val="clear" w:color="auto" w:fill="auto"/>
            <w:noWrap/>
            <w:vAlign w:val="center"/>
            <w:hideMark/>
          </w:tcPr>
          <w:p w14:paraId="18C37A03" w14:textId="40636230" w:rsidR="00374882" w:rsidRPr="006F0063" w:rsidRDefault="00725FBA" w:rsidP="005A1275">
            <w:pPr>
              <w:keepNext/>
              <w:keepLines/>
              <w:jc w:val="left"/>
              <w:rPr>
                <w:rFonts w:eastAsia="Microsoft YaHei" w:cs="Calibri"/>
                <w:color w:val="000000"/>
                <w:highlight w:val="black"/>
              </w:rPr>
            </w:pPr>
            <w:r w:rsidRPr="006F0063">
              <w:rPr>
                <w:rFonts w:eastAsia="Microsoft YaHei" w:cs="Calibri"/>
                <w:color w:val="000000"/>
                <w:highlight w:val="black"/>
              </w:rPr>
              <w:t>*************</w:t>
            </w:r>
          </w:p>
        </w:tc>
        <w:tc>
          <w:tcPr>
            <w:tcW w:w="0" w:type="auto"/>
            <w:shd w:val="clear" w:color="auto" w:fill="auto"/>
          </w:tcPr>
          <w:p w14:paraId="41E985B1" w14:textId="02507F1A" w:rsidR="00374882" w:rsidRPr="006F0063" w:rsidRDefault="00725FBA" w:rsidP="005A1275">
            <w:pPr>
              <w:keepNext/>
              <w:keepLines/>
              <w:jc w:val="center"/>
              <w:rPr>
                <w:rFonts w:eastAsia="Microsoft YaHei" w:cs="Calibri"/>
                <w:color w:val="000000"/>
                <w:highlight w:val="black"/>
              </w:rPr>
            </w:pPr>
            <w:r w:rsidRPr="006F0063">
              <w:rPr>
                <w:rFonts w:eastAsia="Microsoft YaHei" w:cs="Calibri"/>
                <w:color w:val="000000"/>
                <w:highlight w:val="black"/>
              </w:rPr>
              <w:t>****</w:t>
            </w:r>
          </w:p>
        </w:tc>
      </w:tr>
      <w:tr w:rsidR="00374882" w:rsidRPr="00374882" w14:paraId="06774E65" w14:textId="36BAB689" w:rsidTr="006F0063">
        <w:trPr>
          <w:trHeight w:val="330"/>
          <w:jc w:val="center"/>
        </w:trPr>
        <w:tc>
          <w:tcPr>
            <w:tcW w:w="0" w:type="auto"/>
            <w:shd w:val="clear" w:color="auto" w:fill="auto"/>
            <w:noWrap/>
            <w:vAlign w:val="center"/>
            <w:hideMark/>
          </w:tcPr>
          <w:p w14:paraId="2F307546" w14:textId="7976F42A" w:rsidR="00374882" w:rsidRPr="006F0063" w:rsidRDefault="00725FBA" w:rsidP="005A1275">
            <w:pPr>
              <w:keepNext/>
              <w:keepLines/>
              <w:jc w:val="left"/>
              <w:rPr>
                <w:rFonts w:eastAsia="Microsoft YaHei" w:cs="Calibri"/>
                <w:color w:val="000000"/>
                <w:highlight w:val="black"/>
              </w:rPr>
            </w:pPr>
            <w:r w:rsidRPr="006F0063">
              <w:rPr>
                <w:rFonts w:eastAsia="Microsoft YaHei" w:cs="Calibri"/>
                <w:color w:val="000000"/>
                <w:highlight w:val="black"/>
              </w:rPr>
              <w:t>*************</w:t>
            </w:r>
          </w:p>
        </w:tc>
        <w:tc>
          <w:tcPr>
            <w:tcW w:w="0" w:type="auto"/>
            <w:shd w:val="clear" w:color="auto" w:fill="auto"/>
            <w:noWrap/>
            <w:vAlign w:val="center"/>
            <w:hideMark/>
          </w:tcPr>
          <w:p w14:paraId="710FD3EC" w14:textId="5ECFC814" w:rsidR="00374882" w:rsidRPr="006F0063" w:rsidRDefault="00725FBA" w:rsidP="005A1275">
            <w:pPr>
              <w:keepNext/>
              <w:keepLines/>
              <w:jc w:val="left"/>
              <w:rPr>
                <w:rFonts w:eastAsia="Microsoft YaHei" w:cs="Calibri"/>
                <w:color w:val="000000"/>
                <w:highlight w:val="black"/>
              </w:rPr>
            </w:pPr>
            <w:r w:rsidRPr="006F0063">
              <w:rPr>
                <w:rFonts w:eastAsia="Microsoft YaHei" w:cs="Calibri"/>
                <w:color w:val="000000"/>
                <w:highlight w:val="black"/>
              </w:rPr>
              <w:t>*************</w:t>
            </w:r>
          </w:p>
        </w:tc>
        <w:tc>
          <w:tcPr>
            <w:tcW w:w="0" w:type="auto"/>
            <w:shd w:val="clear" w:color="auto" w:fill="auto"/>
            <w:noWrap/>
            <w:vAlign w:val="center"/>
            <w:hideMark/>
          </w:tcPr>
          <w:p w14:paraId="0741E83E" w14:textId="79334F7C" w:rsidR="00374882" w:rsidRPr="006F0063" w:rsidRDefault="00725FBA" w:rsidP="005A1275">
            <w:pPr>
              <w:keepNext/>
              <w:keepLines/>
              <w:jc w:val="left"/>
              <w:rPr>
                <w:rFonts w:eastAsia="Microsoft YaHei" w:cs="Calibri"/>
                <w:color w:val="000000"/>
                <w:highlight w:val="black"/>
              </w:rPr>
            </w:pPr>
            <w:r w:rsidRPr="006F0063">
              <w:rPr>
                <w:rFonts w:eastAsia="Microsoft YaHei" w:cs="Calibri"/>
                <w:color w:val="000000"/>
                <w:highlight w:val="black"/>
              </w:rPr>
              <w:t>*************</w:t>
            </w:r>
          </w:p>
        </w:tc>
        <w:tc>
          <w:tcPr>
            <w:tcW w:w="0" w:type="auto"/>
            <w:shd w:val="clear" w:color="auto" w:fill="auto"/>
          </w:tcPr>
          <w:p w14:paraId="33F97A71" w14:textId="6AB12C8A" w:rsidR="00374882" w:rsidRPr="006F0063" w:rsidRDefault="00725FBA" w:rsidP="005A1275">
            <w:pPr>
              <w:keepNext/>
              <w:keepLines/>
              <w:jc w:val="center"/>
              <w:rPr>
                <w:rFonts w:eastAsia="Microsoft YaHei" w:cs="Calibri"/>
                <w:color w:val="000000"/>
                <w:highlight w:val="black"/>
              </w:rPr>
            </w:pPr>
            <w:r w:rsidRPr="006F0063">
              <w:rPr>
                <w:rFonts w:eastAsia="Microsoft YaHei" w:cs="Calibri"/>
                <w:color w:val="000000"/>
                <w:highlight w:val="black"/>
              </w:rPr>
              <w:t>****</w:t>
            </w:r>
          </w:p>
        </w:tc>
      </w:tr>
      <w:tr w:rsidR="00374882" w:rsidRPr="00374882" w14:paraId="0B3CAE07" w14:textId="04DAFE45" w:rsidTr="006F0063">
        <w:trPr>
          <w:trHeight w:val="330"/>
          <w:jc w:val="center"/>
        </w:trPr>
        <w:tc>
          <w:tcPr>
            <w:tcW w:w="0" w:type="auto"/>
            <w:shd w:val="clear" w:color="auto" w:fill="auto"/>
            <w:noWrap/>
            <w:vAlign w:val="center"/>
            <w:hideMark/>
          </w:tcPr>
          <w:p w14:paraId="2A073130" w14:textId="0F4DB015" w:rsidR="00374882" w:rsidRPr="006F0063" w:rsidRDefault="00725FBA" w:rsidP="005A1275">
            <w:pPr>
              <w:keepNext/>
              <w:keepLines/>
              <w:jc w:val="left"/>
              <w:rPr>
                <w:rFonts w:eastAsia="Microsoft YaHei" w:cs="Calibri"/>
                <w:color w:val="000000"/>
                <w:highlight w:val="black"/>
              </w:rPr>
            </w:pPr>
            <w:r w:rsidRPr="006F0063">
              <w:rPr>
                <w:rFonts w:eastAsia="Microsoft YaHei" w:cs="Calibri"/>
                <w:color w:val="000000"/>
                <w:highlight w:val="black"/>
              </w:rPr>
              <w:t>*************</w:t>
            </w:r>
          </w:p>
        </w:tc>
        <w:tc>
          <w:tcPr>
            <w:tcW w:w="0" w:type="auto"/>
            <w:shd w:val="clear" w:color="auto" w:fill="auto"/>
            <w:noWrap/>
            <w:vAlign w:val="center"/>
            <w:hideMark/>
          </w:tcPr>
          <w:p w14:paraId="70F6D6A0" w14:textId="4CF16E03" w:rsidR="00374882" w:rsidRPr="006F0063" w:rsidRDefault="00725FBA" w:rsidP="005A1275">
            <w:pPr>
              <w:keepNext/>
              <w:keepLines/>
              <w:jc w:val="left"/>
              <w:rPr>
                <w:rFonts w:eastAsia="Microsoft YaHei" w:cs="Calibri"/>
                <w:color w:val="000000"/>
                <w:highlight w:val="black"/>
              </w:rPr>
            </w:pPr>
            <w:r w:rsidRPr="006F0063">
              <w:rPr>
                <w:rFonts w:eastAsia="Microsoft YaHei" w:cs="Calibri"/>
                <w:color w:val="000000"/>
                <w:highlight w:val="black"/>
              </w:rPr>
              <w:t>*************</w:t>
            </w:r>
          </w:p>
        </w:tc>
        <w:tc>
          <w:tcPr>
            <w:tcW w:w="0" w:type="auto"/>
            <w:shd w:val="clear" w:color="auto" w:fill="auto"/>
            <w:noWrap/>
            <w:vAlign w:val="center"/>
            <w:hideMark/>
          </w:tcPr>
          <w:p w14:paraId="4894B04F" w14:textId="3D443C84" w:rsidR="00374882" w:rsidRPr="006F0063" w:rsidRDefault="00725FBA" w:rsidP="005A1275">
            <w:pPr>
              <w:keepNext/>
              <w:keepLines/>
              <w:jc w:val="left"/>
              <w:rPr>
                <w:rFonts w:eastAsia="Microsoft YaHei" w:cs="Calibri"/>
                <w:color w:val="000000"/>
                <w:highlight w:val="black"/>
              </w:rPr>
            </w:pPr>
            <w:r w:rsidRPr="006F0063">
              <w:rPr>
                <w:rFonts w:eastAsia="Microsoft YaHei" w:cs="Calibri"/>
                <w:color w:val="000000"/>
                <w:highlight w:val="black"/>
              </w:rPr>
              <w:t>*************</w:t>
            </w:r>
          </w:p>
        </w:tc>
        <w:tc>
          <w:tcPr>
            <w:tcW w:w="0" w:type="auto"/>
            <w:shd w:val="clear" w:color="auto" w:fill="auto"/>
          </w:tcPr>
          <w:p w14:paraId="60595FE7" w14:textId="49EFC50E" w:rsidR="00374882" w:rsidRPr="006F0063" w:rsidRDefault="00725FBA" w:rsidP="005A1275">
            <w:pPr>
              <w:keepNext/>
              <w:keepLines/>
              <w:jc w:val="center"/>
              <w:rPr>
                <w:rFonts w:eastAsia="Microsoft YaHei" w:cs="Calibri"/>
                <w:color w:val="000000"/>
                <w:highlight w:val="black"/>
              </w:rPr>
            </w:pPr>
            <w:r w:rsidRPr="006F0063">
              <w:rPr>
                <w:rFonts w:eastAsia="Microsoft YaHei" w:cs="Calibri"/>
                <w:color w:val="000000"/>
                <w:highlight w:val="black"/>
              </w:rPr>
              <w:t>****</w:t>
            </w:r>
          </w:p>
        </w:tc>
      </w:tr>
      <w:tr w:rsidR="00374882" w:rsidRPr="00374882" w14:paraId="4DEBBED2" w14:textId="5FC0FBA8" w:rsidTr="006F0063">
        <w:trPr>
          <w:trHeight w:val="330"/>
          <w:jc w:val="center"/>
        </w:trPr>
        <w:tc>
          <w:tcPr>
            <w:tcW w:w="0" w:type="auto"/>
            <w:shd w:val="clear" w:color="auto" w:fill="auto"/>
            <w:noWrap/>
            <w:vAlign w:val="center"/>
            <w:hideMark/>
          </w:tcPr>
          <w:p w14:paraId="5A14F7EC" w14:textId="023F8AC3" w:rsidR="00374882" w:rsidRPr="006F0063" w:rsidRDefault="00725FBA" w:rsidP="005A1275">
            <w:pPr>
              <w:keepNext/>
              <w:keepLines/>
              <w:jc w:val="left"/>
              <w:rPr>
                <w:rFonts w:eastAsia="Microsoft YaHei" w:cs="Calibri"/>
                <w:color w:val="000000"/>
                <w:highlight w:val="black"/>
              </w:rPr>
            </w:pPr>
            <w:r w:rsidRPr="006F0063">
              <w:rPr>
                <w:rFonts w:eastAsia="Microsoft YaHei" w:cs="Calibri"/>
                <w:color w:val="000000"/>
                <w:highlight w:val="black"/>
              </w:rPr>
              <w:t>*************</w:t>
            </w:r>
          </w:p>
        </w:tc>
        <w:tc>
          <w:tcPr>
            <w:tcW w:w="0" w:type="auto"/>
            <w:shd w:val="clear" w:color="auto" w:fill="auto"/>
            <w:noWrap/>
            <w:vAlign w:val="center"/>
            <w:hideMark/>
          </w:tcPr>
          <w:p w14:paraId="7177F186" w14:textId="24379DAF" w:rsidR="00374882" w:rsidRPr="006F0063" w:rsidRDefault="00725FBA" w:rsidP="005A1275">
            <w:pPr>
              <w:keepNext/>
              <w:keepLines/>
              <w:jc w:val="left"/>
              <w:rPr>
                <w:rFonts w:eastAsia="Microsoft YaHei" w:cs="Calibri"/>
                <w:color w:val="000000"/>
                <w:highlight w:val="black"/>
              </w:rPr>
            </w:pPr>
            <w:r w:rsidRPr="006F0063">
              <w:rPr>
                <w:rFonts w:eastAsia="Microsoft YaHei" w:cs="Calibri"/>
                <w:color w:val="000000"/>
                <w:highlight w:val="black"/>
              </w:rPr>
              <w:t>*************</w:t>
            </w:r>
          </w:p>
        </w:tc>
        <w:tc>
          <w:tcPr>
            <w:tcW w:w="0" w:type="auto"/>
            <w:shd w:val="clear" w:color="auto" w:fill="auto"/>
            <w:noWrap/>
            <w:vAlign w:val="center"/>
            <w:hideMark/>
          </w:tcPr>
          <w:p w14:paraId="217984E3" w14:textId="4E7CC6DB" w:rsidR="00374882" w:rsidRPr="006F0063" w:rsidRDefault="00725FBA" w:rsidP="005A1275">
            <w:pPr>
              <w:keepNext/>
              <w:keepLines/>
              <w:jc w:val="left"/>
              <w:rPr>
                <w:rFonts w:eastAsia="Microsoft YaHei" w:cs="Calibri"/>
                <w:color w:val="000000"/>
                <w:highlight w:val="black"/>
              </w:rPr>
            </w:pPr>
            <w:r w:rsidRPr="006F0063">
              <w:rPr>
                <w:rFonts w:eastAsia="Microsoft YaHei" w:cs="Calibri"/>
                <w:color w:val="000000"/>
                <w:highlight w:val="black"/>
              </w:rPr>
              <w:t>*************</w:t>
            </w:r>
          </w:p>
        </w:tc>
        <w:tc>
          <w:tcPr>
            <w:tcW w:w="0" w:type="auto"/>
            <w:shd w:val="clear" w:color="auto" w:fill="auto"/>
          </w:tcPr>
          <w:p w14:paraId="0983349A" w14:textId="68A4F834" w:rsidR="00374882" w:rsidRPr="006F0063" w:rsidRDefault="00725FBA" w:rsidP="005A1275">
            <w:pPr>
              <w:keepNext/>
              <w:keepLines/>
              <w:jc w:val="center"/>
              <w:rPr>
                <w:rFonts w:eastAsia="Microsoft YaHei" w:cs="Calibri"/>
                <w:color w:val="000000"/>
                <w:highlight w:val="black"/>
              </w:rPr>
            </w:pPr>
            <w:r w:rsidRPr="006F0063">
              <w:rPr>
                <w:rFonts w:eastAsia="Microsoft YaHei" w:cs="Calibri"/>
                <w:color w:val="000000"/>
                <w:highlight w:val="black"/>
              </w:rPr>
              <w:t>****</w:t>
            </w:r>
          </w:p>
        </w:tc>
      </w:tr>
      <w:tr w:rsidR="00374882" w:rsidRPr="00374882" w14:paraId="24DDA671" w14:textId="09859FE3" w:rsidTr="006F0063">
        <w:trPr>
          <w:trHeight w:val="330"/>
          <w:jc w:val="center"/>
        </w:trPr>
        <w:tc>
          <w:tcPr>
            <w:tcW w:w="0" w:type="auto"/>
            <w:shd w:val="clear" w:color="auto" w:fill="auto"/>
            <w:noWrap/>
            <w:vAlign w:val="center"/>
            <w:hideMark/>
          </w:tcPr>
          <w:p w14:paraId="68046DA1" w14:textId="00FB1FBD" w:rsidR="00374882" w:rsidRPr="006F0063" w:rsidRDefault="00725FBA" w:rsidP="005A1275">
            <w:pPr>
              <w:keepNext/>
              <w:keepLines/>
              <w:jc w:val="left"/>
              <w:rPr>
                <w:rFonts w:eastAsia="Microsoft YaHei" w:cs="Calibri"/>
                <w:color w:val="000000"/>
                <w:highlight w:val="black"/>
              </w:rPr>
            </w:pPr>
            <w:r w:rsidRPr="006F0063">
              <w:rPr>
                <w:rFonts w:eastAsia="Microsoft YaHei" w:cs="Calibri"/>
                <w:color w:val="000000"/>
                <w:highlight w:val="black"/>
              </w:rPr>
              <w:t>*************</w:t>
            </w:r>
          </w:p>
        </w:tc>
        <w:tc>
          <w:tcPr>
            <w:tcW w:w="0" w:type="auto"/>
            <w:shd w:val="clear" w:color="auto" w:fill="auto"/>
            <w:noWrap/>
            <w:vAlign w:val="center"/>
            <w:hideMark/>
          </w:tcPr>
          <w:p w14:paraId="0CEEB68C" w14:textId="53FA52E2" w:rsidR="00374882" w:rsidRPr="006F0063" w:rsidRDefault="00725FBA" w:rsidP="005A1275">
            <w:pPr>
              <w:keepNext/>
              <w:keepLines/>
              <w:jc w:val="left"/>
              <w:rPr>
                <w:rFonts w:eastAsia="Microsoft YaHei" w:cs="Calibri"/>
                <w:color w:val="000000"/>
                <w:highlight w:val="black"/>
              </w:rPr>
            </w:pPr>
            <w:r w:rsidRPr="006F0063">
              <w:rPr>
                <w:rFonts w:eastAsia="Microsoft YaHei" w:cs="Calibri"/>
                <w:color w:val="000000"/>
                <w:highlight w:val="black"/>
              </w:rPr>
              <w:t>*************</w:t>
            </w:r>
          </w:p>
        </w:tc>
        <w:tc>
          <w:tcPr>
            <w:tcW w:w="0" w:type="auto"/>
            <w:shd w:val="clear" w:color="auto" w:fill="auto"/>
            <w:noWrap/>
            <w:vAlign w:val="center"/>
            <w:hideMark/>
          </w:tcPr>
          <w:p w14:paraId="3CDDD268" w14:textId="4B815A7A" w:rsidR="00374882" w:rsidRPr="006F0063" w:rsidRDefault="00725FBA" w:rsidP="005A1275">
            <w:pPr>
              <w:keepNext/>
              <w:keepLines/>
              <w:jc w:val="left"/>
              <w:rPr>
                <w:rFonts w:eastAsia="Microsoft YaHei" w:cs="Calibri"/>
                <w:color w:val="000000"/>
                <w:highlight w:val="black"/>
              </w:rPr>
            </w:pPr>
            <w:r w:rsidRPr="006F0063">
              <w:rPr>
                <w:rFonts w:eastAsia="Microsoft YaHei" w:cs="Calibri"/>
                <w:color w:val="000000"/>
                <w:highlight w:val="black"/>
              </w:rPr>
              <w:t>*************</w:t>
            </w:r>
          </w:p>
        </w:tc>
        <w:tc>
          <w:tcPr>
            <w:tcW w:w="0" w:type="auto"/>
            <w:shd w:val="clear" w:color="auto" w:fill="auto"/>
          </w:tcPr>
          <w:p w14:paraId="665373D2" w14:textId="77595FAC" w:rsidR="00374882" w:rsidRPr="006F0063" w:rsidRDefault="00725FBA" w:rsidP="005A1275">
            <w:pPr>
              <w:keepNext/>
              <w:keepLines/>
              <w:jc w:val="center"/>
              <w:rPr>
                <w:rFonts w:eastAsia="Microsoft YaHei" w:cs="Calibri"/>
                <w:color w:val="000000"/>
                <w:highlight w:val="black"/>
              </w:rPr>
            </w:pPr>
            <w:r w:rsidRPr="006F0063">
              <w:rPr>
                <w:rFonts w:eastAsia="Microsoft YaHei" w:cs="Calibri"/>
                <w:color w:val="000000"/>
                <w:highlight w:val="black"/>
              </w:rPr>
              <w:t>****</w:t>
            </w:r>
          </w:p>
        </w:tc>
      </w:tr>
      <w:tr w:rsidR="00374882" w:rsidRPr="00374882" w14:paraId="3990740B" w14:textId="2A8F2D83" w:rsidTr="006F0063">
        <w:trPr>
          <w:trHeight w:val="300"/>
          <w:jc w:val="center"/>
        </w:trPr>
        <w:tc>
          <w:tcPr>
            <w:tcW w:w="0" w:type="auto"/>
            <w:shd w:val="clear" w:color="auto" w:fill="auto"/>
            <w:noWrap/>
            <w:vAlign w:val="center"/>
            <w:hideMark/>
          </w:tcPr>
          <w:p w14:paraId="6646FB8A" w14:textId="571DB437" w:rsidR="00374882" w:rsidRPr="006F0063" w:rsidRDefault="00725FBA" w:rsidP="005A1275">
            <w:pPr>
              <w:keepNext/>
              <w:keepLines/>
              <w:jc w:val="left"/>
              <w:rPr>
                <w:rFonts w:eastAsia="Microsoft YaHei" w:cs="Calibri"/>
                <w:color w:val="000000"/>
                <w:highlight w:val="black"/>
              </w:rPr>
            </w:pPr>
            <w:r w:rsidRPr="006F0063">
              <w:rPr>
                <w:rFonts w:eastAsia="Microsoft YaHei" w:cs="Calibri"/>
                <w:color w:val="000000"/>
                <w:highlight w:val="black"/>
              </w:rPr>
              <w:t>*************</w:t>
            </w:r>
          </w:p>
        </w:tc>
        <w:tc>
          <w:tcPr>
            <w:tcW w:w="0" w:type="auto"/>
            <w:shd w:val="clear" w:color="auto" w:fill="auto"/>
            <w:noWrap/>
            <w:vAlign w:val="center"/>
            <w:hideMark/>
          </w:tcPr>
          <w:p w14:paraId="4C2CC9B4" w14:textId="204882CD" w:rsidR="00374882" w:rsidRPr="006F0063" w:rsidRDefault="00725FBA" w:rsidP="005A1275">
            <w:pPr>
              <w:keepNext/>
              <w:keepLines/>
              <w:jc w:val="left"/>
              <w:rPr>
                <w:rFonts w:eastAsia="Microsoft YaHei" w:cs="Calibri"/>
                <w:color w:val="000000"/>
                <w:highlight w:val="black"/>
              </w:rPr>
            </w:pPr>
            <w:r w:rsidRPr="006F0063">
              <w:rPr>
                <w:rFonts w:eastAsia="Microsoft YaHei" w:cs="Calibri"/>
                <w:color w:val="000000"/>
                <w:highlight w:val="black"/>
              </w:rPr>
              <w:t>*************</w:t>
            </w:r>
          </w:p>
        </w:tc>
        <w:tc>
          <w:tcPr>
            <w:tcW w:w="0" w:type="auto"/>
            <w:shd w:val="clear" w:color="auto" w:fill="auto"/>
            <w:noWrap/>
            <w:vAlign w:val="center"/>
            <w:hideMark/>
          </w:tcPr>
          <w:p w14:paraId="6D42DFCC" w14:textId="2D18C47F" w:rsidR="00374882" w:rsidRPr="006F0063" w:rsidRDefault="00725FBA" w:rsidP="005A1275">
            <w:pPr>
              <w:keepNext/>
              <w:keepLines/>
              <w:jc w:val="left"/>
              <w:rPr>
                <w:rFonts w:eastAsia="Microsoft YaHei" w:cs="Calibri"/>
                <w:color w:val="000000"/>
                <w:highlight w:val="black"/>
              </w:rPr>
            </w:pPr>
            <w:r w:rsidRPr="006F0063">
              <w:rPr>
                <w:rFonts w:eastAsia="Microsoft YaHei" w:cs="Calibri"/>
                <w:color w:val="000000"/>
                <w:highlight w:val="black"/>
              </w:rPr>
              <w:t>*************</w:t>
            </w:r>
          </w:p>
        </w:tc>
        <w:tc>
          <w:tcPr>
            <w:tcW w:w="0" w:type="auto"/>
            <w:shd w:val="clear" w:color="auto" w:fill="auto"/>
          </w:tcPr>
          <w:p w14:paraId="51D1B57C" w14:textId="697CEC99" w:rsidR="00374882" w:rsidRPr="006F0063" w:rsidRDefault="00725FBA" w:rsidP="005A1275">
            <w:pPr>
              <w:keepNext/>
              <w:keepLines/>
              <w:jc w:val="center"/>
              <w:rPr>
                <w:rFonts w:eastAsia="Microsoft YaHei" w:cs="Calibri"/>
                <w:color w:val="000000"/>
                <w:highlight w:val="black"/>
              </w:rPr>
            </w:pPr>
            <w:r w:rsidRPr="006F0063">
              <w:rPr>
                <w:rFonts w:eastAsia="Microsoft YaHei" w:cs="Calibri"/>
                <w:color w:val="000000"/>
                <w:highlight w:val="black"/>
              </w:rPr>
              <w:t>****</w:t>
            </w:r>
          </w:p>
        </w:tc>
      </w:tr>
      <w:tr w:rsidR="00374882" w:rsidRPr="00374882" w14:paraId="3A7BA426" w14:textId="77777777" w:rsidTr="005A1275">
        <w:trPr>
          <w:trHeight w:val="300"/>
          <w:jc w:val="center"/>
        </w:trPr>
        <w:tc>
          <w:tcPr>
            <w:tcW w:w="0" w:type="auto"/>
            <w:shd w:val="clear" w:color="auto" w:fill="F2F2F2" w:themeFill="background1" w:themeFillShade="F2"/>
            <w:noWrap/>
            <w:vAlign w:val="center"/>
          </w:tcPr>
          <w:p w14:paraId="3A522593" w14:textId="167D3F17" w:rsidR="00374882" w:rsidRPr="00725FBA" w:rsidRDefault="00374882" w:rsidP="00374882">
            <w:pPr>
              <w:keepNext/>
              <w:keepLines/>
              <w:jc w:val="left"/>
              <w:rPr>
                <w:rFonts w:eastAsia="Microsoft YaHei" w:cs="Calibri"/>
                <w:b/>
                <w:bCs/>
                <w:color w:val="000000"/>
              </w:rPr>
            </w:pPr>
            <w:r w:rsidRPr="00725FBA">
              <w:rPr>
                <w:rFonts w:eastAsia="Microsoft YaHei" w:cs="Calibri"/>
                <w:b/>
                <w:bCs/>
                <w:color w:val="000000"/>
              </w:rPr>
              <w:t>Total</w:t>
            </w:r>
          </w:p>
        </w:tc>
        <w:tc>
          <w:tcPr>
            <w:tcW w:w="0" w:type="auto"/>
            <w:shd w:val="clear" w:color="auto" w:fill="F2F2F2" w:themeFill="background1" w:themeFillShade="F2"/>
            <w:noWrap/>
            <w:vAlign w:val="center"/>
          </w:tcPr>
          <w:p w14:paraId="7C7840EF" w14:textId="77777777" w:rsidR="00374882" w:rsidRPr="00725FBA" w:rsidRDefault="00374882" w:rsidP="00374882">
            <w:pPr>
              <w:keepNext/>
              <w:keepLines/>
              <w:jc w:val="left"/>
              <w:rPr>
                <w:rFonts w:eastAsia="Microsoft YaHei" w:cs="Calibri"/>
                <w:b/>
                <w:bCs/>
                <w:color w:val="000000"/>
              </w:rPr>
            </w:pPr>
          </w:p>
        </w:tc>
        <w:tc>
          <w:tcPr>
            <w:tcW w:w="0" w:type="auto"/>
            <w:shd w:val="clear" w:color="auto" w:fill="F2F2F2" w:themeFill="background1" w:themeFillShade="F2"/>
            <w:noWrap/>
            <w:vAlign w:val="center"/>
          </w:tcPr>
          <w:p w14:paraId="2C5FFB13" w14:textId="77777777" w:rsidR="00374882" w:rsidRPr="00725FBA" w:rsidRDefault="00374882" w:rsidP="00374882">
            <w:pPr>
              <w:keepNext/>
              <w:keepLines/>
              <w:jc w:val="left"/>
              <w:rPr>
                <w:rFonts w:eastAsia="Microsoft YaHei" w:cs="Calibri"/>
                <w:b/>
                <w:bCs/>
                <w:color w:val="000000"/>
              </w:rPr>
            </w:pPr>
          </w:p>
        </w:tc>
        <w:tc>
          <w:tcPr>
            <w:tcW w:w="0" w:type="auto"/>
            <w:shd w:val="clear" w:color="auto" w:fill="F2F2F2" w:themeFill="background1" w:themeFillShade="F2"/>
          </w:tcPr>
          <w:p w14:paraId="792FD141" w14:textId="7BD224E8" w:rsidR="00374882" w:rsidRPr="00725FBA" w:rsidRDefault="00725FBA" w:rsidP="005A1275">
            <w:pPr>
              <w:keepNext/>
              <w:keepLines/>
              <w:jc w:val="center"/>
              <w:rPr>
                <w:rFonts w:eastAsia="Microsoft YaHei" w:cs="Calibri"/>
                <w:b/>
                <w:bCs/>
                <w:color w:val="000000"/>
              </w:rPr>
            </w:pPr>
            <w:r w:rsidRPr="00725FBA">
              <w:rPr>
                <w:rFonts w:eastAsia="Microsoft YaHei" w:cs="Calibri"/>
                <w:color w:val="000000"/>
                <w:highlight w:val="black"/>
              </w:rPr>
              <w:t>****</w:t>
            </w:r>
            <w:r>
              <w:rPr>
                <w:rFonts w:eastAsia="Microsoft YaHei" w:cs="Calibri"/>
                <w:color w:val="000000"/>
              </w:rPr>
              <w:t xml:space="preserve"> </w:t>
            </w:r>
            <w:r w:rsidR="00071755" w:rsidRPr="00725FBA">
              <w:rPr>
                <w:rStyle w:val="FootnoteReference"/>
                <w:rFonts w:eastAsia="Microsoft YaHei"/>
                <w:b/>
                <w:bCs/>
                <w:color w:val="000000"/>
              </w:rPr>
              <w:footnoteReference w:id="34"/>
            </w:r>
          </w:p>
        </w:tc>
      </w:tr>
    </w:tbl>
    <w:p w14:paraId="240DCF97" w14:textId="561392DD" w:rsidR="00123893" w:rsidRDefault="00123893" w:rsidP="00123893">
      <w:pPr>
        <w:pStyle w:val="Question"/>
      </w:pPr>
      <w:r>
        <w:t>Q.</w:t>
      </w:r>
      <w:r>
        <w:tab/>
        <w:t xml:space="preserve">what are the key assumptions </w:t>
      </w:r>
      <w:r w:rsidR="00B046C3">
        <w:t>of the load realization model</w:t>
      </w:r>
      <w:r w:rsidR="00011928">
        <w:t xml:space="preserve"> regarding project Success</w:t>
      </w:r>
      <w:r w:rsidR="00B046C3">
        <w:t>?</w:t>
      </w:r>
    </w:p>
    <w:p w14:paraId="5712CA7F" w14:textId="334FCE75" w:rsidR="00B046C3" w:rsidRDefault="00B046C3" w:rsidP="00626BBA">
      <w:pPr>
        <w:pStyle w:val="Answers"/>
      </w:pPr>
      <w:r>
        <w:t>A.</w:t>
      </w:r>
      <w:r w:rsidR="005570AC">
        <w:tab/>
        <w:t xml:space="preserve">The Project Success </w:t>
      </w:r>
      <w:r w:rsidR="000E2D2B">
        <w:t>assumptions</w:t>
      </w:r>
      <w:r w:rsidR="005570AC">
        <w:t xml:space="preserve"> are constructed of two core components:</w:t>
      </w:r>
    </w:p>
    <w:p w14:paraId="7989AC60" w14:textId="2D3E64F6" w:rsidR="005570AC" w:rsidRDefault="005570AC" w:rsidP="00626BBA">
      <w:pPr>
        <w:pStyle w:val="Answers"/>
        <w:numPr>
          <w:ilvl w:val="0"/>
          <w:numId w:val="6"/>
        </w:numPr>
      </w:pPr>
      <w:r>
        <w:lastRenderedPageBreak/>
        <w:t>A simple product of customer choice assumptions and</w:t>
      </w:r>
    </w:p>
    <w:p w14:paraId="1E8A42A2" w14:textId="30E8312B" w:rsidR="005570AC" w:rsidRDefault="005570AC" w:rsidP="00626BBA">
      <w:pPr>
        <w:pStyle w:val="Answers"/>
        <w:numPr>
          <w:ilvl w:val="0"/>
          <w:numId w:val="6"/>
        </w:numPr>
      </w:pPr>
      <w:r>
        <w:t>A Bernoulli distribution.</w:t>
      </w:r>
    </w:p>
    <w:p w14:paraId="507CE563" w14:textId="65632B63" w:rsidR="005570AC" w:rsidRDefault="005570AC" w:rsidP="00626BBA">
      <w:pPr>
        <w:pStyle w:val="Answers"/>
      </w:pPr>
      <w:r>
        <w:tab/>
        <w:t>The customer choice assumptions are constructed of three probabilities:</w:t>
      </w:r>
      <w:r>
        <w:rPr>
          <w:rStyle w:val="FootnoteReference"/>
        </w:rPr>
        <w:footnoteReference w:id="35"/>
      </w:r>
      <w:r>
        <w:t xml:space="preserve"> </w:t>
      </w:r>
    </w:p>
    <w:p w14:paraId="33CC29E4" w14:textId="701F62B9" w:rsidR="005570AC" w:rsidRPr="005A1275" w:rsidRDefault="002273F7" w:rsidP="00626BBA">
      <w:pPr>
        <w:pStyle w:val="Answers"/>
        <w:numPr>
          <w:ilvl w:val="0"/>
          <w:numId w:val="7"/>
        </w:numPr>
      </w:pPr>
      <w:r w:rsidRPr="005A1275">
        <w:t xml:space="preserve">Probability 1: </w:t>
      </w:r>
      <w:r w:rsidR="005570AC" w:rsidRPr="005A1275">
        <w:t xml:space="preserve">The probability that the customer has chosen Georgia as the site of the project </w:t>
      </w:r>
      <w:r w:rsidR="00725FBA">
        <w:t>(</w:t>
      </w:r>
      <w:r w:rsidR="00725FBA" w:rsidRPr="00725FBA">
        <w:rPr>
          <w:highlight w:val="black"/>
        </w:rPr>
        <w:t>******</w:t>
      </w:r>
      <w:r w:rsidR="00725FBA" w:rsidRPr="006F0063">
        <w:rPr>
          <w:highlight w:val="black"/>
        </w:rPr>
        <w:t>*****</w:t>
      </w:r>
      <w:r w:rsidR="00725FBA" w:rsidRPr="00725FBA">
        <w:rPr>
          <w:highlight w:val="black"/>
        </w:rPr>
        <w:t>****</w:t>
      </w:r>
      <w:r w:rsidR="00725FBA">
        <w:t>)</w:t>
      </w:r>
      <w:r w:rsidR="005570AC" w:rsidRPr="00725FBA">
        <w:t>,</w:t>
      </w:r>
    </w:p>
    <w:p w14:paraId="69ED1048" w14:textId="42279DB1" w:rsidR="005570AC" w:rsidRPr="005A1275" w:rsidRDefault="002273F7" w:rsidP="00626BBA">
      <w:pPr>
        <w:pStyle w:val="Answers"/>
        <w:numPr>
          <w:ilvl w:val="0"/>
          <w:numId w:val="7"/>
        </w:numPr>
      </w:pPr>
      <w:r w:rsidRPr="005A1275">
        <w:t xml:space="preserve">Probability 2: </w:t>
      </w:r>
      <w:r w:rsidR="005570AC" w:rsidRPr="005A1275">
        <w:t xml:space="preserve">The probability that the customer will choose GPC as the power provider </w:t>
      </w:r>
      <w:r w:rsidR="00725FBA">
        <w:t>(</w:t>
      </w:r>
      <w:r w:rsidR="00725FBA" w:rsidRPr="00725FBA">
        <w:rPr>
          <w:highlight w:val="black"/>
        </w:rPr>
        <w:t>**************************</w:t>
      </w:r>
      <w:r w:rsidR="00725FBA">
        <w:t>)</w:t>
      </w:r>
      <w:r w:rsidR="005570AC" w:rsidRPr="005A1275">
        <w:t>, and</w:t>
      </w:r>
    </w:p>
    <w:p w14:paraId="1D9DF434" w14:textId="366D4EE5" w:rsidR="005570AC" w:rsidRPr="008D2144" w:rsidRDefault="002273F7" w:rsidP="00626BBA">
      <w:pPr>
        <w:pStyle w:val="Answers"/>
        <w:numPr>
          <w:ilvl w:val="0"/>
          <w:numId w:val="7"/>
        </w:numPr>
      </w:pPr>
      <w:r w:rsidRPr="005A1275">
        <w:t xml:space="preserve">Probability 3: </w:t>
      </w:r>
      <w:r w:rsidR="005570AC" w:rsidRPr="005A1275">
        <w:t xml:space="preserve">The probability that a project will materialize after the customer signs a contract with GPC, which is always set </w:t>
      </w:r>
      <w:r w:rsidR="00E01138" w:rsidRPr="005A1275">
        <w:t>at</w:t>
      </w:r>
      <w:r w:rsidR="005570AC" w:rsidRPr="005A1275">
        <w:t xml:space="preserve"> </w:t>
      </w:r>
      <w:r w:rsidR="00725FBA" w:rsidRPr="00725FBA">
        <w:rPr>
          <w:highlight w:val="black"/>
        </w:rPr>
        <w:t>***</w:t>
      </w:r>
      <w:r w:rsidR="005570AC" w:rsidRPr="005A1275">
        <w:t xml:space="preserve"> as signed contracts do fail to materialize sometimes</w:t>
      </w:r>
      <w:r w:rsidR="005570AC" w:rsidRPr="008D2144">
        <w:t>.</w:t>
      </w:r>
    </w:p>
    <w:p w14:paraId="07E7FFB0" w14:textId="6F2A4973" w:rsidR="005570AC" w:rsidRDefault="005904B3" w:rsidP="00626BBA">
      <w:pPr>
        <w:pStyle w:val="Answers"/>
      </w:pPr>
      <w:r>
        <w:tab/>
      </w:r>
      <w:r>
        <w:tab/>
      </w:r>
      <w:r w:rsidR="005570AC">
        <w:t>A simple product of these three percentages is used to produce the likelihood that a given project would materialize. A Bernoulli distribution is then applied to this customer choice assumption</w:t>
      </w:r>
      <w:r w:rsidR="002273F7">
        <w:t xml:space="preserve"> through the @RISK software</w:t>
      </w:r>
      <w:r w:rsidR="005570AC">
        <w:t xml:space="preserve"> with independent correlation assumptions between projects</w:t>
      </w:r>
      <w:r w:rsidR="002273F7">
        <w:t xml:space="preserve"> to produce a value of either 0 or 1 across each iteration</w:t>
      </w:r>
      <w:r w:rsidR="005570AC">
        <w:t>.</w:t>
      </w:r>
      <w:r w:rsidR="005570AC">
        <w:rPr>
          <w:rStyle w:val="FootnoteReference"/>
        </w:rPr>
        <w:footnoteReference w:id="36"/>
      </w:r>
      <w:r w:rsidR="002273F7">
        <w:t xml:space="preserve"> </w:t>
      </w:r>
      <w:r w:rsidR="00071755">
        <w:t xml:space="preserve">If a project receives a value of 0, then the project has “failed” and none of its load will materialize in each iteration. If a project receives a value of 1, then the project load will materialize according to the remaining assumptions in the model. </w:t>
      </w:r>
    </w:p>
    <w:p w14:paraId="17F525F9" w14:textId="63386F8C" w:rsidR="005570AC" w:rsidRDefault="005570AC" w:rsidP="005570AC">
      <w:pPr>
        <w:pStyle w:val="Question"/>
      </w:pPr>
      <w:r>
        <w:t>Q.</w:t>
      </w:r>
      <w:r>
        <w:tab/>
        <w:t>Are the project success assumptions appropriate?</w:t>
      </w:r>
    </w:p>
    <w:p w14:paraId="1421E0CA" w14:textId="0498F9A6" w:rsidR="005570AC" w:rsidRDefault="61BACE2D" w:rsidP="00626BBA">
      <w:pPr>
        <w:pStyle w:val="Answers"/>
      </w:pPr>
      <w:r>
        <w:lastRenderedPageBreak/>
        <w:t>A.</w:t>
      </w:r>
      <w:r w:rsidR="36A18A6F">
        <w:tab/>
      </w:r>
      <w:r w:rsidR="7684C296">
        <w:t>The specific values are arbitrary as would be any alternate proposed values.</w:t>
      </w:r>
      <w:r w:rsidR="2C2E59B6">
        <w:t xml:space="preserve"> </w:t>
      </w:r>
      <w:r w:rsidR="7684C296">
        <w:t xml:space="preserve">For </w:t>
      </w:r>
      <w:r w:rsidR="2482123A">
        <w:t>P</w:t>
      </w:r>
      <w:r w:rsidR="7684C296">
        <w:t xml:space="preserve">robabilities 1 </w:t>
      </w:r>
      <w:r w:rsidR="2482123A">
        <w:t>and</w:t>
      </w:r>
      <w:r w:rsidR="7684C296">
        <w:t xml:space="preserve"> 2</w:t>
      </w:r>
      <w:r w:rsidR="2C2E59B6">
        <w:t>, the Company seems to have based its confidence levels upon Requests for Electric Service, Contracts for Electric Service, Customer Baseline Load Agreements, Meter Totalization T&amp;C Agreements, or Engineering Letter Agreements to Proceed</w:t>
      </w:r>
      <w:r w:rsidR="3E093572">
        <w:t xml:space="preserve">, which are shown in Table </w:t>
      </w:r>
      <w:r w:rsidR="7E6826AF">
        <w:t>6</w:t>
      </w:r>
      <w:r w:rsidR="2C2E59B6">
        <w:t xml:space="preserve">. </w:t>
      </w:r>
      <w:r w:rsidR="3E093572">
        <w:t>E</w:t>
      </w:r>
      <w:r w:rsidR="2C2E59B6">
        <w:t xml:space="preserve">vidence of </w:t>
      </w:r>
      <w:r w:rsidR="3E093572">
        <w:t xml:space="preserve">any </w:t>
      </w:r>
      <w:r w:rsidR="2C2E59B6">
        <w:t>such agreement has only been provided for 16 projects of the total 51, largely consisting of Requests for Electric Service</w:t>
      </w:r>
      <w:r w:rsidR="3E093572">
        <w:t xml:space="preserve"> (RFS)</w:t>
      </w:r>
      <w:r w:rsidR="2C2E59B6">
        <w:t>, as opposed to any firm contracts.</w:t>
      </w:r>
    </w:p>
    <w:p w14:paraId="26A5B1DC" w14:textId="6D809E33" w:rsidR="0003790E" w:rsidRDefault="0003790E" w:rsidP="0003790E">
      <w:pPr>
        <w:pStyle w:val="Caption"/>
        <w:keepLines/>
      </w:pPr>
      <w:bookmarkStart w:id="15" w:name="_Ref157789629"/>
      <w:r>
        <w:t xml:space="preserve">Table </w:t>
      </w:r>
      <w:r>
        <w:fldChar w:fldCharType="begin"/>
      </w:r>
      <w:r>
        <w:instrText>SEQ Table \* ARABIC</w:instrText>
      </w:r>
      <w:r>
        <w:fldChar w:fldCharType="separate"/>
      </w:r>
      <w:r w:rsidR="00D01697">
        <w:rPr>
          <w:noProof/>
        </w:rPr>
        <w:t>6</w:t>
      </w:r>
      <w:r>
        <w:fldChar w:fldCharType="end"/>
      </w:r>
      <w:bookmarkEnd w:id="15"/>
      <w:r>
        <w:t>: Contracts and Agreements for External Load</w:t>
      </w:r>
      <w:r>
        <w:rPr>
          <w:rStyle w:val="FootnoteReference"/>
        </w:rPr>
        <w:footnoteReference w:id="37"/>
      </w:r>
    </w:p>
    <w:tbl>
      <w:tblPr>
        <w:tblW w:w="10040" w:type="dxa"/>
        <w:tblCellMar>
          <w:top w:w="15" w:type="dxa"/>
          <w:bottom w:w="15" w:type="dxa"/>
        </w:tblCellMar>
        <w:tblLook w:val="04A0" w:firstRow="1" w:lastRow="0" w:firstColumn="1" w:lastColumn="0" w:noHBand="0" w:noVBand="1"/>
      </w:tblPr>
      <w:tblGrid>
        <w:gridCol w:w="3340"/>
        <w:gridCol w:w="1340"/>
        <w:gridCol w:w="1340"/>
        <w:gridCol w:w="1340"/>
        <w:gridCol w:w="1340"/>
        <w:gridCol w:w="1340"/>
      </w:tblGrid>
      <w:tr w:rsidR="0003790E" w:rsidRPr="0003790E" w14:paraId="350A3447" w14:textId="77777777" w:rsidTr="0003790E">
        <w:trPr>
          <w:trHeight w:val="300"/>
        </w:trPr>
        <w:tc>
          <w:tcPr>
            <w:tcW w:w="3340" w:type="dxa"/>
            <w:tcBorders>
              <w:top w:val="nil"/>
              <w:left w:val="nil"/>
              <w:bottom w:val="nil"/>
              <w:right w:val="nil"/>
            </w:tcBorders>
            <w:noWrap/>
            <w:vAlign w:val="bottom"/>
            <w:hideMark/>
          </w:tcPr>
          <w:p w14:paraId="544CB518" w14:textId="77777777" w:rsidR="0003790E" w:rsidRPr="0003790E" w:rsidRDefault="0003790E" w:rsidP="0003790E">
            <w:pPr>
              <w:keepNext/>
              <w:keepLines/>
              <w:jc w:val="left"/>
              <w:rPr>
                <w:sz w:val="20"/>
                <w:szCs w:val="20"/>
              </w:rPr>
            </w:pPr>
          </w:p>
        </w:tc>
        <w:tc>
          <w:tcPr>
            <w:tcW w:w="1340" w:type="dxa"/>
            <w:tcBorders>
              <w:top w:val="nil"/>
              <w:left w:val="nil"/>
              <w:bottom w:val="nil"/>
              <w:right w:val="nil"/>
            </w:tcBorders>
            <w:noWrap/>
            <w:vAlign w:val="bottom"/>
            <w:hideMark/>
          </w:tcPr>
          <w:p w14:paraId="1DCC36DB" w14:textId="77777777" w:rsidR="0003790E" w:rsidRPr="0003790E" w:rsidRDefault="0003790E" w:rsidP="0003790E">
            <w:pPr>
              <w:keepNext/>
              <w:keepLines/>
              <w:jc w:val="left"/>
              <w:rPr>
                <w:sz w:val="20"/>
                <w:szCs w:val="20"/>
              </w:rPr>
            </w:pPr>
          </w:p>
        </w:tc>
        <w:tc>
          <w:tcPr>
            <w:tcW w:w="1340" w:type="dxa"/>
            <w:tcBorders>
              <w:top w:val="nil"/>
              <w:left w:val="nil"/>
              <w:bottom w:val="nil"/>
              <w:right w:val="nil"/>
            </w:tcBorders>
            <w:noWrap/>
            <w:vAlign w:val="bottom"/>
            <w:hideMark/>
          </w:tcPr>
          <w:p w14:paraId="3E6140EE" w14:textId="77777777" w:rsidR="0003790E" w:rsidRPr="0003790E" w:rsidRDefault="0003790E" w:rsidP="0003790E">
            <w:pPr>
              <w:keepNext/>
              <w:keepLines/>
              <w:jc w:val="center"/>
              <w:rPr>
                <w:sz w:val="20"/>
                <w:szCs w:val="20"/>
              </w:rPr>
            </w:pPr>
          </w:p>
        </w:tc>
        <w:tc>
          <w:tcPr>
            <w:tcW w:w="1340" w:type="dxa"/>
            <w:tcBorders>
              <w:top w:val="nil"/>
              <w:left w:val="nil"/>
              <w:bottom w:val="nil"/>
              <w:right w:val="nil"/>
            </w:tcBorders>
            <w:noWrap/>
            <w:vAlign w:val="bottom"/>
            <w:hideMark/>
          </w:tcPr>
          <w:p w14:paraId="3404CE57" w14:textId="77777777" w:rsidR="0003790E" w:rsidRPr="0003790E" w:rsidRDefault="0003790E" w:rsidP="0003790E">
            <w:pPr>
              <w:keepNext/>
              <w:keepLines/>
              <w:jc w:val="center"/>
              <w:rPr>
                <w:rFonts w:ascii="Aptos Narrow" w:hAnsi="Aptos Narrow"/>
                <w:color w:val="000000"/>
              </w:rPr>
            </w:pPr>
            <w:r w:rsidRPr="0003790E">
              <w:rPr>
                <w:rFonts w:ascii="Aptos Narrow" w:hAnsi="Aptos Narrow"/>
                <w:color w:val="000000"/>
              </w:rPr>
              <w:t>Customer</w:t>
            </w:r>
          </w:p>
        </w:tc>
        <w:tc>
          <w:tcPr>
            <w:tcW w:w="1340" w:type="dxa"/>
            <w:tcBorders>
              <w:top w:val="nil"/>
              <w:left w:val="nil"/>
              <w:bottom w:val="nil"/>
              <w:right w:val="nil"/>
            </w:tcBorders>
            <w:noWrap/>
            <w:vAlign w:val="bottom"/>
            <w:hideMark/>
          </w:tcPr>
          <w:p w14:paraId="376CBE51" w14:textId="77777777" w:rsidR="0003790E" w:rsidRPr="0003790E" w:rsidRDefault="0003790E" w:rsidP="0003790E">
            <w:pPr>
              <w:keepNext/>
              <w:keepLines/>
              <w:jc w:val="center"/>
              <w:rPr>
                <w:rFonts w:ascii="Aptos Narrow" w:hAnsi="Aptos Narrow"/>
                <w:color w:val="000000"/>
              </w:rPr>
            </w:pPr>
            <w:r w:rsidRPr="0003790E">
              <w:rPr>
                <w:rFonts w:ascii="Aptos Narrow" w:hAnsi="Aptos Narrow"/>
                <w:color w:val="000000"/>
              </w:rPr>
              <w:t>Meter</w:t>
            </w:r>
          </w:p>
        </w:tc>
        <w:tc>
          <w:tcPr>
            <w:tcW w:w="1340" w:type="dxa"/>
            <w:tcBorders>
              <w:top w:val="nil"/>
              <w:left w:val="nil"/>
              <w:bottom w:val="nil"/>
              <w:right w:val="nil"/>
            </w:tcBorders>
            <w:noWrap/>
            <w:vAlign w:val="bottom"/>
            <w:hideMark/>
          </w:tcPr>
          <w:p w14:paraId="61CDF3AE" w14:textId="77777777" w:rsidR="0003790E" w:rsidRPr="0003790E" w:rsidRDefault="0003790E" w:rsidP="0003790E">
            <w:pPr>
              <w:keepNext/>
              <w:keepLines/>
              <w:jc w:val="center"/>
              <w:rPr>
                <w:rFonts w:ascii="Aptos Narrow" w:hAnsi="Aptos Narrow"/>
                <w:color w:val="000000"/>
              </w:rPr>
            </w:pPr>
            <w:r w:rsidRPr="0003790E">
              <w:rPr>
                <w:rFonts w:ascii="Aptos Narrow" w:hAnsi="Aptos Narrow"/>
                <w:color w:val="000000"/>
              </w:rPr>
              <w:t>Engineering</w:t>
            </w:r>
          </w:p>
        </w:tc>
      </w:tr>
      <w:tr w:rsidR="0003790E" w:rsidRPr="0003790E" w14:paraId="63D37013" w14:textId="77777777" w:rsidTr="0003790E">
        <w:trPr>
          <w:trHeight w:val="300"/>
        </w:trPr>
        <w:tc>
          <w:tcPr>
            <w:tcW w:w="3340" w:type="dxa"/>
            <w:tcBorders>
              <w:top w:val="nil"/>
              <w:left w:val="nil"/>
              <w:bottom w:val="nil"/>
              <w:right w:val="nil"/>
            </w:tcBorders>
            <w:noWrap/>
            <w:vAlign w:val="bottom"/>
            <w:hideMark/>
          </w:tcPr>
          <w:p w14:paraId="5C9C8E6B" w14:textId="77777777" w:rsidR="0003790E" w:rsidRPr="0003790E" w:rsidRDefault="0003790E" w:rsidP="0003790E">
            <w:pPr>
              <w:keepNext/>
              <w:keepLines/>
              <w:jc w:val="center"/>
              <w:rPr>
                <w:sz w:val="20"/>
                <w:szCs w:val="20"/>
              </w:rPr>
            </w:pPr>
          </w:p>
        </w:tc>
        <w:tc>
          <w:tcPr>
            <w:tcW w:w="1340" w:type="dxa"/>
            <w:tcBorders>
              <w:top w:val="nil"/>
              <w:left w:val="nil"/>
              <w:bottom w:val="nil"/>
              <w:right w:val="nil"/>
            </w:tcBorders>
            <w:noWrap/>
            <w:vAlign w:val="bottom"/>
            <w:hideMark/>
          </w:tcPr>
          <w:p w14:paraId="7D1079C1" w14:textId="77777777" w:rsidR="0003790E" w:rsidRPr="0003790E" w:rsidRDefault="0003790E" w:rsidP="0003790E">
            <w:pPr>
              <w:keepNext/>
              <w:keepLines/>
              <w:jc w:val="center"/>
              <w:rPr>
                <w:rFonts w:ascii="Aptos Narrow" w:hAnsi="Aptos Narrow"/>
                <w:color w:val="000000"/>
              </w:rPr>
            </w:pPr>
            <w:r w:rsidRPr="0003790E">
              <w:rPr>
                <w:rFonts w:ascii="Aptos Narrow" w:hAnsi="Aptos Narrow"/>
                <w:color w:val="000000"/>
              </w:rPr>
              <w:t>Request for</w:t>
            </w:r>
          </w:p>
        </w:tc>
        <w:tc>
          <w:tcPr>
            <w:tcW w:w="1340" w:type="dxa"/>
            <w:tcBorders>
              <w:top w:val="nil"/>
              <w:left w:val="nil"/>
              <w:bottom w:val="nil"/>
              <w:right w:val="nil"/>
            </w:tcBorders>
            <w:noWrap/>
            <w:vAlign w:val="bottom"/>
            <w:hideMark/>
          </w:tcPr>
          <w:p w14:paraId="7C1BEDFA" w14:textId="77777777" w:rsidR="0003790E" w:rsidRPr="0003790E" w:rsidRDefault="0003790E" w:rsidP="0003790E">
            <w:pPr>
              <w:keepNext/>
              <w:keepLines/>
              <w:jc w:val="center"/>
              <w:rPr>
                <w:rFonts w:ascii="Aptos Narrow" w:hAnsi="Aptos Narrow"/>
                <w:color w:val="000000"/>
              </w:rPr>
            </w:pPr>
            <w:r w:rsidRPr="0003790E">
              <w:rPr>
                <w:rFonts w:ascii="Aptos Narrow" w:hAnsi="Aptos Narrow"/>
                <w:color w:val="000000"/>
              </w:rPr>
              <w:t>Contract for</w:t>
            </w:r>
          </w:p>
        </w:tc>
        <w:tc>
          <w:tcPr>
            <w:tcW w:w="1340" w:type="dxa"/>
            <w:tcBorders>
              <w:top w:val="nil"/>
              <w:left w:val="nil"/>
              <w:bottom w:val="nil"/>
              <w:right w:val="nil"/>
            </w:tcBorders>
            <w:noWrap/>
            <w:vAlign w:val="bottom"/>
            <w:hideMark/>
          </w:tcPr>
          <w:p w14:paraId="56857C3E" w14:textId="77777777" w:rsidR="0003790E" w:rsidRPr="0003790E" w:rsidRDefault="0003790E" w:rsidP="0003790E">
            <w:pPr>
              <w:keepNext/>
              <w:keepLines/>
              <w:jc w:val="center"/>
              <w:rPr>
                <w:rFonts w:ascii="Aptos Narrow" w:hAnsi="Aptos Narrow"/>
                <w:color w:val="000000"/>
              </w:rPr>
            </w:pPr>
            <w:r w:rsidRPr="0003790E">
              <w:rPr>
                <w:rFonts w:ascii="Aptos Narrow" w:hAnsi="Aptos Narrow"/>
                <w:color w:val="000000"/>
              </w:rPr>
              <w:t>Baseline</w:t>
            </w:r>
          </w:p>
        </w:tc>
        <w:tc>
          <w:tcPr>
            <w:tcW w:w="1340" w:type="dxa"/>
            <w:tcBorders>
              <w:top w:val="nil"/>
              <w:left w:val="nil"/>
              <w:bottom w:val="nil"/>
              <w:right w:val="nil"/>
            </w:tcBorders>
            <w:noWrap/>
            <w:vAlign w:val="bottom"/>
            <w:hideMark/>
          </w:tcPr>
          <w:p w14:paraId="59FC2A11" w14:textId="77777777" w:rsidR="0003790E" w:rsidRPr="0003790E" w:rsidRDefault="0003790E" w:rsidP="0003790E">
            <w:pPr>
              <w:keepNext/>
              <w:keepLines/>
              <w:jc w:val="center"/>
              <w:rPr>
                <w:rFonts w:ascii="Aptos Narrow" w:hAnsi="Aptos Narrow"/>
                <w:color w:val="000000"/>
              </w:rPr>
            </w:pPr>
            <w:r w:rsidRPr="0003790E">
              <w:rPr>
                <w:rFonts w:ascii="Aptos Narrow" w:hAnsi="Aptos Narrow"/>
                <w:color w:val="000000"/>
              </w:rPr>
              <w:t>Totalization</w:t>
            </w:r>
          </w:p>
        </w:tc>
        <w:tc>
          <w:tcPr>
            <w:tcW w:w="1340" w:type="dxa"/>
            <w:tcBorders>
              <w:top w:val="nil"/>
              <w:left w:val="nil"/>
              <w:bottom w:val="nil"/>
              <w:right w:val="nil"/>
            </w:tcBorders>
            <w:noWrap/>
            <w:vAlign w:val="bottom"/>
            <w:hideMark/>
          </w:tcPr>
          <w:p w14:paraId="39E6BC52" w14:textId="77777777" w:rsidR="0003790E" w:rsidRPr="0003790E" w:rsidRDefault="0003790E" w:rsidP="0003790E">
            <w:pPr>
              <w:keepNext/>
              <w:keepLines/>
              <w:jc w:val="center"/>
              <w:rPr>
                <w:rFonts w:ascii="Aptos Narrow" w:hAnsi="Aptos Narrow"/>
                <w:color w:val="000000"/>
              </w:rPr>
            </w:pPr>
            <w:r w:rsidRPr="0003790E">
              <w:rPr>
                <w:rFonts w:ascii="Aptos Narrow" w:hAnsi="Aptos Narrow"/>
                <w:color w:val="000000"/>
              </w:rPr>
              <w:t>Letter</w:t>
            </w:r>
          </w:p>
        </w:tc>
      </w:tr>
      <w:tr w:rsidR="0003790E" w:rsidRPr="0003790E" w14:paraId="33334642" w14:textId="77777777" w:rsidTr="0003790E">
        <w:trPr>
          <w:trHeight w:val="300"/>
        </w:trPr>
        <w:tc>
          <w:tcPr>
            <w:tcW w:w="3340" w:type="dxa"/>
            <w:tcBorders>
              <w:top w:val="nil"/>
              <w:left w:val="nil"/>
              <w:bottom w:val="nil"/>
              <w:right w:val="nil"/>
            </w:tcBorders>
            <w:noWrap/>
            <w:vAlign w:val="bottom"/>
            <w:hideMark/>
          </w:tcPr>
          <w:p w14:paraId="3641445B" w14:textId="77777777" w:rsidR="0003790E" w:rsidRPr="0003790E" w:rsidRDefault="0003790E" w:rsidP="0003790E">
            <w:pPr>
              <w:keepNext/>
              <w:keepLines/>
              <w:jc w:val="center"/>
              <w:rPr>
                <w:sz w:val="20"/>
                <w:szCs w:val="20"/>
              </w:rPr>
            </w:pPr>
          </w:p>
        </w:tc>
        <w:tc>
          <w:tcPr>
            <w:tcW w:w="1340" w:type="dxa"/>
            <w:tcBorders>
              <w:top w:val="nil"/>
              <w:left w:val="nil"/>
              <w:bottom w:val="nil"/>
              <w:right w:val="nil"/>
            </w:tcBorders>
            <w:noWrap/>
            <w:vAlign w:val="bottom"/>
            <w:hideMark/>
          </w:tcPr>
          <w:p w14:paraId="00E81A80" w14:textId="77777777" w:rsidR="0003790E" w:rsidRPr="0003790E" w:rsidRDefault="0003790E" w:rsidP="0003790E">
            <w:pPr>
              <w:keepNext/>
              <w:keepLines/>
              <w:jc w:val="center"/>
              <w:rPr>
                <w:rFonts w:ascii="Aptos Narrow" w:hAnsi="Aptos Narrow"/>
                <w:color w:val="000000"/>
              </w:rPr>
            </w:pPr>
            <w:r w:rsidRPr="0003790E">
              <w:rPr>
                <w:rFonts w:ascii="Aptos Narrow" w:hAnsi="Aptos Narrow"/>
                <w:color w:val="000000"/>
              </w:rPr>
              <w:t>Electric</w:t>
            </w:r>
          </w:p>
        </w:tc>
        <w:tc>
          <w:tcPr>
            <w:tcW w:w="1340" w:type="dxa"/>
            <w:tcBorders>
              <w:top w:val="nil"/>
              <w:left w:val="nil"/>
              <w:bottom w:val="nil"/>
              <w:right w:val="nil"/>
            </w:tcBorders>
            <w:noWrap/>
            <w:vAlign w:val="bottom"/>
            <w:hideMark/>
          </w:tcPr>
          <w:p w14:paraId="634D3FE5" w14:textId="77777777" w:rsidR="0003790E" w:rsidRPr="0003790E" w:rsidRDefault="0003790E" w:rsidP="0003790E">
            <w:pPr>
              <w:keepNext/>
              <w:keepLines/>
              <w:jc w:val="center"/>
              <w:rPr>
                <w:rFonts w:ascii="Aptos Narrow" w:hAnsi="Aptos Narrow"/>
                <w:color w:val="000000"/>
              </w:rPr>
            </w:pPr>
            <w:r w:rsidRPr="0003790E">
              <w:rPr>
                <w:rFonts w:ascii="Aptos Narrow" w:hAnsi="Aptos Narrow"/>
                <w:color w:val="000000"/>
              </w:rPr>
              <w:t>Electric</w:t>
            </w:r>
          </w:p>
        </w:tc>
        <w:tc>
          <w:tcPr>
            <w:tcW w:w="1340" w:type="dxa"/>
            <w:tcBorders>
              <w:top w:val="nil"/>
              <w:left w:val="nil"/>
              <w:bottom w:val="nil"/>
              <w:right w:val="nil"/>
            </w:tcBorders>
            <w:noWrap/>
            <w:vAlign w:val="bottom"/>
            <w:hideMark/>
          </w:tcPr>
          <w:p w14:paraId="25991228" w14:textId="77777777" w:rsidR="0003790E" w:rsidRPr="0003790E" w:rsidRDefault="0003790E" w:rsidP="0003790E">
            <w:pPr>
              <w:keepNext/>
              <w:keepLines/>
              <w:jc w:val="center"/>
              <w:rPr>
                <w:rFonts w:ascii="Aptos Narrow" w:hAnsi="Aptos Narrow"/>
                <w:color w:val="000000"/>
              </w:rPr>
            </w:pPr>
            <w:r w:rsidRPr="0003790E">
              <w:rPr>
                <w:rFonts w:ascii="Aptos Narrow" w:hAnsi="Aptos Narrow"/>
                <w:color w:val="000000"/>
              </w:rPr>
              <w:t>Load</w:t>
            </w:r>
          </w:p>
        </w:tc>
        <w:tc>
          <w:tcPr>
            <w:tcW w:w="1340" w:type="dxa"/>
            <w:tcBorders>
              <w:top w:val="nil"/>
              <w:left w:val="nil"/>
              <w:bottom w:val="nil"/>
              <w:right w:val="nil"/>
            </w:tcBorders>
            <w:noWrap/>
            <w:vAlign w:val="bottom"/>
            <w:hideMark/>
          </w:tcPr>
          <w:p w14:paraId="7C5A3EED" w14:textId="77777777" w:rsidR="0003790E" w:rsidRPr="0003790E" w:rsidRDefault="0003790E" w:rsidP="0003790E">
            <w:pPr>
              <w:keepNext/>
              <w:keepLines/>
              <w:jc w:val="center"/>
              <w:rPr>
                <w:rFonts w:ascii="Aptos Narrow" w:hAnsi="Aptos Narrow"/>
                <w:color w:val="000000"/>
              </w:rPr>
            </w:pPr>
            <w:r w:rsidRPr="0003790E">
              <w:rPr>
                <w:rFonts w:ascii="Aptos Narrow" w:hAnsi="Aptos Narrow"/>
                <w:color w:val="000000"/>
              </w:rPr>
              <w:t xml:space="preserve">Term &amp; </w:t>
            </w:r>
          </w:p>
        </w:tc>
        <w:tc>
          <w:tcPr>
            <w:tcW w:w="1340" w:type="dxa"/>
            <w:tcBorders>
              <w:top w:val="nil"/>
              <w:left w:val="nil"/>
              <w:bottom w:val="nil"/>
              <w:right w:val="nil"/>
            </w:tcBorders>
            <w:noWrap/>
            <w:vAlign w:val="bottom"/>
            <w:hideMark/>
          </w:tcPr>
          <w:p w14:paraId="2D2D055B" w14:textId="77777777" w:rsidR="0003790E" w:rsidRPr="0003790E" w:rsidRDefault="0003790E" w:rsidP="0003790E">
            <w:pPr>
              <w:keepNext/>
              <w:keepLines/>
              <w:jc w:val="center"/>
              <w:rPr>
                <w:rFonts w:ascii="Aptos Narrow" w:hAnsi="Aptos Narrow"/>
                <w:color w:val="000000"/>
              </w:rPr>
            </w:pPr>
            <w:r w:rsidRPr="0003790E">
              <w:rPr>
                <w:rFonts w:ascii="Aptos Narrow" w:hAnsi="Aptos Narrow"/>
                <w:color w:val="000000"/>
              </w:rPr>
              <w:t>Agreement</w:t>
            </w:r>
          </w:p>
        </w:tc>
      </w:tr>
      <w:tr w:rsidR="0003790E" w:rsidRPr="0003790E" w14:paraId="1F0669C0" w14:textId="77777777" w:rsidTr="0003790E">
        <w:trPr>
          <w:trHeight w:val="300"/>
        </w:trPr>
        <w:tc>
          <w:tcPr>
            <w:tcW w:w="3340" w:type="dxa"/>
            <w:tcBorders>
              <w:top w:val="nil"/>
              <w:left w:val="nil"/>
              <w:bottom w:val="single" w:sz="4" w:space="0" w:color="auto"/>
              <w:right w:val="nil"/>
            </w:tcBorders>
            <w:noWrap/>
            <w:vAlign w:val="bottom"/>
            <w:hideMark/>
          </w:tcPr>
          <w:p w14:paraId="2D38A1D6" w14:textId="77777777" w:rsidR="0003790E" w:rsidRPr="0003790E" w:rsidRDefault="0003790E" w:rsidP="0003790E">
            <w:pPr>
              <w:keepNext/>
              <w:keepLines/>
              <w:jc w:val="center"/>
              <w:rPr>
                <w:rFonts w:ascii="Aptos Narrow" w:hAnsi="Aptos Narrow"/>
                <w:color w:val="000000"/>
              </w:rPr>
            </w:pPr>
            <w:r w:rsidRPr="0003790E">
              <w:rPr>
                <w:rFonts w:ascii="Aptos Narrow" w:hAnsi="Aptos Narrow"/>
                <w:color w:val="000000"/>
              </w:rPr>
              <w:t>Customer</w:t>
            </w:r>
          </w:p>
        </w:tc>
        <w:tc>
          <w:tcPr>
            <w:tcW w:w="1340" w:type="dxa"/>
            <w:tcBorders>
              <w:top w:val="nil"/>
              <w:left w:val="nil"/>
              <w:bottom w:val="single" w:sz="4" w:space="0" w:color="auto"/>
              <w:right w:val="nil"/>
            </w:tcBorders>
            <w:noWrap/>
            <w:vAlign w:val="bottom"/>
            <w:hideMark/>
          </w:tcPr>
          <w:p w14:paraId="70A5527A" w14:textId="77777777" w:rsidR="0003790E" w:rsidRPr="0003790E" w:rsidRDefault="0003790E" w:rsidP="0003790E">
            <w:pPr>
              <w:keepNext/>
              <w:keepLines/>
              <w:jc w:val="center"/>
              <w:rPr>
                <w:rFonts w:ascii="Aptos Narrow" w:hAnsi="Aptos Narrow"/>
                <w:color w:val="000000"/>
              </w:rPr>
            </w:pPr>
            <w:r w:rsidRPr="0003790E">
              <w:rPr>
                <w:rFonts w:ascii="Aptos Narrow" w:hAnsi="Aptos Narrow"/>
                <w:color w:val="000000"/>
              </w:rPr>
              <w:t>Service</w:t>
            </w:r>
          </w:p>
        </w:tc>
        <w:tc>
          <w:tcPr>
            <w:tcW w:w="1340" w:type="dxa"/>
            <w:tcBorders>
              <w:top w:val="nil"/>
              <w:left w:val="nil"/>
              <w:bottom w:val="single" w:sz="4" w:space="0" w:color="auto"/>
              <w:right w:val="nil"/>
            </w:tcBorders>
            <w:noWrap/>
            <w:vAlign w:val="bottom"/>
            <w:hideMark/>
          </w:tcPr>
          <w:p w14:paraId="1159F3F4" w14:textId="77777777" w:rsidR="0003790E" w:rsidRPr="0003790E" w:rsidRDefault="0003790E" w:rsidP="0003790E">
            <w:pPr>
              <w:keepNext/>
              <w:keepLines/>
              <w:jc w:val="center"/>
              <w:rPr>
                <w:rFonts w:ascii="Aptos Narrow" w:hAnsi="Aptos Narrow"/>
                <w:color w:val="000000"/>
              </w:rPr>
            </w:pPr>
            <w:r w:rsidRPr="0003790E">
              <w:rPr>
                <w:rFonts w:ascii="Aptos Narrow" w:hAnsi="Aptos Narrow"/>
                <w:color w:val="000000"/>
              </w:rPr>
              <w:t>Service</w:t>
            </w:r>
          </w:p>
        </w:tc>
        <w:tc>
          <w:tcPr>
            <w:tcW w:w="1340" w:type="dxa"/>
            <w:tcBorders>
              <w:top w:val="nil"/>
              <w:left w:val="nil"/>
              <w:bottom w:val="single" w:sz="4" w:space="0" w:color="auto"/>
              <w:right w:val="nil"/>
            </w:tcBorders>
            <w:noWrap/>
            <w:vAlign w:val="bottom"/>
            <w:hideMark/>
          </w:tcPr>
          <w:p w14:paraId="42F0A531" w14:textId="77777777" w:rsidR="0003790E" w:rsidRPr="0003790E" w:rsidRDefault="0003790E" w:rsidP="0003790E">
            <w:pPr>
              <w:keepNext/>
              <w:keepLines/>
              <w:jc w:val="center"/>
              <w:rPr>
                <w:rFonts w:ascii="Aptos Narrow" w:hAnsi="Aptos Narrow"/>
                <w:color w:val="000000"/>
              </w:rPr>
            </w:pPr>
            <w:r w:rsidRPr="0003790E">
              <w:rPr>
                <w:rFonts w:ascii="Aptos Narrow" w:hAnsi="Aptos Narrow"/>
                <w:color w:val="000000"/>
              </w:rPr>
              <w:t>Agreement</w:t>
            </w:r>
          </w:p>
        </w:tc>
        <w:tc>
          <w:tcPr>
            <w:tcW w:w="1340" w:type="dxa"/>
            <w:tcBorders>
              <w:top w:val="nil"/>
              <w:left w:val="nil"/>
              <w:bottom w:val="single" w:sz="4" w:space="0" w:color="auto"/>
              <w:right w:val="nil"/>
            </w:tcBorders>
            <w:noWrap/>
            <w:vAlign w:val="bottom"/>
            <w:hideMark/>
          </w:tcPr>
          <w:p w14:paraId="24FE2291" w14:textId="77777777" w:rsidR="0003790E" w:rsidRPr="0003790E" w:rsidRDefault="0003790E" w:rsidP="0003790E">
            <w:pPr>
              <w:keepNext/>
              <w:keepLines/>
              <w:jc w:val="center"/>
              <w:rPr>
                <w:rFonts w:ascii="Aptos Narrow" w:hAnsi="Aptos Narrow"/>
                <w:color w:val="000000"/>
              </w:rPr>
            </w:pPr>
            <w:r w:rsidRPr="0003790E">
              <w:rPr>
                <w:rFonts w:ascii="Aptos Narrow" w:hAnsi="Aptos Narrow"/>
                <w:color w:val="000000"/>
              </w:rPr>
              <w:t>Conditions</w:t>
            </w:r>
          </w:p>
        </w:tc>
        <w:tc>
          <w:tcPr>
            <w:tcW w:w="1340" w:type="dxa"/>
            <w:tcBorders>
              <w:top w:val="nil"/>
              <w:left w:val="nil"/>
              <w:bottom w:val="single" w:sz="4" w:space="0" w:color="auto"/>
              <w:right w:val="nil"/>
            </w:tcBorders>
            <w:noWrap/>
            <w:vAlign w:val="bottom"/>
            <w:hideMark/>
          </w:tcPr>
          <w:p w14:paraId="4480DF61" w14:textId="77777777" w:rsidR="0003790E" w:rsidRPr="0003790E" w:rsidRDefault="0003790E" w:rsidP="0003790E">
            <w:pPr>
              <w:keepNext/>
              <w:keepLines/>
              <w:jc w:val="center"/>
              <w:rPr>
                <w:rFonts w:ascii="Aptos Narrow" w:hAnsi="Aptos Narrow"/>
                <w:color w:val="000000"/>
              </w:rPr>
            </w:pPr>
            <w:r w:rsidRPr="0003790E">
              <w:rPr>
                <w:rFonts w:ascii="Aptos Narrow" w:hAnsi="Aptos Narrow"/>
                <w:color w:val="000000"/>
              </w:rPr>
              <w:t>to Proceed</w:t>
            </w:r>
          </w:p>
        </w:tc>
      </w:tr>
      <w:tr w:rsidR="0003790E" w:rsidRPr="0003790E" w14:paraId="750CB95C" w14:textId="77777777" w:rsidTr="006F0063">
        <w:trPr>
          <w:trHeight w:val="300"/>
        </w:trPr>
        <w:tc>
          <w:tcPr>
            <w:tcW w:w="3340" w:type="dxa"/>
            <w:tcBorders>
              <w:top w:val="nil"/>
              <w:left w:val="nil"/>
              <w:bottom w:val="nil"/>
              <w:right w:val="nil"/>
            </w:tcBorders>
            <w:shd w:val="clear" w:color="auto" w:fill="auto"/>
            <w:noWrap/>
            <w:vAlign w:val="bottom"/>
            <w:hideMark/>
          </w:tcPr>
          <w:p w14:paraId="78E8EA1B" w14:textId="314641E3" w:rsidR="0003790E" w:rsidRPr="006F0063" w:rsidRDefault="00725FBA" w:rsidP="0003790E">
            <w:pPr>
              <w:keepNext/>
              <w:keepLines/>
              <w:jc w:val="center"/>
              <w:rPr>
                <w:rFonts w:ascii="Aptos Narrow" w:hAnsi="Aptos Narrow"/>
                <w:color w:val="000000"/>
                <w:highlight w:val="black"/>
              </w:rPr>
            </w:pPr>
            <w:r w:rsidRPr="006F0063">
              <w:rPr>
                <w:rFonts w:ascii="Aptos Narrow" w:hAnsi="Aptos Narrow"/>
                <w:color w:val="000000"/>
                <w:highlight w:val="black"/>
              </w:rPr>
              <w:t>***********************</w:t>
            </w:r>
          </w:p>
        </w:tc>
        <w:tc>
          <w:tcPr>
            <w:tcW w:w="1340" w:type="dxa"/>
            <w:tcBorders>
              <w:top w:val="nil"/>
              <w:left w:val="nil"/>
              <w:bottom w:val="nil"/>
              <w:right w:val="nil"/>
            </w:tcBorders>
            <w:shd w:val="clear" w:color="auto" w:fill="auto"/>
            <w:noWrap/>
            <w:vAlign w:val="bottom"/>
            <w:hideMark/>
          </w:tcPr>
          <w:p w14:paraId="1A69F3F0" w14:textId="77777777" w:rsidR="0003790E" w:rsidRPr="0003790E" w:rsidRDefault="0003790E" w:rsidP="0003790E">
            <w:pPr>
              <w:keepNext/>
              <w:keepLines/>
              <w:jc w:val="center"/>
              <w:rPr>
                <w:rFonts w:ascii="Aptos Narrow" w:hAnsi="Aptos Narrow"/>
                <w:color w:val="000000"/>
              </w:rPr>
            </w:pPr>
            <w:r w:rsidRPr="0003790E">
              <w:rPr>
                <w:rFonts w:ascii="Aptos Narrow" w:hAnsi="Aptos Narrow"/>
                <w:color w:val="000000"/>
              </w:rPr>
              <w:t>Y</w:t>
            </w:r>
          </w:p>
        </w:tc>
        <w:tc>
          <w:tcPr>
            <w:tcW w:w="1340" w:type="dxa"/>
            <w:tcBorders>
              <w:top w:val="nil"/>
              <w:left w:val="nil"/>
              <w:bottom w:val="nil"/>
              <w:right w:val="nil"/>
            </w:tcBorders>
            <w:shd w:val="clear" w:color="auto" w:fill="auto"/>
            <w:noWrap/>
            <w:vAlign w:val="bottom"/>
            <w:hideMark/>
          </w:tcPr>
          <w:p w14:paraId="6DC007D7" w14:textId="77777777" w:rsidR="0003790E" w:rsidRPr="0003790E" w:rsidRDefault="0003790E" w:rsidP="0003790E">
            <w:pPr>
              <w:keepNext/>
              <w:keepLines/>
              <w:jc w:val="center"/>
              <w:rPr>
                <w:rFonts w:ascii="Aptos Narrow" w:hAnsi="Aptos Narrow"/>
                <w:color w:val="000000"/>
              </w:rPr>
            </w:pPr>
            <w:r w:rsidRPr="0003790E">
              <w:rPr>
                <w:rFonts w:ascii="Aptos Narrow" w:hAnsi="Aptos Narrow"/>
                <w:color w:val="000000"/>
              </w:rPr>
              <w:t>N</w:t>
            </w:r>
          </w:p>
        </w:tc>
        <w:tc>
          <w:tcPr>
            <w:tcW w:w="1340" w:type="dxa"/>
            <w:tcBorders>
              <w:top w:val="nil"/>
              <w:left w:val="nil"/>
              <w:bottom w:val="nil"/>
              <w:right w:val="nil"/>
            </w:tcBorders>
            <w:shd w:val="clear" w:color="auto" w:fill="auto"/>
            <w:noWrap/>
            <w:vAlign w:val="bottom"/>
            <w:hideMark/>
          </w:tcPr>
          <w:p w14:paraId="7AF9B225" w14:textId="77777777" w:rsidR="0003790E" w:rsidRPr="0003790E" w:rsidRDefault="0003790E" w:rsidP="0003790E">
            <w:pPr>
              <w:keepNext/>
              <w:keepLines/>
              <w:jc w:val="center"/>
              <w:rPr>
                <w:rFonts w:ascii="Aptos Narrow" w:hAnsi="Aptos Narrow"/>
                <w:color w:val="000000"/>
              </w:rPr>
            </w:pPr>
            <w:r w:rsidRPr="0003790E">
              <w:rPr>
                <w:rFonts w:ascii="Aptos Narrow" w:hAnsi="Aptos Narrow"/>
                <w:color w:val="000000"/>
              </w:rPr>
              <w:t>N</w:t>
            </w:r>
          </w:p>
        </w:tc>
        <w:tc>
          <w:tcPr>
            <w:tcW w:w="1340" w:type="dxa"/>
            <w:tcBorders>
              <w:top w:val="nil"/>
              <w:left w:val="nil"/>
              <w:bottom w:val="nil"/>
              <w:right w:val="nil"/>
            </w:tcBorders>
            <w:shd w:val="clear" w:color="auto" w:fill="auto"/>
            <w:noWrap/>
            <w:vAlign w:val="bottom"/>
            <w:hideMark/>
          </w:tcPr>
          <w:p w14:paraId="58343D23" w14:textId="77777777" w:rsidR="0003790E" w:rsidRPr="0003790E" w:rsidRDefault="0003790E" w:rsidP="0003790E">
            <w:pPr>
              <w:keepNext/>
              <w:keepLines/>
              <w:jc w:val="center"/>
              <w:rPr>
                <w:rFonts w:ascii="Aptos Narrow" w:hAnsi="Aptos Narrow"/>
                <w:color w:val="000000"/>
              </w:rPr>
            </w:pPr>
            <w:r w:rsidRPr="0003790E">
              <w:rPr>
                <w:rFonts w:ascii="Aptos Narrow" w:hAnsi="Aptos Narrow"/>
                <w:color w:val="000000"/>
              </w:rPr>
              <w:t>N</w:t>
            </w:r>
          </w:p>
        </w:tc>
        <w:tc>
          <w:tcPr>
            <w:tcW w:w="1340" w:type="dxa"/>
            <w:tcBorders>
              <w:top w:val="nil"/>
              <w:left w:val="nil"/>
              <w:bottom w:val="nil"/>
              <w:right w:val="nil"/>
            </w:tcBorders>
            <w:shd w:val="clear" w:color="auto" w:fill="auto"/>
            <w:noWrap/>
            <w:vAlign w:val="bottom"/>
            <w:hideMark/>
          </w:tcPr>
          <w:p w14:paraId="671A3FC1" w14:textId="77777777" w:rsidR="0003790E" w:rsidRPr="0003790E" w:rsidRDefault="0003790E" w:rsidP="0003790E">
            <w:pPr>
              <w:keepNext/>
              <w:keepLines/>
              <w:jc w:val="center"/>
              <w:rPr>
                <w:rFonts w:ascii="Aptos Narrow" w:hAnsi="Aptos Narrow"/>
                <w:color w:val="000000"/>
              </w:rPr>
            </w:pPr>
            <w:r w:rsidRPr="0003790E">
              <w:rPr>
                <w:rFonts w:ascii="Aptos Narrow" w:hAnsi="Aptos Narrow"/>
                <w:color w:val="000000"/>
              </w:rPr>
              <w:t>N</w:t>
            </w:r>
          </w:p>
        </w:tc>
      </w:tr>
      <w:tr w:rsidR="0003790E" w:rsidRPr="0003790E" w14:paraId="415E3D0F" w14:textId="77777777" w:rsidTr="006F0063">
        <w:trPr>
          <w:trHeight w:val="300"/>
        </w:trPr>
        <w:tc>
          <w:tcPr>
            <w:tcW w:w="3340" w:type="dxa"/>
            <w:tcBorders>
              <w:top w:val="nil"/>
              <w:left w:val="nil"/>
              <w:bottom w:val="nil"/>
              <w:right w:val="nil"/>
            </w:tcBorders>
            <w:shd w:val="clear" w:color="auto" w:fill="auto"/>
            <w:noWrap/>
            <w:vAlign w:val="bottom"/>
            <w:hideMark/>
          </w:tcPr>
          <w:p w14:paraId="5A03119A" w14:textId="1A8046B6" w:rsidR="0003790E" w:rsidRPr="006F0063" w:rsidRDefault="00725FBA" w:rsidP="0003790E">
            <w:pPr>
              <w:keepNext/>
              <w:keepLines/>
              <w:jc w:val="center"/>
              <w:rPr>
                <w:rFonts w:ascii="Aptos Narrow" w:hAnsi="Aptos Narrow"/>
                <w:color w:val="000000"/>
                <w:highlight w:val="black"/>
              </w:rPr>
            </w:pPr>
            <w:r w:rsidRPr="006F0063">
              <w:rPr>
                <w:rFonts w:ascii="Aptos Narrow" w:hAnsi="Aptos Narrow"/>
                <w:color w:val="000000"/>
                <w:highlight w:val="black"/>
              </w:rPr>
              <w:t>***********************</w:t>
            </w:r>
          </w:p>
        </w:tc>
        <w:tc>
          <w:tcPr>
            <w:tcW w:w="1340" w:type="dxa"/>
            <w:tcBorders>
              <w:top w:val="nil"/>
              <w:left w:val="nil"/>
              <w:bottom w:val="nil"/>
              <w:right w:val="nil"/>
            </w:tcBorders>
            <w:shd w:val="clear" w:color="auto" w:fill="auto"/>
            <w:noWrap/>
            <w:vAlign w:val="bottom"/>
            <w:hideMark/>
          </w:tcPr>
          <w:p w14:paraId="42C71B9C" w14:textId="77777777" w:rsidR="0003790E" w:rsidRPr="0003790E" w:rsidRDefault="0003790E" w:rsidP="0003790E">
            <w:pPr>
              <w:keepNext/>
              <w:keepLines/>
              <w:jc w:val="center"/>
              <w:rPr>
                <w:rFonts w:ascii="Aptos Narrow" w:hAnsi="Aptos Narrow"/>
                <w:color w:val="000000"/>
              </w:rPr>
            </w:pPr>
            <w:r w:rsidRPr="0003790E">
              <w:rPr>
                <w:rFonts w:ascii="Aptos Narrow" w:hAnsi="Aptos Narrow"/>
                <w:color w:val="000000"/>
              </w:rPr>
              <w:t>Y</w:t>
            </w:r>
          </w:p>
        </w:tc>
        <w:tc>
          <w:tcPr>
            <w:tcW w:w="1340" w:type="dxa"/>
            <w:tcBorders>
              <w:top w:val="nil"/>
              <w:left w:val="nil"/>
              <w:bottom w:val="nil"/>
              <w:right w:val="nil"/>
            </w:tcBorders>
            <w:shd w:val="clear" w:color="auto" w:fill="auto"/>
            <w:noWrap/>
            <w:vAlign w:val="bottom"/>
            <w:hideMark/>
          </w:tcPr>
          <w:p w14:paraId="6B7B0144" w14:textId="77777777" w:rsidR="0003790E" w:rsidRPr="0003790E" w:rsidRDefault="0003790E" w:rsidP="0003790E">
            <w:pPr>
              <w:keepNext/>
              <w:keepLines/>
              <w:jc w:val="center"/>
              <w:rPr>
                <w:rFonts w:ascii="Aptos Narrow" w:hAnsi="Aptos Narrow"/>
                <w:color w:val="000000"/>
              </w:rPr>
            </w:pPr>
            <w:r w:rsidRPr="0003790E">
              <w:rPr>
                <w:rFonts w:ascii="Aptos Narrow" w:hAnsi="Aptos Narrow"/>
                <w:color w:val="000000"/>
              </w:rPr>
              <w:t>Y</w:t>
            </w:r>
          </w:p>
        </w:tc>
        <w:tc>
          <w:tcPr>
            <w:tcW w:w="1340" w:type="dxa"/>
            <w:tcBorders>
              <w:top w:val="nil"/>
              <w:left w:val="nil"/>
              <w:bottom w:val="nil"/>
              <w:right w:val="nil"/>
            </w:tcBorders>
            <w:shd w:val="clear" w:color="auto" w:fill="auto"/>
            <w:noWrap/>
            <w:vAlign w:val="bottom"/>
            <w:hideMark/>
          </w:tcPr>
          <w:p w14:paraId="68EC867C" w14:textId="77777777" w:rsidR="0003790E" w:rsidRPr="0003790E" w:rsidRDefault="0003790E" w:rsidP="0003790E">
            <w:pPr>
              <w:keepNext/>
              <w:keepLines/>
              <w:jc w:val="center"/>
              <w:rPr>
                <w:rFonts w:ascii="Aptos Narrow" w:hAnsi="Aptos Narrow"/>
                <w:color w:val="000000"/>
              </w:rPr>
            </w:pPr>
            <w:r w:rsidRPr="0003790E">
              <w:rPr>
                <w:rFonts w:ascii="Aptos Narrow" w:hAnsi="Aptos Narrow"/>
                <w:color w:val="000000"/>
              </w:rPr>
              <w:t>N</w:t>
            </w:r>
          </w:p>
        </w:tc>
        <w:tc>
          <w:tcPr>
            <w:tcW w:w="1340" w:type="dxa"/>
            <w:tcBorders>
              <w:top w:val="nil"/>
              <w:left w:val="nil"/>
              <w:bottom w:val="nil"/>
              <w:right w:val="nil"/>
            </w:tcBorders>
            <w:shd w:val="clear" w:color="auto" w:fill="auto"/>
            <w:noWrap/>
            <w:vAlign w:val="bottom"/>
            <w:hideMark/>
          </w:tcPr>
          <w:p w14:paraId="54F03BC1" w14:textId="77777777" w:rsidR="0003790E" w:rsidRPr="0003790E" w:rsidRDefault="0003790E" w:rsidP="0003790E">
            <w:pPr>
              <w:keepNext/>
              <w:keepLines/>
              <w:jc w:val="center"/>
              <w:rPr>
                <w:rFonts w:ascii="Aptos Narrow" w:hAnsi="Aptos Narrow"/>
                <w:color w:val="000000"/>
              </w:rPr>
            </w:pPr>
            <w:r w:rsidRPr="0003790E">
              <w:rPr>
                <w:rFonts w:ascii="Aptos Narrow" w:hAnsi="Aptos Narrow"/>
                <w:color w:val="000000"/>
              </w:rPr>
              <w:t>N</w:t>
            </w:r>
          </w:p>
        </w:tc>
        <w:tc>
          <w:tcPr>
            <w:tcW w:w="1340" w:type="dxa"/>
            <w:tcBorders>
              <w:top w:val="nil"/>
              <w:left w:val="nil"/>
              <w:bottom w:val="nil"/>
              <w:right w:val="nil"/>
            </w:tcBorders>
            <w:shd w:val="clear" w:color="auto" w:fill="auto"/>
            <w:noWrap/>
            <w:vAlign w:val="bottom"/>
            <w:hideMark/>
          </w:tcPr>
          <w:p w14:paraId="1F314CDB" w14:textId="77777777" w:rsidR="0003790E" w:rsidRPr="0003790E" w:rsidRDefault="0003790E" w:rsidP="0003790E">
            <w:pPr>
              <w:keepNext/>
              <w:keepLines/>
              <w:jc w:val="center"/>
              <w:rPr>
                <w:rFonts w:ascii="Aptos Narrow" w:hAnsi="Aptos Narrow"/>
                <w:color w:val="000000"/>
              </w:rPr>
            </w:pPr>
            <w:r w:rsidRPr="0003790E">
              <w:rPr>
                <w:rFonts w:ascii="Aptos Narrow" w:hAnsi="Aptos Narrow"/>
                <w:color w:val="000000"/>
              </w:rPr>
              <w:t>N</w:t>
            </w:r>
          </w:p>
        </w:tc>
      </w:tr>
      <w:tr w:rsidR="0003790E" w:rsidRPr="0003790E" w14:paraId="56F66AD3" w14:textId="77777777" w:rsidTr="006F0063">
        <w:trPr>
          <w:trHeight w:val="300"/>
        </w:trPr>
        <w:tc>
          <w:tcPr>
            <w:tcW w:w="3340" w:type="dxa"/>
            <w:tcBorders>
              <w:top w:val="nil"/>
              <w:left w:val="nil"/>
              <w:bottom w:val="nil"/>
              <w:right w:val="nil"/>
            </w:tcBorders>
            <w:shd w:val="clear" w:color="auto" w:fill="auto"/>
            <w:noWrap/>
            <w:vAlign w:val="bottom"/>
            <w:hideMark/>
          </w:tcPr>
          <w:p w14:paraId="0A128A0E" w14:textId="7B16579C" w:rsidR="0003790E" w:rsidRPr="006F0063" w:rsidRDefault="00725FBA" w:rsidP="0003790E">
            <w:pPr>
              <w:keepNext/>
              <w:keepLines/>
              <w:jc w:val="center"/>
              <w:rPr>
                <w:rFonts w:ascii="Aptos Narrow" w:hAnsi="Aptos Narrow"/>
                <w:color w:val="000000"/>
                <w:highlight w:val="black"/>
              </w:rPr>
            </w:pPr>
            <w:r w:rsidRPr="006F0063">
              <w:rPr>
                <w:rFonts w:ascii="Aptos Narrow" w:hAnsi="Aptos Narrow"/>
                <w:color w:val="000000"/>
                <w:highlight w:val="black"/>
              </w:rPr>
              <w:t>***********************</w:t>
            </w:r>
          </w:p>
        </w:tc>
        <w:tc>
          <w:tcPr>
            <w:tcW w:w="1340" w:type="dxa"/>
            <w:tcBorders>
              <w:top w:val="nil"/>
              <w:left w:val="nil"/>
              <w:bottom w:val="nil"/>
              <w:right w:val="nil"/>
            </w:tcBorders>
            <w:shd w:val="clear" w:color="auto" w:fill="auto"/>
            <w:noWrap/>
            <w:vAlign w:val="bottom"/>
            <w:hideMark/>
          </w:tcPr>
          <w:p w14:paraId="0446E559" w14:textId="77777777" w:rsidR="0003790E" w:rsidRPr="0003790E" w:rsidRDefault="0003790E" w:rsidP="0003790E">
            <w:pPr>
              <w:keepNext/>
              <w:keepLines/>
              <w:jc w:val="center"/>
              <w:rPr>
                <w:rFonts w:ascii="Aptos Narrow" w:hAnsi="Aptos Narrow"/>
                <w:color w:val="000000"/>
              </w:rPr>
            </w:pPr>
            <w:r w:rsidRPr="0003790E">
              <w:rPr>
                <w:rFonts w:ascii="Aptos Narrow" w:hAnsi="Aptos Narrow"/>
                <w:color w:val="000000"/>
              </w:rPr>
              <w:t>Y</w:t>
            </w:r>
          </w:p>
        </w:tc>
        <w:tc>
          <w:tcPr>
            <w:tcW w:w="1340" w:type="dxa"/>
            <w:tcBorders>
              <w:top w:val="nil"/>
              <w:left w:val="nil"/>
              <w:bottom w:val="nil"/>
              <w:right w:val="nil"/>
            </w:tcBorders>
            <w:shd w:val="clear" w:color="auto" w:fill="auto"/>
            <w:noWrap/>
            <w:vAlign w:val="bottom"/>
            <w:hideMark/>
          </w:tcPr>
          <w:p w14:paraId="2ED94BE5" w14:textId="77777777" w:rsidR="0003790E" w:rsidRPr="0003790E" w:rsidRDefault="0003790E" w:rsidP="0003790E">
            <w:pPr>
              <w:keepNext/>
              <w:keepLines/>
              <w:jc w:val="center"/>
              <w:rPr>
                <w:rFonts w:ascii="Aptos Narrow" w:hAnsi="Aptos Narrow"/>
                <w:color w:val="000000"/>
              </w:rPr>
            </w:pPr>
            <w:r w:rsidRPr="0003790E">
              <w:rPr>
                <w:rFonts w:ascii="Aptos Narrow" w:hAnsi="Aptos Narrow"/>
                <w:color w:val="000000"/>
              </w:rPr>
              <w:t>N</w:t>
            </w:r>
          </w:p>
        </w:tc>
        <w:tc>
          <w:tcPr>
            <w:tcW w:w="1340" w:type="dxa"/>
            <w:tcBorders>
              <w:top w:val="nil"/>
              <w:left w:val="nil"/>
              <w:bottom w:val="nil"/>
              <w:right w:val="nil"/>
            </w:tcBorders>
            <w:shd w:val="clear" w:color="auto" w:fill="auto"/>
            <w:noWrap/>
            <w:vAlign w:val="bottom"/>
            <w:hideMark/>
          </w:tcPr>
          <w:p w14:paraId="61414B62" w14:textId="77777777" w:rsidR="0003790E" w:rsidRPr="0003790E" w:rsidRDefault="0003790E" w:rsidP="0003790E">
            <w:pPr>
              <w:keepNext/>
              <w:keepLines/>
              <w:jc w:val="center"/>
              <w:rPr>
                <w:rFonts w:ascii="Aptos Narrow" w:hAnsi="Aptos Narrow"/>
                <w:color w:val="000000"/>
              </w:rPr>
            </w:pPr>
            <w:r w:rsidRPr="0003790E">
              <w:rPr>
                <w:rFonts w:ascii="Aptos Narrow" w:hAnsi="Aptos Narrow"/>
                <w:color w:val="000000"/>
              </w:rPr>
              <w:t>N</w:t>
            </w:r>
          </w:p>
        </w:tc>
        <w:tc>
          <w:tcPr>
            <w:tcW w:w="1340" w:type="dxa"/>
            <w:tcBorders>
              <w:top w:val="nil"/>
              <w:left w:val="nil"/>
              <w:bottom w:val="nil"/>
              <w:right w:val="nil"/>
            </w:tcBorders>
            <w:shd w:val="clear" w:color="auto" w:fill="auto"/>
            <w:noWrap/>
            <w:vAlign w:val="bottom"/>
            <w:hideMark/>
          </w:tcPr>
          <w:p w14:paraId="20F5DB79" w14:textId="77777777" w:rsidR="0003790E" w:rsidRPr="0003790E" w:rsidRDefault="0003790E" w:rsidP="0003790E">
            <w:pPr>
              <w:keepNext/>
              <w:keepLines/>
              <w:jc w:val="center"/>
              <w:rPr>
                <w:rFonts w:ascii="Aptos Narrow" w:hAnsi="Aptos Narrow"/>
                <w:color w:val="000000"/>
              </w:rPr>
            </w:pPr>
            <w:r w:rsidRPr="0003790E">
              <w:rPr>
                <w:rFonts w:ascii="Aptos Narrow" w:hAnsi="Aptos Narrow"/>
                <w:color w:val="000000"/>
              </w:rPr>
              <w:t>N</w:t>
            </w:r>
          </w:p>
        </w:tc>
        <w:tc>
          <w:tcPr>
            <w:tcW w:w="1340" w:type="dxa"/>
            <w:tcBorders>
              <w:top w:val="nil"/>
              <w:left w:val="nil"/>
              <w:bottom w:val="nil"/>
              <w:right w:val="nil"/>
            </w:tcBorders>
            <w:shd w:val="clear" w:color="auto" w:fill="auto"/>
            <w:noWrap/>
            <w:vAlign w:val="bottom"/>
            <w:hideMark/>
          </w:tcPr>
          <w:p w14:paraId="12F187E0" w14:textId="77777777" w:rsidR="0003790E" w:rsidRPr="0003790E" w:rsidRDefault="0003790E" w:rsidP="0003790E">
            <w:pPr>
              <w:keepNext/>
              <w:keepLines/>
              <w:jc w:val="center"/>
              <w:rPr>
                <w:rFonts w:ascii="Aptos Narrow" w:hAnsi="Aptos Narrow"/>
                <w:color w:val="000000"/>
              </w:rPr>
            </w:pPr>
            <w:r w:rsidRPr="0003790E">
              <w:rPr>
                <w:rFonts w:ascii="Aptos Narrow" w:hAnsi="Aptos Narrow"/>
                <w:color w:val="000000"/>
              </w:rPr>
              <w:t>N</w:t>
            </w:r>
          </w:p>
        </w:tc>
      </w:tr>
      <w:tr w:rsidR="0003790E" w:rsidRPr="0003790E" w14:paraId="351B2376" w14:textId="77777777" w:rsidTr="006F0063">
        <w:trPr>
          <w:trHeight w:val="300"/>
        </w:trPr>
        <w:tc>
          <w:tcPr>
            <w:tcW w:w="3340" w:type="dxa"/>
            <w:tcBorders>
              <w:top w:val="nil"/>
              <w:left w:val="nil"/>
              <w:bottom w:val="nil"/>
              <w:right w:val="nil"/>
            </w:tcBorders>
            <w:shd w:val="clear" w:color="auto" w:fill="auto"/>
            <w:noWrap/>
            <w:vAlign w:val="bottom"/>
            <w:hideMark/>
          </w:tcPr>
          <w:p w14:paraId="63FB1283" w14:textId="6C2B4FFC" w:rsidR="0003790E" w:rsidRPr="006F0063" w:rsidRDefault="00725FBA" w:rsidP="0003790E">
            <w:pPr>
              <w:keepNext/>
              <w:keepLines/>
              <w:jc w:val="center"/>
              <w:rPr>
                <w:rFonts w:ascii="Aptos Narrow" w:hAnsi="Aptos Narrow"/>
                <w:color w:val="000000"/>
                <w:highlight w:val="black"/>
              </w:rPr>
            </w:pPr>
            <w:r w:rsidRPr="006F0063">
              <w:rPr>
                <w:rFonts w:ascii="Aptos Narrow" w:hAnsi="Aptos Narrow"/>
                <w:color w:val="000000"/>
                <w:highlight w:val="black"/>
              </w:rPr>
              <w:t>***********************</w:t>
            </w:r>
          </w:p>
        </w:tc>
        <w:tc>
          <w:tcPr>
            <w:tcW w:w="1340" w:type="dxa"/>
            <w:tcBorders>
              <w:top w:val="nil"/>
              <w:left w:val="nil"/>
              <w:bottom w:val="nil"/>
              <w:right w:val="nil"/>
            </w:tcBorders>
            <w:shd w:val="clear" w:color="auto" w:fill="auto"/>
            <w:noWrap/>
            <w:vAlign w:val="bottom"/>
            <w:hideMark/>
          </w:tcPr>
          <w:p w14:paraId="32021025" w14:textId="77777777" w:rsidR="0003790E" w:rsidRPr="0003790E" w:rsidRDefault="0003790E" w:rsidP="0003790E">
            <w:pPr>
              <w:keepNext/>
              <w:keepLines/>
              <w:jc w:val="center"/>
              <w:rPr>
                <w:rFonts w:ascii="Aptos Narrow" w:hAnsi="Aptos Narrow"/>
                <w:color w:val="000000"/>
              </w:rPr>
            </w:pPr>
            <w:r w:rsidRPr="0003790E">
              <w:rPr>
                <w:rFonts w:ascii="Aptos Narrow" w:hAnsi="Aptos Narrow"/>
                <w:color w:val="000000"/>
              </w:rPr>
              <w:t>Y</w:t>
            </w:r>
          </w:p>
        </w:tc>
        <w:tc>
          <w:tcPr>
            <w:tcW w:w="1340" w:type="dxa"/>
            <w:tcBorders>
              <w:top w:val="nil"/>
              <w:left w:val="nil"/>
              <w:bottom w:val="nil"/>
              <w:right w:val="nil"/>
            </w:tcBorders>
            <w:shd w:val="clear" w:color="auto" w:fill="auto"/>
            <w:noWrap/>
            <w:vAlign w:val="bottom"/>
            <w:hideMark/>
          </w:tcPr>
          <w:p w14:paraId="14322C24" w14:textId="77777777" w:rsidR="0003790E" w:rsidRPr="0003790E" w:rsidRDefault="0003790E" w:rsidP="0003790E">
            <w:pPr>
              <w:keepNext/>
              <w:keepLines/>
              <w:jc w:val="center"/>
              <w:rPr>
                <w:rFonts w:ascii="Aptos Narrow" w:hAnsi="Aptos Narrow"/>
                <w:color w:val="000000"/>
              </w:rPr>
            </w:pPr>
            <w:r w:rsidRPr="0003790E">
              <w:rPr>
                <w:rFonts w:ascii="Aptos Narrow" w:hAnsi="Aptos Narrow"/>
                <w:color w:val="000000"/>
              </w:rPr>
              <w:t>Y</w:t>
            </w:r>
          </w:p>
        </w:tc>
        <w:tc>
          <w:tcPr>
            <w:tcW w:w="1340" w:type="dxa"/>
            <w:tcBorders>
              <w:top w:val="nil"/>
              <w:left w:val="nil"/>
              <w:bottom w:val="nil"/>
              <w:right w:val="nil"/>
            </w:tcBorders>
            <w:shd w:val="clear" w:color="auto" w:fill="auto"/>
            <w:noWrap/>
            <w:vAlign w:val="bottom"/>
            <w:hideMark/>
          </w:tcPr>
          <w:p w14:paraId="63D42C9B" w14:textId="77777777" w:rsidR="0003790E" w:rsidRPr="0003790E" w:rsidRDefault="0003790E" w:rsidP="0003790E">
            <w:pPr>
              <w:keepNext/>
              <w:keepLines/>
              <w:jc w:val="center"/>
              <w:rPr>
                <w:rFonts w:ascii="Aptos Narrow" w:hAnsi="Aptos Narrow"/>
                <w:color w:val="000000"/>
              </w:rPr>
            </w:pPr>
            <w:r w:rsidRPr="0003790E">
              <w:rPr>
                <w:rFonts w:ascii="Aptos Narrow" w:hAnsi="Aptos Narrow"/>
                <w:color w:val="000000"/>
              </w:rPr>
              <w:t>Y</w:t>
            </w:r>
          </w:p>
        </w:tc>
        <w:tc>
          <w:tcPr>
            <w:tcW w:w="1340" w:type="dxa"/>
            <w:tcBorders>
              <w:top w:val="nil"/>
              <w:left w:val="nil"/>
              <w:bottom w:val="nil"/>
              <w:right w:val="nil"/>
            </w:tcBorders>
            <w:shd w:val="clear" w:color="auto" w:fill="auto"/>
            <w:noWrap/>
            <w:vAlign w:val="bottom"/>
            <w:hideMark/>
          </w:tcPr>
          <w:p w14:paraId="5DC013BE" w14:textId="77777777" w:rsidR="0003790E" w:rsidRPr="0003790E" w:rsidRDefault="0003790E" w:rsidP="0003790E">
            <w:pPr>
              <w:keepNext/>
              <w:keepLines/>
              <w:jc w:val="center"/>
              <w:rPr>
                <w:rFonts w:ascii="Aptos Narrow" w:hAnsi="Aptos Narrow"/>
                <w:color w:val="000000"/>
              </w:rPr>
            </w:pPr>
            <w:r w:rsidRPr="0003790E">
              <w:rPr>
                <w:rFonts w:ascii="Aptos Narrow" w:hAnsi="Aptos Narrow"/>
                <w:color w:val="000000"/>
              </w:rPr>
              <w:t>Y</w:t>
            </w:r>
          </w:p>
        </w:tc>
        <w:tc>
          <w:tcPr>
            <w:tcW w:w="1340" w:type="dxa"/>
            <w:tcBorders>
              <w:top w:val="nil"/>
              <w:left w:val="nil"/>
              <w:bottom w:val="nil"/>
              <w:right w:val="nil"/>
            </w:tcBorders>
            <w:shd w:val="clear" w:color="auto" w:fill="auto"/>
            <w:noWrap/>
            <w:vAlign w:val="bottom"/>
            <w:hideMark/>
          </w:tcPr>
          <w:p w14:paraId="2CC24D45" w14:textId="77777777" w:rsidR="0003790E" w:rsidRPr="0003790E" w:rsidRDefault="0003790E" w:rsidP="0003790E">
            <w:pPr>
              <w:keepNext/>
              <w:keepLines/>
              <w:jc w:val="center"/>
              <w:rPr>
                <w:rFonts w:ascii="Aptos Narrow" w:hAnsi="Aptos Narrow"/>
                <w:color w:val="000000"/>
              </w:rPr>
            </w:pPr>
            <w:r w:rsidRPr="0003790E">
              <w:rPr>
                <w:rFonts w:ascii="Aptos Narrow" w:hAnsi="Aptos Narrow"/>
                <w:color w:val="000000"/>
              </w:rPr>
              <w:t>N</w:t>
            </w:r>
          </w:p>
        </w:tc>
      </w:tr>
      <w:tr w:rsidR="0003790E" w:rsidRPr="0003790E" w14:paraId="471E9063" w14:textId="77777777" w:rsidTr="006F0063">
        <w:trPr>
          <w:trHeight w:val="300"/>
        </w:trPr>
        <w:tc>
          <w:tcPr>
            <w:tcW w:w="3340" w:type="dxa"/>
            <w:tcBorders>
              <w:top w:val="nil"/>
              <w:left w:val="nil"/>
              <w:bottom w:val="nil"/>
              <w:right w:val="nil"/>
            </w:tcBorders>
            <w:shd w:val="clear" w:color="auto" w:fill="auto"/>
            <w:noWrap/>
            <w:vAlign w:val="bottom"/>
            <w:hideMark/>
          </w:tcPr>
          <w:p w14:paraId="2058633E" w14:textId="020BB9C0" w:rsidR="0003790E" w:rsidRPr="006F0063" w:rsidRDefault="00725FBA" w:rsidP="0003790E">
            <w:pPr>
              <w:keepNext/>
              <w:keepLines/>
              <w:jc w:val="center"/>
              <w:rPr>
                <w:rFonts w:ascii="Aptos Narrow" w:hAnsi="Aptos Narrow"/>
                <w:color w:val="000000"/>
                <w:highlight w:val="black"/>
              </w:rPr>
            </w:pPr>
            <w:r w:rsidRPr="006F0063">
              <w:rPr>
                <w:rFonts w:ascii="Aptos Narrow" w:hAnsi="Aptos Narrow"/>
                <w:color w:val="000000"/>
                <w:highlight w:val="black"/>
              </w:rPr>
              <w:t>***********************</w:t>
            </w:r>
          </w:p>
        </w:tc>
        <w:tc>
          <w:tcPr>
            <w:tcW w:w="1340" w:type="dxa"/>
            <w:tcBorders>
              <w:top w:val="nil"/>
              <w:left w:val="nil"/>
              <w:bottom w:val="nil"/>
              <w:right w:val="nil"/>
            </w:tcBorders>
            <w:shd w:val="clear" w:color="auto" w:fill="auto"/>
            <w:noWrap/>
            <w:vAlign w:val="bottom"/>
            <w:hideMark/>
          </w:tcPr>
          <w:p w14:paraId="79E410B8" w14:textId="77777777" w:rsidR="0003790E" w:rsidRPr="0003790E" w:rsidRDefault="0003790E" w:rsidP="0003790E">
            <w:pPr>
              <w:keepNext/>
              <w:keepLines/>
              <w:jc w:val="center"/>
              <w:rPr>
                <w:rFonts w:ascii="Aptos Narrow" w:hAnsi="Aptos Narrow"/>
                <w:color w:val="000000"/>
              </w:rPr>
            </w:pPr>
            <w:r w:rsidRPr="0003790E">
              <w:rPr>
                <w:rFonts w:ascii="Aptos Narrow" w:hAnsi="Aptos Narrow"/>
                <w:color w:val="000000"/>
              </w:rPr>
              <w:t>Y</w:t>
            </w:r>
          </w:p>
        </w:tc>
        <w:tc>
          <w:tcPr>
            <w:tcW w:w="1340" w:type="dxa"/>
            <w:tcBorders>
              <w:top w:val="nil"/>
              <w:left w:val="nil"/>
              <w:bottom w:val="nil"/>
              <w:right w:val="nil"/>
            </w:tcBorders>
            <w:shd w:val="clear" w:color="auto" w:fill="auto"/>
            <w:noWrap/>
            <w:vAlign w:val="bottom"/>
            <w:hideMark/>
          </w:tcPr>
          <w:p w14:paraId="3D6262D2" w14:textId="77777777" w:rsidR="0003790E" w:rsidRPr="0003790E" w:rsidRDefault="0003790E" w:rsidP="0003790E">
            <w:pPr>
              <w:keepNext/>
              <w:keepLines/>
              <w:jc w:val="center"/>
              <w:rPr>
                <w:rFonts w:ascii="Aptos Narrow" w:hAnsi="Aptos Narrow"/>
                <w:color w:val="000000"/>
              </w:rPr>
            </w:pPr>
            <w:r w:rsidRPr="0003790E">
              <w:rPr>
                <w:rFonts w:ascii="Aptos Narrow" w:hAnsi="Aptos Narrow"/>
                <w:color w:val="000000"/>
              </w:rPr>
              <w:t>Y</w:t>
            </w:r>
          </w:p>
        </w:tc>
        <w:tc>
          <w:tcPr>
            <w:tcW w:w="1340" w:type="dxa"/>
            <w:tcBorders>
              <w:top w:val="nil"/>
              <w:left w:val="nil"/>
              <w:bottom w:val="nil"/>
              <w:right w:val="nil"/>
            </w:tcBorders>
            <w:shd w:val="clear" w:color="auto" w:fill="auto"/>
            <w:noWrap/>
            <w:vAlign w:val="bottom"/>
            <w:hideMark/>
          </w:tcPr>
          <w:p w14:paraId="0275F56C" w14:textId="77777777" w:rsidR="0003790E" w:rsidRPr="0003790E" w:rsidRDefault="0003790E" w:rsidP="0003790E">
            <w:pPr>
              <w:keepNext/>
              <w:keepLines/>
              <w:jc w:val="center"/>
              <w:rPr>
                <w:rFonts w:ascii="Aptos Narrow" w:hAnsi="Aptos Narrow"/>
                <w:color w:val="000000"/>
              </w:rPr>
            </w:pPr>
            <w:r w:rsidRPr="0003790E">
              <w:rPr>
                <w:rFonts w:ascii="Aptos Narrow" w:hAnsi="Aptos Narrow"/>
                <w:color w:val="000000"/>
              </w:rPr>
              <w:t>Y</w:t>
            </w:r>
          </w:p>
        </w:tc>
        <w:tc>
          <w:tcPr>
            <w:tcW w:w="1340" w:type="dxa"/>
            <w:tcBorders>
              <w:top w:val="nil"/>
              <w:left w:val="nil"/>
              <w:bottom w:val="nil"/>
              <w:right w:val="nil"/>
            </w:tcBorders>
            <w:shd w:val="clear" w:color="auto" w:fill="auto"/>
            <w:noWrap/>
            <w:vAlign w:val="bottom"/>
            <w:hideMark/>
          </w:tcPr>
          <w:p w14:paraId="0254EFA1" w14:textId="77777777" w:rsidR="0003790E" w:rsidRPr="0003790E" w:rsidRDefault="0003790E" w:rsidP="0003790E">
            <w:pPr>
              <w:keepNext/>
              <w:keepLines/>
              <w:jc w:val="center"/>
              <w:rPr>
                <w:rFonts w:ascii="Aptos Narrow" w:hAnsi="Aptos Narrow"/>
                <w:color w:val="000000"/>
              </w:rPr>
            </w:pPr>
            <w:r w:rsidRPr="0003790E">
              <w:rPr>
                <w:rFonts w:ascii="Aptos Narrow" w:hAnsi="Aptos Narrow"/>
                <w:color w:val="000000"/>
              </w:rPr>
              <w:t>Y</w:t>
            </w:r>
          </w:p>
        </w:tc>
        <w:tc>
          <w:tcPr>
            <w:tcW w:w="1340" w:type="dxa"/>
            <w:tcBorders>
              <w:top w:val="nil"/>
              <w:left w:val="nil"/>
              <w:bottom w:val="nil"/>
              <w:right w:val="nil"/>
            </w:tcBorders>
            <w:shd w:val="clear" w:color="auto" w:fill="auto"/>
            <w:noWrap/>
            <w:vAlign w:val="bottom"/>
            <w:hideMark/>
          </w:tcPr>
          <w:p w14:paraId="0F799A3B" w14:textId="77777777" w:rsidR="0003790E" w:rsidRPr="0003790E" w:rsidRDefault="0003790E" w:rsidP="0003790E">
            <w:pPr>
              <w:keepNext/>
              <w:keepLines/>
              <w:jc w:val="center"/>
              <w:rPr>
                <w:rFonts w:ascii="Aptos Narrow" w:hAnsi="Aptos Narrow"/>
                <w:color w:val="000000"/>
              </w:rPr>
            </w:pPr>
            <w:r w:rsidRPr="0003790E">
              <w:rPr>
                <w:rFonts w:ascii="Aptos Narrow" w:hAnsi="Aptos Narrow"/>
                <w:color w:val="000000"/>
              </w:rPr>
              <w:t>N</w:t>
            </w:r>
          </w:p>
        </w:tc>
      </w:tr>
      <w:tr w:rsidR="0003790E" w:rsidRPr="0003790E" w14:paraId="3A06BE9D" w14:textId="77777777" w:rsidTr="006F0063">
        <w:trPr>
          <w:trHeight w:val="300"/>
        </w:trPr>
        <w:tc>
          <w:tcPr>
            <w:tcW w:w="3340" w:type="dxa"/>
            <w:tcBorders>
              <w:top w:val="nil"/>
              <w:left w:val="nil"/>
              <w:bottom w:val="nil"/>
              <w:right w:val="nil"/>
            </w:tcBorders>
            <w:shd w:val="clear" w:color="auto" w:fill="auto"/>
            <w:noWrap/>
            <w:vAlign w:val="bottom"/>
            <w:hideMark/>
          </w:tcPr>
          <w:p w14:paraId="35B3A0AE" w14:textId="0A098A61" w:rsidR="0003790E" w:rsidRPr="006F0063" w:rsidRDefault="00725FBA" w:rsidP="0003790E">
            <w:pPr>
              <w:keepNext/>
              <w:keepLines/>
              <w:jc w:val="center"/>
              <w:rPr>
                <w:rFonts w:ascii="Aptos Narrow" w:hAnsi="Aptos Narrow"/>
                <w:color w:val="000000"/>
                <w:highlight w:val="black"/>
              </w:rPr>
            </w:pPr>
            <w:r w:rsidRPr="006F0063">
              <w:rPr>
                <w:rFonts w:ascii="Aptos Narrow" w:hAnsi="Aptos Narrow"/>
                <w:color w:val="000000"/>
                <w:highlight w:val="black"/>
              </w:rPr>
              <w:t>***********************</w:t>
            </w:r>
          </w:p>
        </w:tc>
        <w:tc>
          <w:tcPr>
            <w:tcW w:w="1340" w:type="dxa"/>
            <w:tcBorders>
              <w:top w:val="nil"/>
              <w:left w:val="nil"/>
              <w:bottom w:val="nil"/>
              <w:right w:val="nil"/>
            </w:tcBorders>
            <w:shd w:val="clear" w:color="auto" w:fill="auto"/>
            <w:noWrap/>
            <w:vAlign w:val="bottom"/>
            <w:hideMark/>
          </w:tcPr>
          <w:p w14:paraId="47281165" w14:textId="77777777" w:rsidR="0003790E" w:rsidRPr="0003790E" w:rsidRDefault="0003790E" w:rsidP="0003790E">
            <w:pPr>
              <w:keepNext/>
              <w:keepLines/>
              <w:jc w:val="center"/>
              <w:rPr>
                <w:rFonts w:ascii="Aptos Narrow" w:hAnsi="Aptos Narrow"/>
                <w:color w:val="000000"/>
              </w:rPr>
            </w:pPr>
            <w:r w:rsidRPr="0003790E">
              <w:rPr>
                <w:rFonts w:ascii="Aptos Narrow" w:hAnsi="Aptos Narrow"/>
                <w:color w:val="000000"/>
              </w:rPr>
              <w:t>Y</w:t>
            </w:r>
          </w:p>
        </w:tc>
        <w:tc>
          <w:tcPr>
            <w:tcW w:w="1340" w:type="dxa"/>
            <w:tcBorders>
              <w:top w:val="nil"/>
              <w:left w:val="nil"/>
              <w:bottom w:val="nil"/>
              <w:right w:val="nil"/>
            </w:tcBorders>
            <w:shd w:val="clear" w:color="auto" w:fill="auto"/>
            <w:noWrap/>
            <w:vAlign w:val="bottom"/>
            <w:hideMark/>
          </w:tcPr>
          <w:p w14:paraId="673035E4" w14:textId="77777777" w:rsidR="0003790E" w:rsidRPr="0003790E" w:rsidRDefault="0003790E" w:rsidP="0003790E">
            <w:pPr>
              <w:keepNext/>
              <w:keepLines/>
              <w:jc w:val="center"/>
              <w:rPr>
                <w:rFonts w:ascii="Aptos Narrow" w:hAnsi="Aptos Narrow"/>
                <w:color w:val="000000"/>
              </w:rPr>
            </w:pPr>
            <w:r w:rsidRPr="0003790E">
              <w:rPr>
                <w:rFonts w:ascii="Aptos Narrow" w:hAnsi="Aptos Narrow"/>
                <w:color w:val="000000"/>
              </w:rPr>
              <w:t>N</w:t>
            </w:r>
          </w:p>
        </w:tc>
        <w:tc>
          <w:tcPr>
            <w:tcW w:w="1340" w:type="dxa"/>
            <w:tcBorders>
              <w:top w:val="nil"/>
              <w:left w:val="nil"/>
              <w:bottom w:val="nil"/>
              <w:right w:val="nil"/>
            </w:tcBorders>
            <w:shd w:val="clear" w:color="auto" w:fill="auto"/>
            <w:noWrap/>
            <w:vAlign w:val="bottom"/>
            <w:hideMark/>
          </w:tcPr>
          <w:p w14:paraId="3F9062BD" w14:textId="77777777" w:rsidR="0003790E" w:rsidRPr="0003790E" w:rsidRDefault="0003790E" w:rsidP="0003790E">
            <w:pPr>
              <w:keepNext/>
              <w:keepLines/>
              <w:jc w:val="center"/>
              <w:rPr>
                <w:rFonts w:ascii="Aptos Narrow" w:hAnsi="Aptos Narrow"/>
                <w:color w:val="000000"/>
              </w:rPr>
            </w:pPr>
            <w:r w:rsidRPr="0003790E">
              <w:rPr>
                <w:rFonts w:ascii="Aptos Narrow" w:hAnsi="Aptos Narrow"/>
                <w:color w:val="000000"/>
              </w:rPr>
              <w:t>N</w:t>
            </w:r>
          </w:p>
        </w:tc>
        <w:tc>
          <w:tcPr>
            <w:tcW w:w="1340" w:type="dxa"/>
            <w:tcBorders>
              <w:top w:val="nil"/>
              <w:left w:val="nil"/>
              <w:bottom w:val="nil"/>
              <w:right w:val="nil"/>
            </w:tcBorders>
            <w:shd w:val="clear" w:color="auto" w:fill="auto"/>
            <w:noWrap/>
            <w:vAlign w:val="bottom"/>
            <w:hideMark/>
          </w:tcPr>
          <w:p w14:paraId="2128D09E" w14:textId="77777777" w:rsidR="0003790E" w:rsidRPr="0003790E" w:rsidRDefault="0003790E" w:rsidP="0003790E">
            <w:pPr>
              <w:keepNext/>
              <w:keepLines/>
              <w:jc w:val="center"/>
              <w:rPr>
                <w:rFonts w:ascii="Aptos Narrow" w:hAnsi="Aptos Narrow"/>
                <w:color w:val="000000"/>
              </w:rPr>
            </w:pPr>
            <w:r w:rsidRPr="0003790E">
              <w:rPr>
                <w:rFonts w:ascii="Aptos Narrow" w:hAnsi="Aptos Narrow"/>
                <w:color w:val="000000"/>
              </w:rPr>
              <w:t>N</w:t>
            </w:r>
          </w:p>
        </w:tc>
        <w:tc>
          <w:tcPr>
            <w:tcW w:w="1340" w:type="dxa"/>
            <w:tcBorders>
              <w:top w:val="nil"/>
              <w:left w:val="nil"/>
              <w:bottom w:val="nil"/>
              <w:right w:val="nil"/>
            </w:tcBorders>
            <w:shd w:val="clear" w:color="auto" w:fill="auto"/>
            <w:noWrap/>
            <w:vAlign w:val="bottom"/>
            <w:hideMark/>
          </w:tcPr>
          <w:p w14:paraId="35D7FCB7" w14:textId="77777777" w:rsidR="0003790E" w:rsidRPr="0003790E" w:rsidRDefault="0003790E" w:rsidP="0003790E">
            <w:pPr>
              <w:keepNext/>
              <w:keepLines/>
              <w:jc w:val="center"/>
              <w:rPr>
                <w:rFonts w:ascii="Aptos Narrow" w:hAnsi="Aptos Narrow"/>
                <w:color w:val="000000"/>
              </w:rPr>
            </w:pPr>
            <w:r w:rsidRPr="0003790E">
              <w:rPr>
                <w:rFonts w:ascii="Aptos Narrow" w:hAnsi="Aptos Narrow"/>
                <w:color w:val="000000"/>
              </w:rPr>
              <w:t>N</w:t>
            </w:r>
          </w:p>
        </w:tc>
      </w:tr>
      <w:tr w:rsidR="0003790E" w:rsidRPr="0003790E" w14:paraId="629B9442" w14:textId="77777777" w:rsidTr="006F0063">
        <w:trPr>
          <w:trHeight w:val="300"/>
        </w:trPr>
        <w:tc>
          <w:tcPr>
            <w:tcW w:w="3340" w:type="dxa"/>
            <w:tcBorders>
              <w:top w:val="nil"/>
              <w:left w:val="nil"/>
              <w:bottom w:val="nil"/>
              <w:right w:val="nil"/>
            </w:tcBorders>
            <w:shd w:val="clear" w:color="auto" w:fill="auto"/>
            <w:noWrap/>
            <w:vAlign w:val="bottom"/>
            <w:hideMark/>
          </w:tcPr>
          <w:p w14:paraId="1287BF9A" w14:textId="5AEB06FC" w:rsidR="0003790E" w:rsidRPr="006F0063" w:rsidRDefault="00725FBA" w:rsidP="0003790E">
            <w:pPr>
              <w:keepNext/>
              <w:keepLines/>
              <w:jc w:val="center"/>
              <w:rPr>
                <w:rFonts w:ascii="Aptos Narrow" w:hAnsi="Aptos Narrow"/>
                <w:color w:val="000000"/>
                <w:highlight w:val="black"/>
              </w:rPr>
            </w:pPr>
            <w:r w:rsidRPr="006F0063">
              <w:rPr>
                <w:rFonts w:ascii="Aptos Narrow" w:hAnsi="Aptos Narrow"/>
                <w:color w:val="000000"/>
                <w:highlight w:val="black"/>
              </w:rPr>
              <w:t>***********************</w:t>
            </w:r>
          </w:p>
        </w:tc>
        <w:tc>
          <w:tcPr>
            <w:tcW w:w="1340" w:type="dxa"/>
            <w:tcBorders>
              <w:top w:val="nil"/>
              <w:left w:val="nil"/>
              <w:bottom w:val="nil"/>
              <w:right w:val="nil"/>
            </w:tcBorders>
            <w:shd w:val="clear" w:color="auto" w:fill="auto"/>
            <w:noWrap/>
            <w:vAlign w:val="bottom"/>
            <w:hideMark/>
          </w:tcPr>
          <w:p w14:paraId="7CCE2685" w14:textId="77777777" w:rsidR="0003790E" w:rsidRPr="0003790E" w:rsidRDefault="0003790E" w:rsidP="0003790E">
            <w:pPr>
              <w:keepNext/>
              <w:keepLines/>
              <w:jc w:val="center"/>
              <w:rPr>
                <w:rFonts w:ascii="Aptos Narrow" w:hAnsi="Aptos Narrow"/>
                <w:color w:val="000000"/>
              </w:rPr>
            </w:pPr>
            <w:r w:rsidRPr="0003790E">
              <w:rPr>
                <w:rFonts w:ascii="Aptos Narrow" w:hAnsi="Aptos Narrow"/>
                <w:color w:val="000000"/>
              </w:rPr>
              <w:t>Y</w:t>
            </w:r>
          </w:p>
        </w:tc>
        <w:tc>
          <w:tcPr>
            <w:tcW w:w="1340" w:type="dxa"/>
            <w:tcBorders>
              <w:top w:val="nil"/>
              <w:left w:val="nil"/>
              <w:bottom w:val="nil"/>
              <w:right w:val="nil"/>
            </w:tcBorders>
            <w:shd w:val="clear" w:color="auto" w:fill="auto"/>
            <w:noWrap/>
            <w:vAlign w:val="bottom"/>
            <w:hideMark/>
          </w:tcPr>
          <w:p w14:paraId="0BA8C9A2" w14:textId="77777777" w:rsidR="0003790E" w:rsidRPr="0003790E" w:rsidRDefault="0003790E" w:rsidP="0003790E">
            <w:pPr>
              <w:keepNext/>
              <w:keepLines/>
              <w:jc w:val="center"/>
              <w:rPr>
                <w:rFonts w:ascii="Aptos Narrow" w:hAnsi="Aptos Narrow"/>
                <w:color w:val="000000"/>
              </w:rPr>
            </w:pPr>
            <w:r w:rsidRPr="0003790E">
              <w:rPr>
                <w:rFonts w:ascii="Aptos Narrow" w:hAnsi="Aptos Narrow"/>
                <w:color w:val="000000"/>
              </w:rPr>
              <w:t>N</w:t>
            </w:r>
          </w:p>
        </w:tc>
        <w:tc>
          <w:tcPr>
            <w:tcW w:w="1340" w:type="dxa"/>
            <w:tcBorders>
              <w:top w:val="nil"/>
              <w:left w:val="nil"/>
              <w:bottom w:val="nil"/>
              <w:right w:val="nil"/>
            </w:tcBorders>
            <w:shd w:val="clear" w:color="auto" w:fill="auto"/>
            <w:noWrap/>
            <w:vAlign w:val="bottom"/>
            <w:hideMark/>
          </w:tcPr>
          <w:p w14:paraId="654C1581" w14:textId="77777777" w:rsidR="0003790E" w:rsidRPr="0003790E" w:rsidRDefault="0003790E" w:rsidP="0003790E">
            <w:pPr>
              <w:keepNext/>
              <w:keepLines/>
              <w:jc w:val="center"/>
              <w:rPr>
                <w:rFonts w:ascii="Aptos Narrow" w:hAnsi="Aptos Narrow"/>
                <w:color w:val="000000"/>
              </w:rPr>
            </w:pPr>
            <w:r w:rsidRPr="0003790E">
              <w:rPr>
                <w:rFonts w:ascii="Aptos Narrow" w:hAnsi="Aptos Narrow"/>
                <w:color w:val="000000"/>
              </w:rPr>
              <w:t>N</w:t>
            </w:r>
          </w:p>
        </w:tc>
        <w:tc>
          <w:tcPr>
            <w:tcW w:w="1340" w:type="dxa"/>
            <w:tcBorders>
              <w:top w:val="nil"/>
              <w:left w:val="nil"/>
              <w:bottom w:val="nil"/>
              <w:right w:val="nil"/>
            </w:tcBorders>
            <w:shd w:val="clear" w:color="auto" w:fill="auto"/>
            <w:noWrap/>
            <w:vAlign w:val="bottom"/>
            <w:hideMark/>
          </w:tcPr>
          <w:p w14:paraId="32E1E4E8" w14:textId="77777777" w:rsidR="0003790E" w:rsidRPr="0003790E" w:rsidRDefault="0003790E" w:rsidP="0003790E">
            <w:pPr>
              <w:keepNext/>
              <w:keepLines/>
              <w:jc w:val="center"/>
              <w:rPr>
                <w:rFonts w:ascii="Aptos Narrow" w:hAnsi="Aptos Narrow"/>
                <w:color w:val="000000"/>
              </w:rPr>
            </w:pPr>
            <w:r w:rsidRPr="0003790E">
              <w:rPr>
                <w:rFonts w:ascii="Aptos Narrow" w:hAnsi="Aptos Narrow"/>
                <w:color w:val="000000"/>
              </w:rPr>
              <w:t>N</w:t>
            </w:r>
          </w:p>
        </w:tc>
        <w:tc>
          <w:tcPr>
            <w:tcW w:w="1340" w:type="dxa"/>
            <w:tcBorders>
              <w:top w:val="nil"/>
              <w:left w:val="nil"/>
              <w:bottom w:val="nil"/>
              <w:right w:val="nil"/>
            </w:tcBorders>
            <w:shd w:val="clear" w:color="auto" w:fill="auto"/>
            <w:noWrap/>
            <w:vAlign w:val="bottom"/>
            <w:hideMark/>
          </w:tcPr>
          <w:p w14:paraId="1F177977" w14:textId="77777777" w:rsidR="0003790E" w:rsidRPr="0003790E" w:rsidRDefault="0003790E" w:rsidP="0003790E">
            <w:pPr>
              <w:keepNext/>
              <w:keepLines/>
              <w:jc w:val="center"/>
              <w:rPr>
                <w:rFonts w:ascii="Aptos Narrow" w:hAnsi="Aptos Narrow"/>
                <w:color w:val="000000"/>
              </w:rPr>
            </w:pPr>
            <w:r w:rsidRPr="0003790E">
              <w:rPr>
                <w:rFonts w:ascii="Aptos Narrow" w:hAnsi="Aptos Narrow"/>
                <w:color w:val="000000"/>
              </w:rPr>
              <w:t>N</w:t>
            </w:r>
          </w:p>
        </w:tc>
      </w:tr>
      <w:tr w:rsidR="0003790E" w:rsidRPr="0003790E" w14:paraId="04944FED" w14:textId="77777777" w:rsidTr="006F0063">
        <w:trPr>
          <w:trHeight w:val="300"/>
        </w:trPr>
        <w:tc>
          <w:tcPr>
            <w:tcW w:w="3340" w:type="dxa"/>
            <w:tcBorders>
              <w:top w:val="nil"/>
              <w:left w:val="nil"/>
              <w:bottom w:val="nil"/>
              <w:right w:val="nil"/>
            </w:tcBorders>
            <w:shd w:val="clear" w:color="auto" w:fill="auto"/>
            <w:noWrap/>
            <w:vAlign w:val="bottom"/>
            <w:hideMark/>
          </w:tcPr>
          <w:p w14:paraId="0516FC8A" w14:textId="2A943444" w:rsidR="0003790E" w:rsidRPr="006F0063" w:rsidRDefault="00725FBA" w:rsidP="0003790E">
            <w:pPr>
              <w:keepNext/>
              <w:keepLines/>
              <w:jc w:val="center"/>
              <w:rPr>
                <w:rFonts w:ascii="Aptos Narrow" w:hAnsi="Aptos Narrow"/>
                <w:color w:val="000000"/>
                <w:highlight w:val="black"/>
              </w:rPr>
            </w:pPr>
            <w:r w:rsidRPr="006F0063">
              <w:rPr>
                <w:rFonts w:ascii="Aptos Narrow" w:hAnsi="Aptos Narrow"/>
                <w:color w:val="000000"/>
                <w:highlight w:val="black"/>
              </w:rPr>
              <w:t>***********************</w:t>
            </w:r>
          </w:p>
        </w:tc>
        <w:tc>
          <w:tcPr>
            <w:tcW w:w="1340" w:type="dxa"/>
            <w:tcBorders>
              <w:top w:val="nil"/>
              <w:left w:val="nil"/>
              <w:bottom w:val="nil"/>
              <w:right w:val="nil"/>
            </w:tcBorders>
            <w:shd w:val="clear" w:color="auto" w:fill="auto"/>
            <w:noWrap/>
            <w:vAlign w:val="bottom"/>
            <w:hideMark/>
          </w:tcPr>
          <w:p w14:paraId="5DE2EC68" w14:textId="77777777" w:rsidR="0003790E" w:rsidRPr="0003790E" w:rsidRDefault="0003790E" w:rsidP="0003790E">
            <w:pPr>
              <w:keepNext/>
              <w:keepLines/>
              <w:jc w:val="center"/>
              <w:rPr>
                <w:rFonts w:ascii="Aptos Narrow" w:hAnsi="Aptos Narrow"/>
                <w:color w:val="000000"/>
              </w:rPr>
            </w:pPr>
            <w:r w:rsidRPr="0003790E">
              <w:rPr>
                <w:rFonts w:ascii="Aptos Narrow" w:hAnsi="Aptos Narrow"/>
                <w:color w:val="000000"/>
              </w:rPr>
              <w:t>N</w:t>
            </w:r>
          </w:p>
        </w:tc>
        <w:tc>
          <w:tcPr>
            <w:tcW w:w="1340" w:type="dxa"/>
            <w:tcBorders>
              <w:top w:val="nil"/>
              <w:left w:val="nil"/>
              <w:bottom w:val="nil"/>
              <w:right w:val="nil"/>
            </w:tcBorders>
            <w:shd w:val="clear" w:color="auto" w:fill="auto"/>
            <w:noWrap/>
            <w:vAlign w:val="bottom"/>
            <w:hideMark/>
          </w:tcPr>
          <w:p w14:paraId="65944D69" w14:textId="77777777" w:rsidR="0003790E" w:rsidRPr="0003790E" w:rsidRDefault="0003790E" w:rsidP="0003790E">
            <w:pPr>
              <w:keepNext/>
              <w:keepLines/>
              <w:jc w:val="center"/>
              <w:rPr>
                <w:rFonts w:ascii="Aptos Narrow" w:hAnsi="Aptos Narrow"/>
                <w:color w:val="000000"/>
              </w:rPr>
            </w:pPr>
            <w:r w:rsidRPr="0003790E">
              <w:rPr>
                <w:rFonts w:ascii="Aptos Narrow" w:hAnsi="Aptos Narrow"/>
                <w:color w:val="000000"/>
              </w:rPr>
              <w:t>N</w:t>
            </w:r>
          </w:p>
        </w:tc>
        <w:tc>
          <w:tcPr>
            <w:tcW w:w="1340" w:type="dxa"/>
            <w:tcBorders>
              <w:top w:val="nil"/>
              <w:left w:val="nil"/>
              <w:bottom w:val="nil"/>
              <w:right w:val="nil"/>
            </w:tcBorders>
            <w:shd w:val="clear" w:color="auto" w:fill="auto"/>
            <w:noWrap/>
            <w:vAlign w:val="bottom"/>
            <w:hideMark/>
          </w:tcPr>
          <w:p w14:paraId="056AAA1D" w14:textId="77777777" w:rsidR="0003790E" w:rsidRPr="0003790E" w:rsidRDefault="0003790E" w:rsidP="0003790E">
            <w:pPr>
              <w:keepNext/>
              <w:keepLines/>
              <w:jc w:val="center"/>
              <w:rPr>
                <w:rFonts w:ascii="Aptos Narrow" w:hAnsi="Aptos Narrow"/>
                <w:color w:val="000000"/>
              </w:rPr>
            </w:pPr>
            <w:r w:rsidRPr="0003790E">
              <w:rPr>
                <w:rFonts w:ascii="Aptos Narrow" w:hAnsi="Aptos Narrow"/>
                <w:color w:val="000000"/>
              </w:rPr>
              <w:t>N</w:t>
            </w:r>
          </w:p>
        </w:tc>
        <w:tc>
          <w:tcPr>
            <w:tcW w:w="1340" w:type="dxa"/>
            <w:tcBorders>
              <w:top w:val="nil"/>
              <w:left w:val="nil"/>
              <w:bottom w:val="nil"/>
              <w:right w:val="nil"/>
            </w:tcBorders>
            <w:shd w:val="clear" w:color="auto" w:fill="auto"/>
            <w:noWrap/>
            <w:vAlign w:val="bottom"/>
            <w:hideMark/>
          </w:tcPr>
          <w:p w14:paraId="680CBC67" w14:textId="77777777" w:rsidR="0003790E" w:rsidRPr="0003790E" w:rsidRDefault="0003790E" w:rsidP="0003790E">
            <w:pPr>
              <w:keepNext/>
              <w:keepLines/>
              <w:jc w:val="center"/>
              <w:rPr>
                <w:rFonts w:ascii="Aptos Narrow" w:hAnsi="Aptos Narrow"/>
                <w:color w:val="000000"/>
              </w:rPr>
            </w:pPr>
            <w:r w:rsidRPr="0003790E">
              <w:rPr>
                <w:rFonts w:ascii="Aptos Narrow" w:hAnsi="Aptos Narrow"/>
                <w:color w:val="000000"/>
              </w:rPr>
              <w:t>N</w:t>
            </w:r>
          </w:p>
        </w:tc>
        <w:tc>
          <w:tcPr>
            <w:tcW w:w="1340" w:type="dxa"/>
            <w:tcBorders>
              <w:top w:val="nil"/>
              <w:left w:val="nil"/>
              <w:bottom w:val="nil"/>
              <w:right w:val="nil"/>
            </w:tcBorders>
            <w:shd w:val="clear" w:color="auto" w:fill="auto"/>
            <w:noWrap/>
            <w:vAlign w:val="bottom"/>
            <w:hideMark/>
          </w:tcPr>
          <w:p w14:paraId="4BA49927" w14:textId="77777777" w:rsidR="0003790E" w:rsidRPr="0003790E" w:rsidRDefault="0003790E" w:rsidP="0003790E">
            <w:pPr>
              <w:keepNext/>
              <w:keepLines/>
              <w:jc w:val="center"/>
              <w:rPr>
                <w:rFonts w:ascii="Aptos Narrow" w:hAnsi="Aptos Narrow"/>
                <w:color w:val="000000"/>
              </w:rPr>
            </w:pPr>
            <w:r w:rsidRPr="0003790E">
              <w:rPr>
                <w:rFonts w:ascii="Aptos Narrow" w:hAnsi="Aptos Narrow"/>
                <w:color w:val="000000"/>
              </w:rPr>
              <w:t>Y</w:t>
            </w:r>
          </w:p>
        </w:tc>
      </w:tr>
      <w:tr w:rsidR="0003790E" w:rsidRPr="0003790E" w14:paraId="644ED69B" w14:textId="77777777" w:rsidTr="006F0063">
        <w:trPr>
          <w:trHeight w:val="300"/>
        </w:trPr>
        <w:tc>
          <w:tcPr>
            <w:tcW w:w="3340" w:type="dxa"/>
            <w:tcBorders>
              <w:top w:val="nil"/>
              <w:left w:val="nil"/>
              <w:bottom w:val="nil"/>
              <w:right w:val="nil"/>
            </w:tcBorders>
            <w:shd w:val="clear" w:color="auto" w:fill="auto"/>
            <w:noWrap/>
            <w:vAlign w:val="bottom"/>
            <w:hideMark/>
          </w:tcPr>
          <w:p w14:paraId="2BF8323E" w14:textId="09693C79" w:rsidR="0003790E" w:rsidRPr="006F0063" w:rsidRDefault="00725FBA" w:rsidP="0003790E">
            <w:pPr>
              <w:keepNext/>
              <w:keepLines/>
              <w:jc w:val="center"/>
              <w:rPr>
                <w:rFonts w:ascii="Aptos Narrow" w:hAnsi="Aptos Narrow"/>
                <w:color w:val="000000"/>
                <w:highlight w:val="black"/>
              </w:rPr>
            </w:pPr>
            <w:r w:rsidRPr="006F0063">
              <w:rPr>
                <w:rFonts w:ascii="Aptos Narrow" w:hAnsi="Aptos Narrow"/>
                <w:color w:val="000000"/>
                <w:highlight w:val="black"/>
              </w:rPr>
              <w:t>***********************</w:t>
            </w:r>
          </w:p>
        </w:tc>
        <w:tc>
          <w:tcPr>
            <w:tcW w:w="1340" w:type="dxa"/>
            <w:tcBorders>
              <w:top w:val="nil"/>
              <w:left w:val="nil"/>
              <w:bottom w:val="nil"/>
              <w:right w:val="nil"/>
            </w:tcBorders>
            <w:shd w:val="clear" w:color="auto" w:fill="auto"/>
            <w:noWrap/>
            <w:vAlign w:val="bottom"/>
            <w:hideMark/>
          </w:tcPr>
          <w:p w14:paraId="6BAC43DF" w14:textId="77777777" w:rsidR="0003790E" w:rsidRPr="0003790E" w:rsidRDefault="0003790E" w:rsidP="0003790E">
            <w:pPr>
              <w:keepNext/>
              <w:keepLines/>
              <w:jc w:val="center"/>
              <w:rPr>
                <w:rFonts w:ascii="Aptos Narrow" w:hAnsi="Aptos Narrow"/>
                <w:color w:val="000000"/>
              </w:rPr>
            </w:pPr>
            <w:r w:rsidRPr="0003790E">
              <w:rPr>
                <w:rFonts w:ascii="Aptos Narrow" w:hAnsi="Aptos Narrow"/>
                <w:color w:val="000000"/>
              </w:rPr>
              <w:t>Y</w:t>
            </w:r>
          </w:p>
        </w:tc>
        <w:tc>
          <w:tcPr>
            <w:tcW w:w="1340" w:type="dxa"/>
            <w:tcBorders>
              <w:top w:val="nil"/>
              <w:left w:val="nil"/>
              <w:bottom w:val="nil"/>
              <w:right w:val="nil"/>
            </w:tcBorders>
            <w:shd w:val="clear" w:color="auto" w:fill="auto"/>
            <w:noWrap/>
            <w:vAlign w:val="bottom"/>
            <w:hideMark/>
          </w:tcPr>
          <w:p w14:paraId="4AB4A990" w14:textId="77777777" w:rsidR="0003790E" w:rsidRPr="0003790E" w:rsidRDefault="0003790E" w:rsidP="0003790E">
            <w:pPr>
              <w:keepNext/>
              <w:keepLines/>
              <w:jc w:val="center"/>
              <w:rPr>
                <w:rFonts w:ascii="Aptos Narrow" w:hAnsi="Aptos Narrow"/>
                <w:color w:val="000000"/>
              </w:rPr>
            </w:pPr>
            <w:r w:rsidRPr="0003790E">
              <w:rPr>
                <w:rFonts w:ascii="Aptos Narrow" w:hAnsi="Aptos Narrow"/>
                <w:color w:val="000000"/>
              </w:rPr>
              <w:t>N</w:t>
            </w:r>
          </w:p>
        </w:tc>
        <w:tc>
          <w:tcPr>
            <w:tcW w:w="1340" w:type="dxa"/>
            <w:tcBorders>
              <w:top w:val="nil"/>
              <w:left w:val="nil"/>
              <w:bottom w:val="nil"/>
              <w:right w:val="nil"/>
            </w:tcBorders>
            <w:shd w:val="clear" w:color="auto" w:fill="auto"/>
            <w:noWrap/>
            <w:vAlign w:val="bottom"/>
            <w:hideMark/>
          </w:tcPr>
          <w:p w14:paraId="0FD9D45B" w14:textId="77777777" w:rsidR="0003790E" w:rsidRPr="0003790E" w:rsidRDefault="0003790E" w:rsidP="0003790E">
            <w:pPr>
              <w:keepNext/>
              <w:keepLines/>
              <w:jc w:val="center"/>
              <w:rPr>
                <w:rFonts w:ascii="Aptos Narrow" w:hAnsi="Aptos Narrow"/>
                <w:color w:val="000000"/>
              </w:rPr>
            </w:pPr>
            <w:r w:rsidRPr="0003790E">
              <w:rPr>
                <w:rFonts w:ascii="Aptos Narrow" w:hAnsi="Aptos Narrow"/>
                <w:color w:val="000000"/>
              </w:rPr>
              <w:t>N</w:t>
            </w:r>
          </w:p>
        </w:tc>
        <w:tc>
          <w:tcPr>
            <w:tcW w:w="1340" w:type="dxa"/>
            <w:tcBorders>
              <w:top w:val="nil"/>
              <w:left w:val="nil"/>
              <w:bottom w:val="nil"/>
              <w:right w:val="nil"/>
            </w:tcBorders>
            <w:shd w:val="clear" w:color="auto" w:fill="auto"/>
            <w:noWrap/>
            <w:vAlign w:val="bottom"/>
            <w:hideMark/>
          </w:tcPr>
          <w:p w14:paraId="32B44EC6" w14:textId="77777777" w:rsidR="0003790E" w:rsidRPr="0003790E" w:rsidRDefault="0003790E" w:rsidP="0003790E">
            <w:pPr>
              <w:keepNext/>
              <w:keepLines/>
              <w:jc w:val="center"/>
              <w:rPr>
                <w:rFonts w:ascii="Aptos Narrow" w:hAnsi="Aptos Narrow"/>
                <w:color w:val="000000"/>
              </w:rPr>
            </w:pPr>
            <w:r w:rsidRPr="0003790E">
              <w:rPr>
                <w:rFonts w:ascii="Aptos Narrow" w:hAnsi="Aptos Narrow"/>
                <w:color w:val="000000"/>
              </w:rPr>
              <w:t>N</w:t>
            </w:r>
          </w:p>
        </w:tc>
        <w:tc>
          <w:tcPr>
            <w:tcW w:w="1340" w:type="dxa"/>
            <w:tcBorders>
              <w:top w:val="nil"/>
              <w:left w:val="nil"/>
              <w:bottom w:val="nil"/>
              <w:right w:val="nil"/>
            </w:tcBorders>
            <w:shd w:val="clear" w:color="auto" w:fill="auto"/>
            <w:noWrap/>
            <w:vAlign w:val="bottom"/>
            <w:hideMark/>
          </w:tcPr>
          <w:p w14:paraId="4A3EBFBF" w14:textId="77777777" w:rsidR="0003790E" w:rsidRPr="0003790E" w:rsidRDefault="0003790E" w:rsidP="0003790E">
            <w:pPr>
              <w:keepNext/>
              <w:keepLines/>
              <w:jc w:val="center"/>
              <w:rPr>
                <w:rFonts w:ascii="Aptos Narrow" w:hAnsi="Aptos Narrow"/>
                <w:color w:val="000000"/>
              </w:rPr>
            </w:pPr>
            <w:r w:rsidRPr="0003790E">
              <w:rPr>
                <w:rFonts w:ascii="Aptos Narrow" w:hAnsi="Aptos Narrow"/>
                <w:color w:val="000000"/>
              </w:rPr>
              <w:t>N</w:t>
            </w:r>
          </w:p>
        </w:tc>
      </w:tr>
      <w:tr w:rsidR="0003790E" w:rsidRPr="0003790E" w14:paraId="13805953" w14:textId="77777777" w:rsidTr="006F0063">
        <w:trPr>
          <w:trHeight w:val="300"/>
        </w:trPr>
        <w:tc>
          <w:tcPr>
            <w:tcW w:w="3340" w:type="dxa"/>
            <w:tcBorders>
              <w:top w:val="nil"/>
              <w:left w:val="nil"/>
              <w:bottom w:val="nil"/>
              <w:right w:val="nil"/>
            </w:tcBorders>
            <w:shd w:val="clear" w:color="auto" w:fill="auto"/>
            <w:noWrap/>
            <w:vAlign w:val="bottom"/>
            <w:hideMark/>
          </w:tcPr>
          <w:p w14:paraId="62725773" w14:textId="2FB43FEB" w:rsidR="0003790E" w:rsidRPr="006F0063" w:rsidRDefault="00725FBA" w:rsidP="0003790E">
            <w:pPr>
              <w:keepNext/>
              <w:keepLines/>
              <w:jc w:val="center"/>
              <w:rPr>
                <w:rFonts w:ascii="Aptos Narrow" w:hAnsi="Aptos Narrow"/>
                <w:color w:val="000000"/>
                <w:highlight w:val="black"/>
              </w:rPr>
            </w:pPr>
            <w:r w:rsidRPr="006F0063">
              <w:rPr>
                <w:rFonts w:ascii="Aptos Narrow" w:hAnsi="Aptos Narrow"/>
                <w:color w:val="000000"/>
                <w:highlight w:val="black"/>
              </w:rPr>
              <w:t>***********************</w:t>
            </w:r>
          </w:p>
        </w:tc>
        <w:tc>
          <w:tcPr>
            <w:tcW w:w="1340" w:type="dxa"/>
            <w:tcBorders>
              <w:top w:val="nil"/>
              <w:left w:val="nil"/>
              <w:bottom w:val="nil"/>
              <w:right w:val="nil"/>
            </w:tcBorders>
            <w:shd w:val="clear" w:color="auto" w:fill="auto"/>
            <w:noWrap/>
            <w:vAlign w:val="bottom"/>
            <w:hideMark/>
          </w:tcPr>
          <w:p w14:paraId="5791B496" w14:textId="77777777" w:rsidR="0003790E" w:rsidRPr="0003790E" w:rsidRDefault="0003790E" w:rsidP="0003790E">
            <w:pPr>
              <w:keepNext/>
              <w:keepLines/>
              <w:jc w:val="center"/>
              <w:rPr>
                <w:rFonts w:ascii="Aptos Narrow" w:hAnsi="Aptos Narrow"/>
                <w:color w:val="000000"/>
              </w:rPr>
            </w:pPr>
            <w:r w:rsidRPr="0003790E">
              <w:rPr>
                <w:rFonts w:ascii="Aptos Narrow" w:hAnsi="Aptos Narrow"/>
                <w:color w:val="000000"/>
              </w:rPr>
              <w:t>Y</w:t>
            </w:r>
          </w:p>
        </w:tc>
        <w:tc>
          <w:tcPr>
            <w:tcW w:w="1340" w:type="dxa"/>
            <w:tcBorders>
              <w:top w:val="nil"/>
              <w:left w:val="nil"/>
              <w:bottom w:val="nil"/>
              <w:right w:val="nil"/>
            </w:tcBorders>
            <w:shd w:val="clear" w:color="auto" w:fill="auto"/>
            <w:noWrap/>
            <w:vAlign w:val="bottom"/>
            <w:hideMark/>
          </w:tcPr>
          <w:p w14:paraId="0BC9C838" w14:textId="77777777" w:rsidR="0003790E" w:rsidRPr="0003790E" w:rsidRDefault="0003790E" w:rsidP="0003790E">
            <w:pPr>
              <w:keepNext/>
              <w:keepLines/>
              <w:jc w:val="center"/>
              <w:rPr>
                <w:rFonts w:ascii="Aptos Narrow" w:hAnsi="Aptos Narrow"/>
                <w:color w:val="000000"/>
              </w:rPr>
            </w:pPr>
            <w:r w:rsidRPr="0003790E">
              <w:rPr>
                <w:rFonts w:ascii="Aptos Narrow" w:hAnsi="Aptos Narrow"/>
                <w:color w:val="000000"/>
              </w:rPr>
              <w:t>N</w:t>
            </w:r>
          </w:p>
        </w:tc>
        <w:tc>
          <w:tcPr>
            <w:tcW w:w="1340" w:type="dxa"/>
            <w:tcBorders>
              <w:top w:val="nil"/>
              <w:left w:val="nil"/>
              <w:bottom w:val="nil"/>
              <w:right w:val="nil"/>
            </w:tcBorders>
            <w:shd w:val="clear" w:color="auto" w:fill="auto"/>
            <w:noWrap/>
            <w:vAlign w:val="bottom"/>
            <w:hideMark/>
          </w:tcPr>
          <w:p w14:paraId="5712CB22" w14:textId="77777777" w:rsidR="0003790E" w:rsidRPr="0003790E" w:rsidRDefault="0003790E" w:rsidP="0003790E">
            <w:pPr>
              <w:keepNext/>
              <w:keepLines/>
              <w:jc w:val="center"/>
              <w:rPr>
                <w:rFonts w:ascii="Aptos Narrow" w:hAnsi="Aptos Narrow"/>
                <w:color w:val="000000"/>
              </w:rPr>
            </w:pPr>
            <w:r w:rsidRPr="0003790E">
              <w:rPr>
                <w:rFonts w:ascii="Aptos Narrow" w:hAnsi="Aptos Narrow"/>
                <w:color w:val="000000"/>
              </w:rPr>
              <w:t>N</w:t>
            </w:r>
          </w:p>
        </w:tc>
        <w:tc>
          <w:tcPr>
            <w:tcW w:w="1340" w:type="dxa"/>
            <w:tcBorders>
              <w:top w:val="nil"/>
              <w:left w:val="nil"/>
              <w:bottom w:val="nil"/>
              <w:right w:val="nil"/>
            </w:tcBorders>
            <w:shd w:val="clear" w:color="auto" w:fill="auto"/>
            <w:noWrap/>
            <w:vAlign w:val="bottom"/>
            <w:hideMark/>
          </w:tcPr>
          <w:p w14:paraId="0707B970" w14:textId="77777777" w:rsidR="0003790E" w:rsidRPr="0003790E" w:rsidRDefault="0003790E" w:rsidP="0003790E">
            <w:pPr>
              <w:keepNext/>
              <w:keepLines/>
              <w:jc w:val="center"/>
              <w:rPr>
                <w:rFonts w:ascii="Aptos Narrow" w:hAnsi="Aptos Narrow"/>
                <w:color w:val="000000"/>
              </w:rPr>
            </w:pPr>
            <w:r w:rsidRPr="0003790E">
              <w:rPr>
                <w:rFonts w:ascii="Aptos Narrow" w:hAnsi="Aptos Narrow"/>
                <w:color w:val="000000"/>
              </w:rPr>
              <w:t>N</w:t>
            </w:r>
          </w:p>
        </w:tc>
        <w:tc>
          <w:tcPr>
            <w:tcW w:w="1340" w:type="dxa"/>
            <w:tcBorders>
              <w:top w:val="nil"/>
              <w:left w:val="nil"/>
              <w:bottom w:val="nil"/>
              <w:right w:val="nil"/>
            </w:tcBorders>
            <w:shd w:val="clear" w:color="auto" w:fill="auto"/>
            <w:noWrap/>
            <w:vAlign w:val="bottom"/>
            <w:hideMark/>
          </w:tcPr>
          <w:p w14:paraId="4E61A83F" w14:textId="77777777" w:rsidR="0003790E" w:rsidRPr="0003790E" w:rsidRDefault="0003790E" w:rsidP="0003790E">
            <w:pPr>
              <w:keepNext/>
              <w:keepLines/>
              <w:jc w:val="center"/>
              <w:rPr>
                <w:rFonts w:ascii="Aptos Narrow" w:hAnsi="Aptos Narrow"/>
                <w:color w:val="000000"/>
              </w:rPr>
            </w:pPr>
            <w:r w:rsidRPr="0003790E">
              <w:rPr>
                <w:rFonts w:ascii="Aptos Narrow" w:hAnsi="Aptos Narrow"/>
                <w:color w:val="000000"/>
              </w:rPr>
              <w:t>N</w:t>
            </w:r>
          </w:p>
        </w:tc>
      </w:tr>
      <w:tr w:rsidR="0003790E" w:rsidRPr="0003790E" w14:paraId="2BC4A5F3" w14:textId="77777777" w:rsidTr="006F0063">
        <w:trPr>
          <w:trHeight w:val="300"/>
        </w:trPr>
        <w:tc>
          <w:tcPr>
            <w:tcW w:w="3340" w:type="dxa"/>
            <w:tcBorders>
              <w:top w:val="nil"/>
              <w:left w:val="nil"/>
              <w:bottom w:val="nil"/>
              <w:right w:val="nil"/>
            </w:tcBorders>
            <w:shd w:val="clear" w:color="auto" w:fill="auto"/>
            <w:noWrap/>
            <w:vAlign w:val="bottom"/>
            <w:hideMark/>
          </w:tcPr>
          <w:p w14:paraId="18EAB706" w14:textId="5B728477" w:rsidR="0003790E" w:rsidRPr="006F0063" w:rsidRDefault="00725FBA" w:rsidP="0003790E">
            <w:pPr>
              <w:keepNext/>
              <w:keepLines/>
              <w:jc w:val="center"/>
              <w:rPr>
                <w:rFonts w:ascii="Aptos Narrow" w:hAnsi="Aptos Narrow"/>
                <w:color w:val="000000"/>
                <w:highlight w:val="black"/>
              </w:rPr>
            </w:pPr>
            <w:r w:rsidRPr="006F0063">
              <w:rPr>
                <w:rFonts w:ascii="Aptos Narrow" w:hAnsi="Aptos Narrow"/>
                <w:color w:val="000000"/>
                <w:highlight w:val="black"/>
              </w:rPr>
              <w:t>***********************</w:t>
            </w:r>
          </w:p>
        </w:tc>
        <w:tc>
          <w:tcPr>
            <w:tcW w:w="1340" w:type="dxa"/>
            <w:tcBorders>
              <w:top w:val="nil"/>
              <w:left w:val="nil"/>
              <w:bottom w:val="nil"/>
              <w:right w:val="nil"/>
            </w:tcBorders>
            <w:shd w:val="clear" w:color="auto" w:fill="auto"/>
            <w:noWrap/>
            <w:vAlign w:val="bottom"/>
            <w:hideMark/>
          </w:tcPr>
          <w:p w14:paraId="7F7C22F7" w14:textId="77777777" w:rsidR="0003790E" w:rsidRPr="0003790E" w:rsidRDefault="0003790E" w:rsidP="0003790E">
            <w:pPr>
              <w:keepNext/>
              <w:keepLines/>
              <w:jc w:val="center"/>
              <w:rPr>
                <w:rFonts w:ascii="Aptos Narrow" w:hAnsi="Aptos Narrow"/>
                <w:color w:val="000000"/>
              </w:rPr>
            </w:pPr>
            <w:r w:rsidRPr="0003790E">
              <w:rPr>
                <w:rFonts w:ascii="Aptos Narrow" w:hAnsi="Aptos Narrow"/>
                <w:color w:val="000000"/>
              </w:rPr>
              <w:t>Y</w:t>
            </w:r>
          </w:p>
        </w:tc>
        <w:tc>
          <w:tcPr>
            <w:tcW w:w="1340" w:type="dxa"/>
            <w:tcBorders>
              <w:top w:val="nil"/>
              <w:left w:val="nil"/>
              <w:bottom w:val="nil"/>
              <w:right w:val="nil"/>
            </w:tcBorders>
            <w:shd w:val="clear" w:color="auto" w:fill="auto"/>
            <w:noWrap/>
            <w:vAlign w:val="bottom"/>
            <w:hideMark/>
          </w:tcPr>
          <w:p w14:paraId="58566101" w14:textId="77777777" w:rsidR="0003790E" w:rsidRPr="0003790E" w:rsidRDefault="0003790E" w:rsidP="0003790E">
            <w:pPr>
              <w:keepNext/>
              <w:keepLines/>
              <w:jc w:val="center"/>
              <w:rPr>
                <w:rFonts w:ascii="Aptos Narrow" w:hAnsi="Aptos Narrow"/>
                <w:color w:val="000000"/>
              </w:rPr>
            </w:pPr>
            <w:r w:rsidRPr="0003790E">
              <w:rPr>
                <w:rFonts w:ascii="Aptos Narrow" w:hAnsi="Aptos Narrow"/>
                <w:color w:val="000000"/>
              </w:rPr>
              <w:t>N</w:t>
            </w:r>
          </w:p>
        </w:tc>
        <w:tc>
          <w:tcPr>
            <w:tcW w:w="1340" w:type="dxa"/>
            <w:tcBorders>
              <w:top w:val="nil"/>
              <w:left w:val="nil"/>
              <w:bottom w:val="nil"/>
              <w:right w:val="nil"/>
            </w:tcBorders>
            <w:shd w:val="clear" w:color="auto" w:fill="auto"/>
            <w:noWrap/>
            <w:vAlign w:val="bottom"/>
            <w:hideMark/>
          </w:tcPr>
          <w:p w14:paraId="04D44633" w14:textId="77777777" w:rsidR="0003790E" w:rsidRPr="0003790E" w:rsidRDefault="0003790E" w:rsidP="0003790E">
            <w:pPr>
              <w:keepNext/>
              <w:keepLines/>
              <w:jc w:val="center"/>
              <w:rPr>
                <w:rFonts w:ascii="Aptos Narrow" w:hAnsi="Aptos Narrow"/>
                <w:color w:val="000000"/>
              </w:rPr>
            </w:pPr>
            <w:r w:rsidRPr="0003790E">
              <w:rPr>
                <w:rFonts w:ascii="Aptos Narrow" w:hAnsi="Aptos Narrow"/>
                <w:color w:val="000000"/>
              </w:rPr>
              <w:t>N</w:t>
            </w:r>
          </w:p>
        </w:tc>
        <w:tc>
          <w:tcPr>
            <w:tcW w:w="1340" w:type="dxa"/>
            <w:tcBorders>
              <w:top w:val="nil"/>
              <w:left w:val="nil"/>
              <w:bottom w:val="nil"/>
              <w:right w:val="nil"/>
            </w:tcBorders>
            <w:shd w:val="clear" w:color="auto" w:fill="auto"/>
            <w:noWrap/>
            <w:vAlign w:val="bottom"/>
            <w:hideMark/>
          </w:tcPr>
          <w:p w14:paraId="5E95B60B" w14:textId="77777777" w:rsidR="0003790E" w:rsidRPr="0003790E" w:rsidRDefault="0003790E" w:rsidP="0003790E">
            <w:pPr>
              <w:keepNext/>
              <w:keepLines/>
              <w:jc w:val="center"/>
              <w:rPr>
                <w:rFonts w:ascii="Aptos Narrow" w:hAnsi="Aptos Narrow"/>
                <w:color w:val="000000"/>
              </w:rPr>
            </w:pPr>
            <w:r w:rsidRPr="0003790E">
              <w:rPr>
                <w:rFonts w:ascii="Aptos Narrow" w:hAnsi="Aptos Narrow"/>
                <w:color w:val="000000"/>
              </w:rPr>
              <w:t>N</w:t>
            </w:r>
          </w:p>
        </w:tc>
        <w:tc>
          <w:tcPr>
            <w:tcW w:w="1340" w:type="dxa"/>
            <w:tcBorders>
              <w:top w:val="nil"/>
              <w:left w:val="nil"/>
              <w:bottom w:val="nil"/>
              <w:right w:val="nil"/>
            </w:tcBorders>
            <w:shd w:val="clear" w:color="auto" w:fill="auto"/>
            <w:noWrap/>
            <w:vAlign w:val="bottom"/>
            <w:hideMark/>
          </w:tcPr>
          <w:p w14:paraId="3075A195" w14:textId="77777777" w:rsidR="0003790E" w:rsidRPr="0003790E" w:rsidRDefault="0003790E" w:rsidP="0003790E">
            <w:pPr>
              <w:keepNext/>
              <w:keepLines/>
              <w:jc w:val="center"/>
              <w:rPr>
                <w:rFonts w:ascii="Aptos Narrow" w:hAnsi="Aptos Narrow"/>
                <w:color w:val="000000"/>
              </w:rPr>
            </w:pPr>
            <w:r w:rsidRPr="0003790E">
              <w:rPr>
                <w:rFonts w:ascii="Aptos Narrow" w:hAnsi="Aptos Narrow"/>
                <w:color w:val="000000"/>
              </w:rPr>
              <w:t>N</w:t>
            </w:r>
          </w:p>
        </w:tc>
      </w:tr>
      <w:tr w:rsidR="0003790E" w:rsidRPr="0003790E" w14:paraId="027B474D" w14:textId="77777777" w:rsidTr="006F0063">
        <w:trPr>
          <w:trHeight w:val="300"/>
        </w:trPr>
        <w:tc>
          <w:tcPr>
            <w:tcW w:w="3340" w:type="dxa"/>
            <w:tcBorders>
              <w:top w:val="nil"/>
              <w:left w:val="nil"/>
              <w:bottom w:val="nil"/>
              <w:right w:val="nil"/>
            </w:tcBorders>
            <w:shd w:val="clear" w:color="auto" w:fill="auto"/>
            <w:noWrap/>
            <w:vAlign w:val="bottom"/>
            <w:hideMark/>
          </w:tcPr>
          <w:p w14:paraId="5B954D84" w14:textId="3B862D9A" w:rsidR="0003790E" w:rsidRPr="006F0063" w:rsidRDefault="00725FBA" w:rsidP="0003790E">
            <w:pPr>
              <w:keepNext/>
              <w:keepLines/>
              <w:jc w:val="center"/>
              <w:rPr>
                <w:rFonts w:ascii="Aptos Narrow" w:hAnsi="Aptos Narrow"/>
                <w:color w:val="000000"/>
                <w:highlight w:val="black"/>
              </w:rPr>
            </w:pPr>
            <w:r w:rsidRPr="006F0063">
              <w:rPr>
                <w:rFonts w:ascii="Aptos Narrow" w:hAnsi="Aptos Narrow"/>
                <w:color w:val="000000"/>
                <w:highlight w:val="black"/>
              </w:rPr>
              <w:t>***********************</w:t>
            </w:r>
          </w:p>
        </w:tc>
        <w:tc>
          <w:tcPr>
            <w:tcW w:w="1340" w:type="dxa"/>
            <w:tcBorders>
              <w:top w:val="nil"/>
              <w:left w:val="nil"/>
              <w:bottom w:val="nil"/>
              <w:right w:val="nil"/>
            </w:tcBorders>
            <w:shd w:val="clear" w:color="auto" w:fill="auto"/>
            <w:noWrap/>
            <w:vAlign w:val="bottom"/>
            <w:hideMark/>
          </w:tcPr>
          <w:p w14:paraId="09CBB9BE" w14:textId="77777777" w:rsidR="0003790E" w:rsidRPr="0003790E" w:rsidRDefault="0003790E" w:rsidP="0003790E">
            <w:pPr>
              <w:keepNext/>
              <w:keepLines/>
              <w:jc w:val="center"/>
              <w:rPr>
                <w:rFonts w:ascii="Aptos Narrow" w:hAnsi="Aptos Narrow"/>
                <w:color w:val="000000"/>
              </w:rPr>
            </w:pPr>
            <w:r w:rsidRPr="0003790E">
              <w:rPr>
                <w:rFonts w:ascii="Aptos Narrow" w:hAnsi="Aptos Narrow"/>
                <w:color w:val="000000"/>
              </w:rPr>
              <w:t>Y</w:t>
            </w:r>
          </w:p>
        </w:tc>
        <w:tc>
          <w:tcPr>
            <w:tcW w:w="1340" w:type="dxa"/>
            <w:tcBorders>
              <w:top w:val="nil"/>
              <w:left w:val="nil"/>
              <w:bottom w:val="nil"/>
              <w:right w:val="nil"/>
            </w:tcBorders>
            <w:shd w:val="clear" w:color="auto" w:fill="auto"/>
            <w:noWrap/>
            <w:vAlign w:val="bottom"/>
            <w:hideMark/>
          </w:tcPr>
          <w:p w14:paraId="67A15A01" w14:textId="77777777" w:rsidR="0003790E" w:rsidRPr="0003790E" w:rsidRDefault="0003790E" w:rsidP="0003790E">
            <w:pPr>
              <w:keepNext/>
              <w:keepLines/>
              <w:jc w:val="center"/>
              <w:rPr>
                <w:rFonts w:ascii="Aptos Narrow" w:hAnsi="Aptos Narrow"/>
                <w:color w:val="000000"/>
              </w:rPr>
            </w:pPr>
            <w:r w:rsidRPr="0003790E">
              <w:rPr>
                <w:rFonts w:ascii="Aptos Narrow" w:hAnsi="Aptos Narrow"/>
                <w:color w:val="000000"/>
              </w:rPr>
              <w:t>N</w:t>
            </w:r>
          </w:p>
        </w:tc>
        <w:tc>
          <w:tcPr>
            <w:tcW w:w="1340" w:type="dxa"/>
            <w:tcBorders>
              <w:top w:val="nil"/>
              <w:left w:val="nil"/>
              <w:bottom w:val="nil"/>
              <w:right w:val="nil"/>
            </w:tcBorders>
            <w:shd w:val="clear" w:color="auto" w:fill="auto"/>
            <w:noWrap/>
            <w:vAlign w:val="bottom"/>
            <w:hideMark/>
          </w:tcPr>
          <w:p w14:paraId="3406CA1B" w14:textId="77777777" w:rsidR="0003790E" w:rsidRPr="0003790E" w:rsidRDefault="0003790E" w:rsidP="0003790E">
            <w:pPr>
              <w:keepNext/>
              <w:keepLines/>
              <w:jc w:val="center"/>
              <w:rPr>
                <w:rFonts w:ascii="Aptos Narrow" w:hAnsi="Aptos Narrow"/>
                <w:color w:val="000000"/>
              </w:rPr>
            </w:pPr>
            <w:r w:rsidRPr="0003790E">
              <w:rPr>
                <w:rFonts w:ascii="Aptos Narrow" w:hAnsi="Aptos Narrow"/>
                <w:color w:val="000000"/>
              </w:rPr>
              <w:t>N</w:t>
            </w:r>
          </w:p>
        </w:tc>
        <w:tc>
          <w:tcPr>
            <w:tcW w:w="1340" w:type="dxa"/>
            <w:tcBorders>
              <w:top w:val="nil"/>
              <w:left w:val="nil"/>
              <w:bottom w:val="nil"/>
              <w:right w:val="nil"/>
            </w:tcBorders>
            <w:shd w:val="clear" w:color="auto" w:fill="auto"/>
            <w:noWrap/>
            <w:vAlign w:val="bottom"/>
            <w:hideMark/>
          </w:tcPr>
          <w:p w14:paraId="03843D50" w14:textId="77777777" w:rsidR="0003790E" w:rsidRPr="0003790E" w:rsidRDefault="0003790E" w:rsidP="0003790E">
            <w:pPr>
              <w:keepNext/>
              <w:keepLines/>
              <w:jc w:val="center"/>
              <w:rPr>
                <w:rFonts w:ascii="Aptos Narrow" w:hAnsi="Aptos Narrow"/>
                <w:color w:val="000000"/>
              </w:rPr>
            </w:pPr>
            <w:r w:rsidRPr="0003790E">
              <w:rPr>
                <w:rFonts w:ascii="Aptos Narrow" w:hAnsi="Aptos Narrow"/>
                <w:color w:val="000000"/>
              </w:rPr>
              <w:t>N</w:t>
            </w:r>
          </w:p>
        </w:tc>
        <w:tc>
          <w:tcPr>
            <w:tcW w:w="1340" w:type="dxa"/>
            <w:tcBorders>
              <w:top w:val="nil"/>
              <w:left w:val="nil"/>
              <w:bottom w:val="nil"/>
              <w:right w:val="nil"/>
            </w:tcBorders>
            <w:shd w:val="clear" w:color="auto" w:fill="auto"/>
            <w:noWrap/>
            <w:vAlign w:val="bottom"/>
            <w:hideMark/>
          </w:tcPr>
          <w:p w14:paraId="0330CED4" w14:textId="77777777" w:rsidR="0003790E" w:rsidRPr="0003790E" w:rsidRDefault="0003790E" w:rsidP="0003790E">
            <w:pPr>
              <w:keepNext/>
              <w:keepLines/>
              <w:jc w:val="center"/>
              <w:rPr>
                <w:rFonts w:ascii="Aptos Narrow" w:hAnsi="Aptos Narrow"/>
                <w:color w:val="000000"/>
              </w:rPr>
            </w:pPr>
            <w:r w:rsidRPr="0003790E">
              <w:rPr>
                <w:rFonts w:ascii="Aptos Narrow" w:hAnsi="Aptos Narrow"/>
                <w:color w:val="000000"/>
              </w:rPr>
              <w:t>N</w:t>
            </w:r>
          </w:p>
        </w:tc>
      </w:tr>
      <w:tr w:rsidR="0003790E" w:rsidRPr="0003790E" w14:paraId="112A4B3B" w14:textId="77777777" w:rsidTr="006F0063">
        <w:trPr>
          <w:trHeight w:val="300"/>
        </w:trPr>
        <w:tc>
          <w:tcPr>
            <w:tcW w:w="3340" w:type="dxa"/>
            <w:tcBorders>
              <w:top w:val="nil"/>
              <w:left w:val="nil"/>
              <w:bottom w:val="nil"/>
              <w:right w:val="nil"/>
            </w:tcBorders>
            <w:shd w:val="clear" w:color="auto" w:fill="auto"/>
            <w:noWrap/>
            <w:vAlign w:val="bottom"/>
            <w:hideMark/>
          </w:tcPr>
          <w:p w14:paraId="5D8F5E0E" w14:textId="7C220233" w:rsidR="0003790E" w:rsidRPr="006F0063" w:rsidRDefault="00725FBA" w:rsidP="0003790E">
            <w:pPr>
              <w:keepNext/>
              <w:keepLines/>
              <w:jc w:val="center"/>
              <w:rPr>
                <w:rFonts w:ascii="Aptos Narrow" w:hAnsi="Aptos Narrow"/>
                <w:color w:val="000000"/>
                <w:highlight w:val="black"/>
              </w:rPr>
            </w:pPr>
            <w:r w:rsidRPr="006F0063">
              <w:rPr>
                <w:rFonts w:ascii="Aptos Narrow" w:hAnsi="Aptos Narrow"/>
                <w:color w:val="000000"/>
                <w:highlight w:val="black"/>
              </w:rPr>
              <w:t>***********************</w:t>
            </w:r>
          </w:p>
        </w:tc>
        <w:tc>
          <w:tcPr>
            <w:tcW w:w="1340" w:type="dxa"/>
            <w:tcBorders>
              <w:top w:val="nil"/>
              <w:left w:val="nil"/>
              <w:bottom w:val="nil"/>
              <w:right w:val="nil"/>
            </w:tcBorders>
            <w:shd w:val="clear" w:color="auto" w:fill="auto"/>
            <w:noWrap/>
            <w:vAlign w:val="bottom"/>
            <w:hideMark/>
          </w:tcPr>
          <w:p w14:paraId="601825E3" w14:textId="77777777" w:rsidR="0003790E" w:rsidRPr="0003790E" w:rsidRDefault="0003790E" w:rsidP="0003790E">
            <w:pPr>
              <w:keepNext/>
              <w:keepLines/>
              <w:jc w:val="center"/>
              <w:rPr>
                <w:rFonts w:ascii="Aptos Narrow" w:hAnsi="Aptos Narrow"/>
                <w:color w:val="000000"/>
              </w:rPr>
            </w:pPr>
            <w:r w:rsidRPr="0003790E">
              <w:rPr>
                <w:rFonts w:ascii="Aptos Narrow" w:hAnsi="Aptos Narrow"/>
                <w:color w:val="000000"/>
              </w:rPr>
              <w:t>Y</w:t>
            </w:r>
          </w:p>
        </w:tc>
        <w:tc>
          <w:tcPr>
            <w:tcW w:w="1340" w:type="dxa"/>
            <w:tcBorders>
              <w:top w:val="nil"/>
              <w:left w:val="nil"/>
              <w:bottom w:val="nil"/>
              <w:right w:val="nil"/>
            </w:tcBorders>
            <w:shd w:val="clear" w:color="auto" w:fill="auto"/>
            <w:noWrap/>
            <w:vAlign w:val="bottom"/>
            <w:hideMark/>
          </w:tcPr>
          <w:p w14:paraId="19725766" w14:textId="77777777" w:rsidR="0003790E" w:rsidRPr="0003790E" w:rsidRDefault="0003790E" w:rsidP="0003790E">
            <w:pPr>
              <w:keepNext/>
              <w:keepLines/>
              <w:jc w:val="center"/>
              <w:rPr>
                <w:rFonts w:ascii="Aptos Narrow" w:hAnsi="Aptos Narrow"/>
                <w:color w:val="000000"/>
              </w:rPr>
            </w:pPr>
            <w:r w:rsidRPr="0003790E">
              <w:rPr>
                <w:rFonts w:ascii="Aptos Narrow" w:hAnsi="Aptos Narrow"/>
                <w:color w:val="000000"/>
              </w:rPr>
              <w:t>N</w:t>
            </w:r>
          </w:p>
        </w:tc>
        <w:tc>
          <w:tcPr>
            <w:tcW w:w="1340" w:type="dxa"/>
            <w:tcBorders>
              <w:top w:val="nil"/>
              <w:left w:val="nil"/>
              <w:bottom w:val="nil"/>
              <w:right w:val="nil"/>
            </w:tcBorders>
            <w:shd w:val="clear" w:color="auto" w:fill="auto"/>
            <w:noWrap/>
            <w:vAlign w:val="bottom"/>
            <w:hideMark/>
          </w:tcPr>
          <w:p w14:paraId="528FA70A" w14:textId="77777777" w:rsidR="0003790E" w:rsidRPr="0003790E" w:rsidRDefault="0003790E" w:rsidP="0003790E">
            <w:pPr>
              <w:keepNext/>
              <w:keepLines/>
              <w:jc w:val="center"/>
              <w:rPr>
                <w:rFonts w:ascii="Aptos Narrow" w:hAnsi="Aptos Narrow"/>
                <w:color w:val="000000"/>
              </w:rPr>
            </w:pPr>
            <w:r w:rsidRPr="0003790E">
              <w:rPr>
                <w:rFonts w:ascii="Aptos Narrow" w:hAnsi="Aptos Narrow"/>
                <w:color w:val="000000"/>
              </w:rPr>
              <w:t>N</w:t>
            </w:r>
          </w:p>
        </w:tc>
        <w:tc>
          <w:tcPr>
            <w:tcW w:w="1340" w:type="dxa"/>
            <w:tcBorders>
              <w:top w:val="nil"/>
              <w:left w:val="nil"/>
              <w:bottom w:val="nil"/>
              <w:right w:val="nil"/>
            </w:tcBorders>
            <w:shd w:val="clear" w:color="auto" w:fill="auto"/>
            <w:noWrap/>
            <w:vAlign w:val="bottom"/>
            <w:hideMark/>
          </w:tcPr>
          <w:p w14:paraId="6C08134E" w14:textId="77777777" w:rsidR="0003790E" w:rsidRPr="0003790E" w:rsidRDefault="0003790E" w:rsidP="0003790E">
            <w:pPr>
              <w:keepNext/>
              <w:keepLines/>
              <w:jc w:val="center"/>
              <w:rPr>
                <w:rFonts w:ascii="Aptos Narrow" w:hAnsi="Aptos Narrow"/>
                <w:color w:val="000000"/>
              </w:rPr>
            </w:pPr>
            <w:r w:rsidRPr="0003790E">
              <w:rPr>
                <w:rFonts w:ascii="Aptos Narrow" w:hAnsi="Aptos Narrow"/>
                <w:color w:val="000000"/>
              </w:rPr>
              <w:t>N</w:t>
            </w:r>
          </w:p>
        </w:tc>
        <w:tc>
          <w:tcPr>
            <w:tcW w:w="1340" w:type="dxa"/>
            <w:tcBorders>
              <w:top w:val="nil"/>
              <w:left w:val="nil"/>
              <w:bottom w:val="nil"/>
              <w:right w:val="nil"/>
            </w:tcBorders>
            <w:shd w:val="clear" w:color="auto" w:fill="auto"/>
            <w:noWrap/>
            <w:vAlign w:val="bottom"/>
            <w:hideMark/>
          </w:tcPr>
          <w:p w14:paraId="0CD98E07" w14:textId="77777777" w:rsidR="0003790E" w:rsidRPr="0003790E" w:rsidRDefault="0003790E" w:rsidP="0003790E">
            <w:pPr>
              <w:keepNext/>
              <w:keepLines/>
              <w:jc w:val="center"/>
              <w:rPr>
                <w:rFonts w:ascii="Aptos Narrow" w:hAnsi="Aptos Narrow"/>
                <w:color w:val="000000"/>
              </w:rPr>
            </w:pPr>
            <w:r w:rsidRPr="0003790E">
              <w:rPr>
                <w:rFonts w:ascii="Aptos Narrow" w:hAnsi="Aptos Narrow"/>
                <w:color w:val="000000"/>
              </w:rPr>
              <w:t>N</w:t>
            </w:r>
          </w:p>
        </w:tc>
      </w:tr>
      <w:tr w:rsidR="0003790E" w:rsidRPr="0003790E" w14:paraId="2FBD4101" w14:textId="77777777" w:rsidTr="006F0063">
        <w:trPr>
          <w:trHeight w:val="300"/>
        </w:trPr>
        <w:tc>
          <w:tcPr>
            <w:tcW w:w="3340" w:type="dxa"/>
            <w:tcBorders>
              <w:top w:val="nil"/>
              <w:left w:val="nil"/>
              <w:bottom w:val="nil"/>
              <w:right w:val="nil"/>
            </w:tcBorders>
            <w:shd w:val="clear" w:color="auto" w:fill="auto"/>
            <w:noWrap/>
            <w:vAlign w:val="bottom"/>
            <w:hideMark/>
          </w:tcPr>
          <w:p w14:paraId="2D2766A5" w14:textId="37B7337A" w:rsidR="0003790E" w:rsidRPr="006F0063" w:rsidRDefault="00725FBA" w:rsidP="0003790E">
            <w:pPr>
              <w:keepNext/>
              <w:keepLines/>
              <w:jc w:val="center"/>
              <w:rPr>
                <w:rFonts w:ascii="Aptos Narrow" w:hAnsi="Aptos Narrow"/>
                <w:color w:val="000000"/>
                <w:highlight w:val="black"/>
              </w:rPr>
            </w:pPr>
            <w:r w:rsidRPr="006F0063">
              <w:rPr>
                <w:rFonts w:ascii="Aptos Narrow" w:hAnsi="Aptos Narrow"/>
                <w:color w:val="000000"/>
                <w:highlight w:val="black"/>
              </w:rPr>
              <w:t>***********************</w:t>
            </w:r>
          </w:p>
        </w:tc>
        <w:tc>
          <w:tcPr>
            <w:tcW w:w="1340" w:type="dxa"/>
            <w:tcBorders>
              <w:top w:val="nil"/>
              <w:left w:val="nil"/>
              <w:bottom w:val="nil"/>
              <w:right w:val="nil"/>
            </w:tcBorders>
            <w:shd w:val="clear" w:color="auto" w:fill="auto"/>
            <w:noWrap/>
            <w:vAlign w:val="bottom"/>
            <w:hideMark/>
          </w:tcPr>
          <w:p w14:paraId="5B99A11B" w14:textId="77777777" w:rsidR="0003790E" w:rsidRPr="0003790E" w:rsidRDefault="0003790E" w:rsidP="0003790E">
            <w:pPr>
              <w:keepNext/>
              <w:keepLines/>
              <w:jc w:val="center"/>
              <w:rPr>
                <w:rFonts w:ascii="Aptos Narrow" w:hAnsi="Aptos Narrow"/>
                <w:color w:val="000000"/>
              </w:rPr>
            </w:pPr>
            <w:r w:rsidRPr="0003790E">
              <w:rPr>
                <w:rFonts w:ascii="Aptos Narrow" w:hAnsi="Aptos Narrow"/>
                <w:color w:val="000000"/>
              </w:rPr>
              <w:t>Y</w:t>
            </w:r>
          </w:p>
        </w:tc>
        <w:tc>
          <w:tcPr>
            <w:tcW w:w="1340" w:type="dxa"/>
            <w:tcBorders>
              <w:top w:val="nil"/>
              <w:left w:val="nil"/>
              <w:bottom w:val="nil"/>
              <w:right w:val="nil"/>
            </w:tcBorders>
            <w:shd w:val="clear" w:color="auto" w:fill="auto"/>
            <w:noWrap/>
            <w:vAlign w:val="bottom"/>
            <w:hideMark/>
          </w:tcPr>
          <w:p w14:paraId="2FC6687E" w14:textId="77777777" w:rsidR="0003790E" w:rsidRPr="0003790E" w:rsidRDefault="0003790E" w:rsidP="0003790E">
            <w:pPr>
              <w:keepNext/>
              <w:keepLines/>
              <w:jc w:val="center"/>
              <w:rPr>
                <w:rFonts w:ascii="Aptos Narrow" w:hAnsi="Aptos Narrow"/>
                <w:color w:val="000000"/>
              </w:rPr>
            </w:pPr>
            <w:r w:rsidRPr="0003790E">
              <w:rPr>
                <w:rFonts w:ascii="Aptos Narrow" w:hAnsi="Aptos Narrow"/>
                <w:color w:val="000000"/>
              </w:rPr>
              <w:t>N</w:t>
            </w:r>
          </w:p>
        </w:tc>
        <w:tc>
          <w:tcPr>
            <w:tcW w:w="1340" w:type="dxa"/>
            <w:tcBorders>
              <w:top w:val="nil"/>
              <w:left w:val="nil"/>
              <w:bottom w:val="nil"/>
              <w:right w:val="nil"/>
            </w:tcBorders>
            <w:shd w:val="clear" w:color="auto" w:fill="auto"/>
            <w:noWrap/>
            <w:vAlign w:val="bottom"/>
            <w:hideMark/>
          </w:tcPr>
          <w:p w14:paraId="69A381E3" w14:textId="77777777" w:rsidR="0003790E" w:rsidRPr="0003790E" w:rsidRDefault="0003790E" w:rsidP="0003790E">
            <w:pPr>
              <w:keepNext/>
              <w:keepLines/>
              <w:jc w:val="center"/>
              <w:rPr>
                <w:rFonts w:ascii="Aptos Narrow" w:hAnsi="Aptos Narrow"/>
                <w:color w:val="000000"/>
              </w:rPr>
            </w:pPr>
            <w:r w:rsidRPr="0003790E">
              <w:rPr>
                <w:rFonts w:ascii="Aptos Narrow" w:hAnsi="Aptos Narrow"/>
                <w:color w:val="000000"/>
              </w:rPr>
              <w:t>N</w:t>
            </w:r>
          </w:p>
        </w:tc>
        <w:tc>
          <w:tcPr>
            <w:tcW w:w="1340" w:type="dxa"/>
            <w:tcBorders>
              <w:top w:val="nil"/>
              <w:left w:val="nil"/>
              <w:bottom w:val="nil"/>
              <w:right w:val="nil"/>
            </w:tcBorders>
            <w:shd w:val="clear" w:color="auto" w:fill="auto"/>
            <w:noWrap/>
            <w:vAlign w:val="bottom"/>
            <w:hideMark/>
          </w:tcPr>
          <w:p w14:paraId="40BAD2AF" w14:textId="77777777" w:rsidR="0003790E" w:rsidRPr="0003790E" w:rsidRDefault="0003790E" w:rsidP="0003790E">
            <w:pPr>
              <w:keepNext/>
              <w:keepLines/>
              <w:jc w:val="center"/>
              <w:rPr>
                <w:rFonts w:ascii="Aptos Narrow" w:hAnsi="Aptos Narrow"/>
                <w:color w:val="000000"/>
              </w:rPr>
            </w:pPr>
            <w:r w:rsidRPr="0003790E">
              <w:rPr>
                <w:rFonts w:ascii="Aptos Narrow" w:hAnsi="Aptos Narrow"/>
                <w:color w:val="000000"/>
              </w:rPr>
              <w:t>N</w:t>
            </w:r>
          </w:p>
        </w:tc>
        <w:tc>
          <w:tcPr>
            <w:tcW w:w="1340" w:type="dxa"/>
            <w:tcBorders>
              <w:top w:val="nil"/>
              <w:left w:val="nil"/>
              <w:bottom w:val="nil"/>
              <w:right w:val="nil"/>
            </w:tcBorders>
            <w:shd w:val="clear" w:color="auto" w:fill="auto"/>
            <w:noWrap/>
            <w:vAlign w:val="bottom"/>
            <w:hideMark/>
          </w:tcPr>
          <w:p w14:paraId="5A3148A8" w14:textId="77777777" w:rsidR="0003790E" w:rsidRPr="0003790E" w:rsidRDefault="0003790E" w:rsidP="0003790E">
            <w:pPr>
              <w:keepNext/>
              <w:keepLines/>
              <w:jc w:val="center"/>
              <w:rPr>
                <w:rFonts w:ascii="Aptos Narrow" w:hAnsi="Aptos Narrow"/>
                <w:color w:val="000000"/>
              </w:rPr>
            </w:pPr>
            <w:r w:rsidRPr="0003790E">
              <w:rPr>
                <w:rFonts w:ascii="Aptos Narrow" w:hAnsi="Aptos Narrow"/>
                <w:color w:val="000000"/>
              </w:rPr>
              <w:t>N</w:t>
            </w:r>
          </w:p>
        </w:tc>
      </w:tr>
      <w:tr w:rsidR="0003790E" w:rsidRPr="0003790E" w14:paraId="2D382892" w14:textId="77777777" w:rsidTr="006F0063">
        <w:trPr>
          <w:trHeight w:val="300"/>
        </w:trPr>
        <w:tc>
          <w:tcPr>
            <w:tcW w:w="3340" w:type="dxa"/>
            <w:tcBorders>
              <w:top w:val="nil"/>
              <w:left w:val="nil"/>
              <w:bottom w:val="nil"/>
              <w:right w:val="nil"/>
            </w:tcBorders>
            <w:shd w:val="clear" w:color="auto" w:fill="auto"/>
            <w:noWrap/>
            <w:vAlign w:val="bottom"/>
            <w:hideMark/>
          </w:tcPr>
          <w:p w14:paraId="2F0EE30E" w14:textId="3801F6A5" w:rsidR="0003790E" w:rsidRPr="006F0063" w:rsidRDefault="00725FBA" w:rsidP="0003790E">
            <w:pPr>
              <w:keepNext/>
              <w:keepLines/>
              <w:jc w:val="center"/>
              <w:rPr>
                <w:rFonts w:ascii="Aptos Narrow" w:hAnsi="Aptos Narrow"/>
                <w:color w:val="000000"/>
                <w:highlight w:val="black"/>
              </w:rPr>
            </w:pPr>
            <w:r w:rsidRPr="006F0063">
              <w:rPr>
                <w:rFonts w:ascii="Aptos Narrow" w:hAnsi="Aptos Narrow"/>
                <w:color w:val="000000"/>
                <w:highlight w:val="black"/>
              </w:rPr>
              <w:t>***********************</w:t>
            </w:r>
          </w:p>
        </w:tc>
        <w:tc>
          <w:tcPr>
            <w:tcW w:w="1340" w:type="dxa"/>
            <w:tcBorders>
              <w:top w:val="nil"/>
              <w:left w:val="nil"/>
              <w:bottom w:val="nil"/>
              <w:right w:val="nil"/>
            </w:tcBorders>
            <w:shd w:val="clear" w:color="auto" w:fill="auto"/>
            <w:noWrap/>
            <w:vAlign w:val="bottom"/>
            <w:hideMark/>
          </w:tcPr>
          <w:p w14:paraId="69295CCF" w14:textId="77777777" w:rsidR="0003790E" w:rsidRPr="0003790E" w:rsidRDefault="0003790E" w:rsidP="0003790E">
            <w:pPr>
              <w:keepNext/>
              <w:keepLines/>
              <w:jc w:val="center"/>
              <w:rPr>
                <w:rFonts w:ascii="Aptos Narrow" w:hAnsi="Aptos Narrow"/>
                <w:color w:val="000000"/>
              </w:rPr>
            </w:pPr>
            <w:r w:rsidRPr="0003790E">
              <w:rPr>
                <w:rFonts w:ascii="Aptos Narrow" w:hAnsi="Aptos Narrow"/>
                <w:color w:val="000000"/>
              </w:rPr>
              <w:t>Y</w:t>
            </w:r>
          </w:p>
        </w:tc>
        <w:tc>
          <w:tcPr>
            <w:tcW w:w="1340" w:type="dxa"/>
            <w:tcBorders>
              <w:top w:val="nil"/>
              <w:left w:val="nil"/>
              <w:bottom w:val="nil"/>
              <w:right w:val="nil"/>
            </w:tcBorders>
            <w:shd w:val="clear" w:color="auto" w:fill="auto"/>
            <w:noWrap/>
            <w:vAlign w:val="bottom"/>
            <w:hideMark/>
          </w:tcPr>
          <w:p w14:paraId="72DA7166" w14:textId="77777777" w:rsidR="0003790E" w:rsidRPr="0003790E" w:rsidRDefault="0003790E" w:rsidP="0003790E">
            <w:pPr>
              <w:keepNext/>
              <w:keepLines/>
              <w:jc w:val="center"/>
              <w:rPr>
                <w:rFonts w:ascii="Aptos Narrow" w:hAnsi="Aptos Narrow"/>
                <w:color w:val="000000"/>
              </w:rPr>
            </w:pPr>
            <w:r w:rsidRPr="0003790E">
              <w:rPr>
                <w:rFonts w:ascii="Aptos Narrow" w:hAnsi="Aptos Narrow"/>
                <w:color w:val="000000"/>
              </w:rPr>
              <w:t>N</w:t>
            </w:r>
          </w:p>
        </w:tc>
        <w:tc>
          <w:tcPr>
            <w:tcW w:w="1340" w:type="dxa"/>
            <w:tcBorders>
              <w:top w:val="nil"/>
              <w:left w:val="nil"/>
              <w:bottom w:val="nil"/>
              <w:right w:val="nil"/>
            </w:tcBorders>
            <w:shd w:val="clear" w:color="auto" w:fill="auto"/>
            <w:noWrap/>
            <w:vAlign w:val="bottom"/>
            <w:hideMark/>
          </w:tcPr>
          <w:p w14:paraId="413D4E17" w14:textId="77777777" w:rsidR="0003790E" w:rsidRPr="0003790E" w:rsidRDefault="0003790E" w:rsidP="0003790E">
            <w:pPr>
              <w:keepNext/>
              <w:keepLines/>
              <w:jc w:val="center"/>
              <w:rPr>
                <w:rFonts w:ascii="Aptos Narrow" w:hAnsi="Aptos Narrow"/>
                <w:color w:val="000000"/>
              </w:rPr>
            </w:pPr>
            <w:r w:rsidRPr="0003790E">
              <w:rPr>
                <w:rFonts w:ascii="Aptos Narrow" w:hAnsi="Aptos Narrow"/>
                <w:color w:val="000000"/>
              </w:rPr>
              <w:t>N</w:t>
            </w:r>
          </w:p>
        </w:tc>
        <w:tc>
          <w:tcPr>
            <w:tcW w:w="1340" w:type="dxa"/>
            <w:tcBorders>
              <w:top w:val="nil"/>
              <w:left w:val="nil"/>
              <w:bottom w:val="nil"/>
              <w:right w:val="nil"/>
            </w:tcBorders>
            <w:shd w:val="clear" w:color="auto" w:fill="auto"/>
            <w:noWrap/>
            <w:vAlign w:val="bottom"/>
            <w:hideMark/>
          </w:tcPr>
          <w:p w14:paraId="67E9A1E5" w14:textId="77777777" w:rsidR="0003790E" w:rsidRPr="0003790E" w:rsidRDefault="0003790E" w:rsidP="0003790E">
            <w:pPr>
              <w:keepNext/>
              <w:keepLines/>
              <w:jc w:val="center"/>
              <w:rPr>
                <w:rFonts w:ascii="Aptos Narrow" w:hAnsi="Aptos Narrow"/>
                <w:color w:val="000000"/>
              </w:rPr>
            </w:pPr>
            <w:r w:rsidRPr="0003790E">
              <w:rPr>
                <w:rFonts w:ascii="Aptos Narrow" w:hAnsi="Aptos Narrow"/>
                <w:color w:val="000000"/>
              </w:rPr>
              <w:t>N</w:t>
            </w:r>
          </w:p>
        </w:tc>
        <w:tc>
          <w:tcPr>
            <w:tcW w:w="1340" w:type="dxa"/>
            <w:tcBorders>
              <w:top w:val="nil"/>
              <w:left w:val="nil"/>
              <w:bottom w:val="nil"/>
              <w:right w:val="nil"/>
            </w:tcBorders>
            <w:shd w:val="clear" w:color="auto" w:fill="auto"/>
            <w:noWrap/>
            <w:vAlign w:val="bottom"/>
            <w:hideMark/>
          </w:tcPr>
          <w:p w14:paraId="08F4AA5B" w14:textId="77777777" w:rsidR="0003790E" w:rsidRPr="0003790E" w:rsidRDefault="0003790E" w:rsidP="0003790E">
            <w:pPr>
              <w:keepNext/>
              <w:keepLines/>
              <w:jc w:val="center"/>
              <w:rPr>
                <w:rFonts w:ascii="Aptos Narrow" w:hAnsi="Aptos Narrow"/>
                <w:color w:val="000000"/>
              </w:rPr>
            </w:pPr>
            <w:r w:rsidRPr="0003790E">
              <w:rPr>
                <w:rFonts w:ascii="Aptos Narrow" w:hAnsi="Aptos Narrow"/>
                <w:color w:val="000000"/>
              </w:rPr>
              <w:t>N</w:t>
            </w:r>
          </w:p>
        </w:tc>
      </w:tr>
      <w:tr w:rsidR="0003790E" w:rsidRPr="0003790E" w14:paraId="2BC3908F" w14:textId="77777777" w:rsidTr="006F0063">
        <w:trPr>
          <w:trHeight w:val="300"/>
        </w:trPr>
        <w:tc>
          <w:tcPr>
            <w:tcW w:w="3340" w:type="dxa"/>
            <w:tcBorders>
              <w:top w:val="nil"/>
              <w:left w:val="nil"/>
              <w:bottom w:val="nil"/>
              <w:right w:val="nil"/>
            </w:tcBorders>
            <w:shd w:val="clear" w:color="auto" w:fill="auto"/>
            <w:noWrap/>
            <w:vAlign w:val="bottom"/>
            <w:hideMark/>
          </w:tcPr>
          <w:p w14:paraId="55137EA9" w14:textId="423793C4" w:rsidR="0003790E" w:rsidRPr="006F0063" w:rsidRDefault="00725FBA" w:rsidP="0003790E">
            <w:pPr>
              <w:keepNext/>
              <w:keepLines/>
              <w:jc w:val="center"/>
              <w:rPr>
                <w:rFonts w:ascii="Aptos Narrow" w:hAnsi="Aptos Narrow"/>
                <w:color w:val="000000"/>
                <w:highlight w:val="black"/>
              </w:rPr>
            </w:pPr>
            <w:r w:rsidRPr="006F0063">
              <w:rPr>
                <w:rFonts w:ascii="Aptos Narrow" w:hAnsi="Aptos Narrow"/>
                <w:color w:val="000000"/>
                <w:highlight w:val="black"/>
              </w:rPr>
              <w:t>***********************</w:t>
            </w:r>
          </w:p>
        </w:tc>
        <w:tc>
          <w:tcPr>
            <w:tcW w:w="1340" w:type="dxa"/>
            <w:tcBorders>
              <w:top w:val="nil"/>
              <w:left w:val="nil"/>
              <w:bottom w:val="nil"/>
              <w:right w:val="nil"/>
            </w:tcBorders>
            <w:shd w:val="clear" w:color="auto" w:fill="auto"/>
            <w:noWrap/>
            <w:vAlign w:val="bottom"/>
            <w:hideMark/>
          </w:tcPr>
          <w:p w14:paraId="67EEF5A1" w14:textId="77777777" w:rsidR="0003790E" w:rsidRPr="0003790E" w:rsidRDefault="0003790E" w:rsidP="0003790E">
            <w:pPr>
              <w:keepNext/>
              <w:keepLines/>
              <w:jc w:val="center"/>
              <w:rPr>
                <w:rFonts w:ascii="Aptos Narrow" w:hAnsi="Aptos Narrow"/>
                <w:color w:val="000000"/>
              </w:rPr>
            </w:pPr>
            <w:r w:rsidRPr="0003790E">
              <w:rPr>
                <w:rFonts w:ascii="Aptos Narrow" w:hAnsi="Aptos Narrow"/>
                <w:color w:val="000000"/>
              </w:rPr>
              <w:t>Y</w:t>
            </w:r>
          </w:p>
        </w:tc>
        <w:tc>
          <w:tcPr>
            <w:tcW w:w="1340" w:type="dxa"/>
            <w:tcBorders>
              <w:top w:val="nil"/>
              <w:left w:val="nil"/>
              <w:bottom w:val="nil"/>
              <w:right w:val="nil"/>
            </w:tcBorders>
            <w:shd w:val="clear" w:color="auto" w:fill="auto"/>
            <w:noWrap/>
            <w:vAlign w:val="bottom"/>
            <w:hideMark/>
          </w:tcPr>
          <w:p w14:paraId="55521254" w14:textId="77777777" w:rsidR="0003790E" w:rsidRPr="0003790E" w:rsidRDefault="0003790E" w:rsidP="0003790E">
            <w:pPr>
              <w:keepNext/>
              <w:keepLines/>
              <w:jc w:val="center"/>
              <w:rPr>
                <w:rFonts w:ascii="Aptos Narrow" w:hAnsi="Aptos Narrow"/>
                <w:color w:val="000000"/>
              </w:rPr>
            </w:pPr>
            <w:r w:rsidRPr="0003790E">
              <w:rPr>
                <w:rFonts w:ascii="Aptos Narrow" w:hAnsi="Aptos Narrow"/>
                <w:color w:val="000000"/>
              </w:rPr>
              <w:t>N</w:t>
            </w:r>
          </w:p>
        </w:tc>
        <w:tc>
          <w:tcPr>
            <w:tcW w:w="1340" w:type="dxa"/>
            <w:tcBorders>
              <w:top w:val="nil"/>
              <w:left w:val="nil"/>
              <w:bottom w:val="nil"/>
              <w:right w:val="nil"/>
            </w:tcBorders>
            <w:shd w:val="clear" w:color="auto" w:fill="auto"/>
            <w:noWrap/>
            <w:vAlign w:val="bottom"/>
            <w:hideMark/>
          </w:tcPr>
          <w:p w14:paraId="48960F7C" w14:textId="77777777" w:rsidR="0003790E" w:rsidRPr="0003790E" w:rsidRDefault="0003790E" w:rsidP="0003790E">
            <w:pPr>
              <w:keepNext/>
              <w:keepLines/>
              <w:jc w:val="center"/>
              <w:rPr>
                <w:rFonts w:ascii="Aptos Narrow" w:hAnsi="Aptos Narrow"/>
                <w:color w:val="000000"/>
              </w:rPr>
            </w:pPr>
            <w:r w:rsidRPr="0003790E">
              <w:rPr>
                <w:rFonts w:ascii="Aptos Narrow" w:hAnsi="Aptos Narrow"/>
                <w:color w:val="000000"/>
              </w:rPr>
              <w:t>N</w:t>
            </w:r>
          </w:p>
        </w:tc>
        <w:tc>
          <w:tcPr>
            <w:tcW w:w="1340" w:type="dxa"/>
            <w:tcBorders>
              <w:top w:val="nil"/>
              <w:left w:val="nil"/>
              <w:bottom w:val="nil"/>
              <w:right w:val="nil"/>
            </w:tcBorders>
            <w:shd w:val="clear" w:color="auto" w:fill="auto"/>
            <w:noWrap/>
            <w:vAlign w:val="bottom"/>
            <w:hideMark/>
          </w:tcPr>
          <w:p w14:paraId="3FDCE243" w14:textId="77777777" w:rsidR="0003790E" w:rsidRPr="0003790E" w:rsidRDefault="0003790E" w:rsidP="0003790E">
            <w:pPr>
              <w:keepNext/>
              <w:keepLines/>
              <w:jc w:val="center"/>
              <w:rPr>
                <w:rFonts w:ascii="Aptos Narrow" w:hAnsi="Aptos Narrow"/>
                <w:color w:val="000000"/>
              </w:rPr>
            </w:pPr>
            <w:r w:rsidRPr="0003790E">
              <w:rPr>
                <w:rFonts w:ascii="Aptos Narrow" w:hAnsi="Aptos Narrow"/>
                <w:color w:val="000000"/>
              </w:rPr>
              <w:t>N</w:t>
            </w:r>
          </w:p>
        </w:tc>
        <w:tc>
          <w:tcPr>
            <w:tcW w:w="1340" w:type="dxa"/>
            <w:tcBorders>
              <w:top w:val="nil"/>
              <w:left w:val="nil"/>
              <w:bottom w:val="nil"/>
              <w:right w:val="nil"/>
            </w:tcBorders>
            <w:shd w:val="clear" w:color="auto" w:fill="auto"/>
            <w:noWrap/>
            <w:vAlign w:val="bottom"/>
            <w:hideMark/>
          </w:tcPr>
          <w:p w14:paraId="17E0F27E" w14:textId="77777777" w:rsidR="0003790E" w:rsidRPr="0003790E" w:rsidRDefault="0003790E" w:rsidP="0003790E">
            <w:pPr>
              <w:keepNext/>
              <w:keepLines/>
              <w:jc w:val="center"/>
              <w:rPr>
                <w:rFonts w:ascii="Aptos Narrow" w:hAnsi="Aptos Narrow"/>
                <w:color w:val="000000"/>
              </w:rPr>
            </w:pPr>
            <w:r w:rsidRPr="0003790E">
              <w:rPr>
                <w:rFonts w:ascii="Aptos Narrow" w:hAnsi="Aptos Narrow"/>
                <w:color w:val="000000"/>
              </w:rPr>
              <w:t>N</w:t>
            </w:r>
          </w:p>
        </w:tc>
      </w:tr>
    </w:tbl>
    <w:p w14:paraId="413B4E1D" w14:textId="77777777" w:rsidR="0003790E" w:rsidRDefault="0003790E" w:rsidP="00626BBA">
      <w:pPr>
        <w:pStyle w:val="Answers"/>
      </w:pPr>
      <w:r>
        <w:tab/>
      </w:r>
    </w:p>
    <w:p w14:paraId="4F495300" w14:textId="1B137715" w:rsidR="0003790E" w:rsidRDefault="000208AA">
      <w:pPr>
        <w:pStyle w:val="Answers"/>
      </w:pPr>
      <w:r>
        <w:lastRenderedPageBreak/>
        <w:tab/>
      </w:r>
      <w:r w:rsidR="2C2E59B6" w:rsidRPr="0087555D">
        <w:t>Only three projects have</w:t>
      </w:r>
      <w:r w:rsidR="2C2E59B6">
        <w:t xml:space="preserve"> anything firmer than a request for electric service as evidence of the Company’s confidence level, as shown in </w:t>
      </w:r>
      <w:r w:rsidR="0003790E">
        <w:fldChar w:fldCharType="begin"/>
      </w:r>
      <w:r w:rsidR="0003790E">
        <w:instrText xml:space="preserve"> REF _Ref157789629 \h </w:instrText>
      </w:r>
      <w:r w:rsidR="0003790E">
        <w:fldChar w:fldCharType="separate"/>
      </w:r>
      <w:r w:rsidR="00D01697">
        <w:t xml:space="preserve">Table </w:t>
      </w:r>
      <w:r w:rsidR="00D01697">
        <w:rPr>
          <w:noProof/>
        </w:rPr>
        <w:t>6</w:t>
      </w:r>
      <w:r w:rsidR="0003790E">
        <w:fldChar w:fldCharType="end"/>
      </w:r>
      <w:r w:rsidR="2C2E59B6">
        <w:t xml:space="preserve">. </w:t>
      </w:r>
      <w:r w:rsidR="2EB260A9">
        <w:t xml:space="preserve">A request for service </w:t>
      </w:r>
      <w:r w:rsidR="2CE0B1E8">
        <w:t>by a customer represents the customer</w:t>
      </w:r>
      <w:r w:rsidR="151C9CDB">
        <w:t>’</w:t>
      </w:r>
      <w:r w:rsidR="2CE0B1E8">
        <w:t xml:space="preserve">s decision to </w:t>
      </w:r>
      <w:r w:rsidR="2000CFB9">
        <w:t xml:space="preserve">take electric service at a certain location </w:t>
      </w:r>
      <w:r w:rsidR="00E01138">
        <w:t>from Georgia</w:t>
      </w:r>
      <w:r w:rsidR="2000CFB9">
        <w:t xml:space="preserve"> Power rather than another load serving entity (MEAG or EMCs)</w:t>
      </w:r>
      <w:r w:rsidR="255B2640">
        <w:t xml:space="preserve">. It does not require the customers to start service at a certain date or </w:t>
      </w:r>
      <w:r w:rsidR="265D422F">
        <w:t>require the</w:t>
      </w:r>
      <w:r w:rsidR="24C9354A">
        <w:t xml:space="preserve"> customer</w:t>
      </w:r>
      <w:r w:rsidR="265D422F">
        <w:t xml:space="preserve"> to maintain a given load. </w:t>
      </w:r>
      <w:r w:rsidR="2C2E59B6">
        <w:t>Beyond th</w:t>
      </w:r>
      <w:r w:rsidR="3E093572">
        <w:t>e</w:t>
      </w:r>
      <w:r w:rsidR="2C2E59B6">
        <w:t xml:space="preserve"> data</w:t>
      </w:r>
      <w:r w:rsidR="0E5E3243">
        <w:t xml:space="preserve"> in Table </w:t>
      </w:r>
      <w:r w:rsidR="037D57D2">
        <w:t>6</w:t>
      </w:r>
      <w:r w:rsidR="2C2E59B6">
        <w:t>, the company has used what it refers to as “informed judgement”</w:t>
      </w:r>
      <w:r w:rsidR="3CC7056E">
        <w:t xml:space="preserve"> to set the levels at </w:t>
      </w:r>
      <w:r w:rsidR="00725FBA" w:rsidRPr="00725FBA">
        <w:rPr>
          <w:highlight w:val="black"/>
          <w:shd w:val="clear" w:color="auto" w:fill="FFFFFF" w:themeFill="background1"/>
        </w:rPr>
        <w:t>************************</w:t>
      </w:r>
      <w:r w:rsidR="3CC7056E">
        <w:t xml:space="preserve"> for Probability 2 and at </w:t>
      </w:r>
      <w:r w:rsidR="00725FBA" w:rsidRPr="00725FBA">
        <w:rPr>
          <w:highlight w:val="black"/>
        </w:rPr>
        <w:t>***</w:t>
      </w:r>
      <w:r w:rsidR="3CC7056E" w:rsidRPr="00725FBA">
        <w:rPr>
          <w:highlight w:val="black"/>
        </w:rPr>
        <w:t xml:space="preserve"> </w:t>
      </w:r>
      <w:r w:rsidR="00725FBA" w:rsidRPr="00725FBA">
        <w:rPr>
          <w:highlight w:val="black"/>
        </w:rPr>
        <w:t>***</w:t>
      </w:r>
      <w:r w:rsidR="3CC7056E" w:rsidRPr="00725FBA">
        <w:rPr>
          <w:highlight w:val="black"/>
        </w:rPr>
        <w:t xml:space="preserve"> </w:t>
      </w:r>
      <w:r w:rsidR="00725FBA" w:rsidRPr="00725FBA">
        <w:rPr>
          <w:highlight w:val="black"/>
        </w:rPr>
        <w:t>***</w:t>
      </w:r>
      <w:r w:rsidR="3CC7056E">
        <w:t xml:space="preserve"> for Probability 1.</w:t>
      </w:r>
      <w:r w:rsidR="0003790E">
        <w:rPr>
          <w:rStyle w:val="FootnoteReference"/>
        </w:rPr>
        <w:footnoteReference w:id="38"/>
      </w:r>
      <w:r w:rsidR="2C2E59B6">
        <w:t xml:space="preserve"> </w:t>
      </w:r>
    </w:p>
    <w:p w14:paraId="7D64D881" w14:textId="1ADCDBE6" w:rsidR="003D70D1" w:rsidRPr="0003790E" w:rsidRDefault="003D70D1" w:rsidP="00626BBA">
      <w:pPr>
        <w:pStyle w:val="Answers"/>
      </w:pPr>
      <w:r>
        <w:tab/>
      </w:r>
      <w:r>
        <w:tab/>
        <w:t xml:space="preserve">Ultimately, the Company must make some reasonable assumptions to </w:t>
      </w:r>
      <w:r w:rsidR="00143177">
        <w:t>develop</w:t>
      </w:r>
      <w:r>
        <w:t xml:space="preserve"> this model, and for the purpose of reviewing this model</w:t>
      </w:r>
      <w:r w:rsidR="00374882">
        <w:t>, we would not be able to produce reasonable alternate assumptions without greater details on each of the project terms in the LRM</w:t>
      </w:r>
      <w:r w:rsidR="00143177">
        <w:t xml:space="preserve">. </w:t>
      </w:r>
      <w:r w:rsidR="00374882">
        <w:t xml:space="preserve">While </w:t>
      </w:r>
      <w:r>
        <w:t xml:space="preserve">these assumptions have been treated as </w:t>
      </w:r>
      <w:r w:rsidR="008D5BA3">
        <w:t>reasonable</w:t>
      </w:r>
      <w:r w:rsidR="00374882">
        <w:t xml:space="preserve">, the Company should </w:t>
      </w:r>
      <w:r w:rsidR="004B34B7">
        <w:t xml:space="preserve">instead evaluate </w:t>
      </w:r>
      <w:r w:rsidR="00374882">
        <w:t>how different assumption values and different probability distributions (implementing fewer or more probability categories in each of Probabilities 1, 2, and 3) would impact the model results.</w:t>
      </w:r>
    </w:p>
    <w:p w14:paraId="7B0954F0" w14:textId="09C47189" w:rsidR="00011928" w:rsidRDefault="00011928" w:rsidP="00123893">
      <w:pPr>
        <w:pStyle w:val="Question"/>
      </w:pPr>
      <w:r>
        <w:t>Q.</w:t>
      </w:r>
      <w:r>
        <w:tab/>
        <w:t>what are the assumptions associated with Load realization</w:t>
      </w:r>
      <w:r w:rsidR="008D5BA3">
        <w:t>, the second parameter used in the @Risk based LRM model</w:t>
      </w:r>
      <w:r>
        <w:t xml:space="preserve">? </w:t>
      </w:r>
    </w:p>
    <w:p w14:paraId="3F78A812" w14:textId="01DC361C" w:rsidR="004822B2" w:rsidRDefault="005570AC" w:rsidP="00626BBA">
      <w:pPr>
        <w:pStyle w:val="Answers"/>
      </w:pPr>
      <w:r>
        <w:t>A.</w:t>
      </w:r>
      <w:r w:rsidR="003D70D1">
        <w:tab/>
      </w:r>
      <w:r w:rsidR="000E2D2B">
        <w:t xml:space="preserve">The Load Realization assumptions are constructed of a distribution of materialization likelihoods for each industry segment. A triangular distribution is assumed for each project’s load realization, with a correlation matrix that is independent across segments and </w:t>
      </w:r>
      <w:r w:rsidR="000E2D2B">
        <w:lastRenderedPageBreak/>
        <w:t>perfect within.</w:t>
      </w:r>
      <w:r w:rsidR="000E2D2B">
        <w:rPr>
          <w:rStyle w:val="FootnoteReference"/>
        </w:rPr>
        <w:footnoteReference w:id="39"/>
      </w:r>
      <w:r w:rsidR="004822B2">
        <w:t xml:space="preserve"> As a result, the load that is announced for each project by the potential customer </w:t>
      </w:r>
      <w:r w:rsidR="00374882">
        <w:t>accounts for some diversity factor,</w:t>
      </w:r>
      <w:r w:rsidR="004822B2">
        <w:t xml:space="preserve"> producing the values in column CR of the LRM: “Actual Max Load.”</w:t>
      </w:r>
    </w:p>
    <w:p w14:paraId="5CF6A080" w14:textId="56F6AF45" w:rsidR="000E2D2B" w:rsidRDefault="004822B2" w:rsidP="00626BBA">
      <w:pPr>
        <w:pStyle w:val="Answers"/>
      </w:pPr>
      <w:r>
        <w:tab/>
      </w:r>
      <w:r>
        <w:tab/>
      </w:r>
      <w:r w:rsidR="3397F65B">
        <w:t xml:space="preserve">Most industry segments share the same Load Realization distributions, except for Datacenters and Cryptocurrency, as demonstrated in </w:t>
      </w:r>
      <w:r>
        <w:fldChar w:fldCharType="begin"/>
      </w:r>
      <w:r>
        <w:instrText xml:space="preserve"> REF _Ref157846666 \h </w:instrText>
      </w:r>
      <w:r>
        <w:fldChar w:fldCharType="separate"/>
      </w:r>
      <w:r w:rsidR="00D01697">
        <w:t xml:space="preserve">Table </w:t>
      </w:r>
      <w:r w:rsidR="00D01697">
        <w:rPr>
          <w:noProof/>
        </w:rPr>
        <w:t>7</w:t>
      </w:r>
      <w:r>
        <w:fldChar w:fldCharType="end"/>
      </w:r>
      <w:r w:rsidR="3397F65B">
        <w:t xml:space="preserve">. These two industry segments have a </w:t>
      </w:r>
      <w:r w:rsidR="00007821" w:rsidRPr="00007821">
        <w:rPr>
          <w:highlight w:val="black"/>
        </w:rPr>
        <w:t>***</w:t>
      </w:r>
      <w:r w:rsidR="3397F65B" w:rsidRPr="00007821">
        <w:rPr>
          <w:highlight w:val="black"/>
        </w:rPr>
        <w:t xml:space="preserve"> </w:t>
      </w:r>
      <w:r w:rsidR="00007821" w:rsidRPr="00007821">
        <w:rPr>
          <w:highlight w:val="black"/>
        </w:rPr>
        <w:t>******* **</w:t>
      </w:r>
      <w:r w:rsidR="3397F65B" w:rsidRPr="00007821">
        <w:rPr>
          <w:highlight w:val="black"/>
        </w:rPr>
        <w:t xml:space="preserve"> </w:t>
      </w:r>
      <w:r w:rsidR="00007821" w:rsidRPr="00007821">
        <w:rPr>
          <w:highlight w:val="black"/>
        </w:rPr>
        <w:t>***</w:t>
      </w:r>
      <w:r w:rsidR="3397F65B" w:rsidRPr="00007821">
        <w:rPr>
          <w:highlight w:val="black"/>
        </w:rPr>
        <w:t xml:space="preserve"> </w:t>
      </w:r>
      <w:r w:rsidR="00007821" w:rsidRPr="00007821">
        <w:rPr>
          <w:highlight w:val="black"/>
        </w:rPr>
        <w:t>*******</w:t>
      </w:r>
      <w:r w:rsidR="3397F65B">
        <w:t xml:space="preserve">, a </w:t>
      </w:r>
      <w:r w:rsidR="00007821" w:rsidRPr="00007821">
        <w:rPr>
          <w:highlight w:val="black"/>
        </w:rPr>
        <w:t>***</w:t>
      </w:r>
      <w:r w:rsidR="3397F65B" w:rsidRPr="00007821">
        <w:rPr>
          <w:highlight w:val="black"/>
        </w:rPr>
        <w:t xml:space="preserve"> </w:t>
      </w:r>
      <w:r w:rsidR="00007821" w:rsidRPr="00007821">
        <w:rPr>
          <w:highlight w:val="black"/>
        </w:rPr>
        <w:t>*******</w:t>
      </w:r>
      <w:r w:rsidR="3397F65B" w:rsidRPr="00007821">
        <w:rPr>
          <w:highlight w:val="black"/>
        </w:rPr>
        <w:t xml:space="preserve"> </w:t>
      </w:r>
      <w:r w:rsidR="00007821" w:rsidRPr="00007821">
        <w:rPr>
          <w:highlight w:val="black"/>
        </w:rPr>
        <w:t>**</w:t>
      </w:r>
      <w:r w:rsidR="3397F65B" w:rsidRPr="00007821">
        <w:rPr>
          <w:highlight w:val="black"/>
        </w:rPr>
        <w:t xml:space="preserve"> </w:t>
      </w:r>
      <w:r w:rsidR="00007821" w:rsidRPr="00007821">
        <w:rPr>
          <w:highlight w:val="black"/>
        </w:rPr>
        <w:t>***</w:t>
      </w:r>
      <w:r w:rsidR="3397F65B" w:rsidRPr="00007821">
        <w:rPr>
          <w:highlight w:val="black"/>
        </w:rPr>
        <w:t xml:space="preserve"> </w:t>
      </w:r>
      <w:r w:rsidR="00007821" w:rsidRPr="00007821">
        <w:rPr>
          <w:highlight w:val="black"/>
        </w:rPr>
        <w:t>***</w:t>
      </w:r>
      <w:r w:rsidR="3397F65B">
        <w:t xml:space="preserve">, and </w:t>
      </w:r>
      <w:r w:rsidR="00007821" w:rsidRPr="00007821">
        <w:rPr>
          <w:highlight w:val="black"/>
        </w:rPr>
        <w:t>*</w:t>
      </w:r>
      <w:r w:rsidR="3397F65B" w:rsidRPr="00007821">
        <w:rPr>
          <w:highlight w:val="black"/>
        </w:rPr>
        <w:t xml:space="preserve"> </w:t>
      </w:r>
      <w:r w:rsidR="00007821" w:rsidRPr="00007821">
        <w:rPr>
          <w:highlight w:val="black"/>
        </w:rPr>
        <w:t>***</w:t>
      </w:r>
      <w:r w:rsidR="3397F65B" w:rsidRPr="00007821">
        <w:rPr>
          <w:highlight w:val="black"/>
        </w:rPr>
        <w:t xml:space="preserve"> </w:t>
      </w:r>
      <w:r w:rsidR="00007821" w:rsidRPr="00007821">
        <w:rPr>
          <w:highlight w:val="black"/>
        </w:rPr>
        <w:t>*******</w:t>
      </w:r>
      <w:r w:rsidR="3397F65B" w:rsidRPr="00007821">
        <w:rPr>
          <w:highlight w:val="black"/>
        </w:rPr>
        <w:t xml:space="preserve"> </w:t>
      </w:r>
      <w:r w:rsidR="00007821" w:rsidRPr="00007821">
        <w:rPr>
          <w:highlight w:val="black"/>
        </w:rPr>
        <w:t>**</w:t>
      </w:r>
      <w:r w:rsidR="3397F65B" w:rsidRPr="00007821">
        <w:rPr>
          <w:highlight w:val="black"/>
        </w:rPr>
        <w:t xml:space="preserve"> </w:t>
      </w:r>
      <w:r w:rsidR="00007821" w:rsidRPr="00007821">
        <w:rPr>
          <w:highlight w:val="black"/>
        </w:rPr>
        <w:t>***</w:t>
      </w:r>
      <w:r w:rsidR="3397F65B" w:rsidRPr="00007821">
        <w:rPr>
          <w:highlight w:val="black"/>
        </w:rPr>
        <w:t xml:space="preserve"> </w:t>
      </w:r>
      <w:r w:rsidR="00007821" w:rsidRPr="00007821">
        <w:rPr>
          <w:highlight w:val="black"/>
        </w:rPr>
        <w:t>********</w:t>
      </w:r>
      <w:r w:rsidR="002312AE">
        <w:t xml:space="preserve"> when compared to the other industries</w:t>
      </w:r>
      <w:r w:rsidR="3397F65B">
        <w:t xml:space="preserve">. As a result, the amount discounted from the max load of these two industries is </w:t>
      </w:r>
      <w:r w:rsidR="2882BFBF">
        <w:t xml:space="preserve">typically </w:t>
      </w:r>
      <w:r w:rsidR="3397F65B" w:rsidRPr="0087555D">
        <w:t>less</w:t>
      </w:r>
      <w:r w:rsidR="3397F65B">
        <w:t xml:space="preserve"> than that of the other industry segments</w:t>
      </w:r>
      <w:r w:rsidR="2882BFBF">
        <w:t xml:space="preserve"> in each iteration</w:t>
      </w:r>
      <w:r w:rsidR="3397F65B">
        <w:t>.</w:t>
      </w:r>
    </w:p>
    <w:p w14:paraId="0EE579B1" w14:textId="6ACBCAF0" w:rsidR="004822B2" w:rsidRDefault="004822B2" w:rsidP="00626BBA">
      <w:pPr>
        <w:pStyle w:val="Answers"/>
      </w:pPr>
      <w:r>
        <w:tab/>
      </w:r>
      <w:r>
        <w:tab/>
      </w:r>
      <w:r>
        <w:tab/>
      </w:r>
    </w:p>
    <w:p w14:paraId="6E67869F" w14:textId="4A61E735" w:rsidR="000E2D2B" w:rsidRDefault="000E2D2B" w:rsidP="004822B2">
      <w:pPr>
        <w:pStyle w:val="Caption"/>
        <w:keepLines/>
      </w:pPr>
      <w:bookmarkStart w:id="16" w:name="_Ref157846666"/>
      <w:r>
        <w:lastRenderedPageBreak/>
        <w:t xml:space="preserve">Table </w:t>
      </w:r>
      <w:r>
        <w:fldChar w:fldCharType="begin"/>
      </w:r>
      <w:r>
        <w:instrText>SEQ Table \* ARABIC</w:instrText>
      </w:r>
      <w:r>
        <w:fldChar w:fldCharType="separate"/>
      </w:r>
      <w:r w:rsidR="00D01697">
        <w:rPr>
          <w:noProof/>
        </w:rPr>
        <w:t>7</w:t>
      </w:r>
      <w:r>
        <w:fldChar w:fldCharType="end"/>
      </w:r>
      <w:bookmarkEnd w:id="16"/>
      <w:r>
        <w:t>: LRM Load Realization Assumptions, Base Case</w:t>
      </w:r>
      <w:r>
        <w:rPr>
          <w:rStyle w:val="FootnoteReference"/>
        </w:rPr>
        <w:footnoteReference w:id="40"/>
      </w:r>
    </w:p>
    <w:tbl>
      <w:tblPr>
        <w:tblW w:w="0" w:type="auto"/>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304"/>
        <w:gridCol w:w="2892"/>
        <w:gridCol w:w="632"/>
        <w:gridCol w:w="620"/>
        <w:gridCol w:w="681"/>
      </w:tblGrid>
      <w:tr w:rsidR="000E2D2B" w:rsidRPr="000E2D2B" w14:paraId="06A1E463" w14:textId="77777777" w:rsidTr="000E2D2B">
        <w:trPr>
          <w:trHeight w:val="300"/>
          <w:jc w:val="center"/>
        </w:trPr>
        <w:tc>
          <w:tcPr>
            <w:tcW w:w="0" w:type="auto"/>
            <w:shd w:val="clear" w:color="auto" w:fill="auto"/>
            <w:noWrap/>
            <w:vAlign w:val="center"/>
          </w:tcPr>
          <w:p w14:paraId="4D05494D" w14:textId="626771CA" w:rsidR="000E2D2B" w:rsidRPr="000E2D2B" w:rsidRDefault="000E2D2B" w:rsidP="004822B2">
            <w:pPr>
              <w:keepNext/>
              <w:keepLines/>
              <w:jc w:val="left"/>
              <w:rPr>
                <w:rFonts w:eastAsia="Microsoft YaHei" w:cs="Calibri"/>
                <w:b/>
                <w:bCs/>
                <w:color w:val="000000"/>
              </w:rPr>
            </w:pPr>
            <w:r w:rsidRPr="000E2D2B">
              <w:rPr>
                <w:rFonts w:eastAsia="Microsoft YaHei" w:cs="Calibri"/>
                <w:b/>
                <w:bCs/>
                <w:color w:val="000000"/>
              </w:rPr>
              <w:t>Class</w:t>
            </w:r>
          </w:p>
        </w:tc>
        <w:tc>
          <w:tcPr>
            <w:tcW w:w="0" w:type="auto"/>
            <w:shd w:val="clear" w:color="auto" w:fill="auto"/>
            <w:noWrap/>
            <w:vAlign w:val="center"/>
          </w:tcPr>
          <w:p w14:paraId="5ED9F3C0" w14:textId="78DFBD4F" w:rsidR="000E2D2B" w:rsidRPr="000E2D2B" w:rsidRDefault="000E2D2B" w:rsidP="004822B2">
            <w:pPr>
              <w:keepNext/>
              <w:keepLines/>
              <w:jc w:val="left"/>
              <w:rPr>
                <w:rFonts w:eastAsia="Microsoft YaHei" w:cs="Calibri"/>
                <w:b/>
                <w:bCs/>
                <w:color w:val="000000"/>
              </w:rPr>
            </w:pPr>
            <w:r w:rsidRPr="000E2D2B">
              <w:rPr>
                <w:rFonts w:eastAsia="Microsoft YaHei" w:cs="Calibri"/>
                <w:b/>
                <w:bCs/>
                <w:color w:val="000000"/>
              </w:rPr>
              <w:t>Segment</w:t>
            </w:r>
          </w:p>
        </w:tc>
        <w:tc>
          <w:tcPr>
            <w:tcW w:w="0" w:type="auto"/>
            <w:shd w:val="clear" w:color="auto" w:fill="auto"/>
            <w:noWrap/>
            <w:vAlign w:val="center"/>
          </w:tcPr>
          <w:p w14:paraId="6A68F25A" w14:textId="5F2AE265" w:rsidR="000E2D2B" w:rsidRPr="000E2D2B" w:rsidRDefault="000E2D2B" w:rsidP="004822B2">
            <w:pPr>
              <w:keepNext/>
              <w:keepLines/>
              <w:jc w:val="center"/>
              <w:rPr>
                <w:rFonts w:eastAsia="Microsoft YaHei" w:cs="Calibri"/>
                <w:b/>
                <w:bCs/>
                <w:color w:val="000000"/>
              </w:rPr>
            </w:pPr>
            <w:r w:rsidRPr="000E2D2B">
              <w:rPr>
                <w:rFonts w:eastAsia="Microsoft YaHei" w:cs="Calibri"/>
                <w:b/>
                <w:bCs/>
                <w:color w:val="000000"/>
              </w:rPr>
              <w:t>Low</w:t>
            </w:r>
          </w:p>
        </w:tc>
        <w:tc>
          <w:tcPr>
            <w:tcW w:w="0" w:type="auto"/>
            <w:shd w:val="clear" w:color="auto" w:fill="auto"/>
            <w:noWrap/>
            <w:vAlign w:val="center"/>
          </w:tcPr>
          <w:p w14:paraId="57264C39" w14:textId="5BBDDDEC" w:rsidR="000E2D2B" w:rsidRPr="000E2D2B" w:rsidRDefault="000E2D2B" w:rsidP="004822B2">
            <w:pPr>
              <w:keepNext/>
              <w:keepLines/>
              <w:jc w:val="center"/>
              <w:rPr>
                <w:rFonts w:eastAsia="Microsoft YaHei" w:cs="Calibri"/>
                <w:b/>
                <w:bCs/>
                <w:color w:val="000000"/>
              </w:rPr>
            </w:pPr>
            <w:r w:rsidRPr="000E2D2B">
              <w:rPr>
                <w:rFonts w:eastAsia="Microsoft YaHei" w:cs="Calibri"/>
                <w:b/>
                <w:bCs/>
                <w:color w:val="000000"/>
              </w:rPr>
              <w:t>Mid</w:t>
            </w:r>
          </w:p>
        </w:tc>
        <w:tc>
          <w:tcPr>
            <w:tcW w:w="0" w:type="auto"/>
            <w:shd w:val="clear" w:color="auto" w:fill="auto"/>
            <w:noWrap/>
            <w:vAlign w:val="center"/>
          </w:tcPr>
          <w:p w14:paraId="73470544" w14:textId="7C58351B" w:rsidR="000E2D2B" w:rsidRPr="000E2D2B" w:rsidRDefault="000E2D2B" w:rsidP="004822B2">
            <w:pPr>
              <w:keepNext/>
              <w:keepLines/>
              <w:jc w:val="center"/>
              <w:rPr>
                <w:rFonts w:eastAsia="Microsoft YaHei" w:cs="Calibri"/>
                <w:b/>
                <w:bCs/>
                <w:color w:val="000000"/>
              </w:rPr>
            </w:pPr>
            <w:r w:rsidRPr="000E2D2B">
              <w:rPr>
                <w:rFonts w:eastAsia="Microsoft YaHei" w:cs="Calibri"/>
                <w:b/>
                <w:bCs/>
                <w:color w:val="000000"/>
              </w:rPr>
              <w:t>High</w:t>
            </w:r>
          </w:p>
        </w:tc>
      </w:tr>
      <w:tr w:rsidR="000E2D2B" w:rsidRPr="000E2D2B" w14:paraId="1C75799B" w14:textId="77777777" w:rsidTr="0087555D">
        <w:trPr>
          <w:trHeight w:val="300"/>
          <w:jc w:val="center"/>
        </w:trPr>
        <w:tc>
          <w:tcPr>
            <w:tcW w:w="0" w:type="auto"/>
            <w:shd w:val="clear" w:color="auto" w:fill="auto"/>
            <w:noWrap/>
            <w:vAlign w:val="center"/>
            <w:hideMark/>
          </w:tcPr>
          <w:p w14:paraId="28E420F4" w14:textId="77777777" w:rsidR="000E2D2B" w:rsidRPr="000E2D2B" w:rsidRDefault="000E2D2B" w:rsidP="004822B2">
            <w:pPr>
              <w:keepNext/>
              <w:keepLines/>
              <w:jc w:val="left"/>
              <w:rPr>
                <w:rFonts w:eastAsia="Microsoft YaHei" w:cs="Calibri"/>
                <w:color w:val="000000"/>
              </w:rPr>
            </w:pPr>
            <w:r w:rsidRPr="000E2D2B">
              <w:rPr>
                <w:rFonts w:eastAsia="Microsoft YaHei" w:cs="Calibri"/>
                <w:color w:val="000000"/>
              </w:rPr>
              <w:t>Commercial</w:t>
            </w:r>
          </w:p>
        </w:tc>
        <w:tc>
          <w:tcPr>
            <w:tcW w:w="0" w:type="auto"/>
            <w:shd w:val="clear" w:color="auto" w:fill="auto"/>
            <w:noWrap/>
            <w:vAlign w:val="center"/>
            <w:hideMark/>
          </w:tcPr>
          <w:p w14:paraId="52D0E637" w14:textId="77777777" w:rsidR="000E2D2B" w:rsidRPr="000E2D2B" w:rsidRDefault="000E2D2B" w:rsidP="004822B2">
            <w:pPr>
              <w:keepNext/>
              <w:keepLines/>
              <w:jc w:val="left"/>
              <w:rPr>
                <w:rFonts w:eastAsia="Microsoft YaHei" w:cs="Calibri"/>
                <w:color w:val="000000"/>
              </w:rPr>
            </w:pPr>
            <w:r w:rsidRPr="000E2D2B">
              <w:rPr>
                <w:rFonts w:eastAsia="Microsoft YaHei" w:cs="Calibri"/>
                <w:color w:val="000000"/>
              </w:rPr>
              <w:t>Cryptocurrency</w:t>
            </w:r>
          </w:p>
        </w:tc>
        <w:tc>
          <w:tcPr>
            <w:tcW w:w="0" w:type="auto"/>
            <w:shd w:val="clear" w:color="auto" w:fill="auto"/>
            <w:noWrap/>
            <w:vAlign w:val="center"/>
            <w:hideMark/>
          </w:tcPr>
          <w:p w14:paraId="331CA0F3" w14:textId="33B2D950" w:rsidR="000E2D2B" w:rsidRPr="006F0063" w:rsidRDefault="00007821" w:rsidP="004822B2">
            <w:pPr>
              <w:keepNext/>
              <w:keepLines/>
              <w:jc w:val="center"/>
              <w:rPr>
                <w:rFonts w:eastAsia="Microsoft YaHei" w:cs="Calibri"/>
                <w:color w:val="000000"/>
                <w:highlight w:val="black"/>
              </w:rPr>
            </w:pPr>
            <w:r w:rsidRPr="006F0063">
              <w:rPr>
                <w:rFonts w:eastAsia="Microsoft YaHei" w:cs="Calibri"/>
                <w:color w:val="000000"/>
                <w:highlight w:val="black"/>
              </w:rPr>
              <w:t>**</w:t>
            </w:r>
            <w:r w:rsidR="000E2D2B" w:rsidRPr="006F0063">
              <w:rPr>
                <w:rFonts w:eastAsia="Microsoft YaHei" w:cs="Calibri"/>
                <w:color w:val="000000"/>
                <w:highlight w:val="black"/>
              </w:rPr>
              <w:t>%</w:t>
            </w:r>
          </w:p>
        </w:tc>
        <w:tc>
          <w:tcPr>
            <w:tcW w:w="0" w:type="auto"/>
            <w:shd w:val="clear" w:color="auto" w:fill="auto"/>
            <w:noWrap/>
            <w:vAlign w:val="center"/>
            <w:hideMark/>
          </w:tcPr>
          <w:p w14:paraId="6C57635D" w14:textId="34E0015B" w:rsidR="000E2D2B" w:rsidRPr="006F0063" w:rsidRDefault="00007821" w:rsidP="004822B2">
            <w:pPr>
              <w:keepNext/>
              <w:keepLines/>
              <w:jc w:val="center"/>
              <w:rPr>
                <w:rFonts w:eastAsia="Microsoft YaHei" w:cs="Calibri"/>
                <w:color w:val="000000"/>
                <w:highlight w:val="black"/>
              </w:rPr>
            </w:pPr>
            <w:r w:rsidRPr="006F0063">
              <w:rPr>
                <w:rFonts w:eastAsia="Microsoft YaHei" w:cs="Calibri"/>
                <w:color w:val="000000"/>
                <w:highlight w:val="black"/>
              </w:rPr>
              <w:t>**%</w:t>
            </w:r>
          </w:p>
        </w:tc>
        <w:tc>
          <w:tcPr>
            <w:tcW w:w="0" w:type="auto"/>
            <w:shd w:val="clear" w:color="auto" w:fill="auto"/>
            <w:noWrap/>
            <w:vAlign w:val="center"/>
            <w:hideMark/>
          </w:tcPr>
          <w:p w14:paraId="6F8BE5DC" w14:textId="5F1D19F6" w:rsidR="000E2D2B" w:rsidRPr="006F0063" w:rsidRDefault="00007821" w:rsidP="004822B2">
            <w:pPr>
              <w:keepNext/>
              <w:keepLines/>
              <w:jc w:val="center"/>
              <w:rPr>
                <w:rFonts w:eastAsia="Microsoft YaHei" w:cs="Calibri"/>
                <w:color w:val="000000"/>
                <w:highlight w:val="black"/>
              </w:rPr>
            </w:pPr>
            <w:r w:rsidRPr="006F0063">
              <w:rPr>
                <w:rFonts w:eastAsia="Microsoft YaHei" w:cs="Calibri"/>
                <w:color w:val="000000"/>
                <w:highlight w:val="black"/>
              </w:rPr>
              <w:t>**%</w:t>
            </w:r>
          </w:p>
        </w:tc>
      </w:tr>
      <w:tr w:rsidR="000E2D2B" w:rsidRPr="000E2D2B" w14:paraId="2A38C072" w14:textId="77777777" w:rsidTr="0087555D">
        <w:trPr>
          <w:trHeight w:val="300"/>
          <w:jc w:val="center"/>
        </w:trPr>
        <w:tc>
          <w:tcPr>
            <w:tcW w:w="0" w:type="auto"/>
            <w:shd w:val="clear" w:color="auto" w:fill="auto"/>
            <w:noWrap/>
            <w:vAlign w:val="center"/>
            <w:hideMark/>
          </w:tcPr>
          <w:p w14:paraId="2A04BC02" w14:textId="77777777" w:rsidR="000E2D2B" w:rsidRPr="000E2D2B" w:rsidRDefault="000E2D2B" w:rsidP="004822B2">
            <w:pPr>
              <w:keepNext/>
              <w:keepLines/>
              <w:jc w:val="left"/>
              <w:rPr>
                <w:rFonts w:eastAsia="Microsoft YaHei" w:cs="Calibri"/>
                <w:color w:val="000000"/>
              </w:rPr>
            </w:pPr>
            <w:r w:rsidRPr="000E2D2B">
              <w:rPr>
                <w:rFonts w:eastAsia="Microsoft YaHei" w:cs="Calibri"/>
                <w:color w:val="000000"/>
              </w:rPr>
              <w:t>Commercial</w:t>
            </w:r>
          </w:p>
        </w:tc>
        <w:tc>
          <w:tcPr>
            <w:tcW w:w="0" w:type="auto"/>
            <w:shd w:val="clear" w:color="auto" w:fill="auto"/>
            <w:noWrap/>
            <w:vAlign w:val="center"/>
            <w:hideMark/>
          </w:tcPr>
          <w:p w14:paraId="12AD5439" w14:textId="77777777" w:rsidR="000E2D2B" w:rsidRPr="000E2D2B" w:rsidRDefault="000E2D2B" w:rsidP="004822B2">
            <w:pPr>
              <w:keepNext/>
              <w:keepLines/>
              <w:jc w:val="left"/>
              <w:rPr>
                <w:rFonts w:eastAsia="Microsoft YaHei" w:cs="Calibri"/>
                <w:color w:val="000000"/>
              </w:rPr>
            </w:pPr>
            <w:r w:rsidRPr="000E2D2B">
              <w:rPr>
                <w:rFonts w:eastAsia="Microsoft YaHei" w:cs="Calibri"/>
                <w:color w:val="000000"/>
              </w:rPr>
              <w:t>Datacenter</w:t>
            </w:r>
          </w:p>
        </w:tc>
        <w:tc>
          <w:tcPr>
            <w:tcW w:w="0" w:type="auto"/>
            <w:shd w:val="clear" w:color="auto" w:fill="auto"/>
            <w:noWrap/>
            <w:vAlign w:val="center"/>
            <w:hideMark/>
          </w:tcPr>
          <w:p w14:paraId="1E84CABA" w14:textId="77FA19BE" w:rsidR="000E2D2B" w:rsidRPr="006F0063" w:rsidRDefault="00007821" w:rsidP="004822B2">
            <w:pPr>
              <w:keepNext/>
              <w:keepLines/>
              <w:jc w:val="center"/>
              <w:rPr>
                <w:rFonts w:eastAsia="Microsoft YaHei" w:cs="Calibri"/>
                <w:color w:val="000000"/>
                <w:highlight w:val="black"/>
              </w:rPr>
            </w:pPr>
            <w:r w:rsidRPr="006F0063">
              <w:rPr>
                <w:rFonts w:eastAsia="Microsoft YaHei" w:cs="Calibri"/>
                <w:color w:val="000000"/>
                <w:highlight w:val="black"/>
              </w:rPr>
              <w:t>**%</w:t>
            </w:r>
          </w:p>
        </w:tc>
        <w:tc>
          <w:tcPr>
            <w:tcW w:w="0" w:type="auto"/>
            <w:shd w:val="clear" w:color="auto" w:fill="auto"/>
            <w:noWrap/>
            <w:vAlign w:val="center"/>
            <w:hideMark/>
          </w:tcPr>
          <w:p w14:paraId="67620800" w14:textId="0D2FE3AA" w:rsidR="000E2D2B" w:rsidRPr="006F0063" w:rsidRDefault="00007821" w:rsidP="004822B2">
            <w:pPr>
              <w:keepNext/>
              <w:keepLines/>
              <w:jc w:val="center"/>
              <w:rPr>
                <w:rFonts w:eastAsia="Microsoft YaHei" w:cs="Calibri"/>
                <w:color w:val="000000"/>
                <w:highlight w:val="black"/>
              </w:rPr>
            </w:pPr>
            <w:r w:rsidRPr="006F0063">
              <w:rPr>
                <w:rFonts w:eastAsia="Microsoft YaHei" w:cs="Calibri"/>
                <w:color w:val="000000"/>
                <w:highlight w:val="black"/>
              </w:rPr>
              <w:t>**%</w:t>
            </w:r>
          </w:p>
        </w:tc>
        <w:tc>
          <w:tcPr>
            <w:tcW w:w="0" w:type="auto"/>
            <w:shd w:val="clear" w:color="auto" w:fill="auto"/>
            <w:noWrap/>
            <w:vAlign w:val="center"/>
            <w:hideMark/>
          </w:tcPr>
          <w:p w14:paraId="36D9DE50" w14:textId="7A8A6AB2" w:rsidR="000E2D2B" w:rsidRPr="006F0063" w:rsidRDefault="00007821" w:rsidP="004822B2">
            <w:pPr>
              <w:keepNext/>
              <w:keepLines/>
              <w:jc w:val="center"/>
              <w:rPr>
                <w:rFonts w:eastAsia="Microsoft YaHei" w:cs="Calibri"/>
                <w:color w:val="000000"/>
                <w:highlight w:val="black"/>
              </w:rPr>
            </w:pPr>
            <w:r w:rsidRPr="006F0063">
              <w:rPr>
                <w:rFonts w:eastAsia="Microsoft YaHei" w:cs="Calibri"/>
                <w:color w:val="000000"/>
                <w:highlight w:val="black"/>
              </w:rPr>
              <w:t>**%</w:t>
            </w:r>
          </w:p>
        </w:tc>
      </w:tr>
      <w:tr w:rsidR="000E2D2B" w:rsidRPr="000E2D2B" w14:paraId="606032BD" w14:textId="77777777" w:rsidTr="0087555D">
        <w:trPr>
          <w:trHeight w:val="300"/>
          <w:jc w:val="center"/>
        </w:trPr>
        <w:tc>
          <w:tcPr>
            <w:tcW w:w="0" w:type="auto"/>
            <w:shd w:val="clear" w:color="auto" w:fill="auto"/>
            <w:noWrap/>
            <w:vAlign w:val="center"/>
            <w:hideMark/>
          </w:tcPr>
          <w:p w14:paraId="3015E0F0" w14:textId="77777777" w:rsidR="000E2D2B" w:rsidRPr="000E2D2B" w:rsidRDefault="000E2D2B" w:rsidP="004822B2">
            <w:pPr>
              <w:keepNext/>
              <w:keepLines/>
              <w:jc w:val="left"/>
              <w:rPr>
                <w:rFonts w:eastAsia="Microsoft YaHei" w:cs="Calibri"/>
                <w:color w:val="000000"/>
              </w:rPr>
            </w:pPr>
            <w:r w:rsidRPr="000E2D2B">
              <w:rPr>
                <w:rFonts w:eastAsia="Microsoft YaHei" w:cs="Calibri"/>
                <w:color w:val="000000"/>
              </w:rPr>
              <w:t>Commercial</w:t>
            </w:r>
          </w:p>
        </w:tc>
        <w:tc>
          <w:tcPr>
            <w:tcW w:w="0" w:type="auto"/>
            <w:shd w:val="clear" w:color="auto" w:fill="auto"/>
            <w:noWrap/>
            <w:vAlign w:val="center"/>
            <w:hideMark/>
          </w:tcPr>
          <w:p w14:paraId="52631BD2" w14:textId="77777777" w:rsidR="000E2D2B" w:rsidRPr="000E2D2B" w:rsidRDefault="000E2D2B" w:rsidP="004822B2">
            <w:pPr>
              <w:keepNext/>
              <w:keepLines/>
              <w:jc w:val="left"/>
              <w:rPr>
                <w:rFonts w:eastAsia="Microsoft YaHei" w:cs="Calibri"/>
                <w:color w:val="000000"/>
              </w:rPr>
            </w:pPr>
            <w:r w:rsidRPr="000E2D2B">
              <w:rPr>
                <w:rFonts w:eastAsia="Microsoft YaHei" w:cs="Calibri"/>
                <w:color w:val="000000"/>
              </w:rPr>
              <w:t>Miscellaneous</w:t>
            </w:r>
          </w:p>
        </w:tc>
        <w:tc>
          <w:tcPr>
            <w:tcW w:w="0" w:type="auto"/>
            <w:shd w:val="clear" w:color="auto" w:fill="auto"/>
            <w:noWrap/>
            <w:vAlign w:val="center"/>
            <w:hideMark/>
          </w:tcPr>
          <w:p w14:paraId="3F2F2FD0" w14:textId="3C6157DB" w:rsidR="000E2D2B" w:rsidRPr="006F0063" w:rsidRDefault="00007821" w:rsidP="004822B2">
            <w:pPr>
              <w:keepNext/>
              <w:keepLines/>
              <w:jc w:val="center"/>
              <w:rPr>
                <w:rFonts w:eastAsia="Microsoft YaHei" w:cs="Calibri"/>
                <w:color w:val="000000"/>
                <w:highlight w:val="black"/>
              </w:rPr>
            </w:pPr>
            <w:r w:rsidRPr="006F0063">
              <w:rPr>
                <w:rFonts w:eastAsia="Microsoft YaHei" w:cs="Calibri"/>
                <w:color w:val="000000"/>
                <w:highlight w:val="black"/>
              </w:rPr>
              <w:t>**%</w:t>
            </w:r>
          </w:p>
        </w:tc>
        <w:tc>
          <w:tcPr>
            <w:tcW w:w="0" w:type="auto"/>
            <w:shd w:val="clear" w:color="auto" w:fill="auto"/>
            <w:noWrap/>
            <w:vAlign w:val="center"/>
            <w:hideMark/>
          </w:tcPr>
          <w:p w14:paraId="104A2751" w14:textId="1AEC139A" w:rsidR="000E2D2B" w:rsidRPr="006F0063" w:rsidRDefault="00007821" w:rsidP="004822B2">
            <w:pPr>
              <w:keepNext/>
              <w:keepLines/>
              <w:jc w:val="center"/>
              <w:rPr>
                <w:rFonts w:eastAsia="Microsoft YaHei" w:cs="Calibri"/>
                <w:color w:val="000000"/>
                <w:highlight w:val="black"/>
              </w:rPr>
            </w:pPr>
            <w:r w:rsidRPr="006F0063">
              <w:rPr>
                <w:rFonts w:eastAsia="Microsoft YaHei" w:cs="Calibri"/>
                <w:color w:val="000000"/>
                <w:highlight w:val="black"/>
              </w:rPr>
              <w:t>**%</w:t>
            </w:r>
          </w:p>
        </w:tc>
        <w:tc>
          <w:tcPr>
            <w:tcW w:w="0" w:type="auto"/>
            <w:shd w:val="clear" w:color="auto" w:fill="auto"/>
            <w:noWrap/>
            <w:vAlign w:val="center"/>
            <w:hideMark/>
          </w:tcPr>
          <w:p w14:paraId="07D2FF5C" w14:textId="4B0B7423" w:rsidR="000E2D2B" w:rsidRPr="006F0063" w:rsidRDefault="00007821" w:rsidP="004822B2">
            <w:pPr>
              <w:keepNext/>
              <w:keepLines/>
              <w:jc w:val="center"/>
              <w:rPr>
                <w:rFonts w:eastAsia="Microsoft YaHei" w:cs="Calibri"/>
                <w:color w:val="000000"/>
                <w:highlight w:val="black"/>
              </w:rPr>
            </w:pPr>
            <w:r w:rsidRPr="006F0063">
              <w:rPr>
                <w:rFonts w:eastAsia="Microsoft YaHei" w:cs="Calibri"/>
                <w:color w:val="000000"/>
                <w:highlight w:val="black"/>
              </w:rPr>
              <w:t>**%</w:t>
            </w:r>
          </w:p>
        </w:tc>
      </w:tr>
      <w:tr w:rsidR="000E2D2B" w:rsidRPr="000E2D2B" w14:paraId="4A2B188B" w14:textId="77777777" w:rsidTr="0087555D">
        <w:trPr>
          <w:trHeight w:val="300"/>
          <w:jc w:val="center"/>
        </w:trPr>
        <w:tc>
          <w:tcPr>
            <w:tcW w:w="0" w:type="auto"/>
            <w:shd w:val="clear" w:color="auto" w:fill="auto"/>
            <w:noWrap/>
            <w:vAlign w:val="center"/>
            <w:hideMark/>
          </w:tcPr>
          <w:p w14:paraId="193B628E" w14:textId="77777777" w:rsidR="000E2D2B" w:rsidRPr="000E2D2B" w:rsidRDefault="000E2D2B" w:rsidP="004822B2">
            <w:pPr>
              <w:keepNext/>
              <w:keepLines/>
              <w:jc w:val="left"/>
              <w:rPr>
                <w:rFonts w:eastAsia="Microsoft YaHei" w:cs="Calibri"/>
                <w:color w:val="000000"/>
              </w:rPr>
            </w:pPr>
            <w:r w:rsidRPr="000E2D2B">
              <w:rPr>
                <w:rFonts w:eastAsia="Microsoft YaHei" w:cs="Calibri"/>
                <w:color w:val="000000"/>
              </w:rPr>
              <w:t>Commercial</w:t>
            </w:r>
          </w:p>
        </w:tc>
        <w:tc>
          <w:tcPr>
            <w:tcW w:w="0" w:type="auto"/>
            <w:shd w:val="clear" w:color="auto" w:fill="auto"/>
            <w:noWrap/>
            <w:vAlign w:val="center"/>
            <w:hideMark/>
          </w:tcPr>
          <w:p w14:paraId="1640A6F9" w14:textId="77777777" w:rsidR="000E2D2B" w:rsidRPr="000E2D2B" w:rsidRDefault="000E2D2B" w:rsidP="004822B2">
            <w:pPr>
              <w:keepNext/>
              <w:keepLines/>
              <w:jc w:val="left"/>
              <w:rPr>
                <w:rFonts w:eastAsia="Microsoft YaHei" w:cs="Calibri"/>
                <w:color w:val="000000"/>
              </w:rPr>
            </w:pPr>
            <w:r w:rsidRPr="000E2D2B">
              <w:rPr>
                <w:rFonts w:eastAsia="Microsoft YaHei" w:cs="Calibri"/>
                <w:color w:val="000000"/>
              </w:rPr>
              <w:t>Warehouse</w:t>
            </w:r>
          </w:p>
        </w:tc>
        <w:tc>
          <w:tcPr>
            <w:tcW w:w="0" w:type="auto"/>
            <w:shd w:val="clear" w:color="auto" w:fill="auto"/>
            <w:noWrap/>
            <w:vAlign w:val="center"/>
            <w:hideMark/>
          </w:tcPr>
          <w:p w14:paraId="49525993" w14:textId="223ED80C" w:rsidR="000E2D2B" w:rsidRPr="006F0063" w:rsidRDefault="00007821" w:rsidP="004822B2">
            <w:pPr>
              <w:keepNext/>
              <w:keepLines/>
              <w:jc w:val="center"/>
              <w:rPr>
                <w:rFonts w:eastAsia="Microsoft YaHei" w:cs="Calibri"/>
                <w:color w:val="000000"/>
                <w:highlight w:val="black"/>
              </w:rPr>
            </w:pPr>
            <w:r w:rsidRPr="006F0063">
              <w:rPr>
                <w:rFonts w:eastAsia="Microsoft YaHei" w:cs="Calibri"/>
                <w:color w:val="000000"/>
                <w:highlight w:val="black"/>
              </w:rPr>
              <w:t>**%</w:t>
            </w:r>
          </w:p>
        </w:tc>
        <w:tc>
          <w:tcPr>
            <w:tcW w:w="0" w:type="auto"/>
            <w:shd w:val="clear" w:color="auto" w:fill="auto"/>
            <w:noWrap/>
            <w:vAlign w:val="center"/>
            <w:hideMark/>
          </w:tcPr>
          <w:p w14:paraId="7743424D" w14:textId="2CD04946" w:rsidR="000E2D2B" w:rsidRPr="006F0063" w:rsidRDefault="00007821" w:rsidP="004822B2">
            <w:pPr>
              <w:keepNext/>
              <w:keepLines/>
              <w:jc w:val="center"/>
              <w:rPr>
                <w:rFonts w:eastAsia="Microsoft YaHei" w:cs="Calibri"/>
                <w:color w:val="000000"/>
                <w:highlight w:val="black"/>
              </w:rPr>
            </w:pPr>
            <w:r w:rsidRPr="006F0063">
              <w:rPr>
                <w:rFonts w:eastAsia="Microsoft YaHei" w:cs="Calibri"/>
                <w:color w:val="000000"/>
                <w:highlight w:val="black"/>
              </w:rPr>
              <w:t>**%</w:t>
            </w:r>
          </w:p>
        </w:tc>
        <w:tc>
          <w:tcPr>
            <w:tcW w:w="0" w:type="auto"/>
            <w:shd w:val="clear" w:color="auto" w:fill="auto"/>
            <w:noWrap/>
            <w:vAlign w:val="center"/>
            <w:hideMark/>
          </w:tcPr>
          <w:p w14:paraId="6A53855F" w14:textId="504E178E" w:rsidR="000E2D2B" w:rsidRPr="006F0063" w:rsidRDefault="00007821" w:rsidP="004822B2">
            <w:pPr>
              <w:keepNext/>
              <w:keepLines/>
              <w:jc w:val="center"/>
              <w:rPr>
                <w:rFonts w:eastAsia="Microsoft YaHei" w:cs="Calibri"/>
                <w:color w:val="000000"/>
                <w:highlight w:val="black"/>
              </w:rPr>
            </w:pPr>
            <w:r w:rsidRPr="006F0063">
              <w:rPr>
                <w:rFonts w:eastAsia="Microsoft YaHei" w:cs="Calibri"/>
                <w:color w:val="000000"/>
                <w:highlight w:val="black"/>
              </w:rPr>
              <w:t>**%</w:t>
            </w:r>
          </w:p>
        </w:tc>
      </w:tr>
      <w:tr w:rsidR="000E2D2B" w:rsidRPr="000E2D2B" w14:paraId="2851DAC6" w14:textId="77777777" w:rsidTr="0087555D">
        <w:trPr>
          <w:trHeight w:val="300"/>
          <w:jc w:val="center"/>
        </w:trPr>
        <w:tc>
          <w:tcPr>
            <w:tcW w:w="0" w:type="auto"/>
            <w:shd w:val="clear" w:color="auto" w:fill="auto"/>
            <w:noWrap/>
            <w:vAlign w:val="center"/>
            <w:hideMark/>
          </w:tcPr>
          <w:p w14:paraId="6A72C604" w14:textId="77777777" w:rsidR="000E2D2B" w:rsidRPr="000E2D2B" w:rsidRDefault="000E2D2B" w:rsidP="004822B2">
            <w:pPr>
              <w:keepNext/>
              <w:keepLines/>
              <w:jc w:val="left"/>
              <w:rPr>
                <w:rFonts w:eastAsia="Microsoft YaHei" w:cs="Calibri"/>
                <w:color w:val="000000"/>
              </w:rPr>
            </w:pPr>
            <w:r w:rsidRPr="000E2D2B">
              <w:rPr>
                <w:rFonts w:eastAsia="Microsoft YaHei" w:cs="Calibri"/>
                <w:color w:val="000000"/>
              </w:rPr>
              <w:t>Commercial</w:t>
            </w:r>
          </w:p>
        </w:tc>
        <w:tc>
          <w:tcPr>
            <w:tcW w:w="0" w:type="auto"/>
            <w:shd w:val="clear" w:color="auto" w:fill="auto"/>
            <w:noWrap/>
            <w:vAlign w:val="center"/>
            <w:hideMark/>
          </w:tcPr>
          <w:p w14:paraId="5023772C" w14:textId="77777777" w:rsidR="000E2D2B" w:rsidRPr="000E2D2B" w:rsidRDefault="000E2D2B" w:rsidP="004822B2">
            <w:pPr>
              <w:keepNext/>
              <w:keepLines/>
              <w:jc w:val="left"/>
              <w:rPr>
                <w:rFonts w:eastAsia="Microsoft YaHei" w:cs="Calibri"/>
                <w:color w:val="000000"/>
              </w:rPr>
            </w:pPr>
            <w:r w:rsidRPr="000E2D2B">
              <w:rPr>
                <w:rFonts w:eastAsia="Microsoft YaHei" w:cs="Calibri"/>
                <w:color w:val="000000"/>
              </w:rPr>
              <w:t>Distribution</w:t>
            </w:r>
          </w:p>
        </w:tc>
        <w:tc>
          <w:tcPr>
            <w:tcW w:w="0" w:type="auto"/>
            <w:shd w:val="clear" w:color="auto" w:fill="auto"/>
            <w:noWrap/>
            <w:vAlign w:val="center"/>
            <w:hideMark/>
          </w:tcPr>
          <w:p w14:paraId="7B9FA627" w14:textId="4CFFA4BE" w:rsidR="000E2D2B" w:rsidRPr="006F0063" w:rsidRDefault="00007821" w:rsidP="004822B2">
            <w:pPr>
              <w:keepNext/>
              <w:keepLines/>
              <w:jc w:val="center"/>
              <w:rPr>
                <w:rFonts w:eastAsia="Microsoft YaHei" w:cs="Calibri"/>
                <w:color w:val="000000"/>
                <w:highlight w:val="black"/>
              </w:rPr>
            </w:pPr>
            <w:r w:rsidRPr="006F0063">
              <w:rPr>
                <w:rFonts w:eastAsia="Microsoft YaHei" w:cs="Calibri"/>
                <w:color w:val="000000"/>
                <w:highlight w:val="black"/>
              </w:rPr>
              <w:t>**%</w:t>
            </w:r>
          </w:p>
        </w:tc>
        <w:tc>
          <w:tcPr>
            <w:tcW w:w="0" w:type="auto"/>
            <w:shd w:val="clear" w:color="auto" w:fill="auto"/>
            <w:noWrap/>
            <w:vAlign w:val="center"/>
            <w:hideMark/>
          </w:tcPr>
          <w:p w14:paraId="36B617D6" w14:textId="1F72FB64" w:rsidR="000E2D2B" w:rsidRPr="006F0063" w:rsidRDefault="00007821" w:rsidP="004822B2">
            <w:pPr>
              <w:keepNext/>
              <w:keepLines/>
              <w:jc w:val="center"/>
              <w:rPr>
                <w:rFonts w:eastAsia="Microsoft YaHei" w:cs="Calibri"/>
                <w:color w:val="000000"/>
                <w:highlight w:val="black"/>
              </w:rPr>
            </w:pPr>
            <w:r w:rsidRPr="006F0063">
              <w:rPr>
                <w:rFonts w:eastAsia="Microsoft YaHei" w:cs="Calibri"/>
                <w:color w:val="000000"/>
                <w:highlight w:val="black"/>
              </w:rPr>
              <w:t>**%</w:t>
            </w:r>
          </w:p>
        </w:tc>
        <w:tc>
          <w:tcPr>
            <w:tcW w:w="0" w:type="auto"/>
            <w:shd w:val="clear" w:color="auto" w:fill="auto"/>
            <w:noWrap/>
            <w:vAlign w:val="center"/>
            <w:hideMark/>
          </w:tcPr>
          <w:p w14:paraId="02BD355A" w14:textId="5B53728C" w:rsidR="000E2D2B" w:rsidRPr="006F0063" w:rsidRDefault="00007821" w:rsidP="004822B2">
            <w:pPr>
              <w:keepNext/>
              <w:keepLines/>
              <w:jc w:val="center"/>
              <w:rPr>
                <w:rFonts w:eastAsia="Microsoft YaHei" w:cs="Calibri"/>
                <w:color w:val="000000"/>
                <w:highlight w:val="black"/>
              </w:rPr>
            </w:pPr>
            <w:r w:rsidRPr="006F0063">
              <w:rPr>
                <w:rFonts w:eastAsia="Microsoft YaHei" w:cs="Calibri"/>
                <w:color w:val="000000"/>
                <w:highlight w:val="black"/>
              </w:rPr>
              <w:t>**%</w:t>
            </w:r>
          </w:p>
        </w:tc>
      </w:tr>
      <w:tr w:rsidR="000E2D2B" w:rsidRPr="000E2D2B" w14:paraId="0A88DE0C" w14:textId="77777777" w:rsidTr="0087555D">
        <w:trPr>
          <w:trHeight w:val="300"/>
          <w:jc w:val="center"/>
        </w:trPr>
        <w:tc>
          <w:tcPr>
            <w:tcW w:w="0" w:type="auto"/>
            <w:shd w:val="clear" w:color="auto" w:fill="auto"/>
            <w:noWrap/>
            <w:vAlign w:val="center"/>
            <w:hideMark/>
          </w:tcPr>
          <w:p w14:paraId="00F08786" w14:textId="77777777" w:rsidR="000E2D2B" w:rsidRPr="000E2D2B" w:rsidRDefault="000E2D2B" w:rsidP="004822B2">
            <w:pPr>
              <w:keepNext/>
              <w:keepLines/>
              <w:jc w:val="left"/>
              <w:rPr>
                <w:rFonts w:eastAsia="Microsoft YaHei" w:cs="Calibri"/>
                <w:color w:val="000000"/>
              </w:rPr>
            </w:pPr>
            <w:r w:rsidRPr="000E2D2B">
              <w:rPr>
                <w:rFonts w:eastAsia="Microsoft YaHei" w:cs="Calibri"/>
                <w:color w:val="000000"/>
              </w:rPr>
              <w:t>Industrial</w:t>
            </w:r>
          </w:p>
        </w:tc>
        <w:tc>
          <w:tcPr>
            <w:tcW w:w="0" w:type="auto"/>
            <w:shd w:val="clear" w:color="auto" w:fill="auto"/>
            <w:noWrap/>
            <w:vAlign w:val="center"/>
            <w:hideMark/>
          </w:tcPr>
          <w:p w14:paraId="268BDC99" w14:textId="77777777" w:rsidR="000E2D2B" w:rsidRPr="000E2D2B" w:rsidRDefault="000E2D2B" w:rsidP="004822B2">
            <w:pPr>
              <w:keepNext/>
              <w:keepLines/>
              <w:jc w:val="left"/>
              <w:rPr>
                <w:rFonts w:eastAsia="Microsoft YaHei" w:cs="Calibri"/>
                <w:color w:val="000000"/>
              </w:rPr>
            </w:pPr>
            <w:r w:rsidRPr="000E2D2B">
              <w:rPr>
                <w:rFonts w:eastAsia="Microsoft YaHei" w:cs="Calibri"/>
                <w:color w:val="000000"/>
              </w:rPr>
              <w:t>Steel Manufacturing</w:t>
            </w:r>
          </w:p>
        </w:tc>
        <w:tc>
          <w:tcPr>
            <w:tcW w:w="0" w:type="auto"/>
            <w:shd w:val="clear" w:color="auto" w:fill="auto"/>
            <w:noWrap/>
            <w:vAlign w:val="center"/>
            <w:hideMark/>
          </w:tcPr>
          <w:p w14:paraId="5E9AA6E8" w14:textId="028BF0C3" w:rsidR="000E2D2B" w:rsidRPr="006F0063" w:rsidRDefault="00007821" w:rsidP="004822B2">
            <w:pPr>
              <w:keepNext/>
              <w:keepLines/>
              <w:jc w:val="center"/>
              <w:rPr>
                <w:rFonts w:eastAsia="Microsoft YaHei" w:cs="Calibri"/>
                <w:color w:val="000000"/>
                <w:highlight w:val="black"/>
              </w:rPr>
            </w:pPr>
            <w:r w:rsidRPr="006F0063">
              <w:rPr>
                <w:rFonts w:eastAsia="Microsoft YaHei" w:cs="Calibri"/>
                <w:color w:val="000000"/>
                <w:highlight w:val="black"/>
              </w:rPr>
              <w:t>**%</w:t>
            </w:r>
          </w:p>
        </w:tc>
        <w:tc>
          <w:tcPr>
            <w:tcW w:w="0" w:type="auto"/>
            <w:shd w:val="clear" w:color="auto" w:fill="auto"/>
            <w:noWrap/>
            <w:vAlign w:val="center"/>
            <w:hideMark/>
          </w:tcPr>
          <w:p w14:paraId="6E020901" w14:textId="12D83A6E" w:rsidR="000E2D2B" w:rsidRPr="006F0063" w:rsidRDefault="00007821" w:rsidP="004822B2">
            <w:pPr>
              <w:keepNext/>
              <w:keepLines/>
              <w:jc w:val="center"/>
              <w:rPr>
                <w:rFonts w:eastAsia="Microsoft YaHei" w:cs="Calibri"/>
                <w:color w:val="000000"/>
                <w:highlight w:val="black"/>
              </w:rPr>
            </w:pPr>
            <w:r w:rsidRPr="006F0063">
              <w:rPr>
                <w:rFonts w:eastAsia="Microsoft YaHei" w:cs="Calibri"/>
                <w:color w:val="000000"/>
                <w:highlight w:val="black"/>
              </w:rPr>
              <w:t>**%</w:t>
            </w:r>
          </w:p>
        </w:tc>
        <w:tc>
          <w:tcPr>
            <w:tcW w:w="0" w:type="auto"/>
            <w:shd w:val="clear" w:color="auto" w:fill="auto"/>
            <w:noWrap/>
            <w:vAlign w:val="center"/>
            <w:hideMark/>
          </w:tcPr>
          <w:p w14:paraId="5F20511D" w14:textId="3F2344B4" w:rsidR="000E2D2B" w:rsidRPr="006F0063" w:rsidRDefault="00007821" w:rsidP="004822B2">
            <w:pPr>
              <w:keepNext/>
              <w:keepLines/>
              <w:jc w:val="center"/>
              <w:rPr>
                <w:rFonts w:eastAsia="Microsoft YaHei" w:cs="Calibri"/>
                <w:color w:val="000000"/>
                <w:highlight w:val="black"/>
              </w:rPr>
            </w:pPr>
            <w:r w:rsidRPr="006F0063">
              <w:rPr>
                <w:rFonts w:eastAsia="Microsoft YaHei" w:cs="Calibri"/>
                <w:color w:val="000000"/>
                <w:highlight w:val="black"/>
              </w:rPr>
              <w:t>**%</w:t>
            </w:r>
          </w:p>
        </w:tc>
      </w:tr>
      <w:tr w:rsidR="000E2D2B" w:rsidRPr="000E2D2B" w14:paraId="0DB0415D" w14:textId="77777777" w:rsidTr="0087555D">
        <w:trPr>
          <w:trHeight w:val="300"/>
          <w:jc w:val="center"/>
        </w:trPr>
        <w:tc>
          <w:tcPr>
            <w:tcW w:w="0" w:type="auto"/>
            <w:shd w:val="clear" w:color="auto" w:fill="auto"/>
            <w:noWrap/>
            <w:vAlign w:val="center"/>
            <w:hideMark/>
          </w:tcPr>
          <w:p w14:paraId="09C6F2FF" w14:textId="77777777" w:rsidR="000E2D2B" w:rsidRPr="000E2D2B" w:rsidRDefault="000E2D2B" w:rsidP="004822B2">
            <w:pPr>
              <w:keepNext/>
              <w:keepLines/>
              <w:jc w:val="left"/>
              <w:rPr>
                <w:rFonts w:eastAsia="Microsoft YaHei" w:cs="Calibri"/>
                <w:color w:val="000000"/>
              </w:rPr>
            </w:pPr>
            <w:r w:rsidRPr="000E2D2B">
              <w:rPr>
                <w:rFonts w:eastAsia="Microsoft YaHei" w:cs="Calibri"/>
                <w:color w:val="000000"/>
              </w:rPr>
              <w:t>Industrial</w:t>
            </w:r>
          </w:p>
        </w:tc>
        <w:tc>
          <w:tcPr>
            <w:tcW w:w="0" w:type="auto"/>
            <w:shd w:val="clear" w:color="auto" w:fill="auto"/>
            <w:noWrap/>
            <w:vAlign w:val="center"/>
            <w:hideMark/>
          </w:tcPr>
          <w:p w14:paraId="3064CCB2" w14:textId="77777777" w:rsidR="000E2D2B" w:rsidRPr="000E2D2B" w:rsidRDefault="000E2D2B" w:rsidP="004822B2">
            <w:pPr>
              <w:keepNext/>
              <w:keepLines/>
              <w:jc w:val="left"/>
              <w:rPr>
                <w:rFonts w:eastAsia="Microsoft YaHei" w:cs="Calibri"/>
                <w:color w:val="000000"/>
              </w:rPr>
            </w:pPr>
            <w:r w:rsidRPr="000E2D2B">
              <w:rPr>
                <w:rFonts w:eastAsia="Microsoft YaHei" w:cs="Calibri"/>
                <w:color w:val="000000"/>
              </w:rPr>
              <w:t>Battery Manufacturing</w:t>
            </w:r>
          </w:p>
        </w:tc>
        <w:tc>
          <w:tcPr>
            <w:tcW w:w="0" w:type="auto"/>
            <w:shd w:val="clear" w:color="auto" w:fill="auto"/>
            <w:noWrap/>
            <w:vAlign w:val="center"/>
            <w:hideMark/>
          </w:tcPr>
          <w:p w14:paraId="260D9B03" w14:textId="2BB6554F" w:rsidR="000E2D2B" w:rsidRPr="006F0063" w:rsidRDefault="00007821" w:rsidP="004822B2">
            <w:pPr>
              <w:keepNext/>
              <w:keepLines/>
              <w:jc w:val="center"/>
              <w:rPr>
                <w:rFonts w:eastAsia="Microsoft YaHei" w:cs="Calibri"/>
                <w:color w:val="000000"/>
                <w:highlight w:val="black"/>
              </w:rPr>
            </w:pPr>
            <w:r w:rsidRPr="006F0063">
              <w:rPr>
                <w:rFonts w:eastAsia="Microsoft YaHei" w:cs="Calibri"/>
                <w:color w:val="000000"/>
                <w:highlight w:val="black"/>
              </w:rPr>
              <w:t>**%</w:t>
            </w:r>
          </w:p>
        </w:tc>
        <w:tc>
          <w:tcPr>
            <w:tcW w:w="0" w:type="auto"/>
            <w:shd w:val="clear" w:color="auto" w:fill="auto"/>
            <w:noWrap/>
            <w:vAlign w:val="center"/>
            <w:hideMark/>
          </w:tcPr>
          <w:p w14:paraId="73008D77" w14:textId="25295BEB" w:rsidR="000E2D2B" w:rsidRPr="006F0063" w:rsidRDefault="00007821" w:rsidP="004822B2">
            <w:pPr>
              <w:keepNext/>
              <w:keepLines/>
              <w:jc w:val="center"/>
              <w:rPr>
                <w:rFonts w:eastAsia="Microsoft YaHei" w:cs="Calibri"/>
                <w:color w:val="000000"/>
                <w:highlight w:val="black"/>
              </w:rPr>
            </w:pPr>
            <w:r w:rsidRPr="006F0063">
              <w:rPr>
                <w:rFonts w:eastAsia="Microsoft YaHei" w:cs="Calibri"/>
                <w:color w:val="000000"/>
                <w:highlight w:val="black"/>
              </w:rPr>
              <w:t>**%</w:t>
            </w:r>
          </w:p>
        </w:tc>
        <w:tc>
          <w:tcPr>
            <w:tcW w:w="0" w:type="auto"/>
            <w:shd w:val="clear" w:color="auto" w:fill="auto"/>
            <w:noWrap/>
            <w:vAlign w:val="center"/>
            <w:hideMark/>
          </w:tcPr>
          <w:p w14:paraId="77400417" w14:textId="1751A38F" w:rsidR="000E2D2B" w:rsidRPr="006F0063" w:rsidRDefault="00007821" w:rsidP="004822B2">
            <w:pPr>
              <w:keepNext/>
              <w:keepLines/>
              <w:jc w:val="center"/>
              <w:rPr>
                <w:rFonts w:eastAsia="Microsoft YaHei" w:cs="Calibri"/>
                <w:color w:val="000000"/>
                <w:highlight w:val="black"/>
              </w:rPr>
            </w:pPr>
            <w:r w:rsidRPr="006F0063">
              <w:rPr>
                <w:rFonts w:eastAsia="Microsoft YaHei" w:cs="Calibri"/>
                <w:color w:val="000000"/>
                <w:highlight w:val="black"/>
              </w:rPr>
              <w:t>**%</w:t>
            </w:r>
          </w:p>
        </w:tc>
      </w:tr>
      <w:tr w:rsidR="000E2D2B" w:rsidRPr="000E2D2B" w14:paraId="05E3B837" w14:textId="77777777" w:rsidTr="0087555D">
        <w:trPr>
          <w:trHeight w:val="300"/>
          <w:jc w:val="center"/>
        </w:trPr>
        <w:tc>
          <w:tcPr>
            <w:tcW w:w="0" w:type="auto"/>
            <w:shd w:val="clear" w:color="auto" w:fill="auto"/>
            <w:noWrap/>
            <w:vAlign w:val="center"/>
            <w:hideMark/>
          </w:tcPr>
          <w:p w14:paraId="499D7640" w14:textId="77777777" w:rsidR="000E2D2B" w:rsidRPr="000E2D2B" w:rsidRDefault="000E2D2B" w:rsidP="004822B2">
            <w:pPr>
              <w:keepNext/>
              <w:keepLines/>
              <w:jc w:val="left"/>
              <w:rPr>
                <w:rFonts w:eastAsia="Microsoft YaHei" w:cs="Calibri"/>
                <w:color w:val="000000"/>
              </w:rPr>
            </w:pPr>
            <w:r w:rsidRPr="000E2D2B">
              <w:rPr>
                <w:rFonts w:eastAsia="Microsoft YaHei" w:cs="Calibri"/>
                <w:color w:val="000000"/>
              </w:rPr>
              <w:t>Industrial</w:t>
            </w:r>
          </w:p>
        </w:tc>
        <w:tc>
          <w:tcPr>
            <w:tcW w:w="0" w:type="auto"/>
            <w:shd w:val="clear" w:color="auto" w:fill="auto"/>
            <w:noWrap/>
            <w:vAlign w:val="center"/>
            <w:hideMark/>
          </w:tcPr>
          <w:p w14:paraId="38CE408E" w14:textId="77777777" w:rsidR="000E2D2B" w:rsidRPr="000E2D2B" w:rsidRDefault="000E2D2B" w:rsidP="004822B2">
            <w:pPr>
              <w:keepNext/>
              <w:keepLines/>
              <w:jc w:val="left"/>
              <w:rPr>
                <w:rFonts w:eastAsia="Microsoft YaHei" w:cs="Calibri"/>
                <w:color w:val="000000"/>
              </w:rPr>
            </w:pPr>
            <w:r w:rsidRPr="000E2D2B">
              <w:rPr>
                <w:rFonts w:eastAsia="Microsoft YaHei" w:cs="Calibri"/>
                <w:color w:val="000000"/>
              </w:rPr>
              <w:t>Chemicals</w:t>
            </w:r>
          </w:p>
        </w:tc>
        <w:tc>
          <w:tcPr>
            <w:tcW w:w="0" w:type="auto"/>
            <w:shd w:val="clear" w:color="auto" w:fill="auto"/>
            <w:noWrap/>
            <w:vAlign w:val="center"/>
            <w:hideMark/>
          </w:tcPr>
          <w:p w14:paraId="5B8F501D" w14:textId="347C81D0" w:rsidR="000E2D2B" w:rsidRPr="006F0063" w:rsidRDefault="00007821" w:rsidP="004822B2">
            <w:pPr>
              <w:keepNext/>
              <w:keepLines/>
              <w:jc w:val="center"/>
              <w:rPr>
                <w:rFonts w:eastAsia="Microsoft YaHei" w:cs="Calibri"/>
                <w:color w:val="000000"/>
                <w:highlight w:val="black"/>
              </w:rPr>
            </w:pPr>
            <w:r w:rsidRPr="006F0063">
              <w:rPr>
                <w:rFonts w:eastAsia="Microsoft YaHei" w:cs="Calibri"/>
                <w:color w:val="000000"/>
                <w:highlight w:val="black"/>
              </w:rPr>
              <w:t>**%</w:t>
            </w:r>
          </w:p>
        </w:tc>
        <w:tc>
          <w:tcPr>
            <w:tcW w:w="0" w:type="auto"/>
            <w:shd w:val="clear" w:color="auto" w:fill="auto"/>
            <w:noWrap/>
            <w:vAlign w:val="center"/>
            <w:hideMark/>
          </w:tcPr>
          <w:p w14:paraId="24016225" w14:textId="2DA8BA6F" w:rsidR="000E2D2B" w:rsidRPr="006F0063" w:rsidRDefault="00007821" w:rsidP="004822B2">
            <w:pPr>
              <w:keepNext/>
              <w:keepLines/>
              <w:jc w:val="center"/>
              <w:rPr>
                <w:rFonts w:eastAsia="Microsoft YaHei" w:cs="Calibri"/>
                <w:color w:val="000000"/>
                <w:highlight w:val="black"/>
              </w:rPr>
            </w:pPr>
            <w:r w:rsidRPr="006F0063">
              <w:rPr>
                <w:rFonts w:eastAsia="Microsoft YaHei" w:cs="Calibri"/>
                <w:color w:val="000000"/>
                <w:highlight w:val="black"/>
              </w:rPr>
              <w:t>**%</w:t>
            </w:r>
          </w:p>
        </w:tc>
        <w:tc>
          <w:tcPr>
            <w:tcW w:w="0" w:type="auto"/>
            <w:shd w:val="clear" w:color="auto" w:fill="auto"/>
            <w:noWrap/>
            <w:vAlign w:val="center"/>
            <w:hideMark/>
          </w:tcPr>
          <w:p w14:paraId="641EF7B6" w14:textId="58E9DC98" w:rsidR="000E2D2B" w:rsidRPr="006F0063" w:rsidRDefault="00007821" w:rsidP="004822B2">
            <w:pPr>
              <w:keepNext/>
              <w:keepLines/>
              <w:jc w:val="center"/>
              <w:rPr>
                <w:rFonts w:eastAsia="Microsoft YaHei" w:cs="Calibri"/>
                <w:color w:val="000000"/>
                <w:highlight w:val="black"/>
              </w:rPr>
            </w:pPr>
            <w:r w:rsidRPr="006F0063">
              <w:rPr>
                <w:rFonts w:eastAsia="Microsoft YaHei" w:cs="Calibri"/>
                <w:color w:val="000000"/>
                <w:highlight w:val="black"/>
              </w:rPr>
              <w:t>**%</w:t>
            </w:r>
          </w:p>
        </w:tc>
      </w:tr>
      <w:tr w:rsidR="000E2D2B" w:rsidRPr="000E2D2B" w14:paraId="38A41B55" w14:textId="77777777" w:rsidTr="0087555D">
        <w:trPr>
          <w:trHeight w:val="300"/>
          <w:jc w:val="center"/>
        </w:trPr>
        <w:tc>
          <w:tcPr>
            <w:tcW w:w="0" w:type="auto"/>
            <w:shd w:val="clear" w:color="auto" w:fill="auto"/>
            <w:noWrap/>
            <w:vAlign w:val="center"/>
            <w:hideMark/>
          </w:tcPr>
          <w:p w14:paraId="1382666C" w14:textId="77777777" w:rsidR="000E2D2B" w:rsidRPr="000E2D2B" w:rsidRDefault="000E2D2B" w:rsidP="004822B2">
            <w:pPr>
              <w:keepNext/>
              <w:keepLines/>
              <w:jc w:val="left"/>
              <w:rPr>
                <w:rFonts w:eastAsia="Microsoft YaHei" w:cs="Calibri"/>
                <w:color w:val="000000"/>
              </w:rPr>
            </w:pPr>
            <w:r w:rsidRPr="000E2D2B">
              <w:rPr>
                <w:rFonts w:eastAsia="Microsoft YaHei" w:cs="Calibri"/>
                <w:color w:val="000000"/>
              </w:rPr>
              <w:t>Industrial</w:t>
            </w:r>
          </w:p>
        </w:tc>
        <w:tc>
          <w:tcPr>
            <w:tcW w:w="0" w:type="auto"/>
            <w:shd w:val="clear" w:color="auto" w:fill="auto"/>
            <w:noWrap/>
            <w:vAlign w:val="center"/>
            <w:hideMark/>
          </w:tcPr>
          <w:p w14:paraId="0C9FF0DD" w14:textId="77777777" w:rsidR="000E2D2B" w:rsidRPr="000E2D2B" w:rsidRDefault="000E2D2B" w:rsidP="004822B2">
            <w:pPr>
              <w:keepNext/>
              <w:keepLines/>
              <w:jc w:val="left"/>
              <w:rPr>
                <w:rFonts w:eastAsia="Microsoft YaHei" w:cs="Calibri"/>
                <w:color w:val="000000"/>
              </w:rPr>
            </w:pPr>
            <w:r w:rsidRPr="000E2D2B">
              <w:rPr>
                <w:rFonts w:eastAsia="Microsoft YaHei" w:cs="Calibri"/>
                <w:color w:val="000000"/>
              </w:rPr>
              <w:t>Food Production</w:t>
            </w:r>
          </w:p>
        </w:tc>
        <w:tc>
          <w:tcPr>
            <w:tcW w:w="0" w:type="auto"/>
            <w:shd w:val="clear" w:color="auto" w:fill="auto"/>
            <w:noWrap/>
            <w:vAlign w:val="center"/>
            <w:hideMark/>
          </w:tcPr>
          <w:p w14:paraId="6EE80787" w14:textId="20BBA009" w:rsidR="000E2D2B" w:rsidRPr="006F0063" w:rsidRDefault="00007821" w:rsidP="004822B2">
            <w:pPr>
              <w:keepNext/>
              <w:keepLines/>
              <w:jc w:val="center"/>
              <w:rPr>
                <w:rFonts w:eastAsia="Microsoft YaHei" w:cs="Calibri"/>
                <w:color w:val="000000"/>
                <w:highlight w:val="black"/>
              </w:rPr>
            </w:pPr>
            <w:r w:rsidRPr="006F0063">
              <w:rPr>
                <w:rFonts w:eastAsia="Microsoft YaHei" w:cs="Calibri"/>
                <w:color w:val="000000"/>
                <w:highlight w:val="black"/>
              </w:rPr>
              <w:t>**%</w:t>
            </w:r>
          </w:p>
        </w:tc>
        <w:tc>
          <w:tcPr>
            <w:tcW w:w="0" w:type="auto"/>
            <w:shd w:val="clear" w:color="auto" w:fill="auto"/>
            <w:noWrap/>
            <w:vAlign w:val="center"/>
            <w:hideMark/>
          </w:tcPr>
          <w:p w14:paraId="5675BD8D" w14:textId="79BE4FFD" w:rsidR="000E2D2B" w:rsidRPr="006F0063" w:rsidRDefault="00007821" w:rsidP="004822B2">
            <w:pPr>
              <w:keepNext/>
              <w:keepLines/>
              <w:jc w:val="center"/>
              <w:rPr>
                <w:rFonts w:eastAsia="Microsoft YaHei" w:cs="Calibri"/>
                <w:color w:val="000000"/>
                <w:highlight w:val="black"/>
              </w:rPr>
            </w:pPr>
            <w:r w:rsidRPr="006F0063">
              <w:rPr>
                <w:rFonts w:eastAsia="Microsoft YaHei" w:cs="Calibri"/>
                <w:color w:val="000000"/>
                <w:highlight w:val="black"/>
              </w:rPr>
              <w:t>**%</w:t>
            </w:r>
          </w:p>
        </w:tc>
        <w:tc>
          <w:tcPr>
            <w:tcW w:w="0" w:type="auto"/>
            <w:shd w:val="clear" w:color="auto" w:fill="auto"/>
            <w:noWrap/>
            <w:vAlign w:val="center"/>
            <w:hideMark/>
          </w:tcPr>
          <w:p w14:paraId="7DF5BFA2" w14:textId="2798430E" w:rsidR="000E2D2B" w:rsidRPr="006F0063" w:rsidRDefault="00007821" w:rsidP="004822B2">
            <w:pPr>
              <w:keepNext/>
              <w:keepLines/>
              <w:jc w:val="center"/>
              <w:rPr>
                <w:rFonts w:eastAsia="Microsoft YaHei" w:cs="Calibri"/>
                <w:color w:val="000000"/>
                <w:highlight w:val="black"/>
              </w:rPr>
            </w:pPr>
            <w:r w:rsidRPr="006F0063">
              <w:rPr>
                <w:rFonts w:eastAsia="Microsoft YaHei" w:cs="Calibri"/>
                <w:color w:val="000000"/>
                <w:highlight w:val="black"/>
              </w:rPr>
              <w:t>**%</w:t>
            </w:r>
          </w:p>
        </w:tc>
      </w:tr>
      <w:tr w:rsidR="000E2D2B" w:rsidRPr="000E2D2B" w14:paraId="78765E48" w14:textId="77777777" w:rsidTr="0087555D">
        <w:trPr>
          <w:trHeight w:val="300"/>
          <w:jc w:val="center"/>
        </w:trPr>
        <w:tc>
          <w:tcPr>
            <w:tcW w:w="0" w:type="auto"/>
            <w:shd w:val="clear" w:color="auto" w:fill="auto"/>
            <w:noWrap/>
            <w:vAlign w:val="center"/>
            <w:hideMark/>
          </w:tcPr>
          <w:p w14:paraId="0585D543" w14:textId="77777777" w:rsidR="000E2D2B" w:rsidRPr="000E2D2B" w:rsidRDefault="000E2D2B" w:rsidP="004822B2">
            <w:pPr>
              <w:keepNext/>
              <w:keepLines/>
              <w:jc w:val="left"/>
              <w:rPr>
                <w:rFonts w:eastAsia="Microsoft YaHei" w:cs="Calibri"/>
                <w:color w:val="000000"/>
              </w:rPr>
            </w:pPr>
            <w:r w:rsidRPr="000E2D2B">
              <w:rPr>
                <w:rFonts w:eastAsia="Microsoft YaHei" w:cs="Calibri"/>
                <w:color w:val="000000"/>
              </w:rPr>
              <w:t>Industrial</w:t>
            </w:r>
          </w:p>
        </w:tc>
        <w:tc>
          <w:tcPr>
            <w:tcW w:w="0" w:type="auto"/>
            <w:shd w:val="clear" w:color="auto" w:fill="auto"/>
            <w:noWrap/>
            <w:vAlign w:val="center"/>
            <w:hideMark/>
          </w:tcPr>
          <w:p w14:paraId="7A53161F" w14:textId="77777777" w:rsidR="000E2D2B" w:rsidRPr="000E2D2B" w:rsidRDefault="000E2D2B" w:rsidP="004822B2">
            <w:pPr>
              <w:keepNext/>
              <w:keepLines/>
              <w:jc w:val="left"/>
              <w:rPr>
                <w:rFonts w:eastAsia="Microsoft YaHei" w:cs="Calibri"/>
                <w:color w:val="000000"/>
              </w:rPr>
            </w:pPr>
            <w:r w:rsidRPr="000E2D2B">
              <w:rPr>
                <w:rFonts w:eastAsia="Microsoft YaHei" w:cs="Calibri"/>
                <w:color w:val="000000"/>
              </w:rPr>
              <w:t>Metals</w:t>
            </w:r>
          </w:p>
        </w:tc>
        <w:tc>
          <w:tcPr>
            <w:tcW w:w="0" w:type="auto"/>
            <w:shd w:val="clear" w:color="auto" w:fill="auto"/>
            <w:noWrap/>
            <w:vAlign w:val="center"/>
            <w:hideMark/>
          </w:tcPr>
          <w:p w14:paraId="60849899" w14:textId="6733B4CB" w:rsidR="000E2D2B" w:rsidRPr="006F0063" w:rsidRDefault="00007821" w:rsidP="004822B2">
            <w:pPr>
              <w:keepNext/>
              <w:keepLines/>
              <w:jc w:val="center"/>
              <w:rPr>
                <w:rFonts w:eastAsia="Microsoft YaHei" w:cs="Calibri"/>
                <w:color w:val="000000"/>
                <w:highlight w:val="black"/>
              </w:rPr>
            </w:pPr>
            <w:r w:rsidRPr="006F0063">
              <w:rPr>
                <w:rFonts w:eastAsia="Microsoft YaHei" w:cs="Calibri"/>
                <w:color w:val="000000"/>
                <w:highlight w:val="black"/>
              </w:rPr>
              <w:t>**%</w:t>
            </w:r>
          </w:p>
        </w:tc>
        <w:tc>
          <w:tcPr>
            <w:tcW w:w="0" w:type="auto"/>
            <w:shd w:val="clear" w:color="auto" w:fill="auto"/>
            <w:noWrap/>
            <w:vAlign w:val="center"/>
            <w:hideMark/>
          </w:tcPr>
          <w:p w14:paraId="59DF10CE" w14:textId="625D1C95" w:rsidR="000E2D2B" w:rsidRPr="006F0063" w:rsidRDefault="00007821" w:rsidP="004822B2">
            <w:pPr>
              <w:keepNext/>
              <w:keepLines/>
              <w:jc w:val="center"/>
              <w:rPr>
                <w:rFonts w:eastAsia="Microsoft YaHei" w:cs="Calibri"/>
                <w:color w:val="000000"/>
                <w:highlight w:val="black"/>
              </w:rPr>
            </w:pPr>
            <w:r w:rsidRPr="006F0063">
              <w:rPr>
                <w:rFonts w:eastAsia="Microsoft YaHei" w:cs="Calibri"/>
                <w:color w:val="000000"/>
                <w:highlight w:val="black"/>
              </w:rPr>
              <w:t>**%</w:t>
            </w:r>
          </w:p>
        </w:tc>
        <w:tc>
          <w:tcPr>
            <w:tcW w:w="0" w:type="auto"/>
            <w:shd w:val="clear" w:color="auto" w:fill="auto"/>
            <w:noWrap/>
            <w:vAlign w:val="center"/>
            <w:hideMark/>
          </w:tcPr>
          <w:p w14:paraId="5D9485E7" w14:textId="7AAB2B7E" w:rsidR="000E2D2B" w:rsidRPr="006F0063" w:rsidRDefault="00007821" w:rsidP="004822B2">
            <w:pPr>
              <w:keepNext/>
              <w:keepLines/>
              <w:jc w:val="center"/>
              <w:rPr>
                <w:rFonts w:eastAsia="Microsoft YaHei" w:cs="Calibri"/>
                <w:color w:val="000000"/>
                <w:highlight w:val="black"/>
              </w:rPr>
            </w:pPr>
            <w:r w:rsidRPr="006F0063">
              <w:rPr>
                <w:rFonts w:eastAsia="Microsoft YaHei" w:cs="Calibri"/>
                <w:color w:val="000000"/>
                <w:highlight w:val="black"/>
              </w:rPr>
              <w:t>**%</w:t>
            </w:r>
          </w:p>
        </w:tc>
      </w:tr>
      <w:tr w:rsidR="000E2D2B" w:rsidRPr="000E2D2B" w14:paraId="3B6F625A" w14:textId="77777777" w:rsidTr="0087555D">
        <w:trPr>
          <w:trHeight w:val="300"/>
          <w:jc w:val="center"/>
        </w:trPr>
        <w:tc>
          <w:tcPr>
            <w:tcW w:w="0" w:type="auto"/>
            <w:shd w:val="clear" w:color="auto" w:fill="auto"/>
            <w:noWrap/>
            <w:vAlign w:val="center"/>
            <w:hideMark/>
          </w:tcPr>
          <w:p w14:paraId="1247EB3F" w14:textId="77777777" w:rsidR="000E2D2B" w:rsidRPr="000E2D2B" w:rsidRDefault="000E2D2B" w:rsidP="004822B2">
            <w:pPr>
              <w:keepNext/>
              <w:keepLines/>
              <w:jc w:val="left"/>
              <w:rPr>
                <w:rFonts w:eastAsia="Microsoft YaHei" w:cs="Calibri"/>
                <w:color w:val="000000"/>
              </w:rPr>
            </w:pPr>
            <w:r w:rsidRPr="000E2D2B">
              <w:rPr>
                <w:rFonts w:eastAsia="Microsoft YaHei" w:cs="Calibri"/>
                <w:color w:val="000000"/>
              </w:rPr>
              <w:t>Industrial</w:t>
            </w:r>
          </w:p>
        </w:tc>
        <w:tc>
          <w:tcPr>
            <w:tcW w:w="0" w:type="auto"/>
            <w:shd w:val="clear" w:color="auto" w:fill="auto"/>
            <w:noWrap/>
            <w:vAlign w:val="center"/>
            <w:hideMark/>
          </w:tcPr>
          <w:p w14:paraId="6C187C2B" w14:textId="77777777" w:rsidR="000E2D2B" w:rsidRPr="000E2D2B" w:rsidRDefault="000E2D2B" w:rsidP="004822B2">
            <w:pPr>
              <w:keepNext/>
              <w:keepLines/>
              <w:jc w:val="left"/>
              <w:rPr>
                <w:rFonts w:eastAsia="Microsoft YaHei" w:cs="Calibri"/>
                <w:color w:val="000000"/>
              </w:rPr>
            </w:pPr>
            <w:r w:rsidRPr="000E2D2B">
              <w:rPr>
                <w:rFonts w:eastAsia="Microsoft YaHei" w:cs="Calibri"/>
                <w:color w:val="000000"/>
              </w:rPr>
              <w:t>Other Industrial</w:t>
            </w:r>
          </w:p>
        </w:tc>
        <w:tc>
          <w:tcPr>
            <w:tcW w:w="0" w:type="auto"/>
            <w:shd w:val="clear" w:color="auto" w:fill="auto"/>
            <w:noWrap/>
            <w:vAlign w:val="center"/>
            <w:hideMark/>
          </w:tcPr>
          <w:p w14:paraId="026064E0" w14:textId="67721B10" w:rsidR="000E2D2B" w:rsidRPr="006F0063" w:rsidRDefault="00007821" w:rsidP="004822B2">
            <w:pPr>
              <w:keepNext/>
              <w:keepLines/>
              <w:jc w:val="center"/>
              <w:rPr>
                <w:rFonts w:eastAsia="Microsoft YaHei" w:cs="Calibri"/>
                <w:color w:val="000000"/>
                <w:highlight w:val="black"/>
              </w:rPr>
            </w:pPr>
            <w:r w:rsidRPr="006F0063">
              <w:rPr>
                <w:rFonts w:eastAsia="Microsoft YaHei" w:cs="Calibri"/>
                <w:color w:val="000000"/>
                <w:highlight w:val="black"/>
              </w:rPr>
              <w:t>**%</w:t>
            </w:r>
          </w:p>
        </w:tc>
        <w:tc>
          <w:tcPr>
            <w:tcW w:w="0" w:type="auto"/>
            <w:shd w:val="clear" w:color="auto" w:fill="auto"/>
            <w:noWrap/>
            <w:vAlign w:val="center"/>
            <w:hideMark/>
          </w:tcPr>
          <w:p w14:paraId="470AA48A" w14:textId="6E22A801" w:rsidR="000E2D2B" w:rsidRPr="006F0063" w:rsidRDefault="00007821" w:rsidP="004822B2">
            <w:pPr>
              <w:keepNext/>
              <w:keepLines/>
              <w:jc w:val="center"/>
              <w:rPr>
                <w:rFonts w:eastAsia="Microsoft YaHei" w:cs="Calibri"/>
                <w:color w:val="000000"/>
                <w:highlight w:val="black"/>
              </w:rPr>
            </w:pPr>
            <w:r w:rsidRPr="006F0063">
              <w:rPr>
                <w:rFonts w:eastAsia="Microsoft YaHei" w:cs="Calibri"/>
                <w:color w:val="000000"/>
                <w:highlight w:val="black"/>
              </w:rPr>
              <w:t>**%</w:t>
            </w:r>
          </w:p>
        </w:tc>
        <w:tc>
          <w:tcPr>
            <w:tcW w:w="0" w:type="auto"/>
            <w:shd w:val="clear" w:color="auto" w:fill="auto"/>
            <w:noWrap/>
            <w:vAlign w:val="center"/>
            <w:hideMark/>
          </w:tcPr>
          <w:p w14:paraId="7E5720B1" w14:textId="75FB5FDA" w:rsidR="000E2D2B" w:rsidRPr="006F0063" w:rsidRDefault="00007821" w:rsidP="004822B2">
            <w:pPr>
              <w:keepNext/>
              <w:keepLines/>
              <w:jc w:val="center"/>
              <w:rPr>
                <w:rFonts w:eastAsia="Microsoft YaHei" w:cs="Calibri"/>
                <w:color w:val="000000"/>
                <w:highlight w:val="black"/>
              </w:rPr>
            </w:pPr>
            <w:r w:rsidRPr="006F0063">
              <w:rPr>
                <w:rFonts w:eastAsia="Microsoft YaHei" w:cs="Calibri"/>
                <w:color w:val="000000"/>
                <w:highlight w:val="black"/>
              </w:rPr>
              <w:t>**%</w:t>
            </w:r>
          </w:p>
        </w:tc>
      </w:tr>
      <w:tr w:rsidR="000E2D2B" w:rsidRPr="000E2D2B" w14:paraId="730E70B7" w14:textId="77777777" w:rsidTr="0087555D">
        <w:trPr>
          <w:trHeight w:val="300"/>
          <w:jc w:val="center"/>
        </w:trPr>
        <w:tc>
          <w:tcPr>
            <w:tcW w:w="0" w:type="auto"/>
            <w:shd w:val="clear" w:color="auto" w:fill="auto"/>
            <w:noWrap/>
            <w:vAlign w:val="center"/>
            <w:hideMark/>
          </w:tcPr>
          <w:p w14:paraId="5D75E9C5" w14:textId="77777777" w:rsidR="000E2D2B" w:rsidRPr="000E2D2B" w:rsidRDefault="000E2D2B" w:rsidP="004822B2">
            <w:pPr>
              <w:keepNext/>
              <w:keepLines/>
              <w:jc w:val="left"/>
              <w:rPr>
                <w:rFonts w:eastAsia="Microsoft YaHei" w:cs="Calibri"/>
                <w:color w:val="000000"/>
              </w:rPr>
            </w:pPr>
            <w:r w:rsidRPr="000E2D2B">
              <w:rPr>
                <w:rFonts w:eastAsia="Microsoft YaHei" w:cs="Calibri"/>
                <w:color w:val="000000"/>
              </w:rPr>
              <w:t>Industrial</w:t>
            </w:r>
          </w:p>
        </w:tc>
        <w:tc>
          <w:tcPr>
            <w:tcW w:w="0" w:type="auto"/>
            <w:shd w:val="clear" w:color="auto" w:fill="auto"/>
            <w:noWrap/>
            <w:vAlign w:val="center"/>
            <w:hideMark/>
          </w:tcPr>
          <w:p w14:paraId="0F9624C7" w14:textId="77777777" w:rsidR="000E2D2B" w:rsidRPr="000E2D2B" w:rsidRDefault="000E2D2B" w:rsidP="004822B2">
            <w:pPr>
              <w:keepNext/>
              <w:keepLines/>
              <w:jc w:val="left"/>
              <w:rPr>
                <w:rFonts w:eastAsia="Microsoft YaHei" w:cs="Calibri"/>
                <w:color w:val="000000"/>
              </w:rPr>
            </w:pPr>
            <w:r w:rsidRPr="000E2D2B">
              <w:rPr>
                <w:rFonts w:eastAsia="Microsoft YaHei" w:cs="Calibri"/>
                <w:color w:val="000000"/>
              </w:rPr>
              <w:t>Pipeline</w:t>
            </w:r>
          </w:p>
        </w:tc>
        <w:tc>
          <w:tcPr>
            <w:tcW w:w="0" w:type="auto"/>
            <w:shd w:val="clear" w:color="auto" w:fill="auto"/>
            <w:noWrap/>
            <w:vAlign w:val="center"/>
            <w:hideMark/>
          </w:tcPr>
          <w:p w14:paraId="0E0DA396" w14:textId="797F6A77" w:rsidR="000E2D2B" w:rsidRPr="006F0063" w:rsidRDefault="00007821" w:rsidP="004822B2">
            <w:pPr>
              <w:keepNext/>
              <w:keepLines/>
              <w:jc w:val="center"/>
              <w:rPr>
                <w:rFonts w:eastAsia="Microsoft YaHei" w:cs="Calibri"/>
                <w:color w:val="000000"/>
                <w:highlight w:val="black"/>
              </w:rPr>
            </w:pPr>
            <w:r w:rsidRPr="006F0063">
              <w:rPr>
                <w:rFonts w:eastAsia="Microsoft YaHei" w:cs="Calibri"/>
                <w:color w:val="000000"/>
                <w:highlight w:val="black"/>
              </w:rPr>
              <w:t>**%</w:t>
            </w:r>
          </w:p>
        </w:tc>
        <w:tc>
          <w:tcPr>
            <w:tcW w:w="0" w:type="auto"/>
            <w:shd w:val="clear" w:color="auto" w:fill="auto"/>
            <w:noWrap/>
            <w:vAlign w:val="center"/>
            <w:hideMark/>
          </w:tcPr>
          <w:p w14:paraId="3C497B4C" w14:textId="3C22EE95" w:rsidR="000E2D2B" w:rsidRPr="006F0063" w:rsidRDefault="00007821" w:rsidP="004822B2">
            <w:pPr>
              <w:keepNext/>
              <w:keepLines/>
              <w:jc w:val="center"/>
              <w:rPr>
                <w:rFonts w:eastAsia="Microsoft YaHei" w:cs="Calibri"/>
                <w:color w:val="000000"/>
                <w:highlight w:val="black"/>
              </w:rPr>
            </w:pPr>
            <w:r w:rsidRPr="006F0063">
              <w:rPr>
                <w:rFonts w:eastAsia="Microsoft YaHei" w:cs="Calibri"/>
                <w:color w:val="000000"/>
                <w:highlight w:val="black"/>
              </w:rPr>
              <w:t>**%</w:t>
            </w:r>
          </w:p>
        </w:tc>
        <w:tc>
          <w:tcPr>
            <w:tcW w:w="0" w:type="auto"/>
            <w:shd w:val="clear" w:color="auto" w:fill="auto"/>
            <w:noWrap/>
            <w:vAlign w:val="center"/>
            <w:hideMark/>
          </w:tcPr>
          <w:p w14:paraId="6A0BE939" w14:textId="2F18935F" w:rsidR="000E2D2B" w:rsidRPr="006F0063" w:rsidRDefault="00007821" w:rsidP="004822B2">
            <w:pPr>
              <w:keepNext/>
              <w:keepLines/>
              <w:jc w:val="center"/>
              <w:rPr>
                <w:rFonts w:eastAsia="Microsoft YaHei" w:cs="Calibri"/>
                <w:color w:val="000000"/>
                <w:highlight w:val="black"/>
              </w:rPr>
            </w:pPr>
            <w:r w:rsidRPr="006F0063">
              <w:rPr>
                <w:rFonts w:eastAsia="Microsoft YaHei" w:cs="Calibri"/>
                <w:color w:val="000000"/>
                <w:highlight w:val="black"/>
              </w:rPr>
              <w:t>**%</w:t>
            </w:r>
          </w:p>
        </w:tc>
      </w:tr>
      <w:tr w:rsidR="000E2D2B" w:rsidRPr="000E2D2B" w14:paraId="07FC8346" w14:textId="77777777" w:rsidTr="0087555D">
        <w:trPr>
          <w:trHeight w:val="300"/>
          <w:jc w:val="center"/>
        </w:trPr>
        <w:tc>
          <w:tcPr>
            <w:tcW w:w="0" w:type="auto"/>
            <w:shd w:val="clear" w:color="auto" w:fill="auto"/>
            <w:noWrap/>
            <w:vAlign w:val="center"/>
            <w:hideMark/>
          </w:tcPr>
          <w:p w14:paraId="065D48EA" w14:textId="77777777" w:rsidR="000E2D2B" w:rsidRPr="000E2D2B" w:rsidRDefault="000E2D2B" w:rsidP="004822B2">
            <w:pPr>
              <w:keepNext/>
              <w:keepLines/>
              <w:jc w:val="left"/>
              <w:rPr>
                <w:rFonts w:eastAsia="Microsoft YaHei" w:cs="Calibri"/>
                <w:color w:val="000000"/>
              </w:rPr>
            </w:pPr>
            <w:r w:rsidRPr="000E2D2B">
              <w:rPr>
                <w:rFonts w:eastAsia="Microsoft YaHei" w:cs="Calibri"/>
                <w:color w:val="000000"/>
              </w:rPr>
              <w:t>Industrial</w:t>
            </w:r>
          </w:p>
        </w:tc>
        <w:tc>
          <w:tcPr>
            <w:tcW w:w="0" w:type="auto"/>
            <w:shd w:val="clear" w:color="auto" w:fill="auto"/>
            <w:noWrap/>
            <w:vAlign w:val="center"/>
            <w:hideMark/>
          </w:tcPr>
          <w:p w14:paraId="43C2E404" w14:textId="77777777" w:rsidR="000E2D2B" w:rsidRPr="000E2D2B" w:rsidRDefault="000E2D2B" w:rsidP="004822B2">
            <w:pPr>
              <w:keepNext/>
              <w:keepLines/>
              <w:jc w:val="left"/>
              <w:rPr>
                <w:rFonts w:eastAsia="Microsoft YaHei" w:cs="Calibri"/>
                <w:color w:val="000000"/>
              </w:rPr>
            </w:pPr>
            <w:r w:rsidRPr="000E2D2B">
              <w:rPr>
                <w:rFonts w:eastAsia="Microsoft YaHei" w:cs="Calibri"/>
                <w:color w:val="000000"/>
              </w:rPr>
              <w:t>Rubber &amp; Plastics</w:t>
            </w:r>
          </w:p>
        </w:tc>
        <w:tc>
          <w:tcPr>
            <w:tcW w:w="0" w:type="auto"/>
            <w:shd w:val="clear" w:color="auto" w:fill="auto"/>
            <w:noWrap/>
            <w:vAlign w:val="center"/>
            <w:hideMark/>
          </w:tcPr>
          <w:p w14:paraId="26B25156" w14:textId="0623E94B" w:rsidR="000E2D2B" w:rsidRPr="006F0063" w:rsidRDefault="00007821" w:rsidP="004822B2">
            <w:pPr>
              <w:keepNext/>
              <w:keepLines/>
              <w:jc w:val="center"/>
              <w:rPr>
                <w:rFonts w:eastAsia="Microsoft YaHei" w:cs="Calibri"/>
                <w:color w:val="000000"/>
                <w:highlight w:val="black"/>
              </w:rPr>
            </w:pPr>
            <w:r w:rsidRPr="006F0063">
              <w:rPr>
                <w:rFonts w:eastAsia="Microsoft YaHei" w:cs="Calibri"/>
                <w:color w:val="000000"/>
                <w:highlight w:val="black"/>
              </w:rPr>
              <w:t>**%</w:t>
            </w:r>
          </w:p>
        </w:tc>
        <w:tc>
          <w:tcPr>
            <w:tcW w:w="0" w:type="auto"/>
            <w:shd w:val="clear" w:color="auto" w:fill="auto"/>
            <w:noWrap/>
            <w:vAlign w:val="center"/>
            <w:hideMark/>
          </w:tcPr>
          <w:p w14:paraId="21E70897" w14:textId="27647058" w:rsidR="000E2D2B" w:rsidRPr="006F0063" w:rsidRDefault="00007821" w:rsidP="004822B2">
            <w:pPr>
              <w:keepNext/>
              <w:keepLines/>
              <w:jc w:val="center"/>
              <w:rPr>
                <w:rFonts w:eastAsia="Microsoft YaHei" w:cs="Calibri"/>
                <w:color w:val="000000"/>
                <w:highlight w:val="black"/>
              </w:rPr>
            </w:pPr>
            <w:r w:rsidRPr="006F0063">
              <w:rPr>
                <w:rFonts w:eastAsia="Microsoft YaHei" w:cs="Calibri"/>
                <w:color w:val="000000"/>
                <w:highlight w:val="black"/>
              </w:rPr>
              <w:t>**%</w:t>
            </w:r>
          </w:p>
        </w:tc>
        <w:tc>
          <w:tcPr>
            <w:tcW w:w="0" w:type="auto"/>
            <w:shd w:val="clear" w:color="auto" w:fill="auto"/>
            <w:noWrap/>
            <w:vAlign w:val="center"/>
            <w:hideMark/>
          </w:tcPr>
          <w:p w14:paraId="3741531C" w14:textId="1E9C76D0" w:rsidR="000E2D2B" w:rsidRPr="006F0063" w:rsidRDefault="00007821" w:rsidP="004822B2">
            <w:pPr>
              <w:keepNext/>
              <w:keepLines/>
              <w:jc w:val="center"/>
              <w:rPr>
                <w:rFonts w:eastAsia="Microsoft YaHei" w:cs="Calibri"/>
                <w:color w:val="000000"/>
                <w:highlight w:val="black"/>
              </w:rPr>
            </w:pPr>
            <w:r w:rsidRPr="006F0063">
              <w:rPr>
                <w:rFonts w:eastAsia="Microsoft YaHei" w:cs="Calibri"/>
                <w:color w:val="000000"/>
                <w:highlight w:val="black"/>
              </w:rPr>
              <w:t>**%</w:t>
            </w:r>
          </w:p>
        </w:tc>
      </w:tr>
      <w:tr w:rsidR="000E2D2B" w:rsidRPr="000E2D2B" w14:paraId="4E6DEB31" w14:textId="77777777" w:rsidTr="0087555D">
        <w:trPr>
          <w:trHeight w:val="300"/>
          <w:jc w:val="center"/>
        </w:trPr>
        <w:tc>
          <w:tcPr>
            <w:tcW w:w="0" w:type="auto"/>
            <w:shd w:val="clear" w:color="auto" w:fill="auto"/>
            <w:noWrap/>
            <w:vAlign w:val="center"/>
            <w:hideMark/>
          </w:tcPr>
          <w:p w14:paraId="50BD50A8" w14:textId="77777777" w:rsidR="000E2D2B" w:rsidRPr="000E2D2B" w:rsidRDefault="000E2D2B" w:rsidP="004822B2">
            <w:pPr>
              <w:keepNext/>
              <w:keepLines/>
              <w:jc w:val="left"/>
              <w:rPr>
                <w:rFonts w:eastAsia="Microsoft YaHei" w:cs="Calibri"/>
                <w:color w:val="000000"/>
              </w:rPr>
            </w:pPr>
            <w:r w:rsidRPr="000E2D2B">
              <w:rPr>
                <w:rFonts w:eastAsia="Microsoft YaHei" w:cs="Calibri"/>
                <w:color w:val="000000"/>
              </w:rPr>
              <w:t>Industrial</w:t>
            </w:r>
          </w:p>
        </w:tc>
        <w:tc>
          <w:tcPr>
            <w:tcW w:w="0" w:type="auto"/>
            <w:shd w:val="clear" w:color="auto" w:fill="auto"/>
            <w:noWrap/>
            <w:vAlign w:val="center"/>
            <w:hideMark/>
          </w:tcPr>
          <w:p w14:paraId="09CC15FA" w14:textId="77777777" w:rsidR="000E2D2B" w:rsidRPr="000E2D2B" w:rsidRDefault="000E2D2B" w:rsidP="004822B2">
            <w:pPr>
              <w:keepNext/>
              <w:keepLines/>
              <w:jc w:val="left"/>
              <w:rPr>
                <w:rFonts w:eastAsia="Microsoft YaHei" w:cs="Calibri"/>
                <w:color w:val="000000"/>
              </w:rPr>
            </w:pPr>
            <w:r w:rsidRPr="000E2D2B">
              <w:rPr>
                <w:rFonts w:eastAsia="Microsoft YaHei" w:cs="Calibri"/>
                <w:color w:val="000000"/>
              </w:rPr>
              <w:t>Stone Clay and Glass</w:t>
            </w:r>
          </w:p>
        </w:tc>
        <w:tc>
          <w:tcPr>
            <w:tcW w:w="0" w:type="auto"/>
            <w:shd w:val="clear" w:color="auto" w:fill="auto"/>
            <w:noWrap/>
            <w:vAlign w:val="center"/>
            <w:hideMark/>
          </w:tcPr>
          <w:p w14:paraId="7573BC3C" w14:textId="28201489" w:rsidR="000E2D2B" w:rsidRPr="006F0063" w:rsidRDefault="00007821" w:rsidP="004822B2">
            <w:pPr>
              <w:keepNext/>
              <w:keepLines/>
              <w:jc w:val="center"/>
              <w:rPr>
                <w:rFonts w:eastAsia="Microsoft YaHei" w:cs="Calibri"/>
                <w:color w:val="000000"/>
                <w:highlight w:val="black"/>
              </w:rPr>
            </w:pPr>
            <w:r w:rsidRPr="006F0063">
              <w:rPr>
                <w:rFonts w:eastAsia="Microsoft YaHei" w:cs="Calibri"/>
                <w:color w:val="000000"/>
                <w:highlight w:val="black"/>
              </w:rPr>
              <w:t>**%</w:t>
            </w:r>
          </w:p>
        </w:tc>
        <w:tc>
          <w:tcPr>
            <w:tcW w:w="0" w:type="auto"/>
            <w:shd w:val="clear" w:color="auto" w:fill="auto"/>
            <w:noWrap/>
            <w:vAlign w:val="center"/>
            <w:hideMark/>
          </w:tcPr>
          <w:p w14:paraId="74092E46" w14:textId="24FF03E4" w:rsidR="000E2D2B" w:rsidRPr="006F0063" w:rsidRDefault="00007821" w:rsidP="004822B2">
            <w:pPr>
              <w:keepNext/>
              <w:keepLines/>
              <w:jc w:val="center"/>
              <w:rPr>
                <w:rFonts w:eastAsia="Microsoft YaHei" w:cs="Calibri"/>
                <w:color w:val="000000"/>
                <w:highlight w:val="black"/>
              </w:rPr>
            </w:pPr>
            <w:r w:rsidRPr="006F0063">
              <w:rPr>
                <w:rFonts w:eastAsia="Microsoft YaHei" w:cs="Calibri"/>
                <w:color w:val="000000"/>
                <w:highlight w:val="black"/>
              </w:rPr>
              <w:t>**%</w:t>
            </w:r>
          </w:p>
        </w:tc>
        <w:tc>
          <w:tcPr>
            <w:tcW w:w="0" w:type="auto"/>
            <w:shd w:val="clear" w:color="auto" w:fill="auto"/>
            <w:noWrap/>
            <w:vAlign w:val="center"/>
            <w:hideMark/>
          </w:tcPr>
          <w:p w14:paraId="1F41239A" w14:textId="0997C88B" w:rsidR="000E2D2B" w:rsidRPr="006F0063" w:rsidRDefault="00007821" w:rsidP="004822B2">
            <w:pPr>
              <w:keepNext/>
              <w:keepLines/>
              <w:jc w:val="center"/>
              <w:rPr>
                <w:rFonts w:eastAsia="Microsoft YaHei" w:cs="Calibri"/>
                <w:color w:val="000000"/>
                <w:highlight w:val="black"/>
              </w:rPr>
            </w:pPr>
            <w:r w:rsidRPr="006F0063">
              <w:rPr>
                <w:rFonts w:eastAsia="Microsoft YaHei" w:cs="Calibri"/>
                <w:color w:val="000000"/>
                <w:highlight w:val="black"/>
              </w:rPr>
              <w:t>**%</w:t>
            </w:r>
          </w:p>
        </w:tc>
      </w:tr>
      <w:tr w:rsidR="000E2D2B" w:rsidRPr="000E2D2B" w14:paraId="534C03AE" w14:textId="77777777" w:rsidTr="0087555D">
        <w:trPr>
          <w:trHeight w:val="300"/>
          <w:jc w:val="center"/>
        </w:trPr>
        <w:tc>
          <w:tcPr>
            <w:tcW w:w="0" w:type="auto"/>
            <w:shd w:val="clear" w:color="auto" w:fill="auto"/>
            <w:noWrap/>
            <w:vAlign w:val="center"/>
            <w:hideMark/>
          </w:tcPr>
          <w:p w14:paraId="035C54EC" w14:textId="77777777" w:rsidR="000E2D2B" w:rsidRPr="000E2D2B" w:rsidRDefault="000E2D2B" w:rsidP="004822B2">
            <w:pPr>
              <w:keepNext/>
              <w:keepLines/>
              <w:jc w:val="left"/>
              <w:rPr>
                <w:rFonts w:eastAsia="Microsoft YaHei" w:cs="Calibri"/>
                <w:color w:val="000000"/>
              </w:rPr>
            </w:pPr>
            <w:r w:rsidRPr="000E2D2B">
              <w:rPr>
                <w:rFonts w:eastAsia="Microsoft YaHei" w:cs="Calibri"/>
                <w:color w:val="000000"/>
              </w:rPr>
              <w:t>Industrial</w:t>
            </w:r>
          </w:p>
        </w:tc>
        <w:tc>
          <w:tcPr>
            <w:tcW w:w="0" w:type="auto"/>
            <w:shd w:val="clear" w:color="auto" w:fill="auto"/>
            <w:noWrap/>
            <w:vAlign w:val="center"/>
            <w:hideMark/>
          </w:tcPr>
          <w:p w14:paraId="08329A4F" w14:textId="77777777" w:rsidR="000E2D2B" w:rsidRPr="000E2D2B" w:rsidRDefault="000E2D2B" w:rsidP="004822B2">
            <w:pPr>
              <w:keepNext/>
              <w:keepLines/>
              <w:jc w:val="left"/>
              <w:rPr>
                <w:rFonts w:eastAsia="Microsoft YaHei" w:cs="Calibri"/>
                <w:color w:val="000000"/>
              </w:rPr>
            </w:pPr>
            <w:r w:rsidRPr="000E2D2B">
              <w:rPr>
                <w:rFonts w:eastAsia="Microsoft YaHei" w:cs="Calibri"/>
                <w:color w:val="000000"/>
              </w:rPr>
              <w:t>Textiles</w:t>
            </w:r>
          </w:p>
        </w:tc>
        <w:tc>
          <w:tcPr>
            <w:tcW w:w="0" w:type="auto"/>
            <w:shd w:val="clear" w:color="auto" w:fill="auto"/>
            <w:noWrap/>
            <w:vAlign w:val="center"/>
            <w:hideMark/>
          </w:tcPr>
          <w:p w14:paraId="1856817F" w14:textId="6FE9C874" w:rsidR="000E2D2B" w:rsidRPr="006F0063" w:rsidRDefault="00007821" w:rsidP="004822B2">
            <w:pPr>
              <w:keepNext/>
              <w:keepLines/>
              <w:jc w:val="center"/>
              <w:rPr>
                <w:rFonts w:eastAsia="Microsoft YaHei" w:cs="Calibri"/>
                <w:color w:val="000000"/>
                <w:highlight w:val="black"/>
              </w:rPr>
            </w:pPr>
            <w:r w:rsidRPr="006F0063">
              <w:rPr>
                <w:rFonts w:eastAsia="Microsoft YaHei" w:cs="Calibri"/>
                <w:color w:val="000000"/>
                <w:highlight w:val="black"/>
              </w:rPr>
              <w:t>**%</w:t>
            </w:r>
          </w:p>
        </w:tc>
        <w:tc>
          <w:tcPr>
            <w:tcW w:w="0" w:type="auto"/>
            <w:shd w:val="clear" w:color="auto" w:fill="auto"/>
            <w:noWrap/>
            <w:vAlign w:val="center"/>
            <w:hideMark/>
          </w:tcPr>
          <w:p w14:paraId="49B2B2D6" w14:textId="34903D1E" w:rsidR="000E2D2B" w:rsidRPr="006F0063" w:rsidRDefault="00007821" w:rsidP="004822B2">
            <w:pPr>
              <w:keepNext/>
              <w:keepLines/>
              <w:jc w:val="center"/>
              <w:rPr>
                <w:rFonts w:eastAsia="Microsoft YaHei" w:cs="Calibri"/>
                <w:color w:val="000000"/>
                <w:highlight w:val="black"/>
              </w:rPr>
            </w:pPr>
            <w:r w:rsidRPr="006F0063">
              <w:rPr>
                <w:rFonts w:eastAsia="Microsoft YaHei" w:cs="Calibri"/>
                <w:color w:val="000000"/>
                <w:highlight w:val="black"/>
              </w:rPr>
              <w:t>**%</w:t>
            </w:r>
          </w:p>
        </w:tc>
        <w:tc>
          <w:tcPr>
            <w:tcW w:w="0" w:type="auto"/>
            <w:shd w:val="clear" w:color="auto" w:fill="auto"/>
            <w:noWrap/>
            <w:vAlign w:val="center"/>
            <w:hideMark/>
          </w:tcPr>
          <w:p w14:paraId="6783A371" w14:textId="519943B4" w:rsidR="000E2D2B" w:rsidRPr="006F0063" w:rsidRDefault="00007821" w:rsidP="004822B2">
            <w:pPr>
              <w:keepNext/>
              <w:keepLines/>
              <w:jc w:val="center"/>
              <w:rPr>
                <w:rFonts w:eastAsia="Microsoft YaHei" w:cs="Calibri"/>
                <w:color w:val="000000"/>
                <w:highlight w:val="black"/>
              </w:rPr>
            </w:pPr>
            <w:r w:rsidRPr="006F0063">
              <w:rPr>
                <w:rFonts w:eastAsia="Microsoft YaHei" w:cs="Calibri"/>
                <w:color w:val="000000"/>
                <w:highlight w:val="black"/>
              </w:rPr>
              <w:t>**%</w:t>
            </w:r>
          </w:p>
        </w:tc>
      </w:tr>
      <w:tr w:rsidR="000E2D2B" w:rsidRPr="000E2D2B" w14:paraId="274221CC" w14:textId="77777777" w:rsidTr="0087555D">
        <w:trPr>
          <w:trHeight w:val="300"/>
          <w:jc w:val="center"/>
        </w:trPr>
        <w:tc>
          <w:tcPr>
            <w:tcW w:w="0" w:type="auto"/>
            <w:shd w:val="clear" w:color="auto" w:fill="auto"/>
            <w:noWrap/>
            <w:vAlign w:val="center"/>
            <w:hideMark/>
          </w:tcPr>
          <w:p w14:paraId="03E3FA44" w14:textId="77777777" w:rsidR="000E2D2B" w:rsidRPr="000E2D2B" w:rsidRDefault="000E2D2B" w:rsidP="004822B2">
            <w:pPr>
              <w:keepNext/>
              <w:keepLines/>
              <w:jc w:val="left"/>
              <w:rPr>
                <w:rFonts w:eastAsia="Microsoft YaHei" w:cs="Calibri"/>
                <w:color w:val="000000"/>
              </w:rPr>
            </w:pPr>
            <w:r w:rsidRPr="000E2D2B">
              <w:rPr>
                <w:rFonts w:eastAsia="Microsoft YaHei" w:cs="Calibri"/>
                <w:color w:val="000000"/>
              </w:rPr>
              <w:t>Industrial</w:t>
            </w:r>
          </w:p>
        </w:tc>
        <w:tc>
          <w:tcPr>
            <w:tcW w:w="0" w:type="auto"/>
            <w:shd w:val="clear" w:color="auto" w:fill="auto"/>
            <w:noWrap/>
            <w:vAlign w:val="center"/>
            <w:hideMark/>
          </w:tcPr>
          <w:p w14:paraId="5C04B49B" w14:textId="77777777" w:rsidR="000E2D2B" w:rsidRPr="000E2D2B" w:rsidRDefault="000E2D2B" w:rsidP="004822B2">
            <w:pPr>
              <w:keepNext/>
              <w:keepLines/>
              <w:jc w:val="left"/>
              <w:rPr>
                <w:rFonts w:eastAsia="Microsoft YaHei" w:cs="Calibri"/>
                <w:color w:val="000000"/>
              </w:rPr>
            </w:pPr>
            <w:r w:rsidRPr="000E2D2B">
              <w:rPr>
                <w:rFonts w:eastAsia="Microsoft YaHei" w:cs="Calibri"/>
                <w:color w:val="000000"/>
              </w:rPr>
              <w:t>Transportation</w:t>
            </w:r>
          </w:p>
        </w:tc>
        <w:tc>
          <w:tcPr>
            <w:tcW w:w="0" w:type="auto"/>
            <w:shd w:val="clear" w:color="auto" w:fill="auto"/>
            <w:noWrap/>
            <w:vAlign w:val="center"/>
            <w:hideMark/>
          </w:tcPr>
          <w:p w14:paraId="3B917719" w14:textId="4EBB764A" w:rsidR="000E2D2B" w:rsidRPr="006F0063" w:rsidRDefault="00007821" w:rsidP="004822B2">
            <w:pPr>
              <w:keepNext/>
              <w:keepLines/>
              <w:jc w:val="center"/>
              <w:rPr>
                <w:rFonts w:eastAsia="Microsoft YaHei" w:cs="Calibri"/>
                <w:color w:val="000000"/>
                <w:highlight w:val="black"/>
              </w:rPr>
            </w:pPr>
            <w:r w:rsidRPr="006F0063">
              <w:rPr>
                <w:rFonts w:eastAsia="Microsoft YaHei" w:cs="Calibri"/>
                <w:color w:val="000000"/>
                <w:highlight w:val="black"/>
              </w:rPr>
              <w:t>**%</w:t>
            </w:r>
          </w:p>
        </w:tc>
        <w:tc>
          <w:tcPr>
            <w:tcW w:w="0" w:type="auto"/>
            <w:shd w:val="clear" w:color="auto" w:fill="auto"/>
            <w:noWrap/>
            <w:vAlign w:val="center"/>
            <w:hideMark/>
          </w:tcPr>
          <w:p w14:paraId="5692DD49" w14:textId="3E1D3541" w:rsidR="000E2D2B" w:rsidRPr="006F0063" w:rsidRDefault="00007821" w:rsidP="004822B2">
            <w:pPr>
              <w:keepNext/>
              <w:keepLines/>
              <w:jc w:val="center"/>
              <w:rPr>
                <w:rFonts w:eastAsia="Microsoft YaHei" w:cs="Calibri"/>
                <w:color w:val="000000"/>
                <w:highlight w:val="black"/>
              </w:rPr>
            </w:pPr>
            <w:r w:rsidRPr="006F0063">
              <w:rPr>
                <w:rFonts w:eastAsia="Microsoft YaHei" w:cs="Calibri"/>
                <w:color w:val="000000"/>
                <w:highlight w:val="black"/>
              </w:rPr>
              <w:t>**%</w:t>
            </w:r>
          </w:p>
        </w:tc>
        <w:tc>
          <w:tcPr>
            <w:tcW w:w="0" w:type="auto"/>
            <w:shd w:val="clear" w:color="auto" w:fill="auto"/>
            <w:noWrap/>
            <w:vAlign w:val="center"/>
            <w:hideMark/>
          </w:tcPr>
          <w:p w14:paraId="5B40263D" w14:textId="256ECCCE" w:rsidR="000E2D2B" w:rsidRPr="006F0063" w:rsidRDefault="00007821" w:rsidP="004822B2">
            <w:pPr>
              <w:keepNext/>
              <w:keepLines/>
              <w:jc w:val="center"/>
              <w:rPr>
                <w:rFonts w:eastAsia="Microsoft YaHei" w:cs="Calibri"/>
                <w:color w:val="000000"/>
                <w:highlight w:val="black"/>
              </w:rPr>
            </w:pPr>
            <w:r w:rsidRPr="006F0063">
              <w:rPr>
                <w:rFonts w:eastAsia="Microsoft YaHei" w:cs="Calibri"/>
                <w:color w:val="000000"/>
                <w:highlight w:val="black"/>
              </w:rPr>
              <w:t>**%</w:t>
            </w:r>
          </w:p>
        </w:tc>
      </w:tr>
      <w:tr w:rsidR="000E2D2B" w:rsidRPr="000E2D2B" w14:paraId="462E31AD" w14:textId="77777777" w:rsidTr="0087555D">
        <w:trPr>
          <w:trHeight w:val="300"/>
          <w:jc w:val="center"/>
        </w:trPr>
        <w:tc>
          <w:tcPr>
            <w:tcW w:w="0" w:type="auto"/>
            <w:shd w:val="clear" w:color="auto" w:fill="auto"/>
            <w:noWrap/>
            <w:vAlign w:val="center"/>
            <w:hideMark/>
          </w:tcPr>
          <w:p w14:paraId="2C08D328" w14:textId="77777777" w:rsidR="000E2D2B" w:rsidRPr="000E2D2B" w:rsidRDefault="000E2D2B" w:rsidP="004822B2">
            <w:pPr>
              <w:keepNext/>
              <w:keepLines/>
              <w:jc w:val="left"/>
              <w:rPr>
                <w:rFonts w:eastAsia="Microsoft YaHei" w:cs="Calibri"/>
                <w:color w:val="000000"/>
              </w:rPr>
            </w:pPr>
            <w:r w:rsidRPr="000E2D2B">
              <w:rPr>
                <w:rFonts w:eastAsia="Microsoft YaHei" w:cs="Calibri"/>
                <w:color w:val="000000"/>
              </w:rPr>
              <w:t>Industrial</w:t>
            </w:r>
          </w:p>
        </w:tc>
        <w:tc>
          <w:tcPr>
            <w:tcW w:w="0" w:type="auto"/>
            <w:shd w:val="clear" w:color="auto" w:fill="auto"/>
            <w:noWrap/>
            <w:vAlign w:val="center"/>
            <w:hideMark/>
          </w:tcPr>
          <w:p w14:paraId="69996093" w14:textId="77777777" w:rsidR="000E2D2B" w:rsidRPr="000E2D2B" w:rsidRDefault="000E2D2B" w:rsidP="004822B2">
            <w:pPr>
              <w:keepNext/>
              <w:keepLines/>
              <w:jc w:val="left"/>
              <w:rPr>
                <w:rFonts w:eastAsia="Microsoft YaHei" w:cs="Calibri"/>
                <w:color w:val="000000"/>
              </w:rPr>
            </w:pPr>
            <w:r w:rsidRPr="000E2D2B">
              <w:rPr>
                <w:rFonts w:eastAsia="Microsoft YaHei" w:cs="Calibri"/>
                <w:color w:val="000000"/>
              </w:rPr>
              <w:t>Beverage</w:t>
            </w:r>
          </w:p>
        </w:tc>
        <w:tc>
          <w:tcPr>
            <w:tcW w:w="0" w:type="auto"/>
            <w:shd w:val="clear" w:color="auto" w:fill="auto"/>
            <w:noWrap/>
            <w:vAlign w:val="center"/>
            <w:hideMark/>
          </w:tcPr>
          <w:p w14:paraId="3C1AC656" w14:textId="7BC474DF" w:rsidR="000E2D2B" w:rsidRPr="006F0063" w:rsidRDefault="00007821" w:rsidP="004822B2">
            <w:pPr>
              <w:keepNext/>
              <w:keepLines/>
              <w:jc w:val="center"/>
              <w:rPr>
                <w:rFonts w:eastAsia="Microsoft YaHei" w:cs="Calibri"/>
                <w:color w:val="000000"/>
                <w:highlight w:val="black"/>
              </w:rPr>
            </w:pPr>
            <w:r w:rsidRPr="006F0063">
              <w:rPr>
                <w:rFonts w:eastAsia="Microsoft YaHei" w:cs="Calibri"/>
                <w:color w:val="000000"/>
                <w:highlight w:val="black"/>
              </w:rPr>
              <w:t>**%</w:t>
            </w:r>
          </w:p>
        </w:tc>
        <w:tc>
          <w:tcPr>
            <w:tcW w:w="0" w:type="auto"/>
            <w:shd w:val="clear" w:color="auto" w:fill="auto"/>
            <w:noWrap/>
            <w:vAlign w:val="center"/>
            <w:hideMark/>
          </w:tcPr>
          <w:p w14:paraId="6A37B066" w14:textId="5B6C6DC6" w:rsidR="000E2D2B" w:rsidRPr="006F0063" w:rsidRDefault="00007821" w:rsidP="004822B2">
            <w:pPr>
              <w:keepNext/>
              <w:keepLines/>
              <w:jc w:val="center"/>
              <w:rPr>
                <w:rFonts w:eastAsia="Microsoft YaHei" w:cs="Calibri"/>
                <w:color w:val="000000"/>
                <w:highlight w:val="black"/>
              </w:rPr>
            </w:pPr>
            <w:r w:rsidRPr="006F0063">
              <w:rPr>
                <w:rFonts w:eastAsia="Microsoft YaHei" w:cs="Calibri"/>
                <w:color w:val="000000"/>
                <w:highlight w:val="black"/>
              </w:rPr>
              <w:t>**%</w:t>
            </w:r>
          </w:p>
        </w:tc>
        <w:tc>
          <w:tcPr>
            <w:tcW w:w="0" w:type="auto"/>
            <w:shd w:val="clear" w:color="auto" w:fill="auto"/>
            <w:noWrap/>
            <w:vAlign w:val="center"/>
            <w:hideMark/>
          </w:tcPr>
          <w:p w14:paraId="75772D1E" w14:textId="73F35C5C" w:rsidR="000E2D2B" w:rsidRPr="006F0063" w:rsidRDefault="00007821" w:rsidP="004822B2">
            <w:pPr>
              <w:keepNext/>
              <w:keepLines/>
              <w:jc w:val="center"/>
              <w:rPr>
                <w:rFonts w:eastAsia="Microsoft YaHei" w:cs="Calibri"/>
                <w:color w:val="000000"/>
                <w:highlight w:val="black"/>
              </w:rPr>
            </w:pPr>
            <w:r w:rsidRPr="006F0063">
              <w:rPr>
                <w:rFonts w:eastAsia="Microsoft YaHei" w:cs="Calibri"/>
                <w:color w:val="000000"/>
                <w:highlight w:val="black"/>
              </w:rPr>
              <w:t>**%</w:t>
            </w:r>
          </w:p>
        </w:tc>
      </w:tr>
      <w:tr w:rsidR="000E2D2B" w:rsidRPr="000E2D2B" w14:paraId="7F0DBD51" w14:textId="77777777" w:rsidTr="0087555D">
        <w:trPr>
          <w:trHeight w:val="300"/>
          <w:jc w:val="center"/>
        </w:trPr>
        <w:tc>
          <w:tcPr>
            <w:tcW w:w="0" w:type="auto"/>
            <w:shd w:val="clear" w:color="auto" w:fill="auto"/>
            <w:noWrap/>
            <w:vAlign w:val="center"/>
            <w:hideMark/>
          </w:tcPr>
          <w:p w14:paraId="7A77B69C" w14:textId="77777777" w:rsidR="000E2D2B" w:rsidRPr="000E2D2B" w:rsidRDefault="000E2D2B" w:rsidP="004822B2">
            <w:pPr>
              <w:keepNext/>
              <w:keepLines/>
              <w:jc w:val="left"/>
              <w:rPr>
                <w:rFonts w:eastAsia="Microsoft YaHei" w:cs="Calibri"/>
                <w:color w:val="000000"/>
              </w:rPr>
            </w:pPr>
            <w:r w:rsidRPr="000E2D2B">
              <w:rPr>
                <w:rFonts w:eastAsia="Microsoft YaHei" w:cs="Calibri"/>
                <w:color w:val="000000"/>
              </w:rPr>
              <w:t>Industrial</w:t>
            </w:r>
          </w:p>
        </w:tc>
        <w:tc>
          <w:tcPr>
            <w:tcW w:w="0" w:type="auto"/>
            <w:shd w:val="clear" w:color="auto" w:fill="auto"/>
            <w:noWrap/>
            <w:vAlign w:val="center"/>
            <w:hideMark/>
          </w:tcPr>
          <w:p w14:paraId="5DA57B93" w14:textId="77777777" w:rsidR="000E2D2B" w:rsidRPr="000E2D2B" w:rsidRDefault="000E2D2B" w:rsidP="004822B2">
            <w:pPr>
              <w:keepNext/>
              <w:keepLines/>
              <w:jc w:val="left"/>
              <w:rPr>
                <w:rFonts w:eastAsia="Microsoft YaHei" w:cs="Calibri"/>
                <w:color w:val="000000"/>
              </w:rPr>
            </w:pPr>
            <w:r w:rsidRPr="000E2D2B">
              <w:rPr>
                <w:rFonts w:eastAsia="Microsoft YaHei" w:cs="Calibri"/>
                <w:color w:val="000000"/>
              </w:rPr>
              <w:t>Brake Manufacturing</w:t>
            </w:r>
          </w:p>
        </w:tc>
        <w:tc>
          <w:tcPr>
            <w:tcW w:w="0" w:type="auto"/>
            <w:shd w:val="clear" w:color="auto" w:fill="auto"/>
            <w:noWrap/>
            <w:vAlign w:val="center"/>
            <w:hideMark/>
          </w:tcPr>
          <w:p w14:paraId="3082AED0" w14:textId="6A8969EE" w:rsidR="000E2D2B" w:rsidRPr="006F0063" w:rsidRDefault="00007821" w:rsidP="004822B2">
            <w:pPr>
              <w:keepNext/>
              <w:keepLines/>
              <w:jc w:val="center"/>
              <w:rPr>
                <w:rFonts w:eastAsia="Microsoft YaHei" w:cs="Calibri"/>
                <w:color w:val="000000"/>
                <w:highlight w:val="black"/>
              </w:rPr>
            </w:pPr>
            <w:r w:rsidRPr="006F0063">
              <w:rPr>
                <w:rFonts w:eastAsia="Microsoft YaHei" w:cs="Calibri"/>
                <w:color w:val="000000"/>
                <w:highlight w:val="black"/>
              </w:rPr>
              <w:t>**%</w:t>
            </w:r>
          </w:p>
        </w:tc>
        <w:tc>
          <w:tcPr>
            <w:tcW w:w="0" w:type="auto"/>
            <w:shd w:val="clear" w:color="auto" w:fill="auto"/>
            <w:noWrap/>
            <w:vAlign w:val="center"/>
            <w:hideMark/>
          </w:tcPr>
          <w:p w14:paraId="2079376F" w14:textId="1BD50DCF" w:rsidR="000E2D2B" w:rsidRPr="006F0063" w:rsidRDefault="00007821" w:rsidP="004822B2">
            <w:pPr>
              <w:keepNext/>
              <w:keepLines/>
              <w:jc w:val="center"/>
              <w:rPr>
                <w:rFonts w:eastAsia="Microsoft YaHei" w:cs="Calibri"/>
                <w:color w:val="000000"/>
                <w:highlight w:val="black"/>
              </w:rPr>
            </w:pPr>
            <w:r w:rsidRPr="006F0063">
              <w:rPr>
                <w:rFonts w:eastAsia="Microsoft YaHei" w:cs="Calibri"/>
                <w:color w:val="000000"/>
                <w:highlight w:val="black"/>
              </w:rPr>
              <w:t>**%</w:t>
            </w:r>
          </w:p>
        </w:tc>
        <w:tc>
          <w:tcPr>
            <w:tcW w:w="0" w:type="auto"/>
            <w:shd w:val="clear" w:color="auto" w:fill="auto"/>
            <w:noWrap/>
            <w:vAlign w:val="center"/>
            <w:hideMark/>
          </w:tcPr>
          <w:p w14:paraId="655056F1" w14:textId="27DC09AD" w:rsidR="000E2D2B" w:rsidRPr="006F0063" w:rsidRDefault="00007821" w:rsidP="004822B2">
            <w:pPr>
              <w:keepNext/>
              <w:keepLines/>
              <w:jc w:val="center"/>
              <w:rPr>
                <w:rFonts w:eastAsia="Microsoft YaHei" w:cs="Calibri"/>
                <w:color w:val="000000"/>
                <w:highlight w:val="black"/>
              </w:rPr>
            </w:pPr>
            <w:r w:rsidRPr="006F0063">
              <w:rPr>
                <w:rFonts w:eastAsia="Microsoft YaHei" w:cs="Calibri"/>
                <w:color w:val="000000"/>
                <w:highlight w:val="black"/>
              </w:rPr>
              <w:t>**%</w:t>
            </w:r>
          </w:p>
        </w:tc>
      </w:tr>
      <w:tr w:rsidR="000E2D2B" w:rsidRPr="000E2D2B" w14:paraId="508680E1" w14:textId="77777777" w:rsidTr="0087555D">
        <w:trPr>
          <w:trHeight w:val="300"/>
          <w:jc w:val="center"/>
        </w:trPr>
        <w:tc>
          <w:tcPr>
            <w:tcW w:w="0" w:type="auto"/>
            <w:shd w:val="clear" w:color="auto" w:fill="auto"/>
            <w:noWrap/>
            <w:vAlign w:val="center"/>
            <w:hideMark/>
          </w:tcPr>
          <w:p w14:paraId="157808EF" w14:textId="77777777" w:rsidR="000E2D2B" w:rsidRPr="000E2D2B" w:rsidRDefault="000E2D2B" w:rsidP="004822B2">
            <w:pPr>
              <w:keepNext/>
              <w:keepLines/>
              <w:jc w:val="left"/>
              <w:rPr>
                <w:rFonts w:eastAsia="Microsoft YaHei" w:cs="Calibri"/>
                <w:color w:val="000000"/>
              </w:rPr>
            </w:pPr>
            <w:r w:rsidRPr="000E2D2B">
              <w:rPr>
                <w:rFonts w:eastAsia="Microsoft YaHei" w:cs="Calibri"/>
                <w:color w:val="000000"/>
              </w:rPr>
              <w:t>Industrial</w:t>
            </w:r>
          </w:p>
        </w:tc>
        <w:tc>
          <w:tcPr>
            <w:tcW w:w="0" w:type="auto"/>
            <w:shd w:val="clear" w:color="auto" w:fill="auto"/>
            <w:noWrap/>
            <w:vAlign w:val="center"/>
            <w:hideMark/>
          </w:tcPr>
          <w:p w14:paraId="38FB74EB" w14:textId="77777777" w:rsidR="000E2D2B" w:rsidRPr="000E2D2B" w:rsidRDefault="000E2D2B" w:rsidP="004822B2">
            <w:pPr>
              <w:keepNext/>
              <w:keepLines/>
              <w:jc w:val="left"/>
              <w:rPr>
                <w:rFonts w:eastAsia="Microsoft YaHei" w:cs="Calibri"/>
                <w:color w:val="000000"/>
              </w:rPr>
            </w:pPr>
            <w:r w:rsidRPr="000E2D2B">
              <w:rPr>
                <w:rFonts w:eastAsia="Microsoft YaHei" w:cs="Calibri"/>
                <w:color w:val="000000"/>
              </w:rPr>
              <w:t xml:space="preserve">Medical </w:t>
            </w:r>
            <w:proofErr w:type="spellStart"/>
            <w:r w:rsidRPr="000E2D2B">
              <w:rPr>
                <w:rFonts w:eastAsia="Microsoft YaHei" w:cs="Calibri"/>
                <w:color w:val="000000"/>
              </w:rPr>
              <w:t>Microb</w:t>
            </w:r>
            <w:proofErr w:type="spellEnd"/>
            <w:r w:rsidRPr="000E2D2B">
              <w:rPr>
                <w:rFonts w:eastAsia="Microsoft YaHei" w:cs="Calibri"/>
                <w:color w:val="000000"/>
              </w:rPr>
              <w:t xml:space="preserve"> Manufacturer</w:t>
            </w:r>
          </w:p>
        </w:tc>
        <w:tc>
          <w:tcPr>
            <w:tcW w:w="0" w:type="auto"/>
            <w:shd w:val="clear" w:color="auto" w:fill="auto"/>
            <w:noWrap/>
            <w:vAlign w:val="center"/>
            <w:hideMark/>
          </w:tcPr>
          <w:p w14:paraId="21C128C6" w14:textId="3A9956D1" w:rsidR="000E2D2B" w:rsidRPr="006F0063" w:rsidRDefault="00007821" w:rsidP="004822B2">
            <w:pPr>
              <w:keepNext/>
              <w:keepLines/>
              <w:jc w:val="center"/>
              <w:rPr>
                <w:rFonts w:eastAsia="Microsoft YaHei" w:cs="Calibri"/>
                <w:color w:val="000000"/>
                <w:highlight w:val="black"/>
              </w:rPr>
            </w:pPr>
            <w:r w:rsidRPr="006F0063">
              <w:rPr>
                <w:rFonts w:eastAsia="Microsoft YaHei" w:cs="Calibri"/>
                <w:color w:val="000000"/>
                <w:highlight w:val="black"/>
              </w:rPr>
              <w:t>**%</w:t>
            </w:r>
          </w:p>
        </w:tc>
        <w:tc>
          <w:tcPr>
            <w:tcW w:w="0" w:type="auto"/>
            <w:shd w:val="clear" w:color="auto" w:fill="auto"/>
            <w:noWrap/>
            <w:vAlign w:val="center"/>
            <w:hideMark/>
          </w:tcPr>
          <w:p w14:paraId="0A45FFC3" w14:textId="4EDE4F8A" w:rsidR="000E2D2B" w:rsidRPr="006F0063" w:rsidRDefault="00007821" w:rsidP="004822B2">
            <w:pPr>
              <w:keepNext/>
              <w:keepLines/>
              <w:jc w:val="center"/>
              <w:rPr>
                <w:rFonts w:eastAsia="Microsoft YaHei" w:cs="Calibri"/>
                <w:color w:val="000000"/>
                <w:highlight w:val="black"/>
              </w:rPr>
            </w:pPr>
            <w:r w:rsidRPr="006F0063">
              <w:rPr>
                <w:rFonts w:eastAsia="Microsoft YaHei" w:cs="Calibri"/>
                <w:color w:val="000000"/>
                <w:highlight w:val="black"/>
              </w:rPr>
              <w:t>**%</w:t>
            </w:r>
          </w:p>
        </w:tc>
        <w:tc>
          <w:tcPr>
            <w:tcW w:w="0" w:type="auto"/>
            <w:shd w:val="clear" w:color="auto" w:fill="auto"/>
            <w:noWrap/>
            <w:vAlign w:val="center"/>
            <w:hideMark/>
          </w:tcPr>
          <w:p w14:paraId="3A71886C" w14:textId="5AC9017A" w:rsidR="000E2D2B" w:rsidRPr="006F0063" w:rsidRDefault="00007821" w:rsidP="004822B2">
            <w:pPr>
              <w:keepNext/>
              <w:keepLines/>
              <w:jc w:val="center"/>
              <w:rPr>
                <w:rFonts w:eastAsia="Microsoft YaHei" w:cs="Calibri"/>
                <w:color w:val="000000"/>
                <w:highlight w:val="black"/>
              </w:rPr>
            </w:pPr>
            <w:r w:rsidRPr="006F0063">
              <w:rPr>
                <w:rFonts w:eastAsia="Microsoft YaHei" w:cs="Calibri"/>
                <w:color w:val="000000"/>
                <w:highlight w:val="black"/>
              </w:rPr>
              <w:t>**%</w:t>
            </w:r>
          </w:p>
        </w:tc>
      </w:tr>
      <w:tr w:rsidR="000E2D2B" w:rsidRPr="000E2D2B" w14:paraId="1BBD379D" w14:textId="77777777" w:rsidTr="0087555D">
        <w:trPr>
          <w:trHeight w:val="300"/>
          <w:jc w:val="center"/>
        </w:trPr>
        <w:tc>
          <w:tcPr>
            <w:tcW w:w="0" w:type="auto"/>
            <w:shd w:val="clear" w:color="auto" w:fill="auto"/>
            <w:noWrap/>
            <w:vAlign w:val="center"/>
            <w:hideMark/>
          </w:tcPr>
          <w:p w14:paraId="6AFEA8D0" w14:textId="77777777" w:rsidR="000E2D2B" w:rsidRPr="000E2D2B" w:rsidRDefault="000E2D2B" w:rsidP="004822B2">
            <w:pPr>
              <w:keepNext/>
              <w:keepLines/>
              <w:jc w:val="left"/>
              <w:rPr>
                <w:rFonts w:eastAsia="Microsoft YaHei" w:cs="Calibri"/>
                <w:color w:val="000000"/>
              </w:rPr>
            </w:pPr>
            <w:r w:rsidRPr="000E2D2B">
              <w:rPr>
                <w:rFonts w:eastAsia="Microsoft YaHei" w:cs="Calibri"/>
                <w:color w:val="000000"/>
              </w:rPr>
              <w:t>Industrial</w:t>
            </w:r>
          </w:p>
        </w:tc>
        <w:tc>
          <w:tcPr>
            <w:tcW w:w="0" w:type="auto"/>
            <w:shd w:val="clear" w:color="auto" w:fill="auto"/>
            <w:noWrap/>
            <w:vAlign w:val="center"/>
            <w:hideMark/>
          </w:tcPr>
          <w:p w14:paraId="469F3304" w14:textId="77777777" w:rsidR="000E2D2B" w:rsidRPr="000E2D2B" w:rsidRDefault="000E2D2B" w:rsidP="004822B2">
            <w:pPr>
              <w:keepNext/>
              <w:keepLines/>
              <w:jc w:val="left"/>
              <w:rPr>
                <w:rFonts w:eastAsia="Microsoft YaHei" w:cs="Calibri"/>
              </w:rPr>
            </w:pPr>
            <w:r w:rsidRPr="000E2D2B">
              <w:rPr>
                <w:rFonts w:eastAsia="Microsoft YaHei" w:cs="Calibri"/>
              </w:rPr>
              <w:t>Solar Manufacturer</w:t>
            </w:r>
          </w:p>
        </w:tc>
        <w:tc>
          <w:tcPr>
            <w:tcW w:w="0" w:type="auto"/>
            <w:shd w:val="clear" w:color="auto" w:fill="auto"/>
            <w:noWrap/>
            <w:vAlign w:val="center"/>
            <w:hideMark/>
          </w:tcPr>
          <w:p w14:paraId="6474F93E" w14:textId="72778B50" w:rsidR="000E2D2B" w:rsidRPr="006F0063" w:rsidRDefault="00007821" w:rsidP="004822B2">
            <w:pPr>
              <w:keepNext/>
              <w:keepLines/>
              <w:jc w:val="center"/>
              <w:rPr>
                <w:rFonts w:eastAsia="Microsoft YaHei" w:cs="Calibri"/>
                <w:highlight w:val="black"/>
              </w:rPr>
            </w:pPr>
            <w:r w:rsidRPr="006F0063">
              <w:rPr>
                <w:rFonts w:eastAsia="Microsoft YaHei" w:cs="Calibri"/>
                <w:color w:val="000000"/>
                <w:highlight w:val="black"/>
              </w:rPr>
              <w:t>**%</w:t>
            </w:r>
          </w:p>
        </w:tc>
        <w:tc>
          <w:tcPr>
            <w:tcW w:w="0" w:type="auto"/>
            <w:shd w:val="clear" w:color="auto" w:fill="auto"/>
            <w:noWrap/>
            <w:vAlign w:val="center"/>
            <w:hideMark/>
          </w:tcPr>
          <w:p w14:paraId="768AA2BA" w14:textId="456C7C6E" w:rsidR="000E2D2B" w:rsidRPr="006F0063" w:rsidRDefault="00007821" w:rsidP="004822B2">
            <w:pPr>
              <w:keepNext/>
              <w:keepLines/>
              <w:jc w:val="center"/>
              <w:rPr>
                <w:rFonts w:eastAsia="Microsoft YaHei" w:cs="Calibri"/>
                <w:highlight w:val="black"/>
              </w:rPr>
            </w:pPr>
            <w:r w:rsidRPr="006F0063">
              <w:rPr>
                <w:rFonts w:eastAsia="Microsoft YaHei" w:cs="Calibri"/>
                <w:color w:val="000000"/>
                <w:highlight w:val="black"/>
              </w:rPr>
              <w:t>**%</w:t>
            </w:r>
          </w:p>
        </w:tc>
        <w:tc>
          <w:tcPr>
            <w:tcW w:w="0" w:type="auto"/>
            <w:shd w:val="clear" w:color="auto" w:fill="auto"/>
            <w:noWrap/>
            <w:vAlign w:val="center"/>
            <w:hideMark/>
          </w:tcPr>
          <w:p w14:paraId="3F91A64B" w14:textId="24462D29" w:rsidR="000E2D2B" w:rsidRPr="006F0063" w:rsidRDefault="00007821" w:rsidP="004822B2">
            <w:pPr>
              <w:keepNext/>
              <w:keepLines/>
              <w:jc w:val="center"/>
              <w:rPr>
                <w:rFonts w:eastAsia="Microsoft YaHei" w:cs="Calibri"/>
                <w:highlight w:val="black"/>
              </w:rPr>
            </w:pPr>
            <w:r w:rsidRPr="006F0063">
              <w:rPr>
                <w:rFonts w:eastAsia="Microsoft YaHei" w:cs="Calibri"/>
                <w:color w:val="000000"/>
                <w:highlight w:val="black"/>
              </w:rPr>
              <w:t>**%</w:t>
            </w:r>
          </w:p>
        </w:tc>
      </w:tr>
      <w:tr w:rsidR="000E2D2B" w:rsidRPr="000E2D2B" w14:paraId="0B47C87C" w14:textId="77777777" w:rsidTr="0087555D">
        <w:trPr>
          <w:trHeight w:val="300"/>
          <w:jc w:val="center"/>
        </w:trPr>
        <w:tc>
          <w:tcPr>
            <w:tcW w:w="0" w:type="auto"/>
            <w:shd w:val="clear" w:color="auto" w:fill="auto"/>
            <w:noWrap/>
            <w:vAlign w:val="center"/>
            <w:hideMark/>
          </w:tcPr>
          <w:p w14:paraId="5B302754" w14:textId="77777777" w:rsidR="000E2D2B" w:rsidRPr="000E2D2B" w:rsidRDefault="000E2D2B" w:rsidP="004822B2">
            <w:pPr>
              <w:keepNext/>
              <w:keepLines/>
              <w:jc w:val="left"/>
              <w:rPr>
                <w:rFonts w:eastAsia="Microsoft YaHei" w:cs="Calibri"/>
                <w:color w:val="000000"/>
              </w:rPr>
            </w:pPr>
            <w:r w:rsidRPr="000E2D2B">
              <w:rPr>
                <w:rFonts w:eastAsia="Microsoft YaHei" w:cs="Calibri"/>
                <w:color w:val="000000"/>
              </w:rPr>
              <w:t>Industrial</w:t>
            </w:r>
          </w:p>
        </w:tc>
        <w:tc>
          <w:tcPr>
            <w:tcW w:w="0" w:type="auto"/>
            <w:shd w:val="clear" w:color="auto" w:fill="auto"/>
            <w:noWrap/>
            <w:vAlign w:val="center"/>
            <w:hideMark/>
          </w:tcPr>
          <w:p w14:paraId="6161A4CB" w14:textId="77777777" w:rsidR="000E2D2B" w:rsidRPr="000E2D2B" w:rsidRDefault="000E2D2B" w:rsidP="004822B2">
            <w:pPr>
              <w:keepNext/>
              <w:keepLines/>
              <w:jc w:val="left"/>
              <w:rPr>
                <w:rFonts w:eastAsia="Microsoft YaHei" w:cs="Calibri"/>
                <w:color w:val="000000"/>
              </w:rPr>
            </w:pPr>
            <w:r w:rsidRPr="000E2D2B">
              <w:rPr>
                <w:rFonts w:eastAsia="Microsoft YaHei" w:cs="Calibri"/>
                <w:color w:val="000000"/>
              </w:rPr>
              <w:t>Housing</w:t>
            </w:r>
          </w:p>
        </w:tc>
        <w:tc>
          <w:tcPr>
            <w:tcW w:w="0" w:type="auto"/>
            <w:shd w:val="clear" w:color="auto" w:fill="auto"/>
            <w:noWrap/>
            <w:vAlign w:val="center"/>
            <w:hideMark/>
          </w:tcPr>
          <w:p w14:paraId="79FBF36F" w14:textId="48977BA8" w:rsidR="000E2D2B" w:rsidRPr="006F0063" w:rsidRDefault="00007821" w:rsidP="004822B2">
            <w:pPr>
              <w:keepNext/>
              <w:keepLines/>
              <w:jc w:val="center"/>
              <w:rPr>
                <w:rFonts w:eastAsia="Microsoft YaHei" w:cs="Calibri"/>
                <w:highlight w:val="black"/>
              </w:rPr>
            </w:pPr>
            <w:r w:rsidRPr="006F0063">
              <w:rPr>
                <w:rFonts w:eastAsia="Microsoft YaHei" w:cs="Calibri"/>
                <w:color w:val="000000"/>
                <w:highlight w:val="black"/>
              </w:rPr>
              <w:t>**%</w:t>
            </w:r>
          </w:p>
        </w:tc>
        <w:tc>
          <w:tcPr>
            <w:tcW w:w="0" w:type="auto"/>
            <w:shd w:val="clear" w:color="auto" w:fill="auto"/>
            <w:noWrap/>
            <w:vAlign w:val="center"/>
            <w:hideMark/>
          </w:tcPr>
          <w:p w14:paraId="51B6D48C" w14:textId="76AB6400" w:rsidR="000E2D2B" w:rsidRPr="006F0063" w:rsidRDefault="00007821" w:rsidP="004822B2">
            <w:pPr>
              <w:keepNext/>
              <w:keepLines/>
              <w:jc w:val="center"/>
              <w:rPr>
                <w:rFonts w:eastAsia="Microsoft YaHei" w:cs="Calibri"/>
                <w:highlight w:val="black"/>
              </w:rPr>
            </w:pPr>
            <w:r w:rsidRPr="006F0063">
              <w:rPr>
                <w:rFonts w:eastAsia="Microsoft YaHei" w:cs="Calibri"/>
                <w:color w:val="000000"/>
                <w:highlight w:val="black"/>
              </w:rPr>
              <w:t>**%</w:t>
            </w:r>
          </w:p>
        </w:tc>
        <w:tc>
          <w:tcPr>
            <w:tcW w:w="0" w:type="auto"/>
            <w:shd w:val="clear" w:color="auto" w:fill="auto"/>
            <w:noWrap/>
            <w:vAlign w:val="center"/>
            <w:hideMark/>
          </w:tcPr>
          <w:p w14:paraId="6E04D600" w14:textId="4C7E065F" w:rsidR="000E2D2B" w:rsidRPr="006F0063" w:rsidRDefault="00007821" w:rsidP="004822B2">
            <w:pPr>
              <w:keepNext/>
              <w:keepLines/>
              <w:jc w:val="center"/>
              <w:rPr>
                <w:rFonts w:eastAsia="Microsoft YaHei" w:cs="Calibri"/>
                <w:highlight w:val="black"/>
              </w:rPr>
            </w:pPr>
            <w:r w:rsidRPr="006F0063">
              <w:rPr>
                <w:rFonts w:eastAsia="Microsoft YaHei" w:cs="Calibri"/>
                <w:color w:val="000000"/>
                <w:highlight w:val="black"/>
              </w:rPr>
              <w:t>**%</w:t>
            </w:r>
          </w:p>
        </w:tc>
      </w:tr>
      <w:tr w:rsidR="000E2D2B" w:rsidRPr="000E2D2B" w14:paraId="4584C403" w14:textId="77777777" w:rsidTr="0087555D">
        <w:trPr>
          <w:trHeight w:val="300"/>
          <w:jc w:val="center"/>
        </w:trPr>
        <w:tc>
          <w:tcPr>
            <w:tcW w:w="0" w:type="auto"/>
            <w:shd w:val="clear" w:color="auto" w:fill="auto"/>
            <w:noWrap/>
            <w:vAlign w:val="center"/>
            <w:hideMark/>
          </w:tcPr>
          <w:p w14:paraId="2E401EB0" w14:textId="77777777" w:rsidR="000E2D2B" w:rsidRPr="000E2D2B" w:rsidRDefault="000E2D2B" w:rsidP="004822B2">
            <w:pPr>
              <w:keepNext/>
              <w:keepLines/>
              <w:jc w:val="left"/>
              <w:rPr>
                <w:rFonts w:eastAsia="Microsoft YaHei" w:cs="Calibri"/>
                <w:color w:val="000000"/>
              </w:rPr>
            </w:pPr>
            <w:r w:rsidRPr="000E2D2B">
              <w:rPr>
                <w:rFonts w:eastAsia="Microsoft YaHei" w:cs="Calibri"/>
                <w:color w:val="000000"/>
              </w:rPr>
              <w:t>Industrial</w:t>
            </w:r>
          </w:p>
        </w:tc>
        <w:tc>
          <w:tcPr>
            <w:tcW w:w="0" w:type="auto"/>
            <w:shd w:val="clear" w:color="auto" w:fill="auto"/>
            <w:noWrap/>
            <w:vAlign w:val="center"/>
            <w:hideMark/>
          </w:tcPr>
          <w:p w14:paraId="6CE60613" w14:textId="77777777" w:rsidR="000E2D2B" w:rsidRPr="000E2D2B" w:rsidRDefault="000E2D2B" w:rsidP="004822B2">
            <w:pPr>
              <w:keepNext/>
              <w:keepLines/>
              <w:jc w:val="left"/>
              <w:rPr>
                <w:rFonts w:eastAsia="Microsoft YaHei" w:cs="Calibri"/>
                <w:color w:val="000000"/>
              </w:rPr>
            </w:pPr>
            <w:r w:rsidRPr="000E2D2B">
              <w:rPr>
                <w:rFonts w:eastAsia="Microsoft YaHei" w:cs="Calibri"/>
                <w:color w:val="000000"/>
              </w:rPr>
              <w:t>HS Manufacturer</w:t>
            </w:r>
          </w:p>
        </w:tc>
        <w:tc>
          <w:tcPr>
            <w:tcW w:w="0" w:type="auto"/>
            <w:shd w:val="clear" w:color="auto" w:fill="auto"/>
            <w:noWrap/>
            <w:vAlign w:val="center"/>
            <w:hideMark/>
          </w:tcPr>
          <w:p w14:paraId="4F83F353" w14:textId="238281EA" w:rsidR="000E2D2B" w:rsidRPr="006F0063" w:rsidRDefault="00007821" w:rsidP="004822B2">
            <w:pPr>
              <w:keepNext/>
              <w:keepLines/>
              <w:jc w:val="center"/>
              <w:rPr>
                <w:rFonts w:eastAsia="Microsoft YaHei" w:cs="Calibri"/>
                <w:highlight w:val="black"/>
              </w:rPr>
            </w:pPr>
            <w:r w:rsidRPr="006F0063">
              <w:rPr>
                <w:rFonts w:eastAsia="Microsoft YaHei" w:cs="Calibri"/>
                <w:color w:val="000000"/>
                <w:highlight w:val="black"/>
              </w:rPr>
              <w:t>**%</w:t>
            </w:r>
          </w:p>
        </w:tc>
        <w:tc>
          <w:tcPr>
            <w:tcW w:w="0" w:type="auto"/>
            <w:shd w:val="clear" w:color="auto" w:fill="auto"/>
            <w:noWrap/>
            <w:vAlign w:val="center"/>
            <w:hideMark/>
          </w:tcPr>
          <w:p w14:paraId="141A8AB3" w14:textId="3F5808E9" w:rsidR="000E2D2B" w:rsidRPr="006F0063" w:rsidRDefault="00007821" w:rsidP="004822B2">
            <w:pPr>
              <w:keepNext/>
              <w:keepLines/>
              <w:jc w:val="center"/>
              <w:rPr>
                <w:rFonts w:eastAsia="Microsoft YaHei" w:cs="Calibri"/>
                <w:highlight w:val="black"/>
              </w:rPr>
            </w:pPr>
            <w:r w:rsidRPr="006F0063">
              <w:rPr>
                <w:rFonts w:eastAsia="Microsoft YaHei" w:cs="Calibri"/>
                <w:color w:val="000000"/>
                <w:highlight w:val="black"/>
              </w:rPr>
              <w:t>**%</w:t>
            </w:r>
          </w:p>
        </w:tc>
        <w:tc>
          <w:tcPr>
            <w:tcW w:w="0" w:type="auto"/>
            <w:shd w:val="clear" w:color="auto" w:fill="auto"/>
            <w:noWrap/>
            <w:vAlign w:val="center"/>
            <w:hideMark/>
          </w:tcPr>
          <w:p w14:paraId="5947BCCF" w14:textId="5E71E19C" w:rsidR="000E2D2B" w:rsidRPr="006F0063" w:rsidRDefault="00007821" w:rsidP="004822B2">
            <w:pPr>
              <w:keepNext/>
              <w:keepLines/>
              <w:jc w:val="center"/>
              <w:rPr>
                <w:rFonts w:eastAsia="Microsoft YaHei" w:cs="Calibri"/>
                <w:highlight w:val="black"/>
              </w:rPr>
            </w:pPr>
            <w:r w:rsidRPr="006F0063">
              <w:rPr>
                <w:rFonts w:eastAsia="Microsoft YaHei" w:cs="Calibri"/>
                <w:color w:val="000000"/>
                <w:highlight w:val="black"/>
              </w:rPr>
              <w:t>**%</w:t>
            </w:r>
          </w:p>
        </w:tc>
      </w:tr>
      <w:tr w:rsidR="000E2D2B" w:rsidRPr="000E2D2B" w14:paraId="5B4BBDCE" w14:textId="77777777" w:rsidTr="0087555D">
        <w:trPr>
          <w:trHeight w:val="300"/>
          <w:jc w:val="center"/>
        </w:trPr>
        <w:tc>
          <w:tcPr>
            <w:tcW w:w="0" w:type="auto"/>
            <w:shd w:val="clear" w:color="auto" w:fill="auto"/>
            <w:noWrap/>
            <w:vAlign w:val="center"/>
            <w:hideMark/>
          </w:tcPr>
          <w:p w14:paraId="3EBD7671" w14:textId="77777777" w:rsidR="000E2D2B" w:rsidRPr="000E2D2B" w:rsidRDefault="000E2D2B" w:rsidP="004822B2">
            <w:pPr>
              <w:keepNext/>
              <w:keepLines/>
              <w:jc w:val="left"/>
              <w:rPr>
                <w:rFonts w:eastAsia="Microsoft YaHei" w:cs="Calibri"/>
                <w:color w:val="000000"/>
              </w:rPr>
            </w:pPr>
            <w:r w:rsidRPr="000E2D2B">
              <w:rPr>
                <w:rFonts w:eastAsia="Microsoft YaHei" w:cs="Calibri"/>
                <w:color w:val="000000"/>
              </w:rPr>
              <w:t>Industrial</w:t>
            </w:r>
          </w:p>
        </w:tc>
        <w:tc>
          <w:tcPr>
            <w:tcW w:w="0" w:type="auto"/>
            <w:shd w:val="clear" w:color="auto" w:fill="auto"/>
            <w:noWrap/>
            <w:vAlign w:val="center"/>
            <w:hideMark/>
          </w:tcPr>
          <w:p w14:paraId="0575B0EF" w14:textId="77777777" w:rsidR="000E2D2B" w:rsidRPr="000E2D2B" w:rsidRDefault="000E2D2B" w:rsidP="004822B2">
            <w:pPr>
              <w:keepNext/>
              <w:keepLines/>
              <w:jc w:val="left"/>
              <w:rPr>
                <w:rFonts w:eastAsia="Microsoft YaHei" w:cs="Calibri"/>
                <w:color w:val="000000"/>
              </w:rPr>
            </w:pPr>
            <w:r w:rsidRPr="000E2D2B">
              <w:rPr>
                <w:rFonts w:eastAsia="Microsoft YaHei" w:cs="Calibri"/>
                <w:color w:val="000000"/>
              </w:rPr>
              <w:t>Solar</w:t>
            </w:r>
          </w:p>
        </w:tc>
        <w:tc>
          <w:tcPr>
            <w:tcW w:w="0" w:type="auto"/>
            <w:shd w:val="clear" w:color="auto" w:fill="auto"/>
            <w:noWrap/>
            <w:vAlign w:val="center"/>
            <w:hideMark/>
          </w:tcPr>
          <w:p w14:paraId="0F11792C" w14:textId="1EE6E800" w:rsidR="000E2D2B" w:rsidRPr="006F0063" w:rsidRDefault="00007821" w:rsidP="004822B2">
            <w:pPr>
              <w:keepNext/>
              <w:keepLines/>
              <w:jc w:val="center"/>
              <w:rPr>
                <w:rFonts w:eastAsia="Microsoft YaHei" w:cs="Calibri"/>
                <w:highlight w:val="black"/>
              </w:rPr>
            </w:pPr>
            <w:r w:rsidRPr="006F0063">
              <w:rPr>
                <w:rFonts w:eastAsia="Microsoft YaHei" w:cs="Calibri"/>
                <w:color w:val="000000"/>
                <w:highlight w:val="black"/>
              </w:rPr>
              <w:t>**%</w:t>
            </w:r>
          </w:p>
        </w:tc>
        <w:tc>
          <w:tcPr>
            <w:tcW w:w="0" w:type="auto"/>
            <w:shd w:val="clear" w:color="auto" w:fill="auto"/>
            <w:noWrap/>
            <w:vAlign w:val="center"/>
            <w:hideMark/>
          </w:tcPr>
          <w:p w14:paraId="2C62573D" w14:textId="2918022F" w:rsidR="000E2D2B" w:rsidRPr="006F0063" w:rsidRDefault="00007821" w:rsidP="004822B2">
            <w:pPr>
              <w:keepNext/>
              <w:keepLines/>
              <w:jc w:val="center"/>
              <w:rPr>
                <w:rFonts w:eastAsia="Microsoft YaHei" w:cs="Calibri"/>
                <w:highlight w:val="black"/>
              </w:rPr>
            </w:pPr>
            <w:r w:rsidRPr="006F0063">
              <w:rPr>
                <w:rFonts w:eastAsia="Microsoft YaHei" w:cs="Calibri"/>
                <w:color w:val="000000"/>
                <w:highlight w:val="black"/>
              </w:rPr>
              <w:t>**%</w:t>
            </w:r>
          </w:p>
        </w:tc>
        <w:tc>
          <w:tcPr>
            <w:tcW w:w="0" w:type="auto"/>
            <w:shd w:val="clear" w:color="auto" w:fill="auto"/>
            <w:noWrap/>
            <w:vAlign w:val="center"/>
            <w:hideMark/>
          </w:tcPr>
          <w:p w14:paraId="53B99939" w14:textId="284AD4A9" w:rsidR="000E2D2B" w:rsidRPr="006F0063" w:rsidRDefault="00007821" w:rsidP="004822B2">
            <w:pPr>
              <w:keepNext/>
              <w:keepLines/>
              <w:jc w:val="center"/>
              <w:rPr>
                <w:rFonts w:eastAsia="Microsoft YaHei" w:cs="Calibri"/>
                <w:highlight w:val="black"/>
              </w:rPr>
            </w:pPr>
            <w:r w:rsidRPr="006F0063">
              <w:rPr>
                <w:rFonts w:eastAsia="Microsoft YaHei" w:cs="Calibri"/>
                <w:color w:val="000000"/>
                <w:highlight w:val="black"/>
              </w:rPr>
              <w:t>**%</w:t>
            </w:r>
          </w:p>
        </w:tc>
      </w:tr>
    </w:tbl>
    <w:p w14:paraId="4F64946D" w14:textId="3E577573" w:rsidR="005570AC" w:rsidRDefault="005570AC" w:rsidP="00123893">
      <w:pPr>
        <w:pStyle w:val="Question"/>
      </w:pPr>
      <w:r>
        <w:t>Q.</w:t>
      </w:r>
      <w:r>
        <w:tab/>
        <w:t>Are the load realization assumptions appropriate?</w:t>
      </w:r>
    </w:p>
    <w:p w14:paraId="7124A2EE" w14:textId="1F6D2096" w:rsidR="004822B2" w:rsidRDefault="005570AC" w:rsidP="00626BBA">
      <w:pPr>
        <w:pStyle w:val="Answers"/>
      </w:pPr>
      <w:r>
        <w:t>A.</w:t>
      </w:r>
      <w:r w:rsidR="004822B2">
        <w:tab/>
      </w:r>
      <w:r w:rsidR="00C80D66">
        <w:t>No</w:t>
      </w:r>
      <w:r w:rsidR="004822B2">
        <w:t xml:space="preserve">. Specifically, the assumptions associated with </w:t>
      </w:r>
      <w:r w:rsidR="004822B2" w:rsidRPr="0087555D">
        <w:t>Datacenters and Cryptocurrency</w:t>
      </w:r>
      <w:r w:rsidR="004822B2">
        <w:t xml:space="preserve"> are not appropriate. The remaining industries</w:t>
      </w:r>
      <w:r w:rsidR="00E83E6E">
        <w:t>’ assumptions are</w:t>
      </w:r>
      <w:r w:rsidR="004822B2">
        <w:t xml:space="preserve"> appropriate. </w:t>
      </w:r>
    </w:p>
    <w:p w14:paraId="056F2FA9" w14:textId="0967F2A4" w:rsidR="005570AC" w:rsidRDefault="004822B2" w:rsidP="00626BBA">
      <w:pPr>
        <w:pStyle w:val="Answers"/>
      </w:pPr>
      <w:r>
        <w:tab/>
      </w:r>
      <w:r>
        <w:tab/>
        <w:t xml:space="preserve">The Company has demonstrated that it has considered multiple iterations of values for these assumptions. In the “Assumptions” tab of the response attachments to Data Request DEA-1-4, the Company demonstrates a testing of different industry segments and </w:t>
      </w:r>
      <w:r>
        <w:lastRenderedPageBreak/>
        <w:t xml:space="preserve">different corresponding Low, Mid, and High </w:t>
      </w:r>
      <w:r w:rsidR="00E83E6E">
        <w:t>realization rates</w:t>
      </w:r>
      <w:r>
        <w:t xml:space="preserve">. Specifically, the Company has moderated the modal probability distribution from </w:t>
      </w:r>
      <w:r w:rsidR="00007821" w:rsidRPr="00007821">
        <w:rPr>
          <w:highlight w:val="black"/>
        </w:rPr>
        <w:t>***********</w:t>
      </w:r>
      <w:r>
        <w:t xml:space="preserve"> in its initial LRM version</w:t>
      </w:r>
      <w:r>
        <w:rPr>
          <w:rStyle w:val="FootnoteReference"/>
        </w:rPr>
        <w:footnoteReference w:id="41"/>
      </w:r>
      <w:r>
        <w:t xml:space="preserve"> to a modal distribution of </w:t>
      </w:r>
      <w:r w:rsidR="00007821" w:rsidRPr="00007821">
        <w:rPr>
          <w:highlight w:val="black"/>
        </w:rPr>
        <w:t>***********</w:t>
      </w:r>
      <w:r>
        <w:t xml:space="preserve"> in the final filed version</w:t>
      </w:r>
      <w:r w:rsidR="000208AA">
        <w:t xml:space="preserve"> as demonstrated in </w:t>
      </w:r>
      <w:r w:rsidR="000208AA">
        <w:fldChar w:fldCharType="begin"/>
      </w:r>
      <w:r w:rsidR="000208AA">
        <w:instrText xml:space="preserve"> REF _Ref158301115 \h </w:instrText>
      </w:r>
      <w:r w:rsidR="000208AA">
        <w:fldChar w:fldCharType="separate"/>
      </w:r>
      <w:r w:rsidR="00D01697">
        <w:t xml:space="preserve">Table </w:t>
      </w:r>
      <w:r w:rsidR="00D01697">
        <w:rPr>
          <w:noProof/>
        </w:rPr>
        <w:t>1</w:t>
      </w:r>
      <w:r w:rsidR="000208AA">
        <w:fldChar w:fldCharType="end"/>
      </w:r>
      <w:r>
        <w:t>.</w:t>
      </w:r>
      <w:r>
        <w:rPr>
          <w:rStyle w:val="FootnoteReference"/>
        </w:rPr>
        <w:footnoteReference w:id="42"/>
      </w:r>
      <w:r>
        <w:t xml:space="preserve"> This tighter distribution eliminates high rates of realization in the industry segment</w:t>
      </w:r>
      <w:r w:rsidR="00CF0DC4">
        <w:t xml:space="preserve"> to which</w:t>
      </w:r>
      <w:r>
        <w:t xml:space="preserve"> it is applied while eliminating low</w:t>
      </w:r>
      <w:r w:rsidR="00CF0DC4">
        <w:t>er</w:t>
      </w:r>
      <w:r>
        <w:t xml:space="preserve"> rates of realization. This change is reasonable</w:t>
      </w:r>
      <w:r w:rsidR="0062511C">
        <w:t xml:space="preserve"> but should continue to be monitored and tested as loads are realized</w:t>
      </w:r>
      <w:r>
        <w:t xml:space="preserve">, suggesting that within an industry, load would not materialize at a level less than </w:t>
      </w:r>
      <w:r w:rsidR="00007821" w:rsidRPr="00007821">
        <w:rPr>
          <w:highlight w:val="black"/>
        </w:rPr>
        <w:t>***</w:t>
      </w:r>
      <w:r>
        <w:t xml:space="preserve"> of the total announced load, but it also would not materialize at a level greater than </w:t>
      </w:r>
      <w:r w:rsidR="00007821" w:rsidRPr="00007821">
        <w:rPr>
          <w:highlight w:val="black"/>
        </w:rPr>
        <w:t>***</w:t>
      </w:r>
      <w:r>
        <w:t xml:space="preserve">. As a result, there is a minimum discount to each industry segment in each iteration of at least </w:t>
      </w:r>
      <w:r w:rsidR="00007821" w:rsidRPr="00007821">
        <w:rPr>
          <w:highlight w:val="black"/>
        </w:rPr>
        <w:t>***</w:t>
      </w:r>
      <w:r w:rsidR="00AD1046">
        <w:t xml:space="preserve">, for each project that receives a Project Success value of </w:t>
      </w:r>
      <w:r w:rsidR="00007821" w:rsidRPr="00007821">
        <w:rPr>
          <w:highlight w:val="black"/>
        </w:rPr>
        <w:t>*</w:t>
      </w:r>
      <w:r w:rsidR="000208AA">
        <w:t xml:space="preserve"> denoting that the project has succeeded in materializing at all</w:t>
      </w:r>
      <w:r>
        <w:t>.</w:t>
      </w:r>
      <w:r w:rsidR="00071755">
        <w:rPr>
          <w:rStyle w:val="FootnoteReference"/>
        </w:rPr>
        <w:footnoteReference w:id="43"/>
      </w:r>
      <w:r>
        <w:t xml:space="preserve"> </w:t>
      </w:r>
    </w:p>
    <w:p w14:paraId="17FE83E5" w14:textId="398BDBF0" w:rsidR="004822B2" w:rsidRDefault="004822B2" w:rsidP="00626BBA">
      <w:pPr>
        <w:pStyle w:val="Answers"/>
      </w:pPr>
      <w:r>
        <w:tab/>
      </w:r>
      <w:r>
        <w:tab/>
        <w:t xml:space="preserve">This </w:t>
      </w:r>
      <w:r w:rsidR="00E83E6E">
        <w:t>distribution of confidence is</w:t>
      </w:r>
      <w:r>
        <w:t xml:space="preserve"> not the same, however, for the Datacenter and Cryptocurrency segments. The Company argues that these industry segments have a unique operation</w:t>
      </w:r>
      <w:r w:rsidR="00E83E6E">
        <w:t>al model:</w:t>
      </w:r>
      <w:r w:rsidR="00E83E6E">
        <w:rPr>
          <w:rStyle w:val="FootnoteReference"/>
        </w:rPr>
        <w:footnoteReference w:id="44"/>
      </w:r>
      <w:r>
        <w:t xml:space="preserve"> </w:t>
      </w:r>
    </w:p>
    <w:p w14:paraId="5715D992" w14:textId="45815AC8" w:rsidR="00374882" w:rsidRDefault="004822B2" w:rsidP="00374882">
      <w:pPr>
        <w:pStyle w:val="Quote"/>
        <w:spacing w:line="480" w:lineRule="auto"/>
        <w:ind w:left="1440"/>
        <w:jc w:val="both"/>
        <w:rPr>
          <w:i w:val="0"/>
          <w:iCs w:val="0"/>
          <w:color w:val="auto"/>
          <w:sz w:val="24"/>
          <w:szCs w:val="24"/>
        </w:rPr>
      </w:pPr>
      <w:r w:rsidRPr="00E83E6E">
        <w:rPr>
          <w:i w:val="0"/>
          <w:iCs w:val="0"/>
          <w:color w:val="auto"/>
          <w:sz w:val="24"/>
          <w:szCs w:val="24"/>
        </w:rPr>
        <w:t xml:space="preserve">“Due to the continuous operation of their equipment, Cryptocurrency and Datacenters are expected to use most of their connected load. Consequently, their percentage is higher than that of other segments included in the model. In contrast, industrial segments, which do not </w:t>
      </w:r>
      <w:r w:rsidRPr="00E83E6E">
        <w:rPr>
          <w:i w:val="0"/>
          <w:iCs w:val="0"/>
          <w:color w:val="auto"/>
          <w:sz w:val="24"/>
          <w:szCs w:val="24"/>
        </w:rPr>
        <w:lastRenderedPageBreak/>
        <w:t>operate their connected load simultaneously, are assigned a lower percentage.</w:t>
      </w:r>
      <w:r w:rsidR="00374882">
        <w:rPr>
          <w:i w:val="0"/>
          <w:iCs w:val="0"/>
          <w:color w:val="auto"/>
          <w:sz w:val="24"/>
          <w:szCs w:val="24"/>
        </w:rPr>
        <w:t>”</w:t>
      </w:r>
    </w:p>
    <w:p w14:paraId="2D81BF0F" w14:textId="02F0BFF6" w:rsidR="00374882" w:rsidRDefault="00374882" w:rsidP="00374882">
      <w:pPr>
        <w:pStyle w:val="Answers"/>
      </w:pPr>
      <w:r>
        <w:tab/>
        <w:t>The Company mentions this again in hearing</w:t>
      </w:r>
      <w:r w:rsidR="000208AA">
        <w:t>:</w:t>
      </w:r>
      <w:r>
        <w:rPr>
          <w:rStyle w:val="FootnoteReference"/>
        </w:rPr>
        <w:footnoteReference w:id="45"/>
      </w:r>
    </w:p>
    <w:p w14:paraId="3AAFBA1A" w14:textId="5FC1A2F2" w:rsidR="00374882" w:rsidRDefault="00374882" w:rsidP="00374882">
      <w:pPr>
        <w:pStyle w:val="Quote"/>
        <w:spacing w:line="480" w:lineRule="auto"/>
        <w:ind w:left="1440"/>
        <w:jc w:val="both"/>
        <w:rPr>
          <w:i w:val="0"/>
          <w:iCs w:val="0"/>
          <w:color w:val="auto"/>
          <w:sz w:val="24"/>
          <w:szCs w:val="24"/>
        </w:rPr>
      </w:pPr>
      <w:r>
        <w:tab/>
      </w:r>
      <w:r w:rsidRPr="005A1275">
        <w:rPr>
          <w:i w:val="0"/>
          <w:iCs w:val="0"/>
          <w:color w:val="auto"/>
          <w:sz w:val="24"/>
          <w:szCs w:val="24"/>
        </w:rPr>
        <w:t xml:space="preserve">“…when you ask for electric service, first you list </w:t>
      </w:r>
      <w:proofErr w:type="gramStart"/>
      <w:r w:rsidRPr="005A1275">
        <w:rPr>
          <w:i w:val="0"/>
          <w:iCs w:val="0"/>
          <w:color w:val="auto"/>
          <w:sz w:val="24"/>
          <w:szCs w:val="24"/>
        </w:rPr>
        <w:t>all of</w:t>
      </w:r>
      <w:proofErr w:type="gramEnd"/>
      <w:r w:rsidRPr="005A1275">
        <w:rPr>
          <w:i w:val="0"/>
          <w:iCs w:val="0"/>
          <w:color w:val="auto"/>
          <w:sz w:val="24"/>
          <w:szCs w:val="24"/>
        </w:rPr>
        <w:t xml:space="preserve"> the </w:t>
      </w:r>
      <w:proofErr w:type="spellStart"/>
      <w:r w:rsidRPr="005A1275">
        <w:rPr>
          <w:i w:val="0"/>
          <w:iCs w:val="0"/>
          <w:color w:val="auto"/>
          <w:sz w:val="24"/>
          <w:szCs w:val="24"/>
        </w:rPr>
        <w:t>equipments</w:t>
      </w:r>
      <w:proofErr w:type="spellEnd"/>
      <w:r w:rsidRPr="005A1275">
        <w:rPr>
          <w:i w:val="0"/>
          <w:iCs w:val="0"/>
          <w:color w:val="auto"/>
          <w:sz w:val="24"/>
          <w:szCs w:val="24"/>
        </w:rPr>
        <w:t xml:space="preserve"> that are behind the meter. Think about an industry that has motors, that has</w:t>
      </w:r>
      <w:r>
        <w:rPr>
          <w:i w:val="0"/>
          <w:iCs w:val="0"/>
          <w:color w:val="auto"/>
          <w:sz w:val="24"/>
          <w:szCs w:val="24"/>
        </w:rPr>
        <w:t xml:space="preserve"> </w:t>
      </w:r>
      <w:r w:rsidRPr="005A1275">
        <w:rPr>
          <w:i w:val="0"/>
          <w:iCs w:val="0"/>
          <w:color w:val="auto"/>
          <w:sz w:val="24"/>
          <w:szCs w:val="24"/>
        </w:rPr>
        <w:t>heaters, it has lighting; right?</w:t>
      </w:r>
      <w:r>
        <w:rPr>
          <w:i w:val="0"/>
          <w:iCs w:val="0"/>
          <w:color w:val="auto"/>
          <w:sz w:val="24"/>
          <w:szCs w:val="24"/>
        </w:rPr>
        <w:t xml:space="preserve"> </w:t>
      </w:r>
      <w:r w:rsidRPr="005D0D6A">
        <w:rPr>
          <w:i w:val="0"/>
          <w:iCs w:val="0"/>
          <w:color w:val="auto"/>
          <w:sz w:val="24"/>
          <w:szCs w:val="24"/>
        </w:rPr>
        <w:t>When they operate, they don't use every single device at the same time. They use something lower. That diversity in the usage is what we need to consider</w:t>
      </w:r>
      <w:r>
        <w:rPr>
          <w:i w:val="0"/>
          <w:iCs w:val="0"/>
          <w:color w:val="auto"/>
          <w:sz w:val="24"/>
          <w:szCs w:val="24"/>
        </w:rPr>
        <w:t>…</w:t>
      </w:r>
      <w:r w:rsidRPr="005D0D6A">
        <w:rPr>
          <w:i w:val="0"/>
          <w:iCs w:val="0"/>
          <w:color w:val="auto"/>
          <w:sz w:val="24"/>
          <w:szCs w:val="24"/>
        </w:rPr>
        <w:t>for serving the load. And that number is coming as a portfolio and it's not something we can break down.</w:t>
      </w:r>
      <w:r>
        <w:rPr>
          <w:i w:val="0"/>
          <w:iCs w:val="0"/>
          <w:color w:val="auto"/>
          <w:sz w:val="24"/>
          <w:szCs w:val="24"/>
        </w:rPr>
        <w:t>”</w:t>
      </w:r>
    </w:p>
    <w:p w14:paraId="400A4E32" w14:textId="643A7B97" w:rsidR="00374882" w:rsidRPr="005A1275" w:rsidRDefault="00374882" w:rsidP="005A1275">
      <w:pPr>
        <w:pStyle w:val="Answers"/>
      </w:pPr>
      <w:r>
        <w:tab/>
        <w:t xml:space="preserve">However, the Company has not demonstrated this claim empirically in its testimony, responses to data requests, or otherwise. </w:t>
      </w:r>
    </w:p>
    <w:p w14:paraId="62D6C014" w14:textId="57A0A58B" w:rsidR="00C66D34" w:rsidRPr="00E83E6E" w:rsidRDefault="00374882" w:rsidP="00626BBA">
      <w:pPr>
        <w:pStyle w:val="Answers"/>
      </w:pPr>
      <w:r>
        <w:tab/>
      </w:r>
      <w:r>
        <w:tab/>
        <w:t>Since empirical evidence of the relationship between announced loads and materialized loads has not been provided for each industry,</w:t>
      </w:r>
      <w:r w:rsidR="00124427">
        <w:t xml:space="preserve"> i</w:t>
      </w:r>
      <w:r w:rsidR="00E83E6E">
        <w:t xml:space="preserve">t would be more appropriate to </w:t>
      </w:r>
      <w:r w:rsidR="00C31067">
        <w:t xml:space="preserve">assume </w:t>
      </w:r>
      <w:r w:rsidR="00E83E6E">
        <w:t>uniform Load Realization assumptions for each industry segment</w:t>
      </w:r>
      <w:r>
        <w:t xml:space="preserve"> and interpret these as the Company’s level of confidence that announced load materializes</w:t>
      </w:r>
      <w:r w:rsidR="00E83E6E">
        <w:t xml:space="preserve">. A uniform set of assumptions demonstrates that the Company does not expect varying levels of accuracy regarding peak load projection over time between different industry segments. Generally, it should be assumed that a customer’s ability to provide an accurate demand </w:t>
      </w:r>
      <w:r w:rsidR="00E83E6E">
        <w:lastRenderedPageBreak/>
        <w:t xml:space="preserve">projection for each quarter is similar and any set of assumptions suggesting otherwise should be defended more rigorously. </w:t>
      </w:r>
    </w:p>
    <w:p w14:paraId="07768B22" w14:textId="22FADEC7" w:rsidR="004822B2" w:rsidRDefault="004822B2" w:rsidP="00626BBA">
      <w:pPr>
        <w:pStyle w:val="Answers"/>
      </w:pPr>
      <w:r>
        <w:tab/>
      </w:r>
      <w:r>
        <w:tab/>
        <w:t xml:space="preserve">The company may find in the future that the materialization </w:t>
      </w:r>
      <w:r w:rsidR="00E83E6E">
        <w:t xml:space="preserve">distribution </w:t>
      </w:r>
      <w:r>
        <w:t xml:space="preserve">is greater or lower than the levels assumed in this model. However, as an initial model for a novel growth situation, the </w:t>
      </w:r>
      <w:r w:rsidR="00007821" w:rsidRPr="00007821">
        <w:rPr>
          <w:highlight w:val="black"/>
        </w:rPr>
        <w:t>***********</w:t>
      </w:r>
      <w:r>
        <w:t xml:space="preserve"> triangular distribution is reasonable, subject to future monitoring, testing, and revision.</w:t>
      </w:r>
      <w:r>
        <w:tab/>
      </w:r>
      <w:r w:rsidR="004B34B7">
        <w:t>The Company should have evaluated alternative distributions to assess the sensitivity of model results and resource need to these assumptions.</w:t>
      </w:r>
      <w:r>
        <w:tab/>
      </w:r>
      <w:r>
        <w:tab/>
      </w:r>
    </w:p>
    <w:p w14:paraId="6112C854" w14:textId="31A4F8D5" w:rsidR="005570AC" w:rsidRDefault="005570AC" w:rsidP="00123893">
      <w:pPr>
        <w:pStyle w:val="Question"/>
      </w:pPr>
      <w:r>
        <w:t>Q.</w:t>
      </w:r>
      <w:r>
        <w:tab/>
        <w:t>What are the assumptions associated with Ramp-Up Delays?</w:t>
      </w:r>
    </w:p>
    <w:p w14:paraId="498F1DDC" w14:textId="40E748E4" w:rsidR="005570AC" w:rsidRDefault="005570AC" w:rsidP="00626BBA">
      <w:pPr>
        <w:pStyle w:val="Answers"/>
      </w:pPr>
      <w:r>
        <w:t>A.</w:t>
      </w:r>
      <w:r>
        <w:tab/>
      </w:r>
      <w:proofErr w:type="gramStart"/>
      <w:r w:rsidR="00E83E6E">
        <w:t>Similar to</w:t>
      </w:r>
      <w:proofErr w:type="gramEnd"/>
      <w:r w:rsidR="00E83E6E">
        <w:t xml:space="preserve"> the Load Realization assumptions, the Company applies a Low, Mid, and High level of delay to each project. It then applies a triangular distribution to these values to produce an expected level of delay to the load schedule provided by each project. </w:t>
      </w:r>
      <w:r w:rsidR="00374882">
        <w:fldChar w:fldCharType="begin"/>
      </w:r>
      <w:r w:rsidR="00374882">
        <w:instrText xml:space="preserve"> REF _Ref158127391 \h </w:instrText>
      </w:r>
      <w:r w:rsidR="00374882">
        <w:fldChar w:fldCharType="separate"/>
      </w:r>
      <w:r w:rsidR="00D01697">
        <w:t xml:space="preserve">Table </w:t>
      </w:r>
      <w:r w:rsidR="00D01697">
        <w:rPr>
          <w:noProof/>
        </w:rPr>
        <w:t>8</w:t>
      </w:r>
      <w:r w:rsidR="00374882">
        <w:fldChar w:fldCharType="end"/>
      </w:r>
      <w:r w:rsidR="00374882">
        <w:t xml:space="preserve"> illustrates the Ramp-up Delays applied to each industry segment. </w:t>
      </w:r>
    </w:p>
    <w:p w14:paraId="459E616E" w14:textId="6D624749" w:rsidR="00C66D34" w:rsidRDefault="00C66D34" w:rsidP="00C31067">
      <w:pPr>
        <w:pStyle w:val="Caption"/>
        <w:keepLines/>
      </w:pPr>
      <w:bookmarkStart w:id="17" w:name="_Ref158127391"/>
      <w:r>
        <w:lastRenderedPageBreak/>
        <w:t xml:space="preserve">Table </w:t>
      </w:r>
      <w:r>
        <w:fldChar w:fldCharType="begin"/>
      </w:r>
      <w:r>
        <w:instrText>SEQ Table \* ARABIC</w:instrText>
      </w:r>
      <w:r>
        <w:fldChar w:fldCharType="separate"/>
      </w:r>
      <w:r w:rsidR="00D01697">
        <w:rPr>
          <w:noProof/>
        </w:rPr>
        <w:t>8</w:t>
      </w:r>
      <w:r>
        <w:fldChar w:fldCharType="end"/>
      </w:r>
      <w:bookmarkEnd w:id="17"/>
      <w:r>
        <w:t>: LRM Ramp-Up Delay Assumptions, Base Case</w:t>
      </w:r>
      <w:r>
        <w:rPr>
          <w:rStyle w:val="FootnoteReference"/>
        </w:rPr>
        <w:footnoteReference w:id="46"/>
      </w:r>
    </w:p>
    <w:tbl>
      <w:tblPr>
        <w:tblW w:w="0" w:type="auto"/>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304"/>
        <w:gridCol w:w="2892"/>
        <w:gridCol w:w="1271"/>
        <w:gridCol w:w="1218"/>
        <w:gridCol w:w="656"/>
      </w:tblGrid>
      <w:tr w:rsidR="00E83E6E" w:rsidRPr="00E83E6E" w14:paraId="38F836C0" w14:textId="77777777" w:rsidTr="00C66D34">
        <w:trPr>
          <w:trHeight w:val="420"/>
          <w:jc w:val="center"/>
        </w:trPr>
        <w:tc>
          <w:tcPr>
            <w:tcW w:w="0" w:type="auto"/>
            <w:shd w:val="clear" w:color="auto" w:fill="auto"/>
            <w:noWrap/>
            <w:vAlign w:val="center"/>
            <w:hideMark/>
          </w:tcPr>
          <w:p w14:paraId="7A725BDA" w14:textId="77777777" w:rsidR="00E83E6E" w:rsidRPr="00E83E6E" w:rsidRDefault="00E83E6E" w:rsidP="00C31067">
            <w:pPr>
              <w:keepNext/>
              <w:keepLines/>
              <w:jc w:val="left"/>
              <w:rPr>
                <w:sz w:val="24"/>
                <w:szCs w:val="24"/>
              </w:rPr>
            </w:pPr>
          </w:p>
        </w:tc>
        <w:tc>
          <w:tcPr>
            <w:tcW w:w="0" w:type="auto"/>
            <w:shd w:val="clear" w:color="auto" w:fill="auto"/>
            <w:noWrap/>
            <w:vAlign w:val="center"/>
            <w:hideMark/>
          </w:tcPr>
          <w:p w14:paraId="103AB023" w14:textId="77777777" w:rsidR="00E83E6E" w:rsidRPr="00E83E6E" w:rsidRDefault="00E83E6E" w:rsidP="00C31067">
            <w:pPr>
              <w:keepNext/>
              <w:keepLines/>
              <w:jc w:val="left"/>
              <w:rPr>
                <w:sz w:val="20"/>
                <w:szCs w:val="20"/>
              </w:rPr>
            </w:pPr>
          </w:p>
        </w:tc>
        <w:tc>
          <w:tcPr>
            <w:tcW w:w="0" w:type="auto"/>
            <w:gridSpan w:val="2"/>
            <w:shd w:val="clear" w:color="auto" w:fill="auto"/>
            <w:noWrap/>
            <w:vAlign w:val="center"/>
            <w:hideMark/>
          </w:tcPr>
          <w:p w14:paraId="0B8AE4E7" w14:textId="77777777" w:rsidR="00E83E6E" w:rsidRPr="00E83E6E" w:rsidRDefault="00E83E6E" w:rsidP="00C31067">
            <w:pPr>
              <w:keepNext/>
              <w:keepLines/>
              <w:jc w:val="left"/>
              <w:rPr>
                <w:rFonts w:eastAsia="Microsoft YaHei" w:cs="Calibri"/>
                <w:color w:val="000000"/>
              </w:rPr>
            </w:pPr>
            <w:r w:rsidRPr="00E83E6E">
              <w:rPr>
                <w:rFonts w:eastAsia="Microsoft YaHei" w:cs="Calibri"/>
                <w:color w:val="000000"/>
              </w:rPr>
              <w:t>Ramp-up Delay (Months)</w:t>
            </w:r>
          </w:p>
        </w:tc>
        <w:tc>
          <w:tcPr>
            <w:tcW w:w="0" w:type="auto"/>
            <w:shd w:val="clear" w:color="auto" w:fill="auto"/>
            <w:noWrap/>
            <w:vAlign w:val="center"/>
            <w:hideMark/>
          </w:tcPr>
          <w:p w14:paraId="6A7C2DDC" w14:textId="77777777" w:rsidR="00E83E6E" w:rsidRPr="00E83E6E" w:rsidRDefault="00E83E6E" w:rsidP="00C31067">
            <w:pPr>
              <w:keepNext/>
              <w:keepLines/>
              <w:jc w:val="left"/>
              <w:rPr>
                <w:rFonts w:eastAsia="Microsoft YaHei" w:cs="Calibri"/>
                <w:color w:val="000000"/>
              </w:rPr>
            </w:pPr>
          </w:p>
        </w:tc>
      </w:tr>
      <w:tr w:rsidR="00E83E6E" w:rsidRPr="00E83E6E" w14:paraId="15AFC9F6" w14:textId="77777777" w:rsidTr="00C66D34">
        <w:trPr>
          <w:trHeight w:val="300"/>
          <w:jc w:val="center"/>
        </w:trPr>
        <w:tc>
          <w:tcPr>
            <w:tcW w:w="0" w:type="auto"/>
            <w:shd w:val="clear" w:color="auto" w:fill="auto"/>
            <w:noWrap/>
            <w:vAlign w:val="center"/>
            <w:hideMark/>
          </w:tcPr>
          <w:p w14:paraId="255937D2" w14:textId="77777777" w:rsidR="00E83E6E" w:rsidRPr="00E83E6E" w:rsidRDefault="00E83E6E" w:rsidP="00C31067">
            <w:pPr>
              <w:keepNext/>
              <w:keepLines/>
              <w:jc w:val="left"/>
              <w:rPr>
                <w:rFonts w:eastAsia="Microsoft YaHei" w:cs="Calibri"/>
                <w:i/>
                <w:iCs/>
                <w:color w:val="000000"/>
                <w:u w:val="single"/>
              </w:rPr>
            </w:pPr>
            <w:r w:rsidRPr="00E83E6E">
              <w:rPr>
                <w:rFonts w:eastAsia="Microsoft YaHei" w:cs="Calibri"/>
                <w:i/>
                <w:iCs/>
                <w:color w:val="000000"/>
                <w:u w:val="single"/>
              </w:rPr>
              <w:t>Class</w:t>
            </w:r>
          </w:p>
        </w:tc>
        <w:tc>
          <w:tcPr>
            <w:tcW w:w="0" w:type="auto"/>
            <w:shd w:val="clear" w:color="auto" w:fill="auto"/>
            <w:noWrap/>
            <w:vAlign w:val="center"/>
            <w:hideMark/>
          </w:tcPr>
          <w:p w14:paraId="6ABF457C" w14:textId="77777777" w:rsidR="00E83E6E" w:rsidRPr="00E83E6E" w:rsidRDefault="00E83E6E" w:rsidP="00C31067">
            <w:pPr>
              <w:keepNext/>
              <w:keepLines/>
              <w:jc w:val="left"/>
              <w:rPr>
                <w:rFonts w:eastAsia="Microsoft YaHei" w:cs="Calibri"/>
                <w:i/>
                <w:iCs/>
                <w:color w:val="000000"/>
                <w:u w:val="single"/>
              </w:rPr>
            </w:pPr>
            <w:r w:rsidRPr="00E83E6E">
              <w:rPr>
                <w:rFonts w:eastAsia="Microsoft YaHei" w:cs="Calibri"/>
                <w:i/>
                <w:iCs/>
                <w:color w:val="000000"/>
                <w:u w:val="single"/>
              </w:rPr>
              <w:t>Segment</w:t>
            </w:r>
          </w:p>
        </w:tc>
        <w:tc>
          <w:tcPr>
            <w:tcW w:w="0" w:type="auto"/>
            <w:shd w:val="clear" w:color="auto" w:fill="auto"/>
            <w:noWrap/>
            <w:vAlign w:val="center"/>
            <w:hideMark/>
          </w:tcPr>
          <w:p w14:paraId="6714BE00" w14:textId="77777777" w:rsidR="00E83E6E" w:rsidRPr="00E83E6E" w:rsidRDefault="00E83E6E" w:rsidP="00C31067">
            <w:pPr>
              <w:keepNext/>
              <w:keepLines/>
              <w:jc w:val="center"/>
              <w:rPr>
                <w:rFonts w:eastAsia="Microsoft YaHei" w:cs="Calibri"/>
                <w:i/>
                <w:iCs/>
                <w:color w:val="000000"/>
                <w:u w:val="single"/>
              </w:rPr>
            </w:pPr>
            <w:r w:rsidRPr="00E83E6E">
              <w:rPr>
                <w:rFonts w:eastAsia="Microsoft YaHei" w:cs="Calibri"/>
                <w:i/>
                <w:iCs/>
                <w:color w:val="000000"/>
                <w:u w:val="single"/>
              </w:rPr>
              <w:t>Low</w:t>
            </w:r>
          </w:p>
        </w:tc>
        <w:tc>
          <w:tcPr>
            <w:tcW w:w="0" w:type="auto"/>
            <w:shd w:val="clear" w:color="auto" w:fill="auto"/>
            <w:noWrap/>
            <w:vAlign w:val="center"/>
            <w:hideMark/>
          </w:tcPr>
          <w:p w14:paraId="21C9F01A" w14:textId="77777777" w:rsidR="00E83E6E" w:rsidRPr="00E83E6E" w:rsidRDefault="00E83E6E" w:rsidP="00C31067">
            <w:pPr>
              <w:keepNext/>
              <w:keepLines/>
              <w:jc w:val="center"/>
              <w:rPr>
                <w:rFonts w:eastAsia="Microsoft YaHei" w:cs="Calibri"/>
                <w:i/>
                <w:iCs/>
                <w:color w:val="000000"/>
                <w:u w:val="single"/>
              </w:rPr>
            </w:pPr>
            <w:r w:rsidRPr="00E83E6E">
              <w:rPr>
                <w:rFonts w:eastAsia="Microsoft YaHei" w:cs="Calibri"/>
                <w:i/>
                <w:iCs/>
                <w:color w:val="000000"/>
                <w:u w:val="single"/>
              </w:rPr>
              <w:t>Mid</w:t>
            </w:r>
          </w:p>
        </w:tc>
        <w:tc>
          <w:tcPr>
            <w:tcW w:w="0" w:type="auto"/>
            <w:shd w:val="clear" w:color="auto" w:fill="auto"/>
            <w:noWrap/>
            <w:vAlign w:val="center"/>
            <w:hideMark/>
          </w:tcPr>
          <w:p w14:paraId="5B0CD0B6" w14:textId="77777777" w:rsidR="00E83E6E" w:rsidRPr="00E83E6E" w:rsidRDefault="00E83E6E" w:rsidP="00C31067">
            <w:pPr>
              <w:keepNext/>
              <w:keepLines/>
              <w:jc w:val="center"/>
              <w:rPr>
                <w:rFonts w:eastAsia="Microsoft YaHei" w:cs="Calibri"/>
                <w:i/>
                <w:iCs/>
                <w:color w:val="000000"/>
                <w:u w:val="single"/>
              </w:rPr>
            </w:pPr>
            <w:r w:rsidRPr="00E83E6E">
              <w:rPr>
                <w:rFonts w:eastAsia="Microsoft YaHei" w:cs="Calibri"/>
                <w:i/>
                <w:iCs/>
                <w:color w:val="000000"/>
                <w:u w:val="single"/>
              </w:rPr>
              <w:t>High</w:t>
            </w:r>
          </w:p>
        </w:tc>
      </w:tr>
      <w:tr w:rsidR="00E83E6E" w:rsidRPr="00E83E6E" w14:paraId="5523DF36" w14:textId="77777777" w:rsidTr="0087555D">
        <w:trPr>
          <w:trHeight w:val="300"/>
          <w:jc w:val="center"/>
        </w:trPr>
        <w:tc>
          <w:tcPr>
            <w:tcW w:w="0" w:type="auto"/>
            <w:shd w:val="clear" w:color="auto" w:fill="auto"/>
            <w:noWrap/>
            <w:vAlign w:val="center"/>
            <w:hideMark/>
          </w:tcPr>
          <w:p w14:paraId="13E38ECD" w14:textId="77777777" w:rsidR="00E83E6E" w:rsidRPr="00E83E6E" w:rsidRDefault="00E83E6E" w:rsidP="00C31067">
            <w:pPr>
              <w:keepNext/>
              <w:keepLines/>
              <w:jc w:val="left"/>
              <w:rPr>
                <w:rFonts w:eastAsia="Microsoft YaHei" w:cs="Calibri"/>
                <w:color w:val="000000"/>
              </w:rPr>
            </w:pPr>
            <w:r w:rsidRPr="00E83E6E">
              <w:rPr>
                <w:rFonts w:eastAsia="Microsoft YaHei" w:cs="Calibri"/>
                <w:color w:val="000000"/>
              </w:rPr>
              <w:t>Commercial</w:t>
            </w:r>
          </w:p>
        </w:tc>
        <w:tc>
          <w:tcPr>
            <w:tcW w:w="0" w:type="auto"/>
            <w:shd w:val="clear" w:color="auto" w:fill="auto"/>
            <w:noWrap/>
            <w:vAlign w:val="center"/>
            <w:hideMark/>
          </w:tcPr>
          <w:p w14:paraId="1BEA1D4D" w14:textId="77777777" w:rsidR="00E83E6E" w:rsidRPr="00E83E6E" w:rsidRDefault="00E83E6E" w:rsidP="00C31067">
            <w:pPr>
              <w:keepNext/>
              <w:keepLines/>
              <w:jc w:val="left"/>
              <w:rPr>
                <w:rFonts w:eastAsia="Microsoft YaHei" w:cs="Calibri"/>
                <w:color w:val="000000"/>
              </w:rPr>
            </w:pPr>
            <w:r w:rsidRPr="00E83E6E">
              <w:rPr>
                <w:rFonts w:eastAsia="Microsoft YaHei" w:cs="Calibri"/>
                <w:color w:val="000000"/>
              </w:rPr>
              <w:t>Cryptocurrency</w:t>
            </w:r>
          </w:p>
        </w:tc>
        <w:tc>
          <w:tcPr>
            <w:tcW w:w="0" w:type="auto"/>
            <w:shd w:val="clear" w:color="auto" w:fill="auto"/>
            <w:noWrap/>
            <w:vAlign w:val="center"/>
            <w:hideMark/>
          </w:tcPr>
          <w:p w14:paraId="04617C97" w14:textId="3F610889" w:rsidR="00E83E6E" w:rsidRPr="00007821" w:rsidRDefault="00007821" w:rsidP="00C31067">
            <w:pPr>
              <w:keepNext/>
              <w:keepLines/>
              <w:jc w:val="center"/>
              <w:rPr>
                <w:rFonts w:eastAsia="Microsoft YaHei" w:cs="Calibri"/>
                <w:color w:val="000000"/>
                <w:highlight w:val="black"/>
              </w:rPr>
            </w:pPr>
            <w:r w:rsidRPr="00007821">
              <w:rPr>
                <w:rFonts w:eastAsia="Microsoft YaHei" w:cs="Calibri"/>
                <w:color w:val="000000"/>
                <w:highlight w:val="black"/>
              </w:rPr>
              <w:t>*</w:t>
            </w:r>
          </w:p>
        </w:tc>
        <w:tc>
          <w:tcPr>
            <w:tcW w:w="0" w:type="auto"/>
            <w:shd w:val="clear" w:color="auto" w:fill="auto"/>
            <w:noWrap/>
            <w:vAlign w:val="center"/>
            <w:hideMark/>
          </w:tcPr>
          <w:p w14:paraId="2AF54F79" w14:textId="1AF7E941" w:rsidR="00E83E6E" w:rsidRPr="00007821" w:rsidRDefault="00007821" w:rsidP="00C31067">
            <w:pPr>
              <w:keepNext/>
              <w:keepLines/>
              <w:jc w:val="center"/>
              <w:rPr>
                <w:rFonts w:eastAsia="Microsoft YaHei" w:cs="Calibri"/>
                <w:color w:val="000000"/>
                <w:highlight w:val="black"/>
              </w:rPr>
            </w:pPr>
            <w:r w:rsidRPr="00007821">
              <w:rPr>
                <w:rFonts w:eastAsia="Microsoft YaHei" w:cs="Calibri"/>
                <w:color w:val="000000"/>
                <w:highlight w:val="black"/>
              </w:rPr>
              <w:t>*</w:t>
            </w:r>
          </w:p>
        </w:tc>
        <w:tc>
          <w:tcPr>
            <w:tcW w:w="0" w:type="auto"/>
            <w:shd w:val="clear" w:color="auto" w:fill="auto"/>
            <w:noWrap/>
            <w:vAlign w:val="center"/>
            <w:hideMark/>
          </w:tcPr>
          <w:p w14:paraId="1FF6ABA7" w14:textId="5861D319" w:rsidR="00E83E6E" w:rsidRPr="00007821" w:rsidRDefault="00007821" w:rsidP="00C31067">
            <w:pPr>
              <w:keepNext/>
              <w:keepLines/>
              <w:jc w:val="center"/>
              <w:rPr>
                <w:rFonts w:eastAsia="Microsoft YaHei" w:cs="Calibri"/>
                <w:color w:val="000000"/>
                <w:highlight w:val="black"/>
              </w:rPr>
            </w:pPr>
            <w:r w:rsidRPr="00007821">
              <w:rPr>
                <w:rFonts w:eastAsia="Microsoft YaHei" w:cs="Calibri"/>
                <w:color w:val="000000"/>
                <w:highlight w:val="black"/>
              </w:rPr>
              <w:t>**</w:t>
            </w:r>
          </w:p>
        </w:tc>
      </w:tr>
      <w:tr w:rsidR="00E83E6E" w:rsidRPr="00E83E6E" w14:paraId="4F700640" w14:textId="77777777" w:rsidTr="0087555D">
        <w:trPr>
          <w:trHeight w:val="300"/>
          <w:jc w:val="center"/>
        </w:trPr>
        <w:tc>
          <w:tcPr>
            <w:tcW w:w="0" w:type="auto"/>
            <w:shd w:val="clear" w:color="auto" w:fill="auto"/>
            <w:noWrap/>
            <w:vAlign w:val="center"/>
            <w:hideMark/>
          </w:tcPr>
          <w:p w14:paraId="5C3707A3" w14:textId="77777777" w:rsidR="00E83E6E" w:rsidRPr="00E83E6E" w:rsidRDefault="00E83E6E" w:rsidP="00C31067">
            <w:pPr>
              <w:keepNext/>
              <w:keepLines/>
              <w:jc w:val="left"/>
              <w:rPr>
                <w:rFonts w:eastAsia="Microsoft YaHei" w:cs="Calibri"/>
                <w:color w:val="000000"/>
              </w:rPr>
            </w:pPr>
            <w:r w:rsidRPr="00E83E6E">
              <w:rPr>
                <w:rFonts w:eastAsia="Microsoft YaHei" w:cs="Calibri"/>
                <w:color w:val="000000"/>
              </w:rPr>
              <w:t>Commercial</w:t>
            </w:r>
          </w:p>
        </w:tc>
        <w:tc>
          <w:tcPr>
            <w:tcW w:w="0" w:type="auto"/>
            <w:shd w:val="clear" w:color="auto" w:fill="auto"/>
            <w:noWrap/>
            <w:vAlign w:val="center"/>
            <w:hideMark/>
          </w:tcPr>
          <w:p w14:paraId="462CDD11" w14:textId="77777777" w:rsidR="00E83E6E" w:rsidRPr="00E83E6E" w:rsidRDefault="00E83E6E" w:rsidP="00C31067">
            <w:pPr>
              <w:keepNext/>
              <w:keepLines/>
              <w:jc w:val="left"/>
              <w:rPr>
                <w:rFonts w:eastAsia="Microsoft YaHei" w:cs="Calibri"/>
                <w:color w:val="000000"/>
              </w:rPr>
            </w:pPr>
            <w:r w:rsidRPr="00E83E6E">
              <w:rPr>
                <w:rFonts w:eastAsia="Microsoft YaHei" w:cs="Calibri"/>
                <w:color w:val="000000"/>
              </w:rPr>
              <w:t>Datacenter</w:t>
            </w:r>
          </w:p>
        </w:tc>
        <w:tc>
          <w:tcPr>
            <w:tcW w:w="0" w:type="auto"/>
            <w:shd w:val="clear" w:color="auto" w:fill="auto"/>
            <w:noWrap/>
            <w:vAlign w:val="center"/>
            <w:hideMark/>
          </w:tcPr>
          <w:p w14:paraId="5A8B195E" w14:textId="59A16D40" w:rsidR="00E83E6E" w:rsidRPr="00007821" w:rsidRDefault="00007821" w:rsidP="00C31067">
            <w:pPr>
              <w:keepNext/>
              <w:keepLines/>
              <w:jc w:val="center"/>
              <w:rPr>
                <w:rFonts w:eastAsia="Microsoft YaHei" w:cs="Calibri"/>
                <w:color w:val="000000"/>
                <w:highlight w:val="black"/>
              </w:rPr>
            </w:pPr>
            <w:r w:rsidRPr="00007821">
              <w:rPr>
                <w:rFonts w:eastAsia="Microsoft YaHei" w:cs="Calibri"/>
                <w:color w:val="000000"/>
                <w:highlight w:val="black"/>
              </w:rPr>
              <w:t>*</w:t>
            </w:r>
          </w:p>
        </w:tc>
        <w:tc>
          <w:tcPr>
            <w:tcW w:w="0" w:type="auto"/>
            <w:shd w:val="clear" w:color="auto" w:fill="auto"/>
            <w:noWrap/>
            <w:vAlign w:val="center"/>
            <w:hideMark/>
          </w:tcPr>
          <w:p w14:paraId="25591F37" w14:textId="50A76243" w:rsidR="00E83E6E" w:rsidRPr="00007821" w:rsidRDefault="00007821" w:rsidP="00C31067">
            <w:pPr>
              <w:keepNext/>
              <w:keepLines/>
              <w:jc w:val="center"/>
              <w:rPr>
                <w:rFonts w:eastAsia="Microsoft YaHei" w:cs="Calibri"/>
                <w:color w:val="000000"/>
                <w:highlight w:val="black"/>
              </w:rPr>
            </w:pPr>
            <w:r w:rsidRPr="00007821">
              <w:rPr>
                <w:rFonts w:eastAsia="Microsoft YaHei" w:cs="Calibri"/>
                <w:color w:val="000000"/>
                <w:highlight w:val="black"/>
              </w:rPr>
              <w:t>*</w:t>
            </w:r>
          </w:p>
        </w:tc>
        <w:tc>
          <w:tcPr>
            <w:tcW w:w="0" w:type="auto"/>
            <w:shd w:val="clear" w:color="auto" w:fill="auto"/>
            <w:noWrap/>
            <w:vAlign w:val="center"/>
            <w:hideMark/>
          </w:tcPr>
          <w:p w14:paraId="670F4251" w14:textId="0EC635A3" w:rsidR="00E83E6E" w:rsidRPr="00007821" w:rsidRDefault="00007821" w:rsidP="00C31067">
            <w:pPr>
              <w:keepNext/>
              <w:keepLines/>
              <w:jc w:val="center"/>
              <w:rPr>
                <w:rFonts w:eastAsia="Microsoft YaHei" w:cs="Calibri"/>
                <w:color w:val="000000"/>
                <w:highlight w:val="black"/>
              </w:rPr>
            </w:pPr>
            <w:r w:rsidRPr="00007821">
              <w:rPr>
                <w:rFonts w:eastAsia="Microsoft YaHei" w:cs="Calibri"/>
                <w:color w:val="000000"/>
                <w:highlight w:val="black"/>
              </w:rPr>
              <w:t>**</w:t>
            </w:r>
          </w:p>
        </w:tc>
      </w:tr>
      <w:tr w:rsidR="00E83E6E" w:rsidRPr="00E83E6E" w14:paraId="33DF0755" w14:textId="77777777" w:rsidTr="0087555D">
        <w:trPr>
          <w:trHeight w:val="300"/>
          <w:jc w:val="center"/>
        </w:trPr>
        <w:tc>
          <w:tcPr>
            <w:tcW w:w="0" w:type="auto"/>
            <w:shd w:val="clear" w:color="auto" w:fill="auto"/>
            <w:noWrap/>
            <w:vAlign w:val="center"/>
            <w:hideMark/>
          </w:tcPr>
          <w:p w14:paraId="17ACA383" w14:textId="77777777" w:rsidR="00E83E6E" w:rsidRPr="00E83E6E" w:rsidRDefault="00E83E6E" w:rsidP="00C31067">
            <w:pPr>
              <w:keepNext/>
              <w:keepLines/>
              <w:jc w:val="left"/>
              <w:rPr>
                <w:rFonts w:eastAsia="Microsoft YaHei" w:cs="Calibri"/>
                <w:color w:val="000000"/>
              </w:rPr>
            </w:pPr>
            <w:r w:rsidRPr="00E83E6E">
              <w:rPr>
                <w:rFonts w:eastAsia="Microsoft YaHei" w:cs="Calibri"/>
                <w:color w:val="000000"/>
              </w:rPr>
              <w:t>Commercial</w:t>
            </w:r>
          </w:p>
        </w:tc>
        <w:tc>
          <w:tcPr>
            <w:tcW w:w="0" w:type="auto"/>
            <w:shd w:val="clear" w:color="auto" w:fill="auto"/>
            <w:noWrap/>
            <w:vAlign w:val="center"/>
            <w:hideMark/>
          </w:tcPr>
          <w:p w14:paraId="55099F65" w14:textId="77777777" w:rsidR="00E83E6E" w:rsidRPr="00E83E6E" w:rsidRDefault="00E83E6E" w:rsidP="00C31067">
            <w:pPr>
              <w:keepNext/>
              <w:keepLines/>
              <w:jc w:val="left"/>
              <w:rPr>
                <w:rFonts w:eastAsia="Microsoft YaHei" w:cs="Calibri"/>
                <w:color w:val="000000"/>
              </w:rPr>
            </w:pPr>
            <w:r w:rsidRPr="00E83E6E">
              <w:rPr>
                <w:rFonts w:eastAsia="Microsoft YaHei" w:cs="Calibri"/>
                <w:color w:val="000000"/>
              </w:rPr>
              <w:t>Miscellaneous</w:t>
            </w:r>
          </w:p>
        </w:tc>
        <w:tc>
          <w:tcPr>
            <w:tcW w:w="0" w:type="auto"/>
            <w:shd w:val="clear" w:color="auto" w:fill="auto"/>
            <w:noWrap/>
            <w:vAlign w:val="center"/>
            <w:hideMark/>
          </w:tcPr>
          <w:p w14:paraId="35366CA6" w14:textId="0A9A9C2B" w:rsidR="00E83E6E" w:rsidRPr="00007821" w:rsidRDefault="00007821" w:rsidP="00C31067">
            <w:pPr>
              <w:keepNext/>
              <w:keepLines/>
              <w:jc w:val="center"/>
              <w:rPr>
                <w:rFonts w:eastAsia="Microsoft YaHei" w:cs="Calibri"/>
                <w:color w:val="000000"/>
                <w:highlight w:val="black"/>
              </w:rPr>
            </w:pPr>
            <w:r w:rsidRPr="00007821">
              <w:rPr>
                <w:rFonts w:eastAsia="Microsoft YaHei" w:cs="Calibri"/>
                <w:color w:val="000000"/>
                <w:highlight w:val="black"/>
              </w:rPr>
              <w:t>*</w:t>
            </w:r>
          </w:p>
        </w:tc>
        <w:tc>
          <w:tcPr>
            <w:tcW w:w="0" w:type="auto"/>
            <w:shd w:val="clear" w:color="auto" w:fill="auto"/>
            <w:noWrap/>
            <w:vAlign w:val="center"/>
            <w:hideMark/>
          </w:tcPr>
          <w:p w14:paraId="03F2F480" w14:textId="4F9AC046" w:rsidR="00E83E6E" w:rsidRPr="00007821" w:rsidRDefault="00007821" w:rsidP="00C31067">
            <w:pPr>
              <w:keepNext/>
              <w:keepLines/>
              <w:jc w:val="center"/>
              <w:rPr>
                <w:rFonts w:eastAsia="Microsoft YaHei" w:cs="Calibri"/>
                <w:color w:val="000000"/>
                <w:highlight w:val="black"/>
              </w:rPr>
            </w:pPr>
            <w:r w:rsidRPr="00007821">
              <w:rPr>
                <w:rFonts w:eastAsia="Microsoft YaHei" w:cs="Calibri"/>
                <w:color w:val="000000"/>
                <w:highlight w:val="black"/>
              </w:rPr>
              <w:t>*</w:t>
            </w:r>
          </w:p>
        </w:tc>
        <w:tc>
          <w:tcPr>
            <w:tcW w:w="0" w:type="auto"/>
            <w:shd w:val="clear" w:color="auto" w:fill="auto"/>
            <w:noWrap/>
            <w:vAlign w:val="center"/>
            <w:hideMark/>
          </w:tcPr>
          <w:p w14:paraId="1A9A7DF6" w14:textId="30B9CB7D" w:rsidR="00E83E6E" w:rsidRPr="00007821" w:rsidRDefault="00007821" w:rsidP="00C31067">
            <w:pPr>
              <w:keepNext/>
              <w:keepLines/>
              <w:jc w:val="center"/>
              <w:rPr>
                <w:rFonts w:eastAsia="Microsoft YaHei" w:cs="Calibri"/>
                <w:color w:val="000000"/>
                <w:highlight w:val="black"/>
              </w:rPr>
            </w:pPr>
            <w:r w:rsidRPr="00007821">
              <w:rPr>
                <w:rFonts w:eastAsia="Microsoft YaHei" w:cs="Calibri"/>
                <w:color w:val="000000"/>
                <w:highlight w:val="black"/>
              </w:rPr>
              <w:t>**</w:t>
            </w:r>
          </w:p>
        </w:tc>
      </w:tr>
      <w:tr w:rsidR="00E83E6E" w:rsidRPr="00E83E6E" w14:paraId="59CB3016" w14:textId="77777777" w:rsidTr="0087555D">
        <w:trPr>
          <w:trHeight w:val="300"/>
          <w:jc w:val="center"/>
        </w:trPr>
        <w:tc>
          <w:tcPr>
            <w:tcW w:w="0" w:type="auto"/>
            <w:shd w:val="clear" w:color="auto" w:fill="auto"/>
            <w:noWrap/>
            <w:vAlign w:val="center"/>
            <w:hideMark/>
          </w:tcPr>
          <w:p w14:paraId="0E290DDE" w14:textId="77777777" w:rsidR="00E83E6E" w:rsidRPr="00E83E6E" w:rsidRDefault="00E83E6E" w:rsidP="00C31067">
            <w:pPr>
              <w:keepNext/>
              <w:keepLines/>
              <w:jc w:val="left"/>
              <w:rPr>
                <w:rFonts w:eastAsia="Microsoft YaHei" w:cs="Calibri"/>
                <w:color w:val="000000"/>
              </w:rPr>
            </w:pPr>
            <w:r w:rsidRPr="00E83E6E">
              <w:rPr>
                <w:rFonts w:eastAsia="Microsoft YaHei" w:cs="Calibri"/>
                <w:color w:val="000000"/>
              </w:rPr>
              <w:t>Commercial</w:t>
            </w:r>
          </w:p>
        </w:tc>
        <w:tc>
          <w:tcPr>
            <w:tcW w:w="0" w:type="auto"/>
            <w:shd w:val="clear" w:color="auto" w:fill="auto"/>
            <w:noWrap/>
            <w:vAlign w:val="center"/>
            <w:hideMark/>
          </w:tcPr>
          <w:p w14:paraId="5805A3C9" w14:textId="77777777" w:rsidR="00E83E6E" w:rsidRPr="00E83E6E" w:rsidRDefault="00E83E6E" w:rsidP="00C31067">
            <w:pPr>
              <w:keepNext/>
              <w:keepLines/>
              <w:jc w:val="left"/>
              <w:rPr>
                <w:rFonts w:eastAsia="Microsoft YaHei" w:cs="Calibri"/>
                <w:color w:val="000000"/>
              </w:rPr>
            </w:pPr>
            <w:r w:rsidRPr="00E83E6E">
              <w:rPr>
                <w:rFonts w:eastAsia="Microsoft YaHei" w:cs="Calibri"/>
                <w:color w:val="000000"/>
              </w:rPr>
              <w:t>Warehouse</w:t>
            </w:r>
          </w:p>
        </w:tc>
        <w:tc>
          <w:tcPr>
            <w:tcW w:w="0" w:type="auto"/>
            <w:shd w:val="clear" w:color="auto" w:fill="auto"/>
            <w:noWrap/>
            <w:vAlign w:val="center"/>
            <w:hideMark/>
          </w:tcPr>
          <w:p w14:paraId="5F6AEA03" w14:textId="145C3108" w:rsidR="00E83E6E" w:rsidRPr="00007821" w:rsidRDefault="00007821" w:rsidP="00C31067">
            <w:pPr>
              <w:keepNext/>
              <w:keepLines/>
              <w:jc w:val="center"/>
              <w:rPr>
                <w:rFonts w:eastAsia="Microsoft YaHei" w:cs="Calibri"/>
                <w:color w:val="000000"/>
                <w:highlight w:val="black"/>
              </w:rPr>
            </w:pPr>
            <w:r w:rsidRPr="00007821">
              <w:rPr>
                <w:rFonts w:eastAsia="Microsoft YaHei" w:cs="Calibri"/>
                <w:color w:val="000000"/>
                <w:highlight w:val="black"/>
              </w:rPr>
              <w:t>*</w:t>
            </w:r>
          </w:p>
        </w:tc>
        <w:tc>
          <w:tcPr>
            <w:tcW w:w="0" w:type="auto"/>
            <w:shd w:val="clear" w:color="auto" w:fill="auto"/>
            <w:noWrap/>
            <w:vAlign w:val="center"/>
            <w:hideMark/>
          </w:tcPr>
          <w:p w14:paraId="23A0542D" w14:textId="58E5AC39" w:rsidR="00E83E6E" w:rsidRPr="00007821" w:rsidRDefault="00007821" w:rsidP="00C31067">
            <w:pPr>
              <w:keepNext/>
              <w:keepLines/>
              <w:jc w:val="center"/>
              <w:rPr>
                <w:rFonts w:eastAsia="Microsoft YaHei" w:cs="Calibri"/>
                <w:color w:val="000000"/>
                <w:highlight w:val="black"/>
              </w:rPr>
            </w:pPr>
            <w:r w:rsidRPr="00007821">
              <w:rPr>
                <w:rFonts w:eastAsia="Microsoft YaHei" w:cs="Calibri"/>
                <w:color w:val="000000"/>
                <w:highlight w:val="black"/>
              </w:rPr>
              <w:t>*</w:t>
            </w:r>
          </w:p>
        </w:tc>
        <w:tc>
          <w:tcPr>
            <w:tcW w:w="0" w:type="auto"/>
            <w:shd w:val="clear" w:color="auto" w:fill="auto"/>
            <w:noWrap/>
            <w:vAlign w:val="center"/>
            <w:hideMark/>
          </w:tcPr>
          <w:p w14:paraId="58CA0914" w14:textId="22B0F3D2" w:rsidR="00E83E6E" w:rsidRPr="00007821" w:rsidRDefault="00007821" w:rsidP="00C31067">
            <w:pPr>
              <w:keepNext/>
              <w:keepLines/>
              <w:jc w:val="center"/>
              <w:rPr>
                <w:rFonts w:eastAsia="Microsoft YaHei" w:cs="Calibri"/>
                <w:color w:val="000000"/>
                <w:highlight w:val="black"/>
              </w:rPr>
            </w:pPr>
            <w:r w:rsidRPr="00007821">
              <w:rPr>
                <w:rFonts w:eastAsia="Microsoft YaHei" w:cs="Calibri"/>
                <w:color w:val="000000"/>
                <w:highlight w:val="black"/>
              </w:rPr>
              <w:t>**</w:t>
            </w:r>
          </w:p>
        </w:tc>
      </w:tr>
      <w:tr w:rsidR="00E83E6E" w:rsidRPr="00E83E6E" w14:paraId="27459954" w14:textId="77777777" w:rsidTr="0087555D">
        <w:trPr>
          <w:trHeight w:val="300"/>
          <w:jc w:val="center"/>
        </w:trPr>
        <w:tc>
          <w:tcPr>
            <w:tcW w:w="0" w:type="auto"/>
            <w:shd w:val="clear" w:color="auto" w:fill="auto"/>
            <w:noWrap/>
            <w:vAlign w:val="center"/>
            <w:hideMark/>
          </w:tcPr>
          <w:p w14:paraId="6300A471" w14:textId="77777777" w:rsidR="00E83E6E" w:rsidRPr="00E83E6E" w:rsidRDefault="00E83E6E" w:rsidP="00C31067">
            <w:pPr>
              <w:keepNext/>
              <w:keepLines/>
              <w:jc w:val="left"/>
              <w:rPr>
                <w:rFonts w:eastAsia="Microsoft YaHei" w:cs="Calibri"/>
                <w:color w:val="000000"/>
              </w:rPr>
            </w:pPr>
            <w:r w:rsidRPr="00E83E6E">
              <w:rPr>
                <w:rFonts w:eastAsia="Microsoft YaHei" w:cs="Calibri"/>
                <w:color w:val="000000"/>
              </w:rPr>
              <w:t>Commercial</w:t>
            </w:r>
          </w:p>
        </w:tc>
        <w:tc>
          <w:tcPr>
            <w:tcW w:w="0" w:type="auto"/>
            <w:shd w:val="clear" w:color="auto" w:fill="auto"/>
            <w:noWrap/>
            <w:vAlign w:val="center"/>
            <w:hideMark/>
          </w:tcPr>
          <w:p w14:paraId="2AB164D5" w14:textId="77777777" w:rsidR="00E83E6E" w:rsidRPr="00E83E6E" w:rsidRDefault="00E83E6E" w:rsidP="00C31067">
            <w:pPr>
              <w:keepNext/>
              <w:keepLines/>
              <w:jc w:val="left"/>
              <w:rPr>
                <w:rFonts w:eastAsia="Microsoft YaHei" w:cs="Calibri"/>
                <w:color w:val="000000"/>
              </w:rPr>
            </w:pPr>
            <w:r w:rsidRPr="00E83E6E">
              <w:rPr>
                <w:rFonts w:eastAsia="Microsoft YaHei" w:cs="Calibri"/>
                <w:color w:val="000000"/>
              </w:rPr>
              <w:t>Distribution</w:t>
            </w:r>
          </w:p>
        </w:tc>
        <w:tc>
          <w:tcPr>
            <w:tcW w:w="0" w:type="auto"/>
            <w:shd w:val="clear" w:color="auto" w:fill="auto"/>
            <w:noWrap/>
            <w:vAlign w:val="center"/>
            <w:hideMark/>
          </w:tcPr>
          <w:p w14:paraId="049CEDD4" w14:textId="512F1604" w:rsidR="00E83E6E" w:rsidRPr="00007821" w:rsidRDefault="00007821" w:rsidP="00C31067">
            <w:pPr>
              <w:keepNext/>
              <w:keepLines/>
              <w:jc w:val="center"/>
              <w:rPr>
                <w:rFonts w:eastAsia="Microsoft YaHei" w:cs="Calibri"/>
                <w:color w:val="000000"/>
                <w:highlight w:val="black"/>
              </w:rPr>
            </w:pPr>
            <w:r w:rsidRPr="00007821">
              <w:rPr>
                <w:rFonts w:eastAsia="Microsoft YaHei" w:cs="Calibri"/>
                <w:color w:val="000000"/>
                <w:highlight w:val="black"/>
              </w:rPr>
              <w:t>*</w:t>
            </w:r>
          </w:p>
        </w:tc>
        <w:tc>
          <w:tcPr>
            <w:tcW w:w="0" w:type="auto"/>
            <w:shd w:val="clear" w:color="auto" w:fill="auto"/>
            <w:noWrap/>
            <w:vAlign w:val="center"/>
            <w:hideMark/>
          </w:tcPr>
          <w:p w14:paraId="135C820F" w14:textId="0ACFAF9E" w:rsidR="00E83E6E" w:rsidRPr="00007821" w:rsidRDefault="00007821" w:rsidP="00C31067">
            <w:pPr>
              <w:keepNext/>
              <w:keepLines/>
              <w:jc w:val="center"/>
              <w:rPr>
                <w:rFonts w:eastAsia="Microsoft YaHei" w:cs="Calibri"/>
                <w:color w:val="000000"/>
                <w:highlight w:val="black"/>
              </w:rPr>
            </w:pPr>
            <w:r w:rsidRPr="00007821">
              <w:rPr>
                <w:rFonts w:eastAsia="Microsoft YaHei" w:cs="Calibri"/>
                <w:color w:val="000000"/>
                <w:highlight w:val="black"/>
              </w:rPr>
              <w:t>*</w:t>
            </w:r>
          </w:p>
        </w:tc>
        <w:tc>
          <w:tcPr>
            <w:tcW w:w="0" w:type="auto"/>
            <w:shd w:val="clear" w:color="auto" w:fill="auto"/>
            <w:noWrap/>
            <w:vAlign w:val="center"/>
            <w:hideMark/>
          </w:tcPr>
          <w:p w14:paraId="5EF63B16" w14:textId="7D120ED2" w:rsidR="00E83E6E" w:rsidRPr="00007821" w:rsidRDefault="00007821" w:rsidP="00C31067">
            <w:pPr>
              <w:keepNext/>
              <w:keepLines/>
              <w:jc w:val="center"/>
              <w:rPr>
                <w:rFonts w:eastAsia="Microsoft YaHei" w:cs="Calibri"/>
                <w:color w:val="000000"/>
                <w:highlight w:val="black"/>
              </w:rPr>
            </w:pPr>
            <w:r w:rsidRPr="00007821">
              <w:rPr>
                <w:rFonts w:eastAsia="Microsoft YaHei" w:cs="Calibri"/>
                <w:color w:val="000000"/>
                <w:highlight w:val="black"/>
              </w:rPr>
              <w:t>**</w:t>
            </w:r>
          </w:p>
        </w:tc>
      </w:tr>
      <w:tr w:rsidR="00E83E6E" w:rsidRPr="00E83E6E" w14:paraId="04E16535" w14:textId="77777777" w:rsidTr="0087555D">
        <w:trPr>
          <w:trHeight w:val="300"/>
          <w:jc w:val="center"/>
        </w:trPr>
        <w:tc>
          <w:tcPr>
            <w:tcW w:w="0" w:type="auto"/>
            <w:shd w:val="clear" w:color="auto" w:fill="auto"/>
            <w:noWrap/>
            <w:vAlign w:val="center"/>
            <w:hideMark/>
          </w:tcPr>
          <w:p w14:paraId="3417F94B" w14:textId="77777777" w:rsidR="00E83E6E" w:rsidRPr="00E83E6E" w:rsidRDefault="00E83E6E" w:rsidP="00C31067">
            <w:pPr>
              <w:keepNext/>
              <w:keepLines/>
              <w:jc w:val="left"/>
              <w:rPr>
                <w:rFonts w:eastAsia="Microsoft YaHei" w:cs="Calibri"/>
                <w:color w:val="000000"/>
              </w:rPr>
            </w:pPr>
            <w:r w:rsidRPr="00E83E6E">
              <w:rPr>
                <w:rFonts w:eastAsia="Microsoft YaHei" w:cs="Calibri"/>
                <w:color w:val="000000"/>
              </w:rPr>
              <w:t>Industrial</w:t>
            </w:r>
          </w:p>
        </w:tc>
        <w:tc>
          <w:tcPr>
            <w:tcW w:w="0" w:type="auto"/>
            <w:shd w:val="clear" w:color="auto" w:fill="auto"/>
            <w:noWrap/>
            <w:vAlign w:val="center"/>
            <w:hideMark/>
          </w:tcPr>
          <w:p w14:paraId="16C37A8E" w14:textId="77777777" w:rsidR="00E83E6E" w:rsidRPr="00E83E6E" w:rsidRDefault="00E83E6E" w:rsidP="00C31067">
            <w:pPr>
              <w:keepNext/>
              <w:keepLines/>
              <w:jc w:val="left"/>
              <w:rPr>
                <w:rFonts w:eastAsia="Microsoft YaHei" w:cs="Calibri"/>
                <w:color w:val="000000"/>
              </w:rPr>
            </w:pPr>
            <w:r w:rsidRPr="00E83E6E">
              <w:rPr>
                <w:rFonts w:eastAsia="Microsoft YaHei" w:cs="Calibri"/>
                <w:color w:val="000000"/>
              </w:rPr>
              <w:t>Steel Manufacturing</w:t>
            </w:r>
          </w:p>
        </w:tc>
        <w:tc>
          <w:tcPr>
            <w:tcW w:w="0" w:type="auto"/>
            <w:shd w:val="clear" w:color="auto" w:fill="auto"/>
            <w:noWrap/>
            <w:vAlign w:val="center"/>
            <w:hideMark/>
          </w:tcPr>
          <w:p w14:paraId="7211AA50" w14:textId="414C5117" w:rsidR="00E83E6E" w:rsidRPr="00007821" w:rsidRDefault="00007821" w:rsidP="00C31067">
            <w:pPr>
              <w:keepNext/>
              <w:keepLines/>
              <w:jc w:val="center"/>
              <w:rPr>
                <w:rFonts w:eastAsia="Microsoft YaHei" w:cs="Calibri"/>
                <w:color w:val="000000"/>
                <w:highlight w:val="black"/>
              </w:rPr>
            </w:pPr>
            <w:r w:rsidRPr="00007821">
              <w:rPr>
                <w:rFonts w:eastAsia="Microsoft YaHei" w:cs="Calibri"/>
                <w:color w:val="000000"/>
                <w:highlight w:val="black"/>
              </w:rPr>
              <w:t>*</w:t>
            </w:r>
          </w:p>
        </w:tc>
        <w:tc>
          <w:tcPr>
            <w:tcW w:w="0" w:type="auto"/>
            <w:shd w:val="clear" w:color="auto" w:fill="auto"/>
            <w:noWrap/>
            <w:vAlign w:val="center"/>
            <w:hideMark/>
          </w:tcPr>
          <w:p w14:paraId="2ABFA544" w14:textId="7B4BC92B" w:rsidR="00E83E6E" w:rsidRPr="00007821" w:rsidRDefault="00007821" w:rsidP="00C31067">
            <w:pPr>
              <w:keepNext/>
              <w:keepLines/>
              <w:jc w:val="center"/>
              <w:rPr>
                <w:rFonts w:eastAsia="Microsoft YaHei" w:cs="Calibri"/>
                <w:color w:val="000000"/>
                <w:highlight w:val="black"/>
              </w:rPr>
            </w:pPr>
            <w:r w:rsidRPr="00007821">
              <w:rPr>
                <w:rFonts w:eastAsia="Microsoft YaHei" w:cs="Calibri"/>
                <w:color w:val="000000"/>
                <w:highlight w:val="black"/>
              </w:rPr>
              <w:t>*</w:t>
            </w:r>
          </w:p>
        </w:tc>
        <w:tc>
          <w:tcPr>
            <w:tcW w:w="0" w:type="auto"/>
            <w:shd w:val="clear" w:color="auto" w:fill="auto"/>
            <w:noWrap/>
            <w:vAlign w:val="center"/>
            <w:hideMark/>
          </w:tcPr>
          <w:p w14:paraId="1533F241" w14:textId="2C1F1093" w:rsidR="00E83E6E" w:rsidRPr="00007821" w:rsidRDefault="00007821" w:rsidP="00C31067">
            <w:pPr>
              <w:keepNext/>
              <w:keepLines/>
              <w:jc w:val="center"/>
              <w:rPr>
                <w:rFonts w:eastAsia="Microsoft YaHei" w:cs="Calibri"/>
                <w:color w:val="000000"/>
                <w:highlight w:val="black"/>
              </w:rPr>
            </w:pPr>
            <w:r w:rsidRPr="00007821">
              <w:rPr>
                <w:rFonts w:eastAsia="Microsoft YaHei" w:cs="Calibri"/>
                <w:color w:val="000000"/>
                <w:highlight w:val="black"/>
              </w:rPr>
              <w:t>**</w:t>
            </w:r>
          </w:p>
        </w:tc>
      </w:tr>
      <w:tr w:rsidR="00E83E6E" w:rsidRPr="00E83E6E" w14:paraId="21634B17" w14:textId="77777777" w:rsidTr="0087555D">
        <w:trPr>
          <w:trHeight w:val="300"/>
          <w:jc w:val="center"/>
        </w:trPr>
        <w:tc>
          <w:tcPr>
            <w:tcW w:w="0" w:type="auto"/>
            <w:shd w:val="clear" w:color="auto" w:fill="auto"/>
            <w:noWrap/>
            <w:vAlign w:val="center"/>
            <w:hideMark/>
          </w:tcPr>
          <w:p w14:paraId="55F46191" w14:textId="77777777" w:rsidR="00E83E6E" w:rsidRPr="00E83E6E" w:rsidRDefault="00E83E6E" w:rsidP="00C31067">
            <w:pPr>
              <w:keepNext/>
              <w:keepLines/>
              <w:jc w:val="left"/>
              <w:rPr>
                <w:rFonts w:eastAsia="Microsoft YaHei" w:cs="Calibri"/>
                <w:color w:val="000000"/>
              </w:rPr>
            </w:pPr>
            <w:r w:rsidRPr="00E83E6E">
              <w:rPr>
                <w:rFonts w:eastAsia="Microsoft YaHei" w:cs="Calibri"/>
                <w:color w:val="000000"/>
              </w:rPr>
              <w:t>Industrial</w:t>
            </w:r>
          </w:p>
        </w:tc>
        <w:tc>
          <w:tcPr>
            <w:tcW w:w="0" w:type="auto"/>
            <w:shd w:val="clear" w:color="auto" w:fill="auto"/>
            <w:noWrap/>
            <w:vAlign w:val="center"/>
            <w:hideMark/>
          </w:tcPr>
          <w:p w14:paraId="1B4FE42D" w14:textId="77777777" w:rsidR="00E83E6E" w:rsidRPr="00E83E6E" w:rsidRDefault="00E83E6E" w:rsidP="00C31067">
            <w:pPr>
              <w:keepNext/>
              <w:keepLines/>
              <w:jc w:val="left"/>
              <w:rPr>
                <w:rFonts w:eastAsia="Microsoft YaHei" w:cs="Calibri"/>
                <w:color w:val="000000"/>
              </w:rPr>
            </w:pPr>
            <w:r w:rsidRPr="00E83E6E">
              <w:rPr>
                <w:rFonts w:eastAsia="Microsoft YaHei" w:cs="Calibri"/>
                <w:color w:val="000000"/>
              </w:rPr>
              <w:t>Battery Manufacturing</w:t>
            </w:r>
          </w:p>
        </w:tc>
        <w:tc>
          <w:tcPr>
            <w:tcW w:w="0" w:type="auto"/>
            <w:shd w:val="clear" w:color="auto" w:fill="auto"/>
            <w:noWrap/>
            <w:vAlign w:val="center"/>
            <w:hideMark/>
          </w:tcPr>
          <w:p w14:paraId="4EBBF258" w14:textId="53CB13E3" w:rsidR="00E83E6E" w:rsidRPr="00007821" w:rsidRDefault="00007821" w:rsidP="00C31067">
            <w:pPr>
              <w:keepNext/>
              <w:keepLines/>
              <w:jc w:val="center"/>
              <w:rPr>
                <w:rFonts w:eastAsia="Microsoft YaHei" w:cs="Calibri"/>
                <w:color w:val="000000"/>
                <w:highlight w:val="black"/>
              </w:rPr>
            </w:pPr>
            <w:r w:rsidRPr="00007821">
              <w:rPr>
                <w:rFonts w:eastAsia="Microsoft YaHei" w:cs="Calibri"/>
                <w:color w:val="000000"/>
                <w:highlight w:val="black"/>
              </w:rPr>
              <w:t>*</w:t>
            </w:r>
          </w:p>
        </w:tc>
        <w:tc>
          <w:tcPr>
            <w:tcW w:w="0" w:type="auto"/>
            <w:shd w:val="clear" w:color="auto" w:fill="auto"/>
            <w:noWrap/>
            <w:vAlign w:val="center"/>
            <w:hideMark/>
          </w:tcPr>
          <w:p w14:paraId="1B4CEFEA" w14:textId="659EB020" w:rsidR="00E83E6E" w:rsidRPr="00007821" w:rsidRDefault="00007821" w:rsidP="00C31067">
            <w:pPr>
              <w:keepNext/>
              <w:keepLines/>
              <w:jc w:val="center"/>
              <w:rPr>
                <w:rFonts w:eastAsia="Microsoft YaHei" w:cs="Calibri"/>
                <w:color w:val="000000"/>
                <w:highlight w:val="black"/>
              </w:rPr>
            </w:pPr>
            <w:r w:rsidRPr="00007821">
              <w:rPr>
                <w:rFonts w:eastAsia="Microsoft YaHei" w:cs="Calibri"/>
                <w:color w:val="000000"/>
                <w:highlight w:val="black"/>
              </w:rPr>
              <w:t>*</w:t>
            </w:r>
          </w:p>
        </w:tc>
        <w:tc>
          <w:tcPr>
            <w:tcW w:w="0" w:type="auto"/>
            <w:shd w:val="clear" w:color="auto" w:fill="auto"/>
            <w:noWrap/>
            <w:vAlign w:val="center"/>
            <w:hideMark/>
          </w:tcPr>
          <w:p w14:paraId="719CA498" w14:textId="0761D0A5" w:rsidR="00E83E6E" w:rsidRPr="00007821" w:rsidRDefault="00007821" w:rsidP="00C31067">
            <w:pPr>
              <w:keepNext/>
              <w:keepLines/>
              <w:jc w:val="center"/>
              <w:rPr>
                <w:rFonts w:eastAsia="Microsoft YaHei" w:cs="Calibri"/>
                <w:color w:val="000000"/>
                <w:highlight w:val="black"/>
              </w:rPr>
            </w:pPr>
            <w:r w:rsidRPr="00007821">
              <w:rPr>
                <w:rFonts w:eastAsia="Microsoft YaHei" w:cs="Calibri"/>
                <w:color w:val="000000"/>
                <w:highlight w:val="black"/>
              </w:rPr>
              <w:t>**</w:t>
            </w:r>
          </w:p>
        </w:tc>
      </w:tr>
      <w:tr w:rsidR="00E83E6E" w:rsidRPr="00E83E6E" w14:paraId="170B2EC6" w14:textId="77777777" w:rsidTr="0087555D">
        <w:trPr>
          <w:trHeight w:val="300"/>
          <w:jc w:val="center"/>
        </w:trPr>
        <w:tc>
          <w:tcPr>
            <w:tcW w:w="0" w:type="auto"/>
            <w:shd w:val="clear" w:color="auto" w:fill="auto"/>
            <w:noWrap/>
            <w:vAlign w:val="center"/>
            <w:hideMark/>
          </w:tcPr>
          <w:p w14:paraId="79446C2C" w14:textId="77777777" w:rsidR="00E83E6E" w:rsidRPr="00E83E6E" w:rsidRDefault="00E83E6E" w:rsidP="00C31067">
            <w:pPr>
              <w:keepNext/>
              <w:keepLines/>
              <w:jc w:val="left"/>
              <w:rPr>
                <w:rFonts w:eastAsia="Microsoft YaHei" w:cs="Calibri"/>
                <w:color w:val="000000"/>
              </w:rPr>
            </w:pPr>
            <w:r w:rsidRPr="00E83E6E">
              <w:rPr>
                <w:rFonts w:eastAsia="Microsoft YaHei" w:cs="Calibri"/>
                <w:color w:val="000000"/>
              </w:rPr>
              <w:t>Industrial</w:t>
            </w:r>
          </w:p>
        </w:tc>
        <w:tc>
          <w:tcPr>
            <w:tcW w:w="0" w:type="auto"/>
            <w:shd w:val="clear" w:color="auto" w:fill="auto"/>
            <w:noWrap/>
            <w:vAlign w:val="center"/>
            <w:hideMark/>
          </w:tcPr>
          <w:p w14:paraId="50F6C460" w14:textId="77777777" w:rsidR="00E83E6E" w:rsidRPr="00E83E6E" w:rsidRDefault="00E83E6E" w:rsidP="00C31067">
            <w:pPr>
              <w:keepNext/>
              <w:keepLines/>
              <w:jc w:val="left"/>
              <w:rPr>
                <w:rFonts w:eastAsia="Microsoft YaHei" w:cs="Calibri"/>
                <w:color w:val="000000"/>
              </w:rPr>
            </w:pPr>
            <w:r w:rsidRPr="00E83E6E">
              <w:rPr>
                <w:rFonts w:eastAsia="Microsoft YaHei" w:cs="Calibri"/>
                <w:color w:val="000000"/>
              </w:rPr>
              <w:t>Chemicals</w:t>
            </w:r>
          </w:p>
        </w:tc>
        <w:tc>
          <w:tcPr>
            <w:tcW w:w="0" w:type="auto"/>
            <w:shd w:val="clear" w:color="auto" w:fill="auto"/>
            <w:noWrap/>
            <w:vAlign w:val="center"/>
            <w:hideMark/>
          </w:tcPr>
          <w:p w14:paraId="30A5571A" w14:textId="40D7728D" w:rsidR="00E83E6E" w:rsidRPr="00007821" w:rsidRDefault="00007821" w:rsidP="00C31067">
            <w:pPr>
              <w:keepNext/>
              <w:keepLines/>
              <w:jc w:val="center"/>
              <w:rPr>
                <w:rFonts w:eastAsia="Microsoft YaHei" w:cs="Calibri"/>
                <w:color w:val="000000"/>
                <w:highlight w:val="black"/>
              </w:rPr>
            </w:pPr>
            <w:r w:rsidRPr="00007821">
              <w:rPr>
                <w:rFonts w:eastAsia="Microsoft YaHei" w:cs="Calibri"/>
                <w:color w:val="000000"/>
                <w:highlight w:val="black"/>
              </w:rPr>
              <w:t>*</w:t>
            </w:r>
          </w:p>
        </w:tc>
        <w:tc>
          <w:tcPr>
            <w:tcW w:w="0" w:type="auto"/>
            <w:shd w:val="clear" w:color="auto" w:fill="auto"/>
            <w:noWrap/>
            <w:vAlign w:val="center"/>
            <w:hideMark/>
          </w:tcPr>
          <w:p w14:paraId="520B600E" w14:textId="21C1F2A0" w:rsidR="00E83E6E" w:rsidRPr="00007821" w:rsidRDefault="00007821" w:rsidP="00C31067">
            <w:pPr>
              <w:keepNext/>
              <w:keepLines/>
              <w:jc w:val="center"/>
              <w:rPr>
                <w:rFonts w:eastAsia="Microsoft YaHei" w:cs="Calibri"/>
                <w:color w:val="000000"/>
                <w:highlight w:val="black"/>
              </w:rPr>
            </w:pPr>
            <w:r w:rsidRPr="00007821">
              <w:rPr>
                <w:rFonts w:eastAsia="Microsoft YaHei" w:cs="Calibri"/>
                <w:color w:val="000000"/>
                <w:highlight w:val="black"/>
              </w:rPr>
              <w:t>*</w:t>
            </w:r>
          </w:p>
        </w:tc>
        <w:tc>
          <w:tcPr>
            <w:tcW w:w="0" w:type="auto"/>
            <w:shd w:val="clear" w:color="auto" w:fill="auto"/>
            <w:noWrap/>
            <w:vAlign w:val="center"/>
            <w:hideMark/>
          </w:tcPr>
          <w:p w14:paraId="1970CA3C" w14:textId="580E68FF" w:rsidR="00E83E6E" w:rsidRPr="00007821" w:rsidRDefault="00007821" w:rsidP="00C31067">
            <w:pPr>
              <w:keepNext/>
              <w:keepLines/>
              <w:jc w:val="center"/>
              <w:rPr>
                <w:rFonts w:eastAsia="Microsoft YaHei" w:cs="Calibri"/>
                <w:color w:val="000000"/>
                <w:highlight w:val="black"/>
              </w:rPr>
            </w:pPr>
            <w:r w:rsidRPr="00007821">
              <w:rPr>
                <w:rFonts w:eastAsia="Microsoft YaHei" w:cs="Calibri"/>
                <w:color w:val="000000"/>
                <w:highlight w:val="black"/>
              </w:rPr>
              <w:t>**</w:t>
            </w:r>
          </w:p>
        </w:tc>
      </w:tr>
      <w:tr w:rsidR="00E83E6E" w:rsidRPr="00E83E6E" w14:paraId="559CD04A" w14:textId="77777777" w:rsidTr="0087555D">
        <w:trPr>
          <w:trHeight w:val="300"/>
          <w:jc w:val="center"/>
        </w:trPr>
        <w:tc>
          <w:tcPr>
            <w:tcW w:w="0" w:type="auto"/>
            <w:shd w:val="clear" w:color="auto" w:fill="auto"/>
            <w:noWrap/>
            <w:vAlign w:val="center"/>
            <w:hideMark/>
          </w:tcPr>
          <w:p w14:paraId="230E26A4" w14:textId="77777777" w:rsidR="00E83E6E" w:rsidRPr="00E83E6E" w:rsidRDefault="00E83E6E" w:rsidP="00C31067">
            <w:pPr>
              <w:keepNext/>
              <w:keepLines/>
              <w:jc w:val="left"/>
              <w:rPr>
                <w:rFonts w:eastAsia="Microsoft YaHei" w:cs="Calibri"/>
                <w:color w:val="000000"/>
              </w:rPr>
            </w:pPr>
            <w:r w:rsidRPr="00E83E6E">
              <w:rPr>
                <w:rFonts w:eastAsia="Microsoft YaHei" w:cs="Calibri"/>
                <w:color w:val="000000"/>
              </w:rPr>
              <w:t>Industrial</w:t>
            </w:r>
          </w:p>
        </w:tc>
        <w:tc>
          <w:tcPr>
            <w:tcW w:w="0" w:type="auto"/>
            <w:shd w:val="clear" w:color="auto" w:fill="auto"/>
            <w:noWrap/>
            <w:vAlign w:val="center"/>
            <w:hideMark/>
          </w:tcPr>
          <w:p w14:paraId="70ED2AB5" w14:textId="77777777" w:rsidR="00E83E6E" w:rsidRPr="00E83E6E" w:rsidRDefault="00E83E6E" w:rsidP="00C31067">
            <w:pPr>
              <w:keepNext/>
              <w:keepLines/>
              <w:jc w:val="left"/>
              <w:rPr>
                <w:rFonts w:eastAsia="Microsoft YaHei" w:cs="Calibri"/>
                <w:color w:val="000000"/>
              </w:rPr>
            </w:pPr>
            <w:r w:rsidRPr="00E83E6E">
              <w:rPr>
                <w:rFonts w:eastAsia="Microsoft YaHei" w:cs="Calibri"/>
                <w:color w:val="000000"/>
              </w:rPr>
              <w:t>Food Production</w:t>
            </w:r>
          </w:p>
        </w:tc>
        <w:tc>
          <w:tcPr>
            <w:tcW w:w="0" w:type="auto"/>
            <w:shd w:val="clear" w:color="auto" w:fill="auto"/>
            <w:noWrap/>
            <w:vAlign w:val="center"/>
            <w:hideMark/>
          </w:tcPr>
          <w:p w14:paraId="17F4ACA9" w14:textId="193F1411" w:rsidR="00E83E6E" w:rsidRPr="00007821" w:rsidRDefault="00007821" w:rsidP="00C31067">
            <w:pPr>
              <w:keepNext/>
              <w:keepLines/>
              <w:jc w:val="center"/>
              <w:rPr>
                <w:rFonts w:eastAsia="Microsoft YaHei" w:cs="Calibri"/>
                <w:color w:val="000000"/>
                <w:highlight w:val="black"/>
              </w:rPr>
            </w:pPr>
            <w:r w:rsidRPr="00007821">
              <w:rPr>
                <w:rFonts w:eastAsia="Microsoft YaHei" w:cs="Calibri"/>
                <w:color w:val="000000"/>
                <w:highlight w:val="black"/>
              </w:rPr>
              <w:t>*</w:t>
            </w:r>
          </w:p>
        </w:tc>
        <w:tc>
          <w:tcPr>
            <w:tcW w:w="0" w:type="auto"/>
            <w:shd w:val="clear" w:color="auto" w:fill="auto"/>
            <w:noWrap/>
            <w:vAlign w:val="center"/>
            <w:hideMark/>
          </w:tcPr>
          <w:p w14:paraId="20909EBF" w14:textId="31A6BFCF" w:rsidR="00E83E6E" w:rsidRPr="00007821" w:rsidRDefault="00007821" w:rsidP="00C31067">
            <w:pPr>
              <w:keepNext/>
              <w:keepLines/>
              <w:jc w:val="center"/>
              <w:rPr>
                <w:rFonts w:eastAsia="Microsoft YaHei" w:cs="Calibri"/>
                <w:color w:val="000000"/>
                <w:highlight w:val="black"/>
              </w:rPr>
            </w:pPr>
            <w:r w:rsidRPr="00007821">
              <w:rPr>
                <w:rFonts w:eastAsia="Microsoft YaHei" w:cs="Calibri"/>
                <w:color w:val="000000"/>
                <w:highlight w:val="black"/>
              </w:rPr>
              <w:t>*</w:t>
            </w:r>
          </w:p>
        </w:tc>
        <w:tc>
          <w:tcPr>
            <w:tcW w:w="0" w:type="auto"/>
            <w:shd w:val="clear" w:color="auto" w:fill="auto"/>
            <w:noWrap/>
            <w:vAlign w:val="center"/>
            <w:hideMark/>
          </w:tcPr>
          <w:p w14:paraId="6726C693" w14:textId="2203153B" w:rsidR="00E83E6E" w:rsidRPr="00007821" w:rsidRDefault="00007821" w:rsidP="00C31067">
            <w:pPr>
              <w:keepNext/>
              <w:keepLines/>
              <w:jc w:val="center"/>
              <w:rPr>
                <w:rFonts w:eastAsia="Microsoft YaHei" w:cs="Calibri"/>
                <w:color w:val="000000"/>
                <w:highlight w:val="black"/>
              </w:rPr>
            </w:pPr>
            <w:r w:rsidRPr="00007821">
              <w:rPr>
                <w:rFonts w:eastAsia="Microsoft YaHei" w:cs="Calibri"/>
                <w:color w:val="000000"/>
                <w:highlight w:val="black"/>
              </w:rPr>
              <w:t>**</w:t>
            </w:r>
          </w:p>
        </w:tc>
      </w:tr>
      <w:tr w:rsidR="00E83E6E" w:rsidRPr="00E83E6E" w14:paraId="2C0044E9" w14:textId="77777777" w:rsidTr="0087555D">
        <w:trPr>
          <w:trHeight w:val="300"/>
          <w:jc w:val="center"/>
        </w:trPr>
        <w:tc>
          <w:tcPr>
            <w:tcW w:w="0" w:type="auto"/>
            <w:shd w:val="clear" w:color="auto" w:fill="auto"/>
            <w:noWrap/>
            <w:vAlign w:val="center"/>
            <w:hideMark/>
          </w:tcPr>
          <w:p w14:paraId="7BEF8D62" w14:textId="77777777" w:rsidR="00E83E6E" w:rsidRPr="00E83E6E" w:rsidRDefault="00E83E6E" w:rsidP="00C31067">
            <w:pPr>
              <w:keepNext/>
              <w:keepLines/>
              <w:jc w:val="left"/>
              <w:rPr>
                <w:rFonts w:eastAsia="Microsoft YaHei" w:cs="Calibri"/>
                <w:color w:val="000000"/>
              </w:rPr>
            </w:pPr>
            <w:r w:rsidRPr="00E83E6E">
              <w:rPr>
                <w:rFonts w:eastAsia="Microsoft YaHei" w:cs="Calibri"/>
                <w:color w:val="000000"/>
              </w:rPr>
              <w:t>Industrial</w:t>
            </w:r>
          </w:p>
        </w:tc>
        <w:tc>
          <w:tcPr>
            <w:tcW w:w="0" w:type="auto"/>
            <w:shd w:val="clear" w:color="auto" w:fill="auto"/>
            <w:noWrap/>
            <w:vAlign w:val="center"/>
            <w:hideMark/>
          </w:tcPr>
          <w:p w14:paraId="300FD506" w14:textId="77777777" w:rsidR="00E83E6E" w:rsidRPr="00E83E6E" w:rsidRDefault="00E83E6E" w:rsidP="00C31067">
            <w:pPr>
              <w:keepNext/>
              <w:keepLines/>
              <w:jc w:val="left"/>
              <w:rPr>
                <w:rFonts w:eastAsia="Microsoft YaHei" w:cs="Calibri"/>
                <w:color w:val="000000"/>
              </w:rPr>
            </w:pPr>
            <w:r w:rsidRPr="00E83E6E">
              <w:rPr>
                <w:rFonts w:eastAsia="Microsoft YaHei" w:cs="Calibri"/>
                <w:color w:val="000000"/>
              </w:rPr>
              <w:t>Metals</w:t>
            </w:r>
          </w:p>
        </w:tc>
        <w:tc>
          <w:tcPr>
            <w:tcW w:w="0" w:type="auto"/>
            <w:shd w:val="clear" w:color="auto" w:fill="auto"/>
            <w:noWrap/>
            <w:vAlign w:val="center"/>
            <w:hideMark/>
          </w:tcPr>
          <w:p w14:paraId="422A77AA" w14:textId="3356BDEF" w:rsidR="00E83E6E" w:rsidRPr="00007821" w:rsidRDefault="00007821" w:rsidP="00C31067">
            <w:pPr>
              <w:keepNext/>
              <w:keepLines/>
              <w:jc w:val="center"/>
              <w:rPr>
                <w:rFonts w:eastAsia="Microsoft YaHei" w:cs="Calibri"/>
                <w:color w:val="000000"/>
                <w:highlight w:val="black"/>
              </w:rPr>
            </w:pPr>
            <w:r w:rsidRPr="00007821">
              <w:rPr>
                <w:rFonts w:eastAsia="Microsoft YaHei" w:cs="Calibri"/>
                <w:color w:val="000000"/>
                <w:highlight w:val="black"/>
              </w:rPr>
              <w:t>*</w:t>
            </w:r>
          </w:p>
        </w:tc>
        <w:tc>
          <w:tcPr>
            <w:tcW w:w="0" w:type="auto"/>
            <w:shd w:val="clear" w:color="auto" w:fill="auto"/>
            <w:noWrap/>
            <w:vAlign w:val="center"/>
            <w:hideMark/>
          </w:tcPr>
          <w:p w14:paraId="723D9BC8" w14:textId="3F526306" w:rsidR="00E83E6E" w:rsidRPr="00007821" w:rsidRDefault="00007821" w:rsidP="00C31067">
            <w:pPr>
              <w:keepNext/>
              <w:keepLines/>
              <w:jc w:val="center"/>
              <w:rPr>
                <w:rFonts w:eastAsia="Microsoft YaHei" w:cs="Calibri"/>
                <w:color w:val="000000"/>
                <w:highlight w:val="black"/>
              </w:rPr>
            </w:pPr>
            <w:r w:rsidRPr="00007821">
              <w:rPr>
                <w:rFonts w:eastAsia="Microsoft YaHei" w:cs="Calibri"/>
                <w:color w:val="000000"/>
                <w:highlight w:val="black"/>
              </w:rPr>
              <w:t>*</w:t>
            </w:r>
          </w:p>
        </w:tc>
        <w:tc>
          <w:tcPr>
            <w:tcW w:w="0" w:type="auto"/>
            <w:shd w:val="clear" w:color="auto" w:fill="auto"/>
            <w:noWrap/>
            <w:vAlign w:val="center"/>
            <w:hideMark/>
          </w:tcPr>
          <w:p w14:paraId="408E3E7E" w14:textId="0CB80A8B" w:rsidR="00E83E6E" w:rsidRPr="00007821" w:rsidRDefault="00007821" w:rsidP="00C31067">
            <w:pPr>
              <w:keepNext/>
              <w:keepLines/>
              <w:jc w:val="center"/>
              <w:rPr>
                <w:rFonts w:eastAsia="Microsoft YaHei" w:cs="Calibri"/>
                <w:color w:val="000000"/>
                <w:highlight w:val="black"/>
              </w:rPr>
            </w:pPr>
            <w:r w:rsidRPr="00007821">
              <w:rPr>
                <w:rFonts w:eastAsia="Microsoft YaHei" w:cs="Calibri"/>
                <w:color w:val="000000"/>
                <w:highlight w:val="black"/>
              </w:rPr>
              <w:t>**</w:t>
            </w:r>
          </w:p>
        </w:tc>
      </w:tr>
      <w:tr w:rsidR="00E83E6E" w:rsidRPr="00E83E6E" w14:paraId="7779BB40" w14:textId="77777777" w:rsidTr="0087555D">
        <w:trPr>
          <w:trHeight w:val="300"/>
          <w:jc w:val="center"/>
        </w:trPr>
        <w:tc>
          <w:tcPr>
            <w:tcW w:w="0" w:type="auto"/>
            <w:shd w:val="clear" w:color="auto" w:fill="auto"/>
            <w:noWrap/>
            <w:vAlign w:val="center"/>
            <w:hideMark/>
          </w:tcPr>
          <w:p w14:paraId="21607005" w14:textId="77777777" w:rsidR="00E83E6E" w:rsidRPr="00E83E6E" w:rsidRDefault="00E83E6E" w:rsidP="00C31067">
            <w:pPr>
              <w:keepNext/>
              <w:keepLines/>
              <w:jc w:val="left"/>
              <w:rPr>
                <w:rFonts w:eastAsia="Microsoft YaHei" w:cs="Calibri"/>
                <w:color w:val="000000"/>
              </w:rPr>
            </w:pPr>
            <w:r w:rsidRPr="00E83E6E">
              <w:rPr>
                <w:rFonts w:eastAsia="Microsoft YaHei" w:cs="Calibri"/>
                <w:color w:val="000000"/>
              </w:rPr>
              <w:t>Industrial</w:t>
            </w:r>
          </w:p>
        </w:tc>
        <w:tc>
          <w:tcPr>
            <w:tcW w:w="0" w:type="auto"/>
            <w:shd w:val="clear" w:color="auto" w:fill="auto"/>
            <w:noWrap/>
            <w:vAlign w:val="center"/>
            <w:hideMark/>
          </w:tcPr>
          <w:p w14:paraId="0BB62D56" w14:textId="77777777" w:rsidR="00E83E6E" w:rsidRPr="00E83E6E" w:rsidRDefault="00E83E6E" w:rsidP="00C31067">
            <w:pPr>
              <w:keepNext/>
              <w:keepLines/>
              <w:jc w:val="left"/>
              <w:rPr>
                <w:rFonts w:eastAsia="Microsoft YaHei" w:cs="Calibri"/>
                <w:color w:val="000000"/>
              </w:rPr>
            </w:pPr>
            <w:r w:rsidRPr="00E83E6E">
              <w:rPr>
                <w:rFonts w:eastAsia="Microsoft YaHei" w:cs="Calibri"/>
                <w:color w:val="000000"/>
              </w:rPr>
              <w:t>Other Industrial</w:t>
            </w:r>
          </w:p>
        </w:tc>
        <w:tc>
          <w:tcPr>
            <w:tcW w:w="0" w:type="auto"/>
            <w:shd w:val="clear" w:color="auto" w:fill="auto"/>
            <w:noWrap/>
            <w:vAlign w:val="center"/>
            <w:hideMark/>
          </w:tcPr>
          <w:p w14:paraId="074B0761" w14:textId="0FB0A3E3" w:rsidR="00E83E6E" w:rsidRPr="00007821" w:rsidRDefault="00007821" w:rsidP="00C31067">
            <w:pPr>
              <w:keepNext/>
              <w:keepLines/>
              <w:jc w:val="center"/>
              <w:rPr>
                <w:rFonts w:eastAsia="Microsoft YaHei" w:cs="Calibri"/>
                <w:color w:val="000000"/>
                <w:highlight w:val="black"/>
              </w:rPr>
            </w:pPr>
            <w:r w:rsidRPr="00007821">
              <w:rPr>
                <w:rFonts w:eastAsia="Microsoft YaHei" w:cs="Calibri"/>
                <w:color w:val="000000"/>
                <w:highlight w:val="black"/>
              </w:rPr>
              <w:t>*</w:t>
            </w:r>
          </w:p>
        </w:tc>
        <w:tc>
          <w:tcPr>
            <w:tcW w:w="0" w:type="auto"/>
            <w:shd w:val="clear" w:color="auto" w:fill="auto"/>
            <w:noWrap/>
            <w:vAlign w:val="center"/>
            <w:hideMark/>
          </w:tcPr>
          <w:p w14:paraId="6466BAE6" w14:textId="52353D15" w:rsidR="00E83E6E" w:rsidRPr="00007821" w:rsidRDefault="00007821" w:rsidP="00C31067">
            <w:pPr>
              <w:keepNext/>
              <w:keepLines/>
              <w:jc w:val="center"/>
              <w:rPr>
                <w:rFonts w:eastAsia="Microsoft YaHei" w:cs="Calibri"/>
                <w:color w:val="000000"/>
                <w:highlight w:val="black"/>
              </w:rPr>
            </w:pPr>
            <w:r w:rsidRPr="00007821">
              <w:rPr>
                <w:rFonts w:eastAsia="Microsoft YaHei" w:cs="Calibri"/>
                <w:color w:val="000000"/>
                <w:highlight w:val="black"/>
              </w:rPr>
              <w:t>*</w:t>
            </w:r>
          </w:p>
        </w:tc>
        <w:tc>
          <w:tcPr>
            <w:tcW w:w="0" w:type="auto"/>
            <w:shd w:val="clear" w:color="auto" w:fill="auto"/>
            <w:noWrap/>
            <w:vAlign w:val="center"/>
            <w:hideMark/>
          </w:tcPr>
          <w:p w14:paraId="541CFF44" w14:textId="5C377F87" w:rsidR="00E83E6E" w:rsidRPr="00007821" w:rsidRDefault="00007821" w:rsidP="00C31067">
            <w:pPr>
              <w:keepNext/>
              <w:keepLines/>
              <w:jc w:val="center"/>
              <w:rPr>
                <w:rFonts w:eastAsia="Microsoft YaHei" w:cs="Calibri"/>
                <w:color w:val="000000"/>
                <w:highlight w:val="black"/>
              </w:rPr>
            </w:pPr>
            <w:r w:rsidRPr="00007821">
              <w:rPr>
                <w:rFonts w:eastAsia="Microsoft YaHei" w:cs="Calibri"/>
                <w:color w:val="000000"/>
                <w:highlight w:val="black"/>
              </w:rPr>
              <w:t>**</w:t>
            </w:r>
          </w:p>
        </w:tc>
      </w:tr>
      <w:tr w:rsidR="00E83E6E" w:rsidRPr="00E83E6E" w14:paraId="40FA7178" w14:textId="77777777" w:rsidTr="0087555D">
        <w:trPr>
          <w:trHeight w:val="300"/>
          <w:jc w:val="center"/>
        </w:trPr>
        <w:tc>
          <w:tcPr>
            <w:tcW w:w="0" w:type="auto"/>
            <w:shd w:val="clear" w:color="auto" w:fill="auto"/>
            <w:noWrap/>
            <w:vAlign w:val="center"/>
            <w:hideMark/>
          </w:tcPr>
          <w:p w14:paraId="14118781" w14:textId="77777777" w:rsidR="00E83E6E" w:rsidRPr="00E83E6E" w:rsidRDefault="00E83E6E" w:rsidP="00C31067">
            <w:pPr>
              <w:keepNext/>
              <w:keepLines/>
              <w:jc w:val="left"/>
              <w:rPr>
                <w:rFonts w:eastAsia="Microsoft YaHei" w:cs="Calibri"/>
                <w:color w:val="000000"/>
              </w:rPr>
            </w:pPr>
            <w:r w:rsidRPr="00E83E6E">
              <w:rPr>
                <w:rFonts w:eastAsia="Microsoft YaHei" w:cs="Calibri"/>
                <w:color w:val="000000"/>
              </w:rPr>
              <w:t>Industrial</w:t>
            </w:r>
          </w:p>
        </w:tc>
        <w:tc>
          <w:tcPr>
            <w:tcW w:w="0" w:type="auto"/>
            <w:shd w:val="clear" w:color="auto" w:fill="auto"/>
            <w:noWrap/>
            <w:vAlign w:val="center"/>
            <w:hideMark/>
          </w:tcPr>
          <w:p w14:paraId="7F882013" w14:textId="77777777" w:rsidR="00E83E6E" w:rsidRPr="00E83E6E" w:rsidRDefault="00E83E6E" w:rsidP="00C31067">
            <w:pPr>
              <w:keepNext/>
              <w:keepLines/>
              <w:jc w:val="left"/>
              <w:rPr>
                <w:rFonts w:eastAsia="Microsoft YaHei" w:cs="Calibri"/>
                <w:color w:val="000000"/>
              </w:rPr>
            </w:pPr>
            <w:r w:rsidRPr="00E83E6E">
              <w:rPr>
                <w:rFonts w:eastAsia="Microsoft YaHei" w:cs="Calibri"/>
                <w:color w:val="000000"/>
              </w:rPr>
              <w:t>Pipeline</w:t>
            </w:r>
          </w:p>
        </w:tc>
        <w:tc>
          <w:tcPr>
            <w:tcW w:w="0" w:type="auto"/>
            <w:shd w:val="clear" w:color="auto" w:fill="auto"/>
            <w:noWrap/>
            <w:vAlign w:val="center"/>
            <w:hideMark/>
          </w:tcPr>
          <w:p w14:paraId="23631E75" w14:textId="49BC6245" w:rsidR="00E83E6E" w:rsidRPr="00007821" w:rsidRDefault="00007821" w:rsidP="00C31067">
            <w:pPr>
              <w:keepNext/>
              <w:keepLines/>
              <w:jc w:val="center"/>
              <w:rPr>
                <w:rFonts w:eastAsia="Microsoft YaHei" w:cs="Calibri"/>
                <w:color w:val="000000"/>
                <w:highlight w:val="black"/>
              </w:rPr>
            </w:pPr>
            <w:r w:rsidRPr="00007821">
              <w:rPr>
                <w:rFonts w:eastAsia="Microsoft YaHei" w:cs="Calibri"/>
                <w:color w:val="000000"/>
                <w:highlight w:val="black"/>
              </w:rPr>
              <w:t>*</w:t>
            </w:r>
          </w:p>
        </w:tc>
        <w:tc>
          <w:tcPr>
            <w:tcW w:w="0" w:type="auto"/>
            <w:shd w:val="clear" w:color="auto" w:fill="auto"/>
            <w:noWrap/>
            <w:vAlign w:val="center"/>
            <w:hideMark/>
          </w:tcPr>
          <w:p w14:paraId="2C942EA5" w14:textId="2A97F113" w:rsidR="00E83E6E" w:rsidRPr="00007821" w:rsidRDefault="00007821" w:rsidP="00C31067">
            <w:pPr>
              <w:keepNext/>
              <w:keepLines/>
              <w:jc w:val="center"/>
              <w:rPr>
                <w:rFonts w:eastAsia="Microsoft YaHei" w:cs="Calibri"/>
                <w:color w:val="000000"/>
                <w:highlight w:val="black"/>
              </w:rPr>
            </w:pPr>
            <w:r w:rsidRPr="00007821">
              <w:rPr>
                <w:rFonts w:eastAsia="Microsoft YaHei" w:cs="Calibri"/>
                <w:color w:val="000000"/>
                <w:highlight w:val="black"/>
              </w:rPr>
              <w:t>*</w:t>
            </w:r>
          </w:p>
        </w:tc>
        <w:tc>
          <w:tcPr>
            <w:tcW w:w="0" w:type="auto"/>
            <w:shd w:val="clear" w:color="auto" w:fill="auto"/>
            <w:noWrap/>
            <w:vAlign w:val="center"/>
            <w:hideMark/>
          </w:tcPr>
          <w:p w14:paraId="4BCE3600" w14:textId="3B4AD0C3" w:rsidR="00E83E6E" w:rsidRPr="00007821" w:rsidRDefault="00007821" w:rsidP="00C31067">
            <w:pPr>
              <w:keepNext/>
              <w:keepLines/>
              <w:jc w:val="center"/>
              <w:rPr>
                <w:rFonts w:eastAsia="Microsoft YaHei" w:cs="Calibri"/>
                <w:color w:val="000000"/>
                <w:highlight w:val="black"/>
              </w:rPr>
            </w:pPr>
            <w:r w:rsidRPr="00007821">
              <w:rPr>
                <w:rFonts w:eastAsia="Microsoft YaHei" w:cs="Calibri"/>
                <w:color w:val="000000"/>
                <w:highlight w:val="black"/>
              </w:rPr>
              <w:t>**</w:t>
            </w:r>
          </w:p>
        </w:tc>
      </w:tr>
      <w:tr w:rsidR="00E83E6E" w:rsidRPr="00E83E6E" w14:paraId="1E149C40" w14:textId="77777777" w:rsidTr="0087555D">
        <w:trPr>
          <w:trHeight w:val="300"/>
          <w:jc w:val="center"/>
        </w:trPr>
        <w:tc>
          <w:tcPr>
            <w:tcW w:w="0" w:type="auto"/>
            <w:shd w:val="clear" w:color="auto" w:fill="auto"/>
            <w:noWrap/>
            <w:vAlign w:val="center"/>
            <w:hideMark/>
          </w:tcPr>
          <w:p w14:paraId="62DFEFC5" w14:textId="77777777" w:rsidR="00E83E6E" w:rsidRPr="00E83E6E" w:rsidRDefault="00E83E6E" w:rsidP="00C31067">
            <w:pPr>
              <w:keepNext/>
              <w:keepLines/>
              <w:jc w:val="left"/>
              <w:rPr>
                <w:rFonts w:eastAsia="Microsoft YaHei" w:cs="Calibri"/>
                <w:color w:val="000000"/>
              </w:rPr>
            </w:pPr>
            <w:r w:rsidRPr="00E83E6E">
              <w:rPr>
                <w:rFonts w:eastAsia="Microsoft YaHei" w:cs="Calibri"/>
                <w:color w:val="000000"/>
              </w:rPr>
              <w:t>Industrial</w:t>
            </w:r>
          </w:p>
        </w:tc>
        <w:tc>
          <w:tcPr>
            <w:tcW w:w="0" w:type="auto"/>
            <w:shd w:val="clear" w:color="auto" w:fill="auto"/>
            <w:noWrap/>
            <w:vAlign w:val="center"/>
            <w:hideMark/>
          </w:tcPr>
          <w:p w14:paraId="43FE36FA" w14:textId="77777777" w:rsidR="00E83E6E" w:rsidRPr="00E83E6E" w:rsidRDefault="00E83E6E" w:rsidP="00C31067">
            <w:pPr>
              <w:keepNext/>
              <w:keepLines/>
              <w:jc w:val="left"/>
              <w:rPr>
                <w:rFonts w:eastAsia="Microsoft YaHei" w:cs="Calibri"/>
                <w:color w:val="000000"/>
              </w:rPr>
            </w:pPr>
            <w:r w:rsidRPr="00E83E6E">
              <w:rPr>
                <w:rFonts w:eastAsia="Microsoft YaHei" w:cs="Calibri"/>
                <w:color w:val="000000"/>
              </w:rPr>
              <w:t>Rubber &amp; Plastics</w:t>
            </w:r>
          </w:p>
        </w:tc>
        <w:tc>
          <w:tcPr>
            <w:tcW w:w="0" w:type="auto"/>
            <w:shd w:val="clear" w:color="auto" w:fill="auto"/>
            <w:noWrap/>
            <w:vAlign w:val="center"/>
            <w:hideMark/>
          </w:tcPr>
          <w:p w14:paraId="3E769F1D" w14:textId="37436148" w:rsidR="00E83E6E" w:rsidRPr="00007821" w:rsidRDefault="00007821" w:rsidP="00C31067">
            <w:pPr>
              <w:keepNext/>
              <w:keepLines/>
              <w:jc w:val="center"/>
              <w:rPr>
                <w:rFonts w:eastAsia="Microsoft YaHei" w:cs="Calibri"/>
                <w:color w:val="000000"/>
                <w:highlight w:val="black"/>
              </w:rPr>
            </w:pPr>
            <w:r w:rsidRPr="00007821">
              <w:rPr>
                <w:rFonts w:eastAsia="Microsoft YaHei" w:cs="Calibri"/>
                <w:color w:val="000000"/>
                <w:highlight w:val="black"/>
              </w:rPr>
              <w:t>*</w:t>
            </w:r>
          </w:p>
        </w:tc>
        <w:tc>
          <w:tcPr>
            <w:tcW w:w="0" w:type="auto"/>
            <w:shd w:val="clear" w:color="auto" w:fill="auto"/>
            <w:noWrap/>
            <w:vAlign w:val="center"/>
            <w:hideMark/>
          </w:tcPr>
          <w:p w14:paraId="67C2F094" w14:textId="529CC8CC" w:rsidR="00E83E6E" w:rsidRPr="00007821" w:rsidRDefault="00007821" w:rsidP="00C31067">
            <w:pPr>
              <w:keepNext/>
              <w:keepLines/>
              <w:jc w:val="center"/>
              <w:rPr>
                <w:rFonts w:eastAsia="Microsoft YaHei" w:cs="Calibri"/>
                <w:color w:val="000000"/>
                <w:highlight w:val="black"/>
              </w:rPr>
            </w:pPr>
            <w:r w:rsidRPr="00007821">
              <w:rPr>
                <w:rFonts w:eastAsia="Microsoft YaHei" w:cs="Calibri"/>
                <w:color w:val="000000"/>
                <w:highlight w:val="black"/>
              </w:rPr>
              <w:t>*</w:t>
            </w:r>
          </w:p>
        </w:tc>
        <w:tc>
          <w:tcPr>
            <w:tcW w:w="0" w:type="auto"/>
            <w:shd w:val="clear" w:color="auto" w:fill="auto"/>
            <w:noWrap/>
            <w:vAlign w:val="center"/>
            <w:hideMark/>
          </w:tcPr>
          <w:p w14:paraId="3C943DD3" w14:textId="1354C599" w:rsidR="00E83E6E" w:rsidRPr="00007821" w:rsidRDefault="00007821" w:rsidP="00C31067">
            <w:pPr>
              <w:keepNext/>
              <w:keepLines/>
              <w:jc w:val="center"/>
              <w:rPr>
                <w:rFonts w:eastAsia="Microsoft YaHei" w:cs="Calibri"/>
                <w:color w:val="000000"/>
                <w:highlight w:val="black"/>
              </w:rPr>
            </w:pPr>
            <w:r w:rsidRPr="00007821">
              <w:rPr>
                <w:rFonts w:eastAsia="Microsoft YaHei" w:cs="Calibri"/>
                <w:color w:val="000000"/>
                <w:highlight w:val="black"/>
              </w:rPr>
              <w:t>**</w:t>
            </w:r>
          </w:p>
        </w:tc>
      </w:tr>
      <w:tr w:rsidR="00E83E6E" w:rsidRPr="00E83E6E" w14:paraId="04493C25" w14:textId="77777777" w:rsidTr="0087555D">
        <w:trPr>
          <w:trHeight w:val="300"/>
          <w:jc w:val="center"/>
        </w:trPr>
        <w:tc>
          <w:tcPr>
            <w:tcW w:w="0" w:type="auto"/>
            <w:shd w:val="clear" w:color="auto" w:fill="auto"/>
            <w:noWrap/>
            <w:vAlign w:val="center"/>
            <w:hideMark/>
          </w:tcPr>
          <w:p w14:paraId="17BAF980" w14:textId="77777777" w:rsidR="00E83E6E" w:rsidRPr="00E83E6E" w:rsidRDefault="00E83E6E" w:rsidP="00C31067">
            <w:pPr>
              <w:keepNext/>
              <w:keepLines/>
              <w:jc w:val="left"/>
              <w:rPr>
                <w:rFonts w:eastAsia="Microsoft YaHei" w:cs="Calibri"/>
                <w:color w:val="000000"/>
              </w:rPr>
            </w:pPr>
            <w:r w:rsidRPr="00E83E6E">
              <w:rPr>
                <w:rFonts w:eastAsia="Microsoft YaHei" w:cs="Calibri"/>
                <w:color w:val="000000"/>
              </w:rPr>
              <w:t>Industrial</w:t>
            </w:r>
          </w:p>
        </w:tc>
        <w:tc>
          <w:tcPr>
            <w:tcW w:w="0" w:type="auto"/>
            <w:shd w:val="clear" w:color="auto" w:fill="auto"/>
            <w:noWrap/>
            <w:vAlign w:val="center"/>
            <w:hideMark/>
          </w:tcPr>
          <w:p w14:paraId="7B026A74" w14:textId="77777777" w:rsidR="00E83E6E" w:rsidRPr="00E83E6E" w:rsidRDefault="00E83E6E" w:rsidP="00C31067">
            <w:pPr>
              <w:keepNext/>
              <w:keepLines/>
              <w:jc w:val="left"/>
              <w:rPr>
                <w:rFonts w:eastAsia="Microsoft YaHei" w:cs="Calibri"/>
                <w:color w:val="000000"/>
              </w:rPr>
            </w:pPr>
            <w:r w:rsidRPr="00E83E6E">
              <w:rPr>
                <w:rFonts w:eastAsia="Microsoft YaHei" w:cs="Calibri"/>
                <w:color w:val="000000"/>
              </w:rPr>
              <w:t>Stone Clay and Glass</w:t>
            </w:r>
          </w:p>
        </w:tc>
        <w:tc>
          <w:tcPr>
            <w:tcW w:w="0" w:type="auto"/>
            <w:shd w:val="clear" w:color="auto" w:fill="auto"/>
            <w:noWrap/>
            <w:vAlign w:val="center"/>
            <w:hideMark/>
          </w:tcPr>
          <w:p w14:paraId="626376AB" w14:textId="4BD253D8" w:rsidR="00E83E6E" w:rsidRPr="00007821" w:rsidRDefault="00007821" w:rsidP="00C31067">
            <w:pPr>
              <w:keepNext/>
              <w:keepLines/>
              <w:jc w:val="center"/>
              <w:rPr>
                <w:rFonts w:eastAsia="Microsoft YaHei" w:cs="Calibri"/>
                <w:color w:val="000000"/>
                <w:highlight w:val="black"/>
              </w:rPr>
            </w:pPr>
            <w:r w:rsidRPr="00007821">
              <w:rPr>
                <w:rFonts w:eastAsia="Microsoft YaHei" w:cs="Calibri"/>
                <w:color w:val="000000"/>
                <w:highlight w:val="black"/>
              </w:rPr>
              <w:t>*</w:t>
            </w:r>
          </w:p>
        </w:tc>
        <w:tc>
          <w:tcPr>
            <w:tcW w:w="0" w:type="auto"/>
            <w:shd w:val="clear" w:color="auto" w:fill="auto"/>
            <w:noWrap/>
            <w:vAlign w:val="center"/>
            <w:hideMark/>
          </w:tcPr>
          <w:p w14:paraId="1CCC6646" w14:textId="205887E0" w:rsidR="00E83E6E" w:rsidRPr="00007821" w:rsidRDefault="00007821" w:rsidP="00C31067">
            <w:pPr>
              <w:keepNext/>
              <w:keepLines/>
              <w:jc w:val="center"/>
              <w:rPr>
                <w:rFonts w:eastAsia="Microsoft YaHei" w:cs="Calibri"/>
                <w:color w:val="000000"/>
                <w:highlight w:val="black"/>
              </w:rPr>
            </w:pPr>
            <w:r w:rsidRPr="00007821">
              <w:rPr>
                <w:rFonts w:eastAsia="Microsoft YaHei" w:cs="Calibri"/>
                <w:color w:val="000000"/>
                <w:highlight w:val="black"/>
              </w:rPr>
              <w:t>*</w:t>
            </w:r>
          </w:p>
        </w:tc>
        <w:tc>
          <w:tcPr>
            <w:tcW w:w="0" w:type="auto"/>
            <w:shd w:val="clear" w:color="auto" w:fill="auto"/>
            <w:noWrap/>
            <w:vAlign w:val="center"/>
            <w:hideMark/>
          </w:tcPr>
          <w:p w14:paraId="687C5156" w14:textId="53670E56" w:rsidR="00E83E6E" w:rsidRPr="00007821" w:rsidRDefault="00007821" w:rsidP="00C31067">
            <w:pPr>
              <w:keepNext/>
              <w:keepLines/>
              <w:jc w:val="center"/>
              <w:rPr>
                <w:rFonts w:eastAsia="Microsoft YaHei" w:cs="Calibri"/>
                <w:color w:val="000000"/>
                <w:highlight w:val="black"/>
              </w:rPr>
            </w:pPr>
            <w:r w:rsidRPr="00007821">
              <w:rPr>
                <w:rFonts w:eastAsia="Microsoft YaHei" w:cs="Calibri"/>
                <w:color w:val="000000"/>
                <w:highlight w:val="black"/>
              </w:rPr>
              <w:t>**</w:t>
            </w:r>
          </w:p>
        </w:tc>
      </w:tr>
      <w:tr w:rsidR="00E83E6E" w:rsidRPr="00E83E6E" w14:paraId="0466E2F9" w14:textId="77777777" w:rsidTr="0087555D">
        <w:trPr>
          <w:trHeight w:val="300"/>
          <w:jc w:val="center"/>
        </w:trPr>
        <w:tc>
          <w:tcPr>
            <w:tcW w:w="0" w:type="auto"/>
            <w:shd w:val="clear" w:color="auto" w:fill="auto"/>
            <w:noWrap/>
            <w:vAlign w:val="center"/>
            <w:hideMark/>
          </w:tcPr>
          <w:p w14:paraId="0894FA23" w14:textId="77777777" w:rsidR="00E83E6E" w:rsidRPr="00E83E6E" w:rsidRDefault="00E83E6E" w:rsidP="00C31067">
            <w:pPr>
              <w:keepNext/>
              <w:keepLines/>
              <w:jc w:val="left"/>
              <w:rPr>
                <w:rFonts w:eastAsia="Microsoft YaHei" w:cs="Calibri"/>
                <w:color w:val="000000"/>
              </w:rPr>
            </w:pPr>
            <w:r w:rsidRPr="00E83E6E">
              <w:rPr>
                <w:rFonts w:eastAsia="Microsoft YaHei" w:cs="Calibri"/>
                <w:color w:val="000000"/>
              </w:rPr>
              <w:t>Industrial</w:t>
            </w:r>
          </w:p>
        </w:tc>
        <w:tc>
          <w:tcPr>
            <w:tcW w:w="0" w:type="auto"/>
            <w:shd w:val="clear" w:color="auto" w:fill="auto"/>
            <w:noWrap/>
            <w:vAlign w:val="center"/>
            <w:hideMark/>
          </w:tcPr>
          <w:p w14:paraId="564CC803" w14:textId="77777777" w:rsidR="00E83E6E" w:rsidRPr="00E83E6E" w:rsidRDefault="00E83E6E" w:rsidP="00C31067">
            <w:pPr>
              <w:keepNext/>
              <w:keepLines/>
              <w:jc w:val="left"/>
              <w:rPr>
                <w:rFonts w:eastAsia="Microsoft YaHei" w:cs="Calibri"/>
                <w:color w:val="000000"/>
              </w:rPr>
            </w:pPr>
            <w:r w:rsidRPr="00E83E6E">
              <w:rPr>
                <w:rFonts w:eastAsia="Microsoft YaHei" w:cs="Calibri"/>
                <w:color w:val="000000"/>
              </w:rPr>
              <w:t>Textiles</w:t>
            </w:r>
          </w:p>
        </w:tc>
        <w:tc>
          <w:tcPr>
            <w:tcW w:w="0" w:type="auto"/>
            <w:shd w:val="clear" w:color="auto" w:fill="auto"/>
            <w:noWrap/>
            <w:vAlign w:val="center"/>
            <w:hideMark/>
          </w:tcPr>
          <w:p w14:paraId="009B1986" w14:textId="46407A5B" w:rsidR="00E83E6E" w:rsidRPr="00007821" w:rsidRDefault="00007821" w:rsidP="00C31067">
            <w:pPr>
              <w:keepNext/>
              <w:keepLines/>
              <w:jc w:val="center"/>
              <w:rPr>
                <w:rFonts w:eastAsia="Microsoft YaHei" w:cs="Calibri"/>
                <w:color w:val="000000"/>
                <w:highlight w:val="black"/>
              </w:rPr>
            </w:pPr>
            <w:r w:rsidRPr="00007821">
              <w:rPr>
                <w:rFonts w:eastAsia="Microsoft YaHei" w:cs="Calibri"/>
                <w:color w:val="000000"/>
                <w:highlight w:val="black"/>
              </w:rPr>
              <w:t>*</w:t>
            </w:r>
          </w:p>
        </w:tc>
        <w:tc>
          <w:tcPr>
            <w:tcW w:w="0" w:type="auto"/>
            <w:shd w:val="clear" w:color="auto" w:fill="auto"/>
            <w:noWrap/>
            <w:vAlign w:val="center"/>
            <w:hideMark/>
          </w:tcPr>
          <w:p w14:paraId="592EE698" w14:textId="0126C88B" w:rsidR="00E83E6E" w:rsidRPr="00007821" w:rsidRDefault="00007821" w:rsidP="00C31067">
            <w:pPr>
              <w:keepNext/>
              <w:keepLines/>
              <w:jc w:val="center"/>
              <w:rPr>
                <w:rFonts w:eastAsia="Microsoft YaHei" w:cs="Calibri"/>
                <w:color w:val="000000"/>
                <w:highlight w:val="black"/>
              </w:rPr>
            </w:pPr>
            <w:r w:rsidRPr="00007821">
              <w:rPr>
                <w:rFonts w:eastAsia="Microsoft YaHei" w:cs="Calibri"/>
                <w:color w:val="000000"/>
                <w:highlight w:val="black"/>
              </w:rPr>
              <w:t>*</w:t>
            </w:r>
          </w:p>
        </w:tc>
        <w:tc>
          <w:tcPr>
            <w:tcW w:w="0" w:type="auto"/>
            <w:shd w:val="clear" w:color="auto" w:fill="auto"/>
            <w:noWrap/>
            <w:vAlign w:val="center"/>
            <w:hideMark/>
          </w:tcPr>
          <w:p w14:paraId="775148E8" w14:textId="1A445599" w:rsidR="00E83E6E" w:rsidRPr="00007821" w:rsidRDefault="00007821" w:rsidP="00C31067">
            <w:pPr>
              <w:keepNext/>
              <w:keepLines/>
              <w:jc w:val="center"/>
              <w:rPr>
                <w:rFonts w:eastAsia="Microsoft YaHei" w:cs="Calibri"/>
                <w:color w:val="000000"/>
                <w:highlight w:val="black"/>
              </w:rPr>
            </w:pPr>
            <w:r w:rsidRPr="00007821">
              <w:rPr>
                <w:rFonts w:eastAsia="Microsoft YaHei" w:cs="Calibri"/>
                <w:color w:val="000000"/>
                <w:highlight w:val="black"/>
              </w:rPr>
              <w:t>**</w:t>
            </w:r>
          </w:p>
        </w:tc>
      </w:tr>
      <w:tr w:rsidR="00E83E6E" w:rsidRPr="00E83E6E" w14:paraId="0E43976F" w14:textId="77777777" w:rsidTr="0087555D">
        <w:trPr>
          <w:trHeight w:val="300"/>
          <w:jc w:val="center"/>
        </w:trPr>
        <w:tc>
          <w:tcPr>
            <w:tcW w:w="0" w:type="auto"/>
            <w:shd w:val="clear" w:color="auto" w:fill="auto"/>
            <w:noWrap/>
            <w:vAlign w:val="center"/>
            <w:hideMark/>
          </w:tcPr>
          <w:p w14:paraId="7A1E1324" w14:textId="77777777" w:rsidR="00E83E6E" w:rsidRPr="00E83E6E" w:rsidRDefault="00E83E6E" w:rsidP="00C31067">
            <w:pPr>
              <w:keepNext/>
              <w:keepLines/>
              <w:jc w:val="left"/>
              <w:rPr>
                <w:rFonts w:eastAsia="Microsoft YaHei" w:cs="Calibri"/>
                <w:color w:val="000000"/>
              </w:rPr>
            </w:pPr>
            <w:r w:rsidRPr="00E83E6E">
              <w:rPr>
                <w:rFonts w:eastAsia="Microsoft YaHei" w:cs="Calibri"/>
                <w:color w:val="000000"/>
              </w:rPr>
              <w:t>Industrial</w:t>
            </w:r>
          </w:p>
        </w:tc>
        <w:tc>
          <w:tcPr>
            <w:tcW w:w="0" w:type="auto"/>
            <w:shd w:val="clear" w:color="auto" w:fill="auto"/>
            <w:noWrap/>
            <w:vAlign w:val="center"/>
            <w:hideMark/>
          </w:tcPr>
          <w:p w14:paraId="6ED13E1E" w14:textId="77777777" w:rsidR="00E83E6E" w:rsidRPr="00E83E6E" w:rsidRDefault="00E83E6E" w:rsidP="00C31067">
            <w:pPr>
              <w:keepNext/>
              <w:keepLines/>
              <w:jc w:val="left"/>
              <w:rPr>
                <w:rFonts w:eastAsia="Microsoft YaHei" w:cs="Calibri"/>
                <w:color w:val="000000"/>
              </w:rPr>
            </w:pPr>
            <w:r w:rsidRPr="00E83E6E">
              <w:rPr>
                <w:rFonts w:eastAsia="Microsoft YaHei" w:cs="Calibri"/>
                <w:color w:val="000000"/>
              </w:rPr>
              <w:t>Transportation</w:t>
            </w:r>
          </w:p>
        </w:tc>
        <w:tc>
          <w:tcPr>
            <w:tcW w:w="0" w:type="auto"/>
            <w:shd w:val="clear" w:color="auto" w:fill="auto"/>
            <w:noWrap/>
            <w:vAlign w:val="center"/>
            <w:hideMark/>
          </w:tcPr>
          <w:p w14:paraId="4C0776E8" w14:textId="5A53A472" w:rsidR="00E83E6E" w:rsidRPr="00007821" w:rsidRDefault="00007821" w:rsidP="00C31067">
            <w:pPr>
              <w:keepNext/>
              <w:keepLines/>
              <w:jc w:val="center"/>
              <w:rPr>
                <w:rFonts w:eastAsia="Microsoft YaHei" w:cs="Calibri"/>
                <w:color w:val="000000"/>
                <w:highlight w:val="black"/>
              </w:rPr>
            </w:pPr>
            <w:r w:rsidRPr="00007821">
              <w:rPr>
                <w:rFonts w:eastAsia="Microsoft YaHei" w:cs="Calibri"/>
                <w:color w:val="000000"/>
                <w:highlight w:val="black"/>
              </w:rPr>
              <w:t>*</w:t>
            </w:r>
          </w:p>
        </w:tc>
        <w:tc>
          <w:tcPr>
            <w:tcW w:w="0" w:type="auto"/>
            <w:shd w:val="clear" w:color="auto" w:fill="auto"/>
            <w:noWrap/>
            <w:vAlign w:val="center"/>
            <w:hideMark/>
          </w:tcPr>
          <w:p w14:paraId="5569772D" w14:textId="64F63E83" w:rsidR="00E83E6E" w:rsidRPr="00007821" w:rsidRDefault="00007821" w:rsidP="00C31067">
            <w:pPr>
              <w:keepNext/>
              <w:keepLines/>
              <w:jc w:val="center"/>
              <w:rPr>
                <w:rFonts w:eastAsia="Microsoft YaHei" w:cs="Calibri"/>
                <w:color w:val="000000"/>
                <w:highlight w:val="black"/>
              </w:rPr>
            </w:pPr>
            <w:r w:rsidRPr="00007821">
              <w:rPr>
                <w:rFonts w:eastAsia="Microsoft YaHei" w:cs="Calibri"/>
                <w:color w:val="000000"/>
                <w:highlight w:val="black"/>
              </w:rPr>
              <w:t>*</w:t>
            </w:r>
          </w:p>
        </w:tc>
        <w:tc>
          <w:tcPr>
            <w:tcW w:w="0" w:type="auto"/>
            <w:shd w:val="clear" w:color="auto" w:fill="auto"/>
            <w:noWrap/>
            <w:vAlign w:val="center"/>
            <w:hideMark/>
          </w:tcPr>
          <w:p w14:paraId="4A0DCB78" w14:textId="0FA0BDF2" w:rsidR="00E83E6E" w:rsidRPr="00007821" w:rsidRDefault="00007821" w:rsidP="00C31067">
            <w:pPr>
              <w:keepNext/>
              <w:keepLines/>
              <w:jc w:val="center"/>
              <w:rPr>
                <w:rFonts w:eastAsia="Microsoft YaHei" w:cs="Calibri"/>
                <w:color w:val="000000"/>
                <w:highlight w:val="black"/>
              </w:rPr>
            </w:pPr>
            <w:r w:rsidRPr="00007821">
              <w:rPr>
                <w:rFonts w:eastAsia="Microsoft YaHei" w:cs="Calibri"/>
                <w:color w:val="000000"/>
                <w:highlight w:val="black"/>
              </w:rPr>
              <w:t>**</w:t>
            </w:r>
          </w:p>
        </w:tc>
      </w:tr>
      <w:tr w:rsidR="00E83E6E" w:rsidRPr="00E83E6E" w14:paraId="513D8142" w14:textId="77777777" w:rsidTr="0087555D">
        <w:trPr>
          <w:trHeight w:val="300"/>
          <w:jc w:val="center"/>
        </w:trPr>
        <w:tc>
          <w:tcPr>
            <w:tcW w:w="0" w:type="auto"/>
            <w:shd w:val="clear" w:color="auto" w:fill="auto"/>
            <w:noWrap/>
            <w:vAlign w:val="center"/>
            <w:hideMark/>
          </w:tcPr>
          <w:p w14:paraId="521532D2" w14:textId="77777777" w:rsidR="00E83E6E" w:rsidRPr="00E83E6E" w:rsidRDefault="00E83E6E" w:rsidP="00C31067">
            <w:pPr>
              <w:keepNext/>
              <w:keepLines/>
              <w:jc w:val="left"/>
              <w:rPr>
                <w:rFonts w:eastAsia="Microsoft YaHei" w:cs="Calibri"/>
                <w:color w:val="000000"/>
              </w:rPr>
            </w:pPr>
            <w:r w:rsidRPr="00E83E6E">
              <w:rPr>
                <w:rFonts w:eastAsia="Microsoft YaHei" w:cs="Calibri"/>
                <w:color w:val="000000"/>
              </w:rPr>
              <w:t>Industrial</w:t>
            </w:r>
          </w:p>
        </w:tc>
        <w:tc>
          <w:tcPr>
            <w:tcW w:w="0" w:type="auto"/>
            <w:shd w:val="clear" w:color="auto" w:fill="auto"/>
            <w:noWrap/>
            <w:vAlign w:val="center"/>
            <w:hideMark/>
          </w:tcPr>
          <w:p w14:paraId="124B96A8" w14:textId="77777777" w:rsidR="00E83E6E" w:rsidRPr="00E83E6E" w:rsidRDefault="00E83E6E" w:rsidP="00C31067">
            <w:pPr>
              <w:keepNext/>
              <w:keepLines/>
              <w:jc w:val="left"/>
              <w:rPr>
                <w:rFonts w:eastAsia="Microsoft YaHei" w:cs="Calibri"/>
                <w:color w:val="000000"/>
              </w:rPr>
            </w:pPr>
            <w:r w:rsidRPr="00E83E6E">
              <w:rPr>
                <w:rFonts w:eastAsia="Microsoft YaHei" w:cs="Calibri"/>
                <w:color w:val="000000"/>
              </w:rPr>
              <w:t>Beverage</w:t>
            </w:r>
          </w:p>
        </w:tc>
        <w:tc>
          <w:tcPr>
            <w:tcW w:w="0" w:type="auto"/>
            <w:shd w:val="clear" w:color="auto" w:fill="auto"/>
            <w:noWrap/>
            <w:vAlign w:val="center"/>
            <w:hideMark/>
          </w:tcPr>
          <w:p w14:paraId="45F29D22" w14:textId="6093E21E" w:rsidR="00E83E6E" w:rsidRPr="00007821" w:rsidRDefault="00007821" w:rsidP="00C31067">
            <w:pPr>
              <w:keepNext/>
              <w:keepLines/>
              <w:jc w:val="center"/>
              <w:rPr>
                <w:rFonts w:eastAsia="Microsoft YaHei" w:cs="Calibri"/>
                <w:color w:val="000000"/>
                <w:highlight w:val="black"/>
              </w:rPr>
            </w:pPr>
            <w:r w:rsidRPr="00007821">
              <w:rPr>
                <w:rFonts w:eastAsia="Microsoft YaHei" w:cs="Calibri"/>
                <w:color w:val="000000"/>
                <w:highlight w:val="black"/>
              </w:rPr>
              <w:t>*</w:t>
            </w:r>
          </w:p>
        </w:tc>
        <w:tc>
          <w:tcPr>
            <w:tcW w:w="0" w:type="auto"/>
            <w:shd w:val="clear" w:color="auto" w:fill="auto"/>
            <w:noWrap/>
            <w:vAlign w:val="center"/>
            <w:hideMark/>
          </w:tcPr>
          <w:p w14:paraId="07830A54" w14:textId="5E0819F5" w:rsidR="00E83E6E" w:rsidRPr="00007821" w:rsidRDefault="00007821" w:rsidP="00C31067">
            <w:pPr>
              <w:keepNext/>
              <w:keepLines/>
              <w:jc w:val="center"/>
              <w:rPr>
                <w:rFonts w:eastAsia="Microsoft YaHei" w:cs="Calibri"/>
                <w:color w:val="000000"/>
                <w:highlight w:val="black"/>
              </w:rPr>
            </w:pPr>
            <w:r w:rsidRPr="00007821">
              <w:rPr>
                <w:rFonts w:eastAsia="Microsoft YaHei" w:cs="Calibri"/>
                <w:color w:val="000000"/>
                <w:highlight w:val="black"/>
              </w:rPr>
              <w:t>*</w:t>
            </w:r>
          </w:p>
        </w:tc>
        <w:tc>
          <w:tcPr>
            <w:tcW w:w="0" w:type="auto"/>
            <w:shd w:val="clear" w:color="auto" w:fill="auto"/>
            <w:noWrap/>
            <w:vAlign w:val="center"/>
            <w:hideMark/>
          </w:tcPr>
          <w:p w14:paraId="492FFE59" w14:textId="7E4134B0" w:rsidR="00E83E6E" w:rsidRPr="00007821" w:rsidRDefault="00007821" w:rsidP="00C31067">
            <w:pPr>
              <w:keepNext/>
              <w:keepLines/>
              <w:jc w:val="center"/>
              <w:rPr>
                <w:rFonts w:eastAsia="Microsoft YaHei" w:cs="Calibri"/>
                <w:color w:val="000000"/>
                <w:highlight w:val="black"/>
              </w:rPr>
            </w:pPr>
            <w:r w:rsidRPr="00007821">
              <w:rPr>
                <w:rFonts w:eastAsia="Microsoft YaHei" w:cs="Calibri"/>
                <w:color w:val="000000"/>
                <w:highlight w:val="black"/>
              </w:rPr>
              <w:t>**</w:t>
            </w:r>
          </w:p>
        </w:tc>
      </w:tr>
      <w:tr w:rsidR="00E83E6E" w:rsidRPr="00E83E6E" w14:paraId="19D9FEEE" w14:textId="77777777" w:rsidTr="0087555D">
        <w:trPr>
          <w:trHeight w:val="300"/>
          <w:jc w:val="center"/>
        </w:trPr>
        <w:tc>
          <w:tcPr>
            <w:tcW w:w="0" w:type="auto"/>
            <w:shd w:val="clear" w:color="auto" w:fill="auto"/>
            <w:noWrap/>
            <w:vAlign w:val="center"/>
            <w:hideMark/>
          </w:tcPr>
          <w:p w14:paraId="3F94B484" w14:textId="77777777" w:rsidR="00E83E6E" w:rsidRPr="00E83E6E" w:rsidRDefault="00E83E6E" w:rsidP="00C31067">
            <w:pPr>
              <w:keepNext/>
              <w:keepLines/>
              <w:jc w:val="left"/>
              <w:rPr>
                <w:rFonts w:eastAsia="Microsoft YaHei" w:cs="Calibri"/>
                <w:color w:val="000000"/>
              </w:rPr>
            </w:pPr>
            <w:r w:rsidRPr="00E83E6E">
              <w:rPr>
                <w:rFonts w:eastAsia="Microsoft YaHei" w:cs="Calibri"/>
                <w:color w:val="000000"/>
              </w:rPr>
              <w:t>Industrial</w:t>
            </w:r>
          </w:p>
        </w:tc>
        <w:tc>
          <w:tcPr>
            <w:tcW w:w="0" w:type="auto"/>
            <w:shd w:val="clear" w:color="auto" w:fill="auto"/>
            <w:noWrap/>
            <w:vAlign w:val="center"/>
            <w:hideMark/>
          </w:tcPr>
          <w:p w14:paraId="46DE093D" w14:textId="77777777" w:rsidR="00E83E6E" w:rsidRPr="00E83E6E" w:rsidRDefault="00E83E6E" w:rsidP="00C31067">
            <w:pPr>
              <w:keepNext/>
              <w:keepLines/>
              <w:jc w:val="left"/>
              <w:rPr>
                <w:rFonts w:eastAsia="Microsoft YaHei" w:cs="Calibri"/>
                <w:color w:val="000000"/>
              </w:rPr>
            </w:pPr>
            <w:r w:rsidRPr="00E83E6E">
              <w:rPr>
                <w:rFonts w:eastAsia="Microsoft YaHei" w:cs="Calibri"/>
                <w:color w:val="000000"/>
              </w:rPr>
              <w:t>Brake Manufacturing</w:t>
            </w:r>
          </w:p>
        </w:tc>
        <w:tc>
          <w:tcPr>
            <w:tcW w:w="0" w:type="auto"/>
            <w:shd w:val="clear" w:color="auto" w:fill="auto"/>
            <w:noWrap/>
            <w:vAlign w:val="center"/>
            <w:hideMark/>
          </w:tcPr>
          <w:p w14:paraId="27B2698E" w14:textId="092021BD" w:rsidR="00E83E6E" w:rsidRPr="00007821" w:rsidRDefault="00007821" w:rsidP="00C31067">
            <w:pPr>
              <w:keepNext/>
              <w:keepLines/>
              <w:jc w:val="center"/>
              <w:rPr>
                <w:rFonts w:eastAsia="Microsoft YaHei" w:cs="Calibri"/>
                <w:color w:val="000000"/>
                <w:highlight w:val="black"/>
              </w:rPr>
            </w:pPr>
            <w:r w:rsidRPr="00007821">
              <w:rPr>
                <w:rFonts w:eastAsia="Microsoft YaHei" w:cs="Calibri"/>
                <w:color w:val="000000"/>
                <w:highlight w:val="black"/>
              </w:rPr>
              <w:t>*</w:t>
            </w:r>
          </w:p>
        </w:tc>
        <w:tc>
          <w:tcPr>
            <w:tcW w:w="0" w:type="auto"/>
            <w:shd w:val="clear" w:color="auto" w:fill="auto"/>
            <w:noWrap/>
            <w:vAlign w:val="center"/>
            <w:hideMark/>
          </w:tcPr>
          <w:p w14:paraId="02882B61" w14:textId="4CBCCFBE" w:rsidR="00E83E6E" w:rsidRPr="00007821" w:rsidRDefault="00007821" w:rsidP="00C31067">
            <w:pPr>
              <w:keepNext/>
              <w:keepLines/>
              <w:jc w:val="center"/>
              <w:rPr>
                <w:rFonts w:eastAsia="Microsoft YaHei" w:cs="Calibri"/>
                <w:color w:val="000000"/>
                <w:highlight w:val="black"/>
              </w:rPr>
            </w:pPr>
            <w:r w:rsidRPr="00007821">
              <w:rPr>
                <w:rFonts w:eastAsia="Microsoft YaHei" w:cs="Calibri"/>
                <w:color w:val="000000"/>
                <w:highlight w:val="black"/>
              </w:rPr>
              <w:t>*</w:t>
            </w:r>
          </w:p>
        </w:tc>
        <w:tc>
          <w:tcPr>
            <w:tcW w:w="0" w:type="auto"/>
            <w:shd w:val="clear" w:color="auto" w:fill="auto"/>
            <w:noWrap/>
            <w:vAlign w:val="center"/>
            <w:hideMark/>
          </w:tcPr>
          <w:p w14:paraId="3CF4E3F5" w14:textId="7D2F6474" w:rsidR="00E83E6E" w:rsidRPr="00007821" w:rsidRDefault="00007821" w:rsidP="00C31067">
            <w:pPr>
              <w:keepNext/>
              <w:keepLines/>
              <w:jc w:val="center"/>
              <w:rPr>
                <w:rFonts w:eastAsia="Microsoft YaHei" w:cs="Calibri"/>
                <w:color w:val="000000"/>
                <w:highlight w:val="black"/>
              </w:rPr>
            </w:pPr>
            <w:r w:rsidRPr="00007821">
              <w:rPr>
                <w:rFonts w:eastAsia="Microsoft YaHei" w:cs="Calibri"/>
                <w:color w:val="000000"/>
                <w:highlight w:val="black"/>
              </w:rPr>
              <w:t>**</w:t>
            </w:r>
          </w:p>
        </w:tc>
      </w:tr>
      <w:tr w:rsidR="00E83E6E" w:rsidRPr="00E83E6E" w14:paraId="28AD1814" w14:textId="77777777" w:rsidTr="0087555D">
        <w:trPr>
          <w:trHeight w:val="300"/>
          <w:jc w:val="center"/>
        </w:trPr>
        <w:tc>
          <w:tcPr>
            <w:tcW w:w="0" w:type="auto"/>
            <w:shd w:val="clear" w:color="auto" w:fill="auto"/>
            <w:noWrap/>
            <w:vAlign w:val="center"/>
            <w:hideMark/>
          </w:tcPr>
          <w:p w14:paraId="5B15C188" w14:textId="77777777" w:rsidR="00E83E6E" w:rsidRPr="00E83E6E" w:rsidRDefault="00E83E6E" w:rsidP="00C31067">
            <w:pPr>
              <w:keepNext/>
              <w:keepLines/>
              <w:jc w:val="left"/>
              <w:rPr>
                <w:rFonts w:eastAsia="Microsoft YaHei" w:cs="Calibri"/>
                <w:color w:val="000000"/>
              </w:rPr>
            </w:pPr>
            <w:r w:rsidRPr="00E83E6E">
              <w:rPr>
                <w:rFonts w:eastAsia="Microsoft YaHei" w:cs="Calibri"/>
                <w:color w:val="000000"/>
              </w:rPr>
              <w:t>Industrial</w:t>
            </w:r>
          </w:p>
        </w:tc>
        <w:tc>
          <w:tcPr>
            <w:tcW w:w="0" w:type="auto"/>
            <w:shd w:val="clear" w:color="auto" w:fill="auto"/>
            <w:noWrap/>
            <w:vAlign w:val="center"/>
            <w:hideMark/>
          </w:tcPr>
          <w:p w14:paraId="6CAE6CC6" w14:textId="77777777" w:rsidR="00E83E6E" w:rsidRPr="00E83E6E" w:rsidRDefault="00E83E6E" w:rsidP="00C31067">
            <w:pPr>
              <w:keepNext/>
              <w:keepLines/>
              <w:jc w:val="left"/>
              <w:rPr>
                <w:rFonts w:eastAsia="Microsoft YaHei" w:cs="Calibri"/>
                <w:color w:val="000000"/>
              </w:rPr>
            </w:pPr>
            <w:r w:rsidRPr="00E83E6E">
              <w:rPr>
                <w:rFonts w:eastAsia="Microsoft YaHei" w:cs="Calibri"/>
                <w:color w:val="000000"/>
              </w:rPr>
              <w:t xml:space="preserve">Medical </w:t>
            </w:r>
            <w:proofErr w:type="spellStart"/>
            <w:r w:rsidRPr="00E83E6E">
              <w:rPr>
                <w:rFonts w:eastAsia="Microsoft YaHei" w:cs="Calibri"/>
                <w:color w:val="000000"/>
              </w:rPr>
              <w:t>Microb</w:t>
            </w:r>
            <w:proofErr w:type="spellEnd"/>
            <w:r w:rsidRPr="00E83E6E">
              <w:rPr>
                <w:rFonts w:eastAsia="Microsoft YaHei" w:cs="Calibri"/>
                <w:color w:val="000000"/>
              </w:rPr>
              <w:t xml:space="preserve"> Manufacturer</w:t>
            </w:r>
          </w:p>
        </w:tc>
        <w:tc>
          <w:tcPr>
            <w:tcW w:w="0" w:type="auto"/>
            <w:shd w:val="clear" w:color="auto" w:fill="auto"/>
            <w:noWrap/>
            <w:vAlign w:val="center"/>
            <w:hideMark/>
          </w:tcPr>
          <w:p w14:paraId="27B5162F" w14:textId="72E46455" w:rsidR="00E83E6E" w:rsidRPr="00007821" w:rsidRDefault="00007821" w:rsidP="00C31067">
            <w:pPr>
              <w:keepNext/>
              <w:keepLines/>
              <w:jc w:val="center"/>
              <w:rPr>
                <w:rFonts w:eastAsia="Microsoft YaHei" w:cs="Calibri"/>
                <w:color w:val="000000"/>
                <w:highlight w:val="black"/>
              </w:rPr>
            </w:pPr>
            <w:r w:rsidRPr="00007821">
              <w:rPr>
                <w:rFonts w:eastAsia="Microsoft YaHei" w:cs="Calibri"/>
                <w:color w:val="000000"/>
                <w:highlight w:val="black"/>
              </w:rPr>
              <w:t>*</w:t>
            </w:r>
          </w:p>
        </w:tc>
        <w:tc>
          <w:tcPr>
            <w:tcW w:w="0" w:type="auto"/>
            <w:shd w:val="clear" w:color="auto" w:fill="auto"/>
            <w:noWrap/>
            <w:vAlign w:val="center"/>
            <w:hideMark/>
          </w:tcPr>
          <w:p w14:paraId="6920D174" w14:textId="2F637567" w:rsidR="00E83E6E" w:rsidRPr="00007821" w:rsidRDefault="00007821" w:rsidP="00C31067">
            <w:pPr>
              <w:keepNext/>
              <w:keepLines/>
              <w:jc w:val="center"/>
              <w:rPr>
                <w:rFonts w:eastAsia="Microsoft YaHei" w:cs="Calibri"/>
                <w:color w:val="000000"/>
                <w:highlight w:val="black"/>
              </w:rPr>
            </w:pPr>
            <w:r w:rsidRPr="00007821">
              <w:rPr>
                <w:rFonts w:eastAsia="Microsoft YaHei" w:cs="Calibri"/>
                <w:color w:val="000000"/>
                <w:highlight w:val="black"/>
              </w:rPr>
              <w:t>*</w:t>
            </w:r>
          </w:p>
        </w:tc>
        <w:tc>
          <w:tcPr>
            <w:tcW w:w="0" w:type="auto"/>
            <w:shd w:val="clear" w:color="auto" w:fill="auto"/>
            <w:noWrap/>
            <w:vAlign w:val="center"/>
            <w:hideMark/>
          </w:tcPr>
          <w:p w14:paraId="2B103AD0" w14:textId="4D9B8291" w:rsidR="00E83E6E" w:rsidRPr="00007821" w:rsidRDefault="00007821" w:rsidP="00C31067">
            <w:pPr>
              <w:keepNext/>
              <w:keepLines/>
              <w:jc w:val="center"/>
              <w:rPr>
                <w:rFonts w:eastAsia="Microsoft YaHei" w:cs="Calibri"/>
                <w:color w:val="000000"/>
                <w:highlight w:val="black"/>
              </w:rPr>
            </w:pPr>
            <w:r w:rsidRPr="00007821">
              <w:rPr>
                <w:rFonts w:eastAsia="Microsoft YaHei" w:cs="Calibri"/>
                <w:color w:val="000000"/>
                <w:highlight w:val="black"/>
              </w:rPr>
              <w:t>**</w:t>
            </w:r>
          </w:p>
        </w:tc>
      </w:tr>
      <w:tr w:rsidR="00E83E6E" w:rsidRPr="00E83E6E" w14:paraId="143B6A87" w14:textId="77777777" w:rsidTr="0087555D">
        <w:trPr>
          <w:trHeight w:val="300"/>
          <w:jc w:val="center"/>
        </w:trPr>
        <w:tc>
          <w:tcPr>
            <w:tcW w:w="0" w:type="auto"/>
            <w:shd w:val="clear" w:color="auto" w:fill="auto"/>
            <w:noWrap/>
            <w:vAlign w:val="center"/>
            <w:hideMark/>
          </w:tcPr>
          <w:p w14:paraId="13817AEE" w14:textId="77777777" w:rsidR="00E83E6E" w:rsidRPr="00E83E6E" w:rsidRDefault="00E83E6E" w:rsidP="00C31067">
            <w:pPr>
              <w:keepNext/>
              <w:keepLines/>
              <w:jc w:val="left"/>
              <w:rPr>
                <w:rFonts w:eastAsia="Microsoft YaHei" w:cs="Calibri"/>
                <w:color w:val="000000"/>
              </w:rPr>
            </w:pPr>
            <w:r w:rsidRPr="00E83E6E">
              <w:rPr>
                <w:rFonts w:eastAsia="Microsoft YaHei" w:cs="Calibri"/>
                <w:color w:val="000000"/>
              </w:rPr>
              <w:t>Industrial</w:t>
            </w:r>
          </w:p>
        </w:tc>
        <w:tc>
          <w:tcPr>
            <w:tcW w:w="0" w:type="auto"/>
            <w:shd w:val="clear" w:color="auto" w:fill="auto"/>
            <w:noWrap/>
            <w:vAlign w:val="center"/>
            <w:hideMark/>
          </w:tcPr>
          <w:p w14:paraId="6955B0C2" w14:textId="77777777" w:rsidR="00E83E6E" w:rsidRPr="00E83E6E" w:rsidRDefault="00E83E6E" w:rsidP="00C31067">
            <w:pPr>
              <w:keepNext/>
              <w:keepLines/>
              <w:jc w:val="left"/>
              <w:rPr>
                <w:rFonts w:eastAsia="Microsoft YaHei" w:cs="Calibri"/>
              </w:rPr>
            </w:pPr>
            <w:r w:rsidRPr="00E83E6E">
              <w:rPr>
                <w:rFonts w:eastAsia="Microsoft YaHei" w:cs="Calibri"/>
              </w:rPr>
              <w:t>Solar Manufacturer</w:t>
            </w:r>
          </w:p>
        </w:tc>
        <w:tc>
          <w:tcPr>
            <w:tcW w:w="0" w:type="auto"/>
            <w:shd w:val="clear" w:color="auto" w:fill="auto"/>
            <w:noWrap/>
            <w:vAlign w:val="center"/>
            <w:hideMark/>
          </w:tcPr>
          <w:p w14:paraId="57FBC2C5" w14:textId="2C90294B" w:rsidR="00E83E6E" w:rsidRPr="00007821" w:rsidRDefault="00007821" w:rsidP="00C31067">
            <w:pPr>
              <w:keepNext/>
              <w:keepLines/>
              <w:jc w:val="center"/>
              <w:rPr>
                <w:rFonts w:eastAsia="Microsoft YaHei" w:cs="Calibri"/>
                <w:color w:val="000000"/>
                <w:highlight w:val="black"/>
              </w:rPr>
            </w:pPr>
            <w:r w:rsidRPr="00007821">
              <w:rPr>
                <w:rFonts w:eastAsia="Microsoft YaHei" w:cs="Calibri"/>
                <w:color w:val="000000"/>
                <w:highlight w:val="black"/>
              </w:rPr>
              <w:t>*</w:t>
            </w:r>
          </w:p>
        </w:tc>
        <w:tc>
          <w:tcPr>
            <w:tcW w:w="0" w:type="auto"/>
            <w:shd w:val="clear" w:color="auto" w:fill="auto"/>
            <w:noWrap/>
            <w:vAlign w:val="center"/>
            <w:hideMark/>
          </w:tcPr>
          <w:p w14:paraId="706BD608" w14:textId="55A7342E" w:rsidR="00E83E6E" w:rsidRPr="00007821" w:rsidRDefault="00007821" w:rsidP="00C31067">
            <w:pPr>
              <w:keepNext/>
              <w:keepLines/>
              <w:jc w:val="center"/>
              <w:rPr>
                <w:rFonts w:eastAsia="Microsoft YaHei" w:cs="Calibri"/>
                <w:color w:val="000000"/>
                <w:highlight w:val="black"/>
              </w:rPr>
            </w:pPr>
            <w:r w:rsidRPr="00007821">
              <w:rPr>
                <w:rFonts w:eastAsia="Microsoft YaHei" w:cs="Calibri"/>
                <w:color w:val="000000"/>
                <w:highlight w:val="black"/>
              </w:rPr>
              <w:t>*</w:t>
            </w:r>
          </w:p>
        </w:tc>
        <w:tc>
          <w:tcPr>
            <w:tcW w:w="0" w:type="auto"/>
            <w:shd w:val="clear" w:color="auto" w:fill="auto"/>
            <w:noWrap/>
            <w:vAlign w:val="center"/>
            <w:hideMark/>
          </w:tcPr>
          <w:p w14:paraId="73FEE245" w14:textId="2C5F7AA8" w:rsidR="00E83E6E" w:rsidRPr="00007821" w:rsidRDefault="00007821" w:rsidP="00C31067">
            <w:pPr>
              <w:keepNext/>
              <w:keepLines/>
              <w:jc w:val="center"/>
              <w:rPr>
                <w:rFonts w:eastAsia="Microsoft YaHei" w:cs="Calibri"/>
                <w:color w:val="000000"/>
                <w:highlight w:val="black"/>
              </w:rPr>
            </w:pPr>
            <w:r w:rsidRPr="00007821">
              <w:rPr>
                <w:rFonts w:eastAsia="Microsoft YaHei" w:cs="Calibri"/>
                <w:color w:val="000000"/>
                <w:highlight w:val="black"/>
              </w:rPr>
              <w:t>**</w:t>
            </w:r>
          </w:p>
        </w:tc>
      </w:tr>
      <w:tr w:rsidR="00E83E6E" w:rsidRPr="00E83E6E" w14:paraId="6E48E7A6" w14:textId="77777777" w:rsidTr="0087555D">
        <w:trPr>
          <w:trHeight w:val="300"/>
          <w:jc w:val="center"/>
        </w:trPr>
        <w:tc>
          <w:tcPr>
            <w:tcW w:w="0" w:type="auto"/>
            <w:shd w:val="clear" w:color="auto" w:fill="auto"/>
            <w:noWrap/>
            <w:vAlign w:val="center"/>
            <w:hideMark/>
          </w:tcPr>
          <w:p w14:paraId="46728174" w14:textId="77777777" w:rsidR="00E83E6E" w:rsidRPr="00E83E6E" w:rsidRDefault="00E83E6E" w:rsidP="00C31067">
            <w:pPr>
              <w:keepNext/>
              <w:keepLines/>
              <w:jc w:val="left"/>
              <w:rPr>
                <w:rFonts w:eastAsia="Microsoft YaHei" w:cs="Calibri"/>
                <w:color w:val="000000"/>
              </w:rPr>
            </w:pPr>
            <w:r w:rsidRPr="00E83E6E">
              <w:rPr>
                <w:rFonts w:eastAsia="Microsoft YaHei" w:cs="Calibri"/>
                <w:color w:val="000000"/>
              </w:rPr>
              <w:t>Industrial</w:t>
            </w:r>
          </w:p>
        </w:tc>
        <w:tc>
          <w:tcPr>
            <w:tcW w:w="0" w:type="auto"/>
            <w:shd w:val="clear" w:color="auto" w:fill="auto"/>
            <w:noWrap/>
            <w:vAlign w:val="center"/>
            <w:hideMark/>
          </w:tcPr>
          <w:p w14:paraId="31DD12C3" w14:textId="77777777" w:rsidR="00E83E6E" w:rsidRPr="00E83E6E" w:rsidRDefault="00E83E6E" w:rsidP="00C31067">
            <w:pPr>
              <w:keepNext/>
              <w:keepLines/>
              <w:jc w:val="left"/>
              <w:rPr>
                <w:rFonts w:eastAsia="Microsoft YaHei" w:cs="Calibri"/>
                <w:color w:val="000000"/>
              </w:rPr>
            </w:pPr>
            <w:r w:rsidRPr="00E83E6E">
              <w:rPr>
                <w:rFonts w:eastAsia="Microsoft YaHei" w:cs="Calibri"/>
                <w:color w:val="000000"/>
              </w:rPr>
              <w:t>Housing</w:t>
            </w:r>
          </w:p>
        </w:tc>
        <w:tc>
          <w:tcPr>
            <w:tcW w:w="0" w:type="auto"/>
            <w:shd w:val="clear" w:color="auto" w:fill="auto"/>
            <w:noWrap/>
            <w:vAlign w:val="center"/>
            <w:hideMark/>
          </w:tcPr>
          <w:p w14:paraId="499CDCFD" w14:textId="53A47537" w:rsidR="00E83E6E" w:rsidRPr="00007821" w:rsidRDefault="00007821" w:rsidP="00C31067">
            <w:pPr>
              <w:keepNext/>
              <w:keepLines/>
              <w:jc w:val="center"/>
              <w:rPr>
                <w:rFonts w:eastAsia="Microsoft YaHei" w:cs="Calibri"/>
                <w:color w:val="000000"/>
                <w:highlight w:val="black"/>
              </w:rPr>
            </w:pPr>
            <w:r w:rsidRPr="00007821">
              <w:rPr>
                <w:rFonts w:eastAsia="Microsoft YaHei" w:cs="Calibri"/>
                <w:color w:val="000000"/>
                <w:highlight w:val="black"/>
              </w:rPr>
              <w:t>*</w:t>
            </w:r>
          </w:p>
        </w:tc>
        <w:tc>
          <w:tcPr>
            <w:tcW w:w="0" w:type="auto"/>
            <w:shd w:val="clear" w:color="auto" w:fill="auto"/>
            <w:noWrap/>
            <w:vAlign w:val="center"/>
            <w:hideMark/>
          </w:tcPr>
          <w:p w14:paraId="21D6C39B" w14:textId="732D81D1" w:rsidR="00E83E6E" w:rsidRPr="00007821" w:rsidRDefault="00007821" w:rsidP="00C31067">
            <w:pPr>
              <w:keepNext/>
              <w:keepLines/>
              <w:jc w:val="center"/>
              <w:rPr>
                <w:rFonts w:eastAsia="Microsoft YaHei" w:cs="Calibri"/>
                <w:color w:val="000000"/>
                <w:highlight w:val="black"/>
              </w:rPr>
            </w:pPr>
            <w:r w:rsidRPr="00007821">
              <w:rPr>
                <w:rFonts w:eastAsia="Microsoft YaHei" w:cs="Calibri"/>
                <w:color w:val="000000"/>
                <w:highlight w:val="black"/>
              </w:rPr>
              <w:t>*</w:t>
            </w:r>
          </w:p>
        </w:tc>
        <w:tc>
          <w:tcPr>
            <w:tcW w:w="0" w:type="auto"/>
            <w:shd w:val="clear" w:color="auto" w:fill="auto"/>
            <w:noWrap/>
            <w:vAlign w:val="center"/>
            <w:hideMark/>
          </w:tcPr>
          <w:p w14:paraId="471AE826" w14:textId="296AFC61" w:rsidR="00E83E6E" w:rsidRPr="00007821" w:rsidRDefault="00007821" w:rsidP="00C31067">
            <w:pPr>
              <w:keepNext/>
              <w:keepLines/>
              <w:jc w:val="center"/>
              <w:rPr>
                <w:rFonts w:eastAsia="Microsoft YaHei" w:cs="Calibri"/>
                <w:color w:val="000000"/>
                <w:highlight w:val="black"/>
              </w:rPr>
            </w:pPr>
            <w:r w:rsidRPr="00007821">
              <w:rPr>
                <w:rFonts w:eastAsia="Microsoft YaHei" w:cs="Calibri"/>
                <w:color w:val="000000"/>
                <w:highlight w:val="black"/>
              </w:rPr>
              <w:t>**</w:t>
            </w:r>
          </w:p>
        </w:tc>
      </w:tr>
      <w:tr w:rsidR="00E83E6E" w:rsidRPr="00E83E6E" w14:paraId="3CD7BB2F" w14:textId="77777777" w:rsidTr="0087555D">
        <w:trPr>
          <w:trHeight w:val="300"/>
          <w:jc w:val="center"/>
        </w:trPr>
        <w:tc>
          <w:tcPr>
            <w:tcW w:w="0" w:type="auto"/>
            <w:shd w:val="clear" w:color="auto" w:fill="auto"/>
            <w:noWrap/>
            <w:vAlign w:val="center"/>
            <w:hideMark/>
          </w:tcPr>
          <w:p w14:paraId="7DEBB014" w14:textId="77777777" w:rsidR="00E83E6E" w:rsidRPr="00E83E6E" w:rsidRDefault="00E83E6E" w:rsidP="00C31067">
            <w:pPr>
              <w:keepNext/>
              <w:keepLines/>
              <w:jc w:val="left"/>
              <w:rPr>
                <w:rFonts w:eastAsia="Microsoft YaHei" w:cs="Calibri"/>
                <w:color w:val="000000"/>
              </w:rPr>
            </w:pPr>
            <w:r w:rsidRPr="00E83E6E">
              <w:rPr>
                <w:rFonts w:eastAsia="Microsoft YaHei" w:cs="Calibri"/>
                <w:color w:val="000000"/>
              </w:rPr>
              <w:t>Industrial</w:t>
            </w:r>
          </w:p>
        </w:tc>
        <w:tc>
          <w:tcPr>
            <w:tcW w:w="0" w:type="auto"/>
            <w:shd w:val="clear" w:color="auto" w:fill="auto"/>
            <w:noWrap/>
            <w:vAlign w:val="center"/>
            <w:hideMark/>
          </w:tcPr>
          <w:p w14:paraId="55CEFB4E" w14:textId="77777777" w:rsidR="00E83E6E" w:rsidRPr="00E83E6E" w:rsidRDefault="00E83E6E" w:rsidP="00C31067">
            <w:pPr>
              <w:keepNext/>
              <w:keepLines/>
              <w:jc w:val="left"/>
              <w:rPr>
                <w:rFonts w:eastAsia="Microsoft YaHei" w:cs="Calibri"/>
                <w:color w:val="000000"/>
              </w:rPr>
            </w:pPr>
            <w:r w:rsidRPr="00E83E6E">
              <w:rPr>
                <w:rFonts w:eastAsia="Microsoft YaHei" w:cs="Calibri"/>
                <w:color w:val="000000"/>
              </w:rPr>
              <w:t>HS Manufacturer</w:t>
            </w:r>
          </w:p>
        </w:tc>
        <w:tc>
          <w:tcPr>
            <w:tcW w:w="0" w:type="auto"/>
            <w:shd w:val="clear" w:color="auto" w:fill="auto"/>
            <w:noWrap/>
            <w:vAlign w:val="center"/>
            <w:hideMark/>
          </w:tcPr>
          <w:p w14:paraId="76305FAB" w14:textId="3C0BFD46" w:rsidR="00E83E6E" w:rsidRPr="00007821" w:rsidRDefault="00007821" w:rsidP="00C31067">
            <w:pPr>
              <w:keepNext/>
              <w:keepLines/>
              <w:jc w:val="center"/>
              <w:rPr>
                <w:rFonts w:eastAsia="Microsoft YaHei" w:cs="Calibri"/>
                <w:color w:val="000000"/>
                <w:highlight w:val="black"/>
              </w:rPr>
            </w:pPr>
            <w:r w:rsidRPr="00007821">
              <w:rPr>
                <w:rFonts w:eastAsia="Microsoft YaHei" w:cs="Calibri"/>
                <w:color w:val="000000"/>
                <w:highlight w:val="black"/>
              </w:rPr>
              <w:t>*</w:t>
            </w:r>
          </w:p>
        </w:tc>
        <w:tc>
          <w:tcPr>
            <w:tcW w:w="0" w:type="auto"/>
            <w:shd w:val="clear" w:color="auto" w:fill="auto"/>
            <w:noWrap/>
            <w:vAlign w:val="center"/>
            <w:hideMark/>
          </w:tcPr>
          <w:p w14:paraId="38D325D6" w14:textId="3A1BA03A" w:rsidR="00E83E6E" w:rsidRPr="00007821" w:rsidRDefault="00007821" w:rsidP="00C31067">
            <w:pPr>
              <w:keepNext/>
              <w:keepLines/>
              <w:jc w:val="center"/>
              <w:rPr>
                <w:rFonts w:eastAsia="Microsoft YaHei" w:cs="Calibri"/>
                <w:color w:val="000000"/>
                <w:highlight w:val="black"/>
              </w:rPr>
            </w:pPr>
            <w:r w:rsidRPr="00007821">
              <w:rPr>
                <w:rFonts w:eastAsia="Microsoft YaHei" w:cs="Calibri"/>
                <w:color w:val="000000"/>
                <w:highlight w:val="black"/>
              </w:rPr>
              <w:t>*</w:t>
            </w:r>
          </w:p>
        </w:tc>
        <w:tc>
          <w:tcPr>
            <w:tcW w:w="0" w:type="auto"/>
            <w:shd w:val="clear" w:color="auto" w:fill="auto"/>
            <w:noWrap/>
            <w:vAlign w:val="center"/>
            <w:hideMark/>
          </w:tcPr>
          <w:p w14:paraId="175F449B" w14:textId="05D9D0E4" w:rsidR="00E83E6E" w:rsidRPr="00007821" w:rsidRDefault="00007821" w:rsidP="00C31067">
            <w:pPr>
              <w:keepNext/>
              <w:keepLines/>
              <w:jc w:val="center"/>
              <w:rPr>
                <w:rFonts w:eastAsia="Microsoft YaHei" w:cs="Calibri"/>
                <w:color w:val="000000"/>
                <w:highlight w:val="black"/>
              </w:rPr>
            </w:pPr>
            <w:r w:rsidRPr="00007821">
              <w:rPr>
                <w:rFonts w:eastAsia="Microsoft YaHei" w:cs="Calibri"/>
                <w:color w:val="000000"/>
                <w:highlight w:val="black"/>
              </w:rPr>
              <w:t>**</w:t>
            </w:r>
          </w:p>
        </w:tc>
      </w:tr>
      <w:tr w:rsidR="00E83E6E" w:rsidRPr="00E83E6E" w14:paraId="2999FDA7" w14:textId="77777777" w:rsidTr="0087555D">
        <w:trPr>
          <w:trHeight w:val="300"/>
          <w:jc w:val="center"/>
        </w:trPr>
        <w:tc>
          <w:tcPr>
            <w:tcW w:w="0" w:type="auto"/>
            <w:shd w:val="clear" w:color="auto" w:fill="auto"/>
            <w:noWrap/>
            <w:vAlign w:val="center"/>
            <w:hideMark/>
          </w:tcPr>
          <w:p w14:paraId="3B34E1DA" w14:textId="77777777" w:rsidR="00E83E6E" w:rsidRPr="00E83E6E" w:rsidRDefault="00E83E6E" w:rsidP="00C31067">
            <w:pPr>
              <w:keepNext/>
              <w:keepLines/>
              <w:jc w:val="left"/>
              <w:rPr>
                <w:rFonts w:eastAsia="Microsoft YaHei" w:cs="Calibri"/>
                <w:color w:val="000000"/>
              </w:rPr>
            </w:pPr>
            <w:r w:rsidRPr="00E83E6E">
              <w:rPr>
                <w:rFonts w:eastAsia="Microsoft YaHei" w:cs="Calibri"/>
                <w:color w:val="000000"/>
              </w:rPr>
              <w:t>Industrial</w:t>
            </w:r>
          </w:p>
        </w:tc>
        <w:tc>
          <w:tcPr>
            <w:tcW w:w="0" w:type="auto"/>
            <w:shd w:val="clear" w:color="auto" w:fill="auto"/>
            <w:noWrap/>
            <w:vAlign w:val="center"/>
            <w:hideMark/>
          </w:tcPr>
          <w:p w14:paraId="76C9319F" w14:textId="77777777" w:rsidR="00E83E6E" w:rsidRPr="00E83E6E" w:rsidRDefault="00E83E6E" w:rsidP="00C31067">
            <w:pPr>
              <w:keepNext/>
              <w:keepLines/>
              <w:jc w:val="left"/>
              <w:rPr>
                <w:rFonts w:eastAsia="Microsoft YaHei" w:cs="Calibri"/>
                <w:color w:val="000000"/>
              </w:rPr>
            </w:pPr>
            <w:r w:rsidRPr="00E83E6E">
              <w:rPr>
                <w:rFonts w:eastAsia="Microsoft YaHei" w:cs="Calibri"/>
                <w:color w:val="000000"/>
              </w:rPr>
              <w:t>Solar</w:t>
            </w:r>
          </w:p>
        </w:tc>
        <w:tc>
          <w:tcPr>
            <w:tcW w:w="0" w:type="auto"/>
            <w:shd w:val="clear" w:color="auto" w:fill="auto"/>
            <w:noWrap/>
            <w:vAlign w:val="center"/>
            <w:hideMark/>
          </w:tcPr>
          <w:p w14:paraId="74830320" w14:textId="7288FEAD" w:rsidR="00E83E6E" w:rsidRPr="00007821" w:rsidRDefault="00007821" w:rsidP="00C31067">
            <w:pPr>
              <w:keepNext/>
              <w:keepLines/>
              <w:jc w:val="center"/>
              <w:rPr>
                <w:rFonts w:eastAsia="Microsoft YaHei" w:cs="Calibri"/>
                <w:color w:val="000000"/>
                <w:highlight w:val="black"/>
              </w:rPr>
            </w:pPr>
            <w:r w:rsidRPr="00007821">
              <w:rPr>
                <w:rFonts w:eastAsia="Microsoft YaHei" w:cs="Calibri"/>
                <w:color w:val="000000"/>
                <w:highlight w:val="black"/>
              </w:rPr>
              <w:t>*</w:t>
            </w:r>
          </w:p>
        </w:tc>
        <w:tc>
          <w:tcPr>
            <w:tcW w:w="0" w:type="auto"/>
            <w:shd w:val="clear" w:color="auto" w:fill="auto"/>
            <w:noWrap/>
            <w:vAlign w:val="center"/>
            <w:hideMark/>
          </w:tcPr>
          <w:p w14:paraId="611BC71A" w14:textId="654B19E3" w:rsidR="00E83E6E" w:rsidRPr="00007821" w:rsidRDefault="00007821" w:rsidP="00C31067">
            <w:pPr>
              <w:keepNext/>
              <w:keepLines/>
              <w:jc w:val="center"/>
              <w:rPr>
                <w:rFonts w:eastAsia="Microsoft YaHei" w:cs="Calibri"/>
                <w:color w:val="000000"/>
                <w:highlight w:val="black"/>
              </w:rPr>
            </w:pPr>
            <w:r w:rsidRPr="00007821">
              <w:rPr>
                <w:rFonts w:eastAsia="Microsoft YaHei" w:cs="Calibri"/>
                <w:color w:val="000000"/>
                <w:highlight w:val="black"/>
              </w:rPr>
              <w:t>*</w:t>
            </w:r>
          </w:p>
        </w:tc>
        <w:tc>
          <w:tcPr>
            <w:tcW w:w="0" w:type="auto"/>
            <w:shd w:val="clear" w:color="auto" w:fill="auto"/>
            <w:noWrap/>
            <w:vAlign w:val="center"/>
            <w:hideMark/>
          </w:tcPr>
          <w:p w14:paraId="01B2209E" w14:textId="0B8F5D0B" w:rsidR="00E83E6E" w:rsidRPr="00007821" w:rsidRDefault="00007821" w:rsidP="00C31067">
            <w:pPr>
              <w:keepNext/>
              <w:keepLines/>
              <w:jc w:val="center"/>
              <w:rPr>
                <w:rFonts w:eastAsia="Microsoft YaHei" w:cs="Calibri"/>
                <w:color w:val="000000"/>
                <w:highlight w:val="black"/>
              </w:rPr>
            </w:pPr>
            <w:r w:rsidRPr="00007821">
              <w:rPr>
                <w:rFonts w:eastAsia="Microsoft YaHei" w:cs="Calibri"/>
                <w:color w:val="000000"/>
                <w:highlight w:val="black"/>
              </w:rPr>
              <w:t>**</w:t>
            </w:r>
          </w:p>
        </w:tc>
      </w:tr>
    </w:tbl>
    <w:p w14:paraId="47E976C1" w14:textId="567C2D0E" w:rsidR="00C66D34" w:rsidRDefault="00C66D34" w:rsidP="00626BBA">
      <w:pPr>
        <w:pStyle w:val="Answers"/>
      </w:pPr>
      <w:r>
        <w:tab/>
      </w:r>
      <w:r>
        <w:tab/>
      </w:r>
    </w:p>
    <w:p w14:paraId="0E23FA28" w14:textId="55EAAA77" w:rsidR="005570AC" w:rsidRDefault="36A18A6F" w:rsidP="00123893">
      <w:pPr>
        <w:pStyle w:val="Question"/>
      </w:pPr>
      <w:r>
        <w:t>Q.</w:t>
      </w:r>
      <w:r w:rsidR="005570AC">
        <w:tab/>
      </w:r>
      <w:r>
        <w:t xml:space="preserve">Are the Ramp-Up Delay assumptions </w:t>
      </w:r>
      <w:r w:rsidR="58007DDE">
        <w:t>reasonable</w:t>
      </w:r>
      <w:r>
        <w:t>?</w:t>
      </w:r>
    </w:p>
    <w:p w14:paraId="50654094" w14:textId="2490FC48" w:rsidR="00C66D34" w:rsidRPr="00C66D34" w:rsidRDefault="00C66D34" w:rsidP="00626BBA">
      <w:pPr>
        <w:pStyle w:val="Answers"/>
      </w:pPr>
      <w:r>
        <w:t>A.</w:t>
      </w:r>
      <w:r>
        <w:tab/>
      </w:r>
      <w:r w:rsidR="00D42C01">
        <w:t xml:space="preserve">Partially. These assumptions </w:t>
      </w:r>
      <w:r w:rsidR="000208AA">
        <w:t>can be considered</w:t>
      </w:r>
      <w:r w:rsidR="00D42C01">
        <w:t xml:space="preserve"> reasonable for most industries, except Datacenters. </w:t>
      </w:r>
      <w:r w:rsidRPr="00C66D34">
        <w:t xml:space="preserve">Since Datacenters comprise most of the load in the LRM, as demonstrated in </w:t>
      </w:r>
      <w:r w:rsidRPr="00C66D34">
        <w:fldChar w:fldCharType="begin"/>
      </w:r>
      <w:r w:rsidRPr="00C66D34">
        <w:instrText xml:space="preserve"> REF _Ref157852639 \h </w:instrText>
      </w:r>
      <w:r>
        <w:instrText xml:space="preserve"> \* MERGEFORMAT </w:instrText>
      </w:r>
      <w:r w:rsidRPr="00C66D34">
        <w:fldChar w:fldCharType="separate"/>
      </w:r>
      <w:r w:rsidR="00D01697">
        <w:t>Table 4</w:t>
      </w:r>
      <w:r w:rsidRPr="00C66D34">
        <w:fldChar w:fldCharType="end"/>
      </w:r>
      <w:r w:rsidRPr="00C66D34">
        <w:t xml:space="preserve">, particular focus was given to </w:t>
      </w:r>
      <w:r w:rsidR="0087555D">
        <w:t>analyzing</w:t>
      </w:r>
      <w:r w:rsidR="000208AA">
        <w:t xml:space="preserve"> </w:t>
      </w:r>
      <w:r w:rsidRPr="00C66D34">
        <w:t xml:space="preserve">this set of delay assumptions. A </w:t>
      </w:r>
      <w:r w:rsidR="00007821" w:rsidRPr="00007821">
        <w:rPr>
          <w:highlight w:val="black"/>
        </w:rPr>
        <w:t xml:space="preserve">******* </w:t>
      </w:r>
      <w:r w:rsidR="00007821" w:rsidRPr="00007821">
        <w:rPr>
          <w:highlight w:val="black"/>
        </w:rPr>
        <w:lastRenderedPageBreak/>
        <w:t>*****</w:t>
      </w:r>
      <w:r w:rsidRPr="00C66D34">
        <w:t xml:space="preserve"> distribution of delay is not appropriate for this industry given recent </w:t>
      </w:r>
      <w:r w:rsidR="00124427">
        <w:t xml:space="preserve">industry </w:t>
      </w:r>
      <w:r w:rsidRPr="00C66D34">
        <w:t>trends.</w:t>
      </w:r>
      <w:r w:rsidR="00374882">
        <w:t xml:space="preserve"> The Company should provide further evidence to support its Ramp-up Delay assumptions.</w:t>
      </w:r>
    </w:p>
    <w:p w14:paraId="39C15078" w14:textId="3E94B2AD" w:rsidR="00C66D34" w:rsidRDefault="00C66D34" w:rsidP="00626BBA">
      <w:pPr>
        <w:pStyle w:val="Answers"/>
      </w:pPr>
      <w:r w:rsidRPr="00C66D34">
        <w:tab/>
      </w:r>
      <w:r w:rsidRPr="00C66D34">
        <w:tab/>
        <w:t xml:space="preserve">Datacenters </w:t>
      </w:r>
      <w:r w:rsidR="00124427">
        <w:t xml:space="preserve">have </w:t>
      </w:r>
      <w:r w:rsidRPr="00C66D34">
        <w:t>faced development delays due to supply chain issues, tight labor markets, and rising prices in 2022.</w:t>
      </w:r>
      <w:r w:rsidRPr="00C66D34">
        <w:rPr>
          <w:rStyle w:val="FootnoteReference"/>
          <w:rFonts w:cs="Calibri"/>
        </w:rPr>
        <w:footnoteReference w:id="47"/>
      </w:r>
      <w:r w:rsidRPr="00C66D34">
        <w:rPr>
          <w:vertAlign w:val="superscript"/>
        </w:rPr>
        <w:t xml:space="preserve"> </w:t>
      </w:r>
      <w:r w:rsidRPr="00C66D34">
        <w:t>Supply chain issues continued through 2023, with semiconductor and server shortages impacting the datacenter industry.</w:t>
      </w:r>
      <w:r w:rsidRPr="00C66D34">
        <w:rPr>
          <w:rStyle w:val="FootnoteReference"/>
          <w:rFonts w:cs="Calibri"/>
        </w:rPr>
        <w:footnoteReference w:id="48"/>
      </w:r>
      <w:r>
        <w:t xml:space="preserve"> A CBRE report suggests that construction timelines for datacenters range anywhere from two to six years, compared to an average range of one to three years for the 2015 to 2020 period, largely due to power availability.</w:t>
      </w:r>
      <w:r>
        <w:rPr>
          <w:rStyle w:val="FootnoteReference"/>
        </w:rPr>
        <w:footnoteReference w:id="49"/>
      </w:r>
      <w:r>
        <w:t xml:space="preserve"> This average timeline change represents a delay of 12 months on the low end up to a delay of 36 months on the high end. Specific project demands such as a new electricity substation or an upgraded transmission line could delay delivery by one t</w:t>
      </w:r>
      <w:r w:rsidR="005D24AC">
        <w:t>o</w:t>
      </w:r>
      <w:r>
        <w:t xml:space="preserve"> four years</w:t>
      </w:r>
      <w:r w:rsidR="00F85366">
        <w:t>, per the report</w:t>
      </w:r>
      <w:r>
        <w:t>.</w:t>
      </w:r>
      <w:r>
        <w:rPr>
          <w:rStyle w:val="FootnoteReference"/>
        </w:rPr>
        <w:footnoteReference w:id="50"/>
      </w:r>
      <w:r>
        <w:t xml:space="preserve"> </w:t>
      </w:r>
    </w:p>
    <w:p w14:paraId="40F66BF7" w14:textId="49109CAF" w:rsidR="00C66D34" w:rsidRDefault="00C66D34" w:rsidP="00D42C01">
      <w:pPr>
        <w:pStyle w:val="Answers"/>
      </w:pPr>
      <w:r>
        <w:tab/>
      </w:r>
      <w:r>
        <w:tab/>
        <w:t>While the Company could address many power availability issues, it could not address supply chain and procurement delays on the customer side. It is unclear how recent geopolitical development</w:t>
      </w:r>
      <w:r w:rsidR="00C31067">
        <w:t>s</w:t>
      </w:r>
      <w:r>
        <w:t xml:space="preserve"> m</w:t>
      </w:r>
      <w:r w:rsidR="00C31067">
        <w:t xml:space="preserve">ay </w:t>
      </w:r>
      <w:r>
        <w:t xml:space="preserve">impact these supply chains. </w:t>
      </w:r>
      <w:r w:rsidR="00D42C01">
        <w:t>Local political uncertainty regarding favorable tax incentives for this industry segment may further impact the actual materialization of these loads.</w:t>
      </w:r>
      <w:r w:rsidR="00D42C01">
        <w:rPr>
          <w:rStyle w:val="FootnoteReference"/>
        </w:rPr>
        <w:footnoteReference w:id="51"/>
      </w:r>
    </w:p>
    <w:p w14:paraId="62F85FA8" w14:textId="537490D8" w:rsidR="00C66D34" w:rsidRDefault="00C66D34" w:rsidP="00626BBA">
      <w:pPr>
        <w:pStyle w:val="Answers"/>
      </w:pPr>
      <w:r>
        <w:tab/>
      </w:r>
      <w:r>
        <w:tab/>
        <w:t xml:space="preserve">Furthermore, the Company has not tested different assumptions for the Ramp-up delay, as it did for the Load Realization assumptions. Since the initial LRM version in </w:t>
      </w:r>
      <w:r>
        <w:lastRenderedPageBreak/>
        <w:t xml:space="preserve">January of 2023, the company has consistently used a </w:t>
      </w:r>
      <w:r w:rsidR="00007821" w:rsidRPr="00007821">
        <w:rPr>
          <w:highlight w:val="black"/>
        </w:rPr>
        <w:t>************</w:t>
      </w:r>
      <w:r>
        <w:t xml:space="preserve"> distribution.</w:t>
      </w:r>
      <w:r>
        <w:rPr>
          <w:rStyle w:val="FootnoteReference"/>
        </w:rPr>
        <w:footnoteReference w:id="52"/>
      </w:r>
      <w:r>
        <w:t xml:space="preserve"> This lack of testing suggests that the Company has not revisited these assumptions since January 2023 and has not considered modifying them.</w:t>
      </w:r>
    </w:p>
    <w:p w14:paraId="15509114" w14:textId="09821DB8" w:rsidR="00C66D34" w:rsidRDefault="00C66D34" w:rsidP="00626BBA">
      <w:pPr>
        <w:pStyle w:val="Answers"/>
      </w:pPr>
      <w:r>
        <w:tab/>
      </w:r>
      <w:r>
        <w:tab/>
        <w:t xml:space="preserve">Given the </w:t>
      </w:r>
      <w:r w:rsidR="00C31067">
        <w:t>supply chain challenges</w:t>
      </w:r>
      <w:r>
        <w:t xml:space="preserve"> and the lack of testing, it is </w:t>
      </w:r>
      <w:r w:rsidR="00374882">
        <w:t xml:space="preserve">possible </w:t>
      </w:r>
      <w:r>
        <w:t>that the datacenter industry</w:t>
      </w:r>
      <w:r w:rsidR="00D52F14">
        <w:t xml:space="preserve">, which is a key driver of the </w:t>
      </w:r>
      <w:proofErr w:type="gramStart"/>
      <w:r w:rsidR="00A80EE0">
        <w:t>new large</w:t>
      </w:r>
      <w:proofErr w:type="gramEnd"/>
      <w:r w:rsidR="00A80EE0">
        <w:t xml:space="preserve"> load demands,</w:t>
      </w:r>
      <w:r>
        <w:t xml:space="preserve"> could face delays much greater than currently assumed. It is possible that other industries will also face different delays than assumed, but the </w:t>
      </w:r>
      <w:r w:rsidR="00007821" w:rsidRPr="00007821">
        <w:rPr>
          <w:highlight w:val="black"/>
        </w:rPr>
        <w:t>************</w:t>
      </w:r>
      <w:r w:rsidR="00071755">
        <w:t xml:space="preserve"> </w:t>
      </w:r>
      <w:r>
        <w:t xml:space="preserve">assumptions </w:t>
      </w:r>
      <w:r w:rsidR="00071755">
        <w:t xml:space="preserve">for non-Datacenter industry segments </w:t>
      </w:r>
      <w:r>
        <w:t>are reasonable estimates in the place of further research. Each of these delay assumptions should be monitored, tested, and reviewed over time to ensure accuracy</w:t>
      </w:r>
      <w:r w:rsidR="00C31067">
        <w:t xml:space="preserve"> and the Company should </w:t>
      </w:r>
      <w:proofErr w:type="gramStart"/>
      <w:r w:rsidR="00C31067">
        <w:t>make an effort</w:t>
      </w:r>
      <w:proofErr w:type="gramEnd"/>
      <w:r w:rsidR="00C31067">
        <w:t xml:space="preserve"> to research current trends for each industry</w:t>
      </w:r>
      <w:r>
        <w:t>.</w:t>
      </w:r>
      <w:r w:rsidR="004B34B7">
        <w:t xml:space="preserve">  The Company should have evaluated alternative distributions in its analysis for this filing to understand </w:t>
      </w:r>
      <w:r w:rsidR="003F52A9">
        <w:t xml:space="preserve">the </w:t>
      </w:r>
      <w:r w:rsidR="004B34B7">
        <w:t>resource need of such alternatives.</w:t>
      </w:r>
    </w:p>
    <w:p w14:paraId="2B39BF52" w14:textId="4D229EF5" w:rsidR="00B046C3" w:rsidRDefault="00B046C3" w:rsidP="00123893">
      <w:pPr>
        <w:pStyle w:val="Question"/>
      </w:pPr>
      <w:r>
        <w:t>Q.</w:t>
      </w:r>
      <w:r>
        <w:tab/>
        <w:t>how did the company determine the values used for these assumptions?</w:t>
      </w:r>
    </w:p>
    <w:p w14:paraId="63FB93DF" w14:textId="7E6CE7FF" w:rsidR="00B046C3" w:rsidRDefault="00B046C3" w:rsidP="00626BBA">
      <w:pPr>
        <w:pStyle w:val="Answers"/>
      </w:pPr>
      <w:r>
        <w:t>A.</w:t>
      </w:r>
      <w:r>
        <w:tab/>
      </w:r>
      <w:r w:rsidR="00C66D34">
        <w:t>The company refers to “informed judgement” when explaining its methodology of selecting the values for each assumption. The values assumed in Project Success Probability 1 are based on information gathered by the Company’s Customer Choice department and communicated to the Load Forecasting team.</w:t>
      </w:r>
      <w:r w:rsidR="00C66D34">
        <w:rPr>
          <w:rStyle w:val="FootnoteReference"/>
        </w:rPr>
        <w:footnoteReference w:id="53"/>
      </w:r>
      <w:r w:rsidR="00C66D34">
        <w:t xml:space="preserve"> The Project Success Probability 2 used “informed judgement based on the state of the negotiations with prospective customers.”</w:t>
      </w:r>
      <w:r w:rsidR="00C66D34">
        <w:rPr>
          <w:rStyle w:val="FootnoteReference"/>
        </w:rPr>
        <w:footnoteReference w:id="54"/>
      </w:r>
      <w:r w:rsidR="00C66D34">
        <w:t xml:space="preserve"> Regarding the Load Realization assumptions, the Company </w:t>
      </w:r>
      <w:r w:rsidR="00C66D34">
        <w:lastRenderedPageBreak/>
        <w:t>“relied…on informed judgement.”</w:t>
      </w:r>
      <w:r w:rsidR="00C66D34">
        <w:rPr>
          <w:rStyle w:val="FootnoteReference"/>
        </w:rPr>
        <w:footnoteReference w:id="55"/>
      </w:r>
      <w:r w:rsidR="00C66D34">
        <w:t xml:space="preserve"> Regarding the Ramp-up Delay assumptions, the Company also “relied…on informed judgement.”</w:t>
      </w:r>
      <w:r w:rsidR="00C66D34">
        <w:rPr>
          <w:rStyle w:val="FootnoteReference"/>
        </w:rPr>
        <w:footnoteReference w:id="56"/>
      </w:r>
      <w:r w:rsidR="00C66D34">
        <w:t xml:space="preserve"> </w:t>
      </w:r>
    </w:p>
    <w:p w14:paraId="5B66406B" w14:textId="1FA6B9F3" w:rsidR="00C66D34" w:rsidRDefault="00C66D34" w:rsidP="00C66D34">
      <w:pPr>
        <w:pStyle w:val="Question"/>
      </w:pPr>
      <w:r>
        <w:t>Q.</w:t>
      </w:r>
      <w:r>
        <w:tab/>
        <w:t>Was the company’s approach to selecting and justifying the assumption values appropriate?</w:t>
      </w:r>
    </w:p>
    <w:p w14:paraId="5B606852" w14:textId="183EF31A" w:rsidR="00C66D34" w:rsidRDefault="29AF62B9" w:rsidP="00626BBA">
      <w:pPr>
        <w:pStyle w:val="Answers"/>
      </w:pPr>
      <w:r>
        <w:t>A.</w:t>
      </w:r>
      <w:r w:rsidR="00C66D34">
        <w:tab/>
      </w:r>
      <w:r w:rsidR="00C66D34">
        <w:tab/>
      </w:r>
      <w:r>
        <w:t xml:space="preserve">No. The Company has not provided sufficient justification for the approach used to select values for </w:t>
      </w:r>
      <w:r w:rsidR="18F3C747">
        <w:t xml:space="preserve">the </w:t>
      </w:r>
      <w:r>
        <w:t xml:space="preserve">Project Success </w:t>
      </w:r>
      <w:r w:rsidR="18F3C747">
        <w:t>assumptions</w:t>
      </w:r>
      <w:r>
        <w:t xml:space="preserve">, the Load Realization assumptions, and the Ramp-up Delay assumptions. Furthermore, the approaches used to produce </w:t>
      </w:r>
      <w:r w:rsidR="00007821" w:rsidRPr="00007821">
        <w:rPr>
          <w:highlight w:val="black"/>
        </w:rPr>
        <w:t>*****</w:t>
      </w:r>
      <w:r>
        <w:t xml:space="preserve"> Load Realization assumptions for </w:t>
      </w:r>
      <w:r w:rsidR="00007821" w:rsidRPr="00007821">
        <w:rPr>
          <w:highlight w:val="black"/>
        </w:rPr>
        <w:t>**********</w:t>
      </w:r>
      <w:r w:rsidRPr="00007821">
        <w:rPr>
          <w:highlight w:val="black"/>
        </w:rPr>
        <w:t xml:space="preserve"> </w:t>
      </w:r>
      <w:r w:rsidR="00007821" w:rsidRPr="00007821">
        <w:rPr>
          <w:highlight w:val="black"/>
        </w:rPr>
        <w:t>***</w:t>
      </w:r>
      <w:r w:rsidRPr="00007821">
        <w:rPr>
          <w:highlight w:val="black"/>
        </w:rPr>
        <w:t xml:space="preserve"> </w:t>
      </w:r>
      <w:r w:rsidR="00007821" w:rsidRPr="00007821">
        <w:rPr>
          <w:highlight w:val="black"/>
        </w:rPr>
        <w:t>*************</w:t>
      </w:r>
      <w:r>
        <w:t xml:space="preserve"> customers as well as the </w:t>
      </w:r>
      <w:r w:rsidR="00007821" w:rsidRPr="00007821">
        <w:rPr>
          <w:highlight w:val="black"/>
        </w:rPr>
        <w:t>************</w:t>
      </w:r>
      <w:r>
        <w:t xml:space="preserve"> delay assumptions for Datacenters are not appropriate.</w:t>
      </w:r>
    </w:p>
    <w:p w14:paraId="68D1F1B6" w14:textId="34247DFA" w:rsidR="00C66D34" w:rsidRDefault="00C66D34" w:rsidP="005A1275">
      <w:pPr>
        <w:pStyle w:val="Answers"/>
      </w:pPr>
      <w:r>
        <w:tab/>
      </w:r>
      <w:r>
        <w:tab/>
      </w:r>
      <w:r w:rsidR="29AF62B9">
        <w:t>The company makes the point that the scope of growth in Georgia is “unprecedented</w:t>
      </w:r>
      <w:r w:rsidR="18F3C747">
        <w:t>,</w:t>
      </w:r>
      <w:r w:rsidR="29AF62B9">
        <w:t>” and as a result, it “cannot rely upon any historical data to serve as a guide for the forecast”.</w:t>
      </w:r>
      <w:r>
        <w:rPr>
          <w:rStyle w:val="FootnoteReference"/>
        </w:rPr>
        <w:footnoteReference w:id="57"/>
      </w:r>
      <w:r w:rsidR="29AF62B9">
        <w:t xml:space="preserve"> While it is true that the </w:t>
      </w:r>
      <w:r w:rsidR="1F579366">
        <w:t>C</w:t>
      </w:r>
      <w:r w:rsidR="29AF62B9">
        <w:t>ompany did not have historical data to inform every piece of this model, it did have the opportunity to research both publicly available and private industry data regarding construction/supply chain delays that might impact this model.</w:t>
      </w:r>
      <w:r w:rsidR="00A54CED">
        <w:t xml:space="preserve"> T</w:t>
      </w:r>
      <w:r w:rsidR="29AF62B9">
        <w:t>he Company could improve its approach to specifying this model in the many ways outlined above.</w:t>
      </w:r>
    </w:p>
    <w:p w14:paraId="617F0797" w14:textId="3A217A39" w:rsidR="00621D8C" w:rsidRPr="00621D8C" w:rsidRDefault="00621D8C" w:rsidP="00C01F46">
      <w:pPr>
        <w:pStyle w:val="Heading1"/>
      </w:pPr>
      <w:bookmarkStart w:id="18" w:name="_Toc158797848"/>
      <w:r>
        <w:lastRenderedPageBreak/>
        <w:t>VI.</w:t>
      </w:r>
      <w:r>
        <w:tab/>
        <w:t>Incorporating Scenarios in the LRM forecast</w:t>
      </w:r>
      <w:bookmarkEnd w:id="18"/>
    </w:p>
    <w:p w14:paraId="25CC7F56" w14:textId="0382EBC8" w:rsidR="00C81823" w:rsidRDefault="00C66D34" w:rsidP="00C81823">
      <w:pPr>
        <w:pStyle w:val="Question"/>
      </w:pPr>
      <w:r>
        <w:t>Q.</w:t>
      </w:r>
      <w:r>
        <w:tab/>
      </w:r>
      <w:r w:rsidR="00C81823">
        <w:t xml:space="preserve">DId the Company provide </w:t>
      </w:r>
      <w:r w:rsidR="00FA7B36">
        <w:t xml:space="preserve">any sensitivity analyses associated with this model or any </w:t>
      </w:r>
      <w:r w:rsidR="00C81823">
        <w:t>potential large load scenarios as part of the updated IRP?</w:t>
      </w:r>
    </w:p>
    <w:p w14:paraId="313DC675" w14:textId="3534A093" w:rsidR="00C81823" w:rsidRPr="00FA7B36" w:rsidRDefault="00C81823" w:rsidP="00626BBA">
      <w:pPr>
        <w:pStyle w:val="Answers"/>
      </w:pPr>
      <w:r w:rsidRPr="00DE3E39">
        <w:rPr>
          <w:b/>
          <w:bCs/>
        </w:rPr>
        <w:t>A.</w:t>
      </w:r>
      <w:r w:rsidRPr="00DE3E39">
        <w:rPr>
          <w:b/>
          <w:bCs/>
        </w:rPr>
        <w:tab/>
      </w:r>
      <w:r w:rsidR="00FA7B36">
        <w:t xml:space="preserve">No. The Load Realization Model was provided with a single set of assumptions. While the Company has </w:t>
      </w:r>
      <w:r w:rsidR="00095457">
        <w:t xml:space="preserve">modified </w:t>
      </w:r>
      <w:r w:rsidR="00FA7B36">
        <w:t>the model over time with changes to assumptions in each version, the Company did not file multiple scenarios in its October 2023 filing.  T</w:t>
      </w:r>
      <w:r w:rsidRPr="00FA7B36">
        <w:t xml:space="preserve">he Company’s 2023 IRP Update provided only the P95 projection for the large load although </w:t>
      </w:r>
      <w:r w:rsidR="00FA7B36">
        <w:t xml:space="preserve">the </w:t>
      </w:r>
      <w:r w:rsidRPr="00FA7B36">
        <w:t>@R</w:t>
      </w:r>
      <w:r w:rsidR="00374882">
        <w:t>ISK</w:t>
      </w:r>
      <w:r w:rsidRPr="00FA7B36">
        <w:t xml:space="preserve"> tool allows the user to select alternative probabilities. </w:t>
      </w:r>
      <w:r w:rsidR="000208AA">
        <w:t>The Company selected the P95 level in response to “</w:t>
      </w:r>
      <w:r w:rsidR="000208AA" w:rsidRPr="000208AA">
        <w:t>the unprecedented pace of economic development in the state of Georgia and because the Company has seen more increases in large projects interested in the state over the last several months than decreases</w:t>
      </w:r>
      <w:r w:rsidR="000208AA">
        <w:t>.”</w:t>
      </w:r>
      <w:r w:rsidR="000208AA">
        <w:rPr>
          <w:rStyle w:val="FootnoteReference"/>
        </w:rPr>
        <w:footnoteReference w:id="58"/>
      </w:r>
      <w:r w:rsidRPr="00FA7B36">
        <w:t xml:space="preserve"> </w:t>
      </w:r>
      <w:r w:rsidR="000208AA">
        <w:t>Furthermore, the Company references “uncertainty surrounding future growth,” as a reason to plan toward an “upper limit.”</w:t>
      </w:r>
      <w:r w:rsidR="000208AA">
        <w:rPr>
          <w:rStyle w:val="FootnoteReference"/>
        </w:rPr>
        <w:footnoteReference w:id="59"/>
      </w:r>
    </w:p>
    <w:p w14:paraId="430CFED4" w14:textId="31F10513" w:rsidR="00C66D34" w:rsidRDefault="0083021E" w:rsidP="00C66D34">
      <w:pPr>
        <w:pStyle w:val="Question"/>
      </w:pPr>
      <w:proofErr w:type="gramStart"/>
      <w:r>
        <w:t>Q.</w:t>
      </w:r>
      <w:proofErr w:type="gramEnd"/>
      <w:r>
        <w:tab/>
      </w:r>
      <w:r w:rsidR="00C66D34">
        <w:t>Please characterize how sensitive the model results are to the assumptions.</w:t>
      </w:r>
    </w:p>
    <w:p w14:paraId="6498E1B5" w14:textId="4A310E8B" w:rsidR="00C66D34" w:rsidRDefault="00C66D34" w:rsidP="00626BBA">
      <w:pPr>
        <w:pStyle w:val="Answers"/>
      </w:pPr>
      <w:r>
        <w:t>A.</w:t>
      </w:r>
      <w:r>
        <w:tab/>
        <w:t xml:space="preserve">The model is highly sensitive to its assumptions, particularly those that impact </w:t>
      </w:r>
      <w:r w:rsidR="00C31067">
        <w:t xml:space="preserve">the </w:t>
      </w:r>
      <w:r>
        <w:t xml:space="preserve">Load Realization or Ramp-up Delay of datacenters. </w:t>
      </w:r>
      <w:r w:rsidR="000F7324">
        <w:t xml:space="preserve">The Company’s failure to provide the Commission with alternative scenarios with which to evaluate the </w:t>
      </w:r>
      <w:r w:rsidR="00954150">
        <w:t>implications</w:t>
      </w:r>
      <w:r w:rsidR="000F7324">
        <w:t xml:space="preserve"> of LRM on the forecast</w:t>
      </w:r>
      <w:r w:rsidR="00954150">
        <w:t xml:space="preserve"> is limiting.  </w:t>
      </w:r>
      <w:r>
        <w:t>While numerous simulations have been rendered</w:t>
      </w:r>
      <w:r w:rsidR="00374882">
        <w:t xml:space="preserve"> by Daymark </w:t>
      </w:r>
      <w:r w:rsidR="00374882">
        <w:lastRenderedPageBreak/>
        <w:t>Energy Advisors</w:t>
      </w:r>
      <w:r>
        <w:t xml:space="preserve"> in the process of reviewing the Company’s filing, this testimony </w:t>
      </w:r>
      <w:r w:rsidR="00954150">
        <w:t xml:space="preserve">utilizes </w:t>
      </w:r>
      <w:r>
        <w:t>three core cases to demonstrate the sensitivity of this model</w:t>
      </w:r>
      <w:r w:rsidR="00954150">
        <w:t xml:space="preserve"> to underlying assumptions</w:t>
      </w:r>
      <w:r>
        <w:t>:</w:t>
      </w:r>
    </w:p>
    <w:p w14:paraId="69199982" w14:textId="7D34D364" w:rsidR="00C66D34" w:rsidRDefault="00C66D34" w:rsidP="00626BBA">
      <w:pPr>
        <w:pStyle w:val="Answers"/>
        <w:numPr>
          <w:ilvl w:val="0"/>
          <w:numId w:val="8"/>
        </w:numPr>
      </w:pPr>
      <w:r w:rsidRPr="00C66D34">
        <w:t>2023 IRP Update, LRM P95</w:t>
      </w:r>
      <w:r>
        <w:t xml:space="preserve">: This is the base case LRM filed by the Company, </w:t>
      </w:r>
    </w:p>
    <w:p w14:paraId="5F19C36F" w14:textId="43F57DB1" w:rsidR="00C66D34" w:rsidRDefault="00C66D34" w:rsidP="00626BBA">
      <w:pPr>
        <w:pStyle w:val="Answers"/>
        <w:numPr>
          <w:ilvl w:val="0"/>
          <w:numId w:val="8"/>
        </w:numPr>
      </w:pPr>
      <w:r>
        <w:t>Uniform w/Delays, P95: This scenario modifies the assumptions in two ways:</w:t>
      </w:r>
    </w:p>
    <w:p w14:paraId="2D9E5349" w14:textId="48F08B5E" w:rsidR="00C66D34" w:rsidRDefault="00C66D34" w:rsidP="00626BBA">
      <w:pPr>
        <w:pStyle w:val="Answers"/>
        <w:numPr>
          <w:ilvl w:val="1"/>
          <w:numId w:val="8"/>
        </w:numPr>
      </w:pPr>
      <w:r>
        <w:t xml:space="preserve">The Load Realization assumptions are standardized such that every industry segment, including Datacenters and Cryptocurrency, have a </w:t>
      </w:r>
      <w:r w:rsidR="00007821" w:rsidRPr="00007821">
        <w:rPr>
          <w:highlight w:val="black"/>
        </w:rPr>
        <w:t>***********</w:t>
      </w:r>
      <w:r>
        <w:t xml:space="preserve"> Load Realization distribution,</w:t>
      </w:r>
    </w:p>
    <w:p w14:paraId="658D310C" w14:textId="21008E9F" w:rsidR="00C66D34" w:rsidRDefault="00C66D34" w:rsidP="00626BBA">
      <w:pPr>
        <w:pStyle w:val="Answers"/>
        <w:numPr>
          <w:ilvl w:val="1"/>
          <w:numId w:val="8"/>
        </w:numPr>
      </w:pPr>
      <w:r>
        <w:t xml:space="preserve">The Ramp-up Delays for Datacenters are expanded from the original </w:t>
      </w:r>
      <w:r w:rsidR="00007821" w:rsidRPr="00007821">
        <w:rPr>
          <w:highlight w:val="black"/>
        </w:rPr>
        <w:t>****** *****</w:t>
      </w:r>
      <w:r>
        <w:t xml:space="preserve"> distribution to a </w:t>
      </w:r>
      <w:r w:rsidR="00007821" w:rsidRPr="00007821">
        <w:rPr>
          <w:highlight w:val="black"/>
        </w:rPr>
        <w:t>*************</w:t>
      </w:r>
      <w:r>
        <w:t xml:space="preserve"> distribution, to account for potentially longer delay times due to supply chain challenges, and</w:t>
      </w:r>
    </w:p>
    <w:p w14:paraId="15C647FE" w14:textId="3EA95421" w:rsidR="00C66D34" w:rsidRDefault="00C66D34" w:rsidP="00626BBA">
      <w:pPr>
        <w:pStyle w:val="Answers"/>
        <w:numPr>
          <w:ilvl w:val="0"/>
          <w:numId w:val="8"/>
        </w:numPr>
      </w:pPr>
      <w:r>
        <w:t xml:space="preserve">Uniform w/Delays, P80: This scenario uses the same assumptions as Uniform w/Delays, P95, but it evaluates the model at a P80 level, based on a suggestion from J. Kennedy </w:t>
      </w:r>
      <w:r w:rsidR="00374882">
        <w:t xml:space="preserve">&amp; </w:t>
      </w:r>
      <w:r>
        <w:t>Associates regarding the Company’s reserve margin planning methodology.</w:t>
      </w:r>
    </w:p>
    <w:p w14:paraId="25F2D33C" w14:textId="504A3C16" w:rsidR="00C66D34" w:rsidRDefault="00C66D34" w:rsidP="00626BBA">
      <w:pPr>
        <w:pStyle w:val="Answers"/>
      </w:pPr>
      <w:r>
        <w:tab/>
        <w:t xml:space="preserve">The results of these three scenarios are shown graphically for the period Winter 2022/2023 through Winter 2029/2030 and compared to the Budget 2023 forecast in </w:t>
      </w:r>
      <w:r>
        <w:fldChar w:fldCharType="begin"/>
      </w:r>
      <w:r>
        <w:instrText xml:space="preserve"> REF _Ref157857687 \h </w:instrText>
      </w:r>
      <w:r>
        <w:fldChar w:fldCharType="separate"/>
      </w:r>
      <w:r w:rsidR="00D01697">
        <w:t xml:space="preserve">Figure </w:t>
      </w:r>
      <w:r w:rsidR="00D01697">
        <w:rPr>
          <w:noProof/>
        </w:rPr>
        <w:t>2</w:t>
      </w:r>
      <w:r>
        <w:fldChar w:fldCharType="end"/>
      </w:r>
      <w:r>
        <w:t xml:space="preserve">. </w:t>
      </w:r>
    </w:p>
    <w:p w14:paraId="0244B1B2" w14:textId="010D40D9" w:rsidR="00C66D34" w:rsidRDefault="00374882" w:rsidP="005A1275">
      <w:pPr>
        <w:pStyle w:val="Answers"/>
        <w:jc w:val="center"/>
      </w:pPr>
      <w:r>
        <w:rPr>
          <w:noProof/>
        </w:rPr>
        <w:lastRenderedPageBreak/>
        <w:drawing>
          <wp:inline distT="0" distB="0" distL="0" distR="0" wp14:anchorId="73B87079" wp14:editId="21E5BB5E">
            <wp:extent cx="5943600" cy="3312160"/>
            <wp:effectExtent l="0" t="0" r="0" b="2540"/>
            <wp:docPr id="161562778" name="Chart 1">
              <a:extLst xmlns:a="http://schemas.openxmlformats.org/drawingml/2006/main">
                <a:ext uri="{FF2B5EF4-FFF2-40B4-BE49-F238E27FC236}">
                  <a16:creationId xmlns:a16="http://schemas.microsoft.com/office/drawing/2014/main" id="{7D0B6EA8-C316-4D72-B8C2-2E9127DA58B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5F8D2AF8" w14:textId="4D3BCF3F" w:rsidR="00C66D34" w:rsidRDefault="00C66D34" w:rsidP="00C66D34">
      <w:pPr>
        <w:pStyle w:val="Caption"/>
      </w:pPr>
      <w:bookmarkStart w:id="19" w:name="_Ref157857687"/>
      <w:r>
        <w:t xml:space="preserve">Figure </w:t>
      </w:r>
      <w:r>
        <w:fldChar w:fldCharType="begin"/>
      </w:r>
      <w:r>
        <w:instrText>SEQ Figure \* ARABIC</w:instrText>
      </w:r>
      <w:r>
        <w:fldChar w:fldCharType="separate"/>
      </w:r>
      <w:r w:rsidR="00D01697">
        <w:rPr>
          <w:noProof/>
        </w:rPr>
        <w:t>2</w:t>
      </w:r>
      <w:r>
        <w:fldChar w:fldCharType="end"/>
      </w:r>
      <w:bookmarkEnd w:id="19"/>
      <w:r>
        <w:t>: Peak Demand (MW), Selected LRM Sensitivities Winter 2022/23 – 2029/30</w:t>
      </w:r>
      <w:r>
        <w:rPr>
          <w:rStyle w:val="FootnoteReference"/>
        </w:rPr>
        <w:footnoteReference w:id="60"/>
      </w:r>
    </w:p>
    <w:p w14:paraId="53F2575B" w14:textId="77777777" w:rsidR="00C66D34" w:rsidRDefault="00C66D34" w:rsidP="00C66D34"/>
    <w:p w14:paraId="0345E11C" w14:textId="454FDF9E" w:rsidR="00C66D34" w:rsidRDefault="00C66D34" w:rsidP="00626BBA">
      <w:pPr>
        <w:pStyle w:val="Answers"/>
      </w:pPr>
      <w:r>
        <w:tab/>
        <w:t>Th</w:t>
      </w:r>
      <w:r w:rsidRPr="00C66D34">
        <w:rPr>
          <w:rStyle w:val="AnswersChar"/>
          <w:rFonts w:eastAsiaTheme="minorHAnsi"/>
        </w:rPr>
        <w:t>e changes made in these two scenarios result in lower peak demand levels in each year</w:t>
      </w:r>
      <w:r w:rsidR="00374882">
        <w:rPr>
          <w:rStyle w:val="AnswersChar"/>
          <w:rFonts w:eastAsiaTheme="minorHAnsi"/>
        </w:rPr>
        <w:t xml:space="preserve"> as shown in </w:t>
      </w:r>
      <w:r w:rsidR="00374882">
        <w:rPr>
          <w:rStyle w:val="AnswersChar"/>
          <w:rFonts w:eastAsiaTheme="minorHAnsi"/>
        </w:rPr>
        <w:fldChar w:fldCharType="begin"/>
      </w:r>
      <w:r w:rsidR="00374882">
        <w:rPr>
          <w:rStyle w:val="AnswersChar"/>
          <w:rFonts w:eastAsiaTheme="minorHAnsi"/>
        </w:rPr>
        <w:instrText xml:space="preserve"> REF _Ref157858379 \h </w:instrText>
      </w:r>
      <w:r w:rsidR="00374882">
        <w:rPr>
          <w:rStyle w:val="AnswersChar"/>
          <w:rFonts w:eastAsiaTheme="minorHAnsi"/>
        </w:rPr>
      </w:r>
      <w:r w:rsidR="00374882">
        <w:rPr>
          <w:rStyle w:val="AnswersChar"/>
          <w:rFonts w:eastAsiaTheme="minorHAnsi"/>
        </w:rPr>
        <w:fldChar w:fldCharType="separate"/>
      </w:r>
      <w:r w:rsidR="00D01697">
        <w:t xml:space="preserve">Table </w:t>
      </w:r>
      <w:r w:rsidR="00D01697">
        <w:rPr>
          <w:noProof/>
        </w:rPr>
        <w:t>9</w:t>
      </w:r>
      <w:r w:rsidR="00374882">
        <w:rPr>
          <w:rStyle w:val="AnswersChar"/>
          <w:rFonts w:eastAsiaTheme="minorHAnsi"/>
        </w:rPr>
        <w:fldChar w:fldCharType="end"/>
      </w:r>
      <w:r w:rsidRPr="00C66D34">
        <w:rPr>
          <w:rStyle w:val="AnswersChar"/>
          <w:rFonts w:eastAsiaTheme="minorHAnsi"/>
        </w:rPr>
        <w:t>. The total peak</w:t>
      </w:r>
      <w:r>
        <w:rPr>
          <w:rStyle w:val="AnswersChar"/>
          <w:rFonts w:eastAsiaTheme="minorHAnsi"/>
        </w:rPr>
        <w:t xml:space="preserve"> demand in the lowest case is more than 2,000 MW less by the end of the </w:t>
      </w:r>
      <w:r w:rsidR="00FF121B">
        <w:rPr>
          <w:rStyle w:val="AnswersChar"/>
          <w:rFonts w:eastAsiaTheme="minorHAnsi"/>
        </w:rPr>
        <w:t xml:space="preserve">forecast </w:t>
      </w:r>
      <w:r>
        <w:rPr>
          <w:rStyle w:val="AnswersChar"/>
          <w:rFonts w:eastAsiaTheme="minorHAnsi"/>
        </w:rPr>
        <w:t>period, with similar differences throughout, as demonstrated in</w:t>
      </w:r>
      <w:r w:rsidR="00374882">
        <w:rPr>
          <w:rStyle w:val="AnswersChar"/>
          <w:rFonts w:eastAsiaTheme="minorHAnsi"/>
        </w:rPr>
        <w:t xml:space="preserve"> </w:t>
      </w:r>
      <w:r w:rsidR="00D42C01">
        <w:rPr>
          <w:rStyle w:val="AnswersChar"/>
          <w:rFonts w:eastAsiaTheme="minorHAnsi"/>
        </w:rPr>
        <w:fldChar w:fldCharType="begin"/>
      </w:r>
      <w:r w:rsidR="00D42C01">
        <w:rPr>
          <w:rStyle w:val="AnswersChar"/>
          <w:rFonts w:eastAsiaTheme="minorHAnsi"/>
        </w:rPr>
        <w:instrText xml:space="preserve"> REF _Ref158303194 \h </w:instrText>
      </w:r>
      <w:r w:rsidR="00D42C01">
        <w:rPr>
          <w:rStyle w:val="AnswersChar"/>
          <w:rFonts w:eastAsiaTheme="minorHAnsi"/>
        </w:rPr>
      </w:r>
      <w:r w:rsidR="00D42C01">
        <w:rPr>
          <w:rStyle w:val="AnswersChar"/>
          <w:rFonts w:eastAsiaTheme="minorHAnsi"/>
        </w:rPr>
        <w:fldChar w:fldCharType="separate"/>
      </w:r>
      <w:r w:rsidR="00D01697">
        <w:t xml:space="preserve">Table </w:t>
      </w:r>
      <w:r w:rsidR="00D01697">
        <w:rPr>
          <w:noProof/>
        </w:rPr>
        <w:t>10</w:t>
      </w:r>
      <w:r w:rsidR="00D42C01">
        <w:rPr>
          <w:rStyle w:val="AnswersChar"/>
          <w:rFonts w:eastAsiaTheme="minorHAnsi"/>
        </w:rPr>
        <w:fldChar w:fldCharType="end"/>
      </w:r>
      <w:r>
        <w:rPr>
          <w:rStyle w:val="AnswersChar"/>
          <w:rFonts w:eastAsiaTheme="minorHAnsi"/>
        </w:rPr>
        <w:t xml:space="preserve">. For the mid case, this difference is closer to 1,500 MW throughout the </w:t>
      </w:r>
      <w:r w:rsidR="00FF121B">
        <w:rPr>
          <w:rStyle w:val="AnswersChar"/>
          <w:rFonts w:eastAsiaTheme="minorHAnsi"/>
        </w:rPr>
        <w:t xml:space="preserve">forecast </w:t>
      </w:r>
      <w:r>
        <w:rPr>
          <w:rStyle w:val="AnswersChar"/>
          <w:rFonts w:eastAsiaTheme="minorHAnsi"/>
        </w:rPr>
        <w:t xml:space="preserve">period. </w:t>
      </w:r>
    </w:p>
    <w:p w14:paraId="54461D05" w14:textId="16196E49" w:rsidR="00C66D34" w:rsidRDefault="00C66D34" w:rsidP="005A1275">
      <w:pPr>
        <w:pStyle w:val="Caption"/>
        <w:keepLines/>
      </w:pPr>
      <w:bookmarkStart w:id="20" w:name="_Ref157858379"/>
      <w:r>
        <w:t xml:space="preserve">Table </w:t>
      </w:r>
      <w:r>
        <w:fldChar w:fldCharType="begin"/>
      </w:r>
      <w:r>
        <w:instrText>SEQ Table \* ARABIC</w:instrText>
      </w:r>
      <w:r>
        <w:fldChar w:fldCharType="separate"/>
      </w:r>
      <w:r w:rsidR="00D01697">
        <w:rPr>
          <w:noProof/>
        </w:rPr>
        <w:t>9</w:t>
      </w:r>
      <w:r>
        <w:fldChar w:fldCharType="end"/>
      </w:r>
      <w:bookmarkEnd w:id="20"/>
      <w:r>
        <w:t>: Peak Demand (MW), Selected Sensitivities in Selected Years</w:t>
      </w:r>
      <w:r>
        <w:rPr>
          <w:rStyle w:val="FootnoteReference"/>
        </w:rPr>
        <w:footnoteReference w:id="61"/>
      </w:r>
    </w:p>
    <w:tbl>
      <w:tblPr>
        <w:tblW w:w="0" w:type="auto"/>
        <w:jc w:val="center"/>
        <w:tblLook w:val="04A0" w:firstRow="1" w:lastRow="0" w:firstColumn="1" w:lastColumn="0" w:noHBand="0" w:noVBand="1"/>
      </w:tblPr>
      <w:tblGrid>
        <w:gridCol w:w="1072"/>
        <w:gridCol w:w="1784"/>
        <w:gridCol w:w="472"/>
        <w:gridCol w:w="472"/>
        <w:gridCol w:w="1316"/>
        <w:gridCol w:w="1316"/>
        <w:gridCol w:w="1316"/>
      </w:tblGrid>
      <w:tr w:rsidR="0021465F" w:rsidRPr="00C66D34" w14:paraId="23B1D796" w14:textId="77777777" w:rsidTr="003B1DF4">
        <w:trPr>
          <w:trHeight w:val="300"/>
          <w:jc w:val="center"/>
        </w:trPr>
        <w:tc>
          <w:tcPr>
            <w:tcW w:w="0" w:type="auto"/>
            <w:tcBorders>
              <w:top w:val="single" w:sz="8" w:space="0" w:color="auto"/>
              <w:left w:val="single" w:sz="8" w:space="0" w:color="auto"/>
              <w:bottom w:val="nil"/>
              <w:right w:val="nil"/>
            </w:tcBorders>
            <w:shd w:val="clear" w:color="000000" w:fill="F2F2F2"/>
          </w:tcPr>
          <w:p w14:paraId="33250651" w14:textId="37105FFA" w:rsidR="0021465F" w:rsidRPr="00C66D34" w:rsidRDefault="0021465F" w:rsidP="0021465F">
            <w:pPr>
              <w:keepNext/>
              <w:keepLines/>
              <w:jc w:val="left"/>
              <w:rPr>
                <w:rFonts w:cs="Calibri"/>
                <w:b/>
                <w:bCs/>
                <w:color w:val="000000"/>
              </w:rPr>
            </w:pPr>
            <w:r>
              <w:rPr>
                <w:rFonts w:cs="Calibri"/>
                <w:b/>
                <w:bCs/>
                <w:color w:val="000000"/>
              </w:rPr>
              <w:t>Author</w:t>
            </w:r>
          </w:p>
        </w:tc>
        <w:tc>
          <w:tcPr>
            <w:tcW w:w="0" w:type="auto"/>
            <w:tcBorders>
              <w:top w:val="single" w:sz="8" w:space="0" w:color="auto"/>
              <w:left w:val="single" w:sz="8" w:space="0" w:color="auto"/>
              <w:right w:val="nil"/>
            </w:tcBorders>
            <w:shd w:val="clear" w:color="000000" w:fill="F2F2F2"/>
            <w:noWrap/>
            <w:vAlign w:val="bottom"/>
            <w:hideMark/>
          </w:tcPr>
          <w:p w14:paraId="30CFC781" w14:textId="117E3E34" w:rsidR="0021465F" w:rsidRPr="00C66D34" w:rsidRDefault="0021465F" w:rsidP="005A1275">
            <w:pPr>
              <w:keepNext/>
              <w:keepLines/>
              <w:jc w:val="left"/>
              <w:rPr>
                <w:rFonts w:cs="Calibri"/>
                <w:b/>
                <w:bCs/>
                <w:color w:val="000000"/>
              </w:rPr>
            </w:pPr>
            <w:r w:rsidRPr="00C66D34">
              <w:rPr>
                <w:rFonts w:cs="Calibri"/>
                <w:b/>
                <w:bCs/>
                <w:color w:val="000000"/>
              </w:rPr>
              <w:t>Forecast</w:t>
            </w:r>
          </w:p>
        </w:tc>
        <w:tc>
          <w:tcPr>
            <w:tcW w:w="0" w:type="auto"/>
            <w:tcBorders>
              <w:top w:val="single" w:sz="8" w:space="0" w:color="auto"/>
              <w:left w:val="nil"/>
              <w:right w:val="nil"/>
            </w:tcBorders>
            <w:shd w:val="clear" w:color="000000" w:fill="F2F2F2"/>
            <w:noWrap/>
            <w:vAlign w:val="bottom"/>
            <w:hideMark/>
          </w:tcPr>
          <w:p w14:paraId="2E257343" w14:textId="77777777" w:rsidR="0021465F" w:rsidRPr="00C66D34" w:rsidRDefault="0021465F" w:rsidP="005A1275">
            <w:pPr>
              <w:keepNext/>
              <w:keepLines/>
              <w:jc w:val="left"/>
              <w:rPr>
                <w:rFonts w:cs="Calibri"/>
                <w:color w:val="000000"/>
              </w:rPr>
            </w:pPr>
            <w:r w:rsidRPr="00C66D34">
              <w:rPr>
                <w:rFonts w:cs="Calibri"/>
                <w:color w:val="000000"/>
              </w:rPr>
              <w:t> </w:t>
            </w:r>
          </w:p>
        </w:tc>
        <w:tc>
          <w:tcPr>
            <w:tcW w:w="0" w:type="auto"/>
            <w:tcBorders>
              <w:top w:val="single" w:sz="8" w:space="0" w:color="auto"/>
              <w:left w:val="nil"/>
              <w:right w:val="nil"/>
            </w:tcBorders>
            <w:shd w:val="clear" w:color="000000" w:fill="F2F2F2"/>
            <w:noWrap/>
            <w:vAlign w:val="bottom"/>
            <w:hideMark/>
          </w:tcPr>
          <w:p w14:paraId="6DC38B2F" w14:textId="77777777" w:rsidR="0021465F" w:rsidRPr="00C66D34" w:rsidRDefault="0021465F" w:rsidP="005A1275">
            <w:pPr>
              <w:keepNext/>
              <w:keepLines/>
              <w:jc w:val="left"/>
              <w:rPr>
                <w:rFonts w:cs="Calibri"/>
                <w:color w:val="000000"/>
              </w:rPr>
            </w:pPr>
            <w:r w:rsidRPr="00C66D34">
              <w:rPr>
                <w:rFonts w:cs="Calibri"/>
                <w:color w:val="000000"/>
              </w:rPr>
              <w:t> </w:t>
            </w:r>
          </w:p>
        </w:tc>
        <w:tc>
          <w:tcPr>
            <w:tcW w:w="0" w:type="auto"/>
            <w:tcBorders>
              <w:top w:val="single" w:sz="8" w:space="0" w:color="auto"/>
              <w:left w:val="nil"/>
              <w:right w:val="nil"/>
            </w:tcBorders>
            <w:shd w:val="clear" w:color="000000" w:fill="F2F2F2"/>
            <w:noWrap/>
            <w:vAlign w:val="bottom"/>
            <w:hideMark/>
          </w:tcPr>
          <w:p w14:paraId="01BF6C9C" w14:textId="77777777" w:rsidR="0021465F" w:rsidRPr="00C66D34" w:rsidRDefault="0021465F" w:rsidP="005A1275">
            <w:pPr>
              <w:keepNext/>
              <w:keepLines/>
              <w:jc w:val="left"/>
              <w:rPr>
                <w:rFonts w:cs="Calibri"/>
                <w:b/>
                <w:bCs/>
                <w:color w:val="000000"/>
              </w:rPr>
            </w:pPr>
            <w:r w:rsidRPr="00C66D34">
              <w:rPr>
                <w:rFonts w:cs="Calibri"/>
                <w:b/>
                <w:bCs/>
                <w:color w:val="000000"/>
              </w:rPr>
              <w:t>2028/2029</w:t>
            </w:r>
          </w:p>
        </w:tc>
        <w:tc>
          <w:tcPr>
            <w:tcW w:w="0" w:type="auto"/>
            <w:tcBorders>
              <w:top w:val="single" w:sz="8" w:space="0" w:color="auto"/>
              <w:left w:val="nil"/>
              <w:right w:val="nil"/>
            </w:tcBorders>
            <w:shd w:val="clear" w:color="000000" w:fill="F2F2F2"/>
            <w:noWrap/>
            <w:vAlign w:val="bottom"/>
            <w:hideMark/>
          </w:tcPr>
          <w:p w14:paraId="27B64AC1" w14:textId="77777777" w:rsidR="0021465F" w:rsidRPr="00C66D34" w:rsidRDefault="0021465F" w:rsidP="005A1275">
            <w:pPr>
              <w:keepNext/>
              <w:keepLines/>
              <w:jc w:val="left"/>
              <w:rPr>
                <w:rFonts w:cs="Calibri"/>
                <w:b/>
                <w:bCs/>
                <w:color w:val="000000"/>
              </w:rPr>
            </w:pPr>
            <w:r w:rsidRPr="00C66D34">
              <w:rPr>
                <w:rFonts w:cs="Calibri"/>
                <w:b/>
                <w:bCs/>
                <w:color w:val="000000"/>
              </w:rPr>
              <w:t>2032/2033</w:t>
            </w:r>
          </w:p>
        </w:tc>
        <w:tc>
          <w:tcPr>
            <w:tcW w:w="0" w:type="auto"/>
            <w:tcBorders>
              <w:top w:val="single" w:sz="8" w:space="0" w:color="auto"/>
              <w:left w:val="nil"/>
              <w:right w:val="single" w:sz="8" w:space="0" w:color="auto"/>
            </w:tcBorders>
            <w:shd w:val="clear" w:color="000000" w:fill="F2F2F2"/>
            <w:noWrap/>
            <w:vAlign w:val="bottom"/>
            <w:hideMark/>
          </w:tcPr>
          <w:p w14:paraId="175E9CCB" w14:textId="77777777" w:rsidR="0021465F" w:rsidRPr="00C66D34" w:rsidRDefault="0021465F" w:rsidP="005A1275">
            <w:pPr>
              <w:keepNext/>
              <w:keepLines/>
              <w:jc w:val="left"/>
              <w:rPr>
                <w:rFonts w:cs="Calibri"/>
                <w:b/>
                <w:bCs/>
                <w:color w:val="000000"/>
              </w:rPr>
            </w:pPr>
            <w:r w:rsidRPr="00C66D34">
              <w:rPr>
                <w:rFonts w:cs="Calibri"/>
                <w:b/>
                <w:bCs/>
                <w:color w:val="000000"/>
              </w:rPr>
              <w:t>2042/2043</w:t>
            </w:r>
          </w:p>
        </w:tc>
      </w:tr>
      <w:tr w:rsidR="0021465F" w:rsidRPr="00C66D34" w14:paraId="1A69C7FE" w14:textId="77777777" w:rsidTr="003B1DF4">
        <w:trPr>
          <w:trHeight w:val="300"/>
          <w:jc w:val="center"/>
        </w:trPr>
        <w:tc>
          <w:tcPr>
            <w:tcW w:w="0" w:type="auto"/>
            <w:tcBorders>
              <w:top w:val="nil"/>
              <w:left w:val="single" w:sz="8" w:space="0" w:color="auto"/>
              <w:bottom w:val="single" w:sz="4" w:space="0" w:color="auto"/>
              <w:right w:val="nil"/>
            </w:tcBorders>
          </w:tcPr>
          <w:p w14:paraId="1D6721D7" w14:textId="0B5DEADD" w:rsidR="0021465F" w:rsidRPr="00C66D34" w:rsidRDefault="0021465F" w:rsidP="0021465F">
            <w:pPr>
              <w:keepNext/>
              <w:keepLines/>
              <w:jc w:val="left"/>
              <w:rPr>
                <w:rFonts w:cs="Calibri"/>
                <w:color w:val="000000"/>
              </w:rPr>
            </w:pPr>
            <w:r>
              <w:rPr>
                <w:rFonts w:cs="Calibri"/>
                <w:color w:val="000000"/>
              </w:rPr>
              <w:t>Company</w:t>
            </w:r>
          </w:p>
        </w:tc>
        <w:tc>
          <w:tcPr>
            <w:tcW w:w="0" w:type="auto"/>
            <w:gridSpan w:val="3"/>
            <w:tcBorders>
              <w:top w:val="nil"/>
              <w:left w:val="single" w:sz="8" w:space="0" w:color="auto"/>
              <w:bottom w:val="single" w:sz="4" w:space="0" w:color="auto"/>
              <w:right w:val="nil"/>
            </w:tcBorders>
            <w:shd w:val="clear" w:color="auto" w:fill="auto"/>
            <w:noWrap/>
            <w:vAlign w:val="bottom"/>
            <w:hideMark/>
          </w:tcPr>
          <w:p w14:paraId="78A86609" w14:textId="2E701876" w:rsidR="0021465F" w:rsidRPr="00C66D34" w:rsidRDefault="0021465F" w:rsidP="005A1275">
            <w:pPr>
              <w:keepNext/>
              <w:keepLines/>
              <w:jc w:val="left"/>
              <w:rPr>
                <w:rFonts w:cs="Calibri"/>
                <w:color w:val="000000"/>
              </w:rPr>
            </w:pPr>
            <w:r w:rsidRPr="00C66D34">
              <w:rPr>
                <w:rFonts w:cs="Calibri"/>
                <w:color w:val="000000"/>
              </w:rPr>
              <w:t>2023 IRP Update, LRM P95</w:t>
            </w:r>
          </w:p>
        </w:tc>
        <w:tc>
          <w:tcPr>
            <w:tcW w:w="0" w:type="auto"/>
            <w:tcBorders>
              <w:top w:val="nil"/>
              <w:left w:val="nil"/>
              <w:bottom w:val="single" w:sz="4" w:space="0" w:color="auto"/>
              <w:right w:val="nil"/>
            </w:tcBorders>
            <w:shd w:val="clear" w:color="auto" w:fill="auto"/>
            <w:noWrap/>
            <w:vAlign w:val="bottom"/>
            <w:hideMark/>
          </w:tcPr>
          <w:p w14:paraId="6F5F7196" w14:textId="77777777" w:rsidR="0021465F" w:rsidRPr="00C66D34" w:rsidRDefault="0021465F" w:rsidP="005A1275">
            <w:pPr>
              <w:keepNext/>
              <w:keepLines/>
              <w:jc w:val="left"/>
              <w:rPr>
                <w:rFonts w:cs="Calibri"/>
                <w:color w:val="000000"/>
              </w:rPr>
            </w:pPr>
            <w:r w:rsidRPr="00C66D34">
              <w:rPr>
                <w:rFonts w:cs="Calibri"/>
                <w:color w:val="000000"/>
              </w:rPr>
              <w:t xml:space="preserve">         20,551 </w:t>
            </w:r>
          </w:p>
        </w:tc>
        <w:tc>
          <w:tcPr>
            <w:tcW w:w="0" w:type="auto"/>
            <w:tcBorders>
              <w:top w:val="nil"/>
              <w:left w:val="nil"/>
              <w:bottom w:val="single" w:sz="4" w:space="0" w:color="auto"/>
              <w:right w:val="nil"/>
            </w:tcBorders>
            <w:shd w:val="clear" w:color="auto" w:fill="auto"/>
            <w:noWrap/>
            <w:vAlign w:val="bottom"/>
            <w:hideMark/>
          </w:tcPr>
          <w:p w14:paraId="3B956D52" w14:textId="77777777" w:rsidR="0021465F" w:rsidRPr="00C66D34" w:rsidRDefault="0021465F" w:rsidP="005A1275">
            <w:pPr>
              <w:keepNext/>
              <w:keepLines/>
              <w:jc w:val="left"/>
              <w:rPr>
                <w:rFonts w:cs="Calibri"/>
                <w:color w:val="000000"/>
              </w:rPr>
            </w:pPr>
            <w:r w:rsidRPr="00C66D34">
              <w:rPr>
                <w:rFonts w:cs="Calibri"/>
                <w:color w:val="000000"/>
              </w:rPr>
              <w:t xml:space="preserve">         22,353 </w:t>
            </w:r>
          </w:p>
        </w:tc>
        <w:tc>
          <w:tcPr>
            <w:tcW w:w="0" w:type="auto"/>
            <w:tcBorders>
              <w:top w:val="nil"/>
              <w:left w:val="nil"/>
              <w:bottom w:val="single" w:sz="4" w:space="0" w:color="auto"/>
              <w:right w:val="single" w:sz="8" w:space="0" w:color="auto"/>
            </w:tcBorders>
            <w:shd w:val="clear" w:color="auto" w:fill="auto"/>
            <w:noWrap/>
            <w:vAlign w:val="bottom"/>
            <w:hideMark/>
          </w:tcPr>
          <w:p w14:paraId="6E8FB6EE" w14:textId="77777777" w:rsidR="0021465F" w:rsidRPr="00C66D34" w:rsidRDefault="0021465F" w:rsidP="005A1275">
            <w:pPr>
              <w:keepNext/>
              <w:keepLines/>
              <w:jc w:val="left"/>
              <w:rPr>
                <w:rFonts w:cs="Calibri"/>
                <w:color w:val="000000"/>
              </w:rPr>
            </w:pPr>
            <w:r w:rsidRPr="00C66D34">
              <w:rPr>
                <w:rFonts w:cs="Calibri"/>
                <w:color w:val="000000"/>
              </w:rPr>
              <w:t xml:space="preserve">         25,033 </w:t>
            </w:r>
          </w:p>
        </w:tc>
      </w:tr>
      <w:tr w:rsidR="0021465F" w:rsidRPr="00C66D34" w14:paraId="28958546" w14:textId="77777777" w:rsidTr="003B1DF4">
        <w:trPr>
          <w:trHeight w:val="300"/>
          <w:jc w:val="center"/>
        </w:trPr>
        <w:tc>
          <w:tcPr>
            <w:tcW w:w="0" w:type="auto"/>
            <w:vMerge w:val="restart"/>
            <w:tcBorders>
              <w:top w:val="single" w:sz="4" w:space="0" w:color="auto"/>
              <w:left w:val="single" w:sz="8" w:space="0" w:color="auto"/>
              <w:bottom w:val="single" w:sz="8" w:space="0" w:color="auto"/>
              <w:right w:val="nil"/>
            </w:tcBorders>
          </w:tcPr>
          <w:p w14:paraId="7D649108" w14:textId="3815D633" w:rsidR="0021465F" w:rsidRPr="00C66D34" w:rsidRDefault="0021465F" w:rsidP="003B1DF4">
            <w:pPr>
              <w:keepNext/>
              <w:keepLines/>
              <w:jc w:val="center"/>
              <w:rPr>
                <w:rFonts w:cs="Calibri"/>
                <w:color w:val="000000"/>
              </w:rPr>
            </w:pPr>
            <w:r>
              <w:rPr>
                <w:rFonts w:cs="Calibri"/>
                <w:color w:val="000000"/>
              </w:rPr>
              <w:t>Staff</w:t>
            </w:r>
          </w:p>
        </w:tc>
        <w:tc>
          <w:tcPr>
            <w:tcW w:w="0" w:type="auto"/>
            <w:gridSpan w:val="2"/>
            <w:tcBorders>
              <w:top w:val="single" w:sz="4" w:space="0" w:color="auto"/>
              <w:left w:val="single" w:sz="8" w:space="0" w:color="auto"/>
              <w:bottom w:val="nil"/>
              <w:right w:val="nil"/>
            </w:tcBorders>
            <w:shd w:val="clear" w:color="auto" w:fill="auto"/>
            <w:noWrap/>
            <w:vAlign w:val="bottom"/>
            <w:hideMark/>
          </w:tcPr>
          <w:p w14:paraId="672A14BE" w14:textId="1889E6B6" w:rsidR="0021465F" w:rsidRPr="00C66D34" w:rsidRDefault="0021465F" w:rsidP="005A1275">
            <w:pPr>
              <w:keepNext/>
              <w:keepLines/>
              <w:jc w:val="left"/>
              <w:rPr>
                <w:rFonts w:cs="Calibri"/>
                <w:color w:val="000000"/>
              </w:rPr>
            </w:pPr>
            <w:r w:rsidRPr="00C66D34">
              <w:rPr>
                <w:rFonts w:cs="Calibri"/>
                <w:color w:val="000000"/>
              </w:rPr>
              <w:t>Uniform w/Delays P95</w:t>
            </w:r>
          </w:p>
        </w:tc>
        <w:tc>
          <w:tcPr>
            <w:tcW w:w="0" w:type="auto"/>
            <w:tcBorders>
              <w:top w:val="single" w:sz="4" w:space="0" w:color="auto"/>
              <w:left w:val="nil"/>
              <w:bottom w:val="nil"/>
              <w:right w:val="nil"/>
            </w:tcBorders>
            <w:shd w:val="clear" w:color="auto" w:fill="auto"/>
            <w:noWrap/>
            <w:vAlign w:val="bottom"/>
            <w:hideMark/>
          </w:tcPr>
          <w:p w14:paraId="546AA313" w14:textId="77777777" w:rsidR="0021465F" w:rsidRPr="00C66D34" w:rsidRDefault="0021465F" w:rsidP="005A1275">
            <w:pPr>
              <w:keepNext/>
              <w:keepLines/>
              <w:jc w:val="left"/>
              <w:rPr>
                <w:rFonts w:cs="Calibri"/>
                <w:color w:val="000000"/>
              </w:rPr>
            </w:pPr>
          </w:p>
        </w:tc>
        <w:tc>
          <w:tcPr>
            <w:tcW w:w="0" w:type="auto"/>
            <w:tcBorders>
              <w:top w:val="single" w:sz="4" w:space="0" w:color="auto"/>
              <w:left w:val="nil"/>
              <w:bottom w:val="nil"/>
              <w:right w:val="nil"/>
            </w:tcBorders>
            <w:shd w:val="clear" w:color="auto" w:fill="auto"/>
            <w:noWrap/>
            <w:vAlign w:val="bottom"/>
            <w:hideMark/>
          </w:tcPr>
          <w:p w14:paraId="19FEF8E1" w14:textId="77777777" w:rsidR="0021465F" w:rsidRPr="00C66D34" w:rsidRDefault="0021465F" w:rsidP="005A1275">
            <w:pPr>
              <w:keepNext/>
              <w:keepLines/>
              <w:jc w:val="left"/>
              <w:rPr>
                <w:rFonts w:cs="Calibri"/>
                <w:color w:val="000000"/>
              </w:rPr>
            </w:pPr>
            <w:r w:rsidRPr="00C66D34">
              <w:rPr>
                <w:rFonts w:cs="Calibri"/>
                <w:color w:val="000000"/>
              </w:rPr>
              <w:t xml:space="preserve">         19,084 </w:t>
            </w:r>
          </w:p>
        </w:tc>
        <w:tc>
          <w:tcPr>
            <w:tcW w:w="0" w:type="auto"/>
            <w:tcBorders>
              <w:top w:val="single" w:sz="4" w:space="0" w:color="auto"/>
              <w:left w:val="nil"/>
              <w:bottom w:val="nil"/>
              <w:right w:val="nil"/>
            </w:tcBorders>
            <w:shd w:val="clear" w:color="auto" w:fill="auto"/>
            <w:noWrap/>
            <w:vAlign w:val="bottom"/>
            <w:hideMark/>
          </w:tcPr>
          <w:p w14:paraId="659E9592" w14:textId="77777777" w:rsidR="0021465F" w:rsidRPr="00C66D34" w:rsidRDefault="0021465F" w:rsidP="005A1275">
            <w:pPr>
              <w:keepNext/>
              <w:keepLines/>
              <w:jc w:val="left"/>
              <w:rPr>
                <w:rFonts w:cs="Calibri"/>
                <w:color w:val="000000"/>
              </w:rPr>
            </w:pPr>
            <w:r w:rsidRPr="00C66D34">
              <w:rPr>
                <w:rFonts w:cs="Calibri"/>
                <w:color w:val="000000"/>
              </w:rPr>
              <w:t xml:space="preserve">         20,888 </w:t>
            </w:r>
          </w:p>
        </w:tc>
        <w:tc>
          <w:tcPr>
            <w:tcW w:w="0" w:type="auto"/>
            <w:tcBorders>
              <w:top w:val="single" w:sz="4" w:space="0" w:color="auto"/>
              <w:left w:val="nil"/>
              <w:bottom w:val="nil"/>
              <w:right w:val="single" w:sz="8" w:space="0" w:color="auto"/>
            </w:tcBorders>
            <w:shd w:val="clear" w:color="auto" w:fill="auto"/>
            <w:noWrap/>
            <w:vAlign w:val="bottom"/>
            <w:hideMark/>
          </w:tcPr>
          <w:p w14:paraId="0FDCE6F9" w14:textId="77777777" w:rsidR="0021465F" w:rsidRPr="00C66D34" w:rsidRDefault="0021465F" w:rsidP="005A1275">
            <w:pPr>
              <w:keepNext/>
              <w:keepLines/>
              <w:jc w:val="left"/>
              <w:rPr>
                <w:rFonts w:cs="Calibri"/>
                <w:color w:val="000000"/>
              </w:rPr>
            </w:pPr>
            <w:r w:rsidRPr="00C66D34">
              <w:rPr>
                <w:rFonts w:cs="Calibri"/>
                <w:color w:val="000000"/>
              </w:rPr>
              <w:t xml:space="preserve">         23,560 </w:t>
            </w:r>
          </w:p>
        </w:tc>
      </w:tr>
      <w:tr w:rsidR="0021465F" w:rsidRPr="00C66D34" w14:paraId="2D789E7C" w14:textId="77777777" w:rsidTr="004D12E0">
        <w:trPr>
          <w:trHeight w:val="315"/>
          <w:jc w:val="center"/>
        </w:trPr>
        <w:tc>
          <w:tcPr>
            <w:tcW w:w="0" w:type="auto"/>
            <w:vMerge/>
            <w:tcBorders>
              <w:left w:val="single" w:sz="8" w:space="0" w:color="auto"/>
              <w:bottom w:val="single" w:sz="8" w:space="0" w:color="auto"/>
              <w:right w:val="nil"/>
            </w:tcBorders>
          </w:tcPr>
          <w:p w14:paraId="6AEE5970" w14:textId="77777777" w:rsidR="0021465F" w:rsidRPr="00C66D34" w:rsidRDefault="0021465F" w:rsidP="005A1275">
            <w:pPr>
              <w:keepNext/>
              <w:keepLines/>
              <w:jc w:val="left"/>
              <w:rPr>
                <w:rFonts w:cs="Calibri"/>
                <w:color w:val="000000"/>
              </w:rPr>
            </w:pPr>
          </w:p>
        </w:tc>
        <w:tc>
          <w:tcPr>
            <w:tcW w:w="0" w:type="auto"/>
            <w:gridSpan w:val="2"/>
            <w:tcBorders>
              <w:top w:val="nil"/>
              <w:left w:val="single" w:sz="8" w:space="0" w:color="auto"/>
              <w:bottom w:val="single" w:sz="8" w:space="0" w:color="auto"/>
              <w:right w:val="nil"/>
            </w:tcBorders>
            <w:shd w:val="clear" w:color="auto" w:fill="auto"/>
            <w:noWrap/>
            <w:vAlign w:val="bottom"/>
            <w:hideMark/>
          </w:tcPr>
          <w:p w14:paraId="0B26855B" w14:textId="161CD399" w:rsidR="0021465F" w:rsidRPr="00C66D34" w:rsidRDefault="0021465F" w:rsidP="005A1275">
            <w:pPr>
              <w:keepNext/>
              <w:keepLines/>
              <w:jc w:val="left"/>
              <w:rPr>
                <w:rFonts w:cs="Calibri"/>
                <w:color w:val="000000"/>
              </w:rPr>
            </w:pPr>
            <w:r w:rsidRPr="00C66D34">
              <w:rPr>
                <w:rFonts w:cs="Calibri"/>
                <w:color w:val="000000"/>
              </w:rPr>
              <w:t>Uniform w/Delays P80</w:t>
            </w:r>
          </w:p>
        </w:tc>
        <w:tc>
          <w:tcPr>
            <w:tcW w:w="0" w:type="auto"/>
            <w:tcBorders>
              <w:top w:val="nil"/>
              <w:left w:val="nil"/>
              <w:bottom w:val="single" w:sz="8" w:space="0" w:color="auto"/>
              <w:right w:val="nil"/>
            </w:tcBorders>
            <w:shd w:val="clear" w:color="auto" w:fill="auto"/>
            <w:noWrap/>
            <w:vAlign w:val="bottom"/>
            <w:hideMark/>
          </w:tcPr>
          <w:p w14:paraId="5FD6AD01" w14:textId="77777777" w:rsidR="0021465F" w:rsidRPr="00C66D34" w:rsidRDefault="0021465F" w:rsidP="005A1275">
            <w:pPr>
              <w:keepNext/>
              <w:keepLines/>
              <w:jc w:val="left"/>
              <w:rPr>
                <w:rFonts w:cs="Calibri"/>
                <w:color w:val="000000"/>
              </w:rPr>
            </w:pPr>
            <w:r w:rsidRPr="00C66D34">
              <w:rPr>
                <w:rFonts w:cs="Calibri"/>
                <w:color w:val="000000"/>
              </w:rPr>
              <w:t> </w:t>
            </w:r>
          </w:p>
        </w:tc>
        <w:tc>
          <w:tcPr>
            <w:tcW w:w="0" w:type="auto"/>
            <w:tcBorders>
              <w:top w:val="nil"/>
              <w:left w:val="nil"/>
              <w:bottom w:val="single" w:sz="8" w:space="0" w:color="auto"/>
              <w:right w:val="nil"/>
            </w:tcBorders>
            <w:shd w:val="clear" w:color="auto" w:fill="auto"/>
            <w:noWrap/>
            <w:vAlign w:val="bottom"/>
            <w:hideMark/>
          </w:tcPr>
          <w:p w14:paraId="49B7DB00" w14:textId="77777777" w:rsidR="0021465F" w:rsidRPr="00C66D34" w:rsidRDefault="0021465F" w:rsidP="005A1275">
            <w:pPr>
              <w:keepNext/>
              <w:keepLines/>
              <w:jc w:val="left"/>
              <w:rPr>
                <w:rFonts w:cs="Calibri"/>
                <w:color w:val="000000"/>
              </w:rPr>
            </w:pPr>
            <w:r w:rsidRPr="00C66D34">
              <w:rPr>
                <w:rFonts w:cs="Calibri"/>
                <w:color w:val="000000"/>
              </w:rPr>
              <w:t xml:space="preserve">         18,504 </w:t>
            </w:r>
          </w:p>
        </w:tc>
        <w:tc>
          <w:tcPr>
            <w:tcW w:w="0" w:type="auto"/>
            <w:tcBorders>
              <w:top w:val="nil"/>
              <w:left w:val="nil"/>
              <w:bottom w:val="single" w:sz="8" w:space="0" w:color="auto"/>
              <w:right w:val="nil"/>
            </w:tcBorders>
            <w:shd w:val="clear" w:color="auto" w:fill="auto"/>
            <w:noWrap/>
            <w:vAlign w:val="bottom"/>
            <w:hideMark/>
          </w:tcPr>
          <w:p w14:paraId="2D596E76" w14:textId="77777777" w:rsidR="0021465F" w:rsidRPr="00C66D34" w:rsidRDefault="0021465F" w:rsidP="005A1275">
            <w:pPr>
              <w:keepNext/>
              <w:keepLines/>
              <w:jc w:val="left"/>
              <w:rPr>
                <w:rFonts w:cs="Calibri"/>
                <w:color w:val="000000"/>
              </w:rPr>
            </w:pPr>
            <w:r w:rsidRPr="00C66D34">
              <w:rPr>
                <w:rFonts w:cs="Calibri"/>
                <w:color w:val="000000"/>
              </w:rPr>
              <w:t xml:space="preserve">         20,109 </w:t>
            </w:r>
          </w:p>
        </w:tc>
        <w:tc>
          <w:tcPr>
            <w:tcW w:w="0" w:type="auto"/>
            <w:tcBorders>
              <w:top w:val="nil"/>
              <w:left w:val="nil"/>
              <w:bottom w:val="single" w:sz="8" w:space="0" w:color="auto"/>
              <w:right w:val="single" w:sz="8" w:space="0" w:color="auto"/>
            </w:tcBorders>
            <w:shd w:val="clear" w:color="auto" w:fill="auto"/>
            <w:noWrap/>
            <w:vAlign w:val="bottom"/>
            <w:hideMark/>
          </w:tcPr>
          <w:p w14:paraId="5AEF6814" w14:textId="77777777" w:rsidR="0021465F" w:rsidRPr="00C66D34" w:rsidRDefault="0021465F" w:rsidP="005A1275">
            <w:pPr>
              <w:keepNext/>
              <w:keepLines/>
              <w:jc w:val="left"/>
              <w:rPr>
                <w:rFonts w:cs="Calibri"/>
                <w:color w:val="000000"/>
              </w:rPr>
            </w:pPr>
            <w:r w:rsidRPr="00C66D34">
              <w:rPr>
                <w:rFonts w:cs="Calibri"/>
                <w:color w:val="000000"/>
              </w:rPr>
              <w:t xml:space="preserve">         22,765 </w:t>
            </w:r>
          </w:p>
        </w:tc>
      </w:tr>
    </w:tbl>
    <w:p w14:paraId="7FAE62FC" w14:textId="23CCDA02" w:rsidR="00374882" w:rsidRDefault="00374882" w:rsidP="00374882">
      <w:pPr>
        <w:pStyle w:val="Answers"/>
      </w:pPr>
      <w:r>
        <w:tab/>
        <w:t xml:space="preserve"> </w:t>
      </w:r>
    </w:p>
    <w:p w14:paraId="28E1B702" w14:textId="7C946CD5" w:rsidR="00374882" w:rsidRDefault="57930004" w:rsidP="005A1275">
      <w:pPr>
        <w:pStyle w:val="Caption"/>
      </w:pPr>
      <w:bookmarkStart w:id="21" w:name="_Ref158303194"/>
      <w:r>
        <w:lastRenderedPageBreak/>
        <w:t xml:space="preserve">Table </w:t>
      </w:r>
      <w:r>
        <w:fldChar w:fldCharType="begin"/>
      </w:r>
      <w:r>
        <w:instrText>SEQ Table \* ARABIC</w:instrText>
      </w:r>
      <w:r>
        <w:fldChar w:fldCharType="separate"/>
      </w:r>
      <w:r w:rsidR="00D01697">
        <w:rPr>
          <w:noProof/>
        </w:rPr>
        <w:t>10</w:t>
      </w:r>
      <w:r>
        <w:fldChar w:fldCharType="end"/>
      </w:r>
      <w:bookmarkEnd w:id="21"/>
      <w:r>
        <w:t xml:space="preserve">: Peak Demand (MW) Change </w:t>
      </w:r>
      <w:proofErr w:type="gramStart"/>
      <w:r>
        <w:t>From</w:t>
      </w:r>
      <w:proofErr w:type="gramEnd"/>
      <w:r>
        <w:t xml:space="preserve"> Base Case, Selected Sensitivities, Winter 2028/29 to 2031/32</w:t>
      </w:r>
      <w:r w:rsidR="000208AA">
        <w:rPr>
          <w:rStyle w:val="FootnoteReference"/>
        </w:rPr>
        <w:footnoteReference w:id="62"/>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35"/>
        <w:gridCol w:w="329"/>
        <w:gridCol w:w="330"/>
        <w:gridCol w:w="957"/>
        <w:gridCol w:w="957"/>
        <w:gridCol w:w="957"/>
        <w:gridCol w:w="957"/>
        <w:gridCol w:w="957"/>
        <w:gridCol w:w="957"/>
        <w:gridCol w:w="957"/>
        <w:gridCol w:w="957"/>
      </w:tblGrid>
      <w:tr w:rsidR="00374882" w:rsidRPr="00374882" w14:paraId="68ED9B88" w14:textId="77777777" w:rsidTr="005A1275">
        <w:trPr>
          <w:trHeight w:val="537"/>
        </w:trPr>
        <w:tc>
          <w:tcPr>
            <w:tcW w:w="0" w:type="auto"/>
            <w:shd w:val="clear" w:color="000000" w:fill="F2F2F2"/>
            <w:noWrap/>
            <w:vAlign w:val="bottom"/>
            <w:hideMark/>
          </w:tcPr>
          <w:p w14:paraId="21B140A1" w14:textId="77777777" w:rsidR="00374882" w:rsidRPr="00374882" w:rsidRDefault="00374882" w:rsidP="00374882">
            <w:pPr>
              <w:jc w:val="left"/>
              <w:rPr>
                <w:rFonts w:cs="Calibri"/>
                <w:b/>
                <w:bCs/>
                <w:color w:val="000000"/>
              </w:rPr>
            </w:pPr>
            <w:r w:rsidRPr="00374882">
              <w:rPr>
                <w:rFonts w:cs="Calibri"/>
                <w:b/>
                <w:bCs/>
                <w:color w:val="000000"/>
              </w:rPr>
              <w:t>Forecast</w:t>
            </w:r>
          </w:p>
        </w:tc>
        <w:tc>
          <w:tcPr>
            <w:tcW w:w="0" w:type="auto"/>
            <w:shd w:val="clear" w:color="000000" w:fill="F2F2F2"/>
            <w:noWrap/>
            <w:vAlign w:val="bottom"/>
            <w:hideMark/>
          </w:tcPr>
          <w:p w14:paraId="280937EE" w14:textId="77777777" w:rsidR="00374882" w:rsidRPr="00374882" w:rsidRDefault="00374882" w:rsidP="00374882">
            <w:pPr>
              <w:jc w:val="left"/>
              <w:rPr>
                <w:rFonts w:cs="Calibri"/>
                <w:b/>
                <w:bCs/>
                <w:color w:val="000000"/>
              </w:rPr>
            </w:pPr>
            <w:r w:rsidRPr="00374882">
              <w:rPr>
                <w:rFonts w:cs="Calibri"/>
                <w:b/>
                <w:bCs/>
                <w:color w:val="000000"/>
              </w:rPr>
              <w:t> </w:t>
            </w:r>
          </w:p>
        </w:tc>
        <w:tc>
          <w:tcPr>
            <w:tcW w:w="0" w:type="auto"/>
            <w:shd w:val="clear" w:color="000000" w:fill="F2F2F2"/>
            <w:noWrap/>
            <w:vAlign w:val="bottom"/>
            <w:hideMark/>
          </w:tcPr>
          <w:p w14:paraId="04B37E54" w14:textId="77777777" w:rsidR="00374882" w:rsidRPr="00374882" w:rsidRDefault="00374882" w:rsidP="00374882">
            <w:pPr>
              <w:jc w:val="left"/>
              <w:rPr>
                <w:rFonts w:cs="Calibri"/>
                <w:b/>
                <w:bCs/>
                <w:color w:val="000000"/>
              </w:rPr>
            </w:pPr>
            <w:r w:rsidRPr="00374882">
              <w:rPr>
                <w:rFonts w:cs="Calibri"/>
                <w:b/>
                <w:bCs/>
                <w:color w:val="000000"/>
              </w:rPr>
              <w:t> </w:t>
            </w:r>
          </w:p>
        </w:tc>
        <w:tc>
          <w:tcPr>
            <w:tcW w:w="0" w:type="auto"/>
            <w:shd w:val="clear" w:color="000000" w:fill="F2F2F2"/>
            <w:noWrap/>
            <w:vAlign w:val="bottom"/>
            <w:hideMark/>
          </w:tcPr>
          <w:p w14:paraId="75022053" w14:textId="3D7D64B0" w:rsidR="00374882" w:rsidRPr="00374882" w:rsidRDefault="00374882" w:rsidP="00374882">
            <w:pPr>
              <w:jc w:val="left"/>
              <w:rPr>
                <w:rFonts w:cs="Calibri"/>
                <w:b/>
                <w:bCs/>
                <w:color w:val="000000"/>
              </w:rPr>
            </w:pPr>
            <w:r w:rsidRPr="00374882">
              <w:rPr>
                <w:rFonts w:cs="Calibri"/>
                <w:b/>
                <w:bCs/>
                <w:color w:val="000000"/>
              </w:rPr>
              <w:t>2024/</w:t>
            </w:r>
            <w:r>
              <w:rPr>
                <w:rFonts w:cs="Calibri"/>
                <w:b/>
                <w:bCs/>
                <w:color w:val="000000"/>
              </w:rPr>
              <w:t xml:space="preserve"> </w:t>
            </w:r>
            <w:r w:rsidRPr="00374882">
              <w:rPr>
                <w:rFonts w:cs="Calibri"/>
                <w:b/>
                <w:bCs/>
                <w:color w:val="000000"/>
              </w:rPr>
              <w:t>2025</w:t>
            </w:r>
          </w:p>
        </w:tc>
        <w:tc>
          <w:tcPr>
            <w:tcW w:w="0" w:type="auto"/>
            <w:shd w:val="clear" w:color="000000" w:fill="F2F2F2"/>
            <w:noWrap/>
            <w:vAlign w:val="bottom"/>
            <w:hideMark/>
          </w:tcPr>
          <w:p w14:paraId="6D9EF8C0" w14:textId="078BBD20" w:rsidR="00374882" w:rsidRPr="00374882" w:rsidRDefault="00374882" w:rsidP="00374882">
            <w:pPr>
              <w:jc w:val="left"/>
              <w:rPr>
                <w:rFonts w:cs="Calibri"/>
                <w:b/>
                <w:bCs/>
                <w:color w:val="000000"/>
              </w:rPr>
            </w:pPr>
            <w:r w:rsidRPr="00374882">
              <w:rPr>
                <w:rFonts w:cs="Calibri"/>
                <w:b/>
                <w:bCs/>
                <w:color w:val="000000"/>
              </w:rPr>
              <w:t>2025/</w:t>
            </w:r>
            <w:r>
              <w:rPr>
                <w:rFonts w:cs="Calibri"/>
                <w:b/>
                <w:bCs/>
                <w:color w:val="000000"/>
              </w:rPr>
              <w:t xml:space="preserve"> </w:t>
            </w:r>
            <w:r w:rsidRPr="00374882">
              <w:rPr>
                <w:rFonts w:cs="Calibri"/>
                <w:b/>
                <w:bCs/>
                <w:color w:val="000000"/>
              </w:rPr>
              <w:t>2026</w:t>
            </w:r>
          </w:p>
        </w:tc>
        <w:tc>
          <w:tcPr>
            <w:tcW w:w="0" w:type="auto"/>
            <w:shd w:val="clear" w:color="000000" w:fill="F2F2F2"/>
            <w:noWrap/>
            <w:vAlign w:val="bottom"/>
            <w:hideMark/>
          </w:tcPr>
          <w:p w14:paraId="06B9CD79" w14:textId="37C3B0E6" w:rsidR="00374882" w:rsidRPr="00374882" w:rsidRDefault="00374882" w:rsidP="00374882">
            <w:pPr>
              <w:jc w:val="left"/>
              <w:rPr>
                <w:rFonts w:cs="Calibri"/>
                <w:b/>
                <w:bCs/>
                <w:color w:val="000000"/>
              </w:rPr>
            </w:pPr>
            <w:r w:rsidRPr="00374882">
              <w:rPr>
                <w:rFonts w:cs="Calibri"/>
                <w:b/>
                <w:bCs/>
                <w:color w:val="000000"/>
              </w:rPr>
              <w:t>2026/</w:t>
            </w:r>
            <w:r>
              <w:rPr>
                <w:rFonts w:cs="Calibri"/>
                <w:b/>
                <w:bCs/>
                <w:color w:val="000000"/>
              </w:rPr>
              <w:t xml:space="preserve"> </w:t>
            </w:r>
            <w:r w:rsidRPr="00374882">
              <w:rPr>
                <w:rFonts w:cs="Calibri"/>
                <w:b/>
                <w:bCs/>
                <w:color w:val="000000"/>
              </w:rPr>
              <w:t>2027</w:t>
            </w:r>
          </w:p>
        </w:tc>
        <w:tc>
          <w:tcPr>
            <w:tcW w:w="0" w:type="auto"/>
            <w:shd w:val="clear" w:color="000000" w:fill="F2F2F2"/>
            <w:noWrap/>
            <w:vAlign w:val="bottom"/>
            <w:hideMark/>
          </w:tcPr>
          <w:p w14:paraId="210C47D7" w14:textId="5062B5A6" w:rsidR="00374882" w:rsidRPr="00374882" w:rsidRDefault="00374882" w:rsidP="00374882">
            <w:pPr>
              <w:jc w:val="left"/>
              <w:rPr>
                <w:rFonts w:cs="Calibri"/>
                <w:b/>
                <w:bCs/>
                <w:color w:val="000000"/>
              </w:rPr>
            </w:pPr>
            <w:r w:rsidRPr="00374882">
              <w:rPr>
                <w:rFonts w:cs="Calibri"/>
                <w:b/>
                <w:bCs/>
                <w:color w:val="000000"/>
              </w:rPr>
              <w:t>2027/</w:t>
            </w:r>
            <w:r>
              <w:rPr>
                <w:rFonts w:cs="Calibri"/>
                <w:b/>
                <w:bCs/>
                <w:color w:val="000000"/>
              </w:rPr>
              <w:t xml:space="preserve"> </w:t>
            </w:r>
            <w:r w:rsidRPr="00374882">
              <w:rPr>
                <w:rFonts w:cs="Calibri"/>
                <w:b/>
                <w:bCs/>
                <w:color w:val="000000"/>
              </w:rPr>
              <w:t>2028</w:t>
            </w:r>
          </w:p>
        </w:tc>
        <w:tc>
          <w:tcPr>
            <w:tcW w:w="0" w:type="auto"/>
            <w:shd w:val="clear" w:color="000000" w:fill="F2F2F2"/>
            <w:noWrap/>
            <w:vAlign w:val="bottom"/>
            <w:hideMark/>
          </w:tcPr>
          <w:p w14:paraId="6F2CD560" w14:textId="020692D9" w:rsidR="00374882" w:rsidRPr="00374882" w:rsidRDefault="00374882" w:rsidP="00374882">
            <w:pPr>
              <w:jc w:val="left"/>
              <w:rPr>
                <w:rFonts w:cs="Calibri"/>
                <w:b/>
                <w:bCs/>
                <w:color w:val="000000"/>
              </w:rPr>
            </w:pPr>
            <w:r w:rsidRPr="00374882">
              <w:rPr>
                <w:rFonts w:cs="Calibri"/>
                <w:b/>
                <w:bCs/>
                <w:color w:val="000000"/>
              </w:rPr>
              <w:t>2028/</w:t>
            </w:r>
            <w:r>
              <w:rPr>
                <w:rFonts w:cs="Calibri"/>
                <w:b/>
                <w:bCs/>
                <w:color w:val="000000"/>
              </w:rPr>
              <w:t xml:space="preserve"> </w:t>
            </w:r>
            <w:r w:rsidRPr="00374882">
              <w:rPr>
                <w:rFonts w:cs="Calibri"/>
                <w:b/>
                <w:bCs/>
                <w:color w:val="000000"/>
              </w:rPr>
              <w:t>2029</w:t>
            </w:r>
          </w:p>
        </w:tc>
        <w:tc>
          <w:tcPr>
            <w:tcW w:w="0" w:type="auto"/>
            <w:shd w:val="clear" w:color="000000" w:fill="F2F2F2"/>
            <w:noWrap/>
            <w:vAlign w:val="bottom"/>
            <w:hideMark/>
          </w:tcPr>
          <w:p w14:paraId="2602AEA6" w14:textId="2140F554" w:rsidR="00374882" w:rsidRPr="00374882" w:rsidRDefault="00374882" w:rsidP="00374882">
            <w:pPr>
              <w:jc w:val="left"/>
              <w:rPr>
                <w:rFonts w:cs="Calibri"/>
                <w:b/>
                <w:bCs/>
                <w:color w:val="000000"/>
              </w:rPr>
            </w:pPr>
            <w:r w:rsidRPr="00374882">
              <w:rPr>
                <w:rFonts w:cs="Calibri"/>
                <w:b/>
                <w:bCs/>
                <w:color w:val="000000"/>
              </w:rPr>
              <w:t>2029/</w:t>
            </w:r>
            <w:r>
              <w:rPr>
                <w:rFonts w:cs="Calibri"/>
                <w:b/>
                <w:bCs/>
                <w:color w:val="000000"/>
              </w:rPr>
              <w:t xml:space="preserve"> </w:t>
            </w:r>
            <w:r w:rsidRPr="00374882">
              <w:rPr>
                <w:rFonts w:cs="Calibri"/>
                <w:b/>
                <w:bCs/>
                <w:color w:val="000000"/>
              </w:rPr>
              <w:t>2030</w:t>
            </w:r>
          </w:p>
        </w:tc>
        <w:tc>
          <w:tcPr>
            <w:tcW w:w="0" w:type="auto"/>
            <w:shd w:val="clear" w:color="000000" w:fill="F2F2F2"/>
            <w:noWrap/>
            <w:vAlign w:val="bottom"/>
            <w:hideMark/>
          </w:tcPr>
          <w:p w14:paraId="4FF2EA00" w14:textId="24CB16C8" w:rsidR="00374882" w:rsidRPr="00374882" w:rsidRDefault="00374882" w:rsidP="00374882">
            <w:pPr>
              <w:jc w:val="left"/>
              <w:rPr>
                <w:rFonts w:cs="Calibri"/>
                <w:b/>
                <w:bCs/>
                <w:color w:val="000000"/>
              </w:rPr>
            </w:pPr>
            <w:r w:rsidRPr="00374882">
              <w:rPr>
                <w:rFonts w:cs="Calibri"/>
                <w:b/>
                <w:bCs/>
                <w:color w:val="000000"/>
              </w:rPr>
              <w:t>2030/</w:t>
            </w:r>
            <w:r>
              <w:rPr>
                <w:rFonts w:cs="Calibri"/>
                <w:b/>
                <w:bCs/>
                <w:color w:val="000000"/>
              </w:rPr>
              <w:t xml:space="preserve"> </w:t>
            </w:r>
            <w:r w:rsidRPr="00374882">
              <w:rPr>
                <w:rFonts w:cs="Calibri"/>
                <w:b/>
                <w:bCs/>
                <w:color w:val="000000"/>
              </w:rPr>
              <w:t>2031</w:t>
            </w:r>
          </w:p>
        </w:tc>
        <w:tc>
          <w:tcPr>
            <w:tcW w:w="0" w:type="auto"/>
            <w:shd w:val="clear" w:color="000000" w:fill="F2F2F2"/>
            <w:noWrap/>
            <w:vAlign w:val="bottom"/>
            <w:hideMark/>
          </w:tcPr>
          <w:p w14:paraId="3507D7B8" w14:textId="2EB17942" w:rsidR="00374882" w:rsidRPr="00374882" w:rsidRDefault="00374882" w:rsidP="00374882">
            <w:pPr>
              <w:jc w:val="left"/>
              <w:rPr>
                <w:rFonts w:cs="Calibri"/>
                <w:b/>
                <w:bCs/>
                <w:color w:val="000000"/>
              </w:rPr>
            </w:pPr>
            <w:r w:rsidRPr="00374882">
              <w:rPr>
                <w:rFonts w:cs="Calibri"/>
                <w:b/>
                <w:bCs/>
                <w:color w:val="000000"/>
              </w:rPr>
              <w:t>2031/</w:t>
            </w:r>
            <w:r>
              <w:rPr>
                <w:rFonts w:cs="Calibri"/>
                <w:b/>
                <w:bCs/>
                <w:color w:val="000000"/>
              </w:rPr>
              <w:t xml:space="preserve"> </w:t>
            </w:r>
            <w:r w:rsidRPr="00374882">
              <w:rPr>
                <w:rFonts w:cs="Calibri"/>
                <w:b/>
                <w:bCs/>
                <w:color w:val="000000"/>
              </w:rPr>
              <w:t>2032</w:t>
            </w:r>
          </w:p>
        </w:tc>
      </w:tr>
      <w:tr w:rsidR="00374882" w:rsidRPr="00374882" w14:paraId="46D0C200" w14:textId="77777777" w:rsidTr="005A1275">
        <w:trPr>
          <w:trHeight w:val="537"/>
        </w:trPr>
        <w:tc>
          <w:tcPr>
            <w:tcW w:w="0" w:type="auto"/>
            <w:gridSpan w:val="3"/>
            <w:shd w:val="clear" w:color="auto" w:fill="auto"/>
            <w:noWrap/>
            <w:vAlign w:val="bottom"/>
            <w:hideMark/>
          </w:tcPr>
          <w:p w14:paraId="4D9623B2" w14:textId="77777777" w:rsidR="00374882" w:rsidRPr="00374882" w:rsidRDefault="00374882" w:rsidP="00374882">
            <w:pPr>
              <w:jc w:val="left"/>
              <w:rPr>
                <w:rFonts w:cs="Calibri"/>
                <w:color w:val="000000"/>
              </w:rPr>
            </w:pPr>
            <w:r w:rsidRPr="00374882">
              <w:rPr>
                <w:rFonts w:cs="Calibri"/>
                <w:color w:val="000000"/>
              </w:rPr>
              <w:t>Uniform w/Delays P95</w:t>
            </w:r>
          </w:p>
        </w:tc>
        <w:tc>
          <w:tcPr>
            <w:tcW w:w="0" w:type="auto"/>
            <w:shd w:val="clear" w:color="auto" w:fill="auto"/>
            <w:noWrap/>
            <w:vAlign w:val="bottom"/>
            <w:hideMark/>
          </w:tcPr>
          <w:p w14:paraId="13E443A6" w14:textId="77777777" w:rsidR="00374882" w:rsidRPr="00374882" w:rsidRDefault="00374882" w:rsidP="00374882">
            <w:pPr>
              <w:jc w:val="left"/>
              <w:rPr>
                <w:rFonts w:cs="Calibri"/>
                <w:color w:val="000000"/>
              </w:rPr>
            </w:pPr>
            <w:r w:rsidRPr="00374882">
              <w:rPr>
                <w:rFonts w:cs="Calibri"/>
                <w:color w:val="000000"/>
              </w:rPr>
              <w:t xml:space="preserve">            (204)</w:t>
            </w:r>
          </w:p>
        </w:tc>
        <w:tc>
          <w:tcPr>
            <w:tcW w:w="0" w:type="auto"/>
            <w:shd w:val="clear" w:color="auto" w:fill="auto"/>
            <w:noWrap/>
            <w:vAlign w:val="bottom"/>
            <w:hideMark/>
          </w:tcPr>
          <w:p w14:paraId="370404EE" w14:textId="77777777" w:rsidR="00374882" w:rsidRPr="00374882" w:rsidRDefault="00374882" w:rsidP="00374882">
            <w:pPr>
              <w:jc w:val="left"/>
              <w:rPr>
                <w:rFonts w:cs="Calibri"/>
                <w:color w:val="000000"/>
              </w:rPr>
            </w:pPr>
            <w:r w:rsidRPr="00374882">
              <w:rPr>
                <w:rFonts w:cs="Calibri"/>
                <w:color w:val="000000"/>
              </w:rPr>
              <w:t xml:space="preserve">            (571)</w:t>
            </w:r>
          </w:p>
        </w:tc>
        <w:tc>
          <w:tcPr>
            <w:tcW w:w="0" w:type="auto"/>
            <w:shd w:val="clear" w:color="auto" w:fill="auto"/>
            <w:noWrap/>
            <w:vAlign w:val="bottom"/>
            <w:hideMark/>
          </w:tcPr>
          <w:p w14:paraId="303DFF32" w14:textId="77777777" w:rsidR="00374882" w:rsidRPr="00374882" w:rsidRDefault="00374882" w:rsidP="00374882">
            <w:pPr>
              <w:jc w:val="left"/>
              <w:rPr>
                <w:rFonts w:cs="Calibri"/>
                <w:color w:val="000000"/>
              </w:rPr>
            </w:pPr>
            <w:r w:rsidRPr="00374882">
              <w:rPr>
                <w:rFonts w:cs="Calibri"/>
                <w:color w:val="000000"/>
              </w:rPr>
              <w:t xml:space="preserve">            (840)</w:t>
            </w:r>
          </w:p>
        </w:tc>
        <w:tc>
          <w:tcPr>
            <w:tcW w:w="0" w:type="auto"/>
            <w:shd w:val="clear" w:color="auto" w:fill="auto"/>
            <w:noWrap/>
            <w:vAlign w:val="bottom"/>
            <w:hideMark/>
          </w:tcPr>
          <w:p w14:paraId="5573E7BF" w14:textId="77777777" w:rsidR="00374882" w:rsidRPr="00374882" w:rsidRDefault="00374882" w:rsidP="00374882">
            <w:pPr>
              <w:jc w:val="left"/>
              <w:rPr>
                <w:rFonts w:cs="Calibri"/>
                <w:color w:val="000000"/>
              </w:rPr>
            </w:pPr>
            <w:r w:rsidRPr="00374882">
              <w:rPr>
                <w:rFonts w:cs="Calibri"/>
                <w:color w:val="000000"/>
              </w:rPr>
              <w:t xml:space="preserve">         (1,019)</w:t>
            </w:r>
          </w:p>
        </w:tc>
        <w:tc>
          <w:tcPr>
            <w:tcW w:w="0" w:type="auto"/>
            <w:shd w:val="clear" w:color="auto" w:fill="auto"/>
            <w:noWrap/>
            <w:vAlign w:val="bottom"/>
            <w:hideMark/>
          </w:tcPr>
          <w:p w14:paraId="5A8E6845" w14:textId="77777777" w:rsidR="00374882" w:rsidRPr="00374882" w:rsidRDefault="00374882" w:rsidP="00374882">
            <w:pPr>
              <w:jc w:val="left"/>
              <w:rPr>
                <w:rFonts w:cs="Calibri"/>
                <w:color w:val="000000"/>
              </w:rPr>
            </w:pPr>
            <w:r w:rsidRPr="00374882">
              <w:rPr>
                <w:rFonts w:cs="Calibri"/>
                <w:color w:val="000000"/>
              </w:rPr>
              <w:t xml:space="preserve">         (1,203)</w:t>
            </w:r>
          </w:p>
        </w:tc>
        <w:tc>
          <w:tcPr>
            <w:tcW w:w="0" w:type="auto"/>
            <w:shd w:val="clear" w:color="auto" w:fill="auto"/>
            <w:noWrap/>
            <w:vAlign w:val="bottom"/>
            <w:hideMark/>
          </w:tcPr>
          <w:p w14:paraId="24430FC3" w14:textId="77777777" w:rsidR="00374882" w:rsidRPr="00374882" w:rsidRDefault="00374882" w:rsidP="00374882">
            <w:pPr>
              <w:jc w:val="left"/>
              <w:rPr>
                <w:rFonts w:cs="Calibri"/>
                <w:color w:val="000000"/>
              </w:rPr>
            </w:pPr>
            <w:r w:rsidRPr="00374882">
              <w:rPr>
                <w:rFonts w:cs="Calibri"/>
                <w:color w:val="000000"/>
              </w:rPr>
              <w:t xml:space="preserve">         (1,349)</w:t>
            </w:r>
          </w:p>
        </w:tc>
        <w:tc>
          <w:tcPr>
            <w:tcW w:w="0" w:type="auto"/>
            <w:shd w:val="clear" w:color="auto" w:fill="auto"/>
            <w:noWrap/>
            <w:vAlign w:val="bottom"/>
            <w:hideMark/>
          </w:tcPr>
          <w:p w14:paraId="3BC06682" w14:textId="77777777" w:rsidR="00374882" w:rsidRPr="00374882" w:rsidRDefault="00374882" w:rsidP="00374882">
            <w:pPr>
              <w:jc w:val="left"/>
              <w:rPr>
                <w:rFonts w:cs="Calibri"/>
                <w:color w:val="000000"/>
              </w:rPr>
            </w:pPr>
            <w:r w:rsidRPr="00374882">
              <w:rPr>
                <w:rFonts w:cs="Calibri"/>
                <w:color w:val="000000"/>
              </w:rPr>
              <w:t xml:space="preserve">         (1,417)</w:t>
            </w:r>
          </w:p>
        </w:tc>
        <w:tc>
          <w:tcPr>
            <w:tcW w:w="0" w:type="auto"/>
            <w:shd w:val="clear" w:color="auto" w:fill="auto"/>
            <w:noWrap/>
            <w:vAlign w:val="bottom"/>
            <w:hideMark/>
          </w:tcPr>
          <w:p w14:paraId="5F296BAE" w14:textId="77777777" w:rsidR="00374882" w:rsidRPr="00374882" w:rsidRDefault="00374882" w:rsidP="00374882">
            <w:pPr>
              <w:jc w:val="left"/>
              <w:rPr>
                <w:rFonts w:cs="Calibri"/>
                <w:color w:val="000000"/>
              </w:rPr>
            </w:pPr>
            <w:r w:rsidRPr="00374882">
              <w:rPr>
                <w:rFonts w:cs="Calibri"/>
                <w:color w:val="000000"/>
              </w:rPr>
              <w:t xml:space="preserve">         (1,440)</w:t>
            </w:r>
          </w:p>
        </w:tc>
      </w:tr>
      <w:tr w:rsidR="00374882" w:rsidRPr="00374882" w14:paraId="32B420BC" w14:textId="77777777" w:rsidTr="005A1275">
        <w:trPr>
          <w:trHeight w:val="537"/>
        </w:trPr>
        <w:tc>
          <w:tcPr>
            <w:tcW w:w="0" w:type="auto"/>
            <w:gridSpan w:val="3"/>
            <w:shd w:val="clear" w:color="auto" w:fill="auto"/>
            <w:noWrap/>
            <w:vAlign w:val="bottom"/>
            <w:hideMark/>
          </w:tcPr>
          <w:p w14:paraId="63C773A5" w14:textId="77777777" w:rsidR="00374882" w:rsidRPr="00374882" w:rsidRDefault="00374882" w:rsidP="00374882">
            <w:pPr>
              <w:jc w:val="left"/>
              <w:rPr>
                <w:rFonts w:cs="Calibri"/>
                <w:color w:val="000000"/>
              </w:rPr>
            </w:pPr>
            <w:r w:rsidRPr="00374882">
              <w:rPr>
                <w:rFonts w:cs="Calibri"/>
                <w:color w:val="000000"/>
              </w:rPr>
              <w:t>Uniform w/Delays P80</w:t>
            </w:r>
          </w:p>
        </w:tc>
        <w:tc>
          <w:tcPr>
            <w:tcW w:w="0" w:type="auto"/>
            <w:shd w:val="clear" w:color="auto" w:fill="auto"/>
            <w:noWrap/>
            <w:vAlign w:val="bottom"/>
            <w:hideMark/>
          </w:tcPr>
          <w:p w14:paraId="75AC7A3F" w14:textId="77777777" w:rsidR="00374882" w:rsidRPr="00374882" w:rsidRDefault="00374882" w:rsidP="00374882">
            <w:pPr>
              <w:jc w:val="left"/>
              <w:rPr>
                <w:rFonts w:cs="Calibri"/>
                <w:color w:val="000000"/>
              </w:rPr>
            </w:pPr>
            <w:r w:rsidRPr="00374882">
              <w:rPr>
                <w:rFonts w:cs="Calibri"/>
                <w:color w:val="000000"/>
              </w:rPr>
              <w:t xml:space="preserve">            (527)</w:t>
            </w:r>
          </w:p>
        </w:tc>
        <w:tc>
          <w:tcPr>
            <w:tcW w:w="0" w:type="auto"/>
            <w:shd w:val="clear" w:color="auto" w:fill="auto"/>
            <w:noWrap/>
            <w:vAlign w:val="bottom"/>
            <w:hideMark/>
          </w:tcPr>
          <w:p w14:paraId="74DAC602" w14:textId="77777777" w:rsidR="00374882" w:rsidRPr="00374882" w:rsidRDefault="00374882" w:rsidP="00374882">
            <w:pPr>
              <w:jc w:val="left"/>
              <w:rPr>
                <w:rFonts w:cs="Calibri"/>
                <w:color w:val="000000"/>
              </w:rPr>
            </w:pPr>
            <w:r w:rsidRPr="00374882">
              <w:rPr>
                <w:rFonts w:cs="Calibri"/>
                <w:color w:val="000000"/>
              </w:rPr>
              <w:t xml:space="preserve">         (1,464)</w:t>
            </w:r>
          </w:p>
        </w:tc>
        <w:tc>
          <w:tcPr>
            <w:tcW w:w="0" w:type="auto"/>
            <w:shd w:val="clear" w:color="auto" w:fill="auto"/>
            <w:noWrap/>
            <w:vAlign w:val="bottom"/>
            <w:hideMark/>
          </w:tcPr>
          <w:p w14:paraId="07EB3623" w14:textId="77777777" w:rsidR="00374882" w:rsidRPr="00374882" w:rsidRDefault="00374882" w:rsidP="00374882">
            <w:pPr>
              <w:jc w:val="left"/>
              <w:rPr>
                <w:rFonts w:cs="Calibri"/>
                <w:color w:val="000000"/>
              </w:rPr>
            </w:pPr>
            <w:r w:rsidRPr="00374882">
              <w:rPr>
                <w:rFonts w:cs="Calibri"/>
                <w:color w:val="000000"/>
              </w:rPr>
              <w:t xml:space="preserve">         (1,613)</w:t>
            </w:r>
          </w:p>
        </w:tc>
        <w:tc>
          <w:tcPr>
            <w:tcW w:w="0" w:type="auto"/>
            <w:shd w:val="clear" w:color="auto" w:fill="auto"/>
            <w:noWrap/>
            <w:vAlign w:val="bottom"/>
            <w:hideMark/>
          </w:tcPr>
          <w:p w14:paraId="6588967C" w14:textId="77777777" w:rsidR="00374882" w:rsidRPr="00374882" w:rsidRDefault="00374882" w:rsidP="00374882">
            <w:pPr>
              <w:jc w:val="left"/>
              <w:rPr>
                <w:rFonts w:cs="Calibri"/>
                <w:color w:val="000000"/>
              </w:rPr>
            </w:pPr>
            <w:r w:rsidRPr="00374882">
              <w:rPr>
                <w:rFonts w:cs="Calibri"/>
                <w:color w:val="000000"/>
              </w:rPr>
              <w:t xml:space="preserve">         (1,760)</w:t>
            </w:r>
          </w:p>
        </w:tc>
        <w:tc>
          <w:tcPr>
            <w:tcW w:w="0" w:type="auto"/>
            <w:shd w:val="clear" w:color="auto" w:fill="auto"/>
            <w:noWrap/>
            <w:vAlign w:val="bottom"/>
            <w:hideMark/>
          </w:tcPr>
          <w:p w14:paraId="4401EE9C" w14:textId="77777777" w:rsidR="00374882" w:rsidRPr="00374882" w:rsidRDefault="00374882" w:rsidP="00374882">
            <w:pPr>
              <w:jc w:val="left"/>
              <w:rPr>
                <w:rFonts w:cs="Calibri"/>
                <w:color w:val="000000"/>
              </w:rPr>
            </w:pPr>
            <w:r w:rsidRPr="00374882">
              <w:rPr>
                <w:rFonts w:cs="Calibri"/>
                <w:color w:val="000000"/>
              </w:rPr>
              <w:t xml:space="preserve">         (2,047)</w:t>
            </w:r>
          </w:p>
        </w:tc>
        <w:tc>
          <w:tcPr>
            <w:tcW w:w="0" w:type="auto"/>
            <w:shd w:val="clear" w:color="auto" w:fill="auto"/>
            <w:noWrap/>
            <w:vAlign w:val="bottom"/>
            <w:hideMark/>
          </w:tcPr>
          <w:p w14:paraId="192BAF2A" w14:textId="77777777" w:rsidR="00374882" w:rsidRPr="00374882" w:rsidRDefault="00374882" w:rsidP="00374882">
            <w:pPr>
              <w:jc w:val="left"/>
              <w:rPr>
                <w:rFonts w:cs="Calibri"/>
                <w:color w:val="000000"/>
              </w:rPr>
            </w:pPr>
            <w:r w:rsidRPr="00374882">
              <w:rPr>
                <w:rFonts w:cs="Calibri"/>
                <w:color w:val="000000"/>
              </w:rPr>
              <w:t xml:space="preserve">         (2,231)</w:t>
            </w:r>
          </w:p>
        </w:tc>
        <w:tc>
          <w:tcPr>
            <w:tcW w:w="0" w:type="auto"/>
            <w:shd w:val="clear" w:color="auto" w:fill="auto"/>
            <w:noWrap/>
            <w:vAlign w:val="bottom"/>
            <w:hideMark/>
          </w:tcPr>
          <w:p w14:paraId="3BEBA597" w14:textId="77777777" w:rsidR="00374882" w:rsidRPr="00374882" w:rsidRDefault="00374882" w:rsidP="00374882">
            <w:pPr>
              <w:jc w:val="left"/>
              <w:rPr>
                <w:rFonts w:cs="Calibri"/>
                <w:color w:val="000000"/>
              </w:rPr>
            </w:pPr>
            <w:r w:rsidRPr="00374882">
              <w:rPr>
                <w:rFonts w:cs="Calibri"/>
                <w:color w:val="000000"/>
              </w:rPr>
              <w:t xml:space="preserve">         (2,253)</w:t>
            </w:r>
          </w:p>
        </w:tc>
        <w:tc>
          <w:tcPr>
            <w:tcW w:w="0" w:type="auto"/>
            <w:shd w:val="clear" w:color="auto" w:fill="auto"/>
            <w:noWrap/>
            <w:vAlign w:val="bottom"/>
            <w:hideMark/>
          </w:tcPr>
          <w:p w14:paraId="5A3C68B2" w14:textId="77777777" w:rsidR="00374882" w:rsidRPr="00374882" w:rsidRDefault="00374882" w:rsidP="00374882">
            <w:pPr>
              <w:jc w:val="left"/>
              <w:rPr>
                <w:rFonts w:cs="Calibri"/>
                <w:color w:val="000000"/>
              </w:rPr>
            </w:pPr>
            <w:r w:rsidRPr="00374882">
              <w:rPr>
                <w:rFonts w:cs="Calibri"/>
                <w:color w:val="000000"/>
              </w:rPr>
              <w:t xml:space="preserve">         (2,244)</w:t>
            </w:r>
          </w:p>
        </w:tc>
      </w:tr>
    </w:tbl>
    <w:p w14:paraId="63DD5D7D" w14:textId="0E31A761" w:rsidR="00374882" w:rsidRDefault="0021465F" w:rsidP="0021465F">
      <w:pPr>
        <w:pStyle w:val="Question"/>
      </w:pPr>
      <w:proofErr w:type="gramStart"/>
      <w:r>
        <w:t>Q.</w:t>
      </w:r>
      <w:proofErr w:type="gramEnd"/>
      <w:r>
        <w:tab/>
        <w:t xml:space="preserve">Please summarize why the two staff forecasts presented in </w:t>
      </w:r>
      <w:r>
        <w:fldChar w:fldCharType="begin"/>
      </w:r>
      <w:r>
        <w:instrText xml:space="preserve"> REF _Ref157857687 \h </w:instrText>
      </w:r>
      <w:r>
        <w:fldChar w:fldCharType="separate"/>
      </w:r>
      <w:r w:rsidR="00D01697">
        <w:t xml:space="preserve">Figure </w:t>
      </w:r>
      <w:r w:rsidR="00D01697">
        <w:rPr>
          <w:noProof/>
        </w:rPr>
        <w:t>2</w:t>
      </w:r>
      <w:r>
        <w:fldChar w:fldCharType="end"/>
      </w:r>
      <w:r>
        <w:t xml:space="preserve"> are reasonable alternate futures.</w:t>
      </w:r>
    </w:p>
    <w:p w14:paraId="5B340900" w14:textId="0DF785B4" w:rsidR="0021465F" w:rsidRDefault="0021465F" w:rsidP="0021465F">
      <w:pPr>
        <w:pStyle w:val="Answers"/>
      </w:pPr>
      <w:r>
        <w:t>A.</w:t>
      </w:r>
      <w:r>
        <w:tab/>
        <w:t>The core issues identified in the Company’s LRM are those of non-uniform Load Realization assumptions and likely inaccurate Ramp-up Delays for datacenters.</w:t>
      </w:r>
      <w:r>
        <w:rPr>
          <w:rStyle w:val="FootnoteReference"/>
        </w:rPr>
        <w:footnoteReference w:id="63"/>
      </w:r>
      <w:r>
        <w:t xml:space="preserve"> The Uniform w/Delays P95 case offers a reasonable alternative to the Base Case by standardizing the load realization assumptions and modifying the Ramp-Up Delays based on public research. The Uniform w/Delays P80 case replicates the assumptions above and plans to a P80 level, based on recommendations by J. Kennedy &amp; Associates.</w:t>
      </w:r>
    </w:p>
    <w:p w14:paraId="62A57374" w14:textId="77777777" w:rsidR="0021465F" w:rsidRDefault="0021465F" w:rsidP="0021465F">
      <w:pPr>
        <w:pStyle w:val="Answers"/>
      </w:pPr>
      <w:r>
        <w:tab/>
      </w:r>
      <w:r>
        <w:tab/>
        <w:t>Beyond the modelling assumptions, we believe the Company has not provided sufficient evidence supporting the likelihood of these large load projects materializing in any firm manner. Of the various paperwork provided by the Company as proof of load materialization, most documentation simply demonstrates a request for service with no clear commitments from load itself.</w:t>
      </w:r>
      <w:r>
        <w:rPr>
          <w:rStyle w:val="FootnoteReference"/>
        </w:rPr>
        <w:footnoteReference w:id="64"/>
      </w:r>
      <w:r>
        <w:t xml:space="preserve"> </w:t>
      </w:r>
    </w:p>
    <w:p w14:paraId="6F0911F1" w14:textId="640BD5F0" w:rsidR="0021465F" w:rsidRDefault="0021465F" w:rsidP="0021465F">
      <w:pPr>
        <w:pStyle w:val="Answers"/>
      </w:pPr>
      <w:r>
        <w:tab/>
      </w:r>
      <w:r>
        <w:tab/>
        <w:t xml:space="preserve">Due to these factors, we believe that the Company is likely over-stating the extent to which load will materialize in each year. Given the assumption that load will materialize at a lower rate, the two alternate forecasts proposed above are reasonable modifications. </w:t>
      </w:r>
    </w:p>
    <w:p w14:paraId="509B1F5B" w14:textId="1E6348B6" w:rsidR="00C4385C" w:rsidRDefault="00C4385C" w:rsidP="005A1275">
      <w:pPr>
        <w:pStyle w:val="Question"/>
      </w:pPr>
      <w:r>
        <w:lastRenderedPageBreak/>
        <w:t xml:space="preserve">Q.        DESCRIBE THE BENEFITS OF USING </w:t>
      </w:r>
      <w:r w:rsidR="00D42C01">
        <w:t xml:space="preserve">alternate future </w:t>
      </w:r>
      <w:r>
        <w:t>SCENARIOS.</w:t>
      </w:r>
    </w:p>
    <w:p w14:paraId="2CF5FD05" w14:textId="77777777" w:rsidR="00E01138" w:rsidRDefault="2B3C213F" w:rsidP="00D42C01">
      <w:pPr>
        <w:pStyle w:val="Answers"/>
        <w:rPr>
          <w:bdr w:val="none" w:sz="0" w:space="0" w:color="auto" w:frame="1"/>
        </w:rPr>
      </w:pPr>
      <w:r>
        <w:rPr>
          <w:bdr w:val="none" w:sz="0" w:space="0" w:color="auto" w:frame="1"/>
        </w:rPr>
        <w:t xml:space="preserve">A.        Developing </w:t>
      </w:r>
      <w:r w:rsidR="00D42C01">
        <w:rPr>
          <w:bdr w:val="none" w:sz="0" w:space="0" w:color="auto" w:frame="1"/>
        </w:rPr>
        <w:t>alternat</w:t>
      </w:r>
      <w:r w:rsidR="00C40985">
        <w:rPr>
          <w:bdr w:val="none" w:sz="0" w:space="0" w:color="auto" w:frame="1"/>
        </w:rPr>
        <w:t>e</w:t>
      </w:r>
      <w:r w:rsidR="00D42C01">
        <w:rPr>
          <w:bdr w:val="none" w:sz="0" w:space="0" w:color="auto" w:frame="1"/>
        </w:rPr>
        <w:t xml:space="preserve"> future </w:t>
      </w:r>
      <w:r>
        <w:rPr>
          <w:bdr w:val="none" w:sz="0" w:space="0" w:color="auto" w:frame="1"/>
        </w:rPr>
        <w:t xml:space="preserve">scenarios aids planning by </w:t>
      </w:r>
      <w:r w:rsidR="00D42C01">
        <w:rPr>
          <w:bdr w:val="none" w:sz="0" w:space="0" w:color="auto" w:frame="1"/>
        </w:rPr>
        <w:t>demonstrating</w:t>
      </w:r>
      <w:r>
        <w:rPr>
          <w:bdr w:val="none" w:sz="0" w:space="0" w:color="auto" w:frame="1"/>
        </w:rPr>
        <w:t xml:space="preserve"> the sensitivity </w:t>
      </w:r>
      <w:r w:rsidR="00D42C01">
        <w:rPr>
          <w:bdr w:val="none" w:sz="0" w:space="0" w:color="auto" w:frame="1"/>
        </w:rPr>
        <w:t>of the forecast</w:t>
      </w:r>
      <w:r>
        <w:rPr>
          <w:bdr w:val="none" w:sz="0" w:space="0" w:color="auto" w:frame="1"/>
        </w:rPr>
        <w:t xml:space="preserve"> to changes in underlying assumptions</w:t>
      </w:r>
      <w:r w:rsidR="00D42C01">
        <w:rPr>
          <w:bdr w:val="none" w:sz="0" w:space="0" w:color="auto" w:frame="1"/>
        </w:rPr>
        <w:t>.</w:t>
      </w:r>
      <w:r>
        <w:rPr>
          <w:bdr w:val="none" w:sz="0" w:space="0" w:color="auto" w:frame="1"/>
        </w:rPr>
        <w:t xml:space="preserve"> </w:t>
      </w:r>
      <w:r w:rsidR="00D42C01">
        <w:rPr>
          <w:bdr w:val="none" w:sz="0" w:space="0" w:color="auto" w:frame="1"/>
        </w:rPr>
        <w:t xml:space="preserve">This </w:t>
      </w:r>
      <w:r>
        <w:rPr>
          <w:bdr w:val="none" w:sz="0" w:space="0" w:color="auto" w:frame="1"/>
        </w:rPr>
        <w:t xml:space="preserve">allows planners to look at the costs and risks </w:t>
      </w:r>
      <w:r w:rsidR="00D42C01">
        <w:rPr>
          <w:bdr w:val="none" w:sz="0" w:space="0" w:color="auto" w:frame="1"/>
        </w:rPr>
        <w:t>associated with meeting various capacity need levels produced under different forecast</w:t>
      </w:r>
      <w:r w:rsidR="00095457">
        <w:rPr>
          <w:bdr w:val="none" w:sz="0" w:space="0" w:color="auto" w:frame="1"/>
        </w:rPr>
        <w:t>s</w:t>
      </w:r>
      <w:r>
        <w:rPr>
          <w:bdr w:val="none" w:sz="0" w:space="0" w:color="auto" w:frame="1"/>
        </w:rPr>
        <w:t xml:space="preserve">.  </w:t>
      </w:r>
    </w:p>
    <w:p w14:paraId="577D87E2" w14:textId="4DE5FA89" w:rsidR="00C4385C" w:rsidRDefault="00E01138" w:rsidP="00D42C01">
      <w:pPr>
        <w:pStyle w:val="Answers"/>
      </w:pPr>
      <w:r>
        <w:rPr>
          <w:bdr w:val="none" w:sz="0" w:space="0" w:color="auto" w:frame="1"/>
        </w:rPr>
        <w:tab/>
      </w:r>
      <w:r>
        <w:rPr>
          <w:bdr w:val="none" w:sz="0" w:space="0" w:color="auto" w:frame="1"/>
        </w:rPr>
        <w:tab/>
      </w:r>
      <w:r w:rsidR="00095457">
        <w:t>The use of multiple scenarios establishes “reference points” for higher and lower growth</w:t>
      </w:r>
      <w:r>
        <w:t>.</w:t>
      </w:r>
      <w:r w:rsidR="00095457">
        <w:t xml:space="preserve"> </w:t>
      </w:r>
      <w:r>
        <w:t>T</w:t>
      </w:r>
      <w:r w:rsidR="00095457">
        <w:t>hese alternative projections of need can serve as valuable information or trigger points at which the planners should begin to evaluate the need to modify its plans – either higher or lower.</w:t>
      </w:r>
      <w:r w:rsidR="00D42C01">
        <w:rPr>
          <w:bdr w:val="none" w:sz="0" w:space="0" w:color="auto" w:frame="1"/>
        </w:rPr>
        <w:t xml:space="preserve"> S</w:t>
      </w:r>
      <w:r w:rsidR="2B3C213F">
        <w:rPr>
          <w:bdr w:val="none" w:sz="0" w:space="0" w:color="auto" w:frame="1"/>
        </w:rPr>
        <w:t xml:space="preserve">hould </w:t>
      </w:r>
      <w:r w:rsidR="00D42C01">
        <w:rPr>
          <w:bdr w:val="none" w:sz="0" w:space="0" w:color="auto" w:frame="1"/>
        </w:rPr>
        <w:t>actual</w:t>
      </w:r>
      <w:r w:rsidR="2B3C213F">
        <w:rPr>
          <w:bdr w:val="none" w:sz="0" w:space="0" w:color="auto" w:frame="1"/>
        </w:rPr>
        <w:t xml:space="preserve"> </w:t>
      </w:r>
      <w:r w:rsidR="00D42C01">
        <w:rPr>
          <w:bdr w:val="none" w:sz="0" w:space="0" w:color="auto" w:frame="1"/>
        </w:rPr>
        <w:t xml:space="preserve">load differ </w:t>
      </w:r>
      <w:r w:rsidR="2B3C213F">
        <w:rPr>
          <w:bdr w:val="none" w:sz="0" w:space="0" w:color="auto" w:frame="1"/>
        </w:rPr>
        <w:t xml:space="preserve">from the </w:t>
      </w:r>
      <w:r w:rsidR="00D42C01">
        <w:rPr>
          <w:bdr w:val="none" w:sz="0" w:space="0" w:color="auto" w:frame="1"/>
        </w:rPr>
        <w:t>forecast,</w:t>
      </w:r>
      <w:r w:rsidR="2B3C213F">
        <w:rPr>
          <w:bdr w:val="none" w:sz="0" w:space="0" w:color="auto" w:frame="1"/>
        </w:rPr>
        <w:t xml:space="preserve"> but look </w:t>
      </w:r>
      <w:proofErr w:type="gramStart"/>
      <w:r w:rsidR="2B3C213F">
        <w:rPr>
          <w:bdr w:val="none" w:sz="0" w:space="0" w:color="auto" w:frame="1"/>
        </w:rPr>
        <w:t>similar to</w:t>
      </w:r>
      <w:proofErr w:type="gramEnd"/>
      <w:r w:rsidR="2B3C213F">
        <w:rPr>
          <w:bdr w:val="none" w:sz="0" w:space="0" w:color="auto" w:frame="1"/>
        </w:rPr>
        <w:t xml:space="preserve"> </w:t>
      </w:r>
      <w:r w:rsidR="00D42C01">
        <w:rPr>
          <w:bdr w:val="none" w:sz="0" w:space="0" w:color="auto" w:frame="1"/>
        </w:rPr>
        <w:t>one of the alternate futures</w:t>
      </w:r>
      <w:r w:rsidR="2B3C213F">
        <w:rPr>
          <w:bdr w:val="none" w:sz="0" w:space="0" w:color="auto" w:frame="1"/>
        </w:rPr>
        <w:t xml:space="preserve">, then </w:t>
      </w:r>
      <w:r w:rsidR="00D42C01">
        <w:rPr>
          <w:bdr w:val="none" w:sz="0" w:space="0" w:color="auto" w:frame="1"/>
        </w:rPr>
        <w:t xml:space="preserve">planners </w:t>
      </w:r>
      <w:r w:rsidR="2B3C213F">
        <w:rPr>
          <w:bdr w:val="none" w:sz="0" w:space="0" w:color="auto" w:frame="1"/>
        </w:rPr>
        <w:t xml:space="preserve">should </w:t>
      </w:r>
      <w:r w:rsidR="00D42C01">
        <w:rPr>
          <w:bdr w:val="none" w:sz="0" w:space="0" w:color="auto" w:frame="1"/>
        </w:rPr>
        <w:t>investigate</w:t>
      </w:r>
      <w:r w:rsidR="2B3C213F">
        <w:rPr>
          <w:bdr w:val="none" w:sz="0" w:space="0" w:color="auto" w:frame="1"/>
        </w:rPr>
        <w:t xml:space="preserve"> </w:t>
      </w:r>
      <w:r w:rsidR="00D42C01">
        <w:rPr>
          <w:bdr w:val="none" w:sz="0" w:space="0" w:color="auto" w:frame="1"/>
        </w:rPr>
        <w:t xml:space="preserve">modifications to </w:t>
      </w:r>
      <w:r w:rsidR="2B3C213F">
        <w:rPr>
          <w:bdr w:val="none" w:sz="0" w:space="0" w:color="auto" w:frame="1"/>
        </w:rPr>
        <w:t xml:space="preserve">the original plan.  </w:t>
      </w:r>
      <w:r w:rsidR="00D42C01">
        <w:rPr>
          <w:bdr w:val="none" w:sz="0" w:space="0" w:color="auto" w:frame="1"/>
        </w:rPr>
        <w:t>Fundamentally, s</w:t>
      </w:r>
      <w:r w:rsidR="2B3C213F">
        <w:rPr>
          <w:bdr w:val="none" w:sz="0" w:space="0" w:color="auto" w:frame="1"/>
        </w:rPr>
        <w:t>cenario analysis allows decision makers to weigh the risks and benefits of their decisions, and in this case should have been done to demonstrate the benefits and risks of planning to different P-levels</w:t>
      </w:r>
      <w:r w:rsidR="00D42C01">
        <w:rPr>
          <w:bdr w:val="none" w:sz="0" w:space="0" w:color="auto" w:frame="1"/>
        </w:rPr>
        <w:t xml:space="preserve"> and assumptions in the LRM</w:t>
      </w:r>
      <w:r w:rsidR="2B3C213F">
        <w:rPr>
          <w:bdr w:val="none" w:sz="0" w:space="0" w:color="auto" w:frame="1"/>
        </w:rPr>
        <w:t xml:space="preserve">.  </w:t>
      </w:r>
      <w:r w:rsidR="00D42C01">
        <w:rPr>
          <w:bdr w:val="none" w:sz="0" w:space="0" w:color="auto" w:frame="1"/>
        </w:rPr>
        <w:t>Furthermore, t</w:t>
      </w:r>
      <w:r w:rsidR="2B3C213F">
        <w:rPr>
          <w:bdr w:val="none" w:sz="0" w:space="0" w:color="auto" w:frame="1"/>
        </w:rPr>
        <w:t>he Company could use the</w:t>
      </w:r>
      <w:r w:rsidR="00D42C01">
        <w:rPr>
          <w:bdr w:val="none" w:sz="0" w:space="0" w:color="auto" w:frame="1"/>
        </w:rPr>
        <w:t>se</w:t>
      </w:r>
      <w:r w:rsidR="2B3C213F">
        <w:rPr>
          <w:bdr w:val="none" w:sz="0" w:space="0" w:color="auto" w:frame="1"/>
        </w:rPr>
        <w:t xml:space="preserve"> scenarios to assess implications for customer rates</w:t>
      </w:r>
      <w:r w:rsidR="003F52A9">
        <w:rPr>
          <w:bdr w:val="none" w:sz="0" w:space="0" w:color="auto" w:frame="1"/>
        </w:rPr>
        <w:t xml:space="preserve"> and</w:t>
      </w:r>
      <w:r w:rsidR="00D42C01">
        <w:rPr>
          <w:bdr w:val="none" w:sz="0" w:space="0" w:color="auto" w:frame="1"/>
        </w:rPr>
        <w:t xml:space="preserve"> rate allocations</w:t>
      </w:r>
      <w:r w:rsidR="003F52A9">
        <w:rPr>
          <w:bdr w:val="none" w:sz="0" w:space="0" w:color="auto" w:frame="1"/>
        </w:rPr>
        <w:t>.</w:t>
      </w:r>
    </w:p>
    <w:p w14:paraId="5817BCA9" w14:textId="3DE0189D" w:rsidR="00C66D34" w:rsidRDefault="00C66D34" w:rsidP="00C66D34">
      <w:pPr>
        <w:pStyle w:val="Question"/>
      </w:pPr>
      <w:r>
        <w:t>Q.</w:t>
      </w:r>
      <w:r>
        <w:tab/>
        <w:t xml:space="preserve">Is the company’s decision to plan at a p95 level in the load realization model </w:t>
      </w:r>
      <w:r w:rsidR="00C072FE">
        <w:t>rea</w:t>
      </w:r>
      <w:r w:rsidR="00B71E69">
        <w:t>s</w:t>
      </w:r>
      <w:r w:rsidR="00C072FE">
        <w:t>onable</w:t>
      </w:r>
      <w:r>
        <w:t>?</w:t>
      </w:r>
    </w:p>
    <w:p w14:paraId="5B460138" w14:textId="3A39B355" w:rsidR="00C66D34" w:rsidRDefault="29AF62B9" w:rsidP="00626BBA">
      <w:pPr>
        <w:pStyle w:val="Answers"/>
      </w:pPr>
      <w:r>
        <w:t>A.</w:t>
      </w:r>
      <w:r w:rsidR="00C66D34">
        <w:tab/>
      </w:r>
      <w:r>
        <w:t xml:space="preserve">The Company explains generally that there is significant uncertainty in this model and </w:t>
      </w:r>
      <w:r w:rsidR="16838941">
        <w:t xml:space="preserve">their </w:t>
      </w:r>
      <w:r>
        <w:t>goal is to ensure sufficient capacity to meet anticipated loads</w:t>
      </w:r>
      <w:r w:rsidR="16838941">
        <w:t xml:space="preserve"> and ensure reliability</w:t>
      </w:r>
      <w:r>
        <w:t>.</w:t>
      </w:r>
      <w:r w:rsidR="00C66D34">
        <w:rPr>
          <w:rStyle w:val="FootnoteReference"/>
        </w:rPr>
        <w:footnoteReference w:id="65"/>
      </w:r>
      <w:r>
        <w:t xml:space="preserve"> By planning to a higher P-level, the Company is 1) preparing for the risk that loads may </w:t>
      </w:r>
      <w:r>
        <w:lastRenderedPageBreak/>
        <w:t xml:space="preserve">materialize at a greater level </w:t>
      </w:r>
      <w:r w:rsidR="16838941">
        <w:t xml:space="preserve">than </w:t>
      </w:r>
      <w:r>
        <w:t xml:space="preserve">the most likely outcome of P50 and 2) ensuring that the system is robust to those higher levels. </w:t>
      </w:r>
      <w:r w:rsidR="005E61EF">
        <w:t xml:space="preserve">However, </w:t>
      </w:r>
      <w:r w:rsidR="0014371C">
        <w:t>t</w:t>
      </w:r>
      <w:r w:rsidR="00D42C01">
        <w:t xml:space="preserve">he use of a </w:t>
      </w:r>
      <w:r w:rsidR="5B8F04D6">
        <w:t xml:space="preserve">P-level only </w:t>
      </w:r>
      <w:r w:rsidR="00D42C01">
        <w:t>considers</w:t>
      </w:r>
      <w:r w:rsidR="5B8F04D6">
        <w:t xml:space="preserve"> </w:t>
      </w:r>
      <w:r w:rsidR="7FA18812">
        <w:t xml:space="preserve">serving new customers </w:t>
      </w:r>
      <w:r w:rsidR="2350B609">
        <w:t xml:space="preserve">reliably </w:t>
      </w:r>
      <w:r w:rsidR="00D42C01">
        <w:t xml:space="preserve">and </w:t>
      </w:r>
      <w:r w:rsidR="7FA18812">
        <w:t xml:space="preserve">does not </w:t>
      </w:r>
      <w:r w:rsidR="00D42C01">
        <w:t>consider</w:t>
      </w:r>
      <w:r w:rsidR="5599420B">
        <w:t xml:space="preserve"> the </w:t>
      </w:r>
      <w:r w:rsidR="41480DD3">
        <w:t>economic</w:t>
      </w:r>
      <w:r w:rsidR="5599420B">
        <w:t xml:space="preserve"> impact on all</w:t>
      </w:r>
      <w:r w:rsidR="2FA326F8">
        <w:t xml:space="preserve"> other</w:t>
      </w:r>
      <w:r w:rsidR="5599420B">
        <w:t xml:space="preserve"> customers</w:t>
      </w:r>
      <w:r w:rsidR="3BE4EF4A">
        <w:t>.</w:t>
      </w:r>
      <w:r w:rsidR="00EB60D2">
        <w:t xml:space="preserve"> </w:t>
      </w:r>
      <w:r w:rsidR="00BA1E0E">
        <w:t>U</w:t>
      </w:r>
      <w:r w:rsidR="00EB60D2">
        <w:t xml:space="preserve">sing </w:t>
      </w:r>
      <w:r w:rsidR="001B2C44">
        <w:t>P95 level</w:t>
      </w:r>
      <w:r w:rsidR="00573E13">
        <w:t xml:space="preserve"> </w:t>
      </w:r>
      <w:r w:rsidR="000A4438">
        <w:t>result</w:t>
      </w:r>
      <w:r w:rsidR="00866E8C">
        <w:t>s</w:t>
      </w:r>
      <w:r w:rsidR="000A4438">
        <w:t xml:space="preserve"> in</w:t>
      </w:r>
      <w:r w:rsidR="004C0BED">
        <w:t xml:space="preserve"> higher peak load</w:t>
      </w:r>
      <w:r w:rsidR="00306775">
        <w:t xml:space="preserve"> </w:t>
      </w:r>
      <w:r w:rsidR="006E35CD">
        <w:t xml:space="preserve">than </w:t>
      </w:r>
      <w:r w:rsidR="00625F85">
        <w:t xml:space="preserve">P50 or </w:t>
      </w:r>
      <w:r w:rsidR="000A4F03">
        <w:t xml:space="preserve">P80 levels </w:t>
      </w:r>
      <w:r w:rsidR="00306775">
        <w:t xml:space="preserve">and </w:t>
      </w:r>
      <w:r w:rsidR="00451048">
        <w:t>supports</w:t>
      </w:r>
      <w:r w:rsidR="001E418E">
        <w:t xml:space="preserve"> </w:t>
      </w:r>
      <w:r w:rsidR="00306775">
        <w:t>more capacity additions</w:t>
      </w:r>
      <w:r w:rsidR="004C0BED">
        <w:t xml:space="preserve"> </w:t>
      </w:r>
      <w:r w:rsidR="00CC3463">
        <w:t xml:space="preserve">but </w:t>
      </w:r>
      <w:r w:rsidR="001E418E">
        <w:t>it also increase</w:t>
      </w:r>
      <w:r w:rsidR="00D54672">
        <w:t>s</w:t>
      </w:r>
      <w:r w:rsidR="001E418E">
        <w:t xml:space="preserve"> </w:t>
      </w:r>
      <w:r w:rsidR="00727FAF">
        <w:t>the risk</w:t>
      </w:r>
      <w:r w:rsidR="00FF121B">
        <w:t xml:space="preserve"> of</w:t>
      </w:r>
      <w:r w:rsidR="00542AB5">
        <w:t xml:space="preserve"> </w:t>
      </w:r>
      <w:r w:rsidR="008C61FB">
        <w:t xml:space="preserve">constructing </w:t>
      </w:r>
      <w:r w:rsidR="00F52991">
        <w:t>too much</w:t>
      </w:r>
      <w:r w:rsidR="00BD7683">
        <w:t xml:space="preserve"> </w:t>
      </w:r>
      <w:r w:rsidR="008C61FB">
        <w:t>new generation capacity</w:t>
      </w:r>
      <w:r w:rsidR="006F5357">
        <w:t xml:space="preserve"> to</w:t>
      </w:r>
      <w:r w:rsidR="00451048">
        <w:t>o</w:t>
      </w:r>
      <w:r w:rsidR="006F5357">
        <w:t xml:space="preserve"> quickly</w:t>
      </w:r>
      <w:r w:rsidR="00E413E2">
        <w:t xml:space="preserve"> </w:t>
      </w:r>
      <w:r w:rsidR="00BD7683">
        <w:t>and increasing ratepayer cost unnecessarily.</w:t>
      </w:r>
      <w:r w:rsidR="00E413E2">
        <w:t xml:space="preserve"> </w:t>
      </w:r>
      <w:r w:rsidR="3BE4EF4A">
        <w:t xml:space="preserve"> </w:t>
      </w:r>
      <w:r>
        <w:t>As the level of large-load growth changes or the Company’s LRM becomes more accurate, the Company should monitor, test, and review this planning level to evaluate its accuracy.</w:t>
      </w:r>
      <w:r w:rsidR="16838941">
        <w:t xml:space="preserve">  </w:t>
      </w:r>
    </w:p>
    <w:p w14:paraId="660B1A4C" w14:textId="17AB6C1C" w:rsidR="00011928" w:rsidRDefault="00011928" w:rsidP="00123893">
      <w:pPr>
        <w:pStyle w:val="Question"/>
      </w:pPr>
      <w:r>
        <w:t>Q.</w:t>
      </w:r>
      <w:r>
        <w:tab/>
        <w:t>Do you have any recommendations regarding an alternative lrm case that the company should use in its forecast?</w:t>
      </w:r>
    </w:p>
    <w:p w14:paraId="61E67382" w14:textId="76C88B8B" w:rsidR="00011928" w:rsidRDefault="52F37A61" w:rsidP="00626BBA">
      <w:pPr>
        <w:pStyle w:val="Answers"/>
      </w:pPr>
      <w:r>
        <w:t>A.</w:t>
      </w:r>
      <w:r w:rsidR="00011928">
        <w:tab/>
      </w:r>
      <w:r w:rsidR="29AF62B9">
        <w:t xml:space="preserve">Yes. The most reasonable alternative LRM case is the Uniform w/Delays, P95. This scenario incorporates industry research on Ramp-up delays and standardizes Load Realization assumptions while acknowledging the high level of uncertainty surrounding this recent growth by </w:t>
      </w:r>
      <w:r w:rsidR="5D9C9230">
        <w:t>relying on the Company’s preferred</w:t>
      </w:r>
      <w:r w:rsidR="29AF62B9">
        <w:t xml:space="preserve"> P95 planning level.</w:t>
      </w:r>
      <w:r w:rsidR="18F3C747">
        <w:t xml:space="preserve"> The </w:t>
      </w:r>
      <w:r w:rsidR="1D21E4F2">
        <w:t>C</w:t>
      </w:r>
      <w:r w:rsidR="18F3C747">
        <w:t>ompany should plan according to the load levels assumed in this scenario.</w:t>
      </w:r>
      <w:r w:rsidR="003F52A9">
        <w:t xml:space="preserve"> We recommend the Company further evaluate alternative P levels and the impact of such planning on customer costs and company risks.</w:t>
      </w:r>
    </w:p>
    <w:p w14:paraId="117FF5E1" w14:textId="15919FF7" w:rsidR="00E83E6E" w:rsidRDefault="00E83E6E" w:rsidP="00123893">
      <w:pPr>
        <w:pStyle w:val="Question"/>
      </w:pPr>
      <w:r>
        <w:t>Q.</w:t>
      </w:r>
      <w:r>
        <w:tab/>
        <w:t>Do you have any further recommendations regarding the load realization model?</w:t>
      </w:r>
    </w:p>
    <w:p w14:paraId="21FE4B7D" w14:textId="2D92BDCA" w:rsidR="00C66D34" w:rsidRPr="00123893" w:rsidRDefault="00E83E6E" w:rsidP="00626BBA">
      <w:pPr>
        <w:pStyle w:val="Answers"/>
      </w:pPr>
      <w:r>
        <w:t>A.</w:t>
      </w:r>
      <w:r>
        <w:tab/>
      </w:r>
      <w:r w:rsidR="00C66D34">
        <w:t xml:space="preserve">Yes. The Company should monitor, track, and review all assumptions made in the LRM. By tracking this data, the Company will be prepared to implement historical data if a similar </w:t>
      </w:r>
      <w:r w:rsidR="00C66D34">
        <w:lastRenderedPageBreak/>
        <w:t xml:space="preserve">model or similar data are ever needed in the future. </w:t>
      </w:r>
      <w:r w:rsidR="00C4385C">
        <w:t>These recommendations</w:t>
      </w:r>
      <w:r w:rsidR="004A18E7">
        <w:t xml:space="preserve"> are included in Section V</w:t>
      </w:r>
      <w:r w:rsidR="00332076">
        <w:t>I</w:t>
      </w:r>
      <w:r w:rsidR="00095457">
        <w:t>I</w:t>
      </w:r>
      <w:r w:rsidR="004A18E7">
        <w:t>.</w:t>
      </w:r>
    </w:p>
    <w:p w14:paraId="681E8D33" w14:textId="7F34FDED" w:rsidR="00F72E08" w:rsidRDefault="14E98C9B" w:rsidP="00F72E08">
      <w:pPr>
        <w:pStyle w:val="Heading1"/>
      </w:pPr>
      <w:bookmarkStart w:id="22" w:name="_Toc158797849"/>
      <w:r>
        <w:t>VI</w:t>
      </w:r>
      <w:r w:rsidR="5AC19EB9">
        <w:t>I</w:t>
      </w:r>
      <w:r>
        <w:t>.</w:t>
      </w:r>
      <w:r w:rsidR="00F72E08">
        <w:tab/>
      </w:r>
      <w:r w:rsidR="19FF6346">
        <w:t xml:space="preserve">Forecast </w:t>
      </w:r>
      <w:r>
        <w:t>Transparency</w:t>
      </w:r>
      <w:r w:rsidR="19FF6346">
        <w:t>, Trac</w:t>
      </w:r>
      <w:r w:rsidR="62E0FE23">
        <w:t>king and Documentation</w:t>
      </w:r>
      <w:bookmarkEnd w:id="22"/>
    </w:p>
    <w:p w14:paraId="1F79F971" w14:textId="0FB7952D" w:rsidR="0004279B" w:rsidRDefault="00F72E08" w:rsidP="00F72E08">
      <w:pPr>
        <w:pStyle w:val="Question"/>
      </w:pPr>
      <w:r>
        <w:t>Q.</w:t>
      </w:r>
      <w:r>
        <w:tab/>
      </w:r>
      <w:r w:rsidR="0004279B">
        <w:t>How do you recommend the Company monitor</w:t>
      </w:r>
      <w:r w:rsidR="00B22EED">
        <w:t xml:space="preserve"> activities in the large load market to enhance its next LRM forecast?</w:t>
      </w:r>
    </w:p>
    <w:p w14:paraId="2232C101" w14:textId="467CD2DD" w:rsidR="00C4385C" w:rsidRDefault="00B22EED" w:rsidP="00626BBA">
      <w:pPr>
        <w:pStyle w:val="Answers"/>
      </w:pPr>
      <w:r>
        <w:t>A.</w:t>
      </w:r>
      <w:r>
        <w:tab/>
      </w:r>
      <w:r w:rsidR="009A1C08">
        <w:t>The Company indicated during hearings that they plan to track activities which they had not</w:t>
      </w:r>
      <w:r w:rsidR="009C6D7F">
        <w:t xml:space="preserve"> needed to track </w:t>
      </w:r>
      <w:r w:rsidR="009A1C08">
        <w:t xml:space="preserve">prior to </w:t>
      </w:r>
      <w:r w:rsidR="00A876DE">
        <w:t>2019</w:t>
      </w:r>
      <w:r w:rsidR="009C6D7F">
        <w:t>.</w:t>
      </w:r>
      <w:r w:rsidR="00C4385C">
        <w:rPr>
          <w:rStyle w:val="FootnoteReference"/>
        </w:rPr>
        <w:footnoteReference w:id="66"/>
      </w:r>
      <w:r w:rsidR="009C6D7F">
        <w:t xml:space="preserve">  </w:t>
      </w:r>
      <w:r w:rsidR="00541B9C">
        <w:t xml:space="preserve">In response to several questions during the hearing, witnesses indicated that the Company is tracking activity starting from initial contact </w:t>
      </w:r>
      <w:r w:rsidR="00200B7C">
        <w:t xml:space="preserve">and monitoring </w:t>
      </w:r>
      <w:r w:rsidR="00022C0B">
        <w:t>actions</w:t>
      </w:r>
      <w:r w:rsidR="00200B7C">
        <w:t xml:space="preserve"> taken by potential large </w:t>
      </w:r>
      <w:r w:rsidR="00022C0B">
        <w:t>l</w:t>
      </w:r>
      <w:r w:rsidR="00200B7C">
        <w:t xml:space="preserve">oads as they work through the process.  Especially if this </w:t>
      </w:r>
      <w:proofErr w:type="gramStart"/>
      <w:r w:rsidR="00200B7C">
        <w:t>new large</w:t>
      </w:r>
      <w:proofErr w:type="gramEnd"/>
      <w:r w:rsidR="00200B7C">
        <w:t xml:space="preserve"> load </w:t>
      </w:r>
      <w:r w:rsidR="003C04AE">
        <w:t xml:space="preserve">activity occurs over a multi-year period beyond 2022 through 2024, it is important for the Company to </w:t>
      </w:r>
      <w:r w:rsidR="00D16BCF">
        <w:t xml:space="preserve">implement a database with which to improve the key parameters of the LRM modeling or to modify the variables used should new information come to light.  We propose that the Company database on </w:t>
      </w:r>
      <w:proofErr w:type="gramStart"/>
      <w:r w:rsidR="00D16BCF">
        <w:t>new large</w:t>
      </w:r>
      <w:proofErr w:type="gramEnd"/>
      <w:r w:rsidR="00D16BCF">
        <w:t xml:space="preserve"> loads incorporate at a minimum the information shown in Exhibit </w:t>
      </w:r>
      <w:r w:rsidR="00FF121B">
        <w:t>TKP-2</w:t>
      </w:r>
      <w:r w:rsidR="000C7276">
        <w:t>.</w:t>
      </w:r>
      <w:r w:rsidR="00C4385C">
        <w:rPr>
          <w:rStyle w:val="FootnoteReference"/>
        </w:rPr>
        <w:footnoteReference w:id="67"/>
      </w:r>
      <w:r w:rsidR="000C7276">
        <w:t xml:space="preserve">  This d</w:t>
      </w:r>
      <w:r w:rsidR="00C4385C">
        <w:t>a</w:t>
      </w:r>
      <w:r w:rsidR="000C7276">
        <w:t>ta intends to track each interaction or notification that occurs whether between the large load and the Company or within the Company or in the news</w:t>
      </w:r>
      <w:r w:rsidR="007C3040">
        <w:t xml:space="preserve">.  Monitoring the time it takes from initial notification, including the stage of the project at which the Company is notified, will enable the Company to fine tune the potential project timing, including potential for delays.  </w:t>
      </w:r>
    </w:p>
    <w:p w14:paraId="4450128A" w14:textId="598C5719" w:rsidR="00B22EED" w:rsidRDefault="00C4385C" w:rsidP="00626BBA">
      <w:pPr>
        <w:pStyle w:val="Answers"/>
      </w:pPr>
      <w:r>
        <w:lastRenderedPageBreak/>
        <w:tab/>
      </w:r>
      <w:r>
        <w:tab/>
      </w:r>
      <w:r w:rsidR="00A44A7B">
        <w:t xml:space="preserve">We also propose in this exhibit that the Company institute tracking and verification of the actual loads during ramp up and </w:t>
      </w:r>
      <w:r w:rsidR="003A0191">
        <w:t xml:space="preserve">beyond that time to enable the Company to have more data on which to develop its modeling tools capability.  While this appears to require </w:t>
      </w:r>
      <w:r w:rsidR="003843DE">
        <w:t xml:space="preserve">time to fulfill, the benefits to the accuracy of the forecast for such large load additions will be extensive – allowing better scenario considerations and </w:t>
      </w:r>
      <w:r w:rsidR="00806568">
        <w:t xml:space="preserve">hopefully accuracy of </w:t>
      </w:r>
      <w:r w:rsidR="00022C0B">
        <w:t>projections</w:t>
      </w:r>
      <w:r w:rsidR="00806568">
        <w:t xml:space="preserve">.  Ideally the tracking system will enable the Company to report quarterly to the Commission on new large load activities ensuring that the next load forecast will have fewer surprises and also acting as an early warning system for both the Company and the Commission of changes in this market that might require an action on the part of the Company such as a delay in resource acquisition or a </w:t>
      </w:r>
      <w:r w:rsidR="00843DA1">
        <w:t>faster need for resource acquisition.</w:t>
      </w:r>
    </w:p>
    <w:p w14:paraId="4EA6325E" w14:textId="5371B892" w:rsidR="00F72E08" w:rsidRDefault="0004279B" w:rsidP="00F72E08">
      <w:pPr>
        <w:pStyle w:val="Question"/>
      </w:pPr>
      <w:r>
        <w:t>Q.</w:t>
      </w:r>
      <w:r>
        <w:tab/>
      </w:r>
      <w:r w:rsidR="00F72E08">
        <w:t xml:space="preserve">how could the company make its </w:t>
      </w:r>
      <w:r w:rsidR="000B1DB1">
        <w:t xml:space="preserve">Forecast </w:t>
      </w:r>
      <w:r w:rsidR="00F72E08">
        <w:t xml:space="preserve">filings more </w:t>
      </w:r>
      <w:r w:rsidR="000B1DB1">
        <w:t xml:space="preserve">transparent </w:t>
      </w:r>
      <w:r w:rsidR="00F72E08">
        <w:t>to the commission and staff?</w:t>
      </w:r>
    </w:p>
    <w:p w14:paraId="48E1B75B" w14:textId="34C4E0A8" w:rsidR="00022C0B" w:rsidRDefault="00116967" w:rsidP="00626BBA">
      <w:pPr>
        <w:pStyle w:val="Answers"/>
      </w:pPr>
      <w:r>
        <w:t>A.</w:t>
      </w:r>
      <w:r>
        <w:tab/>
      </w:r>
      <w:r w:rsidR="00D42C01">
        <w:t>We recommend that the Company and Commission Staff work together to develop a</w:t>
      </w:r>
      <w:r w:rsidR="00E20A76">
        <w:t xml:space="preserve"> model output</w:t>
      </w:r>
      <w:r w:rsidR="00D42C01">
        <w:t xml:space="preserve"> </w:t>
      </w:r>
      <w:r w:rsidR="00E20A76">
        <w:t>reporting standard, in addition to the filing of all models, that allows reviewers to examine the outputs of models and the key drivers to load growth without purchasing access to any software</w:t>
      </w:r>
      <w:r w:rsidR="00D42C01">
        <w:t xml:space="preserve">. </w:t>
      </w:r>
      <w:r w:rsidR="1DF43DC2">
        <w:t xml:space="preserve">Understanding the key </w:t>
      </w:r>
      <w:r w:rsidR="01C2ED02">
        <w:t xml:space="preserve">drivers of growth in each sector of the forecast is key </w:t>
      </w:r>
      <w:r w:rsidR="2AA0DBCE">
        <w:t xml:space="preserve">to </w:t>
      </w:r>
      <w:r w:rsidR="01C2ED02">
        <w:t xml:space="preserve">understanding what to </w:t>
      </w:r>
      <w:r w:rsidR="056C793C">
        <w:t>investigate more deeply as on</w:t>
      </w:r>
      <w:r w:rsidR="166655E7">
        <w:t>e</w:t>
      </w:r>
      <w:r w:rsidR="056C793C">
        <w:t xml:space="preserve"> reviews a sophisticated forecast model like those used by the Company.  </w:t>
      </w:r>
      <w:r w:rsidR="6CAA869A">
        <w:t xml:space="preserve">  For </w:t>
      </w:r>
      <w:r w:rsidR="418751E6">
        <w:t>example,</w:t>
      </w:r>
      <w:r w:rsidR="6CAA869A">
        <w:t xml:space="preserve"> a tornado chart </w:t>
      </w:r>
      <w:r w:rsidR="06BFCD8D">
        <w:t>can help a reviewer understand the largest risks inherent in a PPA for example</w:t>
      </w:r>
      <w:r w:rsidR="39F739BA">
        <w:t xml:space="preserve">. </w:t>
      </w:r>
      <w:r w:rsidR="00E20A76">
        <w:t>As the Company and Staff develop this reporting standard, we recommend including the following items:</w:t>
      </w:r>
    </w:p>
    <w:p w14:paraId="4E55BC7F" w14:textId="309BC2DA" w:rsidR="004C4391" w:rsidRDefault="004C4391" w:rsidP="004C4391">
      <w:pPr>
        <w:pStyle w:val="Answers"/>
        <w:numPr>
          <w:ilvl w:val="0"/>
          <w:numId w:val="12"/>
        </w:numPr>
        <w:rPr>
          <w:b/>
          <w:bCs/>
        </w:rPr>
      </w:pPr>
      <w:r>
        <w:rPr>
          <w:b/>
          <w:bCs/>
        </w:rPr>
        <w:t>Overarching Model Structure Documentation</w:t>
      </w:r>
    </w:p>
    <w:p w14:paraId="63B8E1CB" w14:textId="65FEA319" w:rsidR="0095152A" w:rsidRDefault="0095152A" w:rsidP="00E01138">
      <w:pPr>
        <w:pStyle w:val="Answers"/>
        <w:numPr>
          <w:ilvl w:val="1"/>
          <w:numId w:val="12"/>
        </w:numPr>
        <w:rPr>
          <w:b/>
          <w:bCs/>
        </w:rPr>
      </w:pPr>
      <w:r>
        <w:lastRenderedPageBreak/>
        <w:t xml:space="preserve">In its Technical Appendix, the Company should clearly explain how each model functions and interacts with the other. Based on the Company’s filing, it is not clear a) how the </w:t>
      </w:r>
      <w:r w:rsidR="009B7D4C">
        <w:t>short-term (</w:t>
      </w:r>
      <w:r>
        <w:t>ST</w:t>
      </w:r>
      <w:r w:rsidR="009B7D4C">
        <w:t>)</w:t>
      </w:r>
      <w:r>
        <w:t xml:space="preserve"> Model, </w:t>
      </w:r>
      <w:r w:rsidR="009B7D4C">
        <w:t>long-term (</w:t>
      </w:r>
      <w:r>
        <w:t>LT</w:t>
      </w:r>
      <w:r w:rsidR="009B7D4C">
        <w:t>)</w:t>
      </w:r>
      <w:r>
        <w:t xml:space="preserve"> Model, and LRM are ultimately input to the Peak model. Documentation should </w:t>
      </w:r>
      <w:r w:rsidR="009B7D4C">
        <w:t xml:space="preserve">make clear what transformations are taking place as the results from one model are fed into another. For example, the Company has not filed sufficient explanation of how the </w:t>
      </w:r>
      <w:proofErr w:type="spellStart"/>
      <w:r w:rsidR="009B7D4C">
        <w:t>LoadMAP</w:t>
      </w:r>
      <w:proofErr w:type="spellEnd"/>
      <w:r w:rsidR="009B7D4C">
        <w:t xml:space="preserve"> model produces long-term forecasts based on the results of the short-term models. </w:t>
      </w:r>
      <w:r w:rsidR="000208AA">
        <w:t>Similarly, the current documentation does not explain key assumptions in the Peak model used to convert energy demand into peak demand.</w:t>
      </w:r>
    </w:p>
    <w:p w14:paraId="7AFF5D23" w14:textId="484F9098" w:rsidR="00E20A76" w:rsidRDefault="004C4391" w:rsidP="004C4391">
      <w:pPr>
        <w:pStyle w:val="Answers"/>
        <w:numPr>
          <w:ilvl w:val="0"/>
          <w:numId w:val="12"/>
        </w:numPr>
        <w:rPr>
          <w:b/>
          <w:bCs/>
        </w:rPr>
      </w:pPr>
      <w:r w:rsidRPr="00E01138">
        <w:rPr>
          <w:b/>
          <w:bCs/>
        </w:rPr>
        <w:t>Regression Statistics for All Regression Models and Associated Documentation</w:t>
      </w:r>
      <w:r>
        <w:rPr>
          <w:rStyle w:val="FootnoteReference"/>
          <w:b/>
          <w:bCs/>
        </w:rPr>
        <w:footnoteReference w:id="68"/>
      </w:r>
    </w:p>
    <w:p w14:paraId="555D0DBC" w14:textId="77777777" w:rsidR="004C4391" w:rsidRPr="00E01138" w:rsidRDefault="004C4391" w:rsidP="004C4391">
      <w:pPr>
        <w:pStyle w:val="Answers"/>
        <w:numPr>
          <w:ilvl w:val="1"/>
          <w:numId w:val="12"/>
        </w:numPr>
        <w:rPr>
          <w:b/>
          <w:bCs/>
        </w:rPr>
      </w:pPr>
      <w:r>
        <w:t xml:space="preserve">For each regression model used in the short-term models, the Company should provide regression statistics that show the variables used in the model and their coefficients, significance levels, definitions, and any associated error statistics. </w:t>
      </w:r>
    </w:p>
    <w:p w14:paraId="437DF97A" w14:textId="397066D7" w:rsidR="004C4391" w:rsidRPr="00E01138" w:rsidRDefault="004C4391" w:rsidP="004C4391">
      <w:pPr>
        <w:pStyle w:val="Answers"/>
        <w:numPr>
          <w:ilvl w:val="1"/>
          <w:numId w:val="12"/>
        </w:numPr>
        <w:rPr>
          <w:b/>
          <w:bCs/>
        </w:rPr>
      </w:pPr>
      <w:r>
        <w:t xml:space="preserve">Similar reporting should be provided for any other regression models. </w:t>
      </w:r>
    </w:p>
    <w:p w14:paraId="53148B57" w14:textId="1B0E1360" w:rsidR="00AB09A4" w:rsidRDefault="00AB09A4" w:rsidP="00AB09A4">
      <w:pPr>
        <w:pStyle w:val="Answers"/>
        <w:numPr>
          <w:ilvl w:val="0"/>
          <w:numId w:val="12"/>
        </w:numPr>
        <w:rPr>
          <w:b/>
          <w:bCs/>
        </w:rPr>
      </w:pPr>
      <w:r w:rsidRPr="00E01138">
        <w:rPr>
          <w:b/>
          <w:bCs/>
        </w:rPr>
        <w:t>Key Drivers Impacting Load Growth</w:t>
      </w:r>
    </w:p>
    <w:p w14:paraId="3B982034" w14:textId="395A4ED6" w:rsidR="00AB09A4" w:rsidRDefault="00AB09A4" w:rsidP="00AB09A4">
      <w:pPr>
        <w:pStyle w:val="Answers"/>
        <w:numPr>
          <w:ilvl w:val="1"/>
          <w:numId w:val="12"/>
        </w:numPr>
        <w:rPr>
          <w:b/>
          <w:bCs/>
        </w:rPr>
      </w:pPr>
      <w:r>
        <w:t>The Company should, in both the organic and large load forecasts, identify the key factors impacting load growth.</w:t>
      </w:r>
      <w:r w:rsidR="00095457">
        <w:t xml:space="preserve"> For example</w:t>
      </w:r>
      <w:r w:rsidR="008C1774">
        <w:t>,</w:t>
      </w:r>
      <w:r w:rsidR="00095457">
        <w:t xml:space="preserve"> the Company could prepare data showing the contribution of each key variable to the total forecast of energy for that sector.  In the residential class that could be a pie chart showing how customer </w:t>
      </w:r>
      <w:r w:rsidR="00E01138">
        <w:t>numbers grow</w:t>
      </w:r>
      <w:r w:rsidR="00095457">
        <w:t xml:space="preserve"> between select years of the forecast period and how </w:t>
      </w:r>
      <w:r w:rsidR="00095457">
        <w:lastRenderedPageBreak/>
        <w:t xml:space="preserve">use per customer changes between those </w:t>
      </w:r>
      <w:r w:rsidR="008C1774">
        <w:t xml:space="preserve">same </w:t>
      </w:r>
      <w:r w:rsidR="00095457">
        <w:t>years.  This data enables the reviewer to identify key areas of investigation as the forecast review takes place.</w:t>
      </w:r>
      <w:r w:rsidR="004B34B7">
        <w:t xml:space="preserve">  Another example is to show the breakdown of load growth for each section associated with economic factors as opposed to efficiency in usage and by increased electrification, again using a pie chart showing </w:t>
      </w:r>
      <w:r w:rsidR="00770DE2">
        <w:t xml:space="preserve">each </w:t>
      </w:r>
      <w:r w:rsidR="00F2576F">
        <w:t>factor’s</w:t>
      </w:r>
      <w:r w:rsidR="00770DE2">
        <w:t xml:space="preserve"> contribution to total growth.</w:t>
      </w:r>
    </w:p>
    <w:p w14:paraId="23B93BC2" w14:textId="39C05CBB" w:rsidR="00F72E08" w:rsidRPr="00E01138" w:rsidRDefault="00F72E08" w:rsidP="003F52A9">
      <w:pPr>
        <w:pStyle w:val="Answers"/>
        <w:ind w:left="1440" w:firstLine="0"/>
        <w:rPr>
          <w:b/>
          <w:bCs/>
        </w:rPr>
      </w:pPr>
    </w:p>
    <w:p w14:paraId="54F19342" w14:textId="751654E2" w:rsidR="00DD3D7D" w:rsidRDefault="001D56EC" w:rsidP="00626BBA">
      <w:pPr>
        <w:pStyle w:val="Answers"/>
      </w:pPr>
      <w:r>
        <w:tab/>
      </w:r>
      <w:r w:rsidR="00C4385C">
        <w:tab/>
      </w:r>
      <w:r>
        <w:t xml:space="preserve">Providing this level of analysis with the forecast documentation increases forecast transparency and enhances the understanding of drivers of load growth which may lead to </w:t>
      </w:r>
      <w:r w:rsidR="00850433">
        <w:t>identifying new policies to modify load growth to meet state objectives.</w:t>
      </w:r>
    </w:p>
    <w:p w14:paraId="76683641" w14:textId="77777777" w:rsidR="00DD3D7D" w:rsidRDefault="00DD3D7D" w:rsidP="00E01138">
      <w:pPr>
        <w:pStyle w:val="Answers"/>
        <w:ind w:left="0" w:firstLine="0"/>
      </w:pPr>
    </w:p>
    <w:p w14:paraId="35A5862B" w14:textId="4FCCCFDA" w:rsidR="00F348DA" w:rsidRPr="0092188D" w:rsidRDefault="00F348DA" w:rsidP="002514B0">
      <w:pPr>
        <w:pStyle w:val="Question"/>
      </w:pPr>
      <w:r w:rsidRPr="0092188D">
        <w:t>Q.</w:t>
      </w:r>
      <w:r w:rsidRPr="0092188D">
        <w:tab/>
        <w:t xml:space="preserve">Does this conclude </w:t>
      </w:r>
      <w:r>
        <w:t>Staff’s</w:t>
      </w:r>
      <w:r w:rsidRPr="0092188D">
        <w:t xml:space="preserve"> testimony?</w:t>
      </w:r>
    </w:p>
    <w:p w14:paraId="2A18F710" w14:textId="77777777" w:rsidR="00F348DA" w:rsidRPr="00F348DA" w:rsidRDefault="00F348DA" w:rsidP="00C210FC">
      <w:pPr>
        <w:tabs>
          <w:tab w:val="left" w:pos="720"/>
          <w:tab w:val="left" w:pos="1725"/>
        </w:tabs>
        <w:spacing w:line="480" w:lineRule="auto"/>
        <w:ind w:left="720" w:hanging="720"/>
        <w:rPr>
          <w:rFonts w:cs="Calibri"/>
        </w:rPr>
      </w:pPr>
      <w:r w:rsidRPr="0092188D">
        <w:rPr>
          <w:sz w:val="24"/>
          <w:szCs w:val="24"/>
        </w:rPr>
        <w:t>A.</w:t>
      </w:r>
      <w:r w:rsidRPr="0092188D">
        <w:rPr>
          <w:sz w:val="24"/>
          <w:szCs w:val="24"/>
        </w:rPr>
        <w:tab/>
        <w:t>Yes.</w:t>
      </w:r>
    </w:p>
    <w:sectPr w:rsidR="00F348DA" w:rsidRPr="00F348DA" w:rsidSect="000414CF">
      <w:headerReference w:type="default" r:id="rId17"/>
      <w:footerReference w:type="default" r:id="rId18"/>
      <w:pgSz w:w="12240" w:h="15840"/>
      <w:pgMar w:top="1440" w:right="1440" w:bottom="1440" w:left="1440" w:header="720" w:footer="720"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20D65C" w14:textId="77777777" w:rsidR="000414CF" w:rsidRDefault="000414CF" w:rsidP="009E7506">
      <w:r>
        <w:separator/>
      </w:r>
    </w:p>
  </w:endnote>
  <w:endnote w:type="continuationSeparator" w:id="0">
    <w:p w14:paraId="064332F0" w14:textId="77777777" w:rsidR="000414CF" w:rsidRDefault="000414CF" w:rsidP="009E7506">
      <w:r>
        <w:continuationSeparator/>
      </w:r>
    </w:p>
  </w:endnote>
  <w:endnote w:type="continuationNotice" w:id="1">
    <w:p w14:paraId="09633371" w14:textId="77777777" w:rsidR="000414CF" w:rsidRDefault="000414C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Noto Sans Symbols">
    <w:altName w:val="Calibri"/>
    <w:charset w:val="01"/>
    <w:family w:val="auto"/>
    <w:pitch w:val="default"/>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ptos Narrow">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E5F3D1" w14:textId="77777777" w:rsidR="000E579E" w:rsidRDefault="000E579E" w:rsidP="000672E8">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0329EF" w14:textId="77777777" w:rsidR="000E579E" w:rsidRPr="000672E8" w:rsidRDefault="000E579E" w:rsidP="000672E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54A3FD" w14:textId="77777777" w:rsidR="000E579E" w:rsidRDefault="000E579E" w:rsidP="00525A9B">
    <w:pPr>
      <w:jc w:val="center"/>
      <w:rPr>
        <w:sz w:val="18"/>
        <w:szCs w:val="18"/>
      </w:rPr>
    </w:pPr>
  </w:p>
  <w:p w14:paraId="4324120D" w14:textId="5F96107A" w:rsidR="000E579E" w:rsidRPr="004E7DE1" w:rsidRDefault="000E579E" w:rsidP="00525A9B">
    <w:pPr>
      <w:jc w:val="center"/>
      <w:rPr>
        <w:sz w:val="20"/>
        <w:szCs w:val="20"/>
      </w:rPr>
    </w:pPr>
    <w:r w:rsidRPr="004E7DE1">
      <w:rPr>
        <w:sz w:val="20"/>
        <w:szCs w:val="20"/>
      </w:rPr>
      <w:t xml:space="preserve">Staff’s </w:t>
    </w:r>
    <w:r w:rsidR="001F2A5F">
      <w:rPr>
        <w:sz w:val="20"/>
        <w:szCs w:val="20"/>
      </w:rPr>
      <w:t>Public Disclosure</w:t>
    </w:r>
    <w:r w:rsidR="0004758C">
      <w:rPr>
        <w:sz w:val="20"/>
        <w:szCs w:val="20"/>
      </w:rPr>
      <w:t xml:space="preserve"> </w:t>
    </w:r>
    <w:r w:rsidRPr="004E7DE1">
      <w:rPr>
        <w:sz w:val="20"/>
        <w:szCs w:val="20"/>
      </w:rPr>
      <w:t xml:space="preserve">Direct Testimony of </w:t>
    </w:r>
    <w:r w:rsidR="005837DC">
      <w:rPr>
        <w:sz w:val="20"/>
        <w:szCs w:val="20"/>
      </w:rPr>
      <w:t>Robert L. Trokey</w:t>
    </w:r>
    <w:r w:rsidR="000208AA">
      <w:rPr>
        <w:sz w:val="20"/>
        <w:szCs w:val="20"/>
      </w:rPr>
      <w:t>, Kath</w:t>
    </w:r>
    <w:r w:rsidR="005837DC">
      <w:rPr>
        <w:sz w:val="20"/>
        <w:szCs w:val="20"/>
      </w:rPr>
      <w:t>leen A.</w:t>
    </w:r>
    <w:r w:rsidR="000208AA">
      <w:rPr>
        <w:sz w:val="20"/>
        <w:szCs w:val="20"/>
      </w:rPr>
      <w:t xml:space="preserve"> Kelly and Karan </w:t>
    </w:r>
    <w:r w:rsidR="00E01138">
      <w:rPr>
        <w:sz w:val="20"/>
        <w:szCs w:val="20"/>
      </w:rPr>
      <w:t xml:space="preserve">A. </w:t>
    </w:r>
    <w:r w:rsidR="000208AA">
      <w:rPr>
        <w:sz w:val="20"/>
        <w:szCs w:val="20"/>
      </w:rPr>
      <w:t>Pol</w:t>
    </w:r>
  </w:p>
  <w:p w14:paraId="59D56133" w14:textId="5A4A8F9D" w:rsidR="000E579E" w:rsidRPr="004E7DE1" w:rsidRDefault="000E579E" w:rsidP="00AE5F1F">
    <w:pPr>
      <w:jc w:val="center"/>
      <w:rPr>
        <w:sz w:val="20"/>
        <w:szCs w:val="20"/>
      </w:rPr>
    </w:pPr>
    <w:r w:rsidRPr="004E7DE1">
      <w:rPr>
        <w:sz w:val="20"/>
        <w:szCs w:val="20"/>
      </w:rPr>
      <w:t>Docket No</w:t>
    </w:r>
    <w:r w:rsidR="00116A3C">
      <w:rPr>
        <w:sz w:val="20"/>
        <w:szCs w:val="20"/>
      </w:rPr>
      <w:t>. 55378</w:t>
    </w:r>
  </w:p>
  <w:p w14:paraId="69FED19E" w14:textId="70F2C2AA" w:rsidR="000E579E" w:rsidRPr="004E7DE1" w:rsidRDefault="000E579E" w:rsidP="00AE5F1F">
    <w:pPr>
      <w:jc w:val="center"/>
      <w:rPr>
        <w:sz w:val="20"/>
        <w:szCs w:val="20"/>
      </w:rPr>
    </w:pPr>
    <w:r w:rsidRPr="004E7DE1">
      <w:rPr>
        <w:sz w:val="20"/>
        <w:szCs w:val="20"/>
      </w:rPr>
      <w:t xml:space="preserve">Page </w:t>
    </w:r>
    <w:r w:rsidRPr="004E7DE1">
      <w:rPr>
        <w:rStyle w:val="PageNumber"/>
        <w:sz w:val="20"/>
        <w:szCs w:val="20"/>
      </w:rPr>
      <w:fldChar w:fldCharType="begin"/>
    </w:r>
    <w:r w:rsidRPr="004E7DE1">
      <w:rPr>
        <w:rStyle w:val="PageNumber"/>
        <w:sz w:val="20"/>
        <w:szCs w:val="20"/>
      </w:rPr>
      <w:instrText xml:space="preserve"> PAGE </w:instrText>
    </w:r>
    <w:r w:rsidRPr="004E7DE1">
      <w:rPr>
        <w:rStyle w:val="PageNumber"/>
        <w:sz w:val="20"/>
        <w:szCs w:val="20"/>
      </w:rPr>
      <w:fldChar w:fldCharType="separate"/>
    </w:r>
    <w:r>
      <w:rPr>
        <w:rStyle w:val="PageNumber"/>
        <w:noProof/>
        <w:sz w:val="20"/>
        <w:szCs w:val="20"/>
      </w:rPr>
      <w:t>75</w:t>
    </w:r>
    <w:r w:rsidRPr="004E7DE1">
      <w:rPr>
        <w:rStyle w:val="PageNumber"/>
        <w:sz w:val="20"/>
        <w:szCs w:val="20"/>
      </w:rPr>
      <w:fldChar w:fldCharType="end"/>
    </w:r>
    <w:r w:rsidRPr="004E7DE1">
      <w:rPr>
        <w:rStyle w:val="PageNumber"/>
        <w:sz w:val="20"/>
        <w:szCs w:val="20"/>
      </w:rPr>
      <w:t xml:space="preserve"> of </w:t>
    </w:r>
    <w:r>
      <w:rPr>
        <w:rStyle w:val="PageNumber"/>
        <w:color w:val="000000" w:themeColor="text1"/>
        <w:sz w:val="20"/>
        <w:szCs w:val="20"/>
      </w:rPr>
      <w:fldChar w:fldCharType="begin"/>
    </w:r>
    <w:r>
      <w:rPr>
        <w:rStyle w:val="PageNumber"/>
        <w:color w:val="000000" w:themeColor="text1"/>
        <w:sz w:val="20"/>
        <w:szCs w:val="20"/>
      </w:rPr>
      <w:instrText xml:space="preserve"> =</w:instrText>
    </w:r>
    <w:r w:rsidRPr="00D75A83">
      <w:rPr>
        <w:rStyle w:val="PageNumber"/>
        <w:color w:val="000000" w:themeColor="text1"/>
        <w:sz w:val="20"/>
        <w:szCs w:val="20"/>
      </w:rPr>
      <w:fldChar w:fldCharType="begin"/>
    </w:r>
    <w:r w:rsidRPr="00D75A83">
      <w:rPr>
        <w:rStyle w:val="PageNumber"/>
        <w:color w:val="000000" w:themeColor="text1"/>
        <w:sz w:val="20"/>
        <w:szCs w:val="20"/>
      </w:rPr>
      <w:instrText xml:space="preserve"> NUMPAGES   \* MERGEFORMAT </w:instrText>
    </w:r>
    <w:r w:rsidRPr="00D75A83">
      <w:rPr>
        <w:rStyle w:val="PageNumber"/>
        <w:color w:val="000000" w:themeColor="text1"/>
        <w:sz w:val="20"/>
        <w:szCs w:val="20"/>
      </w:rPr>
      <w:fldChar w:fldCharType="separate"/>
    </w:r>
    <w:r w:rsidR="001F2A5F">
      <w:rPr>
        <w:rStyle w:val="PageNumber"/>
        <w:noProof/>
        <w:color w:val="000000" w:themeColor="text1"/>
        <w:sz w:val="20"/>
        <w:szCs w:val="20"/>
      </w:rPr>
      <w:instrText>48</w:instrText>
    </w:r>
    <w:r w:rsidRPr="00D75A83">
      <w:rPr>
        <w:rStyle w:val="PageNumber"/>
        <w:color w:val="000000" w:themeColor="text1"/>
        <w:sz w:val="20"/>
        <w:szCs w:val="20"/>
      </w:rPr>
      <w:fldChar w:fldCharType="end"/>
    </w:r>
    <w:r>
      <w:rPr>
        <w:rStyle w:val="PageNumber"/>
        <w:color w:val="000000" w:themeColor="text1"/>
        <w:sz w:val="20"/>
        <w:szCs w:val="20"/>
      </w:rPr>
      <w:instrText xml:space="preserve">-3 </w:instrText>
    </w:r>
    <w:r>
      <w:rPr>
        <w:rStyle w:val="PageNumber"/>
        <w:color w:val="000000" w:themeColor="text1"/>
        <w:sz w:val="20"/>
        <w:szCs w:val="20"/>
      </w:rPr>
      <w:fldChar w:fldCharType="separate"/>
    </w:r>
    <w:r w:rsidR="001F2A5F">
      <w:rPr>
        <w:rStyle w:val="PageNumber"/>
        <w:noProof/>
        <w:color w:val="000000" w:themeColor="text1"/>
        <w:sz w:val="20"/>
        <w:szCs w:val="20"/>
      </w:rPr>
      <w:t>45</w:t>
    </w:r>
    <w:r>
      <w:rPr>
        <w:rStyle w:val="PageNumber"/>
        <w:color w:val="000000" w:themeColor="text1"/>
        <w:sz w:val="20"/>
        <w:szCs w:val="20"/>
      </w:rPr>
      <w:fldChar w:fldCharType="end"/>
    </w:r>
  </w:p>
  <w:p w14:paraId="6FBC9068" w14:textId="77777777" w:rsidR="000E579E" w:rsidRPr="004E7DE1" w:rsidRDefault="000E57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826BAA" w14:textId="77777777" w:rsidR="000414CF" w:rsidRDefault="000414CF" w:rsidP="009E7506">
      <w:r>
        <w:separator/>
      </w:r>
    </w:p>
  </w:footnote>
  <w:footnote w:type="continuationSeparator" w:id="0">
    <w:p w14:paraId="7A590033" w14:textId="77777777" w:rsidR="000414CF" w:rsidRDefault="000414CF" w:rsidP="009E7506">
      <w:r>
        <w:continuationSeparator/>
      </w:r>
    </w:p>
  </w:footnote>
  <w:footnote w:type="continuationNotice" w:id="1">
    <w:p w14:paraId="46F2AAE8" w14:textId="77777777" w:rsidR="000414CF" w:rsidRDefault="000414CF"/>
  </w:footnote>
  <w:footnote w:id="2">
    <w:p w14:paraId="244F5EB0" w14:textId="018DAC35" w:rsidR="00071755" w:rsidRDefault="00071755">
      <w:pPr>
        <w:pStyle w:val="FootnoteText"/>
      </w:pPr>
      <w:r>
        <w:rPr>
          <w:rStyle w:val="FootnoteReference"/>
        </w:rPr>
        <w:footnoteRef/>
      </w:r>
      <w:r>
        <w:t xml:space="preserve"> “Organic Load Growth” refers to growth based on historical trends</w:t>
      </w:r>
      <w:r w:rsidR="004A458E">
        <w:t xml:space="preserve"> in the traditional classes of service</w:t>
      </w:r>
      <w:r>
        <w:t xml:space="preserve"> and not including any </w:t>
      </w:r>
      <w:proofErr w:type="gramStart"/>
      <w:r w:rsidR="00893DDA">
        <w:t xml:space="preserve">new </w:t>
      </w:r>
      <w:r>
        <w:t>large</w:t>
      </w:r>
      <w:proofErr w:type="gramEnd"/>
      <w:r>
        <w:t xml:space="preserve"> load customers.  </w:t>
      </w:r>
    </w:p>
  </w:footnote>
  <w:footnote w:id="3">
    <w:p w14:paraId="7E33BEB7" w14:textId="7B955E81" w:rsidR="00071755" w:rsidRDefault="00071755">
      <w:pPr>
        <w:pStyle w:val="FootnoteText"/>
      </w:pPr>
      <w:r>
        <w:rPr>
          <w:rStyle w:val="FootnoteReference"/>
        </w:rPr>
        <w:footnoteRef/>
      </w:r>
      <w:r>
        <w:t xml:space="preserve"> Each regression equation used should be provided with coefficients, significance, measures of error, and any other relevant summary statistics that are typically generated when running a linear regression.</w:t>
      </w:r>
      <w:r w:rsidR="004A458E">
        <w:t xml:space="preserve"> Documentation should enable reviewers to understand how each model interacts as well as the underlying equations driving the forecasts.</w:t>
      </w:r>
    </w:p>
  </w:footnote>
  <w:footnote w:id="4">
    <w:p w14:paraId="3740D103" w14:textId="38054216" w:rsidR="00B7604F" w:rsidRDefault="00B7604F">
      <w:pPr>
        <w:pStyle w:val="FootnoteText"/>
      </w:pPr>
      <w:r>
        <w:rPr>
          <w:rStyle w:val="FootnoteReference"/>
        </w:rPr>
        <w:footnoteRef/>
      </w:r>
      <w:r>
        <w:t xml:space="preserve"> Probabilities were assigned regarding when customers’ load would come on the system and </w:t>
      </w:r>
      <w:r w:rsidR="00071755">
        <w:t>to what extent announced load would materialize</w:t>
      </w:r>
      <w:r>
        <w:t xml:space="preserve">. Staff used </w:t>
      </w:r>
      <w:r w:rsidR="00071755">
        <w:t xml:space="preserve">the </w:t>
      </w:r>
      <w:r>
        <w:t xml:space="preserve">same </w:t>
      </w:r>
      <w:r w:rsidR="00071755">
        <w:t xml:space="preserve">materialization </w:t>
      </w:r>
      <w:r>
        <w:t>probabilit</w:t>
      </w:r>
      <w:r w:rsidR="00071755">
        <w:t>y assumptions</w:t>
      </w:r>
      <w:r>
        <w:t xml:space="preserve"> (“uniform”) across all </w:t>
      </w:r>
      <w:r w:rsidR="00071755">
        <w:t>customer types</w:t>
      </w:r>
      <w:r>
        <w:t xml:space="preserve">. </w:t>
      </w:r>
    </w:p>
  </w:footnote>
  <w:footnote w:id="5">
    <w:p w14:paraId="1445B792" w14:textId="54F23306" w:rsidR="00E01138" w:rsidRDefault="00E01138">
      <w:pPr>
        <w:pStyle w:val="FootnoteText"/>
      </w:pPr>
      <w:r>
        <w:rPr>
          <w:rStyle w:val="FootnoteReference"/>
        </w:rPr>
        <w:footnoteRef/>
      </w:r>
      <w:r>
        <w:t xml:space="preserve"> The LRM is used to forecast large load growth for the Company. A more detailed description is provided later in Section IV and V of this testimony. </w:t>
      </w:r>
      <w:r w:rsidR="003F52A9">
        <w:t>In short, the LRM is added to a regression model based on historical growth (organic model) and eventually converted to peak load.</w:t>
      </w:r>
    </w:p>
  </w:footnote>
  <w:footnote w:id="6">
    <w:p w14:paraId="0203BDEA" w14:textId="77777777" w:rsidR="004A458E" w:rsidRDefault="004A458E" w:rsidP="004A458E">
      <w:pPr>
        <w:pStyle w:val="FootnoteText"/>
      </w:pPr>
      <w:r>
        <w:rPr>
          <w:rStyle w:val="FootnoteReference"/>
        </w:rPr>
        <w:footnoteRef/>
      </w:r>
      <w:r>
        <w:t xml:space="preserve"> </w:t>
      </w:r>
      <w:r>
        <w:rPr>
          <w:rStyle w:val="cf01"/>
        </w:rPr>
        <w:t xml:space="preserve">The Company shows 2021 wins of 336 MW compared to an average of around 100 MW for the years 2017-2020. </w:t>
      </w:r>
      <w:r>
        <w:t>Based on information provided in Technical Appendix 7, “TS Load and Energy Forecast.docx”</w:t>
      </w:r>
    </w:p>
  </w:footnote>
  <w:footnote w:id="7">
    <w:p w14:paraId="000E14E6" w14:textId="75212CEB" w:rsidR="007E2DF8" w:rsidRDefault="007E2DF8" w:rsidP="007E2DF8">
      <w:pPr>
        <w:pStyle w:val="FootnoteText"/>
      </w:pPr>
      <w:r>
        <w:rPr>
          <w:rStyle w:val="FootnoteReference"/>
        </w:rPr>
        <w:footnoteRef/>
      </w:r>
      <w:r>
        <w:t xml:space="preserve"> Office of the Secretary of State (2024), Rules and Regulations of the State of Georgia Subject 515-3-4 Integrated Resource Planning, </w:t>
      </w:r>
      <w:hyperlink r:id="rId1" w:history="1">
        <w:r w:rsidRPr="00C012BE">
          <w:rPr>
            <w:rStyle w:val="Hyperlink"/>
          </w:rPr>
          <w:t>https://rules.sos.state.ga.us/gac/515-3-4</w:t>
        </w:r>
      </w:hyperlink>
      <w:r>
        <w:t xml:space="preserve"> </w:t>
      </w:r>
    </w:p>
  </w:footnote>
  <w:footnote w:id="8">
    <w:p w14:paraId="37445A20" w14:textId="46BD3C89" w:rsidR="007E2DF8" w:rsidRDefault="007E2DF8" w:rsidP="007E2DF8">
      <w:pPr>
        <w:pStyle w:val="FootnoteText"/>
      </w:pPr>
      <w:r>
        <w:rPr>
          <w:rStyle w:val="FootnoteReference"/>
        </w:rPr>
        <w:footnoteRef/>
      </w:r>
      <w:r>
        <w:t xml:space="preserve"> Commercial and industrial loads such as datacenters have no relevant demographic information, are relatively inelastic to the price of electricity once developed, cannot substitute electricity with alternate fuels, and typically operate 24/7. For this reason, many of the methodological requirements within Subject 515-3-4 may not apply to the Load Realization Model.</w:t>
      </w:r>
    </w:p>
  </w:footnote>
  <w:footnote w:id="9">
    <w:p w14:paraId="54425BA9" w14:textId="77777777" w:rsidR="007E2DF8" w:rsidRDefault="007E2DF8" w:rsidP="007E2DF8">
      <w:pPr>
        <w:pStyle w:val="FootnoteText"/>
      </w:pPr>
      <w:r w:rsidRPr="005D0D6A">
        <w:rPr>
          <w:rStyle w:val="FootnoteReference"/>
        </w:rPr>
        <w:footnoteRef/>
      </w:r>
      <w:r w:rsidRPr="005D0D6A">
        <w:t xml:space="preserve"> </w:t>
      </w:r>
      <w:r w:rsidRPr="00BD2DA9">
        <w:t>Responses to PD STF-DEA-2-1, PD STF-PIA-6-12, STF-DEA-1-8, and STF-DEA-1-9.</w:t>
      </w:r>
    </w:p>
  </w:footnote>
  <w:footnote w:id="10">
    <w:p w14:paraId="01932631" w14:textId="66B2B499" w:rsidR="000208AA" w:rsidRDefault="000208AA">
      <w:pPr>
        <w:pStyle w:val="FootnoteText"/>
      </w:pPr>
      <w:r>
        <w:rPr>
          <w:rStyle w:val="FootnoteReference"/>
        </w:rPr>
        <w:footnoteRef/>
      </w:r>
      <w:r>
        <w:t xml:space="preserve"> Office of the Secretary of State (2024), Rules and Regulations of the State of Georgia Subject 515-3-4 Integrated Resource Planning, </w:t>
      </w:r>
      <w:hyperlink r:id="rId2" w:history="1">
        <w:r w:rsidRPr="00C012BE">
          <w:rPr>
            <w:rStyle w:val="Hyperlink"/>
          </w:rPr>
          <w:t>https://rules.sos.state.ga.us/gac/515-3-4</w:t>
        </w:r>
      </w:hyperlink>
      <w:r>
        <w:t xml:space="preserve"> </w:t>
      </w:r>
    </w:p>
  </w:footnote>
  <w:footnote w:id="11">
    <w:p w14:paraId="22E7F07E" w14:textId="5BC26155" w:rsidR="00071755" w:rsidRDefault="00071755">
      <w:pPr>
        <w:pStyle w:val="FootnoteText"/>
      </w:pPr>
      <w:r>
        <w:rPr>
          <w:rStyle w:val="FootnoteReference"/>
        </w:rPr>
        <w:footnoteRef/>
      </w:r>
      <w:r>
        <w:t xml:space="preserve"> The Long-term load model uses an Excel Plug-in called “</w:t>
      </w:r>
      <w:proofErr w:type="spellStart"/>
      <w:r>
        <w:t>LoadMAP</w:t>
      </w:r>
      <w:proofErr w:type="spellEnd"/>
      <w:r>
        <w:t xml:space="preserve">.” An external consultant for the Company developed this plug-in. </w:t>
      </w:r>
    </w:p>
  </w:footnote>
  <w:footnote w:id="12">
    <w:p w14:paraId="448EEFA5" w14:textId="091FD1A8" w:rsidR="00C904EA" w:rsidRPr="00E01138" w:rsidRDefault="00C904EA" w:rsidP="00C904EA">
      <w:pPr>
        <w:spacing w:line="276" w:lineRule="auto"/>
        <w:rPr>
          <w:rFonts w:eastAsia="Calibri"/>
          <w:sz w:val="20"/>
          <w:szCs w:val="20"/>
        </w:rPr>
      </w:pPr>
      <w:r>
        <w:rPr>
          <w:rStyle w:val="FootnoteReference"/>
        </w:rPr>
        <w:footnoteRef/>
      </w:r>
      <w:r>
        <w:t xml:space="preserve"> </w:t>
      </w:r>
      <w:proofErr w:type="gramStart"/>
      <w:r w:rsidRPr="00E01138">
        <w:rPr>
          <w:rFonts w:eastAsia="Calibri"/>
          <w:sz w:val="20"/>
          <w:szCs w:val="20"/>
        </w:rPr>
        <w:t>“..</w:t>
      </w:r>
      <w:proofErr w:type="gramEnd"/>
      <w:r w:rsidRPr="00E01138">
        <w:rPr>
          <w:rFonts w:eastAsia="Calibri"/>
          <w:sz w:val="20"/>
          <w:szCs w:val="20"/>
        </w:rPr>
        <w:t>large load projects that Georgia Power was selected to serve in 2022 represented almost 2,200 MW. This is more than six times greater than in 2021 and nearly 22 times greater than the approximately 100 MW of large load the Company was selected to serve per year from 2017 to 2020. This growth has sustained in 2023. From January through August 2023, the Company was selected to serve more than 1,700 MW of new customer load and total Company selections in 2023 are estimated to be more than 2,500 MW.” Based on 2023 IRP Update Load and Energy Forecast, page 1.</w:t>
      </w:r>
    </w:p>
    <w:p w14:paraId="078075FE" w14:textId="3A8C63B6" w:rsidR="00C904EA" w:rsidRDefault="00C904EA">
      <w:pPr>
        <w:pStyle w:val="FootnoteText"/>
      </w:pPr>
    </w:p>
  </w:footnote>
  <w:footnote w:id="13">
    <w:p w14:paraId="2E13E21B" w14:textId="03D9A665" w:rsidR="0030684A" w:rsidRDefault="0030684A">
      <w:pPr>
        <w:pStyle w:val="FootnoteText"/>
      </w:pPr>
      <w:r>
        <w:rPr>
          <w:rStyle w:val="FootnoteReference"/>
        </w:rPr>
        <w:footnoteRef/>
      </w:r>
      <w:r>
        <w:t xml:space="preserve"> Short-term in this context refers to </w:t>
      </w:r>
      <w:r w:rsidR="00BD2DA9">
        <w:t>the period from 2023 to 2027. Based on the Company’s October 2023 Filing, PD Technical Appendix 7, Load and Energy Forecast Documentation.</w:t>
      </w:r>
    </w:p>
  </w:footnote>
  <w:footnote w:id="14">
    <w:p w14:paraId="5787232B" w14:textId="4E1CF3F7" w:rsidR="00143177" w:rsidRDefault="00143177">
      <w:pPr>
        <w:pStyle w:val="FootnoteText"/>
      </w:pPr>
      <w:r>
        <w:rPr>
          <w:rStyle w:val="FootnoteReference"/>
        </w:rPr>
        <w:footnoteRef/>
      </w:r>
      <w:r>
        <w:t xml:space="preserve"> </w:t>
      </w:r>
      <w:proofErr w:type="spellStart"/>
      <w:r w:rsidR="00374882">
        <w:t>LoadM</w:t>
      </w:r>
      <w:r w:rsidR="00FF121B">
        <w:t>AP</w:t>
      </w:r>
      <w:proofErr w:type="spellEnd"/>
      <w:r w:rsidR="00374882">
        <w:t xml:space="preserve"> files are provided in TS Technical Appendix 7, LT Models. </w:t>
      </w:r>
    </w:p>
  </w:footnote>
  <w:footnote w:id="15">
    <w:p w14:paraId="395905DA" w14:textId="21669561" w:rsidR="00BD2DA9" w:rsidRDefault="00BD2DA9">
      <w:pPr>
        <w:pStyle w:val="FootnoteText"/>
      </w:pPr>
      <w:r>
        <w:rPr>
          <w:rStyle w:val="FootnoteReference"/>
        </w:rPr>
        <w:footnoteRef/>
      </w:r>
      <w:r>
        <w:t xml:space="preserve"> Long-term, in this context, refers to the period from 2028 to 2042. Based on the Company’s October 2023 Filing, PD Technical Appendix 7, Load and Energy Forecast Documentation.</w:t>
      </w:r>
    </w:p>
  </w:footnote>
  <w:footnote w:id="16">
    <w:p w14:paraId="651C2D62" w14:textId="4C5D9C26" w:rsidR="00BD2DA9" w:rsidRDefault="00BD2DA9" w:rsidP="00BD2DA9">
      <w:pPr>
        <w:pStyle w:val="FootnoteText"/>
      </w:pPr>
      <w:r>
        <w:rPr>
          <w:rStyle w:val="FootnoteReference"/>
        </w:rPr>
        <w:footnoteRef/>
      </w:r>
      <w:r>
        <w:t xml:space="preserve"> A “large</w:t>
      </w:r>
      <w:r w:rsidR="00374882">
        <w:t xml:space="preserve"> </w:t>
      </w:r>
      <w:r>
        <w:t>load” customer is any customer with a load greater than 45 MW for the Industrial class or 115</w:t>
      </w:r>
      <w:r w:rsidR="002A48B3">
        <w:t xml:space="preserve"> </w:t>
      </w:r>
      <w:r>
        <w:t>MW for the commercial class. Based on the response to STF-DEA-6-1.</w:t>
      </w:r>
    </w:p>
  </w:footnote>
  <w:footnote w:id="17">
    <w:p w14:paraId="7AD3A85A" w14:textId="1708CE92" w:rsidR="00071755" w:rsidRDefault="00071755">
      <w:pPr>
        <w:pStyle w:val="FootnoteText"/>
      </w:pPr>
      <w:r>
        <w:rPr>
          <w:rStyle w:val="FootnoteReference"/>
        </w:rPr>
        <w:footnoteRef/>
      </w:r>
      <w:r>
        <w:t xml:space="preserve"> Due to issues procuring the relevant software and time constraints, the Peak model could not be accessed and was not reviewed. </w:t>
      </w:r>
      <w:r w:rsidR="004A458E">
        <w:t>T</w:t>
      </w:r>
      <w:r>
        <w:t>he assumptions used in the Peak model are likely reasonable, assuming they replicated similar assumptions as those used in the 2022 IRP and prior IRPs.</w:t>
      </w:r>
    </w:p>
  </w:footnote>
  <w:footnote w:id="18">
    <w:p w14:paraId="32CA98F4" w14:textId="204884F6" w:rsidR="00095457" w:rsidRDefault="00095457">
      <w:pPr>
        <w:pStyle w:val="FootnoteText"/>
      </w:pPr>
      <w:r>
        <w:rPr>
          <w:rStyle w:val="FootnoteReference"/>
        </w:rPr>
        <w:footnoteRef/>
      </w:r>
      <w:r>
        <w:t xml:space="preserve"> TS Technical Appendix Figures and Data fil, CAGRs &amp; Controls Tab</w:t>
      </w:r>
    </w:p>
  </w:footnote>
  <w:footnote w:id="19">
    <w:p w14:paraId="3D4AAD44" w14:textId="3C1D1759" w:rsidR="000B588D" w:rsidRDefault="000B588D">
      <w:pPr>
        <w:pStyle w:val="FootnoteText"/>
      </w:pPr>
      <w:r>
        <w:rPr>
          <w:rStyle w:val="FootnoteReference"/>
        </w:rPr>
        <w:footnoteRef/>
      </w:r>
      <w:r>
        <w:t xml:space="preserve"> 2023 IRP Update Direct Testimony of Georgia Power Company, p. 15 of 56, lines 4-7. </w:t>
      </w:r>
    </w:p>
  </w:footnote>
  <w:footnote w:id="20">
    <w:p w14:paraId="5CFEC192" w14:textId="7C184165" w:rsidR="00030864" w:rsidRDefault="00030864">
      <w:pPr>
        <w:pStyle w:val="FootnoteText"/>
      </w:pPr>
      <w:r>
        <w:rPr>
          <w:rStyle w:val="FootnoteReference"/>
        </w:rPr>
        <w:footnoteRef/>
      </w:r>
      <w:r>
        <w:t xml:space="preserve"> Responses to TS STF-DEA-1-4, Attachments A through D.</w:t>
      </w:r>
    </w:p>
  </w:footnote>
  <w:footnote w:id="21">
    <w:p w14:paraId="0B96564B" w14:textId="034791F7" w:rsidR="00D42C01" w:rsidRDefault="00D42C01">
      <w:pPr>
        <w:pStyle w:val="FootnoteText"/>
      </w:pPr>
      <w:r>
        <w:rPr>
          <w:rStyle w:val="FootnoteReference"/>
        </w:rPr>
        <w:footnoteRef/>
      </w:r>
      <w:r>
        <w:t xml:space="preserve"> Based on responses to </w:t>
      </w:r>
      <w:r w:rsidRPr="00D42C01">
        <w:t>TS STF-DEA-1-4 Attachment A</w:t>
      </w:r>
      <w:r>
        <w:t xml:space="preserve"> and IRP Models &amp; Workpapers, TS Technical Appendix 7 – Load &amp; Energy Forecast, “TS 2023.10.11 Load Realization Model.”</w:t>
      </w:r>
    </w:p>
  </w:footnote>
  <w:footnote w:id="22">
    <w:p w14:paraId="0CADCF04" w14:textId="48F66C7D" w:rsidR="0030684A" w:rsidRDefault="0030684A" w:rsidP="0030684A">
      <w:pPr>
        <w:pStyle w:val="FootnoteText"/>
      </w:pPr>
      <w:r>
        <w:rPr>
          <w:rStyle w:val="FootnoteReference"/>
        </w:rPr>
        <w:footnoteRef/>
      </w:r>
      <w:r>
        <w:t xml:space="preserve"> Based on peak demand forecast data provided in the Main Document of the Company’s 2023 IRP Update Filing. File: [</w:t>
      </w:r>
      <w:r w:rsidRPr="00161E4B">
        <w:t>Figures 4, 5, 6, &amp; 9 - Capacity Needs Data for B22, B23, and 2023 IRP Update</w:t>
      </w:r>
      <w:r>
        <w:t>.]</w:t>
      </w:r>
      <w:r w:rsidR="000F57C3">
        <w:t xml:space="preserve"> </w:t>
      </w:r>
    </w:p>
  </w:footnote>
  <w:footnote w:id="23">
    <w:p w14:paraId="46EBB1C9" w14:textId="01BC8959" w:rsidR="00D42C01" w:rsidRDefault="00D42C01" w:rsidP="00D42C01">
      <w:pPr>
        <w:pStyle w:val="FootnoteText"/>
      </w:pPr>
      <w:r>
        <w:rPr>
          <w:rStyle w:val="FootnoteReference"/>
        </w:rPr>
        <w:footnoteRef/>
      </w:r>
      <w:r>
        <w:t xml:space="preserve"> This testimony evaluates three filed forecasts: 1) the forecast filed with the 2022 IRP, 2) the annual forecast that is produced by the Company outside of the IRP (Budget 2023), and 3) the 2023 IRP Update forecast which the company filed in October 2023. The 2022 IRP forecast was developed in the second half of 2021. The Budget 2023 forecast was developed in fall 2022. The 2023 IRP Update forecast was developed in Q3 2023. </w:t>
      </w:r>
    </w:p>
  </w:footnote>
  <w:footnote w:id="24">
    <w:p w14:paraId="02EB828E" w14:textId="3666235E" w:rsidR="0030684A" w:rsidRDefault="0030684A" w:rsidP="0030684A">
      <w:pPr>
        <w:pStyle w:val="FootnoteText"/>
      </w:pPr>
      <w:r>
        <w:rPr>
          <w:rStyle w:val="FootnoteReference"/>
        </w:rPr>
        <w:footnoteRef/>
      </w:r>
      <w:r>
        <w:t xml:space="preserve"> Based on peak demand forecast data provided in the Main Document of the Company’s 2023 IRP Update Filing. File: [</w:t>
      </w:r>
      <w:r w:rsidRPr="00161E4B">
        <w:t>Figures 4, 5, 6, &amp; 9 - Capacity Needs Data for B22, B23, and 2023 IRP Update</w:t>
      </w:r>
      <w:r>
        <w:t>.]</w:t>
      </w:r>
      <w:r w:rsidR="000F57C3">
        <w:t xml:space="preserve"> </w:t>
      </w:r>
    </w:p>
  </w:footnote>
  <w:footnote w:id="25">
    <w:p w14:paraId="52FCEDD9" w14:textId="77777777" w:rsidR="00011928" w:rsidRDefault="00011928" w:rsidP="00011928">
      <w:pPr>
        <w:pStyle w:val="FootnoteText"/>
      </w:pPr>
      <w:r>
        <w:rPr>
          <w:rStyle w:val="FootnoteReference"/>
        </w:rPr>
        <w:footnoteRef/>
      </w:r>
      <w:r>
        <w:t xml:space="preserve"> IRP Models &amp; Workpapers, TS Technical Appendix 7 – Load &amp; Energy Forecast, “TS 2023.10.11 Load Realization Model.”</w:t>
      </w:r>
    </w:p>
  </w:footnote>
  <w:footnote w:id="26">
    <w:p w14:paraId="7FD33C4D" w14:textId="4176FDF9" w:rsidR="00D42C01" w:rsidRDefault="00D42C01">
      <w:pPr>
        <w:pStyle w:val="FootnoteText"/>
      </w:pPr>
      <w:r>
        <w:rPr>
          <w:rStyle w:val="FootnoteReference"/>
        </w:rPr>
        <w:footnoteRef/>
      </w:r>
      <w:r>
        <w:t xml:space="preserve"> Georgia Power Company, January 16 Hearing Transcript, p. 0165, lines 10-11 &amp; p. 0381, lines 7-8.</w:t>
      </w:r>
    </w:p>
  </w:footnote>
  <w:footnote w:id="27">
    <w:p w14:paraId="3E0F38FF" w14:textId="10AE71C4" w:rsidR="00374882" w:rsidRDefault="00374882">
      <w:pPr>
        <w:pStyle w:val="FootnoteText"/>
      </w:pPr>
      <w:r>
        <w:rPr>
          <w:rStyle w:val="FootnoteReference"/>
        </w:rPr>
        <w:footnoteRef/>
      </w:r>
      <w:r>
        <w:t xml:space="preserve"> If a project reports that it will achieve peak demand of 60 MW in year 2030 and 70 MW in year 2031, the LRM will assume that the project reaches 60 MW at the end of Q2 2030.</w:t>
      </w:r>
    </w:p>
  </w:footnote>
  <w:footnote w:id="28">
    <w:p w14:paraId="12B3DEAD" w14:textId="727AF3D0" w:rsidR="00CE63C9" w:rsidRDefault="00CE63C9">
      <w:pPr>
        <w:pStyle w:val="FootnoteText"/>
      </w:pPr>
      <w:r>
        <w:rPr>
          <w:rStyle w:val="FootnoteReference"/>
        </w:rPr>
        <w:footnoteRef/>
      </w:r>
      <w:r>
        <w:t xml:space="preserve"> Response to Data Request STF-DEA-1-15</w:t>
      </w:r>
    </w:p>
  </w:footnote>
  <w:footnote w:id="29">
    <w:p w14:paraId="55266D62" w14:textId="7833124F" w:rsidR="005570AC" w:rsidRDefault="005570AC">
      <w:pPr>
        <w:pStyle w:val="FootnoteText"/>
      </w:pPr>
      <w:r>
        <w:rPr>
          <w:rStyle w:val="FootnoteReference"/>
        </w:rPr>
        <w:footnoteRef/>
      </w:r>
      <w:r>
        <w:t xml:space="preserve"> Based on a 100,000 iterations </w:t>
      </w:r>
      <w:r w:rsidR="00FF121B">
        <w:t xml:space="preserve">@RISK simulation </w:t>
      </w:r>
      <w:r>
        <w:t>of the file from IRP Models &amp; Workpapers, TS Technical Appendix 7 – Load &amp; Energy Forecast, “TS 2023.10.11 Load Realization Model.”</w:t>
      </w:r>
      <w:r w:rsidR="008D2144">
        <w:t xml:space="preserve"> </w:t>
      </w:r>
    </w:p>
  </w:footnote>
  <w:footnote w:id="30">
    <w:p w14:paraId="15BE3834" w14:textId="4CF182B7" w:rsidR="003F52A9" w:rsidRDefault="003F52A9">
      <w:pPr>
        <w:pStyle w:val="FootnoteText"/>
      </w:pPr>
      <w:r>
        <w:rPr>
          <w:rStyle w:val="FootnoteReference"/>
        </w:rPr>
        <w:footnoteRef/>
      </w:r>
      <w:r>
        <w:t xml:space="preserve"> Georgia Power would typically convert the values in </w:t>
      </w:r>
      <w:r>
        <w:fldChar w:fldCharType="begin"/>
      </w:r>
      <w:r>
        <w:instrText xml:space="preserve"> REF _Ref157786918 \h </w:instrText>
      </w:r>
      <w:r>
        <w:fldChar w:fldCharType="separate"/>
      </w:r>
      <w:r w:rsidR="00D01697">
        <w:t xml:space="preserve">Table </w:t>
      </w:r>
      <w:r w:rsidR="00D01697">
        <w:rPr>
          <w:noProof/>
        </w:rPr>
        <w:t>3</w:t>
      </w:r>
      <w:r>
        <w:fldChar w:fldCharType="end"/>
      </w:r>
      <w:r>
        <w:t xml:space="preserve"> to an energy basis using established load factors and input these values into its Peak model. We were not able to perform this portion of the analysis due to software limitations and time constraints, but do not expect that this transformation will materially impact the conclusions of our analysis.</w:t>
      </w:r>
    </w:p>
  </w:footnote>
  <w:footnote w:id="31">
    <w:p w14:paraId="34DAD99A" w14:textId="2CC0B6DB" w:rsidR="00C46F89" w:rsidRDefault="00C46F89">
      <w:pPr>
        <w:pStyle w:val="FootnoteText"/>
      </w:pPr>
      <w:r>
        <w:rPr>
          <w:rStyle w:val="FootnoteReference"/>
        </w:rPr>
        <w:footnoteRef/>
      </w:r>
      <w:r>
        <w:t xml:space="preserve"> </w:t>
      </w:r>
      <w:r w:rsidR="00FF121B">
        <w:t xml:space="preserve">Based on a 100,000 iterations @RISK simulation of the file from IRP Models &amp; Workpapers, TS Technical Appendix 7 – Load &amp; Energy Forecast, “TS 2023.10.11 Load Realization Model.” </w:t>
      </w:r>
    </w:p>
  </w:footnote>
  <w:footnote w:id="32">
    <w:p w14:paraId="2E23C49E" w14:textId="0CB66D14" w:rsidR="00374882" w:rsidRDefault="00374882">
      <w:pPr>
        <w:pStyle w:val="FootnoteText"/>
      </w:pPr>
      <w:r>
        <w:rPr>
          <w:rStyle w:val="FootnoteReference"/>
        </w:rPr>
        <w:footnoteRef/>
      </w:r>
      <w:r>
        <w:t xml:space="preserve"> Georgia Power Company, January 16 Hearing Transcript, p. 0153, lines 12-13.</w:t>
      </w:r>
    </w:p>
  </w:footnote>
  <w:footnote w:id="33">
    <w:p w14:paraId="326E5EF3" w14:textId="7A2E1D0B" w:rsidR="00374882" w:rsidRDefault="00374882">
      <w:pPr>
        <w:pStyle w:val="FootnoteText"/>
      </w:pPr>
      <w:r>
        <w:rPr>
          <w:rStyle w:val="FootnoteReference"/>
        </w:rPr>
        <w:footnoteRef/>
      </w:r>
      <w:r>
        <w:t xml:space="preserve"> </w:t>
      </w:r>
      <w:r w:rsidR="000F57C3">
        <w:t xml:space="preserve">Based on data from </w:t>
      </w:r>
      <w:r>
        <w:t>IRP Models &amp; Workpapers, TS Technical Appendix 7 – Load &amp; Energy Forecast, “TS 2023.10.11 Load Realization Model.”</w:t>
      </w:r>
      <w:r w:rsidR="000F57C3">
        <w:t xml:space="preserve"> </w:t>
      </w:r>
    </w:p>
  </w:footnote>
  <w:footnote w:id="34">
    <w:p w14:paraId="45FD419B" w14:textId="2D93A6EF" w:rsidR="00071755" w:rsidRDefault="00071755">
      <w:pPr>
        <w:pStyle w:val="FootnoteText"/>
      </w:pPr>
      <w:r>
        <w:rPr>
          <w:rStyle w:val="FootnoteReference"/>
        </w:rPr>
        <w:footnoteRef/>
      </w:r>
      <w:r>
        <w:t xml:space="preserve"> We assume that this value corresponds with the Company’s reference to a “won” 4,000 MW mentioned on Georgia Power Company, January 17 Hearing Transcript, p. 0472, lines 11-13.</w:t>
      </w:r>
    </w:p>
  </w:footnote>
  <w:footnote w:id="35">
    <w:p w14:paraId="1A2A40E8" w14:textId="7E8DEA9F" w:rsidR="005570AC" w:rsidRDefault="005570AC">
      <w:pPr>
        <w:pStyle w:val="FootnoteText"/>
      </w:pPr>
      <w:r>
        <w:rPr>
          <w:rStyle w:val="FootnoteReference"/>
        </w:rPr>
        <w:footnoteRef/>
      </w:r>
      <w:r>
        <w:t xml:space="preserve"> Based on explanations provided IRP Models &amp; Workpapers, TS Technical Appendix 7 – Load &amp; Energy Forecast, “TS 2023.10.11 Model Sheet Description”</w:t>
      </w:r>
      <w:r w:rsidR="008D2144">
        <w:t xml:space="preserve"> and PD Technical Appendix 7 Load &amp; Energy Forecast Documentation.</w:t>
      </w:r>
    </w:p>
  </w:footnote>
  <w:footnote w:id="36">
    <w:p w14:paraId="1D908941" w14:textId="058A4C5B" w:rsidR="005570AC" w:rsidRDefault="005570AC">
      <w:pPr>
        <w:pStyle w:val="FootnoteText"/>
      </w:pPr>
      <w:r>
        <w:rPr>
          <w:rStyle w:val="FootnoteReference"/>
        </w:rPr>
        <w:footnoteRef/>
      </w:r>
      <w:r>
        <w:t xml:space="preserve"> Independent correlation in this context assumes that the success of Project A should not be correlated with the Success of Project B. This is a reasonable assumption. </w:t>
      </w:r>
    </w:p>
  </w:footnote>
  <w:footnote w:id="37">
    <w:p w14:paraId="4117CE67" w14:textId="0BAD16D4" w:rsidR="0003790E" w:rsidRDefault="0003790E">
      <w:pPr>
        <w:pStyle w:val="FootnoteText"/>
      </w:pPr>
      <w:r>
        <w:rPr>
          <w:rStyle w:val="FootnoteReference"/>
        </w:rPr>
        <w:footnoteRef/>
      </w:r>
      <w:r>
        <w:t xml:space="preserve"> Based on responses to Data Requests JKA-4-7 (Attachments A &amp; B) and DEA-4-7 (Attachments A though N).</w:t>
      </w:r>
      <w:r w:rsidR="000F57C3">
        <w:t xml:space="preserve"> </w:t>
      </w:r>
    </w:p>
  </w:footnote>
  <w:footnote w:id="38">
    <w:p w14:paraId="7DC33248" w14:textId="27443FCA" w:rsidR="0003790E" w:rsidRDefault="0003790E">
      <w:pPr>
        <w:pStyle w:val="FootnoteText"/>
      </w:pPr>
      <w:r>
        <w:rPr>
          <w:rStyle w:val="FootnoteReference"/>
        </w:rPr>
        <w:footnoteRef/>
      </w:r>
      <w:r>
        <w:t xml:space="preserve"> Response to Data Requests PIA-6-12 </w:t>
      </w:r>
    </w:p>
  </w:footnote>
  <w:footnote w:id="39">
    <w:p w14:paraId="3DC8A8AE" w14:textId="67471592" w:rsidR="000E2D2B" w:rsidRPr="000E2D2B" w:rsidRDefault="000E2D2B">
      <w:pPr>
        <w:pStyle w:val="FootnoteText"/>
      </w:pPr>
      <w:r>
        <w:rPr>
          <w:rStyle w:val="FootnoteReference"/>
        </w:rPr>
        <w:footnoteRef/>
      </w:r>
      <w:r>
        <w:t xml:space="preserve"> This correlation assumes that the materialization of load </w:t>
      </w:r>
      <w:r w:rsidR="004822B2">
        <w:t>in each</w:t>
      </w:r>
      <w:r>
        <w:t xml:space="preserve"> segment (Datacenters for example) would not impact the materialization of load in another segment (Chemicals). However, the materialization of load for a single Datacenter </w:t>
      </w:r>
      <w:r>
        <w:rPr>
          <w:i/>
          <w:iCs/>
        </w:rPr>
        <w:t xml:space="preserve">might </w:t>
      </w:r>
      <w:r>
        <w:t xml:space="preserve">be correlated with the materialization of load for another Datacenter. This is a reasonable assumption. </w:t>
      </w:r>
    </w:p>
  </w:footnote>
  <w:footnote w:id="40">
    <w:p w14:paraId="277D68ED" w14:textId="2D3D2AB6" w:rsidR="000E2D2B" w:rsidRDefault="000E2D2B">
      <w:pPr>
        <w:pStyle w:val="FootnoteText"/>
      </w:pPr>
      <w:r>
        <w:rPr>
          <w:rStyle w:val="FootnoteReference"/>
        </w:rPr>
        <w:footnoteRef/>
      </w:r>
      <w:r>
        <w:t xml:space="preserve"> </w:t>
      </w:r>
      <w:r w:rsidR="00C66D34">
        <w:t>Based on a simulation with 100,000 iterations in @RISK of the file from IRP Models &amp; Workpapers, TS Technical Appendix 7 – Load &amp; Energy Forecast, “TS 2023.10.11 Load Realization Model.”</w:t>
      </w:r>
      <w:r w:rsidR="000F57C3">
        <w:t xml:space="preserve"> </w:t>
      </w:r>
    </w:p>
  </w:footnote>
  <w:footnote w:id="41">
    <w:p w14:paraId="2C788D1A" w14:textId="6FA5692D" w:rsidR="004822B2" w:rsidRDefault="004822B2">
      <w:pPr>
        <w:pStyle w:val="FootnoteText"/>
      </w:pPr>
      <w:r>
        <w:rPr>
          <w:rStyle w:val="FootnoteReference"/>
        </w:rPr>
        <w:footnoteRef/>
      </w:r>
      <w:r>
        <w:t xml:space="preserve"> Response to TS STF-DEA-1-4, Attachment A</w:t>
      </w:r>
    </w:p>
  </w:footnote>
  <w:footnote w:id="42">
    <w:p w14:paraId="6BEAF82B" w14:textId="5A82187F" w:rsidR="004822B2" w:rsidRDefault="004822B2">
      <w:pPr>
        <w:pStyle w:val="FootnoteText"/>
      </w:pPr>
      <w:r>
        <w:rPr>
          <w:rStyle w:val="FootnoteReference"/>
        </w:rPr>
        <w:footnoteRef/>
      </w:r>
      <w:r>
        <w:t xml:space="preserve"> </w:t>
      </w:r>
      <w:r w:rsidR="00C66D34">
        <w:t>IRP Models &amp; Workpapers, TS Technical Appendix 7 – Load &amp; Energy Forecast, “TS 2023.10.11 Load Realization Model.”</w:t>
      </w:r>
    </w:p>
  </w:footnote>
  <w:footnote w:id="43">
    <w:p w14:paraId="12B0BCD1" w14:textId="7BDF6C89" w:rsidR="00071755" w:rsidRPr="00071755" w:rsidRDefault="00071755">
      <w:pPr>
        <w:pStyle w:val="FootnoteText"/>
      </w:pPr>
      <w:r>
        <w:rPr>
          <w:rStyle w:val="FootnoteReference"/>
        </w:rPr>
        <w:footnoteRef/>
      </w:r>
      <w:r>
        <w:t xml:space="preserve"> The product of each set of Project Success probabilities is input into a Bernoulli distribution to produce a value of either 0 or 1. If a project receives a value of 0 in a given iteration, the load will not materialize (it will be 0 MW for each year in the forecast and not contribute to the total portfolio load).</w:t>
      </w:r>
    </w:p>
  </w:footnote>
  <w:footnote w:id="44">
    <w:p w14:paraId="28A32BB9" w14:textId="2DA4BA5E" w:rsidR="00E83E6E" w:rsidRDefault="00E83E6E">
      <w:pPr>
        <w:pStyle w:val="FootnoteText"/>
      </w:pPr>
      <w:r>
        <w:rPr>
          <w:rStyle w:val="FootnoteReference"/>
        </w:rPr>
        <w:footnoteRef/>
      </w:r>
      <w:r>
        <w:t xml:space="preserve"> Response to STF-DEA-5-3</w:t>
      </w:r>
    </w:p>
  </w:footnote>
  <w:footnote w:id="45">
    <w:p w14:paraId="34BD056A" w14:textId="72BA815A" w:rsidR="00374882" w:rsidRDefault="00374882">
      <w:pPr>
        <w:pStyle w:val="FootnoteText"/>
      </w:pPr>
      <w:r>
        <w:rPr>
          <w:rStyle w:val="FootnoteReference"/>
        </w:rPr>
        <w:footnoteRef/>
      </w:r>
      <w:r>
        <w:t xml:space="preserve"> Georgia Power Company, January 16 Hearing Transcript, p. 0153, lines 12-13.</w:t>
      </w:r>
    </w:p>
  </w:footnote>
  <w:footnote w:id="46">
    <w:p w14:paraId="53E2E62A" w14:textId="6609F6A0" w:rsidR="00C66D34" w:rsidRDefault="00C66D34">
      <w:pPr>
        <w:pStyle w:val="FootnoteText"/>
      </w:pPr>
      <w:r>
        <w:rPr>
          <w:rStyle w:val="FootnoteReference"/>
        </w:rPr>
        <w:footnoteRef/>
      </w:r>
      <w:r>
        <w:t xml:space="preserve"> IRP Models &amp; Workpapers, TS Technical Appendix 7 – Load &amp; Energy Forecast, “TS 2023.10.11 Load Realization Model.”</w:t>
      </w:r>
      <w:r w:rsidR="000F57C3">
        <w:t xml:space="preserve"> </w:t>
      </w:r>
    </w:p>
  </w:footnote>
  <w:footnote w:id="47">
    <w:p w14:paraId="00ECD07C" w14:textId="658D9F9B" w:rsidR="00C66D34" w:rsidRDefault="00C66D34" w:rsidP="00C66D34">
      <w:pPr>
        <w:pStyle w:val="FootnoteText"/>
      </w:pPr>
      <w:r>
        <w:rPr>
          <w:rStyle w:val="FootnoteReference"/>
        </w:rPr>
        <w:footnoteRef/>
      </w:r>
      <w:r>
        <w:t xml:space="preserve">   Sebastian Obando (2022), Supply chain issues threaten data center construction boom. Supply Chain Dive - </w:t>
      </w:r>
      <w:proofErr w:type="gramStart"/>
      <w:r w:rsidRPr="00C66D34">
        <w:t>https://www.supplychaindive.com/news/supply-chain-issues-threaten-data-center-construction-boom/625116/</w:t>
      </w:r>
      <w:proofErr w:type="gramEnd"/>
    </w:p>
  </w:footnote>
  <w:footnote w:id="48">
    <w:p w14:paraId="1806E8A3" w14:textId="0F8A0684" w:rsidR="00C66D34" w:rsidRDefault="00C66D34" w:rsidP="00C66D34">
      <w:pPr>
        <w:pStyle w:val="FootnoteText"/>
      </w:pPr>
      <w:r>
        <w:rPr>
          <w:rStyle w:val="FootnoteReference"/>
        </w:rPr>
        <w:footnoteRef/>
      </w:r>
      <w:r>
        <w:t xml:space="preserve"> Blair Felter (2023), Navigating Data Center Market Challenges: A Business Guide. EVOQUE - </w:t>
      </w:r>
      <w:r w:rsidRPr="00C66D34">
        <w:t>https://www.evoquedcs.com/blog/navigating-data-center-challenges</w:t>
      </w:r>
      <w:r>
        <w:t>.</w:t>
      </w:r>
    </w:p>
  </w:footnote>
  <w:footnote w:id="49">
    <w:p w14:paraId="4E74D674" w14:textId="1DFDB5F7" w:rsidR="00C66D34" w:rsidRDefault="00C66D34">
      <w:pPr>
        <w:pStyle w:val="FootnoteText"/>
      </w:pPr>
      <w:r>
        <w:rPr>
          <w:rStyle w:val="FootnoteReference"/>
        </w:rPr>
        <w:footnoteRef/>
      </w:r>
      <w:r>
        <w:t xml:space="preserve"> Sebastian Obando (20230), Data center building boom shows cracks. Construction Dive - </w:t>
      </w:r>
      <w:r w:rsidRPr="00C66D34">
        <w:t>https://www.constructiondive.com/news/psmj-survey-data-center-construction/699469/</w:t>
      </w:r>
      <w:r>
        <w:t>.</w:t>
      </w:r>
    </w:p>
  </w:footnote>
  <w:footnote w:id="50">
    <w:p w14:paraId="1A65240A" w14:textId="65E21528" w:rsidR="00C66D34" w:rsidRDefault="00C66D34">
      <w:pPr>
        <w:pStyle w:val="FootnoteText"/>
      </w:pPr>
      <w:r>
        <w:rPr>
          <w:rStyle w:val="FootnoteReference"/>
        </w:rPr>
        <w:footnoteRef/>
      </w:r>
      <w:r>
        <w:t xml:space="preserve"> Sebastian Obando (20230), Data center building boom shows cracks. Construction Dive - </w:t>
      </w:r>
      <w:r w:rsidRPr="00C66D34">
        <w:t>https://www.constructiondive.com/news/psmj-survey-data-center-construction/699469/</w:t>
      </w:r>
      <w:r>
        <w:t>.</w:t>
      </w:r>
    </w:p>
  </w:footnote>
  <w:footnote w:id="51">
    <w:p w14:paraId="04CAE871" w14:textId="77777777" w:rsidR="00D42C01" w:rsidRDefault="00D42C01" w:rsidP="00D42C01">
      <w:pPr>
        <w:pStyle w:val="FootnoteText"/>
      </w:pPr>
      <w:r>
        <w:rPr>
          <w:rStyle w:val="FootnoteReference"/>
        </w:rPr>
        <w:footnoteRef/>
      </w:r>
      <w:r>
        <w:t xml:space="preserve"> Rob DiRienzo (2024), $10M tax break for X data center in Fulton Country face backlash. Fox5 Atlanta - </w:t>
      </w:r>
      <w:r w:rsidRPr="00D42C01">
        <w:t>https://www.fox5atlanta.com/news/tax-break-x-twitter-data-center-fulton-county-backlash-elon-musk</w:t>
      </w:r>
      <w:r>
        <w:t>.</w:t>
      </w:r>
    </w:p>
  </w:footnote>
  <w:footnote w:id="52">
    <w:p w14:paraId="40E9544F" w14:textId="09CD8A20" w:rsidR="00C66D34" w:rsidRDefault="00C66D34">
      <w:pPr>
        <w:pStyle w:val="FootnoteText"/>
      </w:pPr>
      <w:r>
        <w:rPr>
          <w:rStyle w:val="FootnoteReference"/>
        </w:rPr>
        <w:footnoteRef/>
      </w:r>
      <w:r>
        <w:t xml:space="preserve"> Response to DEA-1-4, Attachments A through D.</w:t>
      </w:r>
    </w:p>
  </w:footnote>
  <w:footnote w:id="53">
    <w:p w14:paraId="330D1507" w14:textId="6F5E0EE5" w:rsidR="00C66D34" w:rsidRDefault="00C66D34">
      <w:pPr>
        <w:pStyle w:val="FootnoteText"/>
      </w:pPr>
      <w:r>
        <w:rPr>
          <w:rStyle w:val="FootnoteReference"/>
        </w:rPr>
        <w:footnoteRef/>
      </w:r>
      <w:r>
        <w:t xml:space="preserve"> Response to PD STF-DEA-2-1.</w:t>
      </w:r>
    </w:p>
  </w:footnote>
  <w:footnote w:id="54">
    <w:p w14:paraId="6F45EC09" w14:textId="2B969106" w:rsidR="00C66D34" w:rsidRDefault="00C66D34">
      <w:pPr>
        <w:pStyle w:val="FootnoteText"/>
      </w:pPr>
      <w:r>
        <w:rPr>
          <w:rStyle w:val="FootnoteReference"/>
        </w:rPr>
        <w:footnoteRef/>
      </w:r>
      <w:r>
        <w:t xml:space="preserve"> Response to PD STF-PIA-6-12.</w:t>
      </w:r>
    </w:p>
  </w:footnote>
  <w:footnote w:id="55">
    <w:p w14:paraId="63DEF88E" w14:textId="641894E5" w:rsidR="00C66D34" w:rsidRDefault="00C66D34">
      <w:pPr>
        <w:pStyle w:val="FootnoteText"/>
      </w:pPr>
      <w:r>
        <w:rPr>
          <w:rStyle w:val="FootnoteReference"/>
        </w:rPr>
        <w:footnoteRef/>
      </w:r>
      <w:r>
        <w:t xml:space="preserve"> Response to STF-DEA-1-8.</w:t>
      </w:r>
    </w:p>
  </w:footnote>
  <w:footnote w:id="56">
    <w:p w14:paraId="2A484369" w14:textId="2CF07CBC" w:rsidR="00C66D34" w:rsidRDefault="00C66D34">
      <w:pPr>
        <w:pStyle w:val="FootnoteText"/>
      </w:pPr>
      <w:r>
        <w:rPr>
          <w:rStyle w:val="FootnoteReference"/>
        </w:rPr>
        <w:footnoteRef/>
      </w:r>
      <w:r>
        <w:t xml:space="preserve"> Response to STF-DEA-1-9.</w:t>
      </w:r>
    </w:p>
  </w:footnote>
  <w:footnote w:id="57">
    <w:p w14:paraId="651FA267" w14:textId="35C7D609" w:rsidR="00C66D34" w:rsidRDefault="00C66D34">
      <w:pPr>
        <w:pStyle w:val="FootnoteText"/>
      </w:pPr>
      <w:r>
        <w:rPr>
          <w:rStyle w:val="FootnoteReference"/>
        </w:rPr>
        <w:footnoteRef/>
      </w:r>
      <w:r>
        <w:t xml:space="preserve"> Response to STF -DEA-1-7.</w:t>
      </w:r>
    </w:p>
  </w:footnote>
  <w:footnote w:id="58">
    <w:p w14:paraId="2665F701" w14:textId="0C1AAB82" w:rsidR="000208AA" w:rsidRDefault="000208AA">
      <w:pPr>
        <w:pStyle w:val="FootnoteText"/>
      </w:pPr>
      <w:r>
        <w:rPr>
          <w:rStyle w:val="FootnoteReference"/>
        </w:rPr>
        <w:footnoteRef/>
      </w:r>
      <w:r>
        <w:t xml:space="preserve"> Response to STF-DEA-1-5.</w:t>
      </w:r>
    </w:p>
  </w:footnote>
  <w:footnote w:id="59">
    <w:p w14:paraId="5FB22644" w14:textId="5D340D0F" w:rsidR="000208AA" w:rsidRDefault="000208AA">
      <w:pPr>
        <w:pStyle w:val="FootnoteText"/>
      </w:pPr>
      <w:r>
        <w:rPr>
          <w:rStyle w:val="FootnoteReference"/>
        </w:rPr>
        <w:footnoteRef/>
      </w:r>
      <w:r>
        <w:t xml:space="preserve"> Response to STF-DEA-1-5.</w:t>
      </w:r>
    </w:p>
  </w:footnote>
  <w:footnote w:id="60">
    <w:p w14:paraId="002EB883" w14:textId="40BA0EFD" w:rsidR="00C66D34" w:rsidRDefault="00C66D34">
      <w:pPr>
        <w:pStyle w:val="FootnoteText"/>
      </w:pPr>
      <w:r>
        <w:rPr>
          <w:rStyle w:val="FootnoteReference"/>
        </w:rPr>
        <w:footnoteRef/>
      </w:r>
      <w:r>
        <w:t xml:space="preserve"> </w:t>
      </w:r>
      <w:r w:rsidR="003443C9">
        <w:t xml:space="preserve">Based on values in </w:t>
      </w:r>
      <w:r w:rsidR="000208AA">
        <w:t xml:space="preserve">Dir. Ex. </w:t>
      </w:r>
      <w:r w:rsidR="00FF121B">
        <w:t>TKP-1</w:t>
      </w:r>
    </w:p>
  </w:footnote>
  <w:footnote w:id="61">
    <w:p w14:paraId="28EB987B" w14:textId="332D247A" w:rsidR="00C66D34" w:rsidRDefault="00C66D34">
      <w:pPr>
        <w:pStyle w:val="FootnoteText"/>
      </w:pPr>
      <w:r>
        <w:rPr>
          <w:rStyle w:val="FootnoteReference"/>
        </w:rPr>
        <w:footnoteRef/>
      </w:r>
      <w:r>
        <w:t xml:space="preserve"> </w:t>
      </w:r>
      <w:r w:rsidR="003443C9">
        <w:t xml:space="preserve">Based on values in </w:t>
      </w:r>
      <w:r w:rsidR="000208AA">
        <w:t xml:space="preserve">Dir. Ex. </w:t>
      </w:r>
      <w:r w:rsidR="00FF121B">
        <w:t>TKP-1</w:t>
      </w:r>
    </w:p>
  </w:footnote>
  <w:footnote w:id="62">
    <w:p w14:paraId="33ADE83B" w14:textId="02A4C9C4" w:rsidR="000208AA" w:rsidRDefault="000208AA">
      <w:pPr>
        <w:pStyle w:val="FootnoteText"/>
      </w:pPr>
      <w:r>
        <w:rPr>
          <w:rStyle w:val="FootnoteReference"/>
        </w:rPr>
        <w:footnoteRef/>
      </w:r>
      <w:r>
        <w:t xml:space="preserve"> </w:t>
      </w:r>
      <w:r w:rsidR="003443C9">
        <w:t xml:space="preserve">Based on values in </w:t>
      </w:r>
      <w:r>
        <w:t xml:space="preserve">Dir. Ex. </w:t>
      </w:r>
      <w:r w:rsidR="00FF121B">
        <w:t>TKP-1</w:t>
      </w:r>
    </w:p>
  </w:footnote>
  <w:footnote w:id="63">
    <w:p w14:paraId="2D3D1868" w14:textId="2018EEB9" w:rsidR="0021465F" w:rsidRDefault="0021465F">
      <w:pPr>
        <w:pStyle w:val="FootnoteText"/>
      </w:pPr>
      <w:r>
        <w:rPr>
          <w:rStyle w:val="FootnoteReference"/>
        </w:rPr>
        <w:footnoteRef/>
      </w:r>
      <w:r>
        <w:t xml:space="preserve"> The inaccuracy of these Ramp-Up Delay assumptions is based on public research provided on page 34 of 46.</w:t>
      </w:r>
    </w:p>
  </w:footnote>
  <w:footnote w:id="64">
    <w:p w14:paraId="287DD4CD" w14:textId="31D4B603" w:rsidR="0021465F" w:rsidRDefault="0021465F">
      <w:pPr>
        <w:pStyle w:val="FootnoteText"/>
      </w:pPr>
      <w:r>
        <w:rPr>
          <w:rStyle w:val="FootnoteReference"/>
        </w:rPr>
        <w:footnoteRef/>
      </w:r>
      <w:r>
        <w:t xml:space="preserve"> This is demonstrated in </w:t>
      </w:r>
      <w:r>
        <w:fldChar w:fldCharType="begin"/>
      </w:r>
      <w:r>
        <w:instrText xml:space="preserve"> REF _Ref157789629 \h </w:instrText>
      </w:r>
      <w:r>
        <w:fldChar w:fldCharType="separate"/>
      </w:r>
      <w:r w:rsidR="00D01697">
        <w:t xml:space="preserve">Table </w:t>
      </w:r>
      <w:r w:rsidR="00D01697">
        <w:rPr>
          <w:noProof/>
        </w:rPr>
        <w:t>6</w:t>
      </w:r>
      <w:r>
        <w:fldChar w:fldCharType="end"/>
      </w:r>
      <w:r>
        <w:t>.</w:t>
      </w:r>
    </w:p>
  </w:footnote>
  <w:footnote w:id="65">
    <w:p w14:paraId="254B422E" w14:textId="47A1A8D0" w:rsidR="00C66D34" w:rsidRDefault="00C66D34">
      <w:pPr>
        <w:pStyle w:val="FootnoteText"/>
      </w:pPr>
      <w:r>
        <w:rPr>
          <w:rStyle w:val="FootnoteReference"/>
        </w:rPr>
        <w:footnoteRef/>
      </w:r>
      <w:r>
        <w:t xml:space="preserve"> Response to STF-DEA-1-5.</w:t>
      </w:r>
    </w:p>
  </w:footnote>
  <w:footnote w:id="66">
    <w:p w14:paraId="06B6AB94" w14:textId="3A91C65A" w:rsidR="00C4385C" w:rsidRDefault="00C4385C">
      <w:pPr>
        <w:pStyle w:val="FootnoteText"/>
      </w:pPr>
      <w:r>
        <w:rPr>
          <w:rStyle w:val="FootnoteReference"/>
        </w:rPr>
        <w:footnoteRef/>
      </w:r>
      <w:r>
        <w:t xml:space="preserve"> Georgia Power Company, January 16</w:t>
      </w:r>
      <w:r w:rsidRPr="005A1275">
        <w:rPr>
          <w:vertAlign w:val="superscript"/>
        </w:rPr>
        <w:t>th</w:t>
      </w:r>
      <w:r>
        <w:t xml:space="preserve"> Hearing, p. 0157, lines 16-20</w:t>
      </w:r>
    </w:p>
  </w:footnote>
  <w:footnote w:id="67">
    <w:p w14:paraId="0408EAE5" w14:textId="4B8AC661" w:rsidR="00C4385C" w:rsidRDefault="00C4385C">
      <w:pPr>
        <w:pStyle w:val="FootnoteText"/>
      </w:pPr>
      <w:r>
        <w:rPr>
          <w:rStyle w:val="FootnoteReference"/>
        </w:rPr>
        <w:footnoteRef/>
      </w:r>
      <w:r>
        <w:t xml:space="preserve"> </w:t>
      </w:r>
      <w:r w:rsidR="00FF121B">
        <w:t>Dir. Ex. TKP-2</w:t>
      </w:r>
    </w:p>
  </w:footnote>
  <w:footnote w:id="68">
    <w:p w14:paraId="2F6AE166" w14:textId="5B4A01A6" w:rsidR="004C4391" w:rsidRDefault="004C4391">
      <w:pPr>
        <w:pStyle w:val="FootnoteText"/>
      </w:pPr>
      <w:r>
        <w:rPr>
          <w:rStyle w:val="FootnoteReference"/>
        </w:rPr>
        <w:footnoteRef/>
      </w:r>
      <w:r>
        <w:t xml:space="preserve"> Typically, regression software will produce summary tables to report these values to the user. This information should be readily available to the Company &amp; provided to the Commission Staff and any supporting Consultants.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30E754EA" w14:paraId="144A4A24" w14:textId="77777777" w:rsidTr="003F52A9">
      <w:trPr>
        <w:trHeight w:val="300"/>
      </w:trPr>
      <w:tc>
        <w:tcPr>
          <w:tcW w:w="3120" w:type="dxa"/>
        </w:tcPr>
        <w:p w14:paraId="7D4E68E9" w14:textId="164443FF" w:rsidR="30E754EA" w:rsidRDefault="30E754EA" w:rsidP="00E01138">
          <w:pPr>
            <w:pStyle w:val="Header"/>
            <w:ind w:left="-115"/>
            <w:jc w:val="left"/>
          </w:pPr>
        </w:p>
      </w:tc>
      <w:tc>
        <w:tcPr>
          <w:tcW w:w="3120" w:type="dxa"/>
        </w:tcPr>
        <w:p w14:paraId="4E235BFB" w14:textId="1987F8E6" w:rsidR="30E754EA" w:rsidRDefault="30E754EA" w:rsidP="00E01138">
          <w:pPr>
            <w:pStyle w:val="Header"/>
            <w:jc w:val="center"/>
          </w:pPr>
        </w:p>
      </w:tc>
      <w:tc>
        <w:tcPr>
          <w:tcW w:w="3120" w:type="dxa"/>
        </w:tcPr>
        <w:p w14:paraId="3AC787E5" w14:textId="560EC27B" w:rsidR="30E754EA" w:rsidRDefault="30E754EA" w:rsidP="00E01138">
          <w:pPr>
            <w:pStyle w:val="Header"/>
            <w:ind w:right="-115"/>
            <w:jc w:val="right"/>
          </w:pPr>
        </w:p>
      </w:tc>
    </w:tr>
  </w:tbl>
  <w:p w14:paraId="28DECE2B" w14:textId="57E6F629" w:rsidR="30E754EA" w:rsidRDefault="30E754EA" w:rsidP="00E011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30E754EA" w14:paraId="4B29812A" w14:textId="77777777" w:rsidTr="003F52A9">
      <w:trPr>
        <w:trHeight w:val="300"/>
      </w:trPr>
      <w:tc>
        <w:tcPr>
          <w:tcW w:w="3120" w:type="dxa"/>
        </w:tcPr>
        <w:p w14:paraId="59D2C935" w14:textId="78EF54D4" w:rsidR="30E754EA" w:rsidRDefault="30E754EA" w:rsidP="00E01138">
          <w:pPr>
            <w:pStyle w:val="Header"/>
            <w:ind w:left="-115"/>
            <w:jc w:val="left"/>
          </w:pPr>
        </w:p>
      </w:tc>
      <w:tc>
        <w:tcPr>
          <w:tcW w:w="3120" w:type="dxa"/>
        </w:tcPr>
        <w:p w14:paraId="2EC88D8B" w14:textId="5D7DBAC2" w:rsidR="30E754EA" w:rsidRDefault="30E754EA" w:rsidP="00E01138">
          <w:pPr>
            <w:pStyle w:val="Header"/>
            <w:jc w:val="center"/>
          </w:pPr>
        </w:p>
      </w:tc>
      <w:tc>
        <w:tcPr>
          <w:tcW w:w="3120" w:type="dxa"/>
        </w:tcPr>
        <w:p w14:paraId="485952A6" w14:textId="3CD74E67" w:rsidR="30E754EA" w:rsidRDefault="30E754EA" w:rsidP="00E01138">
          <w:pPr>
            <w:pStyle w:val="Header"/>
            <w:ind w:right="-115"/>
            <w:jc w:val="right"/>
          </w:pPr>
        </w:p>
      </w:tc>
    </w:tr>
  </w:tbl>
  <w:p w14:paraId="26FD7071" w14:textId="097F3B1C" w:rsidR="30E754EA" w:rsidRDefault="30E754EA" w:rsidP="00E0113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30E754EA" w14:paraId="4C65717F" w14:textId="77777777" w:rsidTr="00E01138">
      <w:trPr>
        <w:trHeight w:val="300"/>
      </w:trPr>
      <w:tc>
        <w:tcPr>
          <w:tcW w:w="3120" w:type="dxa"/>
        </w:tcPr>
        <w:p w14:paraId="2E95AF31" w14:textId="5AF1A370" w:rsidR="30E754EA" w:rsidRDefault="30E754EA" w:rsidP="00E01138">
          <w:pPr>
            <w:pStyle w:val="Header"/>
            <w:ind w:left="-115"/>
            <w:jc w:val="left"/>
          </w:pPr>
        </w:p>
      </w:tc>
      <w:tc>
        <w:tcPr>
          <w:tcW w:w="3120" w:type="dxa"/>
        </w:tcPr>
        <w:p w14:paraId="30BDBCF0" w14:textId="745D69B2" w:rsidR="30E754EA" w:rsidRDefault="30E754EA" w:rsidP="00E01138">
          <w:pPr>
            <w:pStyle w:val="Header"/>
            <w:jc w:val="center"/>
          </w:pPr>
        </w:p>
      </w:tc>
      <w:tc>
        <w:tcPr>
          <w:tcW w:w="3120" w:type="dxa"/>
        </w:tcPr>
        <w:p w14:paraId="627FA642" w14:textId="3889D1D8" w:rsidR="30E754EA" w:rsidRDefault="30E754EA" w:rsidP="00E01138">
          <w:pPr>
            <w:pStyle w:val="Header"/>
            <w:ind w:right="-115"/>
            <w:jc w:val="right"/>
          </w:pPr>
        </w:p>
      </w:tc>
    </w:tr>
  </w:tbl>
  <w:p w14:paraId="1DAED170" w14:textId="5526DCB5" w:rsidR="30E754EA" w:rsidRDefault="30E754EA" w:rsidP="00E011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503F09"/>
    <w:multiLevelType w:val="hybridMultilevel"/>
    <w:tmpl w:val="12464468"/>
    <w:lvl w:ilvl="0" w:tplc="04090011">
      <w:start w:val="1"/>
      <w:numFmt w:val="decimal"/>
      <w:lvlText w:val="%1)"/>
      <w:lvlJc w:val="left"/>
      <w:pPr>
        <w:ind w:left="1377" w:hanging="360"/>
      </w:pPr>
    </w:lvl>
    <w:lvl w:ilvl="1" w:tplc="04090019" w:tentative="1">
      <w:start w:val="1"/>
      <w:numFmt w:val="lowerLetter"/>
      <w:lvlText w:val="%2."/>
      <w:lvlJc w:val="left"/>
      <w:pPr>
        <w:ind w:left="2097" w:hanging="360"/>
      </w:pPr>
    </w:lvl>
    <w:lvl w:ilvl="2" w:tplc="0409001B" w:tentative="1">
      <w:start w:val="1"/>
      <w:numFmt w:val="lowerRoman"/>
      <w:lvlText w:val="%3."/>
      <w:lvlJc w:val="right"/>
      <w:pPr>
        <w:ind w:left="2817" w:hanging="180"/>
      </w:pPr>
    </w:lvl>
    <w:lvl w:ilvl="3" w:tplc="0409000F" w:tentative="1">
      <w:start w:val="1"/>
      <w:numFmt w:val="decimal"/>
      <w:lvlText w:val="%4."/>
      <w:lvlJc w:val="left"/>
      <w:pPr>
        <w:ind w:left="3537" w:hanging="360"/>
      </w:pPr>
    </w:lvl>
    <w:lvl w:ilvl="4" w:tplc="04090019" w:tentative="1">
      <w:start w:val="1"/>
      <w:numFmt w:val="lowerLetter"/>
      <w:lvlText w:val="%5."/>
      <w:lvlJc w:val="left"/>
      <w:pPr>
        <w:ind w:left="4257" w:hanging="360"/>
      </w:pPr>
    </w:lvl>
    <w:lvl w:ilvl="5" w:tplc="0409001B" w:tentative="1">
      <w:start w:val="1"/>
      <w:numFmt w:val="lowerRoman"/>
      <w:lvlText w:val="%6."/>
      <w:lvlJc w:val="right"/>
      <w:pPr>
        <w:ind w:left="4977" w:hanging="180"/>
      </w:pPr>
    </w:lvl>
    <w:lvl w:ilvl="6" w:tplc="0409000F" w:tentative="1">
      <w:start w:val="1"/>
      <w:numFmt w:val="decimal"/>
      <w:lvlText w:val="%7."/>
      <w:lvlJc w:val="left"/>
      <w:pPr>
        <w:ind w:left="5697" w:hanging="360"/>
      </w:pPr>
    </w:lvl>
    <w:lvl w:ilvl="7" w:tplc="04090019" w:tentative="1">
      <w:start w:val="1"/>
      <w:numFmt w:val="lowerLetter"/>
      <w:lvlText w:val="%8."/>
      <w:lvlJc w:val="left"/>
      <w:pPr>
        <w:ind w:left="6417" w:hanging="360"/>
      </w:pPr>
    </w:lvl>
    <w:lvl w:ilvl="8" w:tplc="0409001B" w:tentative="1">
      <w:start w:val="1"/>
      <w:numFmt w:val="lowerRoman"/>
      <w:lvlText w:val="%9."/>
      <w:lvlJc w:val="right"/>
      <w:pPr>
        <w:ind w:left="7137" w:hanging="180"/>
      </w:pPr>
    </w:lvl>
  </w:abstractNum>
  <w:abstractNum w:abstractNumId="1" w15:restartNumberingAfterBreak="0">
    <w:nsid w:val="03631668"/>
    <w:multiLevelType w:val="hybridMultilevel"/>
    <w:tmpl w:val="3F0E833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10D655F"/>
    <w:multiLevelType w:val="hybridMultilevel"/>
    <w:tmpl w:val="6B423AC4"/>
    <w:lvl w:ilvl="0" w:tplc="0388CADA">
      <w:start w:val="1"/>
      <w:numFmt w:val="upperLetter"/>
      <w:lvlText w:val="%1."/>
      <w:lvlJc w:val="left"/>
      <w:pPr>
        <w:ind w:left="1020" w:hanging="360"/>
      </w:pPr>
    </w:lvl>
    <w:lvl w:ilvl="1" w:tplc="A14ECA02">
      <w:start w:val="1"/>
      <w:numFmt w:val="upperLetter"/>
      <w:lvlText w:val="%2."/>
      <w:lvlJc w:val="left"/>
      <w:pPr>
        <w:ind w:left="1020" w:hanging="360"/>
      </w:pPr>
    </w:lvl>
    <w:lvl w:ilvl="2" w:tplc="27788E44">
      <w:start w:val="1"/>
      <w:numFmt w:val="upperLetter"/>
      <w:lvlText w:val="%3."/>
      <w:lvlJc w:val="left"/>
      <w:pPr>
        <w:ind w:left="1020" w:hanging="360"/>
      </w:pPr>
    </w:lvl>
    <w:lvl w:ilvl="3" w:tplc="4A1C61F0">
      <w:start w:val="1"/>
      <w:numFmt w:val="upperLetter"/>
      <w:lvlText w:val="%4."/>
      <w:lvlJc w:val="left"/>
      <w:pPr>
        <w:ind w:left="1020" w:hanging="360"/>
      </w:pPr>
    </w:lvl>
    <w:lvl w:ilvl="4" w:tplc="D26024B0">
      <w:start w:val="1"/>
      <w:numFmt w:val="upperLetter"/>
      <w:lvlText w:val="%5."/>
      <w:lvlJc w:val="left"/>
      <w:pPr>
        <w:ind w:left="1020" w:hanging="360"/>
      </w:pPr>
    </w:lvl>
    <w:lvl w:ilvl="5" w:tplc="CC7C299C">
      <w:start w:val="1"/>
      <w:numFmt w:val="upperLetter"/>
      <w:lvlText w:val="%6."/>
      <w:lvlJc w:val="left"/>
      <w:pPr>
        <w:ind w:left="1020" w:hanging="360"/>
      </w:pPr>
    </w:lvl>
    <w:lvl w:ilvl="6" w:tplc="B1CED37C">
      <w:start w:val="1"/>
      <w:numFmt w:val="upperLetter"/>
      <w:lvlText w:val="%7."/>
      <w:lvlJc w:val="left"/>
      <w:pPr>
        <w:ind w:left="1020" w:hanging="360"/>
      </w:pPr>
    </w:lvl>
    <w:lvl w:ilvl="7" w:tplc="D7C8C364">
      <w:start w:val="1"/>
      <w:numFmt w:val="upperLetter"/>
      <w:lvlText w:val="%8."/>
      <w:lvlJc w:val="left"/>
      <w:pPr>
        <w:ind w:left="1020" w:hanging="360"/>
      </w:pPr>
    </w:lvl>
    <w:lvl w:ilvl="8" w:tplc="751AD98C">
      <w:start w:val="1"/>
      <w:numFmt w:val="upperLetter"/>
      <w:lvlText w:val="%9."/>
      <w:lvlJc w:val="left"/>
      <w:pPr>
        <w:ind w:left="1020" w:hanging="360"/>
      </w:pPr>
    </w:lvl>
  </w:abstractNum>
  <w:abstractNum w:abstractNumId="3" w15:restartNumberingAfterBreak="0">
    <w:nsid w:val="13AA18AC"/>
    <w:multiLevelType w:val="hybridMultilevel"/>
    <w:tmpl w:val="6A1EA01A"/>
    <w:lvl w:ilvl="0" w:tplc="04090011">
      <w:start w:val="1"/>
      <w:numFmt w:val="decimal"/>
      <w:lvlText w:val="%1)"/>
      <w:lvlJc w:val="left"/>
      <w:pPr>
        <w:ind w:left="1377" w:hanging="360"/>
      </w:pPr>
    </w:lvl>
    <w:lvl w:ilvl="1" w:tplc="04090019">
      <w:start w:val="1"/>
      <w:numFmt w:val="lowerLetter"/>
      <w:lvlText w:val="%2."/>
      <w:lvlJc w:val="left"/>
      <w:pPr>
        <w:ind w:left="2097" w:hanging="360"/>
      </w:pPr>
    </w:lvl>
    <w:lvl w:ilvl="2" w:tplc="0409001B" w:tentative="1">
      <w:start w:val="1"/>
      <w:numFmt w:val="lowerRoman"/>
      <w:lvlText w:val="%3."/>
      <w:lvlJc w:val="right"/>
      <w:pPr>
        <w:ind w:left="2817" w:hanging="180"/>
      </w:pPr>
    </w:lvl>
    <w:lvl w:ilvl="3" w:tplc="0409000F" w:tentative="1">
      <w:start w:val="1"/>
      <w:numFmt w:val="decimal"/>
      <w:lvlText w:val="%4."/>
      <w:lvlJc w:val="left"/>
      <w:pPr>
        <w:ind w:left="3537" w:hanging="360"/>
      </w:pPr>
    </w:lvl>
    <w:lvl w:ilvl="4" w:tplc="04090019" w:tentative="1">
      <w:start w:val="1"/>
      <w:numFmt w:val="lowerLetter"/>
      <w:lvlText w:val="%5."/>
      <w:lvlJc w:val="left"/>
      <w:pPr>
        <w:ind w:left="4257" w:hanging="360"/>
      </w:pPr>
    </w:lvl>
    <w:lvl w:ilvl="5" w:tplc="0409001B" w:tentative="1">
      <w:start w:val="1"/>
      <w:numFmt w:val="lowerRoman"/>
      <w:lvlText w:val="%6."/>
      <w:lvlJc w:val="right"/>
      <w:pPr>
        <w:ind w:left="4977" w:hanging="180"/>
      </w:pPr>
    </w:lvl>
    <w:lvl w:ilvl="6" w:tplc="0409000F" w:tentative="1">
      <w:start w:val="1"/>
      <w:numFmt w:val="decimal"/>
      <w:lvlText w:val="%7."/>
      <w:lvlJc w:val="left"/>
      <w:pPr>
        <w:ind w:left="5697" w:hanging="360"/>
      </w:pPr>
    </w:lvl>
    <w:lvl w:ilvl="7" w:tplc="04090019" w:tentative="1">
      <w:start w:val="1"/>
      <w:numFmt w:val="lowerLetter"/>
      <w:lvlText w:val="%8."/>
      <w:lvlJc w:val="left"/>
      <w:pPr>
        <w:ind w:left="6417" w:hanging="360"/>
      </w:pPr>
    </w:lvl>
    <w:lvl w:ilvl="8" w:tplc="0409001B" w:tentative="1">
      <w:start w:val="1"/>
      <w:numFmt w:val="lowerRoman"/>
      <w:lvlText w:val="%9."/>
      <w:lvlJc w:val="right"/>
      <w:pPr>
        <w:ind w:left="7137" w:hanging="180"/>
      </w:pPr>
    </w:lvl>
  </w:abstractNum>
  <w:abstractNum w:abstractNumId="4" w15:restartNumberingAfterBreak="0">
    <w:nsid w:val="1CB20F96"/>
    <w:multiLevelType w:val="hybridMultilevel"/>
    <w:tmpl w:val="419E971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304F7738"/>
    <w:multiLevelType w:val="hybridMultilevel"/>
    <w:tmpl w:val="D21861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87A4CF1"/>
    <w:multiLevelType w:val="hybridMultilevel"/>
    <w:tmpl w:val="09185B12"/>
    <w:lvl w:ilvl="0" w:tplc="329870EA">
      <w:start w:val="1"/>
      <w:numFmt w:val="upperLetter"/>
      <w:lvlText w:val="%1)"/>
      <w:lvlJc w:val="left"/>
      <w:pPr>
        <w:ind w:left="1020" w:hanging="360"/>
      </w:pPr>
    </w:lvl>
    <w:lvl w:ilvl="1" w:tplc="41A6DE60">
      <w:start w:val="1"/>
      <w:numFmt w:val="upperLetter"/>
      <w:lvlText w:val="%2)"/>
      <w:lvlJc w:val="left"/>
      <w:pPr>
        <w:ind w:left="1020" w:hanging="360"/>
      </w:pPr>
    </w:lvl>
    <w:lvl w:ilvl="2" w:tplc="8F8443AA">
      <w:start w:val="1"/>
      <w:numFmt w:val="upperLetter"/>
      <w:lvlText w:val="%3)"/>
      <w:lvlJc w:val="left"/>
      <w:pPr>
        <w:ind w:left="1020" w:hanging="360"/>
      </w:pPr>
    </w:lvl>
    <w:lvl w:ilvl="3" w:tplc="213C4B5E">
      <w:start w:val="1"/>
      <w:numFmt w:val="upperLetter"/>
      <w:lvlText w:val="%4)"/>
      <w:lvlJc w:val="left"/>
      <w:pPr>
        <w:ind w:left="1020" w:hanging="360"/>
      </w:pPr>
    </w:lvl>
    <w:lvl w:ilvl="4" w:tplc="BF943AFA">
      <w:start w:val="1"/>
      <w:numFmt w:val="upperLetter"/>
      <w:lvlText w:val="%5)"/>
      <w:lvlJc w:val="left"/>
      <w:pPr>
        <w:ind w:left="1020" w:hanging="360"/>
      </w:pPr>
    </w:lvl>
    <w:lvl w:ilvl="5" w:tplc="F17E0374">
      <w:start w:val="1"/>
      <w:numFmt w:val="upperLetter"/>
      <w:lvlText w:val="%6)"/>
      <w:lvlJc w:val="left"/>
      <w:pPr>
        <w:ind w:left="1020" w:hanging="360"/>
      </w:pPr>
    </w:lvl>
    <w:lvl w:ilvl="6" w:tplc="C1D8281E">
      <w:start w:val="1"/>
      <w:numFmt w:val="upperLetter"/>
      <w:lvlText w:val="%7)"/>
      <w:lvlJc w:val="left"/>
      <w:pPr>
        <w:ind w:left="1020" w:hanging="360"/>
      </w:pPr>
    </w:lvl>
    <w:lvl w:ilvl="7" w:tplc="917A7256">
      <w:start w:val="1"/>
      <w:numFmt w:val="upperLetter"/>
      <w:lvlText w:val="%8)"/>
      <w:lvlJc w:val="left"/>
      <w:pPr>
        <w:ind w:left="1020" w:hanging="360"/>
      </w:pPr>
    </w:lvl>
    <w:lvl w:ilvl="8" w:tplc="CC9E6772">
      <w:start w:val="1"/>
      <w:numFmt w:val="upperLetter"/>
      <w:lvlText w:val="%9)"/>
      <w:lvlJc w:val="left"/>
      <w:pPr>
        <w:ind w:left="1020" w:hanging="360"/>
      </w:pPr>
    </w:lvl>
  </w:abstractNum>
  <w:abstractNum w:abstractNumId="7" w15:restartNumberingAfterBreak="0">
    <w:nsid w:val="3E09333C"/>
    <w:multiLevelType w:val="hybridMultilevel"/>
    <w:tmpl w:val="72E2B4A2"/>
    <w:lvl w:ilvl="0" w:tplc="04090011">
      <w:start w:val="1"/>
      <w:numFmt w:val="decimal"/>
      <w:lvlText w:val="%1)"/>
      <w:lvlJc w:val="left"/>
      <w:pPr>
        <w:ind w:left="1377" w:hanging="360"/>
      </w:pPr>
    </w:lvl>
    <w:lvl w:ilvl="1" w:tplc="04090019" w:tentative="1">
      <w:start w:val="1"/>
      <w:numFmt w:val="lowerLetter"/>
      <w:lvlText w:val="%2."/>
      <w:lvlJc w:val="left"/>
      <w:pPr>
        <w:ind w:left="2097" w:hanging="360"/>
      </w:pPr>
    </w:lvl>
    <w:lvl w:ilvl="2" w:tplc="0409001B" w:tentative="1">
      <w:start w:val="1"/>
      <w:numFmt w:val="lowerRoman"/>
      <w:lvlText w:val="%3."/>
      <w:lvlJc w:val="right"/>
      <w:pPr>
        <w:ind w:left="2817" w:hanging="180"/>
      </w:pPr>
    </w:lvl>
    <w:lvl w:ilvl="3" w:tplc="0409000F" w:tentative="1">
      <w:start w:val="1"/>
      <w:numFmt w:val="decimal"/>
      <w:lvlText w:val="%4."/>
      <w:lvlJc w:val="left"/>
      <w:pPr>
        <w:ind w:left="3537" w:hanging="360"/>
      </w:pPr>
    </w:lvl>
    <w:lvl w:ilvl="4" w:tplc="04090019" w:tentative="1">
      <w:start w:val="1"/>
      <w:numFmt w:val="lowerLetter"/>
      <w:lvlText w:val="%5."/>
      <w:lvlJc w:val="left"/>
      <w:pPr>
        <w:ind w:left="4257" w:hanging="360"/>
      </w:pPr>
    </w:lvl>
    <w:lvl w:ilvl="5" w:tplc="0409001B" w:tentative="1">
      <w:start w:val="1"/>
      <w:numFmt w:val="lowerRoman"/>
      <w:lvlText w:val="%6."/>
      <w:lvlJc w:val="right"/>
      <w:pPr>
        <w:ind w:left="4977" w:hanging="180"/>
      </w:pPr>
    </w:lvl>
    <w:lvl w:ilvl="6" w:tplc="0409000F" w:tentative="1">
      <w:start w:val="1"/>
      <w:numFmt w:val="decimal"/>
      <w:lvlText w:val="%7."/>
      <w:lvlJc w:val="left"/>
      <w:pPr>
        <w:ind w:left="5697" w:hanging="360"/>
      </w:pPr>
    </w:lvl>
    <w:lvl w:ilvl="7" w:tplc="04090019" w:tentative="1">
      <w:start w:val="1"/>
      <w:numFmt w:val="lowerLetter"/>
      <w:lvlText w:val="%8."/>
      <w:lvlJc w:val="left"/>
      <w:pPr>
        <w:ind w:left="6417" w:hanging="360"/>
      </w:pPr>
    </w:lvl>
    <w:lvl w:ilvl="8" w:tplc="0409001B" w:tentative="1">
      <w:start w:val="1"/>
      <w:numFmt w:val="lowerRoman"/>
      <w:lvlText w:val="%9."/>
      <w:lvlJc w:val="right"/>
      <w:pPr>
        <w:ind w:left="7137" w:hanging="180"/>
      </w:pPr>
    </w:lvl>
  </w:abstractNum>
  <w:abstractNum w:abstractNumId="8" w15:restartNumberingAfterBreak="0">
    <w:nsid w:val="419A0526"/>
    <w:multiLevelType w:val="hybridMultilevel"/>
    <w:tmpl w:val="84B6B7C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436F3830"/>
    <w:multiLevelType w:val="hybridMultilevel"/>
    <w:tmpl w:val="8ED89CF4"/>
    <w:lvl w:ilvl="0" w:tplc="04090011">
      <w:start w:val="1"/>
      <w:numFmt w:val="decimal"/>
      <w:lvlText w:val="%1)"/>
      <w:lvlJc w:val="left"/>
      <w:pPr>
        <w:ind w:left="1377" w:hanging="360"/>
      </w:pPr>
    </w:lvl>
    <w:lvl w:ilvl="1" w:tplc="04090019" w:tentative="1">
      <w:start w:val="1"/>
      <w:numFmt w:val="lowerLetter"/>
      <w:lvlText w:val="%2."/>
      <w:lvlJc w:val="left"/>
      <w:pPr>
        <w:ind w:left="2097" w:hanging="360"/>
      </w:pPr>
    </w:lvl>
    <w:lvl w:ilvl="2" w:tplc="0409001B" w:tentative="1">
      <w:start w:val="1"/>
      <w:numFmt w:val="lowerRoman"/>
      <w:lvlText w:val="%3."/>
      <w:lvlJc w:val="right"/>
      <w:pPr>
        <w:ind w:left="2817" w:hanging="180"/>
      </w:pPr>
    </w:lvl>
    <w:lvl w:ilvl="3" w:tplc="0409000F" w:tentative="1">
      <w:start w:val="1"/>
      <w:numFmt w:val="decimal"/>
      <w:lvlText w:val="%4."/>
      <w:lvlJc w:val="left"/>
      <w:pPr>
        <w:ind w:left="3537" w:hanging="360"/>
      </w:pPr>
    </w:lvl>
    <w:lvl w:ilvl="4" w:tplc="04090019" w:tentative="1">
      <w:start w:val="1"/>
      <w:numFmt w:val="lowerLetter"/>
      <w:lvlText w:val="%5."/>
      <w:lvlJc w:val="left"/>
      <w:pPr>
        <w:ind w:left="4257" w:hanging="360"/>
      </w:pPr>
    </w:lvl>
    <w:lvl w:ilvl="5" w:tplc="0409001B" w:tentative="1">
      <w:start w:val="1"/>
      <w:numFmt w:val="lowerRoman"/>
      <w:lvlText w:val="%6."/>
      <w:lvlJc w:val="right"/>
      <w:pPr>
        <w:ind w:left="4977" w:hanging="180"/>
      </w:pPr>
    </w:lvl>
    <w:lvl w:ilvl="6" w:tplc="0409000F" w:tentative="1">
      <w:start w:val="1"/>
      <w:numFmt w:val="decimal"/>
      <w:lvlText w:val="%7."/>
      <w:lvlJc w:val="left"/>
      <w:pPr>
        <w:ind w:left="5697" w:hanging="360"/>
      </w:pPr>
    </w:lvl>
    <w:lvl w:ilvl="7" w:tplc="04090019" w:tentative="1">
      <w:start w:val="1"/>
      <w:numFmt w:val="lowerLetter"/>
      <w:lvlText w:val="%8."/>
      <w:lvlJc w:val="left"/>
      <w:pPr>
        <w:ind w:left="6417" w:hanging="360"/>
      </w:pPr>
    </w:lvl>
    <w:lvl w:ilvl="8" w:tplc="0409001B" w:tentative="1">
      <w:start w:val="1"/>
      <w:numFmt w:val="lowerRoman"/>
      <w:lvlText w:val="%9."/>
      <w:lvlJc w:val="right"/>
      <w:pPr>
        <w:ind w:left="7137" w:hanging="180"/>
      </w:pPr>
    </w:lvl>
  </w:abstractNum>
  <w:abstractNum w:abstractNumId="10" w15:restartNumberingAfterBreak="0">
    <w:nsid w:val="48814CAA"/>
    <w:multiLevelType w:val="hybridMultilevel"/>
    <w:tmpl w:val="54C0D1A6"/>
    <w:lvl w:ilvl="0" w:tplc="3214A07C">
      <w:start w:val="1"/>
      <w:numFmt w:val="upperRoman"/>
      <w:pStyle w:val="TOCHeading"/>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D464D47"/>
    <w:multiLevelType w:val="hybridMultilevel"/>
    <w:tmpl w:val="BD7CB38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4FCB5EF5"/>
    <w:multiLevelType w:val="hybridMultilevel"/>
    <w:tmpl w:val="3612B8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5A0E20A9"/>
    <w:multiLevelType w:val="hybridMultilevel"/>
    <w:tmpl w:val="4D2630B8"/>
    <w:lvl w:ilvl="0" w:tplc="79B8E542">
      <w:start w:val="1"/>
      <w:numFmt w:val="decimal"/>
      <w:lvlText w:val="%1."/>
      <w:lvlJc w:val="left"/>
      <w:pPr>
        <w:ind w:left="1020" w:hanging="360"/>
      </w:pPr>
    </w:lvl>
    <w:lvl w:ilvl="1" w:tplc="D16CB2C8">
      <w:start w:val="1"/>
      <w:numFmt w:val="decimal"/>
      <w:lvlText w:val="%2."/>
      <w:lvlJc w:val="left"/>
      <w:pPr>
        <w:ind w:left="1020" w:hanging="360"/>
      </w:pPr>
    </w:lvl>
    <w:lvl w:ilvl="2" w:tplc="36F82ACA">
      <w:start w:val="1"/>
      <w:numFmt w:val="decimal"/>
      <w:lvlText w:val="%3."/>
      <w:lvlJc w:val="left"/>
      <w:pPr>
        <w:ind w:left="1020" w:hanging="360"/>
      </w:pPr>
    </w:lvl>
    <w:lvl w:ilvl="3" w:tplc="06EA86BA">
      <w:start w:val="1"/>
      <w:numFmt w:val="decimal"/>
      <w:lvlText w:val="%4."/>
      <w:lvlJc w:val="left"/>
      <w:pPr>
        <w:ind w:left="1020" w:hanging="360"/>
      </w:pPr>
    </w:lvl>
    <w:lvl w:ilvl="4" w:tplc="33CA4CFE">
      <w:start w:val="1"/>
      <w:numFmt w:val="decimal"/>
      <w:lvlText w:val="%5."/>
      <w:lvlJc w:val="left"/>
      <w:pPr>
        <w:ind w:left="1020" w:hanging="360"/>
      </w:pPr>
    </w:lvl>
    <w:lvl w:ilvl="5" w:tplc="1FFAFC2C">
      <w:start w:val="1"/>
      <w:numFmt w:val="decimal"/>
      <w:lvlText w:val="%6."/>
      <w:lvlJc w:val="left"/>
      <w:pPr>
        <w:ind w:left="1020" w:hanging="360"/>
      </w:pPr>
    </w:lvl>
    <w:lvl w:ilvl="6" w:tplc="B9244BFC">
      <w:start w:val="1"/>
      <w:numFmt w:val="decimal"/>
      <w:lvlText w:val="%7."/>
      <w:lvlJc w:val="left"/>
      <w:pPr>
        <w:ind w:left="1020" w:hanging="360"/>
      </w:pPr>
    </w:lvl>
    <w:lvl w:ilvl="7" w:tplc="7396E5FE">
      <w:start w:val="1"/>
      <w:numFmt w:val="decimal"/>
      <w:lvlText w:val="%8."/>
      <w:lvlJc w:val="left"/>
      <w:pPr>
        <w:ind w:left="1020" w:hanging="360"/>
      </w:pPr>
    </w:lvl>
    <w:lvl w:ilvl="8" w:tplc="04F8DEC2">
      <w:start w:val="1"/>
      <w:numFmt w:val="decimal"/>
      <w:lvlText w:val="%9."/>
      <w:lvlJc w:val="left"/>
      <w:pPr>
        <w:ind w:left="1020" w:hanging="360"/>
      </w:pPr>
    </w:lvl>
  </w:abstractNum>
  <w:abstractNum w:abstractNumId="14" w15:restartNumberingAfterBreak="0">
    <w:nsid w:val="69C444A0"/>
    <w:multiLevelType w:val="multilevel"/>
    <w:tmpl w:val="EC82C3A0"/>
    <w:lvl w:ilvl="0">
      <w:start w:val="1"/>
      <w:numFmt w:val="upperRoman"/>
      <w:lvlText w:val="%1."/>
      <w:lvlJc w:val="left"/>
      <w:pPr>
        <w:ind w:left="360" w:hanging="360"/>
      </w:pPr>
      <w:rPr>
        <w:rFonts w:cs="Times New Roman" w:hint="default"/>
      </w:rPr>
    </w:lvl>
    <w:lvl w:ilvl="1">
      <w:start w:val="1"/>
      <w:numFmt w:val="lowerLetter"/>
      <w:lvlText w:val="%2."/>
      <w:lvlJc w:val="left"/>
      <w:pPr>
        <w:ind w:left="720" w:hanging="72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b w:val="0"/>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num w:numId="1" w16cid:durableId="702175153">
    <w:abstractNumId w:val="14"/>
  </w:num>
  <w:num w:numId="2" w16cid:durableId="1192649239">
    <w:abstractNumId w:val="10"/>
  </w:num>
  <w:num w:numId="3" w16cid:durableId="380328827">
    <w:abstractNumId w:val="12"/>
  </w:num>
  <w:num w:numId="4" w16cid:durableId="1390885488">
    <w:abstractNumId w:val="4"/>
  </w:num>
  <w:num w:numId="5" w16cid:durableId="1501044702">
    <w:abstractNumId w:val="9"/>
  </w:num>
  <w:num w:numId="6" w16cid:durableId="1621257291">
    <w:abstractNumId w:val="7"/>
  </w:num>
  <w:num w:numId="7" w16cid:durableId="670835346">
    <w:abstractNumId w:val="0"/>
  </w:num>
  <w:num w:numId="8" w16cid:durableId="1765228291">
    <w:abstractNumId w:val="3"/>
  </w:num>
  <w:num w:numId="9" w16cid:durableId="1153058132">
    <w:abstractNumId w:val="1"/>
  </w:num>
  <w:num w:numId="10" w16cid:durableId="1701082687">
    <w:abstractNumId w:val="5"/>
  </w:num>
  <w:num w:numId="11" w16cid:durableId="1544713385">
    <w:abstractNumId w:val="8"/>
  </w:num>
  <w:num w:numId="12" w16cid:durableId="1133015646">
    <w:abstractNumId w:val="11"/>
  </w:num>
  <w:num w:numId="13" w16cid:durableId="1019284088">
    <w:abstractNumId w:val="13"/>
  </w:num>
  <w:num w:numId="14" w16cid:durableId="52507993">
    <w:abstractNumId w:val="6"/>
  </w:num>
  <w:num w:numId="15" w16cid:durableId="740568717">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trackedChange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TI2MjAxszA3NDKzMDZR0lEKTi0uzszPAykwrAUAL2FY0ywAAAA="/>
  </w:docVars>
  <w:rsids>
    <w:rsidRoot w:val="009E7506"/>
    <w:rsid w:val="00000966"/>
    <w:rsid w:val="00001DDF"/>
    <w:rsid w:val="000025DC"/>
    <w:rsid w:val="00002B69"/>
    <w:rsid w:val="00003B2B"/>
    <w:rsid w:val="00005472"/>
    <w:rsid w:val="00005BC8"/>
    <w:rsid w:val="00007821"/>
    <w:rsid w:val="00011928"/>
    <w:rsid w:val="0001221F"/>
    <w:rsid w:val="00013DDC"/>
    <w:rsid w:val="00014560"/>
    <w:rsid w:val="00016990"/>
    <w:rsid w:val="00016C1E"/>
    <w:rsid w:val="000208AA"/>
    <w:rsid w:val="00021192"/>
    <w:rsid w:val="00022C0B"/>
    <w:rsid w:val="00025A30"/>
    <w:rsid w:val="00025EC2"/>
    <w:rsid w:val="000275B3"/>
    <w:rsid w:val="00030864"/>
    <w:rsid w:val="000321E4"/>
    <w:rsid w:val="000337E3"/>
    <w:rsid w:val="000338D2"/>
    <w:rsid w:val="00034F07"/>
    <w:rsid w:val="0003592D"/>
    <w:rsid w:val="0003743F"/>
    <w:rsid w:val="0003790E"/>
    <w:rsid w:val="000410FE"/>
    <w:rsid w:val="000414CF"/>
    <w:rsid w:val="0004279B"/>
    <w:rsid w:val="00043834"/>
    <w:rsid w:val="00044B31"/>
    <w:rsid w:val="0004758C"/>
    <w:rsid w:val="000476F1"/>
    <w:rsid w:val="000501D4"/>
    <w:rsid w:val="000501D6"/>
    <w:rsid w:val="00050810"/>
    <w:rsid w:val="000539FB"/>
    <w:rsid w:val="000549B0"/>
    <w:rsid w:val="00056548"/>
    <w:rsid w:val="00057F9D"/>
    <w:rsid w:val="00063C06"/>
    <w:rsid w:val="00063F65"/>
    <w:rsid w:val="00064368"/>
    <w:rsid w:val="00064E5C"/>
    <w:rsid w:val="0006703F"/>
    <w:rsid w:val="000672E8"/>
    <w:rsid w:val="00067CBD"/>
    <w:rsid w:val="000709BD"/>
    <w:rsid w:val="00070BE9"/>
    <w:rsid w:val="00071755"/>
    <w:rsid w:val="00075C4B"/>
    <w:rsid w:val="000779A1"/>
    <w:rsid w:val="000801E1"/>
    <w:rsid w:val="000824FE"/>
    <w:rsid w:val="00083502"/>
    <w:rsid w:val="000848D3"/>
    <w:rsid w:val="000903E1"/>
    <w:rsid w:val="00091AB9"/>
    <w:rsid w:val="000925B3"/>
    <w:rsid w:val="00093609"/>
    <w:rsid w:val="00093DD6"/>
    <w:rsid w:val="00094688"/>
    <w:rsid w:val="00094B0B"/>
    <w:rsid w:val="00095457"/>
    <w:rsid w:val="000A26E4"/>
    <w:rsid w:val="000A28E9"/>
    <w:rsid w:val="000A2B48"/>
    <w:rsid w:val="000A4438"/>
    <w:rsid w:val="000A4F03"/>
    <w:rsid w:val="000A571D"/>
    <w:rsid w:val="000B1BF5"/>
    <w:rsid w:val="000B1DB1"/>
    <w:rsid w:val="000B2F70"/>
    <w:rsid w:val="000B3165"/>
    <w:rsid w:val="000B37A4"/>
    <w:rsid w:val="000B588D"/>
    <w:rsid w:val="000B59DF"/>
    <w:rsid w:val="000B5C47"/>
    <w:rsid w:val="000B71D3"/>
    <w:rsid w:val="000B763D"/>
    <w:rsid w:val="000C0DB1"/>
    <w:rsid w:val="000C194A"/>
    <w:rsid w:val="000C1A2B"/>
    <w:rsid w:val="000C2AB4"/>
    <w:rsid w:val="000C4121"/>
    <w:rsid w:val="000C61CC"/>
    <w:rsid w:val="000C704E"/>
    <w:rsid w:val="000C7276"/>
    <w:rsid w:val="000C7F8C"/>
    <w:rsid w:val="000D0826"/>
    <w:rsid w:val="000D26EA"/>
    <w:rsid w:val="000D3CEC"/>
    <w:rsid w:val="000D3E6C"/>
    <w:rsid w:val="000D53AA"/>
    <w:rsid w:val="000D6030"/>
    <w:rsid w:val="000E13A0"/>
    <w:rsid w:val="000E286F"/>
    <w:rsid w:val="000E2894"/>
    <w:rsid w:val="000E2D2B"/>
    <w:rsid w:val="000E3068"/>
    <w:rsid w:val="000E4E3A"/>
    <w:rsid w:val="000E4E48"/>
    <w:rsid w:val="000E50E2"/>
    <w:rsid w:val="000E579E"/>
    <w:rsid w:val="000E5FE6"/>
    <w:rsid w:val="000E6822"/>
    <w:rsid w:val="000E6A1A"/>
    <w:rsid w:val="000E78DC"/>
    <w:rsid w:val="000F0045"/>
    <w:rsid w:val="000F086F"/>
    <w:rsid w:val="000F25C4"/>
    <w:rsid w:val="000F2E52"/>
    <w:rsid w:val="000F3C5B"/>
    <w:rsid w:val="000F41C0"/>
    <w:rsid w:val="000F47F5"/>
    <w:rsid w:val="000F57C3"/>
    <w:rsid w:val="000F5AB9"/>
    <w:rsid w:val="000F70A0"/>
    <w:rsid w:val="000F7324"/>
    <w:rsid w:val="0010014A"/>
    <w:rsid w:val="00100D37"/>
    <w:rsid w:val="00103493"/>
    <w:rsid w:val="00103D70"/>
    <w:rsid w:val="001100BF"/>
    <w:rsid w:val="0011076A"/>
    <w:rsid w:val="00111119"/>
    <w:rsid w:val="00112984"/>
    <w:rsid w:val="00114F10"/>
    <w:rsid w:val="00116967"/>
    <w:rsid w:val="00116A3C"/>
    <w:rsid w:val="00120788"/>
    <w:rsid w:val="00120847"/>
    <w:rsid w:val="00122E60"/>
    <w:rsid w:val="00123893"/>
    <w:rsid w:val="00123A6A"/>
    <w:rsid w:val="0012400F"/>
    <w:rsid w:val="00124427"/>
    <w:rsid w:val="00124560"/>
    <w:rsid w:val="00124752"/>
    <w:rsid w:val="00125658"/>
    <w:rsid w:val="00126210"/>
    <w:rsid w:val="00126BD0"/>
    <w:rsid w:val="00126E01"/>
    <w:rsid w:val="001302E5"/>
    <w:rsid w:val="00131B1D"/>
    <w:rsid w:val="00132729"/>
    <w:rsid w:val="00132816"/>
    <w:rsid w:val="00134AF3"/>
    <w:rsid w:val="00136127"/>
    <w:rsid w:val="00136BD6"/>
    <w:rsid w:val="00140B47"/>
    <w:rsid w:val="001412C6"/>
    <w:rsid w:val="00142299"/>
    <w:rsid w:val="00142631"/>
    <w:rsid w:val="00142BFC"/>
    <w:rsid w:val="00142D6A"/>
    <w:rsid w:val="00143177"/>
    <w:rsid w:val="0014371C"/>
    <w:rsid w:val="00143FCE"/>
    <w:rsid w:val="0015084F"/>
    <w:rsid w:val="00152957"/>
    <w:rsid w:val="00154BAF"/>
    <w:rsid w:val="0015728F"/>
    <w:rsid w:val="00161E4B"/>
    <w:rsid w:val="00163B8B"/>
    <w:rsid w:val="00165470"/>
    <w:rsid w:val="0016550B"/>
    <w:rsid w:val="00170326"/>
    <w:rsid w:val="0017202B"/>
    <w:rsid w:val="00173BDB"/>
    <w:rsid w:val="0017534F"/>
    <w:rsid w:val="00175B64"/>
    <w:rsid w:val="0017681D"/>
    <w:rsid w:val="00176BF3"/>
    <w:rsid w:val="00182E98"/>
    <w:rsid w:val="00182FA2"/>
    <w:rsid w:val="0018418A"/>
    <w:rsid w:val="0018479C"/>
    <w:rsid w:val="001858C8"/>
    <w:rsid w:val="00191799"/>
    <w:rsid w:val="00192660"/>
    <w:rsid w:val="0019291D"/>
    <w:rsid w:val="001935DB"/>
    <w:rsid w:val="00193FEB"/>
    <w:rsid w:val="001940FE"/>
    <w:rsid w:val="00194E52"/>
    <w:rsid w:val="00195FB0"/>
    <w:rsid w:val="00196E3B"/>
    <w:rsid w:val="00197622"/>
    <w:rsid w:val="001A1C06"/>
    <w:rsid w:val="001A3D97"/>
    <w:rsid w:val="001A4E22"/>
    <w:rsid w:val="001A6C0F"/>
    <w:rsid w:val="001A6C52"/>
    <w:rsid w:val="001B1C52"/>
    <w:rsid w:val="001B2C44"/>
    <w:rsid w:val="001B352F"/>
    <w:rsid w:val="001B6B96"/>
    <w:rsid w:val="001C1100"/>
    <w:rsid w:val="001C1D57"/>
    <w:rsid w:val="001C2F00"/>
    <w:rsid w:val="001C332B"/>
    <w:rsid w:val="001C3428"/>
    <w:rsid w:val="001C39E2"/>
    <w:rsid w:val="001C418F"/>
    <w:rsid w:val="001C538D"/>
    <w:rsid w:val="001D170E"/>
    <w:rsid w:val="001D1D01"/>
    <w:rsid w:val="001D233A"/>
    <w:rsid w:val="001D4C43"/>
    <w:rsid w:val="001D4E98"/>
    <w:rsid w:val="001D56EC"/>
    <w:rsid w:val="001D5F7F"/>
    <w:rsid w:val="001E01EE"/>
    <w:rsid w:val="001E09FB"/>
    <w:rsid w:val="001E1C78"/>
    <w:rsid w:val="001E418E"/>
    <w:rsid w:val="001E4AD7"/>
    <w:rsid w:val="001E4B5D"/>
    <w:rsid w:val="001E566B"/>
    <w:rsid w:val="001E5F58"/>
    <w:rsid w:val="001E745F"/>
    <w:rsid w:val="001F15C2"/>
    <w:rsid w:val="001F2A5F"/>
    <w:rsid w:val="001F575F"/>
    <w:rsid w:val="00200B7C"/>
    <w:rsid w:val="00201CD6"/>
    <w:rsid w:val="00201EF2"/>
    <w:rsid w:val="00202973"/>
    <w:rsid w:val="00203A63"/>
    <w:rsid w:val="00203D02"/>
    <w:rsid w:val="00204FEF"/>
    <w:rsid w:val="00212DAB"/>
    <w:rsid w:val="00213195"/>
    <w:rsid w:val="0021465F"/>
    <w:rsid w:val="00214DB9"/>
    <w:rsid w:val="0021747B"/>
    <w:rsid w:val="00217D0A"/>
    <w:rsid w:val="002224F7"/>
    <w:rsid w:val="0022297B"/>
    <w:rsid w:val="00222E79"/>
    <w:rsid w:val="00222F1E"/>
    <w:rsid w:val="0022342A"/>
    <w:rsid w:val="00224406"/>
    <w:rsid w:val="00225A92"/>
    <w:rsid w:val="002273F7"/>
    <w:rsid w:val="00227627"/>
    <w:rsid w:val="0023096D"/>
    <w:rsid w:val="002310BE"/>
    <w:rsid w:val="002312AE"/>
    <w:rsid w:val="002312E9"/>
    <w:rsid w:val="002314CF"/>
    <w:rsid w:val="00231ACD"/>
    <w:rsid w:val="00232396"/>
    <w:rsid w:val="00232BAC"/>
    <w:rsid w:val="00232E47"/>
    <w:rsid w:val="00234F6B"/>
    <w:rsid w:val="00235702"/>
    <w:rsid w:val="00236004"/>
    <w:rsid w:val="002361A2"/>
    <w:rsid w:val="002365C8"/>
    <w:rsid w:val="0023BF33"/>
    <w:rsid w:val="00240827"/>
    <w:rsid w:val="002416F5"/>
    <w:rsid w:val="002419E4"/>
    <w:rsid w:val="0024258B"/>
    <w:rsid w:val="00242BE6"/>
    <w:rsid w:val="002456EE"/>
    <w:rsid w:val="00245BB5"/>
    <w:rsid w:val="00246958"/>
    <w:rsid w:val="00246D45"/>
    <w:rsid w:val="0024764D"/>
    <w:rsid w:val="00247E11"/>
    <w:rsid w:val="002514B0"/>
    <w:rsid w:val="00255A7C"/>
    <w:rsid w:val="002612BF"/>
    <w:rsid w:val="0026177A"/>
    <w:rsid w:val="00264511"/>
    <w:rsid w:val="00264FD9"/>
    <w:rsid w:val="00272160"/>
    <w:rsid w:val="0027248A"/>
    <w:rsid w:val="00272BD8"/>
    <w:rsid w:val="00272F9C"/>
    <w:rsid w:val="00273FB5"/>
    <w:rsid w:val="00274AAC"/>
    <w:rsid w:val="00274C99"/>
    <w:rsid w:val="00274D6E"/>
    <w:rsid w:val="002769ED"/>
    <w:rsid w:val="00276FB8"/>
    <w:rsid w:val="00281724"/>
    <w:rsid w:val="002825D4"/>
    <w:rsid w:val="00282D5E"/>
    <w:rsid w:val="0028415B"/>
    <w:rsid w:val="0028692F"/>
    <w:rsid w:val="00287B24"/>
    <w:rsid w:val="0029017F"/>
    <w:rsid w:val="00292C9F"/>
    <w:rsid w:val="002931B1"/>
    <w:rsid w:val="0029488D"/>
    <w:rsid w:val="00294E0D"/>
    <w:rsid w:val="00295425"/>
    <w:rsid w:val="00295842"/>
    <w:rsid w:val="00297A6C"/>
    <w:rsid w:val="002A0008"/>
    <w:rsid w:val="002A07AE"/>
    <w:rsid w:val="002A0B07"/>
    <w:rsid w:val="002A1178"/>
    <w:rsid w:val="002A21F9"/>
    <w:rsid w:val="002A2366"/>
    <w:rsid w:val="002A2756"/>
    <w:rsid w:val="002A48B3"/>
    <w:rsid w:val="002A4BE2"/>
    <w:rsid w:val="002A5D2D"/>
    <w:rsid w:val="002B1A6C"/>
    <w:rsid w:val="002B4215"/>
    <w:rsid w:val="002B51A8"/>
    <w:rsid w:val="002B57D3"/>
    <w:rsid w:val="002C070D"/>
    <w:rsid w:val="002C0770"/>
    <w:rsid w:val="002C1980"/>
    <w:rsid w:val="002C2AA8"/>
    <w:rsid w:val="002C4E53"/>
    <w:rsid w:val="002C72B7"/>
    <w:rsid w:val="002C78E7"/>
    <w:rsid w:val="002D1186"/>
    <w:rsid w:val="002D13BE"/>
    <w:rsid w:val="002D304C"/>
    <w:rsid w:val="002D4D7E"/>
    <w:rsid w:val="002D4D80"/>
    <w:rsid w:val="002D55CD"/>
    <w:rsid w:val="002D5B5F"/>
    <w:rsid w:val="002D6374"/>
    <w:rsid w:val="002D63C5"/>
    <w:rsid w:val="002E01D3"/>
    <w:rsid w:val="002E0B06"/>
    <w:rsid w:val="002E16A9"/>
    <w:rsid w:val="002E2D9B"/>
    <w:rsid w:val="002E3E48"/>
    <w:rsid w:val="002E41AB"/>
    <w:rsid w:val="002E5D06"/>
    <w:rsid w:val="002E60B5"/>
    <w:rsid w:val="002E6C05"/>
    <w:rsid w:val="002E788F"/>
    <w:rsid w:val="002F243D"/>
    <w:rsid w:val="002F270D"/>
    <w:rsid w:val="002F2D1B"/>
    <w:rsid w:val="002F741E"/>
    <w:rsid w:val="002F762B"/>
    <w:rsid w:val="00300B9B"/>
    <w:rsid w:val="00301894"/>
    <w:rsid w:val="003021DB"/>
    <w:rsid w:val="003036D5"/>
    <w:rsid w:val="00304402"/>
    <w:rsid w:val="003058F2"/>
    <w:rsid w:val="00306775"/>
    <w:rsid w:val="0030684A"/>
    <w:rsid w:val="00307CD4"/>
    <w:rsid w:val="003141E1"/>
    <w:rsid w:val="00314494"/>
    <w:rsid w:val="0031544D"/>
    <w:rsid w:val="0031570A"/>
    <w:rsid w:val="003159B7"/>
    <w:rsid w:val="003167C0"/>
    <w:rsid w:val="00321F3B"/>
    <w:rsid w:val="00322083"/>
    <w:rsid w:val="00325A0C"/>
    <w:rsid w:val="00327673"/>
    <w:rsid w:val="00332076"/>
    <w:rsid w:val="00333438"/>
    <w:rsid w:val="003346FA"/>
    <w:rsid w:val="003359EB"/>
    <w:rsid w:val="00335FA6"/>
    <w:rsid w:val="003364FB"/>
    <w:rsid w:val="0034081E"/>
    <w:rsid w:val="00341707"/>
    <w:rsid w:val="0034187E"/>
    <w:rsid w:val="003443C9"/>
    <w:rsid w:val="00344A17"/>
    <w:rsid w:val="00344BBB"/>
    <w:rsid w:val="003457CB"/>
    <w:rsid w:val="00345E3A"/>
    <w:rsid w:val="003462A3"/>
    <w:rsid w:val="00346ADA"/>
    <w:rsid w:val="00347FA5"/>
    <w:rsid w:val="0035063E"/>
    <w:rsid w:val="00350854"/>
    <w:rsid w:val="00352064"/>
    <w:rsid w:val="00353601"/>
    <w:rsid w:val="003561A4"/>
    <w:rsid w:val="003610AB"/>
    <w:rsid w:val="003631F5"/>
    <w:rsid w:val="00365865"/>
    <w:rsid w:val="00366A35"/>
    <w:rsid w:val="003671C2"/>
    <w:rsid w:val="003676A7"/>
    <w:rsid w:val="00370E75"/>
    <w:rsid w:val="0037467A"/>
    <w:rsid w:val="00374746"/>
    <w:rsid w:val="00374882"/>
    <w:rsid w:val="00375A51"/>
    <w:rsid w:val="00375EBD"/>
    <w:rsid w:val="00376338"/>
    <w:rsid w:val="00376478"/>
    <w:rsid w:val="003815CD"/>
    <w:rsid w:val="00381B80"/>
    <w:rsid w:val="00383F73"/>
    <w:rsid w:val="003843DE"/>
    <w:rsid w:val="00384C16"/>
    <w:rsid w:val="003850EC"/>
    <w:rsid w:val="003851D2"/>
    <w:rsid w:val="00385349"/>
    <w:rsid w:val="00391035"/>
    <w:rsid w:val="003937D1"/>
    <w:rsid w:val="00393E5B"/>
    <w:rsid w:val="0039433D"/>
    <w:rsid w:val="00394C6D"/>
    <w:rsid w:val="00395095"/>
    <w:rsid w:val="00395209"/>
    <w:rsid w:val="003A0191"/>
    <w:rsid w:val="003A1AF5"/>
    <w:rsid w:val="003A5273"/>
    <w:rsid w:val="003A7116"/>
    <w:rsid w:val="003B1DF4"/>
    <w:rsid w:val="003B4A62"/>
    <w:rsid w:val="003B6150"/>
    <w:rsid w:val="003B7DFC"/>
    <w:rsid w:val="003B7E06"/>
    <w:rsid w:val="003C0195"/>
    <w:rsid w:val="003C04AE"/>
    <w:rsid w:val="003C1031"/>
    <w:rsid w:val="003C1BF4"/>
    <w:rsid w:val="003C28C6"/>
    <w:rsid w:val="003C3293"/>
    <w:rsid w:val="003C3602"/>
    <w:rsid w:val="003C3B07"/>
    <w:rsid w:val="003C4447"/>
    <w:rsid w:val="003C761C"/>
    <w:rsid w:val="003D11AC"/>
    <w:rsid w:val="003D136D"/>
    <w:rsid w:val="003D1ABB"/>
    <w:rsid w:val="003D2764"/>
    <w:rsid w:val="003D4A31"/>
    <w:rsid w:val="003D5864"/>
    <w:rsid w:val="003D58A3"/>
    <w:rsid w:val="003D70D1"/>
    <w:rsid w:val="003D7D8E"/>
    <w:rsid w:val="003E30E9"/>
    <w:rsid w:val="003E3C77"/>
    <w:rsid w:val="003E52E8"/>
    <w:rsid w:val="003F02EE"/>
    <w:rsid w:val="003F0DD0"/>
    <w:rsid w:val="003F2240"/>
    <w:rsid w:val="003F292C"/>
    <w:rsid w:val="003F3397"/>
    <w:rsid w:val="003F52A9"/>
    <w:rsid w:val="003F7818"/>
    <w:rsid w:val="00400E0E"/>
    <w:rsid w:val="00402009"/>
    <w:rsid w:val="00405E48"/>
    <w:rsid w:val="00406459"/>
    <w:rsid w:val="00406FF6"/>
    <w:rsid w:val="00407863"/>
    <w:rsid w:val="0040791A"/>
    <w:rsid w:val="004110A4"/>
    <w:rsid w:val="00413FAA"/>
    <w:rsid w:val="004144AF"/>
    <w:rsid w:val="00414600"/>
    <w:rsid w:val="00415336"/>
    <w:rsid w:val="00420FC6"/>
    <w:rsid w:val="00422FAD"/>
    <w:rsid w:val="0042335E"/>
    <w:rsid w:val="004246CB"/>
    <w:rsid w:val="00434177"/>
    <w:rsid w:val="00434437"/>
    <w:rsid w:val="00435A92"/>
    <w:rsid w:val="0043705A"/>
    <w:rsid w:val="00437CA6"/>
    <w:rsid w:val="00441799"/>
    <w:rsid w:val="004418E2"/>
    <w:rsid w:val="0044198F"/>
    <w:rsid w:val="00444497"/>
    <w:rsid w:val="004451FB"/>
    <w:rsid w:val="00445D59"/>
    <w:rsid w:val="00447CAB"/>
    <w:rsid w:val="00451048"/>
    <w:rsid w:val="004520D2"/>
    <w:rsid w:val="0045770B"/>
    <w:rsid w:val="004637E0"/>
    <w:rsid w:val="004649C1"/>
    <w:rsid w:val="00464DA2"/>
    <w:rsid w:val="00466376"/>
    <w:rsid w:val="00467FCE"/>
    <w:rsid w:val="0047005D"/>
    <w:rsid w:val="0047030B"/>
    <w:rsid w:val="0047255C"/>
    <w:rsid w:val="00473BEB"/>
    <w:rsid w:val="0047408F"/>
    <w:rsid w:val="00475F89"/>
    <w:rsid w:val="0047798A"/>
    <w:rsid w:val="004822B2"/>
    <w:rsid w:val="0048252D"/>
    <w:rsid w:val="004832BB"/>
    <w:rsid w:val="00484779"/>
    <w:rsid w:val="00490C02"/>
    <w:rsid w:val="00490C12"/>
    <w:rsid w:val="00491684"/>
    <w:rsid w:val="00491D67"/>
    <w:rsid w:val="004920F1"/>
    <w:rsid w:val="00493006"/>
    <w:rsid w:val="004954FE"/>
    <w:rsid w:val="00496B45"/>
    <w:rsid w:val="00497DF6"/>
    <w:rsid w:val="004A18E7"/>
    <w:rsid w:val="004A230C"/>
    <w:rsid w:val="004A2348"/>
    <w:rsid w:val="004A458E"/>
    <w:rsid w:val="004A740E"/>
    <w:rsid w:val="004B2688"/>
    <w:rsid w:val="004B34B7"/>
    <w:rsid w:val="004B3576"/>
    <w:rsid w:val="004B69D5"/>
    <w:rsid w:val="004B6DCB"/>
    <w:rsid w:val="004B746D"/>
    <w:rsid w:val="004C0BED"/>
    <w:rsid w:val="004C2211"/>
    <w:rsid w:val="004C30E8"/>
    <w:rsid w:val="004C31B6"/>
    <w:rsid w:val="004C3901"/>
    <w:rsid w:val="004C4391"/>
    <w:rsid w:val="004C605B"/>
    <w:rsid w:val="004C739D"/>
    <w:rsid w:val="004D7EE4"/>
    <w:rsid w:val="004E091B"/>
    <w:rsid w:val="004E1B4A"/>
    <w:rsid w:val="004E261D"/>
    <w:rsid w:val="004E453E"/>
    <w:rsid w:val="004E6099"/>
    <w:rsid w:val="004E6D6F"/>
    <w:rsid w:val="004E6ED5"/>
    <w:rsid w:val="004E7128"/>
    <w:rsid w:val="004E7DE1"/>
    <w:rsid w:val="004F0375"/>
    <w:rsid w:val="004F1B21"/>
    <w:rsid w:val="004F603F"/>
    <w:rsid w:val="004F6122"/>
    <w:rsid w:val="004F6439"/>
    <w:rsid w:val="004F7220"/>
    <w:rsid w:val="00500599"/>
    <w:rsid w:val="00501117"/>
    <w:rsid w:val="00501EF0"/>
    <w:rsid w:val="00504362"/>
    <w:rsid w:val="00504E8D"/>
    <w:rsid w:val="005070F7"/>
    <w:rsid w:val="00510A81"/>
    <w:rsid w:val="00511B43"/>
    <w:rsid w:val="00513C70"/>
    <w:rsid w:val="00514BB7"/>
    <w:rsid w:val="00517B54"/>
    <w:rsid w:val="00517BFF"/>
    <w:rsid w:val="005224D1"/>
    <w:rsid w:val="00522E3A"/>
    <w:rsid w:val="00525A9B"/>
    <w:rsid w:val="00526385"/>
    <w:rsid w:val="00527B60"/>
    <w:rsid w:val="00530073"/>
    <w:rsid w:val="005312AA"/>
    <w:rsid w:val="005312E6"/>
    <w:rsid w:val="005320CE"/>
    <w:rsid w:val="0053244B"/>
    <w:rsid w:val="005341EF"/>
    <w:rsid w:val="005343BD"/>
    <w:rsid w:val="00535303"/>
    <w:rsid w:val="00537B2B"/>
    <w:rsid w:val="00537BAE"/>
    <w:rsid w:val="00537C4D"/>
    <w:rsid w:val="005401AF"/>
    <w:rsid w:val="00540630"/>
    <w:rsid w:val="00541B9C"/>
    <w:rsid w:val="00542AB5"/>
    <w:rsid w:val="00543CEB"/>
    <w:rsid w:val="00546B8F"/>
    <w:rsid w:val="005518F1"/>
    <w:rsid w:val="0055434C"/>
    <w:rsid w:val="00556FB3"/>
    <w:rsid w:val="005570AC"/>
    <w:rsid w:val="005574AA"/>
    <w:rsid w:val="00557E1E"/>
    <w:rsid w:val="00557FBF"/>
    <w:rsid w:val="005626A9"/>
    <w:rsid w:val="00563485"/>
    <w:rsid w:val="00566B82"/>
    <w:rsid w:val="00570987"/>
    <w:rsid w:val="00571044"/>
    <w:rsid w:val="00571D60"/>
    <w:rsid w:val="00573E13"/>
    <w:rsid w:val="00577177"/>
    <w:rsid w:val="00577BD9"/>
    <w:rsid w:val="00577E80"/>
    <w:rsid w:val="005834B5"/>
    <w:rsid w:val="005837DC"/>
    <w:rsid w:val="0058780E"/>
    <w:rsid w:val="005904B3"/>
    <w:rsid w:val="00591E7C"/>
    <w:rsid w:val="00593278"/>
    <w:rsid w:val="00593B17"/>
    <w:rsid w:val="00594206"/>
    <w:rsid w:val="00594F46"/>
    <w:rsid w:val="00596500"/>
    <w:rsid w:val="005A0AA2"/>
    <w:rsid w:val="005A1275"/>
    <w:rsid w:val="005A3667"/>
    <w:rsid w:val="005A37AF"/>
    <w:rsid w:val="005A3A84"/>
    <w:rsid w:val="005A5256"/>
    <w:rsid w:val="005A56CF"/>
    <w:rsid w:val="005A6F8C"/>
    <w:rsid w:val="005B0371"/>
    <w:rsid w:val="005B244F"/>
    <w:rsid w:val="005B5B28"/>
    <w:rsid w:val="005B5FDB"/>
    <w:rsid w:val="005C16DD"/>
    <w:rsid w:val="005C2BD7"/>
    <w:rsid w:val="005C2DDD"/>
    <w:rsid w:val="005C4BB4"/>
    <w:rsid w:val="005C5ADD"/>
    <w:rsid w:val="005C601C"/>
    <w:rsid w:val="005C63F5"/>
    <w:rsid w:val="005C68A7"/>
    <w:rsid w:val="005D09FE"/>
    <w:rsid w:val="005D0F28"/>
    <w:rsid w:val="005D135F"/>
    <w:rsid w:val="005D1A2E"/>
    <w:rsid w:val="005D24AC"/>
    <w:rsid w:val="005D306C"/>
    <w:rsid w:val="005D3F77"/>
    <w:rsid w:val="005D61D8"/>
    <w:rsid w:val="005D70E7"/>
    <w:rsid w:val="005D7859"/>
    <w:rsid w:val="005E4FC0"/>
    <w:rsid w:val="005E61EF"/>
    <w:rsid w:val="005F17E8"/>
    <w:rsid w:val="005F2004"/>
    <w:rsid w:val="005F2E2F"/>
    <w:rsid w:val="005F49A8"/>
    <w:rsid w:val="005F56E2"/>
    <w:rsid w:val="005F5EEC"/>
    <w:rsid w:val="00600C62"/>
    <w:rsid w:val="0060156B"/>
    <w:rsid w:val="00603A46"/>
    <w:rsid w:val="00603D77"/>
    <w:rsid w:val="0061178E"/>
    <w:rsid w:val="00613677"/>
    <w:rsid w:val="00613EEE"/>
    <w:rsid w:val="0061405A"/>
    <w:rsid w:val="00614604"/>
    <w:rsid w:val="006167C3"/>
    <w:rsid w:val="00616AA9"/>
    <w:rsid w:val="006178B0"/>
    <w:rsid w:val="00621C02"/>
    <w:rsid w:val="00621D8C"/>
    <w:rsid w:val="0062421B"/>
    <w:rsid w:val="0062511C"/>
    <w:rsid w:val="00625F85"/>
    <w:rsid w:val="00626A69"/>
    <w:rsid w:val="00626BBA"/>
    <w:rsid w:val="006301EE"/>
    <w:rsid w:val="0063139F"/>
    <w:rsid w:val="00631FD8"/>
    <w:rsid w:val="0063435B"/>
    <w:rsid w:val="00634414"/>
    <w:rsid w:val="00634665"/>
    <w:rsid w:val="006348BB"/>
    <w:rsid w:val="00635D47"/>
    <w:rsid w:val="0063646F"/>
    <w:rsid w:val="006365D7"/>
    <w:rsid w:val="0063687F"/>
    <w:rsid w:val="00637B19"/>
    <w:rsid w:val="00637B26"/>
    <w:rsid w:val="006406C5"/>
    <w:rsid w:val="00650A5B"/>
    <w:rsid w:val="00650BB0"/>
    <w:rsid w:val="00650D42"/>
    <w:rsid w:val="006511D7"/>
    <w:rsid w:val="0065452C"/>
    <w:rsid w:val="00654FE9"/>
    <w:rsid w:val="00662D4F"/>
    <w:rsid w:val="0066369B"/>
    <w:rsid w:val="0066491C"/>
    <w:rsid w:val="00664983"/>
    <w:rsid w:val="00664A1B"/>
    <w:rsid w:val="006656CF"/>
    <w:rsid w:val="00667351"/>
    <w:rsid w:val="00671E93"/>
    <w:rsid w:val="0067384D"/>
    <w:rsid w:val="00674228"/>
    <w:rsid w:val="00675370"/>
    <w:rsid w:val="006806E3"/>
    <w:rsid w:val="00681FC4"/>
    <w:rsid w:val="00685C9E"/>
    <w:rsid w:val="0068689A"/>
    <w:rsid w:val="0068743C"/>
    <w:rsid w:val="00691593"/>
    <w:rsid w:val="006917D6"/>
    <w:rsid w:val="006927D9"/>
    <w:rsid w:val="00692D45"/>
    <w:rsid w:val="00692F00"/>
    <w:rsid w:val="00695014"/>
    <w:rsid w:val="00697D44"/>
    <w:rsid w:val="006A1BDB"/>
    <w:rsid w:val="006A1DD1"/>
    <w:rsid w:val="006A22D3"/>
    <w:rsid w:val="006A4A4D"/>
    <w:rsid w:val="006A7863"/>
    <w:rsid w:val="006A7DDB"/>
    <w:rsid w:val="006A7EB1"/>
    <w:rsid w:val="006B0158"/>
    <w:rsid w:val="006B0161"/>
    <w:rsid w:val="006B3BCC"/>
    <w:rsid w:val="006B3C6D"/>
    <w:rsid w:val="006B6B6D"/>
    <w:rsid w:val="006B729C"/>
    <w:rsid w:val="006B7526"/>
    <w:rsid w:val="006B788B"/>
    <w:rsid w:val="006B798D"/>
    <w:rsid w:val="006D1127"/>
    <w:rsid w:val="006D575A"/>
    <w:rsid w:val="006D5C7D"/>
    <w:rsid w:val="006E08B7"/>
    <w:rsid w:val="006E0AA1"/>
    <w:rsid w:val="006E2304"/>
    <w:rsid w:val="006E35CD"/>
    <w:rsid w:val="006E593A"/>
    <w:rsid w:val="006E6C47"/>
    <w:rsid w:val="006E786A"/>
    <w:rsid w:val="006E7C42"/>
    <w:rsid w:val="006F0063"/>
    <w:rsid w:val="006F338A"/>
    <w:rsid w:val="006F4A84"/>
    <w:rsid w:val="006F5357"/>
    <w:rsid w:val="006F56A1"/>
    <w:rsid w:val="006F5800"/>
    <w:rsid w:val="006F642C"/>
    <w:rsid w:val="006F7925"/>
    <w:rsid w:val="007012DC"/>
    <w:rsid w:val="00701517"/>
    <w:rsid w:val="00701831"/>
    <w:rsid w:val="0070231A"/>
    <w:rsid w:val="00702427"/>
    <w:rsid w:val="00705BD9"/>
    <w:rsid w:val="00706618"/>
    <w:rsid w:val="007127F8"/>
    <w:rsid w:val="007141CA"/>
    <w:rsid w:val="00714216"/>
    <w:rsid w:val="00714F14"/>
    <w:rsid w:val="00715329"/>
    <w:rsid w:val="0071703D"/>
    <w:rsid w:val="007179F9"/>
    <w:rsid w:val="00720D3D"/>
    <w:rsid w:val="007220B8"/>
    <w:rsid w:val="00725FBA"/>
    <w:rsid w:val="00727475"/>
    <w:rsid w:val="00727726"/>
    <w:rsid w:val="00727FAF"/>
    <w:rsid w:val="007302E7"/>
    <w:rsid w:val="00730785"/>
    <w:rsid w:val="00732EAC"/>
    <w:rsid w:val="00732FF0"/>
    <w:rsid w:val="007375C3"/>
    <w:rsid w:val="00737D16"/>
    <w:rsid w:val="00740528"/>
    <w:rsid w:val="00740829"/>
    <w:rsid w:val="00740F4B"/>
    <w:rsid w:val="00741F4F"/>
    <w:rsid w:val="007446B0"/>
    <w:rsid w:val="00744CAA"/>
    <w:rsid w:val="00751787"/>
    <w:rsid w:val="007519EC"/>
    <w:rsid w:val="0075282B"/>
    <w:rsid w:val="007533D4"/>
    <w:rsid w:val="007538E2"/>
    <w:rsid w:val="00756BFD"/>
    <w:rsid w:val="00757B3A"/>
    <w:rsid w:val="0076029F"/>
    <w:rsid w:val="00760FBD"/>
    <w:rsid w:val="007627D1"/>
    <w:rsid w:val="00763428"/>
    <w:rsid w:val="0076347F"/>
    <w:rsid w:val="00764274"/>
    <w:rsid w:val="00765752"/>
    <w:rsid w:val="00770DE2"/>
    <w:rsid w:val="00771F07"/>
    <w:rsid w:val="00773E57"/>
    <w:rsid w:val="007755BF"/>
    <w:rsid w:val="00777DDD"/>
    <w:rsid w:val="0078011B"/>
    <w:rsid w:val="007825D3"/>
    <w:rsid w:val="0078322A"/>
    <w:rsid w:val="0078461A"/>
    <w:rsid w:val="00793E45"/>
    <w:rsid w:val="00793EA9"/>
    <w:rsid w:val="00793EE0"/>
    <w:rsid w:val="00793FBC"/>
    <w:rsid w:val="007940CC"/>
    <w:rsid w:val="007943A1"/>
    <w:rsid w:val="00795412"/>
    <w:rsid w:val="00795BC8"/>
    <w:rsid w:val="0079639B"/>
    <w:rsid w:val="00797934"/>
    <w:rsid w:val="007A0564"/>
    <w:rsid w:val="007A0856"/>
    <w:rsid w:val="007A1309"/>
    <w:rsid w:val="007A1AA5"/>
    <w:rsid w:val="007A1C22"/>
    <w:rsid w:val="007A2DBA"/>
    <w:rsid w:val="007A2DFE"/>
    <w:rsid w:val="007A434F"/>
    <w:rsid w:val="007A5C42"/>
    <w:rsid w:val="007A7582"/>
    <w:rsid w:val="007A760C"/>
    <w:rsid w:val="007A7AC9"/>
    <w:rsid w:val="007B2CFF"/>
    <w:rsid w:val="007B57E5"/>
    <w:rsid w:val="007B7BE3"/>
    <w:rsid w:val="007B7DAC"/>
    <w:rsid w:val="007C1513"/>
    <w:rsid w:val="007C3040"/>
    <w:rsid w:val="007C44C0"/>
    <w:rsid w:val="007C6054"/>
    <w:rsid w:val="007C69C0"/>
    <w:rsid w:val="007C7B92"/>
    <w:rsid w:val="007D4B8A"/>
    <w:rsid w:val="007D61C9"/>
    <w:rsid w:val="007D79BA"/>
    <w:rsid w:val="007E02DA"/>
    <w:rsid w:val="007E129A"/>
    <w:rsid w:val="007E2DF8"/>
    <w:rsid w:val="007E377B"/>
    <w:rsid w:val="007E3A96"/>
    <w:rsid w:val="007E4B57"/>
    <w:rsid w:val="007F0D9F"/>
    <w:rsid w:val="007F1A53"/>
    <w:rsid w:val="007F1BD3"/>
    <w:rsid w:val="007F389C"/>
    <w:rsid w:val="007F6013"/>
    <w:rsid w:val="007F6689"/>
    <w:rsid w:val="00801F81"/>
    <w:rsid w:val="00804276"/>
    <w:rsid w:val="00806298"/>
    <w:rsid w:val="008062AE"/>
    <w:rsid w:val="008062D2"/>
    <w:rsid w:val="00806568"/>
    <w:rsid w:val="00806E91"/>
    <w:rsid w:val="00810007"/>
    <w:rsid w:val="00813CE9"/>
    <w:rsid w:val="00814800"/>
    <w:rsid w:val="00815388"/>
    <w:rsid w:val="00815DF9"/>
    <w:rsid w:val="008174A8"/>
    <w:rsid w:val="00817BE9"/>
    <w:rsid w:val="0082054B"/>
    <w:rsid w:val="00822F75"/>
    <w:rsid w:val="0082412A"/>
    <w:rsid w:val="00825369"/>
    <w:rsid w:val="00826589"/>
    <w:rsid w:val="008300D8"/>
    <w:rsid w:val="0083021E"/>
    <w:rsid w:val="008303F6"/>
    <w:rsid w:val="00830604"/>
    <w:rsid w:val="008314B2"/>
    <w:rsid w:val="008326AA"/>
    <w:rsid w:val="008342C0"/>
    <w:rsid w:val="008354E6"/>
    <w:rsid w:val="00835622"/>
    <w:rsid w:val="00835C6D"/>
    <w:rsid w:val="008364D1"/>
    <w:rsid w:val="00841374"/>
    <w:rsid w:val="00841F08"/>
    <w:rsid w:val="00843DA1"/>
    <w:rsid w:val="0084438E"/>
    <w:rsid w:val="00845194"/>
    <w:rsid w:val="008475BE"/>
    <w:rsid w:val="00850295"/>
    <w:rsid w:val="00850433"/>
    <w:rsid w:val="00857037"/>
    <w:rsid w:val="00857B6E"/>
    <w:rsid w:val="00866E8C"/>
    <w:rsid w:val="00871C65"/>
    <w:rsid w:val="00872D6B"/>
    <w:rsid w:val="00873902"/>
    <w:rsid w:val="00874CDF"/>
    <w:rsid w:val="0087555D"/>
    <w:rsid w:val="00875E34"/>
    <w:rsid w:val="0087687A"/>
    <w:rsid w:val="00876926"/>
    <w:rsid w:val="008845AC"/>
    <w:rsid w:val="008879C0"/>
    <w:rsid w:val="008921B9"/>
    <w:rsid w:val="00892AC5"/>
    <w:rsid w:val="00892DB9"/>
    <w:rsid w:val="0089319B"/>
    <w:rsid w:val="00893AF5"/>
    <w:rsid w:val="00893DDA"/>
    <w:rsid w:val="00895E9A"/>
    <w:rsid w:val="00896859"/>
    <w:rsid w:val="008969A4"/>
    <w:rsid w:val="00897D0E"/>
    <w:rsid w:val="008A06F8"/>
    <w:rsid w:val="008A193B"/>
    <w:rsid w:val="008A1D57"/>
    <w:rsid w:val="008A633F"/>
    <w:rsid w:val="008A63E8"/>
    <w:rsid w:val="008A793C"/>
    <w:rsid w:val="008A798F"/>
    <w:rsid w:val="008B015D"/>
    <w:rsid w:val="008B227F"/>
    <w:rsid w:val="008B3349"/>
    <w:rsid w:val="008B5502"/>
    <w:rsid w:val="008B552C"/>
    <w:rsid w:val="008B5F7C"/>
    <w:rsid w:val="008B73BF"/>
    <w:rsid w:val="008C0D26"/>
    <w:rsid w:val="008C1774"/>
    <w:rsid w:val="008C3E43"/>
    <w:rsid w:val="008C4042"/>
    <w:rsid w:val="008C61FB"/>
    <w:rsid w:val="008C6397"/>
    <w:rsid w:val="008C76A0"/>
    <w:rsid w:val="008D2144"/>
    <w:rsid w:val="008D5BA3"/>
    <w:rsid w:val="008D632C"/>
    <w:rsid w:val="008D6C51"/>
    <w:rsid w:val="008E0152"/>
    <w:rsid w:val="008E01DD"/>
    <w:rsid w:val="008E15B8"/>
    <w:rsid w:val="008E179D"/>
    <w:rsid w:val="008E2DCA"/>
    <w:rsid w:val="008E2FA3"/>
    <w:rsid w:val="008E4D18"/>
    <w:rsid w:val="008E77E6"/>
    <w:rsid w:val="008F0699"/>
    <w:rsid w:val="008F258D"/>
    <w:rsid w:val="008F35D5"/>
    <w:rsid w:val="009008FB"/>
    <w:rsid w:val="00900BC2"/>
    <w:rsid w:val="0090137E"/>
    <w:rsid w:val="009030CB"/>
    <w:rsid w:val="00903E44"/>
    <w:rsid w:val="009114DA"/>
    <w:rsid w:val="00914414"/>
    <w:rsid w:val="009158C4"/>
    <w:rsid w:val="009166C1"/>
    <w:rsid w:val="00916A6F"/>
    <w:rsid w:val="009204CB"/>
    <w:rsid w:val="009222DA"/>
    <w:rsid w:val="0092327D"/>
    <w:rsid w:val="00926128"/>
    <w:rsid w:val="00926C23"/>
    <w:rsid w:val="0093529E"/>
    <w:rsid w:val="009352B6"/>
    <w:rsid w:val="009374B5"/>
    <w:rsid w:val="009411D9"/>
    <w:rsid w:val="00941D0E"/>
    <w:rsid w:val="00942803"/>
    <w:rsid w:val="00943FAB"/>
    <w:rsid w:val="00944668"/>
    <w:rsid w:val="00947194"/>
    <w:rsid w:val="0095069D"/>
    <w:rsid w:val="00950A07"/>
    <w:rsid w:val="0095152A"/>
    <w:rsid w:val="00952662"/>
    <w:rsid w:val="009528E7"/>
    <w:rsid w:val="00952DDF"/>
    <w:rsid w:val="00954150"/>
    <w:rsid w:val="00954171"/>
    <w:rsid w:val="00956694"/>
    <w:rsid w:val="009602FF"/>
    <w:rsid w:val="009608DF"/>
    <w:rsid w:val="009611A9"/>
    <w:rsid w:val="00961254"/>
    <w:rsid w:val="00963408"/>
    <w:rsid w:val="009646E8"/>
    <w:rsid w:val="00964BEF"/>
    <w:rsid w:val="00964E50"/>
    <w:rsid w:val="009655F4"/>
    <w:rsid w:val="00965A37"/>
    <w:rsid w:val="00967125"/>
    <w:rsid w:val="00967242"/>
    <w:rsid w:val="00967AD0"/>
    <w:rsid w:val="009707AA"/>
    <w:rsid w:val="0097129D"/>
    <w:rsid w:val="00973BBC"/>
    <w:rsid w:val="00973FCB"/>
    <w:rsid w:val="009746F3"/>
    <w:rsid w:val="00975539"/>
    <w:rsid w:val="00977926"/>
    <w:rsid w:val="00981B03"/>
    <w:rsid w:val="00983505"/>
    <w:rsid w:val="0098490C"/>
    <w:rsid w:val="00985590"/>
    <w:rsid w:val="00986139"/>
    <w:rsid w:val="0098644D"/>
    <w:rsid w:val="00986895"/>
    <w:rsid w:val="00990615"/>
    <w:rsid w:val="00991449"/>
    <w:rsid w:val="00991CC1"/>
    <w:rsid w:val="009A0439"/>
    <w:rsid w:val="009A1C08"/>
    <w:rsid w:val="009A3A3F"/>
    <w:rsid w:val="009A4039"/>
    <w:rsid w:val="009A5580"/>
    <w:rsid w:val="009A5B42"/>
    <w:rsid w:val="009A5FB1"/>
    <w:rsid w:val="009A7415"/>
    <w:rsid w:val="009A78EE"/>
    <w:rsid w:val="009A7A2C"/>
    <w:rsid w:val="009B09CE"/>
    <w:rsid w:val="009B0F56"/>
    <w:rsid w:val="009B1F27"/>
    <w:rsid w:val="009B2EE5"/>
    <w:rsid w:val="009B357E"/>
    <w:rsid w:val="009B7226"/>
    <w:rsid w:val="009B7D4C"/>
    <w:rsid w:val="009C0416"/>
    <w:rsid w:val="009C2AB8"/>
    <w:rsid w:val="009C2C1F"/>
    <w:rsid w:val="009C3346"/>
    <w:rsid w:val="009C3F56"/>
    <w:rsid w:val="009C6D7F"/>
    <w:rsid w:val="009C6FB2"/>
    <w:rsid w:val="009D014A"/>
    <w:rsid w:val="009D01E5"/>
    <w:rsid w:val="009D2DD6"/>
    <w:rsid w:val="009D3982"/>
    <w:rsid w:val="009D3F74"/>
    <w:rsid w:val="009D416E"/>
    <w:rsid w:val="009D47FF"/>
    <w:rsid w:val="009D5ED9"/>
    <w:rsid w:val="009D73B2"/>
    <w:rsid w:val="009D7F92"/>
    <w:rsid w:val="009E27F0"/>
    <w:rsid w:val="009E3F2B"/>
    <w:rsid w:val="009E5076"/>
    <w:rsid w:val="009E54B0"/>
    <w:rsid w:val="009E5701"/>
    <w:rsid w:val="009E7113"/>
    <w:rsid w:val="009E72E3"/>
    <w:rsid w:val="009E7506"/>
    <w:rsid w:val="009E7639"/>
    <w:rsid w:val="009F1CDC"/>
    <w:rsid w:val="009F28C1"/>
    <w:rsid w:val="009F2905"/>
    <w:rsid w:val="009F32BC"/>
    <w:rsid w:val="009F4395"/>
    <w:rsid w:val="009F557F"/>
    <w:rsid w:val="009F5A2E"/>
    <w:rsid w:val="009F5B5C"/>
    <w:rsid w:val="00A026C0"/>
    <w:rsid w:val="00A02F47"/>
    <w:rsid w:val="00A02F4A"/>
    <w:rsid w:val="00A05A86"/>
    <w:rsid w:val="00A0622E"/>
    <w:rsid w:val="00A074B8"/>
    <w:rsid w:val="00A1060E"/>
    <w:rsid w:val="00A13123"/>
    <w:rsid w:val="00A13133"/>
    <w:rsid w:val="00A137E4"/>
    <w:rsid w:val="00A148C2"/>
    <w:rsid w:val="00A163D8"/>
    <w:rsid w:val="00A1775C"/>
    <w:rsid w:val="00A17E7D"/>
    <w:rsid w:val="00A207C2"/>
    <w:rsid w:val="00A21E43"/>
    <w:rsid w:val="00A22632"/>
    <w:rsid w:val="00A249F2"/>
    <w:rsid w:val="00A2548B"/>
    <w:rsid w:val="00A256F7"/>
    <w:rsid w:val="00A27569"/>
    <w:rsid w:val="00A3059C"/>
    <w:rsid w:val="00A3131A"/>
    <w:rsid w:val="00A3201D"/>
    <w:rsid w:val="00A3265F"/>
    <w:rsid w:val="00A329FF"/>
    <w:rsid w:val="00A34698"/>
    <w:rsid w:val="00A35389"/>
    <w:rsid w:val="00A4080F"/>
    <w:rsid w:val="00A419E3"/>
    <w:rsid w:val="00A41AA8"/>
    <w:rsid w:val="00A44A45"/>
    <w:rsid w:val="00A44A7B"/>
    <w:rsid w:val="00A455E7"/>
    <w:rsid w:val="00A466A9"/>
    <w:rsid w:val="00A500AC"/>
    <w:rsid w:val="00A54B0B"/>
    <w:rsid w:val="00A54CED"/>
    <w:rsid w:val="00A57F41"/>
    <w:rsid w:val="00A61112"/>
    <w:rsid w:val="00A62B9C"/>
    <w:rsid w:val="00A63587"/>
    <w:rsid w:val="00A638EB"/>
    <w:rsid w:val="00A63FB3"/>
    <w:rsid w:val="00A6514E"/>
    <w:rsid w:val="00A65FE2"/>
    <w:rsid w:val="00A672BC"/>
    <w:rsid w:val="00A72C70"/>
    <w:rsid w:val="00A76C67"/>
    <w:rsid w:val="00A77C18"/>
    <w:rsid w:val="00A80EE0"/>
    <w:rsid w:val="00A83356"/>
    <w:rsid w:val="00A83DA4"/>
    <w:rsid w:val="00A8450F"/>
    <w:rsid w:val="00A84953"/>
    <w:rsid w:val="00A86A09"/>
    <w:rsid w:val="00A8763F"/>
    <w:rsid w:val="00A876DE"/>
    <w:rsid w:val="00A8791D"/>
    <w:rsid w:val="00A90198"/>
    <w:rsid w:val="00A925E3"/>
    <w:rsid w:val="00A92B82"/>
    <w:rsid w:val="00A932D3"/>
    <w:rsid w:val="00A943FD"/>
    <w:rsid w:val="00A9477D"/>
    <w:rsid w:val="00A9709E"/>
    <w:rsid w:val="00A974EF"/>
    <w:rsid w:val="00AA0FCB"/>
    <w:rsid w:val="00AA138B"/>
    <w:rsid w:val="00AA1732"/>
    <w:rsid w:val="00AA188D"/>
    <w:rsid w:val="00AA26B3"/>
    <w:rsid w:val="00AA2D0D"/>
    <w:rsid w:val="00AA3771"/>
    <w:rsid w:val="00AA4D96"/>
    <w:rsid w:val="00AA7399"/>
    <w:rsid w:val="00AB09A4"/>
    <w:rsid w:val="00AB25D1"/>
    <w:rsid w:val="00AB2E31"/>
    <w:rsid w:val="00AB5E2C"/>
    <w:rsid w:val="00AB5EB8"/>
    <w:rsid w:val="00AB7C25"/>
    <w:rsid w:val="00AC396D"/>
    <w:rsid w:val="00AC5B8F"/>
    <w:rsid w:val="00AC5E45"/>
    <w:rsid w:val="00AC6800"/>
    <w:rsid w:val="00AC6B07"/>
    <w:rsid w:val="00AC7D31"/>
    <w:rsid w:val="00AD1046"/>
    <w:rsid w:val="00AD35E5"/>
    <w:rsid w:val="00AD5753"/>
    <w:rsid w:val="00AD73B0"/>
    <w:rsid w:val="00AD763C"/>
    <w:rsid w:val="00AE25F8"/>
    <w:rsid w:val="00AE2E20"/>
    <w:rsid w:val="00AE3192"/>
    <w:rsid w:val="00AE3847"/>
    <w:rsid w:val="00AE431A"/>
    <w:rsid w:val="00AE4746"/>
    <w:rsid w:val="00AE4AEA"/>
    <w:rsid w:val="00AE57EA"/>
    <w:rsid w:val="00AE5F1F"/>
    <w:rsid w:val="00AE641D"/>
    <w:rsid w:val="00AE7F82"/>
    <w:rsid w:val="00AF1F8C"/>
    <w:rsid w:val="00AF3DBE"/>
    <w:rsid w:val="00AF5853"/>
    <w:rsid w:val="00B00208"/>
    <w:rsid w:val="00B01D06"/>
    <w:rsid w:val="00B033DB"/>
    <w:rsid w:val="00B03728"/>
    <w:rsid w:val="00B046C3"/>
    <w:rsid w:val="00B047BD"/>
    <w:rsid w:val="00B057E7"/>
    <w:rsid w:val="00B06153"/>
    <w:rsid w:val="00B068DB"/>
    <w:rsid w:val="00B11730"/>
    <w:rsid w:val="00B13575"/>
    <w:rsid w:val="00B20ACD"/>
    <w:rsid w:val="00B22538"/>
    <w:rsid w:val="00B22EED"/>
    <w:rsid w:val="00B243DD"/>
    <w:rsid w:val="00B24AB5"/>
    <w:rsid w:val="00B24E0E"/>
    <w:rsid w:val="00B25AD6"/>
    <w:rsid w:val="00B26EF7"/>
    <w:rsid w:val="00B33947"/>
    <w:rsid w:val="00B34F17"/>
    <w:rsid w:val="00B37146"/>
    <w:rsid w:val="00B378E9"/>
    <w:rsid w:val="00B407C3"/>
    <w:rsid w:val="00B479D9"/>
    <w:rsid w:val="00B51663"/>
    <w:rsid w:val="00B52897"/>
    <w:rsid w:val="00B52D76"/>
    <w:rsid w:val="00B56A09"/>
    <w:rsid w:val="00B56A84"/>
    <w:rsid w:val="00B56DB8"/>
    <w:rsid w:val="00B57C21"/>
    <w:rsid w:val="00B60423"/>
    <w:rsid w:val="00B60BED"/>
    <w:rsid w:val="00B60C9D"/>
    <w:rsid w:val="00B631C6"/>
    <w:rsid w:val="00B64F51"/>
    <w:rsid w:val="00B66CC0"/>
    <w:rsid w:val="00B6749D"/>
    <w:rsid w:val="00B679FF"/>
    <w:rsid w:val="00B7152E"/>
    <w:rsid w:val="00B71E69"/>
    <w:rsid w:val="00B73E5F"/>
    <w:rsid w:val="00B73F12"/>
    <w:rsid w:val="00B74D8C"/>
    <w:rsid w:val="00B751C2"/>
    <w:rsid w:val="00B7604F"/>
    <w:rsid w:val="00B76C44"/>
    <w:rsid w:val="00B76E94"/>
    <w:rsid w:val="00B76FA2"/>
    <w:rsid w:val="00B84168"/>
    <w:rsid w:val="00B87734"/>
    <w:rsid w:val="00B87D15"/>
    <w:rsid w:val="00B9046F"/>
    <w:rsid w:val="00B90D82"/>
    <w:rsid w:val="00B92F86"/>
    <w:rsid w:val="00B96275"/>
    <w:rsid w:val="00BA1E0E"/>
    <w:rsid w:val="00BA2E75"/>
    <w:rsid w:val="00BA388A"/>
    <w:rsid w:val="00BA3E9C"/>
    <w:rsid w:val="00BA5ADE"/>
    <w:rsid w:val="00BB12BA"/>
    <w:rsid w:val="00BB1B20"/>
    <w:rsid w:val="00BB2382"/>
    <w:rsid w:val="00BB3975"/>
    <w:rsid w:val="00BB5A06"/>
    <w:rsid w:val="00BC005B"/>
    <w:rsid w:val="00BC217E"/>
    <w:rsid w:val="00BC2BC5"/>
    <w:rsid w:val="00BC59A4"/>
    <w:rsid w:val="00BD0797"/>
    <w:rsid w:val="00BD1649"/>
    <w:rsid w:val="00BD1E1A"/>
    <w:rsid w:val="00BD2DA9"/>
    <w:rsid w:val="00BD402F"/>
    <w:rsid w:val="00BD4AB3"/>
    <w:rsid w:val="00BD5B89"/>
    <w:rsid w:val="00BD7683"/>
    <w:rsid w:val="00BE1731"/>
    <w:rsid w:val="00BE2166"/>
    <w:rsid w:val="00BE3943"/>
    <w:rsid w:val="00BE509E"/>
    <w:rsid w:val="00BE56B2"/>
    <w:rsid w:val="00BE7ED4"/>
    <w:rsid w:val="00BF0712"/>
    <w:rsid w:val="00BF097D"/>
    <w:rsid w:val="00BF2C9E"/>
    <w:rsid w:val="00BF5552"/>
    <w:rsid w:val="00BF643A"/>
    <w:rsid w:val="00BF7E63"/>
    <w:rsid w:val="00C012E5"/>
    <w:rsid w:val="00C01F46"/>
    <w:rsid w:val="00C02956"/>
    <w:rsid w:val="00C06B6E"/>
    <w:rsid w:val="00C072FE"/>
    <w:rsid w:val="00C07EF2"/>
    <w:rsid w:val="00C122DF"/>
    <w:rsid w:val="00C1304E"/>
    <w:rsid w:val="00C14D48"/>
    <w:rsid w:val="00C17242"/>
    <w:rsid w:val="00C20F0A"/>
    <w:rsid w:val="00C210FC"/>
    <w:rsid w:val="00C21429"/>
    <w:rsid w:val="00C21B07"/>
    <w:rsid w:val="00C2467A"/>
    <w:rsid w:val="00C26DEF"/>
    <w:rsid w:val="00C26DF3"/>
    <w:rsid w:val="00C31067"/>
    <w:rsid w:val="00C31AF7"/>
    <w:rsid w:val="00C33048"/>
    <w:rsid w:val="00C35DB9"/>
    <w:rsid w:val="00C37ED0"/>
    <w:rsid w:val="00C40985"/>
    <w:rsid w:val="00C4385C"/>
    <w:rsid w:val="00C43CB5"/>
    <w:rsid w:val="00C452E9"/>
    <w:rsid w:val="00C46F89"/>
    <w:rsid w:val="00C4716E"/>
    <w:rsid w:val="00C5018B"/>
    <w:rsid w:val="00C5119C"/>
    <w:rsid w:val="00C51407"/>
    <w:rsid w:val="00C52303"/>
    <w:rsid w:val="00C5430F"/>
    <w:rsid w:val="00C56A7F"/>
    <w:rsid w:val="00C57AFD"/>
    <w:rsid w:val="00C61AF7"/>
    <w:rsid w:val="00C626B8"/>
    <w:rsid w:val="00C62BAC"/>
    <w:rsid w:val="00C62D72"/>
    <w:rsid w:val="00C632A0"/>
    <w:rsid w:val="00C63751"/>
    <w:rsid w:val="00C651C8"/>
    <w:rsid w:val="00C66D34"/>
    <w:rsid w:val="00C70F0C"/>
    <w:rsid w:val="00C71364"/>
    <w:rsid w:val="00C72813"/>
    <w:rsid w:val="00C73CF5"/>
    <w:rsid w:val="00C74740"/>
    <w:rsid w:val="00C75457"/>
    <w:rsid w:val="00C760B9"/>
    <w:rsid w:val="00C771F2"/>
    <w:rsid w:val="00C778B4"/>
    <w:rsid w:val="00C80D66"/>
    <w:rsid w:val="00C81823"/>
    <w:rsid w:val="00C81EB1"/>
    <w:rsid w:val="00C83075"/>
    <w:rsid w:val="00C85F3F"/>
    <w:rsid w:val="00C85F54"/>
    <w:rsid w:val="00C860BB"/>
    <w:rsid w:val="00C9018B"/>
    <w:rsid w:val="00C904EA"/>
    <w:rsid w:val="00C9272E"/>
    <w:rsid w:val="00C95808"/>
    <w:rsid w:val="00C975B9"/>
    <w:rsid w:val="00CA0A2E"/>
    <w:rsid w:val="00CA1CC8"/>
    <w:rsid w:val="00CA28DF"/>
    <w:rsid w:val="00CA4A09"/>
    <w:rsid w:val="00CA796A"/>
    <w:rsid w:val="00CB0BB4"/>
    <w:rsid w:val="00CB1C0A"/>
    <w:rsid w:val="00CB41BD"/>
    <w:rsid w:val="00CB45D8"/>
    <w:rsid w:val="00CB5C56"/>
    <w:rsid w:val="00CB719F"/>
    <w:rsid w:val="00CC2FD6"/>
    <w:rsid w:val="00CC31F9"/>
    <w:rsid w:val="00CC3463"/>
    <w:rsid w:val="00CC4E73"/>
    <w:rsid w:val="00CC5A20"/>
    <w:rsid w:val="00CC65DB"/>
    <w:rsid w:val="00CC6B1B"/>
    <w:rsid w:val="00CC79D7"/>
    <w:rsid w:val="00CD04D0"/>
    <w:rsid w:val="00CD3E0A"/>
    <w:rsid w:val="00CD49F0"/>
    <w:rsid w:val="00CD4AF8"/>
    <w:rsid w:val="00CD5125"/>
    <w:rsid w:val="00CD5136"/>
    <w:rsid w:val="00CD7011"/>
    <w:rsid w:val="00CE22DF"/>
    <w:rsid w:val="00CE24CE"/>
    <w:rsid w:val="00CE250B"/>
    <w:rsid w:val="00CE2E6C"/>
    <w:rsid w:val="00CE31C4"/>
    <w:rsid w:val="00CE4509"/>
    <w:rsid w:val="00CE519D"/>
    <w:rsid w:val="00CE5FF1"/>
    <w:rsid w:val="00CE6100"/>
    <w:rsid w:val="00CE63C9"/>
    <w:rsid w:val="00CF06A8"/>
    <w:rsid w:val="00CF0DC4"/>
    <w:rsid w:val="00CF1BBD"/>
    <w:rsid w:val="00CF1C83"/>
    <w:rsid w:val="00CF30DA"/>
    <w:rsid w:val="00CF4090"/>
    <w:rsid w:val="00CF5FC4"/>
    <w:rsid w:val="00CF651D"/>
    <w:rsid w:val="00D00D22"/>
    <w:rsid w:val="00D00FCD"/>
    <w:rsid w:val="00D013D4"/>
    <w:rsid w:val="00D01697"/>
    <w:rsid w:val="00D038BA"/>
    <w:rsid w:val="00D04717"/>
    <w:rsid w:val="00D05AAD"/>
    <w:rsid w:val="00D10C88"/>
    <w:rsid w:val="00D1260B"/>
    <w:rsid w:val="00D12904"/>
    <w:rsid w:val="00D14F33"/>
    <w:rsid w:val="00D16BCF"/>
    <w:rsid w:val="00D17841"/>
    <w:rsid w:val="00D20481"/>
    <w:rsid w:val="00D2260B"/>
    <w:rsid w:val="00D22BEE"/>
    <w:rsid w:val="00D23D18"/>
    <w:rsid w:val="00D26A6A"/>
    <w:rsid w:val="00D30614"/>
    <w:rsid w:val="00D30933"/>
    <w:rsid w:val="00D30E9F"/>
    <w:rsid w:val="00D31DDF"/>
    <w:rsid w:val="00D31E0A"/>
    <w:rsid w:val="00D32A09"/>
    <w:rsid w:val="00D32EF8"/>
    <w:rsid w:val="00D363E2"/>
    <w:rsid w:val="00D36CBC"/>
    <w:rsid w:val="00D41B88"/>
    <w:rsid w:val="00D42853"/>
    <w:rsid w:val="00D42C01"/>
    <w:rsid w:val="00D4332B"/>
    <w:rsid w:val="00D444FE"/>
    <w:rsid w:val="00D44947"/>
    <w:rsid w:val="00D4518E"/>
    <w:rsid w:val="00D46D5A"/>
    <w:rsid w:val="00D47B76"/>
    <w:rsid w:val="00D50D53"/>
    <w:rsid w:val="00D52967"/>
    <w:rsid w:val="00D52F14"/>
    <w:rsid w:val="00D541D2"/>
    <w:rsid w:val="00D54672"/>
    <w:rsid w:val="00D54C09"/>
    <w:rsid w:val="00D61C1F"/>
    <w:rsid w:val="00D62D46"/>
    <w:rsid w:val="00D63E01"/>
    <w:rsid w:val="00D663E0"/>
    <w:rsid w:val="00D6672C"/>
    <w:rsid w:val="00D6765B"/>
    <w:rsid w:val="00D7015A"/>
    <w:rsid w:val="00D70271"/>
    <w:rsid w:val="00D71862"/>
    <w:rsid w:val="00D72CFE"/>
    <w:rsid w:val="00D74BDA"/>
    <w:rsid w:val="00D75A83"/>
    <w:rsid w:val="00D80151"/>
    <w:rsid w:val="00D83907"/>
    <w:rsid w:val="00D8469A"/>
    <w:rsid w:val="00D91CB1"/>
    <w:rsid w:val="00D92D1F"/>
    <w:rsid w:val="00D94381"/>
    <w:rsid w:val="00D94B90"/>
    <w:rsid w:val="00D950B6"/>
    <w:rsid w:val="00D950CC"/>
    <w:rsid w:val="00D95206"/>
    <w:rsid w:val="00D9530B"/>
    <w:rsid w:val="00D97CC5"/>
    <w:rsid w:val="00DA05C4"/>
    <w:rsid w:val="00DA0C8A"/>
    <w:rsid w:val="00DA1BD2"/>
    <w:rsid w:val="00DA1F4D"/>
    <w:rsid w:val="00DA3283"/>
    <w:rsid w:val="00DA501A"/>
    <w:rsid w:val="00DA78AF"/>
    <w:rsid w:val="00DB0524"/>
    <w:rsid w:val="00DB1727"/>
    <w:rsid w:val="00DB26AB"/>
    <w:rsid w:val="00DB44E0"/>
    <w:rsid w:val="00DB472B"/>
    <w:rsid w:val="00DB5255"/>
    <w:rsid w:val="00DB6FCB"/>
    <w:rsid w:val="00DB7370"/>
    <w:rsid w:val="00DC086B"/>
    <w:rsid w:val="00DC1467"/>
    <w:rsid w:val="00DC1E3D"/>
    <w:rsid w:val="00DC23A8"/>
    <w:rsid w:val="00DD0709"/>
    <w:rsid w:val="00DD1896"/>
    <w:rsid w:val="00DD34FD"/>
    <w:rsid w:val="00DD3D7D"/>
    <w:rsid w:val="00DD405E"/>
    <w:rsid w:val="00DD47FE"/>
    <w:rsid w:val="00DE16AB"/>
    <w:rsid w:val="00DE16CA"/>
    <w:rsid w:val="00DE43D6"/>
    <w:rsid w:val="00DE66DA"/>
    <w:rsid w:val="00DE67FF"/>
    <w:rsid w:val="00DE7DD1"/>
    <w:rsid w:val="00DF0B72"/>
    <w:rsid w:val="00DF2506"/>
    <w:rsid w:val="00DF3B2C"/>
    <w:rsid w:val="00DF4350"/>
    <w:rsid w:val="00DF5AF2"/>
    <w:rsid w:val="00DF61B1"/>
    <w:rsid w:val="00DF675A"/>
    <w:rsid w:val="00DF6893"/>
    <w:rsid w:val="00DF7C53"/>
    <w:rsid w:val="00E00AC1"/>
    <w:rsid w:val="00E00C58"/>
    <w:rsid w:val="00E01138"/>
    <w:rsid w:val="00E0229F"/>
    <w:rsid w:val="00E02883"/>
    <w:rsid w:val="00E03054"/>
    <w:rsid w:val="00E03142"/>
    <w:rsid w:val="00E03A18"/>
    <w:rsid w:val="00E05584"/>
    <w:rsid w:val="00E066E4"/>
    <w:rsid w:val="00E079F6"/>
    <w:rsid w:val="00E07CB6"/>
    <w:rsid w:val="00E07FF6"/>
    <w:rsid w:val="00E11335"/>
    <w:rsid w:val="00E123F5"/>
    <w:rsid w:val="00E12766"/>
    <w:rsid w:val="00E135F0"/>
    <w:rsid w:val="00E13FB6"/>
    <w:rsid w:val="00E14045"/>
    <w:rsid w:val="00E14D21"/>
    <w:rsid w:val="00E159D9"/>
    <w:rsid w:val="00E20A76"/>
    <w:rsid w:val="00E22906"/>
    <w:rsid w:val="00E25040"/>
    <w:rsid w:val="00E302B9"/>
    <w:rsid w:val="00E31B03"/>
    <w:rsid w:val="00E34927"/>
    <w:rsid w:val="00E34ABB"/>
    <w:rsid w:val="00E35B15"/>
    <w:rsid w:val="00E3648D"/>
    <w:rsid w:val="00E371D1"/>
    <w:rsid w:val="00E40016"/>
    <w:rsid w:val="00E403F5"/>
    <w:rsid w:val="00E40DB1"/>
    <w:rsid w:val="00E413E2"/>
    <w:rsid w:val="00E4205B"/>
    <w:rsid w:val="00E43A54"/>
    <w:rsid w:val="00E43E9B"/>
    <w:rsid w:val="00E4546E"/>
    <w:rsid w:val="00E47BB5"/>
    <w:rsid w:val="00E47D26"/>
    <w:rsid w:val="00E51439"/>
    <w:rsid w:val="00E514A9"/>
    <w:rsid w:val="00E535F1"/>
    <w:rsid w:val="00E54314"/>
    <w:rsid w:val="00E5517C"/>
    <w:rsid w:val="00E5721D"/>
    <w:rsid w:val="00E575F9"/>
    <w:rsid w:val="00E57E46"/>
    <w:rsid w:val="00E57E65"/>
    <w:rsid w:val="00E620A7"/>
    <w:rsid w:val="00E6247D"/>
    <w:rsid w:val="00E62745"/>
    <w:rsid w:val="00E6420F"/>
    <w:rsid w:val="00E6457E"/>
    <w:rsid w:val="00E7014F"/>
    <w:rsid w:val="00E703C5"/>
    <w:rsid w:val="00E72E23"/>
    <w:rsid w:val="00E73095"/>
    <w:rsid w:val="00E73304"/>
    <w:rsid w:val="00E75125"/>
    <w:rsid w:val="00E766FF"/>
    <w:rsid w:val="00E77C26"/>
    <w:rsid w:val="00E80EAE"/>
    <w:rsid w:val="00E81EFD"/>
    <w:rsid w:val="00E82B1F"/>
    <w:rsid w:val="00E832D6"/>
    <w:rsid w:val="00E83735"/>
    <w:rsid w:val="00E83792"/>
    <w:rsid w:val="00E83E6E"/>
    <w:rsid w:val="00E86591"/>
    <w:rsid w:val="00E93C3C"/>
    <w:rsid w:val="00E961CE"/>
    <w:rsid w:val="00EA3069"/>
    <w:rsid w:val="00EA464F"/>
    <w:rsid w:val="00EA6021"/>
    <w:rsid w:val="00EA6C4C"/>
    <w:rsid w:val="00EA6D9C"/>
    <w:rsid w:val="00EA7304"/>
    <w:rsid w:val="00EA74E3"/>
    <w:rsid w:val="00EA7F11"/>
    <w:rsid w:val="00EB1321"/>
    <w:rsid w:val="00EB1495"/>
    <w:rsid w:val="00EB4936"/>
    <w:rsid w:val="00EB4DC0"/>
    <w:rsid w:val="00EB60D2"/>
    <w:rsid w:val="00EC0A7F"/>
    <w:rsid w:val="00EC16C6"/>
    <w:rsid w:val="00EC2949"/>
    <w:rsid w:val="00EC3C8E"/>
    <w:rsid w:val="00EC3FAC"/>
    <w:rsid w:val="00EC70B0"/>
    <w:rsid w:val="00ED074E"/>
    <w:rsid w:val="00ED2579"/>
    <w:rsid w:val="00ED3178"/>
    <w:rsid w:val="00ED5166"/>
    <w:rsid w:val="00EE05BF"/>
    <w:rsid w:val="00EE1690"/>
    <w:rsid w:val="00EE1FE5"/>
    <w:rsid w:val="00EE478A"/>
    <w:rsid w:val="00EE716C"/>
    <w:rsid w:val="00EE7C81"/>
    <w:rsid w:val="00EF1875"/>
    <w:rsid w:val="00EF1F20"/>
    <w:rsid w:val="00EF2883"/>
    <w:rsid w:val="00EF41A6"/>
    <w:rsid w:val="00EF424A"/>
    <w:rsid w:val="00EF45C0"/>
    <w:rsid w:val="00EF4CF6"/>
    <w:rsid w:val="00EF5A36"/>
    <w:rsid w:val="00EF5A3F"/>
    <w:rsid w:val="00EF65A7"/>
    <w:rsid w:val="00F02583"/>
    <w:rsid w:val="00F02F9F"/>
    <w:rsid w:val="00F03F1D"/>
    <w:rsid w:val="00F040AF"/>
    <w:rsid w:val="00F04FFE"/>
    <w:rsid w:val="00F06A20"/>
    <w:rsid w:val="00F074CF"/>
    <w:rsid w:val="00F0758F"/>
    <w:rsid w:val="00F118F7"/>
    <w:rsid w:val="00F15C28"/>
    <w:rsid w:val="00F201D5"/>
    <w:rsid w:val="00F248D4"/>
    <w:rsid w:val="00F2576F"/>
    <w:rsid w:val="00F26EE2"/>
    <w:rsid w:val="00F27036"/>
    <w:rsid w:val="00F27912"/>
    <w:rsid w:val="00F31D00"/>
    <w:rsid w:val="00F331BB"/>
    <w:rsid w:val="00F348DA"/>
    <w:rsid w:val="00F36023"/>
    <w:rsid w:val="00F40ED0"/>
    <w:rsid w:val="00F415B1"/>
    <w:rsid w:val="00F42989"/>
    <w:rsid w:val="00F44616"/>
    <w:rsid w:val="00F44FD8"/>
    <w:rsid w:val="00F45948"/>
    <w:rsid w:val="00F52991"/>
    <w:rsid w:val="00F54A8C"/>
    <w:rsid w:val="00F56E8F"/>
    <w:rsid w:val="00F6081C"/>
    <w:rsid w:val="00F6185F"/>
    <w:rsid w:val="00F67246"/>
    <w:rsid w:val="00F672FA"/>
    <w:rsid w:val="00F71FE9"/>
    <w:rsid w:val="00F72E08"/>
    <w:rsid w:val="00F74451"/>
    <w:rsid w:val="00F754C0"/>
    <w:rsid w:val="00F77DBF"/>
    <w:rsid w:val="00F805C9"/>
    <w:rsid w:val="00F8143B"/>
    <w:rsid w:val="00F8181E"/>
    <w:rsid w:val="00F822A5"/>
    <w:rsid w:val="00F824D4"/>
    <w:rsid w:val="00F8253B"/>
    <w:rsid w:val="00F8255A"/>
    <w:rsid w:val="00F83D9C"/>
    <w:rsid w:val="00F8457D"/>
    <w:rsid w:val="00F84998"/>
    <w:rsid w:val="00F84CC2"/>
    <w:rsid w:val="00F85366"/>
    <w:rsid w:val="00F86387"/>
    <w:rsid w:val="00F86E0A"/>
    <w:rsid w:val="00F8770B"/>
    <w:rsid w:val="00F90D97"/>
    <w:rsid w:val="00F914FA"/>
    <w:rsid w:val="00F93094"/>
    <w:rsid w:val="00F94248"/>
    <w:rsid w:val="00F946BA"/>
    <w:rsid w:val="00F94FE6"/>
    <w:rsid w:val="00F96022"/>
    <w:rsid w:val="00F9620C"/>
    <w:rsid w:val="00F96B11"/>
    <w:rsid w:val="00F97BB7"/>
    <w:rsid w:val="00FA2A25"/>
    <w:rsid w:val="00FA2EF1"/>
    <w:rsid w:val="00FA2F17"/>
    <w:rsid w:val="00FA3665"/>
    <w:rsid w:val="00FA4080"/>
    <w:rsid w:val="00FA53D9"/>
    <w:rsid w:val="00FA5658"/>
    <w:rsid w:val="00FA7B36"/>
    <w:rsid w:val="00FB0668"/>
    <w:rsid w:val="00FB1129"/>
    <w:rsid w:val="00FB198A"/>
    <w:rsid w:val="00FB5BD6"/>
    <w:rsid w:val="00FB6797"/>
    <w:rsid w:val="00FB70AD"/>
    <w:rsid w:val="00FB7A26"/>
    <w:rsid w:val="00FC0673"/>
    <w:rsid w:val="00FC20C8"/>
    <w:rsid w:val="00FC55B2"/>
    <w:rsid w:val="00FC57C7"/>
    <w:rsid w:val="00FC7BD2"/>
    <w:rsid w:val="00FD09C6"/>
    <w:rsid w:val="00FD10A4"/>
    <w:rsid w:val="00FD14BE"/>
    <w:rsid w:val="00FD1AF4"/>
    <w:rsid w:val="00FD3E4D"/>
    <w:rsid w:val="00FE0DF3"/>
    <w:rsid w:val="00FE43E4"/>
    <w:rsid w:val="00FE5049"/>
    <w:rsid w:val="00FF121B"/>
    <w:rsid w:val="00FF18C9"/>
    <w:rsid w:val="00FF19B7"/>
    <w:rsid w:val="00FF1B80"/>
    <w:rsid w:val="00FF4215"/>
    <w:rsid w:val="00FF4842"/>
    <w:rsid w:val="00FF5665"/>
    <w:rsid w:val="010E2613"/>
    <w:rsid w:val="017207F1"/>
    <w:rsid w:val="0176F17E"/>
    <w:rsid w:val="018D62C2"/>
    <w:rsid w:val="01C2ED02"/>
    <w:rsid w:val="037D57D2"/>
    <w:rsid w:val="03892F09"/>
    <w:rsid w:val="03F0C515"/>
    <w:rsid w:val="0420C8F5"/>
    <w:rsid w:val="0422FAD0"/>
    <w:rsid w:val="0426CB6D"/>
    <w:rsid w:val="04F13AEB"/>
    <w:rsid w:val="053BC7EA"/>
    <w:rsid w:val="056C793C"/>
    <w:rsid w:val="058BBF10"/>
    <w:rsid w:val="05D14CF0"/>
    <w:rsid w:val="05F317F1"/>
    <w:rsid w:val="06BFCD8D"/>
    <w:rsid w:val="070B2869"/>
    <w:rsid w:val="07C76F78"/>
    <w:rsid w:val="08B7987B"/>
    <w:rsid w:val="08F4DBA3"/>
    <w:rsid w:val="097D19D6"/>
    <w:rsid w:val="09A54EC8"/>
    <w:rsid w:val="09E89FC3"/>
    <w:rsid w:val="09FA8868"/>
    <w:rsid w:val="0A2D34A2"/>
    <w:rsid w:val="0AF31931"/>
    <w:rsid w:val="0BEEA0D0"/>
    <w:rsid w:val="0C624E3A"/>
    <w:rsid w:val="0CC8DB66"/>
    <w:rsid w:val="0D6498FE"/>
    <w:rsid w:val="0D80D474"/>
    <w:rsid w:val="0E259CD3"/>
    <w:rsid w:val="0E5E3243"/>
    <w:rsid w:val="0E89994E"/>
    <w:rsid w:val="102F5826"/>
    <w:rsid w:val="108791CE"/>
    <w:rsid w:val="1124850A"/>
    <w:rsid w:val="11B5CE2F"/>
    <w:rsid w:val="11BC07A9"/>
    <w:rsid w:val="128C0628"/>
    <w:rsid w:val="14342D30"/>
    <w:rsid w:val="1473927A"/>
    <w:rsid w:val="14E292BD"/>
    <w:rsid w:val="14E98C9B"/>
    <w:rsid w:val="150D234F"/>
    <w:rsid w:val="151C9CDB"/>
    <w:rsid w:val="1540D1B1"/>
    <w:rsid w:val="15C7812B"/>
    <w:rsid w:val="15EB39B7"/>
    <w:rsid w:val="1602B504"/>
    <w:rsid w:val="166655E7"/>
    <w:rsid w:val="16838941"/>
    <w:rsid w:val="16B8455F"/>
    <w:rsid w:val="17C455AC"/>
    <w:rsid w:val="17FF5AC5"/>
    <w:rsid w:val="1856616C"/>
    <w:rsid w:val="18689FAD"/>
    <w:rsid w:val="18F3C747"/>
    <w:rsid w:val="19B78F0A"/>
    <w:rsid w:val="19FF6346"/>
    <w:rsid w:val="1BB62EE9"/>
    <w:rsid w:val="1BE5815A"/>
    <w:rsid w:val="1CE8582F"/>
    <w:rsid w:val="1CF73D98"/>
    <w:rsid w:val="1D21E4F2"/>
    <w:rsid w:val="1DF43DC2"/>
    <w:rsid w:val="1E35AB1C"/>
    <w:rsid w:val="1E8865BB"/>
    <w:rsid w:val="1EFA230F"/>
    <w:rsid w:val="1F1ACB01"/>
    <w:rsid w:val="1F1CA89C"/>
    <w:rsid w:val="1F579366"/>
    <w:rsid w:val="2000CFB9"/>
    <w:rsid w:val="21176014"/>
    <w:rsid w:val="219275CC"/>
    <w:rsid w:val="220CE909"/>
    <w:rsid w:val="2254495E"/>
    <w:rsid w:val="22736D6D"/>
    <w:rsid w:val="22CA02B9"/>
    <w:rsid w:val="2350B609"/>
    <w:rsid w:val="23ACE0B3"/>
    <w:rsid w:val="24146C86"/>
    <w:rsid w:val="2416ECF0"/>
    <w:rsid w:val="2451600A"/>
    <w:rsid w:val="2482123A"/>
    <w:rsid w:val="24C9354A"/>
    <w:rsid w:val="25087D6F"/>
    <w:rsid w:val="255B2640"/>
    <w:rsid w:val="25711786"/>
    <w:rsid w:val="25EC3C6A"/>
    <w:rsid w:val="262D825E"/>
    <w:rsid w:val="265D422F"/>
    <w:rsid w:val="2675B25E"/>
    <w:rsid w:val="268A13E1"/>
    <w:rsid w:val="26D0B0A7"/>
    <w:rsid w:val="270226BB"/>
    <w:rsid w:val="275448C4"/>
    <w:rsid w:val="2882BFBF"/>
    <w:rsid w:val="29AF62B9"/>
    <w:rsid w:val="2A692717"/>
    <w:rsid w:val="2A75F581"/>
    <w:rsid w:val="2A925F30"/>
    <w:rsid w:val="2AA0DBCE"/>
    <w:rsid w:val="2ACE88D1"/>
    <w:rsid w:val="2B33FDB7"/>
    <w:rsid w:val="2B3C213F"/>
    <w:rsid w:val="2B4D677F"/>
    <w:rsid w:val="2BAA9A05"/>
    <w:rsid w:val="2BC767F7"/>
    <w:rsid w:val="2C2E59B6"/>
    <w:rsid w:val="2C88D263"/>
    <w:rsid w:val="2CE0B1E8"/>
    <w:rsid w:val="2DDF4E58"/>
    <w:rsid w:val="2EB260A9"/>
    <w:rsid w:val="2EBF772F"/>
    <w:rsid w:val="2ECD3C51"/>
    <w:rsid w:val="2F5B0158"/>
    <w:rsid w:val="2F7DDBAD"/>
    <w:rsid w:val="2FA326F8"/>
    <w:rsid w:val="30197F34"/>
    <w:rsid w:val="30E754EA"/>
    <w:rsid w:val="321A2AB2"/>
    <w:rsid w:val="3397F65B"/>
    <w:rsid w:val="33A91368"/>
    <w:rsid w:val="33B79D1B"/>
    <w:rsid w:val="33C08DCD"/>
    <w:rsid w:val="33F08890"/>
    <w:rsid w:val="341FCA8D"/>
    <w:rsid w:val="347436E6"/>
    <w:rsid w:val="35A2EF35"/>
    <w:rsid w:val="35CE9C2D"/>
    <w:rsid w:val="3602A62F"/>
    <w:rsid w:val="36100747"/>
    <w:rsid w:val="36A18A6F"/>
    <w:rsid w:val="372E2EF8"/>
    <w:rsid w:val="37A37AE3"/>
    <w:rsid w:val="383C7DC2"/>
    <w:rsid w:val="383F004D"/>
    <w:rsid w:val="39F739BA"/>
    <w:rsid w:val="3A31FC38"/>
    <w:rsid w:val="3A51EB36"/>
    <w:rsid w:val="3B678569"/>
    <w:rsid w:val="3BE4EF4A"/>
    <w:rsid w:val="3CC7056E"/>
    <w:rsid w:val="3E093572"/>
    <w:rsid w:val="3E8DD001"/>
    <w:rsid w:val="3EEB4D1D"/>
    <w:rsid w:val="403BAE4B"/>
    <w:rsid w:val="40E375D7"/>
    <w:rsid w:val="41480DD3"/>
    <w:rsid w:val="418751E6"/>
    <w:rsid w:val="41B2766E"/>
    <w:rsid w:val="44BBF7B3"/>
    <w:rsid w:val="44C90D0D"/>
    <w:rsid w:val="44CE32E4"/>
    <w:rsid w:val="451AB392"/>
    <w:rsid w:val="454B9F56"/>
    <w:rsid w:val="45CE1D0D"/>
    <w:rsid w:val="4682C028"/>
    <w:rsid w:val="47797F18"/>
    <w:rsid w:val="47A8C51A"/>
    <w:rsid w:val="48574666"/>
    <w:rsid w:val="488F2A15"/>
    <w:rsid w:val="491DFBB5"/>
    <w:rsid w:val="4AEFC6F1"/>
    <w:rsid w:val="4C7D4A1E"/>
    <w:rsid w:val="4CA38722"/>
    <w:rsid w:val="4CED8611"/>
    <w:rsid w:val="4D234FBA"/>
    <w:rsid w:val="4E161709"/>
    <w:rsid w:val="4E324BD5"/>
    <w:rsid w:val="4E6D9806"/>
    <w:rsid w:val="4EA5CBB5"/>
    <w:rsid w:val="4ECF9343"/>
    <w:rsid w:val="4F1DB500"/>
    <w:rsid w:val="4F1E3DEB"/>
    <w:rsid w:val="503AB3DD"/>
    <w:rsid w:val="505CE140"/>
    <w:rsid w:val="505D5429"/>
    <w:rsid w:val="5091102E"/>
    <w:rsid w:val="51B14C38"/>
    <w:rsid w:val="528FB421"/>
    <w:rsid w:val="52F37A61"/>
    <w:rsid w:val="5336FA5E"/>
    <w:rsid w:val="53CB7070"/>
    <w:rsid w:val="53FAC2E1"/>
    <w:rsid w:val="541480A6"/>
    <w:rsid w:val="541A7AF1"/>
    <w:rsid w:val="54535077"/>
    <w:rsid w:val="5524E328"/>
    <w:rsid w:val="5599420B"/>
    <w:rsid w:val="55E972E6"/>
    <w:rsid w:val="562B5B37"/>
    <w:rsid w:val="56580D58"/>
    <w:rsid w:val="56DD6BDD"/>
    <w:rsid w:val="57205E44"/>
    <w:rsid w:val="57930004"/>
    <w:rsid w:val="58007DDE"/>
    <w:rsid w:val="581770A5"/>
    <w:rsid w:val="58793C3E"/>
    <w:rsid w:val="59D54881"/>
    <w:rsid w:val="5A5C1C48"/>
    <w:rsid w:val="5A6CF887"/>
    <w:rsid w:val="5AC19EB9"/>
    <w:rsid w:val="5B8F04D6"/>
    <w:rsid w:val="5CB6AF36"/>
    <w:rsid w:val="5D16E70F"/>
    <w:rsid w:val="5D9C9230"/>
    <w:rsid w:val="5E9F30B5"/>
    <w:rsid w:val="5EDDC72F"/>
    <w:rsid w:val="5F007634"/>
    <w:rsid w:val="5F771029"/>
    <w:rsid w:val="5FBB2AD2"/>
    <w:rsid w:val="5FF33D08"/>
    <w:rsid w:val="60251269"/>
    <w:rsid w:val="60844E23"/>
    <w:rsid w:val="610D71B8"/>
    <w:rsid w:val="6144B9A5"/>
    <w:rsid w:val="615A929B"/>
    <w:rsid w:val="61BACE2D"/>
    <w:rsid w:val="62834CC4"/>
    <w:rsid w:val="62E0FE23"/>
    <w:rsid w:val="634BF0E4"/>
    <w:rsid w:val="63D3E757"/>
    <w:rsid w:val="6458C691"/>
    <w:rsid w:val="649B737B"/>
    <w:rsid w:val="64D2D0FB"/>
    <w:rsid w:val="64E5A29C"/>
    <w:rsid w:val="6506DB8F"/>
    <w:rsid w:val="662A6C56"/>
    <w:rsid w:val="6673B566"/>
    <w:rsid w:val="68BC1FD0"/>
    <w:rsid w:val="68C70D43"/>
    <w:rsid w:val="6A6262C1"/>
    <w:rsid w:val="6AD4D8D3"/>
    <w:rsid w:val="6AFB7623"/>
    <w:rsid w:val="6B36EBCE"/>
    <w:rsid w:val="6B9AD72E"/>
    <w:rsid w:val="6CAA869A"/>
    <w:rsid w:val="6E37DC1B"/>
    <w:rsid w:val="6EDFD93C"/>
    <w:rsid w:val="703A1C6C"/>
    <w:rsid w:val="703DE393"/>
    <w:rsid w:val="704E2C55"/>
    <w:rsid w:val="7085DBC7"/>
    <w:rsid w:val="70E18ECC"/>
    <w:rsid w:val="70E1C192"/>
    <w:rsid w:val="72A80B53"/>
    <w:rsid w:val="733D4188"/>
    <w:rsid w:val="73439BE2"/>
    <w:rsid w:val="7476F680"/>
    <w:rsid w:val="7684C296"/>
    <w:rsid w:val="77299969"/>
    <w:rsid w:val="7745745B"/>
    <w:rsid w:val="77EE00FA"/>
    <w:rsid w:val="78BA927F"/>
    <w:rsid w:val="79585865"/>
    <w:rsid w:val="7B393A15"/>
    <w:rsid w:val="7B8B16C0"/>
    <w:rsid w:val="7C98DCB6"/>
    <w:rsid w:val="7CAA9FE0"/>
    <w:rsid w:val="7CE99F50"/>
    <w:rsid w:val="7D1D1BD1"/>
    <w:rsid w:val="7D7AFBC4"/>
    <w:rsid w:val="7E18BF49"/>
    <w:rsid w:val="7E37D778"/>
    <w:rsid w:val="7E4D3D01"/>
    <w:rsid w:val="7E6826AF"/>
    <w:rsid w:val="7E944509"/>
    <w:rsid w:val="7FA18812"/>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735B15"/>
  <w15:docId w15:val="{109F2D3D-2CBD-48D1-B22C-071616C69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iPriority="0" w:unhideWhenUsed="1" w:qFormat="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4"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uiPriority="22" w:qFormat="1"/>
    <w:lsdException w:name="Emphasis" w:uiPriority="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467A"/>
    <w:pPr>
      <w:spacing w:after="0" w:line="240" w:lineRule="auto"/>
      <w:jc w:val="both"/>
    </w:pPr>
  </w:style>
  <w:style w:type="paragraph" w:styleId="Heading1">
    <w:name w:val="heading 1"/>
    <w:basedOn w:val="Normal"/>
    <w:next w:val="Normal"/>
    <w:link w:val="Heading1Char"/>
    <w:uiPriority w:val="9"/>
    <w:qFormat/>
    <w:rsid w:val="00212DAB"/>
    <w:pPr>
      <w:keepNext/>
      <w:spacing w:before="480" w:line="480" w:lineRule="auto"/>
      <w:outlineLvl w:val="0"/>
    </w:pPr>
    <w:rPr>
      <w:rFonts w:eastAsia="Calibri"/>
      <w:b/>
      <w:bCs/>
      <w:kern w:val="32"/>
      <w:sz w:val="24"/>
      <w:szCs w:val="32"/>
    </w:rPr>
  </w:style>
  <w:style w:type="paragraph" w:styleId="Heading2">
    <w:name w:val="heading 2"/>
    <w:basedOn w:val="Normal"/>
    <w:next w:val="Normal"/>
    <w:link w:val="Heading2Char"/>
    <w:uiPriority w:val="9"/>
    <w:unhideWhenUsed/>
    <w:qFormat/>
    <w:rsid w:val="009E7506"/>
    <w:pPr>
      <w:keepNext/>
      <w:spacing w:before="240" w:after="60"/>
      <w:ind w:left="1890"/>
      <w:jc w:val="left"/>
      <w:outlineLvl w:val="1"/>
    </w:pPr>
    <w:rPr>
      <w:rFonts w:ascii="Calibri Light" w:hAnsi="Calibri Light"/>
      <w:b/>
      <w:bCs/>
      <w:i/>
      <w:iCs/>
      <w:sz w:val="28"/>
      <w:szCs w:val="28"/>
    </w:rPr>
  </w:style>
  <w:style w:type="paragraph" w:styleId="Heading3">
    <w:name w:val="heading 3"/>
    <w:basedOn w:val="Normal"/>
    <w:next w:val="Normal"/>
    <w:link w:val="Heading3Char"/>
    <w:uiPriority w:val="9"/>
    <w:unhideWhenUsed/>
    <w:qFormat/>
    <w:rsid w:val="009E7506"/>
    <w:pPr>
      <w:keepNext/>
      <w:spacing w:before="240" w:after="60"/>
      <w:ind w:left="2880"/>
      <w:jc w:val="left"/>
      <w:outlineLvl w:val="2"/>
    </w:pPr>
    <w:rPr>
      <w:rFonts w:ascii="Calibri Light" w:hAnsi="Calibri Light"/>
      <w:b/>
      <w:bCs/>
      <w:sz w:val="26"/>
      <w:szCs w:val="26"/>
    </w:rPr>
  </w:style>
  <w:style w:type="paragraph" w:styleId="Heading4">
    <w:name w:val="heading 4"/>
    <w:basedOn w:val="Normal"/>
    <w:next w:val="Normal"/>
    <w:link w:val="Heading4Char"/>
    <w:uiPriority w:val="9"/>
    <w:semiHidden/>
    <w:unhideWhenUsed/>
    <w:qFormat/>
    <w:rsid w:val="009E7506"/>
    <w:pPr>
      <w:keepNext/>
      <w:spacing w:before="240" w:after="60"/>
      <w:ind w:left="3600"/>
      <w:jc w:val="left"/>
      <w:outlineLvl w:val="3"/>
    </w:pPr>
    <w:rPr>
      <w:b/>
      <w:bCs/>
      <w:sz w:val="28"/>
      <w:szCs w:val="28"/>
    </w:rPr>
  </w:style>
  <w:style w:type="paragraph" w:styleId="Heading5">
    <w:name w:val="heading 5"/>
    <w:basedOn w:val="Normal"/>
    <w:next w:val="Normal"/>
    <w:link w:val="Heading5Char"/>
    <w:uiPriority w:val="9"/>
    <w:semiHidden/>
    <w:unhideWhenUsed/>
    <w:qFormat/>
    <w:rsid w:val="009E7506"/>
    <w:pPr>
      <w:spacing w:before="240" w:after="60"/>
      <w:ind w:left="4320"/>
      <w:jc w:val="left"/>
      <w:outlineLvl w:val="4"/>
    </w:pPr>
    <w:rPr>
      <w:b/>
      <w:bCs/>
      <w:i/>
      <w:iCs/>
      <w:sz w:val="26"/>
      <w:szCs w:val="26"/>
    </w:rPr>
  </w:style>
  <w:style w:type="paragraph" w:styleId="Heading6">
    <w:name w:val="heading 6"/>
    <w:basedOn w:val="Normal"/>
    <w:link w:val="Heading6Char"/>
    <w:uiPriority w:val="9"/>
    <w:qFormat/>
    <w:rsid w:val="009E7506"/>
    <w:pPr>
      <w:widowControl w:val="0"/>
      <w:ind w:left="5040"/>
      <w:jc w:val="left"/>
      <w:outlineLvl w:val="5"/>
    </w:pPr>
    <w:rPr>
      <w:b/>
      <w:bCs/>
      <w:sz w:val="23"/>
      <w:szCs w:val="23"/>
    </w:rPr>
  </w:style>
  <w:style w:type="paragraph" w:styleId="Heading7">
    <w:name w:val="heading 7"/>
    <w:basedOn w:val="Normal"/>
    <w:next w:val="Normal"/>
    <w:link w:val="Heading7Char"/>
    <w:uiPriority w:val="9"/>
    <w:semiHidden/>
    <w:unhideWhenUsed/>
    <w:qFormat/>
    <w:rsid w:val="009E7506"/>
    <w:pPr>
      <w:spacing w:before="240" w:after="60"/>
      <w:ind w:left="5760"/>
      <w:jc w:val="left"/>
      <w:outlineLvl w:val="6"/>
    </w:pPr>
    <w:rPr>
      <w:sz w:val="24"/>
      <w:szCs w:val="24"/>
    </w:rPr>
  </w:style>
  <w:style w:type="paragraph" w:styleId="Heading8">
    <w:name w:val="heading 8"/>
    <w:basedOn w:val="Normal"/>
    <w:next w:val="Normal"/>
    <w:link w:val="Heading8Char"/>
    <w:uiPriority w:val="9"/>
    <w:semiHidden/>
    <w:unhideWhenUsed/>
    <w:qFormat/>
    <w:rsid w:val="009E7506"/>
    <w:pPr>
      <w:spacing w:before="240" w:after="60"/>
      <w:ind w:left="6480"/>
      <w:jc w:val="left"/>
      <w:outlineLvl w:val="7"/>
    </w:pPr>
    <w:rPr>
      <w:i/>
      <w:iCs/>
      <w:sz w:val="24"/>
      <w:szCs w:val="24"/>
    </w:rPr>
  </w:style>
  <w:style w:type="paragraph" w:styleId="Heading9">
    <w:name w:val="heading 9"/>
    <w:basedOn w:val="Normal"/>
    <w:next w:val="Normal"/>
    <w:link w:val="Heading9Char"/>
    <w:uiPriority w:val="9"/>
    <w:semiHidden/>
    <w:unhideWhenUsed/>
    <w:qFormat/>
    <w:rsid w:val="009E7506"/>
    <w:pPr>
      <w:spacing w:before="240" w:after="60"/>
      <w:ind w:left="7200"/>
      <w:jc w:val="left"/>
      <w:outlineLvl w:val="8"/>
    </w:pPr>
    <w:rPr>
      <w:rFonts w:ascii="Calibri Light" w:hAnsi="Calibri Ligh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212DAB"/>
    <w:rPr>
      <w:rFonts w:ascii="Times New Roman" w:eastAsia="Calibri" w:hAnsi="Times New Roman" w:cs="Times New Roman"/>
      <w:b/>
      <w:bCs/>
      <w:kern w:val="32"/>
      <w:sz w:val="24"/>
      <w:szCs w:val="32"/>
    </w:rPr>
  </w:style>
  <w:style w:type="character" w:customStyle="1" w:styleId="Heading2Char">
    <w:name w:val="Heading 2 Char"/>
    <w:basedOn w:val="DefaultParagraphFont"/>
    <w:link w:val="Heading2"/>
    <w:uiPriority w:val="9"/>
    <w:qFormat/>
    <w:rsid w:val="009E7506"/>
    <w:rPr>
      <w:rFonts w:ascii="Calibri Light" w:eastAsia="Times New Roman" w:hAnsi="Calibri Light" w:cs="Times New Roman"/>
      <w:b/>
      <w:bCs/>
      <w:i/>
      <w:iCs/>
      <w:sz w:val="28"/>
      <w:szCs w:val="28"/>
    </w:rPr>
  </w:style>
  <w:style w:type="character" w:customStyle="1" w:styleId="Heading3Char">
    <w:name w:val="Heading 3 Char"/>
    <w:basedOn w:val="DefaultParagraphFont"/>
    <w:link w:val="Heading3"/>
    <w:uiPriority w:val="9"/>
    <w:qFormat/>
    <w:rsid w:val="009E7506"/>
    <w:rPr>
      <w:rFonts w:ascii="Calibri Light" w:eastAsia="Times New Roman" w:hAnsi="Calibri Light" w:cs="Times New Roman"/>
      <w:b/>
      <w:bCs/>
      <w:sz w:val="26"/>
      <w:szCs w:val="26"/>
    </w:rPr>
  </w:style>
  <w:style w:type="character" w:customStyle="1" w:styleId="Heading4Char">
    <w:name w:val="Heading 4 Char"/>
    <w:basedOn w:val="DefaultParagraphFont"/>
    <w:link w:val="Heading4"/>
    <w:uiPriority w:val="9"/>
    <w:semiHidden/>
    <w:qFormat/>
    <w:rsid w:val="009E7506"/>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
    <w:semiHidden/>
    <w:qFormat/>
    <w:rsid w:val="009E7506"/>
    <w:rPr>
      <w:rFonts w:ascii="Calibri" w:eastAsia="Times New Roman" w:hAnsi="Calibri" w:cs="Times New Roman"/>
      <w:b/>
      <w:bCs/>
      <w:i/>
      <w:iCs/>
      <w:sz w:val="26"/>
      <w:szCs w:val="26"/>
    </w:rPr>
  </w:style>
  <w:style w:type="character" w:customStyle="1" w:styleId="Heading6Char">
    <w:name w:val="Heading 6 Char"/>
    <w:basedOn w:val="DefaultParagraphFont"/>
    <w:link w:val="Heading6"/>
    <w:uiPriority w:val="9"/>
    <w:qFormat/>
    <w:rsid w:val="009E7506"/>
    <w:rPr>
      <w:rFonts w:ascii="Times New Roman" w:eastAsia="Times New Roman" w:hAnsi="Times New Roman" w:cs="Times New Roman"/>
      <w:b/>
      <w:bCs/>
      <w:sz w:val="23"/>
      <w:szCs w:val="23"/>
    </w:rPr>
  </w:style>
  <w:style w:type="character" w:customStyle="1" w:styleId="Heading7Char">
    <w:name w:val="Heading 7 Char"/>
    <w:basedOn w:val="DefaultParagraphFont"/>
    <w:link w:val="Heading7"/>
    <w:uiPriority w:val="9"/>
    <w:semiHidden/>
    <w:qFormat/>
    <w:rsid w:val="009E7506"/>
    <w:rPr>
      <w:rFonts w:ascii="Calibri" w:eastAsia="Times New Roman" w:hAnsi="Calibri" w:cs="Times New Roman"/>
      <w:sz w:val="24"/>
      <w:szCs w:val="24"/>
    </w:rPr>
  </w:style>
  <w:style w:type="character" w:customStyle="1" w:styleId="Heading8Char">
    <w:name w:val="Heading 8 Char"/>
    <w:basedOn w:val="DefaultParagraphFont"/>
    <w:link w:val="Heading8"/>
    <w:uiPriority w:val="9"/>
    <w:semiHidden/>
    <w:qFormat/>
    <w:rsid w:val="009E7506"/>
    <w:rPr>
      <w:rFonts w:ascii="Calibri" w:eastAsia="Times New Roman" w:hAnsi="Calibri" w:cs="Times New Roman"/>
      <w:i/>
      <w:iCs/>
      <w:sz w:val="24"/>
      <w:szCs w:val="24"/>
    </w:rPr>
  </w:style>
  <w:style w:type="character" w:customStyle="1" w:styleId="Heading9Char">
    <w:name w:val="Heading 9 Char"/>
    <w:basedOn w:val="DefaultParagraphFont"/>
    <w:link w:val="Heading9"/>
    <w:uiPriority w:val="9"/>
    <w:semiHidden/>
    <w:qFormat/>
    <w:rsid w:val="009E7506"/>
    <w:rPr>
      <w:rFonts w:ascii="Calibri Light" w:eastAsia="Times New Roman" w:hAnsi="Calibri Light" w:cs="Times New Roman"/>
    </w:rPr>
  </w:style>
  <w:style w:type="paragraph" w:styleId="BalloonText">
    <w:name w:val="Balloon Text"/>
    <w:basedOn w:val="Normal"/>
    <w:link w:val="BalloonTextChar"/>
    <w:semiHidden/>
    <w:qFormat/>
    <w:rsid w:val="009E7506"/>
    <w:rPr>
      <w:rFonts w:ascii="Tahoma" w:eastAsia="Calibri" w:hAnsi="Tahoma"/>
      <w:sz w:val="16"/>
      <w:szCs w:val="16"/>
    </w:rPr>
  </w:style>
  <w:style w:type="character" w:customStyle="1" w:styleId="BalloonTextChar">
    <w:name w:val="Balloon Text Char"/>
    <w:basedOn w:val="DefaultParagraphFont"/>
    <w:link w:val="BalloonText"/>
    <w:semiHidden/>
    <w:qFormat/>
    <w:rsid w:val="009E7506"/>
    <w:rPr>
      <w:rFonts w:ascii="Tahoma" w:eastAsia="Calibri" w:hAnsi="Tahoma" w:cs="Times New Roman"/>
      <w:sz w:val="16"/>
      <w:szCs w:val="16"/>
    </w:rPr>
  </w:style>
  <w:style w:type="paragraph" w:styleId="Header">
    <w:name w:val="header"/>
    <w:basedOn w:val="Normal"/>
    <w:link w:val="HeaderChar"/>
    <w:uiPriority w:val="99"/>
    <w:rsid w:val="009E7506"/>
    <w:pPr>
      <w:tabs>
        <w:tab w:val="center" w:pos="4680"/>
        <w:tab w:val="right" w:pos="9360"/>
      </w:tabs>
    </w:pPr>
    <w:rPr>
      <w:rFonts w:eastAsia="Calibri"/>
      <w:sz w:val="20"/>
      <w:szCs w:val="20"/>
    </w:rPr>
  </w:style>
  <w:style w:type="character" w:customStyle="1" w:styleId="HeaderChar">
    <w:name w:val="Header Char"/>
    <w:basedOn w:val="DefaultParagraphFont"/>
    <w:link w:val="Header"/>
    <w:uiPriority w:val="99"/>
    <w:qFormat/>
    <w:rsid w:val="009E7506"/>
    <w:rPr>
      <w:rFonts w:ascii="Calibri" w:eastAsia="Calibri" w:hAnsi="Calibri" w:cs="Times New Roman"/>
      <w:sz w:val="20"/>
      <w:szCs w:val="20"/>
    </w:rPr>
  </w:style>
  <w:style w:type="paragraph" w:styleId="Footer">
    <w:name w:val="footer"/>
    <w:basedOn w:val="Normal"/>
    <w:link w:val="FooterChar"/>
    <w:uiPriority w:val="99"/>
    <w:rsid w:val="009E7506"/>
    <w:pPr>
      <w:tabs>
        <w:tab w:val="center" w:pos="4680"/>
        <w:tab w:val="right" w:pos="9360"/>
      </w:tabs>
    </w:pPr>
    <w:rPr>
      <w:rFonts w:eastAsia="Calibri"/>
      <w:sz w:val="20"/>
      <w:szCs w:val="20"/>
    </w:rPr>
  </w:style>
  <w:style w:type="character" w:customStyle="1" w:styleId="FooterChar">
    <w:name w:val="Footer Char"/>
    <w:basedOn w:val="DefaultParagraphFont"/>
    <w:link w:val="Footer"/>
    <w:uiPriority w:val="99"/>
    <w:qFormat/>
    <w:rsid w:val="009E7506"/>
    <w:rPr>
      <w:rFonts w:ascii="Calibri" w:eastAsia="Calibri" w:hAnsi="Calibri" w:cs="Times New Roman"/>
      <w:sz w:val="20"/>
      <w:szCs w:val="20"/>
    </w:rPr>
  </w:style>
  <w:style w:type="paragraph" w:styleId="ListParagraph">
    <w:name w:val="List Paragraph"/>
    <w:basedOn w:val="Normal"/>
    <w:link w:val="ListParagraphChar"/>
    <w:uiPriority w:val="34"/>
    <w:qFormat/>
    <w:rsid w:val="009E7506"/>
    <w:pPr>
      <w:spacing w:after="200" w:line="276" w:lineRule="auto"/>
      <w:ind w:left="720"/>
      <w:jc w:val="left"/>
    </w:pPr>
  </w:style>
  <w:style w:type="character" w:styleId="CommentReference">
    <w:name w:val="annotation reference"/>
    <w:uiPriority w:val="99"/>
    <w:qFormat/>
    <w:rsid w:val="009E7506"/>
    <w:rPr>
      <w:rFonts w:cs="Times New Roman"/>
      <w:sz w:val="16"/>
      <w:szCs w:val="16"/>
    </w:rPr>
  </w:style>
  <w:style w:type="paragraph" w:styleId="CommentText">
    <w:name w:val="annotation text"/>
    <w:basedOn w:val="Normal"/>
    <w:link w:val="CommentTextChar"/>
    <w:uiPriority w:val="99"/>
    <w:qFormat/>
    <w:rsid w:val="009E7506"/>
    <w:rPr>
      <w:rFonts w:eastAsia="Calibri"/>
      <w:sz w:val="20"/>
      <w:szCs w:val="20"/>
    </w:rPr>
  </w:style>
  <w:style w:type="character" w:customStyle="1" w:styleId="CommentTextChar">
    <w:name w:val="Comment Text Char"/>
    <w:basedOn w:val="DefaultParagraphFont"/>
    <w:link w:val="CommentText"/>
    <w:uiPriority w:val="99"/>
    <w:qFormat/>
    <w:rsid w:val="009E7506"/>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qFormat/>
    <w:rsid w:val="009E7506"/>
    <w:rPr>
      <w:b/>
      <w:bCs/>
    </w:rPr>
  </w:style>
  <w:style w:type="character" w:customStyle="1" w:styleId="CommentSubjectChar">
    <w:name w:val="Comment Subject Char"/>
    <w:basedOn w:val="CommentTextChar"/>
    <w:link w:val="CommentSubject"/>
    <w:uiPriority w:val="99"/>
    <w:semiHidden/>
    <w:qFormat/>
    <w:rsid w:val="009E7506"/>
    <w:rPr>
      <w:rFonts w:ascii="Calibri" w:eastAsia="Calibri" w:hAnsi="Calibri" w:cs="Times New Roman"/>
      <w:b/>
      <w:bCs/>
      <w:sz w:val="20"/>
      <w:szCs w:val="20"/>
    </w:rPr>
  </w:style>
  <w:style w:type="paragraph" w:styleId="FootnoteText">
    <w:name w:val="footnote text"/>
    <w:aliases w:val="EMI Footnote Text"/>
    <w:basedOn w:val="Normal"/>
    <w:link w:val="FootnoteTextChar2"/>
    <w:uiPriority w:val="99"/>
    <w:qFormat/>
    <w:rsid w:val="009E7506"/>
    <w:rPr>
      <w:rFonts w:eastAsia="Calibri"/>
      <w:sz w:val="20"/>
      <w:szCs w:val="20"/>
    </w:rPr>
  </w:style>
  <w:style w:type="character" w:customStyle="1" w:styleId="FootnoteTextChar">
    <w:name w:val="Footnote Text Char"/>
    <w:aliases w:val="EMI Footnote Text Char"/>
    <w:basedOn w:val="DefaultParagraphFont"/>
    <w:uiPriority w:val="99"/>
    <w:qFormat/>
    <w:rsid w:val="009E7506"/>
    <w:rPr>
      <w:rFonts w:ascii="Calibri" w:eastAsia="Times New Roman" w:hAnsi="Calibri" w:cs="Times New Roman"/>
      <w:sz w:val="20"/>
      <w:szCs w:val="20"/>
    </w:rPr>
  </w:style>
  <w:style w:type="character" w:customStyle="1" w:styleId="FootnoteTextChar2">
    <w:name w:val="Footnote Text Char2"/>
    <w:aliases w:val="EMI Footnote Text Char1"/>
    <w:link w:val="FootnoteText"/>
    <w:uiPriority w:val="99"/>
    <w:qFormat/>
    <w:locked/>
    <w:rsid w:val="009E7506"/>
    <w:rPr>
      <w:rFonts w:ascii="Calibri" w:eastAsia="Calibri" w:hAnsi="Calibri" w:cs="Times New Roman"/>
      <w:sz w:val="20"/>
      <w:szCs w:val="20"/>
    </w:rPr>
  </w:style>
  <w:style w:type="character" w:styleId="FootnoteReference">
    <w:name w:val="footnote reference"/>
    <w:aliases w:val="o"/>
    <w:uiPriority w:val="99"/>
    <w:qFormat/>
    <w:rsid w:val="009E7506"/>
    <w:rPr>
      <w:rFonts w:cs="Times New Roman"/>
      <w:vertAlign w:val="superscript"/>
    </w:rPr>
  </w:style>
  <w:style w:type="character" w:customStyle="1" w:styleId="72">
    <w:name w:val="72"/>
    <w:qFormat/>
    <w:rsid w:val="009E7506"/>
    <w:rPr>
      <w:rFonts w:cs="Times New Roman"/>
    </w:rPr>
  </w:style>
  <w:style w:type="paragraph" w:customStyle="1" w:styleId="Default">
    <w:name w:val="Default"/>
    <w:link w:val="DefaultChar"/>
    <w:qFormat/>
    <w:rsid w:val="009E7506"/>
    <w:pPr>
      <w:autoSpaceDE w:val="0"/>
      <w:autoSpaceDN w:val="0"/>
      <w:adjustRightInd w:val="0"/>
      <w:spacing w:after="0" w:line="240" w:lineRule="auto"/>
    </w:pPr>
    <w:rPr>
      <w:rFonts w:eastAsia="Times New Roman"/>
      <w:color w:val="000000"/>
      <w:sz w:val="24"/>
      <w:szCs w:val="24"/>
    </w:rPr>
  </w:style>
  <w:style w:type="character" w:styleId="Hyperlink">
    <w:name w:val="Hyperlink"/>
    <w:uiPriority w:val="99"/>
    <w:rsid w:val="009E7506"/>
    <w:rPr>
      <w:rFonts w:cs="Times New Roman"/>
      <w:color w:val="0000FF"/>
      <w:u w:val="single"/>
    </w:rPr>
  </w:style>
  <w:style w:type="paragraph" w:styleId="PlainText">
    <w:name w:val="Plain Text"/>
    <w:aliases w:val=" Char"/>
    <w:basedOn w:val="Normal"/>
    <w:link w:val="PlainTextChar"/>
    <w:semiHidden/>
    <w:qFormat/>
    <w:rsid w:val="009E7506"/>
    <w:pPr>
      <w:jc w:val="left"/>
    </w:pPr>
    <w:rPr>
      <w:rFonts w:eastAsia="Calibri"/>
      <w:sz w:val="24"/>
      <w:szCs w:val="24"/>
    </w:rPr>
  </w:style>
  <w:style w:type="character" w:customStyle="1" w:styleId="PlainTextChar">
    <w:name w:val="Plain Text Char"/>
    <w:aliases w:val=" Char Char"/>
    <w:basedOn w:val="DefaultParagraphFont"/>
    <w:link w:val="PlainText"/>
    <w:semiHidden/>
    <w:qFormat/>
    <w:rsid w:val="009E7506"/>
    <w:rPr>
      <w:rFonts w:ascii="Times New Roman" w:eastAsia="Calibri" w:hAnsi="Times New Roman" w:cs="Times New Roman"/>
      <w:sz w:val="24"/>
      <w:szCs w:val="24"/>
    </w:rPr>
  </w:style>
  <w:style w:type="paragraph" w:styleId="Caption">
    <w:name w:val="caption"/>
    <w:basedOn w:val="Normal"/>
    <w:next w:val="Normal"/>
    <w:uiPriority w:val="35"/>
    <w:qFormat/>
    <w:rsid w:val="009E7506"/>
    <w:pPr>
      <w:keepNext/>
      <w:spacing w:before="120" w:after="120"/>
      <w:jc w:val="center"/>
    </w:pPr>
    <w:rPr>
      <w:rFonts w:eastAsia="Calibri"/>
      <w:b/>
      <w:bCs/>
      <w:sz w:val="20"/>
      <w:szCs w:val="20"/>
    </w:rPr>
  </w:style>
  <w:style w:type="paragraph" w:customStyle="1" w:styleId="Question">
    <w:name w:val="Question"/>
    <w:basedOn w:val="Normal"/>
    <w:qFormat/>
    <w:rsid w:val="00804276"/>
    <w:pPr>
      <w:autoSpaceDE w:val="0"/>
      <w:autoSpaceDN w:val="0"/>
      <w:adjustRightInd w:val="0"/>
      <w:spacing w:before="480" w:line="480" w:lineRule="auto"/>
      <w:ind w:left="720" w:hanging="720"/>
    </w:pPr>
    <w:rPr>
      <w:b/>
      <w:caps/>
      <w:sz w:val="24"/>
      <w:szCs w:val="24"/>
    </w:rPr>
  </w:style>
  <w:style w:type="character" w:styleId="LineNumber">
    <w:name w:val="line number"/>
    <w:semiHidden/>
    <w:qFormat/>
    <w:rsid w:val="009E7506"/>
    <w:rPr>
      <w:rFonts w:cs="Times New Roman"/>
    </w:rPr>
  </w:style>
  <w:style w:type="character" w:customStyle="1" w:styleId="CharChar">
    <w:name w:val="Char Char"/>
    <w:rsid w:val="009E7506"/>
    <w:rPr>
      <w:rFonts w:cs="Times New Roman"/>
      <w:lang w:val="en-US" w:eastAsia="en-US" w:bidi="ar-SA"/>
    </w:rPr>
  </w:style>
  <w:style w:type="character" w:styleId="FollowedHyperlink">
    <w:name w:val="FollowedHyperlink"/>
    <w:uiPriority w:val="99"/>
    <w:semiHidden/>
    <w:qFormat/>
    <w:rsid w:val="009E7506"/>
    <w:rPr>
      <w:rFonts w:cs="Times New Roman"/>
      <w:color w:val="800080"/>
      <w:u w:val="single"/>
    </w:rPr>
  </w:style>
  <w:style w:type="character" w:styleId="PageNumber">
    <w:name w:val="page number"/>
    <w:qFormat/>
    <w:rsid w:val="009E7506"/>
    <w:rPr>
      <w:rFonts w:cs="Times New Roman"/>
    </w:rPr>
  </w:style>
  <w:style w:type="paragraph" w:styleId="TOC1">
    <w:name w:val="toc 1"/>
    <w:basedOn w:val="Normal"/>
    <w:next w:val="Normal"/>
    <w:autoRedefine/>
    <w:uiPriority w:val="39"/>
    <w:rsid w:val="0021465F"/>
    <w:pPr>
      <w:tabs>
        <w:tab w:val="left" w:pos="450"/>
        <w:tab w:val="right" w:leader="dot" w:pos="9350"/>
      </w:tabs>
      <w:spacing w:line="480" w:lineRule="auto"/>
      <w:ind w:left="446" w:right="1080" w:hanging="446"/>
      <w:jc w:val="left"/>
    </w:pPr>
  </w:style>
  <w:style w:type="character" w:customStyle="1" w:styleId="FootnoteTextChar1">
    <w:name w:val="Footnote Text Char1"/>
    <w:semiHidden/>
    <w:qFormat/>
    <w:rsid w:val="009E7506"/>
    <w:rPr>
      <w:rFonts w:ascii="Calibri" w:hAnsi="Calibri"/>
      <w:sz w:val="20"/>
    </w:rPr>
  </w:style>
  <w:style w:type="paragraph" w:customStyle="1" w:styleId="msonormalcxspmiddle">
    <w:name w:val="msonormalcxspmiddle"/>
    <w:basedOn w:val="Normal"/>
    <w:rsid w:val="009E7506"/>
    <w:pPr>
      <w:spacing w:before="100" w:beforeAutospacing="1" w:after="100" w:afterAutospacing="1"/>
      <w:jc w:val="left"/>
    </w:pPr>
    <w:rPr>
      <w:sz w:val="24"/>
      <w:szCs w:val="24"/>
    </w:rPr>
  </w:style>
  <w:style w:type="character" w:styleId="Emphasis">
    <w:name w:val="Emphasis"/>
    <w:qFormat/>
    <w:rsid w:val="009E7506"/>
    <w:rPr>
      <w:b/>
      <w:bCs/>
      <w:i w:val="0"/>
      <w:iCs w:val="0"/>
    </w:rPr>
  </w:style>
  <w:style w:type="character" w:customStyle="1" w:styleId="st1">
    <w:name w:val="st1"/>
    <w:basedOn w:val="DefaultParagraphFont"/>
    <w:rsid w:val="009E7506"/>
  </w:style>
  <w:style w:type="numbering" w:customStyle="1" w:styleId="NoList1">
    <w:name w:val="No List1"/>
    <w:next w:val="NoList"/>
    <w:uiPriority w:val="99"/>
    <w:semiHidden/>
    <w:unhideWhenUsed/>
    <w:rsid w:val="009E7506"/>
  </w:style>
  <w:style w:type="paragraph" w:customStyle="1" w:styleId="Style0">
    <w:name w:val="Style0"/>
    <w:rsid w:val="009E7506"/>
    <w:pPr>
      <w:snapToGrid w:val="0"/>
      <w:spacing w:after="0" w:line="240" w:lineRule="auto"/>
    </w:pPr>
    <w:rPr>
      <w:rFonts w:ascii="Arial" w:eastAsia="Times New Roman" w:hAnsi="Arial"/>
      <w:sz w:val="24"/>
      <w:szCs w:val="20"/>
    </w:rPr>
  </w:style>
  <w:style w:type="paragraph" w:styleId="BodyTextIndent">
    <w:name w:val="Body Text Indent"/>
    <w:basedOn w:val="Normal"/>
    <w:link w:val="BodyTextIndentChar"/>
    <w:semiHidden/>
    <w:rsid w:val="009E7506"/>
    <w:pPr>
      <w:spacing w:line="480" w:lineRule="auto"/>
      <w:ind w:left="720" w:hanging="720"/>
    </w:pPr>
    <w:rPr>
      <w:b/>
      <w:bCs/>
      <w:sz w:val="24"/>
      <w:szCs w:val="20"/>
    </w:rPr>
  </w:style>
  <w:style w:type="character" w:customStyle="1" w:styleId="BodyTextIndentChar">
    <w:name w:val="Body Text Indent Char"/>
    <w:basedOn w:val="DefaultParagraphFont"/>
    <w:link w:val="BodyTextIndent"/>
    <w:semiHidden/>
    <w:qFormat/>
    <w:rsid w:val="009E7506"/>
    <w:rPr>
      <w:rFonts w:ascii="Times New Roman" w:eastAsia="Times New Roman" w:hAnsi="Times New Roman" w:cs="Times New Roman"/>
      <w:b/>
      <w:bCs/>
      <w:sz w:val="24"/>
      <w:szCs w:val="20"/>
    </w:rPr>
  </w:style>
  <w:style w:type="paragraph" w:customStyle="1" w:styleId="PleaseNote">
    <w:name w:val="Please Note"/>
    <w:rsid w:val="009E7506"/>
    <w:pPr>
      <w:spacing w:before="60" w:after="60" w:line="240" w:lineRule="auto"/>
      <w:ind w:left="1440" w:hanging="720"/>
    </w:pPr>
    <w:rPr>
      <w:rFonts w:ascii="Tahoma" w:eastAsia="Times New Roman" w:hAnsi="Tahoma"/>
      <w:b/>
      <w:smallCaps/>
      <w:sz w:val="20"/>
      <w:szCs w:val="18"/>
    </w:rPr>
  </w:style>
  <w:style w:type="paragraph" w:styleId="BodyText">
    <w:name w:val="Body Text"/>
    <w:basedOn w:val="Normal"/>
    <w:link w:val="BodyTextChar"/>
    <w:uiPriority w:val="99"/>
    <w:unhideWhenUsed/>
    <w:rsid w:val="009E7506"/>
    <w:pPr>
      <w:spacing w:after="120"/>
      <w:jc w:val="left"/>
    </w:pPr>
    <w:rPr>
      <w:rFonts w:ascii="Arial" w:hAnsi="Arial"/>
      <w:sz w:val="23"/>
      <w:szCs w:val="20"/>
    </w:rPr>
  </w:style>
  <w:style w:type="character" w:customStyle="1" w:styleId="BodyTextChar">
    <w:name w:val="Body Text Char"/>
    <w:basedOn w:val="DefaultParagraphFont"/>
    <w:link w:val="BodyText"/>
    <w:uiPriority w:val="99"/>
    <w:qFormat/>
    <w:rsid w:val="009E7506"/>
    <w:rPr>
      <w:rFonts w:ascii="Arial" w:eastAsia="Times New Roman" w:hAnsi="Arial" w:cs="Times New Roman"/>
      <w:sz w:val="23"/>
      <w:szCs w:val="20"/>
    </w:rPr>
  </w:style>
  <w:style w:type="paragraph" w:customStyle="1" w:styleId="Footnote">
    <w:name w:val="Footnote"/>
    <w:basedOn w:val="FootnoteText"/>
    <w:link w:val="FootnoteChar"/>
    <w:rsid w:val="009E7506"/>
    <w:pPr>
      <w:spacing w:after="240"/>
      <w:jc w:val="left"/>
    </w:pPr>
    <w:rPr>
      <w:rFonts w:ascii="Arial" w:eastAsia="Times New Roman" w:hAnsi="Arial"/>
      <w:sz w:val="18"/>
      <w:szCs w:val="18"/>
    </w:rPr>
  </w:style>
  <w:style w:type="character" w:customStyle="1" w:styleId="FootnoteChar">
    <w:name w:val="Footnote Char"/>
    <w:link w:val="Footnote"/>
    <w:qFormat/>
    <w:rsid w:val="009E7506"/>
    <w:rPr>
      <w:rFonts w:ascii="Arial" w:eastAsia="Times New Roman" w:hAnsi="Arial" w:cs="Times New Roman"/>
      <w:sz w:val="18"/>
      <w:szCs w:val="18"/>
    </w:rPr>
  </w:style>
  <w:style w:type="paragraph" w:styleId="TOCHeading">
    <w:name w:val="TOC Heading"/>
    <w:basedOn w:val="Heading1"/>
    <w:next w:val="Normal"/>
    <w:uiPriority w:val="39"/>
    <w:unhideWhenUsed/>
    <w:qFormat/>
    <w:rsid w:val="009E7506"/>
    <w:pPr>
      <w:keepLines/>
      <w:numPr>
        <w:numId w:val="2"/>
      </w:numPr>
      <w:spacing w:before="240" w:line="259" w:lineRule="auto"/>
      <w:jc w:val="left"/>
      <w:outlineLvl w:val="9"/>
    </w:pPr>
    <w:rPr>
      <w:rFonts w:ascii="Calibri Light" w:eastAsia="Times New Roman" w:hAnsi="Calibri Light"/>
      <w:b w:val="0"/>
      <w:bCs w:val="0"/>
      <w:color w:val="2E74B5"/>
      <w:kern w:val="0"/>
      <w:sz w:val="32"/>
    </w:rPr>
  </w:style>
  <w:style w:type="paragraph" w:styleId="TOC2">
    <w:name w:val="toc 2"/>
    <w:basedOn w:val="Normal"/>
    <w:next w:val="Normal"/>
    <w:autoRedefine/>
    <w:uiPriority w:val="39"/>
    <w:unhideWhenUsed/>
    <w:rsid w:val="009E7506"/>
    <w:pPr>
      <w:tabs>
        <w:tab w:val="left" w:pos="880"/>
        <w:tab w:val="right" w:leader="dot" w:pos="9350"/>
      </w:tabs>
      <w:spacing w:before="120" w:after="240"/>
      <w:ind w:left="230"/>
      <w:jc w:val="left"/>
    </w:pPr>
    <w:rPr>
      <w:rFonts w:ascii="Arial" w:hAnsi="Arial"/>
      <w:sz w:val="23"/>
      <w:szCs w:val="20"/>
    </w:rPr>
  </w:style>
  <w:style w:type="table" w:styleId="TableGrid">
    <w:name w:val="Table Grid"/>
    <w:basedOn w:val="TableNormal"/>
    <w:uiPriority w:val="59"/>
    <w:rsid w:val="009E7506"/>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qFormat/>
    <w:rsid w:val="009E7506"/>
    <w:pPr>
      <w:spacing w:after="0" w:line="240" w:lineRule="auto"/>
    </w:pPr>
    <w:rPr>
      <w:rFonts w:ascii="Arial" w:eastAsia="Times New Roman" w:hAnsi="Arial"/>
      <w:sz w:val="23"/>
      <w:szCs w:val="20"/>
    </w:rPr>
  </w:style>
  <w:style w:type="paragraph" w:styleId="TOC3">
    <w:name w:val="toc 3"/>
    <w:basedOn w:val="Normal"/>
    <w:next w:val="Normal"/>
    <w:autoRedefine/>
    <w:uiPriority w:val="39"/>
    <w:unhideWhenUsed/>
    <w:rsid w:val="009E7506"/>
    <w:pPr>
      <w:ind w:left="460"/>
      <w:jc w:val="left"/>
    </w:pPr>
    <w:rPr>
      <w:rFonts w:ascii="Arial" w:hAnsi="Arial"/>
      <w:sz w:val="23"/>
      <w:szCs w:val="20"/>
    </w:rPr>
  </w:style>
  <w:style w:type="paragraph" w:customStyle="1" w:styleId="TestimonyQ">
    <w:name w:val="Testimony Q"/>
    <w:basedOn w:val="Default"/>
    <w:link w:val="TestimonyQChar"/>
    <w:qFormat/>
    <w:rsid w:val="009E7506"/>
    <w:pPr>
      <w:spacing w:before="480"/>
    </w:pPr>
    <w:rPr>
      <w:b/>
      <w:bCs/>
      <w:caps/>
    </w:rPr>
  </w:style>
  <w:style w:type="character" w:customStyle="1" w:styleId="DefaultChar">
    <w:name w:val="Default Char"/>
    <w:basedOn w:val="DefaultParagraphFont"/>
    <w:link w:val="Default"/>
    <w:rsid w:val="009E7506"/>
    <w:rPr>
      <w:rFonts w:ascii="Times New Roman" w:eastAsia="Times New Roman" w:hAnsi="Times New Roman" w:cs="Times New Roman"/>
      <w:color w:val="000000"/>
      <w:sz w:val="24"/>
      <w:szCs w:val="24"/>
    </w:rPr>
  </w:style>
  <w:style w:type="character" w:customStyle="1" w:styleId="TestimonyQChar">
    <w:name w:val="Testimony Q Char"/>
    <w:basedOn w:val="DefaultChar"/>
    <w:link w:val="TestimonyQ"/>
    <w:rsid w:val="009E7506"/>
    <w:rPr>
      <w:rFonts w:ascii="Times New Roman" w:eastAsia="Times New Roman" w:hAnsi="Times New Roman" w:cs="Times New Roman"/>
      <w:b/>
      <w:bCs/>
      <w:caps/>
      <w:color w:val="000000"/>
      <w:sz w:val="24"/>
      <w:szCs w:val="24"/>
    </w:rPr>
  </w:style>
  <w:style w:type="paragraph" w:customStyle="1" w:styleId="Answers">
    <w:name w:val="Answers"/>
    <w:basedOn w:val="Normal"/>
    <w:link w:val="AnswersChar"/>
    <w:qFormat/>
    <w:rsid w:val="00626BBA"/>
    <w:pPr>
      <w:tabs>
        <w:tab w:val="left" w:pos="720"/>
      </w:tabs>
      <w:spacing w:line="480" w:lineRule="auto"/>
      <w:ind w:left="720" w:hanging="720"/>
    </w:pPr>
    <w:rPr>
      <w:rFonts w:cs="Calibri"/>
      <w:sz w:val="24"/>
      <w:szCs w:val="24"/>
    </w:rPr>
  </w:style>
  <w:style w:type="paragraph" w:customStyle="1" w:styleId="UnderlinedSectionTitle">
    <w:name w:val="Underlined Section Title"/>
    <w:basedOn w:val="ListParagraph"/>
    <w:link w:val="UnderlinedSectionTitleChar"/>
    <w:qFormat/>
    <w:rsid w:val="00212DAB"/>
    <w:pPr>
      <w:spacing w:before="480" w:after="0" w:line="480" w:lineRule="auto"/>
    </w:pPr>
    <w:rPr>
      <w:rFonts w:ascii="Times New Roman Bold" w:hAnsi="Times New Roman Bold"/>
      <w:b/>
      <w:caps/>
      <w:sz w:val="24"/>
      <w:szCs w:val="24"/>
      <w:u w:val="single"/>
    </w:rPr>
  </w:style>
  <w:style w:type="character" w:customStyle="1" w:styleId="AnswersChar">
    <w:name w:val="Answers Char"/>
    <w:basedOn w:val="DefaultParagraphFont"/>
    <w:link w:val="Answers"/>
    <w:rsid w:val="00626BBA"/>
    <w:rPr>
      <w:rFonts w:ascii="Times New Roman" w:eastAsia="Times New Roman" w:hAnsi="Times New Roman" w:cs="Calibri"/>
      <w:sz w:val="24"/>
      <w:szCs w:val="24"/>
    </w:rPr>
  </w:style>
  <w:style w:type="character" w:customStyle="1" w:styleId="UnderlinedSectionTitleChar">
    <w:name w:val="Underlined Section Title Char"/>
    <w:basedOn w:val="DefaultParagraphFont"/>
    <w:link w:val="UnderlinedSectionTitle"/>
    <w:rsid w:val="00212DAB"/>
    <w:rPr>
      <w:rFonts w:ascii="Times New Roman Bold" w:eastAsia="Times New Roman" w:hAnsi="Times New Roman Bold" w:cs="Times New Roman"/>
      <w:b/>
      <w:caps/>
      <w:sz w:val="24"/>
      <w:szCs w:val="24"/>
      <w:u w:val="single"/>
    </w:rPr>
  </w:style>
  <w:style w:type="numbering" w:customStyle="1" w:styleId="NoList2">
    <w:name w:val="No List2"/>
    <w:next w:val="NoList"/>
    <w:uiPriority w:val="99"/>
    <w:semiHidden/>
    <w:unhideWhenUsed/>
    <w:rsid w:val="009E7506"/>
  </w:style>
  <w:style w:type="character" w:customStyle="1" w:styleId="FootnoteCharacters">
    <w:name w:val="Footnote Characters"/>
    <w:uiPriority w:val="99"/>
    <w:qFormat/>
    <w:rsid w:val="009E7506"/>
    <w:rPr>
      <w:rFonts w:cs="Times New Roman"/>
      <w:vertAlign w:val="superscript"/>
    </w:rPr>
  </w:style>
  <w:style w:type="character" w:customStyle="1" w:styleId="FootnoteAnchor">
    <w:name w:val="Footnote Anchor"/>
    <w:rsid w:val="009E7506"/>
    <w:rPr>
      <w:rFonts w:cs="Times New Roman"/>
      <w:vertAlign w:val="superscript"/>
    </w:rPr>
  </w:style>
  <w:style w:type="character" w:customStyle="1" w:styleId="InternetLink">
    <w:name w:val="Internet Link"/>
    <w:uiPriority w:val="99"/>
    <w:rsid w:val="009E7506"/>
    <w:rPr>
      <w:rFonts w:cs="Times New Roman"/>
      <w:color w:val="0000FF"/>
      <w:u w:val="single"/>
    </w:rPr>
  </w:style>
  <w:style w:type="character" w:customStyle="1" w:styleId="SubtitleChar">
    <w:name w:val="Subtitle Char"/>
    <w:basedOn w:val="DefaultParagraphFont"/>
    <w:link w:val="Subtitle"/>
    <w:uiPriority w:val="4"/>
    <w:qFormat/>
    <w:rsid w:val="009E7506"/>
    <w:rPr>
      <w:rFonts w:asciiTheme="majorHAnsi" w:eastAsiaTheme="minorEastAsia" w:hAnsiTheme="majorHAnsi"/>
      <w:color w:val="7F7F7F" w:themeColor="text1" w:themeTint="80"/>
      <w:spacing w:val="15"/>
      <w:sz w:val="32"/>
    </w:rPr>
  </w:style>
  <w:style w:type="character" w:customStyle="1" w:styleId="ListLabel1">
    <w:name w:val="ListLabel 1"/>
    <w:rsid w:val="009E7506"/>
    <w:rPr>
      <w:rFonts w:eastAsia="Noto Sans Symbols" w:cs="Noto Sans Symbols"/>
      <w:b w:val="0"/>
      <w:sz w:val="24"/>
    </w:rPr>
  </w:style>
  <w:style w:type="character" w:customStyle="1" w:styleId="ListLabel2">
    <w:name w:val="ListLabel 2"/>
    <w:rsid w:val="009E7506"/>
    <w:rPr>
      <w:rFonts w:eastAsia="Courier New" w:cs="Courier New"/>
    </w:rPr>
  </w:style>
  <w:style w:type="character" w:customStyle="1" w:styleId="ListLabel3">
    <w:name w:val="ListLabel 3"/>
    <w:rsid w:val="009E7506"/>
    <w:rPr>
      <w:rFonts w:eastAsia="Noto Sans Symbols" w:cs="Noto Sans Symbols"/>
    </w:rPr>
  </w:style>
  <w:style w:type="character" w:customStyle="1" w:styleId="ListLabel4">
    <w:name w:val="ListLabel 4"/>
    <w:rsid w:val="009E7506"/>
    <w:rPr>
      <w:rFonts w:eastAsia="Noto Sans Symbols" w:cs="Noto Sans Symbols"/>
    </w:rPr>
  </w:style>
  <w:style w:type="character" w:customStyle="1" w:styleId="ListLabel5">
    <w:name w:val="ListLabel 5"/>
    <w:rsid w:val="009E7506"/>
    <w:rPr>
      <w:rFonts w:eastAsia="Courier New" w:cs="Courier New"/>
    </w:rPr>
  </w:style>
  <w:style w:type="character" w:customStyle="1" w:styleId="ListLabel6">
    <w:name w:val="ListLabel 6"/>
    <w:rsid w:val="009E7506"/>
    <w:rPr>
      <w:rFonts w:eastAsia="Noto Sans Symbols" w:cs="Noto Sans Symbols"/>
    </w:rPr>
  </w:style>
  <w:style w:type="character" w:customStyle="1" w:styleId="ListLabel7">
    <w:name w:val="ListLabel 7"/>
    <w:rsid w:val="009E7506"/>
    <w:rPr>
      <w:rFonts w:eastAsia="Noto Sans Symbols" w:cs="Noto Sans Symbols"/>
    </w:rPr>
  </w:style>
  <w:style w:type="character" w:customStyle="1" w:styleId="ListLabel8">
    <w:name w:val="ListLabel 8"/>
    <w:rsid w:val="009E7506"/>
    <w:rPr>
      <w:rFonts w:eastAsia="Courier New" w:cs="Courier New"/>
    </w:rPr>
  </w:style>
  <w:style w:type="character" w:customStyle="1" w:styleId="ListLabel9">
    <w:name w:val="ListLabel 9"/>
    <w:rsid w:val="009E7506"/>
    <w:rPr>
      <w:rFonts w:eastAsia="Noto Sans Symbols" w:cs="Noto Sans Symbols"/>
    </w:rPr>
  </w:style>
  <w:style w:type="character" w:customStyle="1" w:styleId="ListLabel10">
    <w:name w:val="ListLabel 10"/>
    <w:rsid w:val="009E7506"/>
    <w:rPr>
      <w:rFonts w:eastAsia="Noto Sans Symbols" w:cs="Noto Sans Symbols"/>
      <w:b w:val="0"/>
      <w:sz w:val="24"/>
    </w:rPr>
  </w:style>
  <w:style w:type="character" w:customStyle="1" w:styleId="ListLabel11">
    <w:name w:val="ListLabel 11"/>
    <w:rsid w:val="009E7506"/>
    <w:rPr>
      <w:rFonts w:eastAsia="Courier New" w:cs="Courier New"/>
    </w:rPr>
  </w:style>
  <w:style w:type="character" w:customStyle="1" w:styleId="ListLabel12">
    <w:name w:val="ListLabel 12"/>
    <w:rsid w:val="009E7506"/>
    <w:rPr>
      <w:rFonts w:eastAsia="Noto Sans Symbols" w:cs="Noto Sans Symbols"/>
    </w:rPr>
  </w:style>
  <w:style w:type="character" w:customStyle="1" w:styleId="ListLabel13">
    <w:name w:val="ListLabel 13"/>
    <w:rsid w:val="009E7506"/>
    <w:rPr>
      <w:rFonts w:eastAsia="Noto Sans Symbols" w:cs="Noto Sans Symbols"/>
    </w:rPr>
  </w:style>
  <w:style w:type="character" w:customStyle="1" w:styleId="ListLabel14">
    <w:name w:val="ListLabel 14"/>
    <w:rsid w:val="009E7506"/>
    <w:rPr>
      <w:rFonts w:eastAsia="Courier New" w:cs="Courier New"/>
    </w:rPr>
  </w:style>
  <w:style w:type="character" w:customStyle="1" w:styleId="ListLabel15">
    <w:name w:val="ListLabel 15"/>
    <w:rsid w:val="009E7506"/>
    <w:rPr>
      <w:rFonts w:eastAsia="Noto Sans Symbols" w:cs="Noto Sans Symbols"/>
    </w:rPr>
  </w:style>
  <w:style w:type="character" w:customStyle="1" w:styleId="ListLabel16">
    <w:name w:val="ListLabel 16"/>
    <w:rsid w:val="009E7506"/>
    <w:rPr>
      <w:rFonts w:eastAsia="Noto Sans Symbols" w:cs="Noto Sans Symbols"/>
    </w:rPr>
  </w:style>
  <w:style w:type="character" w:customStyle="1" w:styleId="ListLabel17">
    <w:name w:val="ListLabel 17"/>
    <w:rsid w:val="009E7506"/>
    <w:rPr>
      <w:rFonts w:eastAsia="Courier New" w:cs="Courier New"/>
    </w:rPr>
  </w:style>
  <w:style w:type="character" w:customStyle="1" w:styleId="ListLabel18">
    <w:name w:val="ListLabel 18"/>
    <w:rsid w:val="009E7506"/>
    <w:rPr>
      <w:rFonts w:eastAsia="Noto Sans Symbols" w:cs="Noto Sans Symbols"/>
    </w:rPr>
  </w:style>
  <w:style w:type="character" w:customStyle="1" w:styleId="ListLabel19">
    <w:name w:val="ListLabel 19"/>
    <w:rsid w:val="009E7506"/>
    <w:rPr>
      <w:rFonts w:eastAsia="Noto Sans Symbols" w:cs="Noto Sans Symbols"/>
      <w:b w:val="0"/>
      <w:sz w:val="24"/>
    </w:rPr>
  </w:style>
  <w:style w:type="character" w:customStyle="1" w:styleId="ListLabel20">
    <w:name w:val="ListLabel 20"/>
    <w:rsid w:val="009E7506"/>
    <w:rPr>
      <w:rFonts w:eastAsia="Courier New" w:cs="Courier New"/>
    </w:rPr>
  </w:style>
  <w:style w:type="character" w:customStyle="1" w:styleId="ListLabel21">
    <w:name w:val="ListLabel 21"/>
    <w:rsid w:val="009E7506"/>
    <w:rPr>
      <w:rFonts w:eastAsia="Noto Sans Symbols" w:cs="Noto Sans Symbols"/>
    </w:rPr>
  </w:style>
  <w:style w:type="character" w:customStyle="1" w:styleId="ListLabel22">
    <w:name w:val="ListLabel 22"/>
    <w:rsid w:val="009E7506"/>
    <w:rPr>
      <w:rFonts w:eastAsia="Noto Sans Symbols" w:cs="Noto Sans Symbols"/>
    </w:rPr>
  </w:style>
  <w:style w:type="character" w:customStyle="1" w:styleId="ListLabel23">
    <w:name w:val="ListLabel 23"/>
    <w:rsid w:val="009E7506"/>
    <w:rPr>
      <w:rFonts w:eastAsia="Courier New" w:cs="Courier New"/>
    </w:rPr>
  </w:style>
  <w:style w:type="character" w:customStyle="1" w:styleId="ListLabel24">
    <w:name w:val="ListLabel 24"/>
    <w:rsid w:val="009E7506"/>
    <w:rPr>
      <w:rFonts w:eastAsia="Noto Sans Symbols" w:cs="Noto Sans Symbols"/>
    </w:rPr>
  </w:style>
  <w:style w:type="character" w:customStyle="1" w:styleId="ListLabel25">
    <w:name w:val="ListLabel 25"/>
    <w:rsid w:val="009E7506"/>
    <w:rPr>
      <w:rFonts w:eastAsia="Noto Sans Symbols" w:cs="Noto Sans Symbols"/>
    </w:rPr>
  </w:style>
  <w:style w:type="character" w:customStyle="1" w:styleId="ListLabel26">
    <w:name w:val="ListLabel 26"/>
    <w:rsid w:val="009E7506"/>
    <w:rPr>
      <w:rFonts w:eastAsia="Courier New" w:cs="Courier New"/>
    </w:rPr>
  </w:style>
  <w:style w:type="character" w:customStyle="1" w:styleId="ListLabel27">
    <w:name w:val="ListLabel 27"/>
    <w:rsid w:val="009E7506"/>
    <w:rPr>
      <w:rFonts w:eastAsia="Noto Sans Symbols" w:cs="Noto Sans Symbols"/>
    </w:rPr>
  </w:style>
  <w:style w:type="character" w:customStyle="1" w:styleId="IndexLink">
    <w:name w:val="Index Link"/>
    <w:rsid w:val="009E7506"/>
  </w:style>
  <w:style w:type="character" w:customStyle="1" w:styleId="EndnoteAnchor">
    <w:name w:val="Endnote Anchor"/>
    <w:rsid w:val="009E7506"/>
    <w:rPr>
      <w:vertAlign w:val="superscript"/>
    </w:rPr>
  </w:style>
  <w:style w:type="character" w:customStyle="1" w:styleId="EndnoteCharacters">
    <w:name w:val="Endnote Characters"/>
    <w:qFormat/>
    <w:rsid w:val="009E7506"/>
  </w:style>
  <w:style w:type="paragraph" w:customStyle="1" w:styleId="Heading">
    <w:name w:val="Heading"/>
    <w:basedOn w:val="Normal"/>
    <w:next w:val="BodyText"/>
    <w:qFormat/>
    <w:rsid w:val="009E7506"/>
    <w:pPr>
      <w:keepNext/>
      <w:spacing w:before="240" w:after="120"/>
    </w:pPr>
    <w:rPr>
      <w:rFonts w:ascii="Liberation Sans" w:eastAsia="Microsoft YaHei" w:hAnsi="Liberation Sans" w:cs="Lucida Sans"/>
      <w:sz w:val="28"/>
      <w:szCs w:val="28"/>
      <w:lang w:eastAsia="zh-CN" w:bidi="hi-IN"/>
    </w:rPr>
  </w:style>
  <w:style w:type="character" w:customStyle="1" w:styleId="BodyTextChar1">
    <w:name w:val="Body Text Char1"/>
    <w:basedOn w:val="DefaultParagraphFont"/>
    <w:uiPriority w:val="99"/>
    <w:semiHidden/>
    <w:rsid w:val="009E7506"/>
    <w:rPr>
      <w:rFonts w:eastAsia="Times New Roman" w:cs="Mangal"/>
      <w:sz w:val="22"/>
      <w:szCs w:val="20"/>
    </w:rPr>
  </w:style>
  <w:style w:type="paragraph" w:styleId="List">
    <w:name w:val="List"/>
    <w:basedOn w:val="BodyText"/>
    <w:rsid w:val="009E7506"/>
    <w:rPr>
      <w:rFonts w:cs="Lucida Sans"/>
      <w:szCs w:val="22"/>
      <w:lang w:eastAsia="zh-CN" w:bidi="hi-IN"/>
    </w:rPr>
  </w:style>
  <w:style w:type="paragraph" w:customStyle="1" w:styleId="Index">
    <w:name w:val="Index"/>
    <w:basedOn w:val="Normal"/>
    <w:qFormat/>
    <w:rsid w:val="009E7506"/>
    <w:pPr>
      <w:suppressLineNumbers/>
    </w:pPr>
    <w:rPr>
      <w:rFonts w:cs="Lucida Sans"/>
      <w:lang w:eastAsia="zh-CN" w:bidi="hi-IN"/>
    </w:rPr>
  </w:style>
  <w:style w:type="paragraph" w:customStyle="1" w:styleId="LO-normal">
    <w:name w:val="LO-normal"/>
    <w:rsid w:val="009E7506"/>
    <w:pPr>
      <w:spacing w:after="0" w:line="240" w:lineRule="auto"/>
      <w:jc w:val="both"/>
    </w:pPr>
    <w:rPr>
      <w:rFonts w:ascii="Calibri" w:eastAsia="Calibri" w:hAnsi="Calibri" w:cs="Calibri"/>
      <w:lang w:eastAsia="zh-CN" w:bidi="hi-IN"/>
    </w:rPr>
  </w:style>
  <w:style w:type="paragraph" w:styleId="Title">
    <w:name w:val="Title"/>
    <w:basedOn w:val="LO-normal"/>
    <w:next w:val="LO-normal"/>
    <w:link w:val="TitleChar"/>
    <w:uiPriority w:val="10"/>
    <w:qFormat/>
    <w:rsid w:val="009E7506"/>
    <w:pPr>
      <w:keepNext/>
      <w:keepLines/>
      <w:spacing w:before="480" w:after="120"/>
    </w:pPr>
    <w:rPr>
      <w:b/>
      <w:sz w:val="72"/>
      <w:szCs w:val="72"/>
    </w:rPr>
  </w:style>
  <w:style w:type="character" w:customStyle="1" w:styleId="TitleChar">
    <w:name w:val="Title Char"/>
    <w:basedOn w:val="DefaultParagraphFont"/>
    <w:link w:val="Title"/>
    <w:uiPriority w:val="10"/>
    <w:rsid w:val="009E7506"/>
    <w:rPr>
      <w:rFonts w:ascii="Calibri" w:eastAsia="Calibri" w:hAnsi="Calibri" w:cs="Calibri"/>
      <w:b/>
      <w:sz w:val="72"/>
      <w:szCs w:val="72"/>
      <w:lang w:eastAsia="zh-CN" w:bidi="hi-IN"/>
    </w:rPr>
  </w:style>
  <w:style w:type="character" w:customStyle="1" w:styleId="BalloonTextChar1">
    <w:name w:val="Balloon Text Char1"/>
    <w:basedOn w:val="DefaultParagraphFont"/>
    <w:uiPriority w:val="99"/>
    <w:semiHidden/>
    <w:rsid w:val="009E7506"/>
    <w:rPr>
      <w:rFonts w:ascii="Tahoma" w:eastAsia="Times New Roman" w:hAnsi="Tahoma" w:cs="Mangal"/>
      <w:sz w:val="16"/>
      <w:szCs w:val="14"/>
    </w:rPr>
  </w:style>
  <w:style w:type="character" w:customStyle="1" w:styleId="HeaderChar1">
    <w:name w:val="Header Char1"/>
    <w:basedOn w:val="DefaultParagraphFont"/>
    <w:uiPriority w:val="99"/>
    <w:semiHidden/>
    <w:rsid w:val="009E7506"/>
    <w:rPr>
      <w:rFonts w:eastAsia="Times New Roman" w:cs="Mangal"/>
      <w:sz w:val="22"/>
      <w:szCs w:val="20"/>
    </w:rPr>
  </w:style>
  <w:style w:type="character" w:customStyle="1" w:styleId="FooterChar1">
    <w:name w:val="Footer Char1"/>
    <w:basedOn w:val="DefaultParagraphFont"/>
    <w:uiPriority w:val="99"/>
    <w:semiHidden/>
    <w:rsid w:val="009E7506"/>
    <w:rPr>
      <w:rFonts w:eastAsia="Times New Roman" w:cs="Mangal"/>
      <w:sz w:val="22"/>
      <w:szCs w:val="20"/>
    </w:rPr>
  </w:style>
  <w:style w:type="character" w:customStyle="1" w:styleId="CommentTextChar1">
    <w:name w:val="Comment Text Char1"/>
    <w:basedOn w:val="DefaultParagraphFont"/>
    <w:uiPriority w:val="99"/>
    <w:semiHidden/>
    <w:rsid w:val="009E7506"/>
    <w:rPr>
      <w:rFonts w:eastAsia="Times New Roman" w:cs="Mangal"/>
      <w:szCs w:val="18"/>
    </w:rPr>
  </w:style>
  <w:style w:type="character" w:customStyle="1" w:styleId="CommentSubjectChar1">
    <w:name w:val="Comment Subject Char1"/>
    <w:basedOn w:val="CommentTextChar1"/>
    <w:uiPriority w:val="99"/>
    <w:semiHidden/>
    <w:rsid w:val="009E7506"/>
    <w:rPr>
      <w:rFonts w:eastAsia="Times New Roman" w:cs="Mangal"/>
      <w:b/>
      <w:bCs/>
      <w:szCs w:val="18"/>
    </w:rPr>
  </w:style>
  <w:style w:type="paragraph" w:customStyle="1" w:styleId="FootnoteText1">
    <w:name w:val="Footnote Text1"/>
    <w:basedOn w:val="LO-normal"/>
    <w:rsid w:val="009E7506"/>
    <w:pPr>
      <w:spacing w:after="240"/>
      <w:jc w:val="left"/>
    </w:pPr>
    <w:rPr>
      <w:rFonts w:ascii="Arial" w:eastAsia="Times New Roman" w:hAnsi="Arial"/>
      <w:sz w:val="18"/>
      <w:szCs w:val="18"/>
    </w:rPr>
  </w:style>
  <w:style w:type="character" w:customStyle="1" w:styleId="PlainTextChar1">
    <w:name w:val="Plain Text Char1"/>
    <w:basedOn w:val="DefaultParagraphFont"/>
    <w:uiPriority w:val="99"/>
    <w:semiHidden/>
    <w:rsid w:val="009E7506"/>
    <w:rPr>
      <w:rFonts w:ascii="Consolas" w:eastAsia="Times New Roman" w:hAnsi="Consolas" w:cs="Mangal"/>
      <w:sz w:val="21"/>
      <w:szCs w:val="19"/>
    </w:rPr>
  </w:style>
  <w:style w:type="character" w:customStyle="1" w:styleId="BodyTextIndentChar1">
    <w:name w:val="Body Text Indent Char1"/>
    <w:basedOn w:val="DefaultParagraphFont"/>
    <w:uiPriority w:val="99"/>
    <w:semiHidden/>
    <w:rsid w:val="009E7506"/>
    <w:rPr>
      <w:rFonts w:eastAsia="Times New Roman" w:cs="Mangal"/>
      <w:sz w:val="22"/>
      <w:szCs w:val="20"/>
    </w:rPr>
  </w:style>
  <w:style w:type="paragraph" w:styleId="Subtitle">
    <w:name w:val="Subtitle"/>
    <w:basedOn w:val="LO-normal"/>
    <w:next w:val="LO-normal"/>
    <w:link w:val="SubtitleChar"/>
    <w:uiPriority w:val="4"/>
    <w:qFormat/>
    <w:rsid w:val="009E7506"/>
    <w:pPr>
      <w:spacing w:after="240" w:line="259" w:lineRule="auto"/>
    </w:pPr>
    <w:rPr>
      <w:rFonts w:asciiTheme="majorHAnsi" w:eastAsiaTheme="minorEastAsia" w:hAnsiTheme="majorHAnsi" w:cstheme="minorBidi"/>
      <w:color w:val="7F7F7F" w:themeColor="text1" w:themeTint="80"/>
      <w:spacing w:val="15"/>
      <w:sz w:val="32"/>
      <w:lang w:eastAsia="en-US" w:bidi="ar-SA"/>
    </w:rPr>
  </w:style>
  <w:style w:type="character" w:customStyle="1" w:styleId="SubtitleChar1">
    <w:name w:val="Subtitle Char1"/>
    <w:basedOn w:val="DefaultParagraphFont"/>
    <w:uiPriority w:val="11"/>
    <w:rsid w:val="009E7506"/>
    <w:rPr>
      <w:rFonts w:eastAsiaTheme="minorEastAsia"/>
      <w:color w:val="5A5A5A" w:themeColor="text1" w:themeTint="A5"/>
      <w:spacing w:val="15"/>
    </w:rPr>
  </w:style>
  <w:style w:type="paragraph" w:customStyle="1" w:styleId="BULLETS">
    <w:name w:val="BULLETS"/>
    <w:basedOn w:val="ListParagraph"/>
    <w:qFormat/>
    <w:rsid w:val="009E7506"/>
    <w:pPr>
      <w:tabs>
        <w:tab w:val="left" w:pos="990"/>
        <w:tab w:val="left" w:pos="1725"/>
      </w:tabs>
      <w:spacing w:after="0" w:line="480" w:lineRule="auto"/>
      <w:ind w:left="1440"/>
    </w:pPr>
    <w:rPr>
      <w:rFonts w:eastAsia="Calibri" w:cs="Calibri"/>
      <w:sz w:val="24"/>
      <w:szCs w:val="24"/>
      <w:lang w:eastAsia="zh-CN" w:bidi="hi-IN"/>
    </w:rPr>
  </w:style>
  <w:style w:type="numbering" w:customStyle="1" w:styleId="NoList11">
    <w:name w:val="No List11"/>
    <w:uiPriority w:val="99"/>
    <w:semiHidden/>
    <w:unhideWhenUsed/>
    <w:qFormat/>
    <w:rsid w:val="009E7506"/>
  </w:style>
  <w:style w:type="table" w:customStyle="1" w:styleId="TableGrid1">
    <w:name w:val="Table Grid1"/>
    <w:basedOn w:val="TableNormal"/>
    <w:next w:val="TableGrid"/>
    <w:uiPriority w:val="39"/>
    <w:rsid w:val="009E7506"/>
    <w:pPr>
      <w:spacing w:after="0" w:line="240" w:lineRule="auto"/>
    </w:pPr>
    <w:rPr>
      <w:rFonts w:ascii="Calibri" w:eastAsia="Calibri" w:hAnsi="Calibri" w:cs="Calibri"/>
      <w:sz w:val="20"/>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3">
    <w:name w:val="Footnote Text Char3"/>
    <w:basedOn w:val="DefaultParagraphFont"/>
    <w:uiPriority w:val="99"/>
    <w:semiHidden/>
    <w:rsid w:val="009E7506"/>
    <w:rPr>
      <w:rFonts w:eastAsia="Times New Roman" w:cs="Mangal"/>
      <w:szCs w:val="18"/>
    </w:rPr>
  </w:style>
  <w:style w:type="character" w:customStyle="1" w:styleId="UnresolvedMention1">
    <w:name w:val="Unresolved Mention1"/>
    <w:basedOn w:val="DefaultParagraphFont"/>
    <w:uiPriority w:val="99"/>
    <w:semiHidden/>
    <w:unhideWhenUsed/>
    <w:rsid w:val="009E7113"/>
    <w:rPr>
      <w:color w:val="605E5C"/>
      <w:shd w:val="clear" w:color="auto" w:fill="E1DFDD"/>
    </w:rPr>
  </w:style>
  <w:style w:type="character" w:customStyle="1" w:styleId="ListParagraphChar">
    <w:name w:val="List Paragraph Char"/>
    <w:link w:val="ListParagraph"/>
    <w:uiPriority w:val="34"/>
    <w:rsid w:val="00C43CB5"/>
    <w:rPr>
      <w:rFonts w:ascii="Calibri" w:eastAsia="Times New Roman" w:hAnsi="Calibri" w:cs="Times New Roman"/>
    </w:rPr>
  </w:style>
  <w:style w:type="table" w:customStyle="1" w:styleId="TableGrid2">
    <w:name w:val="Table Grid2"/>
    <w:basedOn w:val="TableNormal"/>
    <w:next w:val="TableGrid"/>
    <w:uiPriority w:val="39"/>
    <w:rsid w:val="006E593A"/>
    <w:pPr>
      <w:spacing w:after="0" w:line="240" w:lineRule="auto"/>
    </w:pPr>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6E593A"/>
    <w:pPr>
      <w:spacing w:after="0" w:line="240" w:lineRule="auto"/>
    </w:pPr>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6E593A"/>
    <w:pPr>
      <w:spacing w:after="0" w:line="240" w:lineRule="auto"/>
    </w:pPr>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03F1D"/>
    <w:rPr>
      <w:color w:val="605E5C"/>
      <w:shd w:val="clear" w:color="auto" w:fill="E1DFDD"/>
    </w:rPr>
  </w:style>
  <w:style w:type="paragraph" w:styleId="Quote">
    <w:name w:val="Quote"/>
    <w:basedOn w:val="Normal"/>
    <w:next w:val="Normal"/>
    <w:link w:val="QuoteChar"/>
    <w:uiPriority w:val="29"/>
    <w:qFormat/>
    <w:rsid w:val="00E83E6E"/>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E83E6E"/>
    <w:rPr>
      <w:rFonts w:ascii="Calibri" w:eastAsia="Times New Roman" w:hAnsi="Calibri" w:cs="Times New Roman"/>
      <w:i/>
      <w:iCs/>
      <w:color w:val="404040" w:themeColor="text1" w:themeTint="BF"/>
    </w:rPr>
  </w:style>
  <w:style w:type="paragraph" w:customStyle="1" w:styleId="xquestion">
    <w:name w:val="x_question"/>
    <w:basedOn w:val="Normal"/>
    <w:rsid w:val="00C4385C"/>
    <w:pPr>
      <w:spacing w:before="100" w:beforeAutospacing="1" w:after="100" w:afterAutospacing="1"/>
      <w:jc w:val="left"/>
    </w:pPr>
    <w:rPr>
      <w:sz w:val="24"/>
      <w:szCs w:val="24"/>
    </w:rPr>
  </w:style>
  <w:style w:type="character" w:customStyle="1" w:styleId="cf01">
    <w:name w:val="cf01"/>
    <w:basedOn w:val="DefaultParagraphFont"/>
    <w:rsid w:val="00E01138"/>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578346">
      <w:bodyDiv w:val="1"/>
      <w:marLeft w:val="0"/>
      <w:marRight w:val="0"/>
      <w:marTop w:val="0"/>
      <w:marBottom w:val="0"/>
      <w:divBdr>
        <w:top w:val="none" w:sz="0" w:space="0" w:color="auto"/>
        <w:left w:val="none" w:sz="0" w:space="0" w:color="auto"/>
        <w:bottom w:val="none" w:sz="0" w:space="0" w:color="auto"/>
        <w:right w:val="none" w:sz="0" w:space="0" w:color="auto"/>
      </w:divBdr>
    </w:div>
    <w:div w:id="138772052">
      <w:bodyDiv w:val="1"/>
      <w:marLeft w:val="0"/>
      <w:marRight w:val="0"/>
      <w:marTop w:val="0"/>
      <w:marBottom w:val="0"/>
      <w:divBdr>
        <w:top w:val="none" w:sz="0" w:space="0" w:color="auto"/>
        <w:left w:val="none" w:sz="0" w:space="0" w:color="auto"/>
        <w:bottom w:val="none" w:sz="0" w:space="0" w:color="auto"/>
        <w:right w:val="none" w:sz="0" w:space="0" w:color="auto"/>
      </w:divBdr>
    </w:div>
    <w:div w:id="323969012">
      <w:bodyDiv w:val="1"/>
      <w:marLeft w:val="0"/>
      <w:marRight w:val="0"/>
      <w:marTop w:val="0"/>
      <w:marBottom w:val="0"/>
      <w:divBdr>
        <w:top w:val="none" w:sz="0" w:space="0" w:color="auto"/>
        <w:left w:val="none" w:sz="0" w:space="0" w:color="auto"/>
        <w:bottom w:val="none" w:sz="0" w:space="0" w:color="auto"/>
        <w:right w:val="none" w:sz="0" w:space="0" w:color="auto"/>
      </w:divBdr>
    </w:div>
    <w:div w:id="420296776">
      <w:bodyDiv w:val="1"/>
      <w:marLeft w:val="0"/>
      <w:marRight w:val="0"/>
      <w:marTop w:val="0"/>
      <w:marBottom w:val="0"/>
      <w:divBdr>
        <w:top w:val="none" w:sz="0" w:space="0" w:color="auto"/>
        <w:left w:val="none" w:sz="0" w:space="0" w:color="auto"/>
        <w:bottom w:val="none" w:sz="0" w:space="0" w:color="auto"/>
        <w:right w:val="none" w:sz="0" w:space="0" w:color="auto"/>
      </w:divBdr>
    </w:div>
    <w:div w:id="428278710">
      <w:bodyDiv w:val="1"/>
      <w:marLeft w:val="0"/>
      <w:marRight w:val="0"/>
      <w:marTop w:val="0"/>
      <w:marBottom w:val="0"/>
      <w:divBdr>
        <w:top w:val="none" w:sz="0" w:space="0" w:color="auto"/>
        <w:left w:val="none" w:sz="0" w:space="0" w:color="auto"/>
        <w:bottom w:val="none" w:sz="0" w:space="0" w:color="auto"/>
        <w:right w:val="none" w:sz="0" w:space="0" w:color="auto"/>
      </w:divBdr>
    </w:div>
    <w:div w:id="460347114">
      <w:bodyDiv w:val="1"/>
      <w:marLeft w:val="0"/>
      <w:marRight w:val="0"/>
      <w:marTop w:val="0"/>
      <w:marBottom w:val="0"/>
      <w:divBdr>
        <w:top w:val="none" w:sz="0" w:space="0" w:color="auto"/>
        <w:left w:val="none" w:sz="0" w:space="0" w:color="auto"/>
        <w:bottom w:val="none" w:sz="0" w:space="0" w:color="auto"/>
        <w:right w:val="none" w:sz="0" w:space="0" w:color="auto"/>
      </w:divBdr>
    </w:div>
    <w:div w:id="568617485">
      <w:bodyDiv w:val="1"/>
      <w:marLeft w:val="0"/>
      <w:marRight w:val="0"/>
      <w:marTop w:val="0"/>
      <w:marBottom w:val="0"/>
      <w:divBdr>
        <w:top w:val="none" w:sz="0" w:space="0" w:color="auto"/>
        <w:left w:val="none" w:sz="0" w:space="0" w:color="auto"/>
        <w:bottom w:val="none" w:sz="0" w:space="0" w:color="auto"/>
        <w:right w:val="none" w:sz="0" w:space="0" w:color="auto"/>
      </w:divBdr>
    </w:div>
    <w:div w:id="699670126">
      <w:bodyDiv w:val="1"/>
      <w:marLeft w:val="0"/>
      <w:marRight w:val="0"/>
      <w:marTop w:val="0"/>
      <w:marBottom w:val="0"/>
      <w:divBdr>
        <w:top w:val="none" w:sz="0" w:space="0" w:color="auto"/>
        <w:left w:val="none" w:sz="0" w:space="0" w:color="auto"/>
        <w:bottom w:val="none" w:sz="0" w:space="0" w:color="auto"/>
        <w:right w:val="none" w:sz="0" w:space="0" w:color="auto"/>
      </w:divBdr>
    </w:div>
    <w:div w:id="703287609">
      <w:bodyDiv w:val="1"/>
      <w:marLeft w:val="0"/>
      <w:marRight w:val="0"/>
      <w:marTop w:val="0"/>
      <w:marBottom w:val="0"/>
      <w:divBdr>
        <w:top w:val="none" w:sz="0" w:space="0" w:color="auto"/>
        <w:left w:val="none" w:sz="0" w:space="0" w:color="auto"/>
        <w:bottom w:val="none" w:sz="0" w:space="0" w:color="auto"/>
        <w:right w:val="none" w:sz="0" w:space="0" w:color="auto"/>
      </w:divBdr>
    </w:div>
    <w:div w:id="774791240">
      <w:bodyDiv w:val="1"/>
      <w:marLeft w:val="0"/>
      <w:marRight w:val="0"/>
      <w:marTop w:val="0"/>
      <w:marBottom w:val="0"/>
      <w:divBdr>
        <w:top w:val="none" w:sz="0" w:space="0" w:color="auto"/>
        <w:left w:val="none" w:sz="0" w:space="0" w:color="auto"/>
        <w:bottom w:val="none" w:sz="0" w:space="0" w:color="auto"/>
        <w:right w:val="none" w:sz="0" w:space="0" w:color="auto"/>
      </w:divBdr>
    </w:div>
    <w:div w:id="932013137">
      <w:bodyDiv w:val="1"/>
      <w:marLeft w:val="0"/>
      <w:marRight w:val="0"/>
      <w:marTop w:val="0"/>
      <w:marBottom w:val="0"/>
      <w:divBdr>
        <w:top w:val="none" w:sz="0" w:space="0" w:color="auto"/>
        <w:left w:val="none" w:sz="0" w:space="0" w:color="auto"/>
        <w:bottom w:val="none" w:sz="0" w:space="0" w:color="auto"/>
        <w:right w:val="none" w:sz="0" w:space="0" w:color="auto"/>
      </w:divBdr>
    </w:div>
    <w:div w:id="942567274">
      <w:bodyDiv w:val="1"/>
      <w:marLeft w:val="0"/>
      <w:marRight w:val="0"/>
      <w:marTop w:val="0"/>
      <w:marBottom w:val="0"/>
      <w:divBdr>
        <w:top w:val="none" w:sz="0" w:space="0" w:color="auto"/>
        <w:left w:val="none" w:sz="0" w:space="0" w:color="auto"/>
        <w:bottom w:val="none" w:sz="0" w:space="0" w:color="auto"/>
        <w:right w:val="none" w:sz="0" w:space="0" w:color="auto"/>
      </w:divBdr>
    </w:div>
    <w:div w:id="1045133790">
      <w:bodyDiv w:val="1"/>
      <w:marLeft w:val="0"/>
      <w:marRight w:val="0"/>
      <w:marTop w:val="0"/>
      <w:marBottom w:val="0"/>
      <w:divBdr>
        <w:top w:val="none" w:sz="0" w:space="0" w:color="auto"/>
        <w:left w:val="none" w:sz="0" w:space="0" w:color="auto"/>
        <w:bottom w:val="none" w:sz="0" w:space="0" w:color="auto"/>
        <w:right w:val="none" w:sz="0" w:space="0" w:color="auto"/>
      </w:divBdr>
    </w:div>
    <w:div w:id="1141844877">
      <w:bodyDiv w:val="1"/>
      <w:marLeft w:val="0"/>
      <w:marRight w:val="0"/>
      <w:marTop w:val="0"/>
      <w:marBottom w:val="0"/>
      <w:divBdr>
        <w:top w:val="none" w:sz="0" w:space="0" w:color="auto"/>
        <w:left w:val="none" w:sz="0" w:space="0" w:color="auto"/>
        <w:bottom w:val="none" w:sz="0" w:space="0" w:color="auto"/>
        <w:right w:val="none" w:sz="0" w:space="0" w:color="auto"/>
      </w:divBdr>
    </w:div>
    <w:div w:id="1145971698">
      <w:bodyDiv w:val="1"/>
      <w:marLeft w:val="0"/>
      <w:marRight w:val="0"/>
      <w:marTop w:val="0"/>
      <w:marBottom w:val="0"/>
      <w:divBdr>
        <w:top w:val="none" w:sz="0" w:space="0" w:color="auto"/>
        <w:left w:val="none" w:sz="0" w:space="0" w:color="auto"/>
        <w:bottom w:val="none" w:sz="0" w:space="0" w:color="auto"/>
        <w:right w:val="none" w:sz="0" w:space="0" w:color="auto"/>
      </w:divBdr>
    </w:div>
    <w:div w:id="1148785533">
      <w:bodyDiv w:val="1"/>
      <w:marLeft w:val="0"/>
      <w:marRight w:val="0"/>
      <w:marTop w:val="0"/>
      <w:marBottom w:val="0"/>
      <w:divBdr>
        <w:top w:val="none" w:sz="0" w:space="0" w:color="auto"/>
        <w:left w:val="none" w:sz="0" w:space="0" w:color="auto"/>
        <w:bottom w:val="none" w:sz="0" w:space="0" w:color="auto"/>
        <w:right w:val="none" w:sz="0" w:space="0" w:color="auto"/>
      </w:divBdr>
    </w:div>
    <w:div w:id="1217350079">
      <w:bodyDiv w:val="1"/>
      <w:marLeft w:val="0"/>
      <w:marRight w:val="0"/>
      <w:marTop w:val="0"/>
      <w:marBottom w:val="0"/>
      <w:divBdr>
        <w:top w:val="none" w:sz="0" w:space="0" w:color="auto"/>
        <w:left w:val="none" w:sz="0" w:space="0" w:color="auto"/>
        <w:bottom w:val="none" w:sz="0" w:space="0" w:color="auto"/>
        <w:right w:val="none" w:sz="0" w:space="0" w:color="auto"/>
      </w:divBdr>
    </w:div>
    <w:div w:id="1265918339">
      <w:bodyDiv w:val="1"/>
      <w:marLeft w:val="0"/>
      <w:marRight w:val="0"/>
      <w:marTop w:val="0"/>
      <w:marBottom w:val="0"/>
      <w:divBdr>
        <w:top w:val="none" w:sz="0" w:space="0" w:color="auto"/>
        <w:left w:val="none" w:sz="0" w:space="0" w:color="auto"/>
        <w:bottom w:val="none" w:sz="0" w:space="0" w:color="auto"/>
        <w:right w:val="none" w:sz="0" w:space="0" w:color="auto"/>
      </w:divBdr>
    </w:div>
    <w:div w:id="1316833838">
      <w:bodyDiv w:val="1"/>
      <w:marLeft w:val="0"/>
      <w:marRight w:val="0"/>
      <w:marTop w:val="0"/>
      <w:marBottom w:val="0"/>
      <w:divBdr>
        <w:top w:val="none" w:sz="0" w:space="0" w:color="auto"/>
        <w:left w:val="none" w:sz="0" w:space="0" w:color="auto"/>
        <w:bottom w:val="none" w:sz="0" w:space="0" w:color="auto"/>
        <w:right w:val="none" w:sz="0" w:space="0" w:color="auto"/>
      </w:divBdr>
    </w:div>
    <w:div w:id="1353188679">
      <w:bodyDiv w:val="1"/>
      <w:marLeft w:val="0"/>
      <w:marRight w:val="0"/>
      <w:marTop w:val="0"/>
      <w:marBottom w:val="0"/>
      <w:divBdr>
        <w:top w:val="none" w:sz="0" w:space="0" w:color="auto"/>
        <w:left w:val="none" w:sz="0" w:space="0" w:color="auto"/>
        <w:bottom w:val="none" w:sz="0" w:space="0" w:color="auto"/>
        <w:right w:val="none" w:sz="0" w:space="0" w:color="auto"/>
      </w:divBdr>
    </w:div>
    <w:div w:id="1363049238">
      <w:bodyDiv w:val="1"/>
      <w:marLeft w:val="0"/>
      <w:marRight w:val="0"/>
      <w:marTop w:val="0"/>
      <w:marBottom w:val="0"/>
      <w:divBdr>
        <w:top w:val="none" w:sz="0" w:space="0" w:color="auto"/>
        <w:left w:val="none" w:sz="0" w:space="0" w:color="auto"/>
        <w:bottom w:val="none" w:sz="0" w:space="0" w:color="auto"/>
        <w:right w:val="none" w:sz="0" w:space="0" w:color="auto"/>
      </w:divBdr>
    </w:div>
    <w:div w:id="1425227189">
      <w:bodyDiv w:val="1"/>
      <w:marLeft w:val="0"/>
      <w:marRight w:val="0"/>
      <w:marTop w:val="0"/>
      <w:marBottom w:val="0"/>
      <w:divBdr>
        <w:top w:val="none" w:sz="0" w:space="0" w:color="auto"/>
        <w:left w:val="none" w:sz="0" w:space="0" w:color="auto"/>
        <w:bottom w:val="none" w:sz="0" w:space="0" w:color="auto"/>
        <w:right w:val="none" w:sz="0" w:space="0" w:color="auto"/>
      </w:divBdr>
    </w:div>
    <w:div w:id="1448498947">
      <w:bodyDiv w:val="1"/>
      <w:marLeft w:val="0"/>
      <w:marRight w:val="0"/>
      <w:marTop w:val="0"/>
      <w:marBottom w:val="0"/>
      <w:divBdr>
        <w:top w:val="none" w:sz="0" w:space="0" w:color="auto"/>
        <w:left w:val="none" w:sz="0" w:space="0" w:color="auto"/>
        <w:bottom w:val="none" w:sz="0" w:space="0" w:color="auto"/>
        <w:right w:val="none" w:sz="0" w:space="0" w:color="auto"/>
      </w:divBdr>
    </w:div>
    <w:div w:id="1548688131">
      <w:bodyDiv w:val="1"/>
      <w:marLeft w:val="0"/>
      <w:marRight w:val="0"/>
      <w:marTop w:val="0"/>
      <w:marBottom w:val="0"/>
      <w:divBdr>
        <w:top w:val="none" w:sz="0" w:space="0" w:color="auto"/>
        <w:left w:val="none" w:sz="0" w:space="0" w:color="auto"/>
        <w:bottom w:val="none" w:sz="0" w:space="0" w:color="auto"/>
        <w:right w:val="none" w:sz="0" w:space="0" w:color="auto"/>
      </w:divBdr>
    </w:div>
    <w:div w:id="1684209761">
      <w:bodyDiv w:val="1"/>
      <w:marLeft w:val="0"/>
      <w:marRight w:val="0"/>
      <w:marTop w:val="0"/>
      <w:marBottom w:val="0"/>
      <w:divBdr>
        <w:top w:val="none" w:sz="0" w:space="0" w:color="auto"/>
        <w:left w:val="none" w:sz="0" w:space="0" w:color="auto"/>
        <w:bottom w:val="none" w:sz="0" w:space="0" w:color="auto"/>
        <w:right w:val="none" w:sz="0" w:space="0" w:color="auto"/>
      </w:divBdr>
    </w:div>
    <w:div w:id="1895698460">
      <w:bodyDiv w:val="1"/>
      <w:marLeft w:val="0"/>
      <w:marRight w:val="0"/>
      <w:marTop w:val="0"/>
      <w:marBottom w:val="0"/>
      <w:divBdr>
        <w:top w:val="none" w:sz="0" w:space="0" w:color="auto"/>
        <w:left w:val="none" w:sz="0" w:space="0" w:color="auto"/>
        <w:bottom w:val="none" w:sz="0" w:space="0" w:color="auto"/>
        <w:right w:val="none" w:sz="0" w:space="0" w:color="auto"/>
      </w:divBdr>
    </w:div>
    <w:div w:id="1960523581">
      <w:bodyDiv w:val="1"/>
      <w:marLeft w:val="0"/>
      <w:marRight w:val="0"/>
      <w:marTop w:val="0"/>
      <w:marBottom w:val="0"/>
      <w:divBdr>
        <w:top w:val="none" w:sz="0" w:space="0" w:color="auto"/>
        <w:left w:val="none" w:sz="0" w:space="0" w:color="auto"/>
        <w:bottom w:val="none" w:sz="0" w:space="0" w:color="auto"/>
        <w:right w:val="none" w:sz="0" w:space="0" w:color="auto"/>
      </w:divBdr>
    </w:div>
    <w:div w:id="1961036844">
      <w:bodyDiv w:val="1"/>
      <w:marLeft w:val="0"/>
      <w:marRight w:val="0"/>
      <w:marTop w:val="0"/>
      <w:marBottom w:val="0"/>
      <w:divBdr>
        <w:top w:val="none" w:sz="0" w:space="0" w:color="auto"/>
        <w:left w:val="none" w:sz="0" w:space="0" w:color="auto"/>
        <w:bottom w:val="none" w:sz="0" w:space="0" w:color="auto"/>
        <w:right w:val="none" w:sz="0" w:space="0" w:color="auto"/>
      </w:divBdr>
    </w:div>
    <w:div w:id="2039623717">
      <w:bodyDiv w:val="1"/>
      <w:marLeft w:val="0"/>
      <w:marRight w:val="0"/>
      <w:marTop w:val="0"/>
      <w:marBottom w:val="0"/>
      <w:divBdr>
        <w:top w:val="none" w:sz="0" w:space="0" w:color="auto"/>
        <w:left w:val="none" w:sz="0" w:space="0" w:color="auto"/>
        <w:bottom w:val="none" w:sz="0" w:space="0" w:color="auto"/>
        <w:right w:val="none" w:sz="0" w:space="0" w:color="auto"/>
      </w:divBdr>
    </w:div>
    <w:div w:id="2056464933">
      <w:bodyDiv w:val="1"/>
      <w:marLeft w:val="0"/>
      <w:marRight w:val="0"/>
      <w:marTop w:val="0"/>
      <w:marBottom w:val="0"/>
      <w:divBdr>
        <w:top w:val="none" w:sz="0" w:space="0" w:color="auto"/>
        <w:left w:val="none" w:sz="0" w:space="0" w:color="auto"/>
        <w:bottom w:val="none" w:sz="0" w:space="0" w:color="auto"/>
        <w:right w:val="none" w:sz="0" w:space="0" w:color="auto"/>
      </w:divBdr>
    </w:div>
    <w:div w:id="21139342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chart" Target="charts/chart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chart" Target="charts/chart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rules.sos.state.ga.us/gac/515-3-4" TargetMode="External"/><Relationship Id="rId1" Type="http://schemas.openxmlformats.org/officeDocument/2006/relationships/hyperlink" Target="https://rules.sos.state.ga.us/gac/515-3-4"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KaranPol\Dropbox%20(Daymark%20EA)\FDrive\Projects\GA%20PSC\2023%20IRP%20Update%20-%20LF\Daymark%20Analysis\Load%20Realization%20Model%20Analysis\Assumption%20Sensitivity%20Analysis\Total%20Winter%20Peak%20Demand,%20Sensitivity%20Analysis.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KaranPol\Dropbox%20(Daymark%20EA)\FDrive\Projects\GA%20PSC\2023%20IRP%20Update%20-%20LF\Daymark%20Analysis\Load%20Realization%20Model%20Analysis\Assumption%20Sensitivity%20Analysis\Total%20Winter%20Peak%20Demand,%20Sensitivity%20Analysis.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1"/>
          <c:order val="1"/>
          <c:tx>
            <c:strRef>
              <c:f>'Winter Peak Scenarios + Figures'!$C$5</c:f>
              <c:strCache>
                <c:ptCount val="1"/>
                <c:pt idx="0">
                  <c:v>2022 IRP</c:v>
                </c:pt>
              </c:strCache>
            </c:strRef>
          </c:tx>
          <c:spPr>
            <a:ln w="28575" cap="rnd">
              <a:solidFill>
                <a:schemeClr val="bg1">
                  <a:lumMod val="85000"/>
                </a:schemeClr>
              </a:solidFill>
              <a:round/>
            </a:ln>
            <a:effectLst/>
          </c:spPr>
          <c:marker>
            <c:symbol val="none"/>
          </c:marker>
          <c:cat>
            <c:strRef>
              <c:f>'Winter Peak Scenarios + Figures'!$D$3:$Y$3</c:f>
              <c:strCache>
                <c:ptCount val="22"/>
                <c:pt idx="0">
                  <c:v>2021</c:v>
                </c:pt>
                <c:pt idx="1">
                  <c:v>2022/2023</c:v>
                </c:pt>
                <c:pt idx="2">
                  <c:v>2023/2024</c:v>
                </c:pt>
                <c:pt idx="3">
                  <c:v>2024/2025</c:v>
                </c:pt>
                <c:pt idx="4">
                  <c:v>2025/2026</c:v>
                </c:pt>
                <c:pt idx="5">
                  <c:v>2026/2027</c:v>
                </c:pt>
                <c:pt idx="6">
                  <c:v>2027/2028</c:v>
                </c:pt>
                <c:pt idx="7">
                  <c:v>2028/2029</c:v>
                </c:pt>
                <c:pt idx="8">
                  <c:v>2029/2030</c:v>
                </c:pt>
                <c:pt idx="9">
                  <c:v>2030/2031</c:v>
                </c:pt>
                <c:pt idx="10">
                  <c:v>2031/2032</c:v>
                </c:pt>
                <c:pt idx="11">
                  <c:v>2032/2033</c:v>
                </c:pt>
                <c:pt idx="12">
                  <c:v>2033/2034</c:v>
                </c:pt>
                <c:pt idx="13">
                  <c:v>2034/2035</c:v>
                </c:pt>
                <c:pt idx="14">
                  <c:v>2035/2036</c:v>
                </c:pt>
                <c:pt idx="15">
                  <c:v>2036/2037</c:v>
                </c:pt>
                <c:pt idx="16">
                  <c:v>2037/2038</c:v>
                </c:pt>
                <c:pt idx="17">
                  <c:v>2038/2039</c:v>
                </c:pt>
                <c:pt idx="18">
                  <c:v>2039/2040</c:v>
                </c:pt>
                <c:pt idx="19">
                  <c:v>2040/2041</c:v>
                </c:pt>
                <c:pt idx="20">
                  <c:v>2041/2042</c:v>
                </c:pt>
                <c:pt idx="21">
                  <c:v>2042/2043</c:v>
                </c:pt>
              </c:strCache>
              <c:extLst/>
            </c:strRef>
          </c:cat>
          <c:val>
            <c:numRef>
              <c:f>'Winter Peak Scenarios + Figures'!$D$5:$Y$5</c:f>
              <c:numCache>
                <c:formatCode>_(* #,##0_);_(* \(#,##0\);_(* "-"??_);_(@_)</c:formatCode>
                <c:ptCount val="22"/>
                <c:pt idx="1">
                  <c:v>15550.42</c:v>
                </c:pt>
                <c:pt idx="2">
                  <c:v>15581.04</c:v>
                </c:pt>
                <c:pt idx="3">
                  <c:v>15635.8</c:v>
                </c:pt>
                <c:pt idx="4">
                  <c:v>15657.45</c:v>
                </c:pt>
                <c:pt idx="5">
                  <c:v>15674.15</c:v>
                </c:pt>
                <c:pt idx="6">
                  <c:v>15659.11</c:v>
                </c:pt>
                <c:pt idx="7">
                  <c:v>15759.88</c:v>
                </c:pt>
                <c:pt idx="8">
                  <c:v>15799.16</c:v>
                </c:pt>
                <c:pt idx="9">
                  <c:v>15960.21</c:v>
                </c:pt>
                <c:pt idx="10">
                  <c:v>16059.77</c:v>
                </c:pt>
                <c:pt idx="11">
                  <c:v>16249.84</c:v>
                </c:pt>
                <c:pt idx="12">
                  <c:v>16400.72</c:v>
                </c:pt>
                <c:pt idx="13">
                  <c:v>16565</c:v>
                </c:pt>
                <c:pt idx="14">
                  <c:v>16719.52</c:v>
                </c:pt>
                <c:pt idx="15">
                  <c:v>16965.400000000001</c:v>
                </c:pt>
                <c:pt idx="16">
                  <c:v>17158.34</c:v>
                </c:pt>
                <c:pt idx="17">
                  <c:v>17354.689999999999</c:v>
                </c:pt>
                <c:pt idx="18">
                  <c:v>17515.41</c:v>
                </c:pt>
                <c:pt idx="19">
                  <c:v>17737.73</c:v>
                </c:pt>
                <c:pt idx="20">
                  <c:v>17941.009999999998</c:v>
                </c:pt>
                <c:pt idx="21">
                  <c:v>18168.5</c:v>
                </c:pt>
              </c:numCache>
              <c:extLst/>
            </c:numRef>
          </c:val>
          <c:smooth val="0"/>
          <c:extLst>
            <c:ext xmlns:c16="http://schemas.microsoft.com/office/drawing/2014/chart" uri="{C3380CC4-5D6E-409C-BE32-E72D297353CC}">
              <c16:uniqueId val="{00000000-6DDC-4211-8EAA-2D1EE0FFD8A7}"/>
            </c:ext>
          </c:extLst>
        </c:ser>
        <c:ser>
          <c:idx val="2"/>
          <c:order val="2"/>
          <c:tx>
            <c:strRef>
              <c:f>'Winter Peak Scenarios + Figures'!$C$6</c:f>
              <c:strCache>
                <c:ptCount val="1"/>
                <c:pt idx="0">
                  <c:v>Budget 2023</c:v>
                </c:pt>
              </c:strCache>
            </c:strRef>
          </c:tx>
          <c:spPr>
            <a:ln w="28575" cap="rnd">
              <a:solidFill>
                <a:schemeClr val="bg1">
                  <a:lumMod val="65000"/>
                </a:schemeClr>
              </a:solidFill>
              <a:round/>
            </a:ln>
            <a:effectLst/>
          </c:spPr>
          <c:marker>
            <c:symbol val="none"/>
          </c:marker>
          <c:cat>
            <c:strRef>
              <c:f>'Winter Peak Scenarios + Figures'!$D$3:$Y$3</c:f>
              <c:strCache>
                <c:ptCount val="22"/>
                <c:pt idx="0">
                  <c:v>2021</c:v>
                </c:pt>
                <c:pt idx="1">
                  <c:v>2022/2023</c:v>
                </c:pt>
                <c:pt idx="2">
                  <c:v>2023/2024</c:v>
                </c:pt>
                <c:pt idx="3">
                  <c:v>2024/2025</c:v>
                </c:pt>
                <c:pt idx="4">
                  <c:v>2025/2026</c:v>
                </c:pt>
                <c:pt idx="5">
                  <c:v>2026/2027</c:v>
                </c:pt>
                <c:pt idx="6">
                  <c:v>2027/2028</c:v>
                </c:pt>
                <c:pt idx="7">
                  <c:v>2028/2029</c:v>
                </c:pt>
                <c:pt idx="8">
                  <c:v>2029/2030</c:v>
                </c:pt>
                <c:pt idx="9">
                  <c:v>2030/2031</c:v>
                </c:pt>
                <c:pt idx="10">
                  <c:v>2031/2032</c:v>
                </c:pt>
                <c:pt idx="11">
                  <c:v>2032/2033</c:v>
                </c:pt>
                <c:pt idx="12">
                  <c:v>2033/2034</c:v>
                </c:pt>
                <c:pt idx="13">
                  <c:v>2034/2035</c:v>
                </c:pt>
                <c:pt idx="14">
                  <c:v>2035/2036</c:v>
                </c:pt>
                <c:pt idx="15">
                  <c:v>2036/2037</c:v>
                </c:pt>
                <c:pt idx="16">
                  <c:v>2037/2038</c:v>
                </c:pt>
                <c:pt idx="17">
                  <c:v>2038/2039</c:v>
                </c:pt>
                <c:pt idx="18">
                  <c:v>2039/2040</c:v>
                </c:pt>
                <c:pt idx="19">
                  <c:v>2040/2041</c:v>
                </c:pt>
                <c:pt idx="20">
                  <c:v>2041/2042</c:v>
                </c:pt>
                <c:pt idx="21">
                  <c:v>2042/2043</c:v>
                </c:pt>
              </c:strCache>
              <c:extLst/>
            </c:strRef>
          </c:cat>
          <c:val>
            <c:numRef>
              <c:f>'Winter Peak Scenarios + Figures'!$D$6:$Y$6</c:f>
              <c:numCache>
                <c:formatCode>_(* #,##0_);_(* \(#,##0\);_(* "-"??_);_(@_)</c:formatCode>
                <c:ptCount val="22"/>
                <c:pt idx="1">
                  <c:v>15760.5</c:v>
                </c:pt>
                <c:pt idx="2">
                  <c:v>15856.13</c:v>
                </c:pt>
                <c:pt idx="3">
                  <c:v>16049.67</c:v>
                </c:pt>
                <c:pt idx="4">
                  <c:v>16322.11</c:v>
                </c:pt>
                <c:pt idx="5">
                  <c:v>16590.59</c:v>
                </c:pt>
                <c:pt idx="6">
                  <c:v>16773.7</c:v>
                </c:pt>
                <c:pt idx="7">
                  <c:v>16863.7</c:v>
                </c:pt>
                <c:pt idx="8">
                  <c:v>16968.71</c:v>
                </c:pt>
                <c:pt idx="9">
                  <c:v>17100.099999999999</c:v>
                </c:pt>
                <c:pt idx="10">
                  <c:v>17241.87</c:v>
                </c:pt>
                <c:pt idx="11">
                  <c:v>17459.46</c:v>
                </c:pt>
                <c:pt idx="12">
                  <c:v>17600.59</c:v>
                </c:pt>
                <c:pt idx="13">
                  <c:v>17672.439999999999</c:v>
                </c:pt>
                <c:pt idx="14">
                  <c:v>17749.939999999999</c:v>
                </c:pt>
                <c:pt idx="15">
                  <c:v>17949.330000000002</c:v>
                </c:pt>
                <c:pt idx="16">
                  <c:v>18121.87</c:v>
                </c:pt>
                <c:pt idx="17">
                  <c:v>18308.849999999999</c:v>
                </c:pt>
                <c:pt idx="18">
                  <c:v>18442.45</c:v>
                </c:pt>
                <c:pt idx="19">
                  <c:v>18615.82</c:v>
                </c:pt>
                <c:pt idx="20">
                  <c:v>18811.47</c:v>
                </c:pt>
                <c:pt idx="21">
                  <c:v>19019.37</c:v>
                </c:pt>
              </c:numCache>
              <c:extLst/>
            </c:numRef>
          </c:val>
          <c:smooth val="0"/>
          <c:extLst>
            <c:ext xmlns:c16="http://schemas.microsoft.com/office/drawing/2014/chart" uri="{C3380CC4-5D6E-409C-BE32-E72D297353CC}">
              <c16:uniqueId val="{00000001-6DDC-4211-8EAA-2D1EE0FFD8A7}"/>
            </c:ext>
          </c:extLst>
        </c:ser>
        <c:ser>
          <c:idx val="3"/>
          <c:order val="3"/>
          <c:tx>
            <c:strRef>
              <c:f>'Winter Peak Scenarios + Figures'!$C$7</c:f>
              <c:strCache>
                <c:ptCount val="1"/>
                <c:pt idx="0">
                  <c:v>2023 IRP Update, LRM P95</c:v>
                </c:pt>
              </c:strCache>
            </c:strRef>
          </c:tx>
          <c:spPr>
            <a:ln w="28575" cap="rnd">
              <a:solidFill>
                <a:srgbClr val="FF0000"/>
              </a:solidFill>
              <a:round/>
            </a:ln>
            <a:effectLst/>
          </c:spPr>
          <c:marker>
            <c:symbol val="none"/>
          </c:marker>
          <c:cat>
            <c:strRef>
              <c:f>'Winter Peak Scenarios + Figures'!$D$3:$Y$3</c:f>
              <c:strCache>
                <c:ptCount val="22"/>
                <c:pt idx="0">
                  <c:v>2021</c:v>
                </c:pt>
                <c:pt idx="1">
                  <c:v>2022/2023</c:v>
                </c:pt>
                <c:pt idx="2">
                  <c:v>2023/2024</c:v>
                </c:pt>
                <c:pt idx="3">
                  <c:v>2024/2025</c:v>
                </c:pt>
                <c:pt idx="4">
                  <c:v>2025/2026</c:v>
                </c:pt>
                <c:pt idx="5">
                  <c:v>2026/2027</c:v>
                </c:pt>
                <c:pt idx="6">
                  <c:v>2027/2028</c:v>
                </c:pt>
                <c:pt idx="7">
                  <c:v>2028/2029</c:v>
                </c:pt>
                <c:pt idx="8">
                  <c:v>2029/2030</c:v>
                </c:pt>
                <c:pt idx="9">
                  <c:v>2030/2031</c:v>
                </c:pt>
                <c:pt idx="10">
                  <c:v>2031/2032</c:v>
                </c:pt>
                <c:pt idx="11">
                  <c:v>2032/2033</c:v>
                </c:pt>
                <c:pt idx="12">
                  <c:v>2033/2034</c:v>
                </c:pt>
                <c:pt idx="13">
                  <c:v>2034/2035</c:v>
                </c:pt>
                <c:pt idx="14">
                  <c:v>2035/2036</c:v>
                </c:pt>
                <c:pt idx="15">
                  <c:v>2036/2037</c:v>
                </c:pt>
                <c:pt idx="16">
                  <c:v>2037/2038</c:v>
                </c:pt>
                <c:pt idx="17">
                  <c:v>2038/2039</c:v>
                </c:pt>
                <c:pt idx="18">
                  <c:v>2039/2040</c:v>
                </c:pt>
                <c:pt idx="19">
                  <c:v>2040/2041</c:v>
                </c:pt>
                <c:pt idx="20">
                  <c:v>2041/2042</c:v>
                </c:pt>
                <c:pt idx="21">
                  <c:v>2042/2043</c:v>
                </c:pt>
              </c:strCache>
              <c:extLst/>
            </c:strRef>
          </c:cat>
          <c:val>
            <c:numRef>
              <c:f>'Winter Peak Scenarios + Figures'!$D$7:$Y$7</c:f>
              <c:numCache>
                <c:formatCode>General</c:formatCode>
                <c:ptCount val="22"/>
                <c:pt idx="2" formatCode="_(* #,##0_);_(* \(#,##0\);_(* &quot;-&quot;??_);_(@_)">
                  <c:v>15282.997549784655</c:v>
                </c:pt>
                <c:pt idx="3" formatCode="_(* #,##0_);_(* \(#,##0\);_(* &quot;-&quot;??_);_(@_)">
                  <c:v>15947.427644462212</c:v>
                </c:pt>
                <c:pt idx="4" formatCode="_(* #,##0_);_(* \(#,##0\);_(* &quot;-&quot;??_);_(@_)">
                  <c:v>17255.655065536088</c:v>
                </c:pt>
                <c:pt idx="5" formatCode="_(* #,##0_);_(* \(#,##0\);_(* &quot;-&quot;??_);_(@_)">
                  <c:v>18928.002808841087</c:v>
                </c:pt>
                <c:pt idx="6" formatCode="_(* #,##0_);_(* \(#,##0\);_(* &quot;-&quot;??_);_(@_)">
                  <c:v>19750.558321366389</c:v>
                </c:pt>
                <c:pt idx="7" formatCode="_(* #,##0_);_(* \(#,##0\);_(* &quot;-&quot;??_);_(@_)">
                  <c:v>20550.769482911186</c:v>
                </c:pt>
                <c:pt idx="8" formatCode="_(* #,##0_);_(* \(#,##0\);_(* &quot;-&quot;??_);_(@_)">
                  <c:v>21326.19169017917</c:v>
                </c:pt>
                <c:pt idx="9" formatCode="_(* #,##0_);_(* \(#,##0\);_(* &quot;-&quot;??_);_(@_)">
                  <c:v>21880.421756414722</c:v>
                </c:pt>
                <c:pt idx="10" formatCode="_(* #,##0_);_(* \(#,##0\);_(* &quot;-&quot;??_);_(@_)">
                  <c:v>22140.575918128274</c:v>
                </c:pt>
                <c:pt idx="11" formatCode="_(* #,##0_);_(* \(#,##0\);_(* &quot;-&quot;??_);_(@_)">
                  <c:v>22352.894073000043</c:v>
                </c:pt>
                <c:pt idx="12" formatCode="_(* #,##0_);_(* \(#,##0\);_(* &quot;-&quot;??_);_(@_)">
                  <c:v>22515.384873779261</c:v>
                </c:pt>
                <c:pt idx="13" formatCode="_(* #,##0_);_(* \(#,##0\);_(* &quot;-&quot;??_);_(@_)">
                  <c:v>22630.376772205876</c:v>
                </c:pt>
                <c:pt idx="14" formatCode="_(* #,##0_);_(* \(#,##0\);_(* &quot;-&quot;??_);_(@_)">
                  <c:v>22745.867827652837</c:v>
                </c:pt>
                <c:pt idx="15" formatCode="_(* #,##0_);_(* \(#,##0\);_(* &quot;-&quot;??_);_(@_)">
                  <c:v>22938.378787353166</c:v>
                </c:pt>
                <c:pt idx="16" formatCode="_(* #,##0_);_(* \(#,##0\);_(* &quot;-&quot;??_);_(@_)">
                  <c:v>23257.080391896896</c:v>
                </c:pt>
                <c:pt idx="17" formatCode="_(* #,##0_);_(* \(#,##0\);_(* &quot;-&quot;??_);_(@_)">
                  <c:v>23624.403409491933</c:v>
                </c:pt>
                <c:pt idx="18" formatCode="_(* #,##0_);_(* \(#,##0\);_(* &quot;-&quot;??_);_(@_)">
                  <c:v>23925.91686726355</c:v>
                </c:pt>
                <c:pt idx="19" formatCode="_(* #,##0_);_(* \(#,##0\);_(* &quot;-&quot;??_);_(@_)">
                  <c:v>24282.015817949439</c:v>
                </c:pt>
                <c:pt idx="20" formatCode="_(* #,##0_);_(* \(#,##0\);_(* &quot;-&quot;??_);_(@_)">
                  <c:v>24643.320931134891</c:v>
                </c:pt>
                <c:pt idx="21" formatCode="_(* #,##0_);_(* \(#,##0\);_(* &quot;-&quot;??_);_(@_)">
                  <c:v>25033.365033661117</c:v>
                </c:pt>
              </c:numCache>
              <c:extLst/>
            </c:numRef>
          </c:val>
          <c:smooth val="0"/>
          <c:extLst>
            <c:ext xmlns:c16="http://schemas.microsoft.com/office/drawing/2014/chart" uri="{C3380CC4-5D6E-409C-BE32-E72D297353CC}">
              <c16:uniqueId val="{00000002-6DDC-4211-8EAA-2D1EE0FFD8A7}"/>
            </c:ext>
          </c:extLst>
        </c:ser>
        <c:dLbls>
          <c:showLegendKey val="0"/>
          <c:showVal val="0"/>
          <c:showCatName val="0"/>
          <c:showSerName val="0"/>
          <c:showPercent val="0"/>
          <c:showBubbleSize val="0"/>
        </c:dLbls>
        <c:smooth val="0"/>
        <c:axId val="761049288"/>
        <c:axId val="761049648"/>
        <c:extLst>
          <c:ext xmlns:c15="http://schemas.microsoft.com/office/drawing/2012/chart" uri="{02D57815-91ED-43cb-92C2-25804820EDAC}">
            <c15:filteredLineSeries>
              <c15:ser>
                <c:idx val="0"/>
                <c:order val="0"/>
                <c:tx>
                  <c:strRef>
                    <c:extLst>
                      <c:ext uri="{02D57815-91ED-43cb-92C2-25804820EDAC}">
                        <c15:formulaRef>
                          <c15:sqref>'Winter Peak Scenarios + Figures'!$C$4</c15:sqref>
                        </c15:formulaRef>
                      </c:ext>
                    </c:extLst>
                    <c:strCache>
                      <c:ptCount val="1"/>
                    </c:strCache>
                  </c:strRef>
                </c:tx>
                <c:spPr>
                  <a:ln w="28575" cap="rnd">
                    <a:solidFill>
                      <a:schemeClr val="accent1"/>
                    </a:solidFill>
                    <a:round/>
                  </a:ln>
                  <a:effectLst/>
                </c:spPr>
                <c:marker>
                  <c:symbol val="none"/>
                </c:marker>
                <c:cat>
                  <c:strRef>
                    <c:extLst>
                      <c:ext uri="{02D57815-91ED-43cb-92C2-25804820EDAC}">
                        <c15:formulaRef>
                          <c15:sqref>'Winter Peak Scenarios + Figures'!$D$3:$Y$3</c15:sqref>
                        </c15:formulaRef>
                      </c:ext>
                    </c:extLst>
                    <c:strCache>
                      <c:ptCount val="22"/>
                      <c:pt idx="0">
                        <c:v>2021</c:v>
                      </c:pt>
                      <c:pt idx="1">
                        <c:v>2022/2023</c:v>
                      </c:pt>
                      <c:pt idx="2">
                        <c:v>2023/2024</c:v>
                      </c:pt>
                      <c:pt idx="3">
                        <c:v>2024/2025</c:v>
                      </c:pt>
                      <c:pt idx="4">
                        <c:v>2025/2026</c:v>
                      </c:pt>
                      <c:pt idx="5">
                        <c:v>2026/2027</c:v>
                      </c:pt>
                      <c:pt idx="6">
                        <c:v>2027/2028</c:v>
                      </c:pt>
                      <c:pt idx="7">
                        <c:v>2028/2029</c:v>
                      </c:pt>
                      <c:pt idx="8">
                        <c:v>2029/2030</c:v>
                      </c:pt>
                      <c:pt idx="9">
                        <c:v>2030/2031</c:v>
                      </c:pt>
                      <c:pt idx="10">
                        <c:v>2031/2032</c:v>
                      </c:pt>
                      <c:pt idx="11">
                        <c:v>2032/2033</c:v>
                      </c:pt>
                      <c:pt idx="12">
                        <c:v>2033/2034</c:v>
                      </c:pt>
                      <c:pt idx="13">
                        <c:v>2034/2035</c:v>
                      </c:pt>
                      <c:pt idx="14">
                        <c:v>2035/2036</c:v>
                      </c:pt>
                      <c:pt idx="15">
                        <c:v>2036/2037</c:v>
                      </c:pt>
                      <c:pt idx="16">
                        <c:v>2037/2038</c:v>
                      </c:pt>
                      <c:pt idx="17">
                        <c:v>2038/2039</c:v>
                      </c:pt>
                      <c:pt idx="18">
                        <c:v>2039/2040</c:v>
                      </c:pt>
                      <c:pt idx="19">
                        <c:v>2040/2041</c:v>
                      </c:pt>
                      <c:pt idx="20">
                        <c:v>2041/2042</c:v>
                      </c:pt>
                      <c:pt idx="21">
                        <c:v>2042/2043</c:v>
                      </c:pt>
                    </c:strCache>
                  </c:strRef>
                </c:cat>
                <c:val>
                  <c:numRef>
                    <c:extLst>
                      <c:ext uri="{02D57815-91ED-43cb-92C2-25804820EDAC}">
                        <c15:formulaRef>
                          <c15:sqref>'Winter Peak Scenarios + Figures'!$D$4:$Y$4</c15:sqref>
                        </c15:formulaRef>
                      </c:ext>
                    </c:extLst>
                    <c:numCache>
                      <c:formatCode>General</c:formatCode>
                      <c:ptCount val="22"/>
                    </c:numCache>
                  </c:numRef>
                </c:val>
                <c:smooth val="0"/>
                <c:extLst>
                  <c:ext xmlns:c16="http://schemas.microsoft.com/office/drawing/2014/chart" uri="{C3380CC4-5D6E-409C-BE32-E72D297353CC}">
                    <c16:uniqueId val="{00000004-6DDC-4211-8EAA-2D1EE0FFD8A7}"/>
                  </c:ext>
                </c:extLst>
              </c15:ser>
            </c15:filteredLineSeries>
            <c15:filteredLineSeries>
              <c15:ser>
                <c:idx val="4"/>
                <c:order val="4"/>
                <c:tx>
                  <c:strRef>
                    <c:extLst xmlns:c15="http://schemas.microsoft.com/office/drawing/2012/chart">
                      <c:ext xmlns:c15="http://schemas.microsoft.com/office/drawing/2012/chart" uri="{02D57815-91ED-43cb-92C2-25804820EDAC}">
                        <c15:formulaRef>
                          <c15:sqref>'Winter Peak Scenarios + Figures'!$C$8</c15:sqref>
                        </c15:formulaRef>
                      </c:ext>
                    </c:extLst>
                    <c:strCache>
                      <c:ptCount val="1"/>
                      <c:pt idx="0">
                        <c:v>2023 IRP Update, LRM P80</c:v>
                      </c:pt>
                    </c:strCache>
                  </c:strRef>
                </c:tx>
                <c:spPr>
                  <a:ln w="28575" cap="rnd">
                    <a:solidFill>
                      <a:schemeClr val="accent5"/>
                    </a:solidFill>
                    <a:round/>
                  </a:ln>
                  <a:effectLst/>
                </c:spPr>
                <c:marker>
                  <c:symbol val="none"/>
                </c:marker>
                <c:cat>
                  <c:strRef>
                    <c:extLst xmlns:c15="http://schemas.microsoft.com/office/drawing/2012/chart">
                      <c:ext xmlns:c15="http://schemas.microsoft.com/office/drawing/2012/chart" uri="{02D57815-91ED-43cb-92C2-25804820EDAC}">
                        <c15:formulaRef>
                          <c15:sqref>'Winter Peak Scenarios + Figures'!$D$3:$Y$3</c15:sqref>
                        </c15:formulaRef>
                      </c:ext>
                    </c:extLst>
                    <c:strCache>
                      <c:ptCount val="22"/>
                      <c:pt idx="0">
                        <c:v>2021</c:v>
                      </c:pt>
                      <c:pt idx="1">
                        <c:v>2022/2023</c:v>
                      </c:pt>
                      <c:pt idx="2">
                        <c:v>2023/2024</c:v>
                      </c:pt>
                      <c:pt idx="3">
                        <c:v>2024/2025</c:v>
                      </c:pt>
                      <c:pt idx="4">
                        <c:v>2025/2026</c:v>
                      </c:pt>
                      <c:pt idx="5">
                        <c:v>2026/2027</c:v>
                      </c:pt>
                      <c:pt idx="6">
                        <c:v>2027/2028</c:v>
                      </c:pt>
                      <c:pt idx="7">
                        <c:v>2028/2029</c:v>
                      </c:pt>
                      <c:pt idx="8">
                        <c:v>2029/2030</c:v>
                      </c:pt>
                      <c:pt idx="9">
                        <c:v>2030/2031</c:v>
                      </c:pt>
                      <c:pt idx="10">
                        <c:v>2031/2032</c:v>
                      </c:pt>
                      <c:pt idx="11">
                        <c:v>2032/2033</c:v>
                      </c:pt>
                      <c:pt idx="12">
                        <c:v>2033/2034</c:v>
                      </c:pt>
                      <c:pt idx="13">
                        <c:v>2034/2035</c:v>
                      </c:pt>
                      <c:pt idx="14">
                        <c:v>2035/2036</c:v>
                      </c:pt>
                      <c:pt idx="15">
                        <c:v>2036/2037</c:v>
                      </c:pt>
                      <c:pt idx="16">
                        <c:v>2037/2038</c:v>
                      </c:pt>
                      <c:pt idx="17">
                        <c:v>2038/2039</c:v>
                      </c:pt>
                      <c:pt idx="18">
                        <c:v>2039/2040</c:v>
                      </c:pt>
                      <c:pt idx="19">
                        <c:v>2040/2041</c:v>
                      </c:pt>
                      <c:pt idx="20">
                        <c:v>2041/2042</c:v>
                      </c:pt>
                      <c:pt idx="21">
                        <c:v>2042/2043</c:v>
                      </c:pt>
                    </c:strCache>
                  </c:strRef>
                </c:cat>
                <c:val>
                  <c:numRef>
                    <c:extLst xmlns:c15="http://schemas.microsoft.com/office/drawing/2012/chart">
                      <c:ext xmlns:c15="http://schemas.microsoft.com/office/drawing/2012/chart" uri="{02D57815-91ED-43cb-92C2-25804820EDAC}">
                        <c15:formulaRef>
                          <c15:sqref>'Winter Peak Scenarios + Figures'!$D$8:$Y$8</c15:sqref>
                        </c15:formulaRef>
                      </c:ext>
                    </c:extLst>
                    <c:numCache>
                      <c:formatCode>General</c:formatCode>
                      <c:ptCount val="22"/>
                      <c:pt idx="2" formatCode="_(* #,##0_);_(* \(#,##0\);_(* &quot;-&quot;??_);_(@_)">
                        <c:v>15276.806190402382</c:v>
                      </c:pt>
                      <c:pt idx="3" formatCode="_(* #,##0_);_(* \(#,##0\);_(* &quot;-&quot;??_);_(@_)">
                        <c:v>15907.401505763944</c:v>
                      </c:pt>
                      <c:pt idx="4" formatCode="_(* #,##0_);_(* \(#,##0\);_(* &quot;-&quot;??_);_(@_)">
                        <c:v>17122.20921218794</c:v>
                      </c:pt>
                      <c:pt idx="5" formatCode="_(* #,##0_);_(* \(#,##0\);_(* &quot;-&quot;??_);_(@_)">
                        <c:v>18565.151805097754</c:v>
                      </c:pt>
                      <c:pt idx="6" formatCode="_(* #,##0_);_(* \(#,##0\);_(* &quot;-&quot;??_);_(@_)">
                        <c:v>19282.514573246859</c:v>
                      </c:pt>
                      <c:pt idx="7" formatCode="_(* #,##0_);_(* \(#,##0\);_(* &quot;-&quot;??_);_(@_)">
                        <c:v>19991.952638362058</c:v>
                      </c:pt>
                      <c:pt idx="8" formatCode="_(* #,##0_);_(* \(#,##0\);_(* &quot;-&quot;??_);_(@_)">
                        <c:v>20650.202177427327</c:v>
                      </c:pt>
                      <c:pt idx="9" formatCode="_(* #,##0_);_(* \(#,##0\);_(* &quot;-&quot;??_);_(@_)">
                        <c:v>21116.883522574382</c:v>
                      </c:pt>
                      <c:pt idx="10" formatCode="_(* #,##0_);_(* \(#,##0\);_(* &quot;-&quot;??_);_(@_)">
                        <c:v>21319.407547832612</c:v>
                      </c:pt>
                      <c:pt idx="11" formatCode="_(* #,##0_);_(* \(#,##0\);_(* &quot;-&quot;??_);_(@_)">
                        <c:v>21516.778130672476</c:v>
                      </c:pt>
                      <c:pt idx="12" formatCode="_(* #,##0_);_(* \(#,##0\);_(* &quot;-&quot;??_);_(@_)">
                        <c:v>21674.783013347413</c:v>
                      </c:pt>
                      <c:pt idx="13" formatCode="_(* #,##0_);_(* \(#,##0\);_(* &quot;-&quot;??_);_(@_)">
                        <c:v>21788.410920436647</c:v>
                      </c:pt>
                      <c:pt idx="14" formatCode="_(* #,##0_);_(* \(#,##0\);_(* &quot;-&quot;??_);_(@_)">
                        <c:v>21901.570848916206</c:v>
                      </c:pt>
                      <c:pt idx="15" formatCode="_(* #,##0_);_(* \(#,##0\);_(* &quot;-&quot;??_);_(@_)">
                        <c:v>22092.175769574635</c:v>
                      </c:pt>
                      <c:pt idx="16" formatCode="_(* #,##0_);_(* \(#,##0\);_(* &quot;-&quot;??_);_(@_)">
                        <c:v>22409.441975322807</c:v>
                      </c:pt>
                      <c:pt idx="17" formatCode="_(* #,##0_);_(* \(#,##0\);_(* &quot;-&quot;??_);_(@_)">
                        <c:v>22776.764992917844</c:v>
                      </c:pt>
                      <c:pt idx="18" formatCode="_(* #,##0_);_(* \(#,##0\);_(* &quot;-&quot;??_);_(@_)">
                        <c:v>23078.27845068946</c:v>
                      </c:pt>
                      <c:pt idx="19" formatCode="_(* #,##0_);_(* \(#,##0\);_(* &quot;-&quot;??_);_(@_)">
                        <c:v>23434.37740137535</c:v>
                      </c:pt>
                      <c:pt idx="20" formatCode="_(* #,##0_);_(* \(#,##0\);_(* &quot;-&quot;??_);_(@_)">
                        <c:v>23795.682514560802</c:v>
                      </c:pt>
                      <c:pt idx="21" formatCode="_(* #,##0_);_(* \(#,##0\);_(* &quot;-&quot;??_);_(@_)">
                        <c:v>24185.726617087028</c:v>
                      </c:pt>
                    </c:numCache>
                  </c:numRef>
                </c:val>
                <c:smooth val="0"/>
                <c:extLst xmlns:c15="http://schemas.microsoft.com/office/drawing/2012/chart">
                  <c:ext xmlns:c16="http://schemas.microsoft.com/office/drawing/2014/chart" uri="{C3380CC4-5D6E-409C-BE32-E72D297353CC}">
                    <c16:uniqueId val="{00000005-6DDC-4211-8EAA-2D1EE0FFD8A7}"/>
                  </c:ext>
                </c:extLst>
              </c15:ser>
            </c15:filteredLineSeries>
            <c15:filteredLineSeries>
              <c15:ser>
                <c:idx val="5"/>
                <c:order val="5"/>
                <c:tx>
                  <c:strRef>
                    <c:extLst xmlns:c15="http://schemas.microsoft.com/office/drawing/2012/chart">
                      <c:ext xmlns:c15="http://schemas.microsoft.com/office/drawing/2012/chart" uri="{02D57815-91ED-43cb-92C2-25804820EDAC}">
                        <c15:formulaRef>
                          <c15:sqref>'Winter Peak Scenarios + Figures'!$C$9</c15:sqref>
                        </c15:formulaRef>
                      </c:ext>
                    </c:extLst>
                    <c:strCache>
                      <c:ptCount val="1"/>
                      <c:pt idx="0">
                        <c:v>2023 IRP Update, LRM P50</c:v>
                      </c:pt>
                    </c:strCache>
                  </c:strRef>
                </c:tx>
                <c:spPr>
                  <a:ln w="28575" cap="rnd">
                    <a:solidFill>
                      <a:schemeClr val="accent6"/>
                    </a:solidFill>
                    <a:round/>
                  </a:ln>
                  <a:effectLst/>
                </c:spPr>
                <c:marker>
                  <c:symbol val="none"/>
                </c:marker>
                <c:cat>
                  <c:strRef>
                    <c:extLst xmlns:c15="http://schemas.microsoft.com/office/drawing/2012/chart">
                      <c:ext xmlns:c15="http://schemas.microsoft.com/office/drawing/2012/chart" uri="{02D57815-91ED-43cb-92C2-25804820EDAC}">
                        <c15:formulaRef>
                          <c15:sqref>'Winter Peak Scenarios + Figures'!$D$3:$Y$3</c15:sqref>
                        </c15:formulaRef>
                      </c:ext>
                    </c:extLst>
                    <c:strCache>
                      <c:ptCount val="22"/>
                      <c:pt idx="0">
                        <c:v>2021</c:v>
                      </c:pt>
                      <c:pt idx="1">
                        <c:v>2022/2023</c:v>
                      </c:pt>
                      <c:pt idx="2">
                        <c:v>2023/2024</c:v>
                      </c:pt>
                      <c:pt idx="3">
                        <c:v>2024/2025</c:v>
                      </c:pt>
                      <c:pt idx="4">
                        <c:v>2025/2026</c:v>
                      </c:pt>
                      <c:pt idx="5">
                        <c:v>2026/2027</c:v>
                      </c:pt>
                      <c:pt idx="6">
                        <c:v>2027/2028</c:v>
                      </c:pt>
                      <c:pt idx="7">
                        <c:v>2028/2029</c:v>
                      </c:pt>
                      <c:pt idx="8">
                        <c:v>2029/2030</c:v>
                      </c:pt>
                      <c:pt idx="9">
                        <c:v>2030/2031</c:v>
                      </c:pt>
                      <c:pt idx="10">
                        <c:v>2031/2032</c:v>
                      </c:pt>
                      <c:pt idx="11">
                        <c:v>2032/2033</c:v>
                      </c:pt>
                      <c:pt idx="12">
                        <c:v>2033/2034</c:v>
                      </c:pt>
                      <c:pt idx="13">
                        <c:v>2034/2035</c:v>
                      </c:pt>
                      <c:pt idx="14">
                        <c:v>2035/2036</c:v>
                      </c:pt>
                      <c:pt idx="15">
                        <c:v>2036/2037</c:v>
                      </c:pt>
                      <c:pt idx="16">
                        <c:v>2037/2038</c:v>
                      </c:pt>
                      <c:pt idx="17">
                        <c:v>2038/2039</c:v>
                      </c:pt>
                      <c:pt idx="18">
                        <c:v>2039/2040</c:v>
                      </c:pt>
                      <c:pt idx="19">
                        <c:v>2040/2041</c:v>
                      </c:pt>
                      <c:pt idx="20">
                        <c:v>2041/2042</c:v>
                      </c:pt>
                      <c:pt idx="21">
                        <c:v>2042/2043</c:v>
                      </c:pt>
                    </c:strCache>
                  </c:strRef>
                </c:cat>
                <c:val>
                  <c:numRef>
                    <c:extLst xmlns:c15="http://schemas.microsoft.com/office/drawing/2012/chart">
                      <c:ext xmlns:c15="http://schemas.microsoft.com/office/drawing/2012/chart" uri="{02D57815-91ED-43cb-92C2-25804820EDAC}">
                        <c15:formulaRef>
                          <c15:sqref>'Winter Peak Scenarios + Figures'!$D$9:$Y$9</c15:sqref>
                        </c15:formulaRef>
                      </c:ext>
                    </c:extLst>
                    <c:numCache>
                      <c:formatCode>General</c:formatCode>
                      <c:ptCount val="22"/>
                      <c:pt idx="2" formatCode="_(* #,##0_);_(* \(#,##0\);_(* &quot;-&quot;??_);_(@_)">
                        <c:v>15270.430827448783</c:v>
                      </c:pt>
                      <c:pt idx="3" formatCode="_(* #,##0_);_(* \(#,##0\);_(* &quot;-&quot;??_);_(@_)">
                        <c:v>15862.858401480327</c:v>
                      </c:pt>
                      <c:pt idx="4" formatCode="_(* #,##0_);_(* \(#,##0\);_(* &quot;-&quot;??_);_(@_)">
                        <c:v>16999.109224977947</c:v>
                      </c:pt>
                      <c:pt idx="5" formatCode="_(* #,##0_);_(* \(#,##0\);_(* &quot;-&quot;??_);_(@_)">
                        <c:v>18196.691979772982</c:v>
                      </c:pt>
                      <c:pt idx="6" formatCode="_(* #,##0_);_(* \(#,##0\);_(* &quot;-&quot;??_);_(@_)">
                        <c:v>18806.598017543711</c:v>
                      </c:pt>
                      <c:pt idx="7" formatCode="_(* #,##0_);_(* \(#,##0\);_(* &quot;-&quot;??_);_(@_)">
                        <c:v>19412.103984378286</c:v>
                      </c:pt>
                      <c:pt idx="8" formatCode="_(* #,##0_);_(* \(#,##0\);_(* &quot;-&quot;??_);_(@_)">
                        <c:v>19936.007133752435</c:v>
                      </c:pt>
                      <c:pt idx="9" formatCode="_(* #,##0_);_(* \(#,##0\);_(* &quot;-&quot;??_);_(@_)">
                        <c:v>20295.58785087226</c:v>
                      </c:pt>
                      <c:pt idx="10" formatCode="_(* #,##0_);_(* \(#,##0\);_(* &quot;-&quot;??_);_(@_)">
                        <c:v>20455.739511133528</c:v>
                      </c:pt>
                      <c:pt idx="11" formatCode="_(* #,##0_);_(* \(#,##0\);_(* &quot;-&quot;??_);_(@_)">
                        <c:v>20640.371996655671</c:v>
                      </c:pt>
                      <c:pt idx="12" formatCode="_(* #,##0_);_(* \(#,##0\);_(* &quot;-&quot;??_);_(@_)">
                        <c:v>20794.971445203475</c:v>
                      </c:pt>
                      <c:pt idx="13" formatCode="_(* #,##0_);_(* \(#,##0\);_(* &quot;-&quot;??_);_(@_)">
                        <c:v>20904.49751890896</c:v>
                      </c:pt>
                      <c:pt idx="14" formatCode="_(* #,##0_);_(* \(#,##0\);_(* &quot;-&quot;??_);_(@_)">
                        <c:v>21014.684294109658</c:v>
                      </c:pt>
                      <c:pt idx="15" formatCode="_(* #,##0_);_(* \(#,##0\);_(* &quot;-&quot;??_);_(@_)">
                        <c:v>21203.215456604354</c:v>
                      </c:pt>
                      <c:pt idx="16" formatCode="_(* #,##0_);_(* \(#,##0\);_(* &quot;-&quot;??_);_(@_)">
                        <c:v>21520.061255567547</c:v>
                      </c:pt>
                      <c:pt idx="17" formatCode="_(* #,##0_);_(* \(#,##0\);_(* &quot;-&quot;??_);_(@_)">
                        <c:v>21887.384273162585</c:v>
                      </c:pt>
                      <c:pt idx="18" formatCode="_(* #,##0_);_(* \(#,##0\);_(* &quot;-&quot;??_);_(@_)">
                        <c:v>22188.897730934201</c:v>
                      </c:pt>
                      <c:pt idx="19" formatCode="_(* #,##0_);_(* \(#,##0\);_(* &quot;-&quot;??_);_(@_)">
                        <c:v>22544.99668162009</c:v>
                      </c:pt>
                      <c:pt idx="20" formatCode="_(* #,##0_);_(* \(#,##0\);_(* &quot;-&quot;??_);_(@_)">
                        <c:v>22906.301794805542</c:v>
                      </c:pt>
                      <c:pt idx="21" formatCode="_(* #,##0_);_(* \(#,##0\);_(* &quot;-&quot;??_);_(@_)">
                        <c:v>23296.345897331768</c:v>
                      </c:pt>
                    </c:numCache>
                  </c:numRef>
                </c:val>
                <c:smooth val="0"/>
                <c:extLst xmlns:c15="http://schemas.microsoft.com/office/drawing/2012/chart">
                  <c:ext xmlns:c16="http://schemas.microsoft.com/office/drawing/2014/chart" uri="{C3380CC4-5D6E-409C-BE32-E72D297353CC}">
                    <c16:uniqueId val="{00000006-6DDC-4211-8EAA-2D1EE0FFD8A7}"/>
                  </c:ext>
                </c:extLst>
              </c15:ser>
            </c15:filteredLineSeries>
            <c15:filteredLineSeries>
              <c15:ser>
                <c:idx val="6"/>
                <c:order val="6"/>
                <c:tx>
                  <c:strRef>
                    <c:extLst xmlns:c15="http://schemas.microsoft.com/office/drawing/2012/chart">
                      <c:ext xmlns:c15="http://schemas.microsoft.com/office/drawing/2012/chart" uri="{02D57815-91ED-43cb-92C2-25804820EDAC}">
                        <c15:formulaRef>
                          <c15:sqref>'Winter Peak Scenarios + Figures'!$C$10</c15:sqref>
                        </c15:formulaRef>
                      </c:ext>
                    </c:extLst>
                    <c:strCache>
                      <c:ptCount val="1"/>
                      <c:pt idx="0">
                        <c:v>2023 IRP Update less LRM</c:v>
                      </c:pt>
                    </c:strCache>
                  </c:strRef>
                </c:tx>
                <c:spPr>
                  <a:ln w="28575" cap="rnd">
                    <a:solidFill>
                      <a:schemeClr val="accent1">
                        <a:lumMod val="60000"/>
                      </a:schemeClr>
                    </a:solidFill>
                    <a:round/>
                  </a:ln>
                  <a:effectLst/>
                </c:spPr>
                <c:marker>
                  <c:symbol val="none"/>
                </c:marker>
                <c:cat>
                  <c:strRef>
                    <c:extLst xmlns:c15="http://schemas.microsoft.com/office/drawing/2012/chart">
                      <c:ext xmlns:c15="http://schemas.microsoft.com/office/drawing/2012/chart" uri="{02D57815-91ED-43cb-92C2-25804820EDAC}">
                        <c15:formulaRef>
                          <c15:sqref>'Winter Peak Scenarios + Figures'!$D$3:$Y$3</c15:sqref>
                        </c15:formulaRef>
                      </c:ext>
                    </c:extLst>
                    <c:strCache>
                      <c:ptCount val="22"/>
                      <c:pt idx="0">
                        <c:v>2021</c:v>
                      </c:pt>
                      <c:pt idx="1">
                        <c:v>2022/2023</c:v>
                      </c:pt>
                      <c:pt idx="2">
                        <c:v>2023/2024</c:v>
                      </c:pt>
                      <c:pt idx="3">
                        <c:v>2024/2025</c:v>
                      </c:pt>
                      <c:pt idx="4">
                        <c:v>2025/2026</c:v>
                      </c:pt>
                      <c:pt idx="5">
                        <c:v>2026/2027</c:v>
                      </c:pt>
                      <c:pt idx="6">
                        <c:v>2027/2028</c:v>
                      </c:pt>
                      <c:pt idx="7">
                        <c:v>2028/2029</c:v>
                      </c:pt>
                      <c:pt idx="8">
                        <c:v>2029/2030</c:v>
                      </c:pt>
                      <c:pt idx="9">
                        <c:v>2030/2031</c:v>
                      </c:pt>
                      <c:pt idx="10">
                        <c:v>2031/2032</c:v>
                      </c:pt>
                      <c:pt idx="11">
                        <c:v>2032/2033</c:v>
                      </c:pt>
                      <c:pt idx="12">
                        <c:v>2033/2034</c:v>
                      </c:pt>
                      <c:pt idx="13">
                        <c:v>2034/2035</c:v>
                      </c:pt>
                      <c:pt idx="14">
                        <c:v>2035/2036</c:v>
                      </c:pt>
                      <c:pt idx="15">
                        <c:v>2036/2037</c:v>
                      </c:pt>
                      <c:pt idx="16">
                        <c:v>2037/2038</c:v>
                      </c:pt>
                      <c:pt idx="17">
                        <c:v>2038/2039</c:v>
                      </c:pt>
                      <c:pt idx="18">
                        <c:v>2039/2040</c:v>
                      </c:pt>
                      <c:pt idx="19">
                        <c:v>2040/2041</c:v>
                      </c:pt>
                      <c:pt idx="20">
                        <c:v>2041/2042</c:v>
                      </c:pt>
                      <c:pt idx="21">
                        <c:v>2042/2043</c:v>
                      </c:pt>
                    </c:strCache>
                  </c:strRef>
                </c:cat>
                <c:val>
                  <c:numRef>
                    <c:extLst xmlns:c15="http://schemas.microsoft.com/office/drawing/2012/chart">
                      <c:ext xmlns:c15="http://schemas.microsoft.com/office/drawing/2012/chart" uri="{02D57815-91ED-43cb-92C2-25804820EDAC}">
                        <c15:formulaRef>
                          <c15:sqref>'Winter Peak Scenarios + Figures'!$D$10:$Y$10</c15:sqref>
                        </c15:formulaRef>
                      </c:ext>
                    </c:extLst>
                    <c:numCache>
                      <c:formatCode>General</c:formatCode>
                      <c:ptCount val="22"/>
                      <c:pt idx="2" formatCode="_(* #,##0_);_(* \(#,##0\);_(* &quot;-&quot;??_);_(@_)">
                        <c:v>15257.592169873329</c:v>
                      </c:pt>
                      <c:pt idx="3" formatCode="_(* #,##0_);_(* \(#,##0\);_(* &quot;-&quot;??_);_(@_)">
                        <c:v>15682.42938170852</c:v>
                      </c:pt>
                      <c:pt idx="4" formatCode="_(* #,##0_);_(* \(#,##0\);_(* &quot;-&quot;??_);_(@_)">
                        <c:v>16146.040380879753</c:v>
                      </c:pt>
                      <c:pt idx="5" formatCode="_(* #,##0_);_(* \(#,##0\);_(* &quot;-&quot;??_);_(@_)">
                        <c:v>15963.767377930009</c:v>
                      </c:pt>
                      <c:pt idx="6" formatCode="_(* #,##0_);_(* \(#,##0\);_(* &quot;-&quot;??_);_(@_)">
                        <c:v>15539.174057033106</c:v>
                      </c:pt>
                      <c:pt idx="7" formatCode="_(* #,##0_);_(* \(#,##0\);_(* &quot;-&quot;??_);_(@_)">
                        <c:v>15550.652985578796</c:v>
                      </c:pt>
                      <c:pt idx="8" formatCode="_(* #,##0_);_(* \(#,##0\);_(* &quot;-&quot;??_);_(@_)">
                        <c:v>15503.178372497016</c:v>
                      </c:pt>
                      <c:pt idx="9" formatCode="_(* #,##0_);_(* \(#,##0\);_(* &quot;-&quot;??_);_(@_)">
                        <c:v>15301.871948886394</c:v>
                      </c:pt>
                      <c:pt idx="10" formatCode="_(* #,##0_);_(* \(#,##0\);_(* &quot;-&quot;??_);_(@_)">
                        <c:v>15136.878870195043</c:v>
                      </c:pt>
                      <c:pt idx="11" formatCode="_(* #,##0_);_(* \(#,##0\);_(* &quot;-&quot;??_);_(@_)">
                        <c:v>15202.951202732922</c:v>
                      </c:pt>
                      <c:pt idx="12" formatCode="_(* #,##0_);_(* \(#,##0\);_(* &quot;-&quot;??_);_(@_)">
                        <c:v>15297.486775952832</c:v>
                      </c:pt>
                      <c:pt idx="13" formatCode="_(* #,##0_);_(* \(#,##0\);_(* &quot;-&quot;??_);_(@_)">
                        <c:v>15353.360000893026</c:v>
                      </c:pt>
                      <c:pt idx="14" formatCode="_(* #,##0_);_(* \(#,##0\);_(* &quot;-&quot;??_);_(@_)">
                        <c:v>15413.496907916386</c:v>
                      </c:pt>
                      <c:pt idx="15" formatCode="_(* #,##0_);_(* \(#,##0\);_(* &quot;-&quot;??_);_(@_)">
                        <c:v>15567.351156861409</c:v>
                      </c:pt>
                      <c:pt idx="16" formatCode="_(* #,##0_);_(* \(#,##0\);_(* &quot;-&quot;??_);_(@_)">
                        <c:v>15872.802646876808</c:v>
                      </c:pt>
                      <c:pt idx="17" formatCode="_(* #,##0_);_(* \(#,##0\);_(* &quot;-&quot;??_);_(@_)">
                        <c:v>16240.125664471845</c:v>
                      </c:pt>
                      <c:pt idx="18" formatCode="_(* #,##0_);_(* \(#,##0\);_(* &quot;-&quot;??_);_(@_)">
                        <c:v>16541.639122243461</c:v>
                      </c:pt>
                      <c:pt idx="19" formatCode="_(* #,##0_);_(* \(#,##0\);_(* &quot;-&quot;??_);_(@_)">
                        <c:v>16897.738072929351</c:v>
                      </c:pt>
                      <c:pt idx="20" formatCode="_(* #,##0_);_(* \(#,##0\);_(* &quot;-&quot;??_);_(@_)">
                        <c:v>17259.043186114803</c:v>
                      </c:pt>
                      <c:pt idx="21" formatCode="_(* #,##0_);_(* \(#,##0\);_(* &quot;-&quot;??_);_(@_)">
                        <c:v>17649.087288641029</c:v>
                      </c:pt>
                    </c:numCache>
                  </c:numRef>
                </c:val>
                <c:smooth val="0"/>
                <c:extLst xmlns:c15="http://schemas.microsoft.com/office/drawing/2012/chart">
                  <c:ext xmlns:c16="http://schemas.microsoft.com/office/drawing/2014/chart" uri="{C3380CC4-5D6E-409C-BE32-E72D297353CC}">
                    <c16:uniqueId val="{00000003-6DDC-4211-8EAA-2D1EE0FFD8A7}"/>
                  </c:ext>
                </c:extLst>
              </c15:ser>
            </c15:filteredLineSeries>
          </c:ext>
        </c:extLst>
      </c:lineChart>
      <c:catAx>
        <c:axId val="7610492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61049648"/>
        <c:crosses val="autoZero"/>
        <c:auto val="1"/>
        <c:lblAlgn val="ctr"/>
        <c:lblOffset val="100"/>
        <c:noMultiLvlLbl val="0"/>
      </c:catAx>
      <c:valAx>
        <c:axId val="761049648"/>
        <c:scaling>
          <c:orientation val="minMax"/>
          <c:min val="14000"/>
        </c:scaling>
        <c:delete val="0"/>
        <c:axPos val="l"/>
        <c:majorGridlines>
          <c:spPr>
            <a:ln w="9525" cap="flat" cmpd="sng" algn="ctr">
              <a:solidFill>
                <a:schemeClr val="tx1">
                  <a:lumMod val="15000"/>
                  <a:lumOff val="85000"/>
                </a:schemeClr>
              </a:solidFill>
              <a:round/>
            </a:ln>
            <a:effectLst/>
          </c:spPr>
        </c:majorGridlines>
        <c:numFmt formatCode="_(* #,##0_);_(* \(#,##0\);_(* &quot;-&quot;??_);_(@_)"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6104928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2"/>
          <c:order val="2"/>
          <c:tx>
            <c:strRef>
              <c:f>'Winter Peak Scenarios + Figures'!$C$6</c:f>
              <c:strCache>
                <c:ptCount val="1"/>
                <c:pt idx="0">
                  <c:v>Budget 2023</c:v>
                </c:pt>
              </c:strCache>
              <c:extLst xmlns:c15="http://schemas.microsoft.com/office/drawing/2012/chart"/>
            </c:strRef>
          </c:tx>
          <c:spPr>
            <a:ln w="12700" cap="rnd">
              <a:solidFill>
                <a:schemeClr val="accent3"/>
              </a:solidFill>
              <a:round/>
            </a:ln>
            <a:effectLst/>
          </c:spPr>
          <c:marker>
            <c:symbol val="none"/>
          </c:marker>
          <c:cat>
            <c:strRef>
              <c:f>'Winter Peak Scenarios + Figures'!$E$3:$N$3</c:f>
              <c:strCache>
                <c:ptCount val="10"/>
                <c:pt idx="0">
                  <c:v>2022/2023</c:v>
                </c:pt>
                <c:pt idx="1">
                  <c:v>2023/2024</c:v>
                </c:pt>
                <c:pt idx="2">
                  <c:v>2024/2025</c:v>
                </c:pt>
                <c:pt idx="3">
                  <c:v>2025/2026</c:v>
                </c:pt>
                <c:pt idx="4">
                  <c:v>2026/2027</c:v>
                </c:pt>
                <c:pt idx="5">
                  <c:v>2027/2028</c:v>
                </c:pt>
                <c:pt idx="6">
                  <c:v>2028/2029</c:v>
                </c:pt>
                <c:pt idx="7">
                  <c:v>2029/2030</c:v>
                </c:pt>
                <c:pt idx="8">
                  <c:v>2030/2031</c:v>
                </c:pt>
                <c:pt idx="9">
                  <c:v>2031/2032</c:v>
                </c:pt>
              </c:strCache>
              <c:extLst/>
            </c:strRef>
          </c:cat>
          <c:val>
            <c:numRef>
              <c:f>'Winter Peak Scenarios + Figures'!$E$6:$N$6</c:f>
              <c:numCache>
                <c:formatCode>_(* #,##0_);_(* \(#,##0\);_(* "-"??_);_(@_)</c:formatCode>
                <c:ptCount val="10"/>
                <c:pt idx="0">
                  <c:v>15760.5</c:v>
                </c:pt>
                <c:pt idx="1">
                  <c:v>15856.13</c:v>
                </c:pt>
                <c:pt idx="2">
                  <c:v>16049.67</c:v>
                </c:pt>
                <c:pt idx="3">
                  <c:v>16322.11</c:v>
                </c:pt>
                <c:pt idx="4">
                  <c:v>16590.59</c:v>
                </c:pt>
                <c:pt idx="5">
                  <c:v>16773.7</c:v>
                </c:pt>
                <c:pt idx="6">
                  <c:v>16863.7</c:v>
                </c:pt>
                <c:pt idx="7">
                  <c:v>16968.71</c:v>
                </c:pt>
                <c:pt idx="8">
                  <c:v>17100.099999999999</c:v>
                </c:pt>
                <c:pt idx="9">
                  <c:v>17241.87</c:v>
                </c:pt>
              </c:numCache>
              <c:extLst/>
            </c:numRef>
          </c:val>
          <c:smooth val="0"/>
          <c:extLst xmlns:c15="http://schemas.microsoft.com/office/drawing/2012/chart">
            <c:ext xmlns:c16="http://schemas.microsoft.com/office/drawing/2014/chart" uri="{C3380CC4-5D6E-409C-BE32-E72D297353CC}">
              <c16:uniqueId val="{00000000-DD58-4D93-8F54-F62A730BA6E9}"/>
            </c:ext>
          </c:extLst>
        </c:ser>
        <c:ser>
          <c:idx val="3"/>
          <c:order val="3"/>
          <c:tx>
            <c:strRef>
              <c:f>'Winter Peak Scenarios + Figures'!$C$7</c:f>
              <c:strCache>
                <c:ptCount val="1"/>
                <c:pt idx="0">
                  <c:v>2023 IRP Update, LRM P95</c:v>
                </c:pt>
              </c:strCache>
            </c:strRef>
          </c:tx>
          <c:spPr>
            <a:ln w="28575" cap="rnd">
              <a:solidFill>
                <a:srgbClr val="FF0000"/>
              </a:solidFill>
              <a:round/>
            </a:ln>
            <a:effectLst/>
          </c:spPr>
          <c:marker>
            <c:symbol val="none"/>
          </c:marker>
          <c:cat>
            <c:strRef>
              <c:f>'Winter Peak Scenarios + Figures'!$E$3:$N$3</c:f>
              <c:strCache>
                <c:ptCount val="10"/>
                <c:pt idx="0">
                  <c:v>2022/2023</c:v>
                </c:pt>
                <c:pt idx="1">
                  <c:v>2023/2024</c:v>
                </c:pt>
                <c:pt idx="2">
                  <c:v>2024/2025</c:v>
                </c:pt>
                <c:pt idx="3">
                  <c:v>2025/2026</c:v>
                </c:pt>
                <c:pt idx="4">
                  <c:v>2026/2027</c:v>
                </c:pt>
                <c:pt idx="5">
                  <c:v>2027/2028</c:v>
                </c:pt>
                <c:pt idx="6">
                  <c:v>2028/2029</c:v>
                </c:pt>
                <c:pt idx="7">
                  <c:v>2029/2030</c:v>
                </c:pt>
                <c:pt idx="8">
                  <c:v>2030/2031</c:v>
                </c:pt>
                <c:pt idx="9">
                  <c:v>2031/2032</c:v>
                </c:pt>
              </c:strCache>
              <c:extLst/>
            </c:strRef>
          </c:cat>
          <c:val>
            <c:numRef>
              <c:f>'Winter Peak Scenarios + Figures'!$E$7:$N$7</c:f>
              <c:numCache>
                <c:formatCode>_(* #,##0_);_(* \(#,##0\);_(* "-"??_);_(@_)</c:formatCode>
                <c:ptCount val="10"/>
                <c:pt idx="1">
                  <c:v>15282.997549784655</c:v>
                </c:pt>
                <c:pt idx="2">
                  <c:v>15947.427644462212</c:v>
                </c:pt>
                <c:pt idx="3">
                  <c:v>17255.655065536088</c:v>
                </c:pt>
                <c:pt idx="4">
                  <c:v>18928.002808841087</c:v>
                </c:pt>
                <c:pt idx="5">
                  <c:v>19750.558321366389</c:v>
                </c:pt>
                <c:pt idx="6">
                  <c:v>20550.769482911186</c:v>
                </c:pt>
                <c:pt idx="7">
                  <c:v>21326.19169017917</c:v>
                </c:pt>
                <c:pt idx="8">
                  <c:v>21880.421756414722</c:v>
                </c:pt>
                <c:pt idx="9">
                  <c:v>22140.575918128274</c:v>
                </c:pt>
              </c:numCache>
              <c:extLst/>
            </c:numRef>
          </c:val>
          <c:smooth val="0"/>
          <c:extLst>
            <c:ext xmlns:c16="http://schemas.microsoft.com/office/drawing/2014/chart" uri="{C3380CC4-5D6E-409C-BE32-E72D297353CC}">
              <c16:uniqueId val="{00000001-DD58-4D93-8F54-F62A730BA6E9}"/>
            </c:ext>
          </c:extLst>
        </c:ser>
        <c:ser>
          <c:idx val="6"/>
          <c:order val="6"/>
          <c:tx>
            <c:strRef>
              <c:f>'Winter Peak Scenarios + Figures'!$C$13</c:f>
              <c:strCache>
                <c:ptCount val="1"/>
                <c:pt idx="0">
                  <c:v>Uniform w/Delays P95</c:v>
                </c:pt>
              </c:strCache>
            </c:strRef>
          </c:tx>
          <c:spPr>
            <a:ln w="28575" cap="rnd">
              <a:solidFill>
                <a:schemeClr val="accent6"/>
              </a:solidFill>
              <a:round/>
            </a:ln>
            <a:effectLst/>
          </c:spPr>
          <c:marker>
            <c:symbol val="none"/>
          </c:marker>
          <c:cat>
            <c:strRef>
              <c:f>'Winter Peak Scenarios + Figures'!$E$3:$N$3</c:f>
              <c:strCache>
                <c:ptCount val="10"/>
                <c:pt idx="0">
                  <c:v>2022/2023</c:v>
                </c:pt>
                <c:pt idx="1">
                  <c:v>2023/2024</c:v>
                </c:pt>
                <c:pt idx="2">
                  <c:v>2024/2025</c:v>
                </c:pt>
                <c:pt idx="3">
                  <c:v>2025/2026</c:v>
                </c:pt>
                <c:pt idx="4">
                  <c:v>2026/2027</c:v>
                </c:pt>
                <c:pt idx="5">
                  <c:v>2027/2028</c:v>
                </c:pt>
                <c:pt idx="6">
                  <c:v>2028/2029</c:v>
                </c:pt>
                <c:pt idx="7">
                  <c:v>2029/2030</c:v>
                </c:pt>
                <c:pt idx="8">
                  <c:v>2030/2031</c:v>
                </c:pt>
                <c:pt idx="9">
                  <c:v>2031/2032</c:v>
                </c:pt>
              </c:strCache>
              <c:extLst/>
            </c:strRef>
          </c:cat>
          <c:val>
            <c:numRef>
              <c:f>'Winter Peak Scenarios + Figures'!$E$13:$N$13</c:f>
              <c:numCache>
                <c:formatCode>_(* #,##0_);_(* \(#,##0\);_(* "-"??_);_(@_)</c:formatCode>
                <c:ptCount val="10"/>
                <c:pt idx="1">
                  <c:v>15201.92335567561</c:v>
                </c:pt>
                <c:pt idx="2">
                  <c:v>15512.960920299696</c:v>
                </c:pt>
                <c:pt idx="3">
                  <c:v>16040.910772413712</c:v>
                </c:pt>
                <c:pt idx="4">
                  <c:v>17698.853465849912</c:v>
                </c:pt>
                <c:pt idx="5">
                  <c:v>18470.066822641293</c:v>
                </c:pt>
                <c:pt idx="6">
                  <c:v>19083.661437129456</c:v>
                </c:pt>
                <c:pt idx="7">
                  <c:v>19767.941401252858</c:v>
                </c:pt>
                <c:pt idx="8">
                  <c:v>20375.369527765426</c:v>
                </c:pt>
                <c:pt idx="9">
                  <c:v>20666.260494851686</c:v>
                </c:pt>
              </c:numCache>
              <c:extLst/>
            </c:numRef>
          </c:val>
          <c:smooth val="0"/>
          <c:extLst>
            <c:ext xmlns:c16="http://schemas.microsoft.com/office/drawing/2014/chart" uri="{C3380CC4-5D6E-409C-BE32-E72D297353CC}">
              <c16:uniqueId val="{00000002-DD58-4D93-8F54-F62A730BA6E9}"/>
            </c:ext>
          </c:extLst>
        </c:ser>
        <c:ser>
          <c:idx val="10"/>
          <c:order val="10"/>
          <c:tx>
            <c:strRef>
              <c:f>'Winter Peak Scenarios + Figures'!$C$14</c:f>
              <c:strCache>
                <c:ptCount val="1"/>
                <c:pt idx="0">
                  <c:v>Uniform w/Delays P80</c:v>
                </c:pt>
              </c:strCache>
            </c:strRef>
          </c:tx>
          <c:spPr>
            <a:ln w="12700" cap="rnd">
              <a:solidFill>
                <a:srgbClr val="FFC000"/>
              </a:solidFill>
              <a:round/>
            </a:ln>
            <a:effectLst/>
          </c:spPr>
          <c:marker>
            <c:symbol val="none"/>
          </c:marker>
          <c:cat>
            <c:strRef>
              <c:f>'Winter Peak Scenarios + Figures'!$E$3:$N$3</c:f>
              <c:strCache>
                <c:ptCount val="10"/>
                <c:pt idx="0">
                  <c:v>2022/2023</c:v>
                </c:pt>
                <c:pt idx="1">
                  <c:v>2023/2024</c:v>
                </c:pt>
                <c:pt idx="2">
                  <c:v>2024/2025</c:v>
                </c:pt>
                <c:pt idx="3">
                  <c:v>2025/2026</c:v>
                </c:pt>
                <c:pt idx="4">
                  <c:v>2026/2027</c:v>
                </c:pt>
                <c:pt idx="5">
                  <c:v>2027/2028</c:v>
                </c:pt>
                <c:pt idx="6">
                  <c:v>2028/2029</c:v>
                </c:pt>
                <c:pt idx="7">
                  <c:v>2029/2030</c:v>
                </c:pt>
                <c:pt idx="8">
                  <c:v>2030/2031</c:v>
                </c:pt>
                <c:pt idx="9">
                  <c:v>2031/2032</c:v>
                </c:pt>
              </c:strCache>
              <c:extLst/>
            </c:strRef>
          </c:cat>
          <c:val>
            <c:numRef>
              <c:f>'Winter Peak Scenarios + Figures'!$E$14:$N$14</c:f>
              <c:numCache>
                <c:formatCode>_(* #,##0_);_(* \(#,##0\);_(* "-"??_);_(@_)</c:formatCode>
                <c:ptCount val="10"/>
                <c:pt idx="1">
                  <c:v>15166.841591707303</c:v>
                </c:pt>
                <c:pt idx="2">
                  <c:v>15419.952658412143</c:v>
                </c:pt>
                <c:pt idx="3">
                  <c:v>15791.729217386439</c:v>
                </c:pt>
                <c:pt idx="4">
                  <c:v>17314.805210309001</c:v>
                </c:pt>
                <c:pt idx="5">
                  <c:v>17990.063749077297</c:v>
                </c:pt>
                <c:pt idx="6">
                  <c:v>18503.590817882006</c:v>
                </c:pt>
                <c:pt idx="7">
                  <c:v>19094.959848577084</c:v>
                </c:pt>
                <c:pt idx="8">
                  <c:v>19626.98629056531</c:v>
                </c:pt>
                <c:pt idx="9">
                  <c:v>19896.582838955244</c:v>
                </c:pt>
              </c:numCache>
              <c:extLst/>
            </c:numRef>
          </c:val>
          <c:smooth val="0"/>
          <c:extLst>
            <c:ext xmlns:c16="http://schemas.microsoft.com/office/drawing/2014/chart" uri="{C3380CC4-5D6E-409C-BE32-E72D297353CC}">
              <c16:uniqueId val="{00000003-DD58-4D93-8F54-F62A730BA6E9}"/>
            </c:ext>
          </c:extLst>
        </c:ser>
        <c:dLbls>
          <c:showLegendKey val="0"/>
          <c:showVal val="0"/>
          <c:showCatName val="0"/>
          <c:showSerName val="0"/>
          <c:showPercent val="0"/>
          <c:showBubbleSize val="0"/>
        </c:dLbls>
        <c:smooth val="0"/>
        <c:axId val="819451024"/>
        <c:axId val="819452464"/>
        <c:extLst>
          <c:ext xmlns:c15="http://schemas.microsoft.com/office/drawing/2012/chart" uri="{02D57815-91ED-43cb-92C2-25804820EDAC}">
            <c15:filteredLineSeries>
              <c15:ser>
                <c:idx val="0"/>
                <c:order val="0"/>
                <c:tx>
                  <c:strRef>
                    <c:extLst>
                      <c:ext uri="{02D57815-91ED-43cb-92C2-25804820EDAC}">
                        <c15:formulaRef>
                          <c15:sqref>'Winter Peak Scenarios + Figures'!$C$4</c15:sqref>
                        </c15:formulaRef>
                      </c:ext>
                    </c:extLst>
                    <c:strCache>
                      <c:ptCount val="1"/>
                    </c:strCache>
                  </c:strRef>
                </c:tx>
                <c:spPr>
                  <a:ln w="28575" cap="rnd">
                    <a:solidFill>
                      <a:schemeClr val="accent1"/>
                    </a:solidFill>
                    <a:round/>
                  </a:ln>
                  <a:effectLst/>
                </c:spPr>
                <c:marker>
                  <c:symbol val="none"/>
                </c:marker>
                <c:cat>
                  <c:strRef>
                    <c:extLst>
                      <c:ext uri="{02D57815-91ED-43cb-92C2-25804820EDAC}">
                        <c15:formulaRef>
                          <c15:sqref>'Winter Peak Scenarios + Figures'!$E$3:$N$3</c15:sqref>
                        </c15:formulaRef>
                      </c:ext>
                    </c:extLst>
                    <c:strCache>
                      <c:ptCount val="10"/>
                      <c:pt idx="0">
                        <c:v>2022/2023</c:v>
                      </c:pt>
                      <c:pt idx="1">
                        <c:v>2023/2024</c:v>
                      </c:pt>
                      <c:pt idx="2">
                        <c:v>2024/2025</c:v>
                      </c:pt>
                      <c:pt idx="3">
                        <c:v>2025/2026</c:v>
                      </c:pt>
                      <c:pt idx="4">
                        <c:v>2026/2027</c:v>
                      </c:pt>
                      <c:pt idx="5">
                        <c:v>2027/2028</c:v>
                      </c:pt>
                      <c:pt idx="6">
                        <c:v>2028/2029</c:v>
                      </c:pt>
                      <c:pt idx="7">
                        <c:v>2029/2030</c:v>
                      </c:pt>
                      <c:pt idx="8">
                        <c:v>2030/2031</c:v>
                      </c:pt>
                      <c:pt idx="9">
                        <c:v>2031/2032</c:v>
                      </c:pt>
                    </c:strCache>
                  </c:strRef>
                </c:cat>
                <c:val>
                  <c:numRef>
                    <c:extLst>
                      <c:ext uri="{02D57815-91ED-43cb-92C2-25804820EDAC}">
                        <c15:formulaRef>
                          <c15:sqref>'Winter Peak Scenarios + Figures'!$E$4:$N$4</c15:sqref>
                        </c15:formulaRef>
                      </c:ext>
                    </c:extLst>
                    <c:numCache>
                      <c:formatCode>General</c:formatCode>
                      <c:ptCount val="10"/>
                    </c:numCache>
                  </c:numRef>
                </c:val>
                <c:smooth val="0"/>
                <c:extLst>
                  <c:ext xmlns:c16="http://schemas.microsoft.com/office/drawing/2014/chart" uri="{C3380CC4-5D6E-409C-BE32-E72D297353CC}">
                    <c16:uniqueId val="{00000004-DD58-4D93-8F54-F62A730BA6E9}"/>
                  </c:ext>
                </c:extLst>
              </c15:ser>
            </c15:filteredLineSeries>
            <c15:filteredLineSeries>
              <c15:ser>
                <c:idx val="1"/>
                <c:order val="1"/>
                <c:tx>
                  <c:strRef>
                    <c:extLst xmlns:c15="http://schemas.microsoft.com/office/drawing/2012/chart">
                      <c:ext xmlns:c15="http://schemas.microsoft.com/office/drawing/2012/chart" uri="{02D57815-91ED-43cb-92C2-25804820EDAC}">
                        <c15:formulaRef>
                          <c15:sqref>'Winter Peak Scenarios + Figures'!$C$5</c15:sqref>
                        </c15:formulaRef>
                      </c:ext>
                    </c:extLst>
                    <c:strCache>
                      <c:ptCount val="1"/>
                      <c:pt idx="0">
                        <c:v>2022 IRP</c:v>
                      </c:pt>
                    </c:strCache>
                  </c:strRef>
                </c:tx>
                <c:spPr>
                  <a:ln w="28575" cap="rnd">
                    <a:solidFill>
                      <a:schemeClr val="accent2"/>
                    </a:solidFill>
                    <a:round/>
                  </a:ln>
                  <a:effectLst/>
                </c:spPr>
                <c:marker>
                  <c:symbol val="none"/>
                </c:marker>
                <c:cat>
                  <c:strRef>
                    <c:extLst xmlns:c15="http://schemas.microsoft.com/office/drawing/2012/chart">
                      <c:ext xmlns:c15="http://schemas.microsoft.com/office/drawing/2012/chart" uri="{02D57815-91ED-43cb-92C2-25804820EDAC}">
                        <c15:formulaRef>
                          <c15:sqref>'Winter Peak Scenarios + Figures'!$E$3:$N$3</c15:sqref>
                        </c15:formulaRef>
                      </c:ext>
                    </c:extLst>
                    <c:strCache>
                      <c:ptCount val="10"/>
                      <c:pt idx="0">
                        <c:v>2022/2023</c:v>
                      </c:pt>
                      <c:pt idx="1">
                        <c:v>2023/2024</c:v>
                      </c:pt>
                      <c:pt idx="2">
                        <c:v>2024/2025</c:v>
                      </c:pt>
                      <c:pt idx="3">
                        <c:v>2025/2026</c:v>
                      </c:pt>
                      <c:pt idx="4">
                        <c:v>2026/2027</c:v>
                      </c:pt>
                      <c:pt idx="5">
                        <c:v>2027/2028</c:v>
                      </c:pt>
                      <c:pt idx="6">
                        <c:v>2028/2029</c:v>
                      </c:pt>
                      <c:pt idx="7">
                        <c:v>2029/2030</c:v>
                      </c:pt>
                      <c:pt idx="8">
                        <c:v>2030/2031</c:v>
                      </c:pt>
                      <c:pt idx="9">
                        <c:v>2031/2032</c:v>
                      </c:pt>
                    </c:strCache>
                  </c:strRef>
                </c:cat>
                <c:val>
                  <c:numRef>
                    <c:extLst xmlns:c15="http://schemas.microsoft.com/office/drawing/2012/chart">
                      <c:ext xmlns:c15="http://schemas.microsoft.com/office/drawing/2012/chart" uri="{02D57815-91ED-43cb-92C2-25804820EDAC}">
                        <c15:formulaRef>
                          <c15:sqref>'Winter Peak Scenarios + Figures'!$E$5:$N$5</c15:sqref>
                        </c15:formulaRef>
                      </c:ext>
                    </c:extLst>
                    <c:numCache>
                      <c:formatCode>_(* #,##0_);_(* \(#,##0\);_(* "-"??_);_(@_)</c:formatCode>
                      <c:ptCount val="10"/>
                      <c:pt idx="0">
                        <c:v>15550.42</c:v>
                      </c:pt>
                      <c:pt idx="1">
                        <c:v>15581.04</c:v>
                      </c:pt>
                      <c:pt idx="2">
                        <c:v>15635.8</c:v>
                      </c:pt>
                      <c:pt idx="3">
                        <c:v>15657.45</c:v>
                      </c:pt>
                      <c:pt idx="4">
                        <c:v>15674.15</c:v>
                      </c:pt>
                      <c:pt idx="5">
                        <c:v>15659.11</c:v>
                      </c:pt>
                      <c:pt idx="6">
                        <c:v>15759.88</c:v>
                      </c:pt>
                      <c:pt idx="7">
                        <c:v>15799.16</c:v>
                      </c:pt>
                      <c:pt idx="8">
                        <c:v>15960.21</c:v>
                      </c:pt>
                      <c:pt idx="9">
                        <c:v>16059.77</c:v>
                      </c:pt>
                    </c:numCache>
                  </c:numRef>
                </c:val>
                <c:smooth val="0"/>
                <c:extLst xmlns:c15="http://schemas.microsoft.com/office/drawing/2012/chart">
                  <c:ext xmlns:c16="http://schemas.microsoft.com/office/drawing/2014/chart" uri="{C3380CC4-5D6E-409C-BE32-E72D297353CC}">
                    <c16:uniqueId val="{00000005-DD58-4D93-8F54-F62A730BA6E9}"/>
                  </c:ext>
                </c:extLst>
              </c15:ser>
            </c15:filteredLineSeries>
            <c15:filteredLineSeries>
              <c15:ser>
                <c:idx val="4"/>
                <c:order val="4"/>
                <c:tx>
                  <c:strRef>
                    <c:extLst xmlns:c15="http://schemas.microsoft.com/office/drawing/2012/chart">
                      <c:ext xmlns:c15="http://schemas.microsoft.com/office/drawing/2012/chart" uri="{02D57815-91ED-43cb-92C2-25804820EDAC}">
                        <c15:formulaRef>
                          <c15:sqref>'Winter Peak Scenarios + Figures'!$C$11</c15:sqref>
                        </c15:formulaRef>
                      </c:ext>
                    </c:extLst>
                    <c:strCache>
                      <c:ptCount val="1"/>
                    </c:strCache>
                  </c:strRef>
                </c:tx>
                <c:spPr>
                  <a:ln w="28575" cap="rnd">
                    <a:solidFill>
                      <a:schemeClr val="accent5"/>
                    </a:solidFill>
                    <a:round/>
                  </a:ln>
                  <a:effectLst/>
                </c:spPr>
                <c:marker>
                  <c:symbol val="none"/>
                </c:marker>
                <c:cat>
                  <c:strRef>
                    <c:extLst xmlns:c15="http://schemas.microsoft.com/office/drawing/2012/chart">
                      <c:ext xmlns:c15="http://schemas.microsoft.com/office/drawing/2012/chart" uri="{02D57815-91ED-43cb-92C2-25804820EDAC}">
                        <c15:formulaRef>
                          <c15:sqref>'Winter Peak Scenarios + Figures'!$E$3:$N$3</c15:sqref>
                        </c15:formulaRef>
                      </c:ext>
                    </c:extLst>
                    <c:strCache>
                      <c:ptCount val="10"/>
                      <c:pt idx="0">
                        <c:v>2022/2023</c:v>
                      </c:pt>
                      <c:pt idx="1">
                        <c:v>2023/2024</c:v>
                      </c:pt>
                      <c:pt idx="2">
                        <c:v>2024/2025</c:v>
                      </c:pt>
                      <c:pt idx="3">
                        <c:v>2025/2026</c:v>
                      </c:pt>
                      <c:pt idx="4">
                        <c:v>2026/2027</c:v>
                      </c:pt>
                      <c:pt idx="5">
                        <c:v>2027/2028</c:v>
                      </c:pt>
                      <c:pt idx="6">
                        <c:v>2028/2029</c:v>
                      </c:pt>
                      <c:pt idx="7">
                        <c:v>2029/2030</c:v>
                      </c:pt>
                      <c:pt idx="8">
                        <c:v>2030/2031</c:v>
                      </c:pt>
                      <c:pt idx="9">
                        <c:v>2031/2032</c:v>
                      </c:pt>
                    </c:strCache>
                  </c:strRef>
                </c:cat>
                <c:val>
                  <c:numRef>
                    <c:extLst xmlns:c15="http://schemas.microsoft.com/office/drawing/2012/chart">
                      <c:ext xmlns:c15="http://schemas.microsoft.com/office/drawing/2012/chart" uri="{02D57815-91ED-43cb-92C2-25804820EDAC}">
                        <c15:formulaRef>
                          <c15:sqref>'Winter Peak Scenarios + Figures'!$E$11:$N$11</c15:sqref>
                        </c15:formulaRef>
                      </c:ext>
                    </c:extLst>
                    <c:numCache>
                      <c:formatCode>General</c:formatCode>
                      <c:ptCount val="10"/>
                    </c:numCache>
                  </c:numRef>
                </c:val>
                <c:smooth val="0"/>
                <c:extLst xmlns:c15="http://schemas.microsoft.com/office/drawing/2012/chart">
                  <c:ext xmlns:c16="http://schemas.microsoft.com/office/drawing/2014/chart" uri="{C3380CC4-5D6E-409C-BE32-E72D297353CC}">
                    <c16:uniqueId val="{00000006-DD58-4D93-8F54-F62A730BA6E9}"/>
                  </c:ext>
                </c:extLst>
              </c15:ser>
            </c15:filteredLineSeries>
            <c15:filteredLineSeries>
              <c15:ser>
                <c:idx val="5"/>
                <c:order val="5"/>
                <c:tx>
                  <c:strRef>
                    <c:extLst xmlns:c15="http://schemas.microsoft.com/office/drawing/2012/chart">
                      <c:ext xmlns:c15="http://schemas.microsoft.com/office/drawing/2012/chart" uri="{02D57815-91ED-43cb-92C2-25804820EDAC}">
                        <c15:formulaRef>
                          <c15:sqref>'Winter Peak Scenarios + Figures'!$C$12</c15:sqref>
                        </c15:formulaRef>
                      </c:ext>
                    </c:extLst>
                    <c:strCache>
                      <c:ptCount val="1"/>
                      <c:pt idx="0">
                        <c:v>Uniform P95</c:v>
                      </c:pt>
                    </c:strCache>
                  </c:strRef>
                </c:tx>
                <c:spPr>
                  <a:ln w="28575" cap="rnd">
                    <a:solidFill>
                      <a:schemeClr val="accent6"/>
                    </a:solidFill>
                    <a:round/>
                  </a:ln>
                  <a:effectLst/>
                </c:spPr>
                <c:marker>
                  <c:symbol val="none"/>
                </c:marker>
                <c:cat>
                  <c:strRef>
                    <c:extLst xmlns:c15="http://schemas.microsoft.com/office/drawing/2012/chart">
                      <c:ext xmlns:c15="http://schemas.microsoft.com/office/drawing/2012/chart" uri="{02D57815-91ED-43cb-92C2-25804820EDAC}">
                        <c15:formulaRef>
                          <c15:sqref>'Winter Peak Scenarios + Figures'!$E$3:$N$3</c15:sqref>
                        </c15:formulaRef>
                      </c:ext>
                    </c:extLst>
                    <c:strCache>
                      <c:ptCount val="10"/>
                      <c:pt idx="0">
                        <c:v>2022/2023</c:v>
                      </c:pt>
                      <c:pt idx="1">
                        <c:v>2023/2024</c:v>
                      </c:pt>
                      <c:pt idx="2">
                        <c:v>2024/2025</c:v>
                      </c:pt>
                      <c:pt idx="3">
                        <c:v>2025/2026</c:v>
                      </c:pt>
                      <c:pt idx="4">
                        <c:v>2026/2027</c:v>
                      </c:pt>
                      <c:pt idx="5">
                        <c:v>2027/2028</c:v>
                      </c:pt>
                      <c:pt idx="6">
                        <c:v>2028/2029</c:v>
                      </c:pt>
                      <c:pt idx="7">
                        <c:v>2029/2030</c:v>
                      </c:pt>
                      <c:pt idx="8">
                        <c:v>2030/2031</c:v>
                      </c:pt>
                      <c:pt idx="9">
                        <c:v>2031/2032</c:v>
                      </c:pt>
                    </c:strCache>
                  </c:strRef>
                </c:cat>
                <c:val>
                  <c:numRef>
                    <c:extLst xmlns:c15="http://schemas.microsoft.com/office/drawing/2012/chart">
                      <c:ext xmlns:c15="http://schemas.microsoft.com/office/drawing/2012/chart" uri="{02D57815-91ED-43cb-92C2-25804820EDAC}">
                        <c15:formulaRef>
                          <c15:sqref>'Winter Peak Scenarios + Figures'!$E$12:$N$12</c15:sqref>
                        </c15:formulaRef>
                      </c:ext>
                    </c:extLst>
                    <c:numCache>
                      <c:formatCode>_(* #,##0_);_(* \(#,##0\);_(* "-"??_);_(@_)</c:formatCode>
                      <c:ptCount val="10"/>
                      <c:pt idx="1">
                        <c:v>15240.509409552771</c:v>
                      </c:pt>
                      <c:pt idx="2">
                        <c:v>15743.796509798707</c:v>
                      </c:pt>
                      <c:pt idx="3">
                        <c:v>16684.38860540514</c:v>
                      </c:pt>
                      <c:pt idx="4">
                        <c:v>18087.845291870501</c:v>
                      </c:pt>
                      <c:pt idx="5">
                        <c:v>18731.633227244591</c:v>
                      </c:pt>
                      <c:pt idx="6">
                        <c:v>19348.193112602363</c:v>
                      </c:pt>
                      <c:pt idx="7">
                        <c:v>19977.58843063196</c:v>
                      </c:pt>
                      <c:pt idx="8">
                        <c:v>20463.750165432855</c:v>
                      </c:pt>
                      <c:pt idx="9">
                        <c:v>20700.881142204697</c:v>
                      </c:pt>
                    </c:numCache>
                  </c:numRef>
                </c:val>
                <c:smooth val="0"/>
                <c:extLst xmlns:c15="http://schemas.microsoft.com/office/drawing/2012/chart">
                  <c:ext xmlns:c16="http://schemas.microsoft.com/office/drawing/2014/chart" uri="{C3380CC4-5D6E-409C-BE32-E72D297353CC}">
                    <c16:uniqueId val="{00000007-DD58-4D93-8F54-F62A730BA6E9}"/>
                  </c:ext>
                </c:extLst>
              </c15:ser>
            </c15:filteredLineSeries>
            <c15:filteredLineSeries>
              <c15:ser>
                <c:idx val="7"/>
                <c:order val="7"/>
                <c:tx>
                  <c:strRef>
                    <c:extLst xmlns:c15="http://schemas.microsoft.com/office/drawing/2012/chart">
                      <c:ext xmlns:c15="http://schemas.microsoft.com/office/drawing/2012/chart" uri="{02D57815-91ED-43cb-92C2-25804820EDAC}">
                        <c15:formulaRef>
                          <c15:sqref>'Winter Peak Scenarios + Figures'!$C$15</c15:sqref>
                        </c15:formulaRef>
                      </c:ext>
                    </c:extLst>
                    <c:strCache>
                      <c:ptCount val="1"/>
                      <c:pt idx="0">
                        <c:v>Uniform w/Delays P50</c:v>
                      </c:pt>
                    </c:strCache>
                  </c:strRef>
                </c:tx>
                <c:spPr>
                  <a:ln w="28575" cap="rnd">
                    <a:solidFill>
                      <a:schemeClr val="accent2">
                        <a:lumMod val="60000"/>
                      </a:schemeClr>
                    </a:solidFill>
                    <a:round/>
                  </a:ln>
                  <a:effectLst/>
                </c:spPr>
                <c:marker>
                  <c:symbol val="none"/>
                </c:marker>
                <c:cat>
                  <c:strRef>
                    <c:extLst xmlns:c15="http://schemas.microsoft.com/office/drawing/2012/chart">
                      <c:ext xmlns:c15="http://schemas.microsoft.com/office/drawing/2012/chart" uri="{02D57815-91ED-43cb-92C2-25804820EDAC}">
                        <c15:formulaRef>
                          <c15:sqref>'Winter Peak Scenarios + Figures'!$E$3:$N$3</c15:sqref>
                        </c15:formulaRef>
                      </c:ext>
                    </c:extLst>
                    <c:strCache>
                      <c:ptCount val="10"/>
                      <c:pt idx="0">
                        <c:v>2022/2023</c:v>
                      </c:pt>
                      <c:pt idx="1">
                        <c:v>2023/2024</c:v>
                      </c:pt>
                      <c:pt idx="2">
                        <c:v>2024/2025</c:v>
                      </c:pt>
                      <c:pt idx="3">
                        <c:v>2025/2026</c:v>
                      </c:pt>
                      <c:pt idx="4">
                        <c:v>2026/2027</c:v>
                      </c:pt>
                      <c:pt idx="5">
                        <c:v>2027/2028</c:v>
                      </c:pt>
                      <c:pt idx="6">
                        <c:v>2028/2029</c:v>
                      </c:pt>
                      <c:pt idx="7">
                        <c:v>2029/2030</c:v>
                      </c:pt>
                      <c:pt idx="8">
                        <c:v>2030/2031</c:v>
                      </c:pt>
                      <c:pt idx="9">
                        <c:v>2031/2032</c:v>
                      </c:pt>
                    </c:strCache>
                  </c:strRef>
                </c:cat>
                <c:val>
                  <c:numRef>
                    <c:extLst xmlns:c15="http://schemas.microsoft.com/office/drawing/2012/chart">
                      <c:ext xmlns:c15="http://schemas.microsoft.com/office/drawing/2012/chart" uri="{02D57815-91ED-43cb-92C2-25804820EDAC}">
                        <c15:formulaRef>
                          <c15:sqref>'Winter Peak Scenarios + Figures'!$E$15:$N$15</c15:sqref>
                        </c15:formulaRef>
                      </c:ext>
                    </c:extLst>
                    <c:numCache>
                      <c:formatCode>_(* #,##0_);_(* \(#,##0\);_(* "-"??_);_(@_)</c:formatCode>
                      <c:ptCount val="10"/>
                      <c:pt idx="1">
                        <c:v>15134.822112510028</c:v>
                      </c:pt>
                      <c:pt idx="2">
                        <c:v>15334.822690962241</c:v>
                      </c:pt>
                      <c:pt idx="3">
                        <c:v>15570.970731262443</c:v>
                      </c:pt>
                      <c:pt idx="4">
                        <c:v>16952.945537449312</c:v>
                      </c:pt>
                      <c:pt idx="5">
                        <c:v>17540.942872003514</c:v>
                      </c:pt>
                      <c:pt idx="6">
                        <c:v>17957.997807745298</c:v>
                      </c:pt>
                      <c:pt idx="7">
                        <c:v>18450.156635697029</c:v>
                      </c:pt>
                      <c:pt idx="8">
                        <c:v>18903.576645919398</c:v>
                      </c:pt>
                      <c:pt idx="9">
                        <c:v>19152.558341433712</c:v>
                      </c:pt>
                    </c:numCache>
                  </c:numRef>
                </c:val>
                <c:smooth val="0"/>
                <c:extLst xmlns:c15="http://schemas.microsoft.com/office/drawing/2012/chart">
                  <c:ext xmlns:c16="http://schemas.microsoft.com/office/drawing/2014/chart" uri="{C3380CC4-5D6E-409C-BE32-E72D297353CC}">
                    <c16:uniqueId val="{00000008-DD58-4D93-8F54-F62A730BA6E9}"/>
                  </c:ext>
                </c:extLst>
              </c15:ser>
            </c15:filteredLineSeries>
            <c15:filteredLineSeries>
              <c15:ser>
                <c:idx val="8"/>
                <c:order val="8"/>
                <c:tx>
                  <c:strRef>
                    <c:extLst xmlns:c15="http://schemas.microsoft.com/office/drawing/2012/chart">
                      <c:ext xmlns:c15="http://schemas.microsoft.com/office/drawing/2012/chart" uri="{02D57815-91ED-43cb-92C2-25804820EDAC}">
                        <c15:formulaRef>
                          <c15:sqref>'Winter Peak Scenarios + Figures'!$C$16</c15:sqref>
                        </c15:formulaRef>
                      </c:ext>
                    </c:extLst>
                    <c:strCache>
                      <c:ptCount val="1"/>
                      <c:pt idx="0">
                        <c:v>Lower Uniform P95</c:v>
                      </c:pt>
                    </c:strCache>
                  </c:strRef>
                </c:tx>
                <c:spPr>
                  <a:ln w="28575" cap="rnd">
                    <a:solidFill>
                      <a:schemeClr val="accent3">
                        <a:lumMod val="60000"/>
                      </a:schemeClr>
                    </a:solidFill>
                    <a:round/>
                  </a:ln>
                  <a:effectLst/>
                </c:spPr>
                <c:marker>
                  <c:symbol val="none"/>
                </c:marker>
                <c:cat>
                  <c:strRef>
                    <c:extLst xmlns:c15="http://schemas.microsoft.com/office/drawing/2012/chart">
                      <c:ext xmlns:c15="http://schemas.microsoft.com/office/drawing/2012/chart" uri="{02D57815-91ED-43cb-92C2-25804820EDAC}">
                        <c15:formulaRef>
                          <c15:sqref>'Winter Peak Scenarios + Figures'!$E$3:$N$3</c15:sqref>
                        </c15:formulaRef>
                      </c:ext>
                    </c:extLst>
                    <c:strCache>
                      <c:ptCount val="10"/>
                      <c:pt idx="0">
                        <c:v>2022/2023</c:v>
                      </c:pt>
                      <c:pt idx="1">
                        <c:v>2023/2024</c:v>
                      </c:pt>
                      <c:pt idx="2">
                        <c:v>2024/2025</c:v>
                      </c:pt>
                      <c:pt idx="3">
                        <c:v>2025/2026</c:v>
                      </c:pt>
                      <c:pt idx="4">
                        <c:v>2026/2027</c:v>
                      </c:pt>
                      <c:pt idx="5">
                        <c:v>2027/2028</c:v>
                      </c:pt>
                      <c:pt idx="6">
                        <c:v>2028/2029</c:v>
                      </c:pt>
                      <c:pt idx="7">
                        <c:v>2029/2030</c:v>
                      </c:pt>
                      <c:pt idx="8">
                        <c:v>2030/2031</c:v>
                      </c:pt>
                      <c:pt idx="9">
                        <c:v>2031/2032</c:v>
                      </c:pt>
                    </c:strCache>
                  </c:strRef>
                </c:cat>
                <c:val>
                  <c:numRef>
                    <c:extLst xmlns:c15="http://schemas.microsoft.com/office/drawing/2012/chart">
                      <c:ext xmlns:c15="http://schemas.microsoft.com/office/drawing/2012/chart" uri="{02D57815-91ED-43cb-92C2-25804820EDAC}">
                        <c15:formulaRef>
                          <c15:sqref>'Winter Peak Scenarios + Figures'!$E$16:$N$16</c15:sqref>
                        </c15:formulaRef>
                      </c:ext>
                    </c:extLst>
                    <c:numCache>
                      <c:formatCode>_(* #,##0_);_(* \(#,##0\);_(* "-"??_);_(@_)</c:formatCode>
                      <c:ptCount val="10"/>
                      <c:pt idx="1">
                        <c:v>15201.797763940649</c:v>
                      </c:pt>
                      <c:pt idx="2">
                        <c:v>15588.419586663711</c:v>
                      </c:pt>
                      <c:pt idx="3">
                        <c:v>16280.887144889246</c:v>
                      </c:pt>
                      <c:pt idx="4">
                        <c:v>17535.673248410407</c:v>
                      </c:pt>
                      <c:pt idx="5">
                        <c:v>18089.051693213256</c:v>
                      </c:pt>
                      <c:pt idx="6">
                        <c:v>18600.344834286036</c:v>
                      </c:pt>
                      <c:pt idx="7">
                        <c:v>19133.289724861195</c:v>
                      </c:pt>
                      <c:pt idx="8">
                        <c:v>19556.213088469773</c:v>
                      </c:pt>
                      <c:pt idx="9">
                        <c:v>19768.426966915631</c:v>
                      </c:pt>
                    </c:numCache>
                  </c:numRef>
                </c:val>
                <c:smooth val="0"/>
                <c:extLst xmlns:c15="http://schemas.microsoft.com/office/drawing/2012/chart">
                  <c:ext xmlns:c16="http://schemas.microsoft.com/office/drawing/2014/chart" uri="{C3380CC4-5D6E-409C-BE32-E72D297353CC}">
                    <c16:uniqueId val="{00000009-DD58-4D93-8F54-F62A730BA6E9}"/>
                  </c:ext>
                </c:extLst>
              </c15:ser>
            </c15:filteredLineSeries>
            <c15:filteredLineSeries>
              <c15:ser>
                <c:idx val="9"/>
                <c:order val="9"/>
                <c:tx>
                  <c:strRef>
                    <c:extLst xmlns:c15="http://schemas.microsoft.com/office/drawing/2012/chart">
                      <c:ext xmlns:c15="http://schemas.microsoft.com/office/drawing/2012/chart" uri="{02D57815-91ED-43cb-92C2-25804820EDAC}">
                        <c15:formulaRef>
                          <c15:sqref>'Winter Peak Scenarios + Figures'!$C$9</c15:sqref>
                        </c15:formulaRef>
                      </c:ext>
                    </c:extLst>
                    <c:strCache>
                      <c:ptCount val="1"/>
                      <c:pt idx="0">
                        <c:v>2023 IRP Update, LRM P50</c:v>
                      </c:pt>
                    </c:strCache>
                  </c:strRef>
                </c:tx>
                <c:spPr>
                  <a:ln w="28575" cap="rnd">
                    <a:solidFill>
                      <a:schemeClr val="accent4">
                        <a:lumMod val="60000"/>
                      </a:schemeClr>
                    </a:solidFill>
                    <a:round/>
                  </a:ln>
                  <a:effectLst/>
                </c:spPr>
                <c:marker>
                  <c:symbol val="none"/>
                </c:marker>
                <c:cat>
                  <c:strRef>
                    <c:extLst xmlns:c15="http://schemas.microsoft.com/office/drawing/2012/chart">
                      <c:ext xmlns:c15="http://schemas.microsoft.com/office/drawing/2012/chart" uri="{02D57815-91ED-43cb-92C2-25804820EDAC}">
                        <c15:formulaRef>
                          <c15:sqref>'Winter Peak Scenarios + Figures'!$E$3:$N$3</c15:sqref>
                        </c15:formulaRef>
                      </c:ext>
                    </c:extLst>
                    <c:strCache>
                      <c:ptCount val="10"/>
                      <c:pt idx="0">
                        <c:v>2022/2023</c:v>
                      </c:pt>
                      <c:pt idx="1">
                        <c:v>2023/2024</c:v>
                      </c:pt>
                      <c:pt idx="2">
                        <c:v>2024/2025</c:v>
                      </c:pt>
                      <c:pt idx="3">
                        <c:v>2025/2026</c:v>
                      </c:pt>
                      <c:pt idx="4">
                        <c:v>2026/2027</c:v>
                      </c:pt>
                      <c:pt idx="5">
                        <c:v>2027/2028</c:v>
                      </c:pt>
                      <c:pt idx="6">
                        <c:v>2028/2029</c:v>
                      </c:pt>
                      <c:pt idx="7">
                        <c:v>2029/2030</c:v>
                      </c:pt>
                      <c:pt idx="8">
                        <c:v>2030/2031</c:v>
                      </c:pt>
                      <c:pt idx="9">
                        <c:v>2031/2032</c:v>
                      </c:pt>
                    </c:strCache>
                  </c:strRef>
                </c:cat>
                <c:val>
                  <c:numRef>
                    <c:extLst xmlns:c15="http://schemas.microsoft.com/office/drawing/2012/chart">
                      <c:ext xmlns:c15="http://schemas.microsoft.com/office/drawing/2012/chart" uri="{02D57815-91ED-43cb-92C2-25804820EDAC}">
                        <c15:formulaRef>
                          <c15:sqref>'Winter Peak Scenarios + Figures'!$E$9:$N$9</c15:sqref>
                        </c15:formulaRef>
                      </c:ext>
                    </c:extLst>
                    <c:numCache>
                      <c:formatCode>_(* #,##0_);_(* \(#,##0\);_(* "-"??_);_(@_)</c:formatCode>
                      <c:ptCount val="10"/>
                      <c:pt idx="1">
                        <c:v>15270.430827448783</c:v>
                      </c:pt>
                      <c:pt idx="2">
                        <c:v>15862.858401480327</c:v>
                      </c:pt>
                      <c:pt idx="3">
                        <c:v>16999.109224977947</c:v>
                      </c:pt>
                      <c:pt idx="4">
                        <c:v>18196.691979772982</c:v>
                      </c:pt>
                      <c:pt idx="5">
                        <c:v>18806.598017543711</c:v>
                      </c:pt>
                      <c:pt idx="6">
                        <c:v>19412.103984378286</c:v>
                      </c:pt>
                      <c:pt idx="7">
                        <c:v>19936.007133752435</c:v>
                      </c:pt>
                      <c:pt idx="8">
                        <c:v>20295.58785087226</c:v>
                      </c:pt>
                      <c:pt idx="9">
                        <c:v>20455.739511133528</c:v>
                      </c:pt>
                    </c:numCache>
                  </c:numRef>
                </c:val>
                <c:smooth val="0"/>
                <c:extLst xmlns:c15="http://schemas.microsoft.com/office/drawing/2012/chart">
                  <c:ext xmlns:c16="http://schemas.microsoft.com/office/drawing/2014/chart" uri="{C3380CC4-5D6E-409C-BE32-E72D297353CC}">
                    <c16:uniqueId val="{0000000A-DD58-4D93-8F54-F62A730BA6E9}"/>
                  </c:ext>
                </c:extLst>
              </c15:ser>
            </c15:filteredLineSeries>
            <c15:filteredLineSeries>
              <c15:ser>
                <c:idx val="11"/>
                <c:order val="11"/>
                <c:tx>
                  <c:strRef>
                    <c:extLst xmlns:c15="http://schemas.microsoft.com/office/drawing/2012/chart">
                      <c:ext xmlns:c15="http://schemas.microsoft.com/office/drawing/2012/chart" uri="{02D57815-91ED-43cb-92C2-25804820EDAC}">
                        <c15:formulaRef>
                          <c15:sqref>'Winter Peak Scenarios + Figures'!$C$8</c15:sqref>
                        </c15:formulaRef>
                      </c:ext>
                    </c:extLst>
                    <c:strCache>
                      <c:ptCount val="1"/>
                      <c:pt idx="0">
                        <c:v>2023 IRP Update, LRM P80</c:v>
                      </c:pt>
                    </c:strCache>
                  </c:strRef>
                </c:tx>
                <c:spPr>
                  <a:ln w="28575" cap="rnd">
                    <a:solidFill>
                      <a:schemeClr val="accent6">
                        <a:lumMod val="60000"/>
                      </a:schemeClr>
                    </a:solidFill>
                    <a:round/>
                  </a:ln>
                  <a:effectLst/>
                </c:spPr>
                <c:marker>
                  <c:symbol val="none"/>
                </c:marker>
                <c:cat>
                  <c:strRef>
                    <c:extLst xmlns:c15="http://schemas.microsoft.com/office/drawing/2012/chart">
                      <c:ext xmlns:c15="http://schemas.microsoft.com/office/drawing/2012/chart" uri="{02D57815-91ED-43cb-92C2-25804820EDAC}">
                        <c15:formulaRef>
                          <c15:sqref>'Winter Peak Scenarios + Figures'!$E$3:$N$3</c15:sqref>
                        </c15:formulaRef>
                      </c:ext>
                    </c:extLst>
                    <c:strCache>
                      <c:ptCount val="10"/>
                      <c:pt idx="0">
                        <c:v>2022/2023</c:v>
                      </c:pt>
                      <c:pt idx="1">
                        <c:v>2023/2024</c:v>
                      </c:pt>
                      <c:pt idx="2">
                        <c:v>2024/2025</c:v>
                      </c:pt>
                      <c:pt idx="3">
                        <c:v>2025/2026</c:v>
                      </c:pt>
                      <c:pt idx="4">
                        <c:v>2026/2027</c:v>
                      </c:pt>
                      <c:pt idx="5">
                        <c:v>2027/2028</c:v>
                      </c:pt>
                      <c:pt idx="6">
                        <c:v>2028/2029</c:v>
                      </c:pt>
                      <c:pt idx="7">
                        <c:v>2029/2030</c:v>
                      </c:pt>
                      <c:pt idx="8">
                        <c:v>2030/2031</c:v>
                      </c:pt>
                      <c:pt idx="9">
                        <c:v>2031/2032</c:v>
                      </c:pt>
                    </c:strCache>
                  </c:strRef>
                </c:cat>
                <c:val>
                  <c:numRef>
                    <c:extLst xmlns:c15="http://schemas.microsoft.com/office/drawing/2012/chart">
                      <c:ext xmlns:c15="http://schemas.microsoft.com/office/drawing/2012/chart" uri="{02D57815-91ED-43cb-92C2-25804820EDAC}">
                        <c15:formulaRef>
                          <c15:sqref>'Winter Peak Scenarios + Figures'!$E$8:$N$8</c15:sqref>
                        </c15:formulaRef>
                      </c:ext>
                    </c:extLst>
                    <c:numCache>
                      <c:formatCode>_(* #,##0_);_(* \(#,##0\);_(* "-"??_);_(@_)</c:formatCode>
                      <c:ptCount val="10"/>
                      <c:pt idx="1">
                        <c:v>15276.806190402382</c:v>
                      </c:pt>
                      <c:pt idx="2">
                        <c:v>15907.401505763944</c:v>
                      </c:pt>
                      <c:pt idx="3">
                        <c:v>17122.20921218794</c:v>
                      </c:pt>
                      <c:pt idx="4">
                        <c:v>18565.151805097754</c:v>
                      </c:pt>
                      <c:pt idx="5">
                        <c:v>19282.514573246859</c:v>
                      </c:pt>
                      <c:pt idx="6">
                        <c:v>19991.952638362058</c:v>
                      </c:pt>
                      <c:pt idx="7">
                        <c:v>20650.202177427327</c:v>
                      </c:pt>
                      <c:pt idx="8">
                        <c:v>21116.883522574382</c:v>
                      </c:pt>
                      <c:pt idx="9">
                        <c:v>21319.407547832612</c:v>
                      </c:pt>
                    </c:numCache>
                  </c:numRef>
                </c:val>
                <c:smooth val="0"/>
                <c:extLst xmlns:c15="http://schemas.microsoft.com/office/drawing/2012/chart">
                  <c:ext xmlns:c16="http://schemas.microsoft.com/office/drawing/2014/chart" uri="{C3380CC4-5D6E-409C-BE32-E72D297353CC}">
                    <c16:uniqueId val="{0000000B-DD58-4D93-8F54-F62A730BA6E9}"/>
                  </c:ext>
                </c:extLst>
              </c15:ser>
            </c15:filteredLineSeries>
          </c:ext>
        </c:extLst>
      </c:lineChart>
      <c:catAx>
        <c:axId val="8194510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19452464"/>
        <c:crosses val="autoZero"/>
        <c:auto val="1"/>
        <c:lblAlgn val="ctr"/>
        <c:lblOffset val="100"/>
        <c:noMultiLvlLbl val="0"/>
      </c:catAx>
      <c:valAx>
        <c:axId val="819452464"/>
        <c:scaling>
          <c:orientation val="minMax"/>
          <c:min val="140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Peak Demand (MW)</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1945102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bfe06535-efc6-4487-9d5e-01610a6d7e4b">
      <UserInfo>
        <DisplayName>Tom Newsome</DisplayName>
        <AccountId>36</AccountId>
        <AccountType/>
      </UserInfo>
      <UserInfo>
        <DisplayName>Tom Bond</DisplayName>
        <AccountId>37</AccountId>
        <AccountType/>
      </UserInfo>
      <UserInfo>
        <DisplayName>Preston Thomas</DisplayName>
        <AccountId>38</AccountId>
        <AccountType/>
      </UserInfo>
      <UserInfo>
        <DisplayName>Ginny Davis</DisplayName>
        <AccountId>39</AccountId>
        <AccountType/>
      </UserInfo>
      <UserInfo>
        <DisplayName>Jamie Barber</DisplayName>
        <AccountId>41</AccountId>
        <AccountType/>
      </UserInfo>
      <UserInfo>
        <DisplayName>Bobby Iseley</DisplayName>
        <AccountId>34</AccountId>
        <AccountType/>
      </UserInfo>
      <UserInfo>
        <DisplayName>John Kaduk</DisplayName>
        <AccountId>35</AccountId>
        <AccountType/>
      </UserInfo>
      <UserInfo>
        <DisplayName>Jason Forsythe</DisplayName>
        <AccountId>25</AccountId>
        <AccountType/>
      </UserInfo>
      <UserInfo>
        <DisplayName>Benjamin Deitchman</DisplayName>
        <AccountId>26</AccountId>
        <AccountType/>
      </UserInfo>
      <UserInfo>
        <DisplayName>Joseph Schneider</DisplayName>
        <AccountId>18</AccountId>
        <AccountType/>
      </UserInfo>
      <UserInfo>
        <DisplayName>William Threatt</DisplayName>
        <AccountId>28</AccountId>
        <AccountType/>
      </UserInfo>
      <UserInfo>
        <DisplayName>Steve Roetger</DisplayName>
        <AccountId>20</AccountId>
        <AccountType/>
      </UserInfo>
      <UserInfo>
        <DisplayName>Shemetha Jones</DisplayName>
        <AccountId>19</AccountId>
        <AccountType/>
      </UserInfo>
    </SharedWithUsers>
    <TaxCatchAll xmlns="bfe06535-efc6-4487-9d5e-01610a6d7e4b" xsi:nil="true"/>
    <lcf76f155ced4ddcb4097134ff3c332f xmlns="956c91bd-07e9-4e5e-8b56-2a74e9369b60">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9D604C9416F7D42B19D04356824670A" ma:contentTypeVersion="12" ma:contentTypeDescription="Create a new document." ma:contentTypeScope="" ma:versionID="5a86396fd2cb6f86c5b752de4676b216">
  <xsd:schema xmlns:xsd="http://www.w3.org/2001/XMLSchema" xmlns:xs="http://www.w3.org/2001/XMLSchema" xmlns:p="http://schemas.microsoft.com/office/2006/metadata/properties" xmlns:ns2="956c91bd-07e9-4e5e-8b56-2a74e9369b60" xmlns:ns3="bfe06535-efc6-4487-9d5e-01610a6d7e4b" targetNamespace="http://schemas.microsoft.com/office/2006/metadata/properties" ma:root="true" ma:fieldsID="7a786e2a0e5e33f524ea46fbc1a5c75b" ns2:_="" ns3:_="">
    <xsd:import namespace="956c91bd-07e9-4e5e-8b56-2a74e9369b60"/>
    <xsd:import namespace="bfe06535-efc6-4487-9d5e-01610a6d7e4b"/>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6c91bd-07e9-4e5e-8b56-2a74e9369b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f17d8504-7ee1-4e4a-9b94-7367353ff7b1"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fe06535-efc6-4487-9d5e-01610a6d7e4b"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32712ae2-ab96-4019-a5e3-379b699c49fb}" ma:internalName="TaxCatchAll" ma:showField="CatchAllData" ma:web="bfe06535-efc6-4487-9d5e-01610a6d7e4b">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A397CFB-CB11-4405-8590-72F092263541}">
  <ds:schemaRefs>
    <ds:schemaRef ds:uri="http://schemas.microsoft.com/office/2006/metadata/properties"/>
    <ds:schemaRef ds:uri="http://schemas.microsoft.com/office/infopath/2007/PartnerControls"/>
    <ds:schemaRef ds:uri="bfe06535-efc6-4487-9d5e-01610a6d7e4b"/>
    <ds:schemaRef ds:uri="956c91bd-07e9-4e5e-8b56-2a74e9369b60"/>
  </ds:schemaRefs>
</ds:datastoreItem>
</file>

<file path=customXml/itemProps2.xml><?xml version="1.0" encoding="utf-8"?>
<ds:datastoreItem xmlns:ds="http://schemas.openxmlformats.org/officeDocument/2006/customXml" ds:itemID="{0990D171-C529-41E6-B9F0-E4A7DDDDD9F6}">
  <ds:schemaRefs>
    <ds:schemaRef ds:uri="http://schemas.openxmlformats.org/officeDocument/2006/bibliography"/>
  </ds:schemaRefs>
</ds:datastoreItem>
</file>

<file path=customXml/itemProps3.xml><?xml version="1.0" encoding="utf-8"?>
<ds:datastoreItem xmlns:ds="http://schemas.openxmlformats.org/officeDocument/2006/customXml" ds:itemID="{5B539E78-DFA5-4342-85A9-E08D439F4ED1}">
  <ds:schemaRefs>
    <ds:schemaRef ds:uri="http://schemas.microsoft.com/sharepoint/v3/contenttype/forms"/>
  </ds:schemaRefs>
</ds:datastoreItem>
</file>

<file path=customXml/itemProps4.xml><?xml version="1.0" encoding="utf-8"?>
<ds:datastoreItem xmlns:ds="http://schemas.openxmlformats.org/officeDocument/2006/customXml" ds:itemID="{27670B2C-C201-41FC-B4D6-050445A477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6c91bd-07e9-4e5e-8b56-2a74e9369b60"/>
    <ds:schemaRef ds:uri="bfe06535-efc6-4487-9d5e-01610a6d7e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48</Pages>
  <Words>9232</Words>
  <Characters>52624</Characters>
  <Application>Microsoft Office Word</Application>
  <DocSecurity>4</DocSecurity>
  <Lines>438</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Bower</dc:creator>
  <cp:keywords/>
  <dc:description/>
  <cp:lastModifiedBy>Robert Trokey</cp:lastModifiedBy>
  <cp:revision>2</cp:revision>
  <cp:lastPrinted>2024-02-15T04:31:00Z</cp:lastPrinted>
  <dcterms:created xsi:type="dcterms:W3CDTF">2024-02-15T12:03:00Z</dcterms:created>
  <dcterms:modified xsi:type="dcterms:W3CDTF">2024-02-15T12:03:00Z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0x010100D9D604C9416F7D42B19D04356824670A</vt:lpwstr>
  </property>
  <property fmtid="{D5CDD505-2E9C-101B-9397-08002B2CF9AE}" pid="3" name="MediaServiceImageTags">
    <vt:lpwstr/>
  </property>
</Properties>
</file>